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194F24" w14:paraId="5E10E816" w14:textId="77777777" w:rsidTr="00803F83">
        <w:trPr>
          <w:cantSplit/>
        </w:trPr>
        <w:tc>
          <w:tcPr>
            <w:tcW w:w="9888" w:type="dxa"/>
            <w:tcBorders>
              <w:bottom w:val="single" w:sz="2" w:space="0" w:color="00B0F0"/>
            </w:tcBorders>
          </w:tcPr>
          <w:p w14:paraId="45082852" w14:textId="24AFD54C" w:rsidR="00B77230" w:rsidRPr="007821CA" w:rsidRDefault="002F247C" w:rsidP="001268B5">
            <w:pPr>
              <w:tabs>
                <w:tab w:val="clear" w:pos="1191"/>
                <w:tab w:val="clear" w:pos="1588"/>
                <w:tab w:val="clear" w:pos="1985"/>
              </w:tabs>
              <w:spacing w:before="240"/>
              <w:rPr>
                <w:b/>
                <w:bCs/>
                <w:sz w:val="40"/>
                <w:szCs w:val="40"/>
              </w:rPr>
            </w:pPr>
            <w:r w:rsidRPr="007821CA">
              <w:rPr>
                <w:b/>
                <w:bCs/>
                <w:sz w:val="40"/>
                <w:szCs w:val="40"/>
              </w:rPr>
              <w:t xml:space="preserve">3rd Round of </w:t>
            </w:r>
            <w:r w:rsidR="001268B5" w:rsidRPr="007821CA">
              <w:rPr>
                <w:b/>
                <w:bCs/>
                <w:sz w:val="40"/>
                <w:szCs w:val="40"/>
              </w:rPr>
              <w:t>TDAG Web Dialogue</w:t>
            </w:r>
            <w:r w:rsidRPr="007821CA">
              <w:rPr>
                <w:b/>
                <w:bCs/>
                <w:sz w:val="40"/>
                <w:szCs w:val="40"/>
              </w:rPr>
              <w:t>s</w:t>
            </w:r>
            <w:r w:rsidR="001268B5" w:rsidRPr="007821CA">
              <w:rPr>
                <w:noProof/>
                <w:color w:val="3399FF"/>
                <w:sz w:val="40"/>
                <w:szCs w:val="40"/>
                <w:lang w:eastAsia="en-GB"/>
              </w:rPr>
              <w:drawing>
                <wp:anchor distT="0" distB="0" distL="114300" distR="114300" simplePos="0" relativeHeight="251658240" behindDoc="0" locked="0" layoutInCell="1" allowOverlap="1" wp14:anchorId="6BEFBFF5" wp14:editId="67A4090C">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14:paraId="49124C96" w14:textId="25708F1A" w:rsidR="00194F24" w:rsidRPr="00683C32" w:rsidRDefault="001B0729" w:rsidP="00D844DC">
            <w:pPr>
              <w:ind w:right="142"/>
            </w:pPr>
            <w:r w:rsidRPr="00AA0853">
              <w:rPr>
                <w:b/>
                <w:bCs/>
                <w:sz w:val="28"/>
                <w:szCs w:val="28"/>
              </w:rPr>
              <w:t>12-21 May 2020, Online</w:t>
            </w:r>
          </w:p>
        </w:tc>
      </w:tr>
      <w:tr w:rsidR="00194F24" w:rsidRPr="00997358" w14:paraId="48B980A4" w14:textId="77777777" w:rsidTr="0058581C">
        <w:trPr>
          <w:cantSplit/>
        </w:trPr>
        <w:tc>
          <w:tcPr>
            <w:tcW w:w="9888" w:type="dxa"/>
            <w:tcBorders>
              <w:top w:val="single" w:sz="2" w:space="0" w:color="00B0F0"/>
            </w:tcBorders>
          </w:tcPr>
          <w:p w14:paraId="49A48CC7" w14:textId="77777777" w:rsidR="00194F24" w:rsidRPr="00997358" w:rsidRDefault="00194F24" w:rsidP="00E642D2">
            <w:pPr>
              <w:spacing w:before="0"/>
              <w:rPr>
                <w:b/>
                <w:bCs/>
                <w:sz w:val="20"/>
              </w:rPr>
            </w:pPr>
          </w:p>
        </w:tc>
      </w:tr>
      <w:tr w:rsidR="00A13162" w:rsidRPr="003028D9" w14:paraId="1F15A22C" w14:textId="77777777" w:rsidTr="0058581C">
        <w:trPr>
          <w:cantSplit/>
        </w:trPr>
        <w:tc>
          <w:tcPr>
            <w:tcW w:w="9888" w:type="dxa"/>
            <w:tcBorders>
              <w:bottom w:val="single" w:sz="2" w:space="0" w:color="00B0F0"/>
            </w:tcBorders>
          </w:tcPr>
          <w:p w14:paraId="4CE3AF9E" w14:textId="26CA961E" w:rsidR="001268B5" w:rsidRDefault="00803F83" w:rsidP="001268B5">
            <w:pPr>
              <w:rPr>
                <w:rFonts w:cstheme="minorHAnsi"/>
                <w:b/>
                <w:bCs/>
              </w:rPr>
            </w:pPr>
            <w:bookmarkStart w:id="0" w:name="Source"/>
            <w:bookmarkStart w:id="1" w:name="Title"/>
            <w:bookmarkEnd w:id="0"/>
            <w:bookmarkEnd w:id="1"/>
            <w:r w:rsidRPr="006961D1">
              <w:rPr>
                <w:rFonts w:cstheme="minorHAnsi"/>
              </w:rPr>
              <w:t xml:space="preserve">3rd Round of TDAG </w:t>
            </w:r>
            <w:r w:rsidR="001268B5" w:rsidRPr="006961D1">
              <w:rPr>
                <w:rFonts w:cstheme="minorHAnsi"/>
              </w:rPr>
              <w:t>Web Dialogue</w:t>
            </w:r>
            <w:r w:rsidRPr="006961D1">
              <w:rPr>
                <w:rFonts w:cstheme="minorHAnsi"/>
              </w:rPr>
              <w:t>s:</w:t>
            </w:r>
            <w:r w:rsidR="001268B5" w:rsidRPr="002F247C">
              <w:rPr>
                <w:rFonts w:cstheme="minorHAnsi"/>
                <w:b/>
                <w:bCs/>
              </w:rPr>
              <w:t xml:space="preserve"> </w:t>
            </w:r>
            <w:r w:rsidR="00381CDB">
              <w:rPr>
                <w:rFonts w:cstheme="minorHAnsi"/>
                <w:b/>
                <w:bCs/>
              </w:rPr>
              <w:br/>
            </w:r>
            <w:r w:rsidR="001268B5" w:rsidRPr="001268B5">
              <w:rPr>
                <w:rFonts w:cstheme="minorHAnsi"/>
                <w:b/>
                <w:bCs/>
              </w:rPr>
              <w:t>Partnerships for Digital Transformation:</w:t>
            </w:r>
            <w:r w:rsidR="001268B5" w:rsidRPr="001268B5">
              <w:rPr>
                <w:rFonts w:ascii="Arial" w:hAnsi="Arial" w:cs="Arial"/>
                <w:b/>
                <w:bCs/>
                <w:color w:val="444444"/>
                <w:sz w:val="18"/>
                <w:szCs w:val="18"/>
                <w:shd w:val="clear" w:color="auto" w:fill="FFFFFF"/>
              </w:rPr>
              <w:t xml:space="preserve"> </w:t>
            </w:r>
            <w:r w:rsidR="001268B5" w:rsidRPr="001268B5">
              <w:rPr>
                <w:rFonts w:cstheme="minorHAnsi"/>
                <w:b/>
                <w:bCs/>
              </w:rPr>
              <w:t>Engaging Stakeholders for Meaningful Impact</w:t>
            </w:r>
          </w:p>
          <w:p w14:paraId="609ECD12" w14:textId="2A021E73" w:rsidR="00D11268" w:rsidRDefault="00D11268" w:rsidP="001268B5">
            <w:pPr>
              <w:rPr>
                <w:rFonts w:cstheme="minorHAnsi"/>
                <w:b/>
                <w:bCs/>
              </w:rPr>
            </w:pPr>
            <w:r w:rsidRPr="006961D1">
              <w:rPr>
                <w:rFonts w:cstheme="minorHAnsi"/>
              </w:rPr>
              <w:t>Date:</w:t>
            </w:r>
            <w:r>
              <w:rPr>
                <w:rFonts w:cstheme="minorHAnsi"/>
                <w:b/>
                <w:bCs/>
              </w:rPr>
              <w:t xml:space="preserve"> 21 May 2020</w:t>
            </w:r>
          </w:p>
          <w:p w14:paraId="2E56DDCC" w14:textId="4F20D339" w:rsidR="00D11268" w:rsidRPr="001268B5" w:rsidRDefault="00D11268" w:rsidP="001268B5">
            <w:pPr>
              <w:rPr>
                <w:rFonts w:cstheme="minorHAnsi"/>
                <w:b/>
                <w:bCs/>
              </w:rPr>
            </w:pPr>
            <w:r w:rsidRPr="006961D1">
              <w:rPr>
                <w:rFonts w:cstheme="minorHAnsi"/>
              </w:rPr>
              <w:t>Title:</w:t>
            </w:r>
            <w:r>
              <w:rPr>
                <w:rFonts w:cstheme="minorHAnsi"/>
                <w:b/>
                <w:bCs/>
              </w:rPr>
              <w:t xml:space="preserve"> Background document</w:t>
            </w:r>
          </w:p>
          <w:p w14:paraId="5CA41DBC" w14:textId="78ABE277" w:rsidR="00A13162" w:rsidRPr="003028D9" w:rsidRDefault="00A13162" w:rsidP="00D11268">
            <w:pPr>
              <w:spacing w:before="0"/>
              <w:rPr>
                <w:szCs w:val="24"/>
              </w:rPr>
            </w:pPr>
          </w:p>
        </w:tc>
      </w:tr>
    </w:tbl>
    <w:p w14:paraId="1E87CF6E" w14:textId="77777777" w:rsidR="001268B5" w:rsidRPr="004131A2" w:rsidRDefault="001268B5" w:rsidP="004131A2">
      <w:pPr>
        <w:tabs>
          <w:tab w:val="clear" w:pos="794"/>
          <w:tab w:val="clear" w:pos="1191"/>
          <w:tab w:val="clear" w:pos="1588"/>
          <w:tab w:val="clear" w:pos="1985"/>
        </w:tabs>
        <w:overflowPunct/>
        <w:autoSpaceDE/>
        <w:autoSpaceDN/>
        <w:adjustRightInd/>
        <w:jc w:val="both"/>
        <w:textAlignment w:val="auto"/>
        <w:rPr>
          <w:rFonts w:eastAsia="Calibri" w:cstheme="minorHAnsi"/>
          <w:b/>
          <w:bCs/>
          <w:sz w:val="22"/>
          <w:szCs w:val="22"/>
        </w:rPr>
      </w:pPr>
    </w:p>
    <w:p w14:paraId="61D2EABB" w14:textId="0F564409" w:rsidR="001268B5" w:rsidRPr="004131A2" w:rsidRDefault="001268B5" w:rsidP="002A3BB6">
      <w:pPr>
        <w:tabs>
          <w:tab w:val="clear" w:pos="794"/>
          <w:tab w:val="clear" w:pos="1191"/>
          <w:tab w:val="clear" w:pos="1588"/>
          <w:tab w:val="clear" w:pos="1985"/>
        </w:tabs>
        <w:overflowPunct/>
        <w:autoSpaceDE/>
        <w:autoSpaceDN/>
        <w:adjustRightInd/>
        <w:spacing w:after="240"/>
        <w:jc w:val="both"/>
        <w:textAlignment w:val="auto"/>
        <w:rPr>
          <w:rFonts w:eastAsia="Calibri" w:cstheme="minorHAnsi"/>
          <w:b/>
          <w:bCs/>
          <w:sz w:val="22"/>
          <w:szCs w:val="22"/>
        </w:rPr>
      </w:pPr>
      <w:r w:rsidRPr="004131A2">
        <w:rPr>
          <w:rFonts w:eastAsia="Calibri" w:cstheme="minorHAnsi"/>
          <w:b/>
          <w:bCs/>
          <w:sz w:val="22"/>
          <w:szCs w:val="22"/>
        </w:rPr>
        <w:t>Background</w:t>
      </w:r>
    </w:p>
    <w:p w14:paraId="7383FCAB" w14:textId="77777777" w:rsidR="001268B5" w:rsidRPr="004131A2" w:rsidRDefault="001268B5" w:rsidP="000C5C39">
      <w:pPr>
        <w:tabs>
          <w:tab w:val="clear" w:pos="794"/>
          <w:tab w:val="clear" w:pos="1191"/>
          <w:tab w:val="clear" w:pos="1588"/>
          <w:tab w:val="clear" w:pos="1985"/>
        </w:tabs>
        <w:overflowPunct/>
        <w:autoSpaceDE/>
        <w:autoSpaceDN/>
        <w:adjustRightInd/>
        <w:jc w:val="both"/>
        <w:textAlignment w:val="auto"/>
        <w:rPr>
          <w:rFonts w:eastAsia="Calibri" w:cstheme="minorHAnsi"/>
          <w:sz w:val="22"/>
          <w:szCs w:val="22"/>
        </w:rPr>
      </w:pPr>
      <w:r w:rsidRPr="004131A2">
        <w:rPr>
          <w:rFonts w:eastAsia="Calibri" w:cstheme="minorHAnsi"/>
          <w:sz w:val="22"/>
          <w:szCs w:val="22"/>
        </w:rPr>
        <w:t xml:space="preserve">It is a fact that digital technologies have advanced more rapidly than any other innovation. Nevertheless, while digital technologies have the potential to drive us towards an inclusive and sustainable world, half of the world’s population is still offline. A </w:t>
      </w:r>
      <w:r w:rsidRPr="004131A2">
        <w:rPr>
          <w:rFonts w:eastAsia="Calibri" w:cstheme="minorHAnsi"/>
          <w:b/>
          <w:bCs/>
          <w:sz w:val="22"/>
          <w:szCs w:val="22"/>
        </w:rPr>
        <w:t>digital transformation</w:t>
      </w:r>
      <w:r w:rsidRPr="004131A2">
        <w:rPr>
          <w:rFonts w:eastAsia="Calibri" w:cstheme="minorHAnsi"/>
          <w:sz w:val="22"/>
          <w:szCs w:val="22"/>
        </w:rPr>
        <w:t xml:space="preserve"> journey that embraces a “whole-of-society” approach for inclusive and meaningful connectivity calls for </w:t>
      </w:r>
      <w:r w:rsidRPr="004131A2">
        <w:rPr>
          <w:rFonts w:eastAsia="Calibri" w:cstheme="minorHAnsi"/>
          <w:b/>
          <w:bCs/>
          <w:sz w:val="22"/>
          <w:szCs w:val="22"/>
        </w:rPr>
        <w:t>building strategic partnerships</w:t>
      </w:r>
      <w:r w:rsidRPr="004131A2">
        <w:rPr>
          <w:rFonts w:eastAsia="Calibri" w:cstheme="minorHAnsi"/>
          <w:sz w:val="22"/>
          <w:szCs w:val="22"/>
        </w:rPr>
        <w:t xml:space="preserve">. </w:t>
      </w:r>
    </w:p>
    <w:p w14:paraId="29812C2D" w14:textId="77777777" w:rsidR="001268B5" w:rsidRPr="004131A2" w:rsidRDefault="001268B5" w:rsidP="000C5C39">
      <w:pPr>
        <w:tabs>
          <w:tab w:val="clear" w:pos="794"/>
          <w:tab w:val="clear" w:pos="1191"/>
          <w:tab w:val="clear" w:pos="1588"/>
          <w:tab w:val="clear" w:pos="1985"/>
        </w:tabs>
        <w:overflowPunct/>
        <w:jc w:val="both"/>
        <w:textAlignment w:val="auto"/>
        <w:rPr>
          <w:rFonts w:eastAsia="Calibri" w:cstheme="minorHAnsi"/>
          <w:sz w:val="22"/>
          <w:szCs w:val="22"/>
        </w:rPr>
      </w:pPr>
      <w:r w:rsidRPr="004131A2">
        <w:rPr>
          <w:rFonts w:eastAsia="Calibri" w:cstheme="minorHAnsi"/>
          <w:sz w:val="22"/>
          <w:szCs w:val="22"/>
        </w:rPr>
        <w:t xml:space="preserve">Through pooling complementary resources, partnerships have the potential to deliver far more than the sum of their parts and stakeholders particularly the private sector have a key role to play. Partnering does not come naturally and, in this regard, there is a need to build an enabling environment for the shared value of public-private collaboration aligned with countries’ development needs and with business and investment strategies. </w:t>
      </w:r>
    </w:p>
    <w:p w14:paraId="5B887E28" w14:textId="77777777" w:rsidR="001268B5" w:rsidRPr="004131A2" w:rsidRDefault="001268B5" w:rsidP="000C5C39">
      <w:pPr>
        <w:tabs>
          <w:tab w:val="clear" w:pos="794"/>
          <w:tab w:val="clear" w:pos="1191"/>
          <w:tab w:val="clear" w:pos="1588"/>
          <w:tab w:val="clear" w:pos="1985"/>
        </w:tabs>
        <w:overflowPunct/>
        <w:jc w:val="both"/>
        <w:textAlignment w:val="auto"/>
        <w:rPr>
          <w:rFonts w:eastAsia="Calibri" w:cstheme="minorHAnsi"/>
          <w:sz w:val="22"/>
          <w:szCs w:val="22"/>
        </w:rPr>
      </w:pPr>
      <w:r w:rsidRPr="004131A2">
        <w:rPr>
          <w:rFonts w:eastAsia="Calibri" w:cstheme="minorHAnsi"/>
          <w:sz w:val="22"/>
          <w:szCs w:val="22"/>
        </w:rPr>
        <w:t xml:space="preserve">With its diverse membership base and experience in partnerships and project delivery, BDT is a neutral convener of a wide range of stakeholders for effective collaboration, partnerships and for pooling resources and capabilities for the implementation of its development agenda and maximizing value creation towards the Sustainable Development Goals. </w:t>
      </w:r>
    </w:p>
    <w:p w14:paraId="1E5CAD22" w14:textId="77777777" w:rsidR="001268B5" w:rsidRPr="004131A2" w:rsidRDefault="001268B5" w:rsidP="000C5C39">
      <w:pPr>
        <w:tabs>
          <w:tab w:val="clear" w:pos="794"/>
          <w:tab w:val="clear" w:pos="1191"/>
          <w:tab w:val="clear" w:pos="1588"/>
          <w:tab w:val="clear" w:pos="1985"/>
        </w:tabs>
        <w:overflowPunct/>
        <w:autoSpaceDE/>
        <w:autoSpaceDN/>
        <w:adjustRightInd/>
        <w:jc w:val="both"/>
        <w:textAlignment w:val="auto"/>
        <w:rPr>
          <w:rFonts w:eastAsia="Calibri" w:cstheme="minorHAnsi"/>
          <w:sz w:val="22"/>
          <w:szCs w:val="22"/>
        </w:rPr>
      </w:pPr>
      <w:r w:rsidRPr="004131A2">
        <w:rPr>
          <w:rFonts w:eastAsia="Calibri" w:cstheme="minorHAnsi"/>
          <w:sz w:val="22"/>
          <w:szCs w:val="22"/>
        </w:rPr>
        <w:t>Within the three hours of this dialogue, panellists will share views on establishing innovative and effective partnerships with ITU that could lead to high impact projects that will be instrumental to the attainment of the SDGs.</w:t>
      </w:r>
    </w:p>
    <w:p w14:paraId="6D8984EC" w14:textId="5B92B9E1" w:rsidR="001268B5" w:rsidRPr="004131A2" w:rsidRDefault="001268B5" w:rsidP="000C5C39">
      <w:pPr>
        <w:tabs>
          <w:tab w:val="clear" w:pos="794"/>
          <w:tab w:val="clear" w:pos="1191"/>
          <w:tab w:val="clear" w:pos="1588"/>
          <w:tab w:val="clear" w:pos="1985"/>
        </w:tabs>
        <w:overflowPunct/>
        <w:autoSpaceDE/>
        <w:autoSpaceDN/>
        <w:adjustRightInd/>
        <w:jc w:val="both"/>
        <w:textAlignment w:val="auto"/>
        <w:rPr>
          <w:rFonts w:eastAsia="Calibri" w:cstheme="minorHAnsi"/>
          <w:sz w:val="22"/>
          <w:szCs w:val="22"/>
          <w:lang w:eastAsia="en-GB"/>
        </w:rPr>
      </w:pPr>
      <w:r w:rsidRPr="004131A2">
        <w:rPr>
          <w:rFonts w:eastAsia="Calibri" w:cstheme="minorHAnsi"/>
          <w:sz w:val="22"/>
          <w:szCs w:val="22"/>
        </w:rPr>
        <w:t xml:space="preserve">Reacting to the insights shared by the Panellists, the session will proceed with an open segment where participating organizations are free to share ideas on how best ITU/BDT could strengthen partnerships leading to win-win co-financing partnerships with its Membership. Of interest is how Membership participation and contribution to development work could be enhance and enriched. In so doing, participating organizations are encouraged to share experiences, good practices, and ways to </w:t>
      </w:r>
      <w:r w:rsidRPr="004131A2">
        <w:rPr>
          <w:rFonts w:eastAsia="Calibri" w:cstheme="minorHAnsi"/>
          <w:sz w:val="22"/>
          <w:szCs w:val="22"/>
          <w:lang w:eastAsia="en-GB"/>
        </w:rPr>
        <w:t xml:space="preserve">strengthen the relationship amongst ITU-D and its wide membership base for the delivery of impactful results. </w:t>
      </w:r>
    </w:p>
    <w:p w14:paraId="2ACF8F06" w14:textId="0F075598" w:rsidR="001268B5" w:rsidRPr="004131A2" w:rsidRDefault="001268B5" w:rsidP="000C5C39">
      <w:pPr>
        <w:tabs>
          <w:tab w:val="clear" w:pos="794"/>
          <w:tab w:val="clear" w:pos="1191"/>
          <w:tab w:val="clear" w:pos="1588"/>
          <w:tab w:val="clear" w:pos="1985"/>
        </w:tabs>
        <w:overflowPunct/>
        <w:autoSpaceDE/>
        <w:autoSpaceDN/>
        <w:adjustRightInd/>
        <w:spacing w:line="252" w:lineRule="auto"/>
        <w:jc w:val="both"/>
        <w:textAlignment w:val="auto"/>
        <w:rPr>
          <w:rFonts w:eastAsia="Calibri" w:cstheme="minorHAnsi"/>
          <w:sz w:val="22"/>
          <w:szCs w:val="22"/>
        </w:rPr>
      </w:pPr>
      <w:r w:rsidRPr="004131A2">
        <w:rPr>
          <w:rFonts w:eastAsia="Calibri" w:cstheme="minorHAnsi"/>
          <w:sz w:val="22"/>
          <w:szCs w:val="22"/>
        </w:rPr>
        <w:t xml:space="preserve">Each </w:t>
      </w:r>
      <w:r w:rsidR="00203AAD">
        <w:rPr>
          <w:rFonts w:eastAsia="Calibri" w:cstheme="minorHAnsi"/>
          <w:sz w:val="22"/>
          <w:szCs w:val="22"/>
        </w:rPr>
        <w:t>p</w:t>
      </w:r>
      <w:r w:rsidRPr="004131A2">
        <w:rPr>
          <w:rFonts w:eastAsia="Calibri" w:cstheme="minorHAnsi"/>
          <w:sz w:val="22"/>
          <w:szCs w:val="22"/>
        </w:rPr>
        <w:t xml:space="preserve">anellist will have </w:t>
      </w:r>
      <w:r w:rsidR="00203AAD">
        <w:rPr>
          <w:rFonts w:eastAsia="Calibri" w:cstheme="minorHAnsi"/>
          <w:sz w:val="22"/>
          <w:szCs w:val="22"/>
        </w:rPr>
        <w:t>five</w:t>
      </w:r>
      <w:r w:rsidRPr="004131A2">
        <w:rPr>
          <w:rFonts w:eastAsia="Calibri" w:cstheme="minorHAnsi"/>
          <w:sz w:val="22"/>
          <w:szCs w:val="22"/>
        </w:rPr>
        <w:t xml:space="preserve"> minutes to share views based on the following questions:</w:t>
      </w:r>
    </w:p>
    <w:p w14:paraId="0424F7D8" w14:textId="77777777" w:rsidR="001268B5" w:rsidRPr="004131A2" w:rsidRDefault="001268B5" w:rsidP="000C5C39">
      <w:pPr>
        <w:numPr>
          <w:ilvl w:val="0"/>
          <w:numId w:val="9"/>
        </w:numPr>
        <w:tabs>
          <w:tab w:val="clear" w:pos="794"/>
          <w:tab w:val="clear" w:pos="1191"/>
          <w:tab w:val="clear" w:pos="1588"/>
          <w:tab w:val="clear" w:pos="1985"/>
        </w:tabs>
        <w:overflowPunct/>
        <w:autoSpaceDE/>
        <w:autoSpaceDN/>
        <w:adjustRightInd/>
        <w:spacing w:line="257" w:lineRule="auto"/>
        <w:ind w:left="567" w:hanging="567"/>
        <w:jc w:val="both"/>
        <w:textAlignment w:val="auto"/>
        <w:rPr>
          <w:rFonts w:eastAsia="Calibri" w:cstheme="minorHAnsi"/>
          <w:sz w:val="22"/>
          <w:szCs w:val="22"/>
        </w:rPr>
      </w:pPr>
      <w:r w:rsidRPr="004131A2">
        <w:rPr>
          <w:rFonts w:eastAsia="Calibri" w:cstheme="minorHAnsi"/>
          <w:sz w:val="22"/>
          <w:szCs w:val="22"/>
        </w:rPr>
        <w:t xml:space="preserve">How could we foster a holistic multi-stakeholder approach to investing in digital technologies to achieve the SDGs? </w:t>
      </w:r>
    </w:p>
    <w:p w14:paraId="1944DE55" w14:textId="77777777" w:rsidR="001268B5" w:rsidRPr="004131A2" w:rsidRDefault="001268B5" w:rsidP="000C5C39">
      <w:pPr>
        <w:numPr>
          <w:ilvl w:val="0"/>
          <w:numId w:val="9"/>
        </w:numPr>
        <w:tabs>
          <w:tab w:val="clear" w:pos="794"/>
          <w:tab w:val="clear" w:pos="1191"/>
          <w:tab w:val="clear" w:pos="1588"/>
          <w:tab w:val="clear" w:pos="1985"/>
        </w:tabs>
        <w:overflowPunct/>
        <w:autoSpaceDE/>
        <w:autoSpaceDN/>
        <w:adjustRightInd/>
        <w:spacing w:before="80" w:line="257" w:lineRule="auto"/>
        <w:ind w:left="567" w:hanging="567"/>
        <w:jc w:val="both"/>
        <w:textAlignment w:val="auto"/>
        <w:rPr>
          <w:rFonts w:eastAsia="Calibri" w:cstheme="minorHAnsi"/>
          <w:sz w:val="22"/>
          <w:szCs w:val="22"/>
        </w:rPr>
      </w:pPr>
      <w:r w:rsidRPr="004131A2">
        <w:rPr>
          <w:rFonts w:eastAsia="Calibri" w:cstheme="minorHAnsi"/>
          <w:sz w:val="22"/>
          <w:szCs w:val="22"/>
        </w:rPr>
        <w:t xml:space="preserve">What are good examples of broad-based initiatives or mechanisms that are systematically catalysing partnerships in the ICT field? </w:t>
      </w:r>
    </w:p>
    <w:p w14:paraId="02121396" w14:textId="77777777" w:rsidR="001268B5" w:rsidRPr="004131A2" w:rsidRDefault="001268B5" w:rsidP="000C5C39">
      <w:pPr>
        <w:numPr>
          <w:ilvl w:val="0"/>
          <w:numId w:val="9"/>
        </w:numPr>
        <w:tabs>
          <w:tab w:val="clear" w:pos="794"/>
          <w:tab w:val="clear" w:pos="1191"/>
          <w:tab w:val="clear" w:pos="1588"/>
          <w:tab w:val="clear" w:pos="1985"/>
        </w:tabs>
        <w:overflowPunct/>
        <w:autoSpaceDE/>
        <w:autoSpaceDN/>
        <w:adjustRightInd/>
        <w:spacing w:before="80" w:line="257" w:lineRule="auto"/>
        <w:ind w:left="567" w:hanging="567"/>
        <w:jc w:val="both"/>
        <w:textAlignment w:val="auto"/>
        <w:rPr>
          <w:rFonts w:eastAsia="Calibri" w:cstheme="minorHAnsi"/>
          <w:sz w:val="22"/>
          <w:szCs w:val="22"/>
        </w:rPr>
      </w:pPr>
      <w:r w:rsidRPr="004131A2">
        <w:rPr>
          <w:rFonts w:eastAsia="Calibri" w:cstheme="minorHAnsi"/>
          <w:sz w:val="22"/>
          <w:szCs w:val="22"/>
        </w:rPr>
        <w:t>What types of investment and business models can drive meaningful and inclusive connectivity?</w:t>
      </w:r>
    </w:p>
    <w:p w14:paraId="0A861785" w14:textId="77777777" w:rsidR="001268B5" w:rsidRPr="004131A2" w:rsidRDefault="001268B5" w:rsidP="000C5C39">
      <w:pPr>
        <w:numPr>
          <w:ilvl w:val="0"/>
          <w:numId w:val="9"/>
        </w:numPr>
        <w:tabs>
          <w:tab w:val="clear" w:pos="794"/>
          <w:tab w:val="clear" w:pos="1191"/>
          <w:tab w:val="clear" w:pos="1588"/>
          <w:tab w:val="clear" w:pos="1985"/>
        </w:tabs>
        <w:overflowPunct/>
        <w:autoSpaceDE/>
        <w:autoSpaceDN/>
        <w:adjustRightInd/>
        <w:spacing w:before="80" w:line="257" w:lineRule="auto"/>
        <w:ind w:left="567" w:hanging="567"/>
        <w:jc w:val="both"/>
        <w:textAlignment w:val="auto"/>
        <w:rPr>
          <w:rFonts w:eastAsia="Malgun Gothic" w:cstheme="minorHAnsi"/>
          <w:sz w:val="22"/>
          <w:szCs w:val="22"/>
          <w:lang w:eastAsia="ko-KR"/>
        </w:rPr>
      </w:pPr>
      <w:r w:rsidRPr="004131A2">
        <w:rPr>
          <w:rFonts w:eastAsia="Malgun Gothic" w:cstheme="minorHAnsi"/>
          <w:sz w:val="22"/>
          <w:szCs w:val="22"/>
          <w:lang w:eastAsia="ko-KR"/>
        </w:rPr>
        <w:t xml:space="preserve">What are the needed conditions for effective public-private partnerships that sustain digital transformation? </w:t>
      </w:r>
    </w:p>
    <w:p w14:paraId="5540FB5F" w14:textId="77777777" w:rsidR="001268B5" w:rsidRPr="004131A2" w:rsidRDefault="001268B5" w:rsidP="000C5C39">
      <w:pPr>
        <w:numPr>
          <w:ilvl w:val="0"/>
          <w:numId w:val="9"/>
        </w:numPr>
        <w:tabs>
          <w:tab w:val="clear" w:pos="794"/>
          <w:tab w:val="clear" w:pos="1191"/>
          <w:tab w:val="clear" w:pos="1588"/>
          <w:tab w:val="clear" w:pos="1985"/>
        </w:tabs>
        <w:overflowPunct/>
        <w:autoSpaceDE/>
        <w:autoSpaceDN/>
        <w:adjustRightInd/>
        <w:spacing w:before="80" w:line="257" w:lineRule="auto"/>
        <w:ind w:left="567" w:hanging="567"/>
        <w:jc w:val="both"/>
        <w:textAlignment w:val="auto"/>
        <w:rPr>
          <w:rFonts w:eastAsia="Malgun Gothic" w:cstheme="minorHAnsi"/>
          <w:sz w:val="22"/>
          <w:szCs w:val="22"/>
          <w:lang w:eastAsia="ko-KR"/>
        </w:rPr>
      </w:pPr>
      <w:r w:rsidRPr="004131A2">
        <w:rPr>
          <w:rFonts w:eastAsia="Malgun Gothic" w:cstheme="minorHAnsi"/>
          <w:sz w:val="22"/>
          <w:szCs w:val="22"/>
          <w:lang w:eastAsia="ko-KR"/>
        </w:rPr>
        <w:t xml:space="preserve">What do Funding Agencies want to see in order to invest in development work through financing ICT projects? </w:t>
      </w:r>
    </w:p>
    <w:p w14:paraId="38F842DF" w14:textId="77777777" w:rsidR="001268B5" w:rsidRPr="004131A2" w:rsidRDefault="001268B5" w:rsidP="000C5C39">
      <w:pPr>
        <w:numPr>
          <w:ilvl w:val="0"/>
          <w:numId w:val="9"/>
        </w:numPr>
        <w:tabs>
          <w:tab w:val="clear" w:pos="794"/>
          <w:tab w:val="clear" w:pos="1191"/>
          <w:tab w:val="clear" w:pos="1588"/>
          <w:tab w:val="clear" w:pos="1985"/>
        </w:tabs>
        <w:overflowPunct/>
        <w:autoSpaceDE/>
        <w:autoSpaceDN/>
        <w:adjustRightInd/>
        <w:spacing w:before="80" w:line="257" w:lineRule="auto"/>
        <w:ind w:left="567" w:hanging="567"/>
        <w:jc w:val="both"/>
        <w:textAlignment w:val="auto"/>
        <w:rPr>
          <w:rFonts w:eastAsia="Malgun Gothic" w:cstheme="minorHAnsi"/>
          <w:sz w:val="22"/>
          <w:szCs w:val="22"/>
          <w:lang w:eastAsia="ko-KR"/>
        </w:rPr>
      </w:pPr>
      <w:r w:rsidRPr="004131A2">
        <w:rPr>
          <w:rFonts w:eastAsia="Malgun Gothic" w:cstheme="minorHAnsi"/>
          <w:sz w:val="22"/>
          <w:szCs w:val="22"/>
          <w:lang w:eastAsia="ko-KR"/>
        </w:rPr>
        <w:lastRenderedPageBreak/>
        <w:t>What can we do to align public-private sector donor funding expectations to national priorities?</w:t>
      </w:r>
    </w:p>
    <w:p w14:paraId="7BAF8EA4" w14:textId="37888DFF" w:rsidR="00821996" w:rsidRDefault="001268B5" w:rsidP="000C5C39">
      <w:pPr>
        <w:tabs>
          <w:tab w:val="clear" w:pos="794"/>
          <w:tab w:val="clear" w:pos="1191"/>
          <w:tab w:val="clear" w:pos="1588"/>
          <w:tab w:val="clear" w:pos="1985"/>
        </w:tabs>
        <w:overflowPunct/>
        <w:autoSpaceDE/>
        <w:autoSpaceDN/>
        <w:adjustRightInd/>
        <w:jc w:val="both"/>
        <w:textAlignment w:val="auto"/>
        <w:rPr>
          <w:rFonts w:eastAsia="Calibri" w:cstheme="minorHAnsi"/>
          <w:sz w:val="22"/>
          <w:szCs w:val="22"/>
          <w:lang w:val="en-US"/>
        </w:rPr>
      </w:pPr>
      <w:r w:rsidRPr="004131A2">
        <w:rPr>
          <w:rFonts w:eastAsia="Calibri" w:cstheme="minorHAnsi"/>
          <w:sz w:val="22"/>
          <w:szCs w:val="22"/>
          <w:lang w:val="en-US"/>
        </w:rPr>
        <w:t xml:space="preserve">A </w:t>
      </w:r>
      <w:r w:rsidRPr="004131A2">
        <w:rPr>
          <w:rFonts w:eastAsia="Calibri" w:cstheme="minorHAnsi"/>
          <w:b/>
          <w:bCs/>
          <w:sz w:val="22"/>
          <w:szCs w:val="22"/>
          <w:lang w:val="en-US"/>
        </w:rPr>
        <w:t>summary report</w:t>
      </w:r>
      <w:r w:rsidRPr="004131A2">
        <w:rPr>
          <w:rFonts w:eastAsia="Calibri" w:cstheme="minorHAnsi"/>
          <w:sz w:val="22"/>
          <w:szCs w:val="22"/>
          <w:lang w:val="en-US"/>
        </w:rPr>
        <w:t xml:space="preserve"> of this Web Dialogue will be prepared reflecting key policy messages and recommendations. </w:t>
      </w:r>
    </w:p>
    <w:p w14:paraId="0CF0B74B" w14:textId="724C22C3" w:rsidR="00203AAD" w:rsidRDefault="00203AAD" w:rsidP="000C5C39">
      <w:pPr>
        <w:tabs>
          <w:tab w:val="clear" w:pos="794"/>
          <w:tab w:val="clear" w:pos="1191"/>
          <w:tab w:val="clear" w:pos="1588"/>
          <w:tab w:val="clear" w:pos="1985"/>
        </w:tabs>
        <w:overflowPunct/>
        <w:autoSpaceDE/>
        <w:autoSpaceDN/>
        <w:adjustRightInd/>
        <w:jc w:val="both"/>
        <w:textAlignment w:val="auto"/>
        <w:rPr>
          <w:rFonts w:eastAsia="Calibri" w:cstheme="minorHAnsi"/>
          <w:sz w:val="22"/>
          <w:szCs w:val="22"/>
          <w:lang w:val="en-US"/>
        </w:rPr>
      </w:pPr>
    </w:p>
    <w:p w14:paraId="6DDE8AF3" w14:textId="7AA3732C" w:rsidR="00914A62" w:rsidRDefault="00914A62" w:rsidP="000C5C39">
      <w:pPr>
        <w:tabs>
          <w:tab w:val="clear" w:pos="794"/>
          <w:tab w:val="clear" w:pos="1191"/>
          <w:tab w:val="clear" w:pos="1588"/>
          <w:tab w:val="clear" w:pos="1985"/>
        </w:tabs>
        <w:overflowPunct/>
        <w:autoSpaceDE/>
        <w:autoSpaceDN/>
        <w:adjustRightInd/>
        <w:jc w:val="center"/>
        <w:textAlignment w:val="auto"/>
        <w:rPr>
          <w:rFonts w:eastAsia="Calibri" w:cstheme="minorHAnsi"/>
          <w:sz w:val="22"/>
          <w:szCs w:val="22"/>
          <w:lang w:val="en-US"/>
        </w:rPr>
      </w:pPr>
      <w:r>
        <w:rPr>
          <w:rFonts w:eastAsia="Calibri" w:cstheme="minorHAnsi"/>
          <w:sz w:val="22"/>
          <w:szCs w:val="22"/>
          <w:lang w:val="en-US"/>
        </w:rPr>
        <w:t>_______________</w:t>
      </w:r>
    </w:p>
    <w:sectPr w:rsidR="00914A62" w:rsidSect="00473791">
      <w:headerReference w:type="default" r:id="rId12"/>
      <w:footerReference w:type="defaul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C52F4" w14:textId="77777777" w:rsidR="00B508BF" w:rsidRDefault="00B508BF">
      <w:r>
        <w:separator/>
      </w:r>
    </w:p>
  </w:endnote>
  <w:endnote w:type="continuationSeparator" w:id="0">
    <w:p w14:paraId="44044CB5" w14:textId="77777777" w:rsidR="00B508BF" w:rsidRDefault="00B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EC196" w14:textId="77777777" w:rsidR="00B74B40" w:rsidRPr="006D271A" w:rsidRDefault="00B74B40" w:rsidP="00B74B40">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sz w:val="22"/>
        <w:szCs w:val="22"/>
      </w:rPr>
      <w:t>1</w:t>
    </w:r>
    <w:r w:rsidRPr="00972BCD">
      <w:rPr>
        <w:sz w:val="22"/>
        <w:szCs w:val="22"/>
      </w:rPr>
      <w:fldChar w:fldCharType="end"/>
    </w:r>
  </w:p>
  <w:p w14:paraId="3A775559" w14:textId="77777777" w:rsidR="00B74B40" w:rsidRDefault="00B74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3F5D9" w14:textId="77777777" w:rsidR="00721657" w:rsidRPr="0059420B" w:rsidRDefault="00721657" w:rsidP="00B80157">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30B7C" w14:textId="77777777" w:rsidR="00B508BF" w:rsidRDefault="00B508BF">
      <w:r>
        <w:t>____________________</w:t>
      </w:r>
    </w:p>
  </w:footnote>
  <w:footnote w:type="continuationSeparator" w:id="0">
    <w:p w14:paraId="10AA3305" w14:textId="77777777" w:rsidR="00B508BF" w:rsidRDefault="00B5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469" w14:textId="77777777" w:rsidR="00721657" w:rsidRPr="00A525CC" w:rsidRDefault="00721657" w:rsidP="00194F24">
    <w:pPr>
      <w:pStyle w:val="Header"/>
      <w:jc w:val="lef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E381A"/>
    <w:multiLevelType w:val="hybridMultilevel"/>
    <w:tmpl w:val="CA468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10978"/>
    <w:multiLevelType w:val="hybridMultilevel"/>
    <w:tmpl w:val="CFEC12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9016D8"/>
    <w:multiLevelType w:val="hybridMultilevel"/>
    <w:tmpl w:val="8B7A2860"/>
    <w:lvl w:ilvl="0" w:tplc="30E412B8">
      <w:start w:val="1"/>
      <w:numFmt w:val="decimal"/>
      <w:lvlText w:val="%1."/>
      <w:lvlJc w:val="left"/>
      <w:pPr>
        <w:ind w:left="728" w:hanging="368"/>
      </w:pPr>
      <w:rPr>
        <w:rFonts w:asciiTheme="minorHAnsi" w:eastAsia="Times New Roman" w:hAnsiTheme="minorHAnsi"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F90B92"/>
    <w:multiLevelType w:val="hybridMultilevel"/>
    <w:tmpl w:val="3E2C81E0"/>
    <w:lvl w:ilvl="0" w:tplc="B7222814">
      <w:start w:val="1"/>
      <w:numFmt w:val="decimal"/>
      <w:lvlText w:val="%1."/>
      <w:lvlJc w:val="left"/>
      <w:pPr>
        <w:ind w:left="728" w:hanging="36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3865CEF"/>
    <w:multiLevelType w:val="hybridMultilevel"/>
    <w:tmpl w:val="D980A3BA"/>
    <w:lvl w:ilvl="0" w:tplc="A4827C5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F5125"/>
    <w:multiLevelType w:val="hybridMultilevel"/>
    <w:tmpl w:val="83049FB6"/>
    <w:lvl w:ilvl="0" w:tplc="08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8C12F5F"/>
    <w:multiLevelType w:val="hybridMultilevel"/>
    <w:tmpl w:val="F90AA162"/>
    <w:lvl w:ilvl="0" w:tplc="0809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8" w15:restartNumberingAfterBreak="0">
    <w:nsid w:val="6E9F20CA"/>
    <w:multiLevelType w:val="hybridMultilevel"/>
    <w:tmpl w:val="741EFF8C"/>
    <w:lvl w:ilvl="0" w:tplc="2382B5FE">
      <w:start w:val="1"/>
      <w:numFmt w:val="decimal"/>
      <w:lvlText w:val="%1."/>
      <w:lvlJc w:val="left"/>
      <w:pPr>
        <w:ind w:left="360" w:hanging="360"/>
      </w:pPr>
      <w:rPr>
        <w:rFonts w:asciiTheme="minorHAnsi" w:hAnsiTheme="minorHAnsi" w:cstheme="minorHAnsi" w:hint="default"/>
        <w:b w:val="0"/>
        <w:bCs w:val="0"/>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4"/>
  </w:num>
  <w:num w:numId="3">
    <w:abstractNumId w:val="0"/>
  </w:num>
  <w:num w:numId="4">
    <w:abstractNumId w:val="8"/>
  </w:num>
  <w:num w:numId="5">
    <w:abstractNumId w:val="5"/>
  </w:num>
  <w:num w:numId="6">
    <w:abstractNumId w:val="6"/>
  </w:num>
  <w:num w:numId="7">
    <w:abstractNumId w:val="2"/>
  </w:num>
  <w:num w:numId="8">
    <w:abstractNumId w:val="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tLCwNDMxNjK1NDBU0lEKTi0uzszPAykwrAUAUt9aDiwAAAA="/>
  </w:docVars>
  <w:rsids>
    <w:rsidRoot w:val="009C7DCE"/>
    <w:rsid w:val="00002716"/>
    <w:rsid w:val="00005791"/>
    <w:rsid w:val="00010827"/>
    <w:rsid w:val="00015089"/>
    <w:rsid w:val="00017F81"/>
    <w:rsid w:val="0002520B"/>
    <w:rsid w:val="00037A9E"/>
    <w:rsid w:val="00037F91"/>
    <w:rsid w:val="000539F1"/>
    <w:rsid w:val="00054747"/>
    <w:rsid w:val="00055A2A"/>
    <w:rsid w:val="00055F8E"/>
    <w:rsid w:val="000615C1"/>
    <w:rsid w:val="00061675"/>
    <w:rsid w:val="00064DDD"/>
    <w:rsid w:val="000743AA"/>
    <w:rsid w:val="0009225C"/>
    <w:rsid w:val="000A17C4"/>
    <w:rsid w:val="000A36A4"/>
    <w:rsid w:val="000A3A00"/>
    <w:rsid w:val="000B2352"/>
    <w:rsid w:val="000C5C39"/>
    <w:rsid w:val="000C7B84"/>
    <w:rsid w:val="000D261B"/>
    <w:rsid w:val="000D58A3"/>
    <w:rsid w:val="000E3ED4"/>
    <w:rsid w:val="000E3F9C"/>
    <w:rsid w:val="000F1550"/>
    <w:rsid w:val="000F251B"/>
    <w:rsid w:val="000F5FE8"/>
    <w:rsid w:val="000F6644"/>
    <w:rsid w:val="000F7473"/>
    <w:rsid w:val="00100833"/>
    <w:rsid w:val="00102F72"/>
    <w:rsid w:val="00107E85"/>
    <w:rsid w:val="00113EE8"/>
    <w:rsid w:val="0011455A"/>
    <w:rsid w:val="00114A65"/>
    <w:rsid w:val="001268B5"/>
    <w:rsid w:val="00133061"/>
    <w:rsid w:val="00141699"/>
    <w:rsid w:val="00147000"/>
    <w:rsid w:val="00155DE0"/>
    <w:rsid w:val="00163091"/>
    <w:rsid w:val="001645CB"/>
    <w:rsid w:val="00166305"/>
    <w:rsid w:val="00167545"/>
    <w:rsid w:val="001703C6"/>
    <w:rsid w:val="00173781"/>
    <w:rsid w:val="00173BFB"/>
    <w:rsid w:val="00175ADF"/>
    <w:rsid w:val="00175CAE"/>
    <w:rsid w:val="001828DB"/>
    <w:rsid w:val="001850FE"/>
    <w:rsid w:val="00185135"/>
    <w:rsid w:val="00187A4A"/>
    <w:rsid w:val="0019037C"/>
    <w:rsid w:val="001905A9"/>
    <w:rsid w:val="00191273"/>
    <w:rsid w:val="001942A7"/>
    <w:rsid w:val="00194F24"/>
    <w:rsid w:val="0019587B"/>
    <w:rsid w:val="001A163D"/>
    <w:rsid w:val="001A441E"/>
    <w:rsid w:val="001A6733"/>
    <w:rsid w:val="001A6785"/>
    <w:rsid w:val="001B0729"/>
    <w:rsid w:val="001B357F"/>
    <w:rsid w:val="001B7891"/>
    <w:rsid w:val="001C3444"/>
    <w:rsid w:val="001C3702"/>
    <w:rsid w:val="001C4656"/>
    <w:rsid w:val="001C46BC"/>
    <w:rsid w:val="001F23E6"/>
    <w:rsid w:val="001F4238"/>
    <w:rsid w:val="00200A38"/>
    <w:rsid w:val="00200A46"/>
    <w:rsid w:val="00203AAD"/>
    <w:rsid w:val="00211B6F"/>
    <w:rsid w:val="00216028"/>
    <w:rsid w:val="00217CC3"/>
    <w:rsid w:val="00220AB6"/>
    <w:rsid w:val="0022120F"/>
    <w:rsid w:val="0022754A"/>
    <w:rsid w:val="00236560"/>
    <w:rsid w:val="0023662E"/>
    <w:rsid w:val="00244CE4"/>
    <w:rsid w:val="00245D0F"/>
    <w:rsid w:val="002548C3"/>
    <w:rsid w:val="0025632E"/>
    <w:rsid w:val="0025738B"/>
    <w:rsid w:val="00257ACD"/>
    <w:rsid w:val="00262908"/>
    <w:rsid w:val="002650F4"/>
    <w:rsid w:val="00265410"/>
    <w:rsid w:val="002715FD"/>
    <w:rsid w:val="002770B1"/>
    <w:rsid w:val="00285B33"/>
    <w:rsid w:val="00287A3C"/>
    <w:rsid w:val="002A2FC6"/>
    <w:rsid w:val="002A3BB6"/>
    <w:rsid w:val="002C1EC7"/>
    <w:rsid w:val="002C3015"/>
    <w:rsid w:val="002C4342"/>
    <w:rsid w:val="002C7EA3"/>
    <w:rsid w:val="002D20AE"/>
    <w:rsid w:val="002D6C61"/>
    <w:rsid w:val="002E2104"/>
    <w:rsid w:val="002E2DAC"/>
    <w:rsid w:val="002E6963"/>
    <w:rsid w:val="002E6F8F"/>
    <w:rsid w:val="002F05D8"/>
    <w:rsid w:val="002F247C"/>
    <w:rsid w:val="002F2DE0"/>
    <w:rsid w:val="002F5E25"/>
    <w:rsid w:val="003028D9"/>
    <w:rsid w:val="0030353C"/>
    <w:rsid w:val="003125C3"/>
    <w:rsid w:val="00312AE6"/>
    <w:rsid w:val="003151A2"/>
    <w:rsid w:val="00317D1A"/>
    <w:rsid w:val="003211FF"/>
    <w:rsid w:val="00321428"/>
    <w:rsid w:val="003242AB"/>
    <w:rsid w:val="00327247"/>
    <w:rsid w:val="003278DD"/>
    <w:rsid w:val="00327A9D"/>
    <w:rsid w:val="0033130E"/>
    <w:rsid w:val="0033269C"/>
    <w:rsid w:val="00351C79"/>
    <w:rsid w:val="0035516C"/>
    <w:rsid w:val="00355A4C"/>
    <w:rsid w:val="003604FB"/>
    <w:rsid w:val="00360B73"/>
    <w:rsid w:val="00367CC5"/>
    <w:rsid w:val="00380B71"/>
    <w:rsid w:val="00381CDB"/>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2A28"/>
    <w:rsid w:val="00404424"/>
    <w:rsid w:val="0041156B"/>
    <w:rsid w:val="004122C5"/>
    <w:rsid w:val="004131A2"/>
    <w:rsid w:val="00413B78"/>
    <w:rsid w:val="0041481B"/>
    <w:rsid w:val="00416DDE"/>
    <w:rsid w:val="0044411E"/>
    <w:rsid w:val="00453435"/>
    <w:rsid w:val="00460089"/>
    <w:rsid w:val="00466398"/>
    <w:rsid w:val="0047306D"/>
    <w:rsid w:val="00473791"/>
    <w:rsid w:val="00476E48"/>
    <w:rsid w:val="00481DE9"/>
    <w:rsid w:val="00484DFE"/>
    <w:rsid w:val="0049128B"/>
    <w:rsid w:val="00493B49"/>
    <w:rsid w:val="00495501"/>
    <w:rsid w:val="004A070A"/>
    <w:rsid w:val="004A320E"/>
    <w:rsid w:val="004A4E9C"/>
    <w:rsid w:val="004B1A3C"/>
    <w:rsid w:val="004B75E2"/>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3787"/>
    <w:rsid w:val="0054420E"/>
    <w:rsid w:val="00544D1B"/>
    <w:rsid w:val="00545DC0"/>
    <w:rsid w:val="00545F6C"/>
    <w:rsid w:val="005477D9"/>
    <w:rsid w:val="0055720C"/>
    <w:rsid w:val="00561796"/>
    <w:rsid w:val="005632DD"/>
    <w:rsid w:val="005633DF"/>
    <w:rsid w:val="0056423B"/>
    <w:rsid w:val="00565DBB"/>
    <w:rsid w:val="00573424"/>
    <w:rsid w:val="0057402F"/>
    <w:rsid w:val="00581653"/>
    <w:rsid w:val="005849D6"/>
    <w:rsid w:val="00585367"/>
    <w:rsid w:val="0058581C"/>
    <w:rsid w:val="005871A1"/>
    <w:rsid w:val="0058737E"/>
    <w:rsid w:val="00592518"/>
    <w:rsid w:val="00592E87"/>
    <w:rsid w:val="0059420B"/>
    <w:rsid w:val="00594C4D"/>
    <w:rsid w:val="005A33B0"/>
    <w:rsid w:val="005C2DC2"/>
    <w:rsid w:val="005C304A"/>
    <w:rsid w:val="005C3D69"/>
    <w:rsid w:val="005C641D"/>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1ED4"/>
    <w:rsid w:val="00623F30"/>
    <w:rsid w:val="00625FB8"/>
    <w:rsid w:val="006261BD"/>
    <w:rsid w:val="00632F57"/>
    <w:rsid w:val="006339E9"/>
    <w:rsid w:val="00635EDB"/>
    <w:rsid w:val="0064734E"/>
    <w:rsid w:val="00650137"/>
    <w:rsid w:val="006509D7"/>
    <w:rsid w:val="00651CE8"/>
    <w:rsid w:val="0065521B"/>
    <w:rsid w:val="00671EF6"/>
    <w:rsid w:val="0067205B"/>
    <w:rsid w:val="006748F8"/>
    <w:rsid w:val="00680489"/>
    <w:rsid w:val="00683C32"/>
    <w:rsid w:val="00690BB2"/>
    <w:rsid w:val="00693D09"/>
    <w:rsid w:val="006961D1"/>
    <w:rsid w:val="006A6549"/>
    <w:rsid w:val="006A7710"/>
    <w:rsid w:val="006A7A61"/>
    <w:rsid w:val="006B1E59"/>
    <w:rsid w:val="006B2FFB"/>
    <w:rsid w:val="006C10A2"/>
    <w:rsid w:val="006C1F18"/>
    <w:rsid w:val="006D40D5"/>
    <w:rsid w:val="006F009A"/>
    <w:rsid w:val="006F3D93"/>
    <w:rsid w:val="007019B1"/>
    <w:rsid w:val="007062D2"/>
    <w:rsid w:val="007115B2"/>
    <w:rsid w:val="00721657"/>
    <w:rsid w:val="007279A8"/>
    <w:rsid w:val="00727B1A"/>
    <w:rsid w:val="00741337"/>
    <w:rsid w:val="00752258"/>
    <w:rsid w:val="007529E1"/>
    <w:rsid w:val="00762880"/>
    <w:rsid w:val="00762AD6"/>
    <w:rsid w:val="00762E02"/>
    <w:rsid w:val="00772290"/>
    <w:rsid w:val="00777265"/>
    <w:rsid w:val="007805E7"/>
    <w:rsid w:val="007821CA"/>
    <w:rsid w:val="0078222A"/>
    <w:rsid w:val="00787D48"/>
    <w:rsid w:val="00795294"/>
    <w:rsid w:val="007A4E50"/>
    <w:rsid w:val="007B18A7"/>
    <w:rsid w:val="007B250E"/>
    <w:rsid w:val="007C27FC"/>
    <w:rsid w:val="007C51FF"/>
    <w:rsid w:val="007D50E4"/>
    <w:rsid w:val="007D7233"/>
    <w:rsid w:val="007E2DC5"/>
    <w:rsid w:val="007F1CC7"/>
    <w:rsid w:val="008027AC"/>
    <w:rsid w:val="008028CE"/>
    <w:rsid w:val="0080332E"/>
    <w:rsid w:val="00803F83"/>
    <w:rsid w:val="008141E0"/>
    <w:rsid w:val="00816EE1"/>
    <w:rsid w:val="00816F88"/>
    <w:rsid w:val="00821996"/>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192"/>
    <w:rsid w:val="008B2EDF"/>
    <w:rsid w:val="008B47C7"/>
    <w:rsid w:val="008B54CB"/>
    <w:rsid w:val="008B5A3D"/>
    <w:rsid w:val="008C4010"/>
    <w:rsid w:val="008C4FDF"/>
    <w:rsid w:val="008C6B1F"/>
    <w:rsid w:val="008D52C4"/>
    <w:rsid w:val="008D5E4F"/>
    <w:rsid w:val="008F14F5"/>
    <w:rsid w:val="008F71C1"/>
    <w:rsid w:val="00902D41"/>
    <w:rsid w:val="00902F49"/>
    <w:rsid w:val="00904230"/>
    <w:rsid w:val="0090562D"/>
    <w:rsid w:val="00914004"/>
    <w:rsid w:val="00914A62"/>
    <w:rsid w:val="00915F3F"/>
    <w:rsid w:val="00922EC1"/>
    <w:rsid w:val="00923CF1"/>
    <w:rsid w:val="009301F1"/>
    <w:rsid w:val="009307DF"/>
    <w:rsid w:val="009359B8"/>
    <w:rsid w:val="00935FF0"/>
    <w:rsid w:val="009431F8"/>
    <w:rsid w:val="00947A35"/>
    <w:rsid w:val="00951C75"/>
    <w:rsid w:val="0096201B"/>
    <w:rsid w:val="00962081"/>
    <w:rsid w:val="00966CB5"/>
    <w:rsid w:val="00975786"/>
    <w:rsid w:val="00981CB7"/>
    <w:rsid w:val="00983E1F"/>
    <w:rsid w:val="00993F46"/>
    <w:rsid w:val="00997358"/>
    <w:rsid w:val="009A452B"/>
    <w:rsid w:val="009B050C"/>
    <w:rsid w:val="009B087F"/>
    <w:rsid w:val="009B2AF4"/>
    <w:rsid w:val="009B586B"/>
    <w:rsid w:val="009C110B"/>
    <w:rsid w:val="009C5441"/>
    <w:rsid w:val="009C7DCE"/>
    <w:rsid w:val="009D119F"/>
    <w:rsid w:val="009D49A2"/>
    <w:rsid w:val="009D4F4A"/>
    <w:rsid w:val="009F3940"/>
    <w:rsid w:val="009F3EB2"/>
    <w:rsid w:val="009F6EB1"/>
    <w:rsid w:val="00A11D05"/>
    <w:rsid w:val="00A13162"/>
    <w:rsid w:val="00A20267"/>
    <w:rsid w:val="00A3158C"/>
    <w:rsid w:val="00A32DF3"/>
    <w:rsid w:val="00A33E32"/>
    <w:rsid w:val="00A343C4"/>
    <w:rsid w:val="00A35E20"/>
    <w:rsid w:val="00A36F6D"/>
    <w:rsid w:val="00A50CA0"/>
    <w:rsid w:val="00A525CC"/>
    <w:rsid w:val="00A53E7C"/>
    <w:rsid w:val="00A60087"/>
    <w:rsid w:val="00A705E8"/>
    <w:rsid w:val="00A721F4"/>
    <w:rsid w:val="00A9392C"/>
    <w:rsid w:val="00A9462B"/>
    <w:rsid w:val="00A97D59"/>
    <w:rsid w:val="00AA0853"/>
    <w:rsid w:val="00AA3E09"/>
    <w:rsid w:val="00AA4BEF"/>
    <w:rsid w:val="00AB1659"/>
    <w:rsid w:val="00AB4962"/>
    <w:rsid w:val="00AB53AF"/>
    <w:rsid w:val="00AB734E"/>
    <w:rsid w:val="00AB740F"/>
    <w:rsid w:val="00AC6F14"/>
    <w:rsid w:val="00AC7221"/>
    <w:rsid w:val="00AD23C9"/>
    <w:rsid w:val="00AE5961"/>
    <w:rsid w:val="00AF0745"/>
    <w:rsid w:val="00AF4971"/>
    <w:rsid w:val="00AF5276"/>
    <w:rsid w:val="00AF7C86"/>
    <w:rsid w:val="00B01046"/>
    <w:rsid w:val="00B310F9"/>
    <w:rsid w:val="00B37866"/>
    <w:rsid w:val="00B412FB"/>
    <w:rsid w:val="00B4576B"/>
    <w:rsid w:val="00B46350"/>
    <w:rsid w:val="00B46DF3"/>
    <w:rsid w:val="00B508BF"/>
    <w:rsid w:val="00B57607"/>
    <w:rsid w:val="00B648C7"/>
    <w:rsid w:val="00B66898"/>
    <w:rsid w:val="00B66E8F"/>
    <w:rsid w:val="00B74B40"/>
    <w:rsid w:val="00B77230"/>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6E6E"/>
    <w:rsid w:val="00BD79F0"/>
    <w:rsid w:val="00BE2B4D"/>
    <w:rsid w:val="00BF3ED3"/>
    <w:rsid w:val="00C015F8"/>
    <w:rsid w:val="00C07E26"/>
    <w:rsid w:val="00C1011C"/>
    <w:rsid w:val="00C12F94"/>
    <w:rsid w:val="00C177C5"/>
    <w:rsid w:val="00C34EC3"/>
    <w:rsid w:val="00C4038C"/>
    <w:rsid w:val="00C42BA2"/>
    <w:rsid w:val="00C44066"/>
    <w:rsid w:val="00C44E13"/>
    <w:rsid w:val="00C44EC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70B"/>
    <w:rsid w:val="00CB79C5"/>
    <w:rsid w:val="00CC3592"/>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1268"/>
    <w:rsid w:val="00D12F30"/>
    <w:rsid w:val="00D1519F"/>
    <w:rsid w:val="00D20E99"/>
    <w:rsid w:val="00D21C83"/>
    <w:rsid w:val="00D35BDD"/>
    <w:rsid w:val="00D63006"/>
    <w:rsid w:val="00D72301"/>
    <w:rsid w:val="00D844DC"/>
    <w:rsid w:val="00D911DE"/>
    <w:rsid w:val="00D91B97"/>
    <w:rsid w:val="00D93ACC"/>
    <w:rsid w:val="00D93C08"/>
    <w:rsid w:val="00D95DAC"/>
    <w:rsid w:val="00DA0B53"/>
    <w:rsid w:val="00DB1171"/>
    <w:rsid w:val="00DB1519"/>
    <w:rsid w:val="00DB1DA2"/>
    <w:rsid w:val="00DB2840"/>
    <w:rsid w:val="00DC1BD3"/>
    <w:rsid w:val="00DC2C1A"/>
    <w:rsid w:val="00DD66B4"/>
    <w:rsid w:val="00DE1972"/>
    <w:rsid w:val="00DE27AB"/>
    <w:rsid w:val="00DF2AB3"/>
    <w:rsid w:val="00DF7250"/>
    <w:rsid w:val="00DF7638"/>
    <w:rsid w:val="00E00CAA"/>
    <w:rsid w:val="00E03EBF"/>
    <w:rsid w:val="00E05209"/>
    <w:rsid w:val="00E11BCF"/>
    <w:rsid w:val="00E17F84"/>
    <w:rsid w:val="00E2258E"/>
    <w:rsid w:val="00E260C2"/>
    <w:rsid w:val="00E32596"/>
    <w:rsid w:val="00E368F7"/>
    <w:rsid w:val="00E36EB8"/>
    <w:rsid w:val="00E37FB8"/>
    <w:rsid w:val="00E40B07"/>
    <w:rsid w:val="00E42326"/>
    <w:rsid w:val="00E43544"/>
    <w:rsid w:val="00E44D89"/>
    <w:rsid w:val="00E477EA"/>
    <w:rsid w:val="00E55807"/>
    <w:rsid w:val="00E63B14"/>
    <w:rsid w:val="00E642D2"/>
    <w:rsid w:val="00E65CA0"/>
    <w:rsid w:val="00E70D9F"/>
    <w:rsid w:val="00E83810"/>
    <w:rsid w:val="00E86933"/>
    <w:rsid w:val="00E9605B"/>
    <w:rsid w:val="00E97298"/>
    <w:rsid w:val="00E97753"/>
    <w:rsid w:val="00EA0C51"/>
    <w:rsid w:val="00EA7DE7"/>
    <w:rsid w:val="00EB7A8A"/>
    <w:rsid w:val="00EC6FED"/>
    <w:rsid w:val="00EC7F3B"/>
    <w:rsid w:val="00EE3A64"/>
    <w:rsid w:val="00EE50E5"/>
    <w:rsid w:val="00EF01CF"/>
    <w:rsid w:val="00F03590"/>
    <w:rsid w:val="00F03622"/>
    <w:rsid w:val="00F072A1"/>
    <w:rsid w:val="00F077FD"/>
    <w:rsid w:val="00F15244"/>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3E"/>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customStyle="1" w:styleId="NormalaftertitleChar">
    <w:name w:val="Normal after title Char"/>
    <w:link w:val="Normalaftertitle"/>
    <w:locked/>
    <w:rsid w:val="00FE1D3E"/>
    <w:rPr>
      <w:rFonts w:asciiTheme="minorHAnsi" w:hAnsiTheme="minorHAnsi"/>
      <w:sz w:val="24"/>
      <w:lang w:val="en-GB" w:eastAsia="en-US"/>
    </w:rPr>
  </w:style>
  <w:style w:type="character" w:customStyle="1" w:styleId="CallChar">
    <w:name w:val="Call Char"/>
    <w:basedOn w:val="DefaultParagraphFont"/>
    <w:link w:val="Call"/>
    <w:rsid w:val="00FE1D3E"/>
    <w:rPr>
      <w:rFonts w:asciiTheme="minorHAnsi" w:hAnsiTheme="minorHAnsi"/>
      <w:i/>
      <w:sz w:val="24"/>
      <w:lang w:val="en-GB" w:eastAsia="en-US"/>
    </w:rPr>
  </w:style>
  <w:style w:type="character" w:customStyle="1" w:styleId="AnnexNoChar">
    <w:name w:val="Annex_No Char"/>
    <w:basedOn w:val="DefaultParagraphFont"/>
    <w:link w:val="AnnexNo"/>
    <w:rsid w:val="00FE1D3E"/>
    <w:rPr>
      <w:rFonts w:asciiTheme="minorHAnsi" w:hAnsiTheme="minorHAnsi"/>
      <w:caps/>
      <w:sz w:val="28"/>
      <w:lang w:val="en-GB" w:eastAsia="en-US"/>
    </w:rPr>
  </w:style>
  <w:style w:type="paragraph" w:styleId="BalloonText">
    <w:name w:val="Balloon Text"/>
    <w:basedOn w:val="Normal"/>
    <w:link w:val="BalloonTextChar"/>
    <w:semiHidden/>
    <w:unhideWhenUsed/>
    <w:rsid w:val="00244CE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4CE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4388C-01BD-4135-AD9C-CFCDB82D5381}"/>
</file>

<file path=customXml/itemProps2.xml><?xml version="1.0" encoding="utf-8"?>
<ds:datastoreItem xmlns:ds="http://schemas.openxmlformats.org/officeDocument/2006/customXml" ds:itemID="{7A3F56D9-870E-4A63-BB54-59A4A7ABBDEE}"/>
</file>

<file path=customXml/itemProps3.xml><?xml version="1.0" encoding="utf-8"?>
<ds:datastoreItem xmlns:ds="http://schemas.openxmlformats.org/officeDocument/2006/customXml" ds:itemID="{D89EC32D-7E9A-4927-AEBB-C5CB93DE5866}"/>
</file>

<file path=customXml/itemProps4.xml><?xml version="1.0" encoding="utf-8"?>
<ds:datastoreItem xmlns:ds="http://schemas.openxmlformats.org/officeDocument/2006/customXml" ds:itemID="{8CDAEC5C-DF67-4D0A-B3B0-37422E20603D}"/>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4</cp:revision>
  <cp:lastPrinted>2014-11-04T09:22:00Z</cp:lastPrinted>
  <dcterms:created xsi:type="dcterms:W3CDTF">2020-05-07T12:45:00Z</dcterms:created>
  <dcterms:modified xsi:type="dcterms:W3CDTF">2020-05-07T12:53:00Z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