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14:paraId="5E10E816" w14:textId="77777777" w:rsidTr="0058581C">
        <w:trPr>
          <w:cantSplit/>
          <w:trHeight w:val="1134"/>
        </w:trPr>
        <w:tc>
          <w:tcPr>
            <w:tcW w:w="9888" w:type="dxa"/>
            <w:tcBorders>
              <w:bottom w:val="single" w:sz="2" w:space="0" w:color="00B0F0"/>
            </w:tcBorders>
          </w:tcPr>
          <w:p w14:paraId="62FAC2DC" w14:textId="4155AB6D" w:rsidR="00194F24" w:rsidRPr="00194F24" w:rsidRDefault="00194F24" w:rsidP="00194F24">
            <w:pPr>
              <w:tabs>
                <w:tab w:val="clear" w:pos="1191"/>
                <w:tab w:val="clear" w:pos="1588"/>
                <w:tab w:val="clear" w:pos="1985"/>
              </w:tabs>
              <w:spacing w:before="240"/>
              <w:ind w:left="34"/>
              <w:rPr>
                <w:b/>
                <w:bCs/>
                <w:sz w:val="40"/>
                <w:szCs w:val="40"/>
              </w:rPr>
            </w:pPr>
            <w:r w:rsidRPr="00194F24">
              <w:rPr>
                <w:noProof/>
                <w:color w:val="3399FF"/>
                <w:sz w:val="32"/>
                <w:szCs w:val="24"/>
                <w:lang w:val="en-US"/>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BD6E6E">
              <w:rPr>
                <w:b/>
                <w:bCs/>
                <w:sz w:val="40"/>
                <w:szCs w:val="40"/>
              </w:rPr>
              <w:t xml:space="preserve">2nd </w:t>
            </w:r>
            <w:r w:rsidRPr="00194F24">
              <w:rPr>
                <w:b/>
                <w:bCs/>
                <w:sz w:val="40"/>
                <w:szCs w:val="40"/>
              </w:rPr>
              <w:t>TDAG Web Dialogue</w:t>
            </w:r>
            <w:r w:rsidR="007062D2">
              <w:rPr>
                <w:b/>
                <w:bCs/>
                <w:sz w:val="40"/>
                <w:szCs w:val="40"/>
              </w:rPr>
              <w:t xml:space="preserve"> on WTDC</w:t>
            </w:r>
          </w:p>
          <w:p w14:paraId="49124C96" w14:textId="24DFCCD3" w:rsidR="00194F24" w:rsidRPr="00683C32" w:rsidRDefault="00216028" w:rsidP="00D844DC">
            <w:pPr>
              <w:ind w:right="142"/>
            </w:pPr>
            <w:r>
              <w:rPr>
                <w:b/>
                <w:bCs/>
                <w:sz w:val="28"/>
                <w:szCs w:val="28"/>
              </w:rPr>
              <w:t>30 April</w:t>
            </w:r>
            <w:r w:rsidR="00194F24" w:rsidRPr="00194F24">
              <w:rPr>
                <w:b/>
                <w:bCs/>
                <w:sz w:val="28"/>
                <w:szCs w:val="28"/>
              </w:rPr>
              <w:t xml:space="preserve"> 2020, </w:t>
            </w:r>
            <w:r w:rsidR="008D52C4">
              <w:rPr>
                <w:b/>
                <w:bCs/>
                <w:sz w:val="28"/>
                <w:szCs w:val="28"/>
              </w:rPr>
              <w:t>Online</w:t>
            </w:r>
          </w:p>
        </w:tc>
      </w:tr>
      <w:tr w:rsidR="00194F24" w:rsidRPr="00997358" w14:paraId="48B980A4" w14:textId="77777777" w:rsidTr="0058581C">
        <w:trPr>
          <w:cantSplit/>
        </w:trPr>
        <w:tc>
          <w:tcPr>
            <w:tcW w:w="9888" w:type="dxa"/>
            <w:tcBorders>
              <w:top w:val="single" w:sz="2" w:space="0" w:color="00B0F0"/>
            </w:tcBorders>
          </w:tcPr>
          <w:p w14:paraId="49A48CC7" w14:textId="77777777" w:rsidR="00194F24" w:rsidRPr="00997358" w:rsidRDefault="00194F24" w:rsidP="00E642D2">
            <w:pPr>
              <w:spacing w:before="0"/>
              <w:rPr>
                <w:b/>
                <w:bCs/>
                <w:sz w:val="20"/>
              </w:rPr>
            </w:pPr>
          </w:p>
        </w:tc>
      </w:tr>
      <w:tr w:rsidR="003278DD" w:rsidRPr="00D12F30" w14:paraId="152A2C0D" w14:textId="77777777" w:rsidTr="0058581C">
        <w:trPr>
          <w:cantSplit/>
        </w:trPr>
        <w:tc>
          <w:tcPr>
            <w:tcW w:w="9888" w:type="dxa"/>
          </w:tcPr>
          <w:p w14:paraId="46325D18" w14:textId="61B055A8" w:rsidR="003278DD" w:rsidRPr="003278DD" w:rsidRDefault="00216028" w:rsidP="00194F24">
            <w:pPr>
              <w:spacing w:before="80" w:after="80"/>
              <w:jc w:val="both"/>
              <w:rPr>
                <w:b/>
                <w:bCs/>
                <w:lang w:val="fr-FR"/>
              </w:rPr>
            </w:pPr>
            <w:r>
              <w:rPr>
                <w:b/>
                <w:bCs/>
              </w:rPr>
              <w:t xml:space="preserve">2nd </w:t>
            </w:r>
            <w:r w:rsidR="00AB53AF">
              <w:rPr>
                <w:b/>
                <w:bCs/>
              </w:rPr>
              <w:t xml:space="preserve">TDAG </w:t>
            </w:r>
            <w:r w:rsidR="003278DD" w:rsidRPr="003278DD">
              <w:rPr>
                <w:b/>
                <w:bCs/>
                <w:lang w:val="fr-FR"/>
              </w:rPr>
              <w:t xml:space="preserve">Web Dialogue on </w:t>
            </w:r>
            <w:r w:rsidR="007062D2">
              <w:rPr>
                <w:b/>
                <w:bCs/>
                <w:lang w:val="fr-FR"/>
              </w:rPr>
              <w:t>WTDC</w:t>
            </w:r>
          </w:p>
        </w:tc>
      </w:tr>
      <w:tr w:rsidR="00194F24" w14:paraId="53FDFF8E" w14:textId="77777777" w:rsidTr="0058581C">
        <w:trPr>
          <w:cantSplit/>
        </w:trPr>
        <w:tc>
          <w:tcPr>
            <w:tcW w:w="9888" w:type="dxa"/>
          </w:tcPr>
          <w:p w14:paraId="365E1FFD" w14:textId="57DEE217" w:rsidR="00194F24" w:rsidRPr="00194F24" w:rsidRDefault="008D52C4" w:rsidP="00194F24">
            <w:pPr>
              <w:spacing w:before="80" w:after="80"/>
              <w:rPr>
                <w:b/>
                <w:szCs w:val="24"/>
              </w:rPr>
            </w:pPr>
            <w:r>
              <w:rPr>
                <w:b/>
                <w:bCs/>
                <w:szCs w:val="24"/>
                <w:lang w:val="en-US"/>
              </w:rPr>
              <w:t>Date:</w:t>
            </w:r>
            <w:r w:rsidR="009C7DCE">
              <w:rPr>
                <w:b/>
                <w:bCs/>
                <w:szCs w:val="24"/>
                <w:lang w:val="en-US"/>
              </w:rPr>
              <w:t xml:space="preserve"> </w:t>
            </w:r>
            <w:r w:rsidR="00BD6E6E">
              <w:rPr>
                <w:b/>
                <w:bCs/>
                <w:szCs w:val="24"/>
                <w:lang w:val="en-US"/>
              </w:rPr>
              <w:t>24</w:t>
            </w:r>
            <w:r w:rsidR="00216028">
              <w:rPr>
                <w:b/>
                <w:bCs/>
                <w:szCs w:val="24"/>
                <w:lang w:val="en-US"/>
              </w:rPr>
              <w:t xml:space="preserve"> April</w:t>
            </w:r>
            <w:r w:rsidR="00194F24" w:rsidRPr="00194F24">
              <w:rPr>
                <w:b/>
                <w:bCs/>
                <w:szCs w:val="24"/>
                <w:lang w:val="en-US"/>
              </w:rPr>
              <w:t xml:space="preserve"> 2020</w:t>
            </w:r>
            <w:bookmarkStart w:id="0" w:name="CreationDate"/>
            <w:bookmarkEnd w:id="0"/>
          </w:p>
        </w:tc>
      </w:tr>
      <w:tr w:rsidR="00194F24" w14:paraId="231E4E07" w14:textId="77777777" w:rsidTr="0058581C">
        <w:trPr>
          <w:cantSplit/>
        </w:trPr>
        <w:tc>
          <w:tcPr>
            <w:tcW w:w="9888" w:type="dxa"/>
          </w:tcPr>
          <w:p w14:paraId="430B49E2" w14:textId="133D138F" w:rsidR="00194F24" w:rsidRPr="00194F24" w:rsidRDefault="009C7DCE" w:rsidP="00194F24">
            <w:pPr>
              <w:spacing w:before="80" w:after="80"/>
              <w:rPr>
                <w:b/>
                <w:bCs/>
                <w:szCs w:val="24"/>
              </w:rPr>
            </w:pPr>
            <w:r>
              <w:rPr>
                <w:b/>
                <w:bCs/>
                <w:szCs w:val="24"/>
              </w:rPr>
              <w:t xml:space="preserve">Title: </w:t>
            </w:r>
            <w:r w:rsidR="0058581C">
              <w:rPr>
                <w:b/>
                <w:bCs/>
                <w:szCs w:val="24"/>
              </w:rPr>
              <w:t xml:space="preserve"> </w:t>
            </w:r>
            <w:r w:rsidR="00216028">
              <w:rPr>
                <w:b/>
                <w:bCs/>
                <w:szCs w:val="24"/>
              </w:rPr>
              <w:t>Background document</w:t>
            </w:r>
          </w:p>
        </w:tc>
      </w:tr>
      <w:tr w:rsidR="00A13162" w:rsidRPr="003028D9" w14:paraId="1F15A22C" w14:textId="77777777" w:rsidTr="0058581C">
        <w:trPr>
          <w:cantSplit/>
        </w:trPr>
        <w:tc>
          <w:tcPr>
            <w:tcW w:w="9888" w:type="dxa"/>
            <w:tcBorders>
              <w:bottom w:val="single" w:sz="2" w:space="0" w:color="00B0F0"/>
            </w:tcBorders>
          </w:tcPr>
          <w:p w14:paraId="5CA41DBC" w14:textId="78ABE277" w:rsidR="00A13162" w:rsidRPr="003028D9" w:rsidRDefault="00A13162" w:rsidP="00E642D2">
            <w:pPr>
              <w:spacing w:before="0"/>
              <w:rPr>
                <w:szCs w:val="24"/>
              </w:rPr>
            </w:pPr>
            <w:bookmarkStart w:id="1" w:name="Source"/>
            <w:bookmarkStart w:id="2" w:name="Title"/>
            <w:bookmarkEnd w:id="1"/>
            <w:bookmarkEnd w:id="2"/>
          </w:p>
        </w:tc>
      </w:tr>
    </w:tbl>
    <w:p w14:paraId="6D310128" w14:textId="77777777" w:rsidR="00216028" w:rsidRPr="00342299" w:rsidRDefault="00216028" w:rsidP="00367CC5">
      <w:pPr>
        <w:keepNext/>
        <w:jc w:val="both"/>
        <w:rPr>
          <w:b/>
          <w:bCs/>
          <w:lang w:val="en-US"/>
        </w:rPr>
      </w:pPr>
      <w:r w:rsidRPr="00342299">
        <w:rPr>
          <w:b/>
          <w:bCs/>
          <w:lang w:val="en-US"/>
        </w:rPr>
        <w:t>Background</w:t>
      </w:r>
    </w:p>
    <w:p w14:paraId="0C0641E3" w14:textId="65FACE12" w:rsidR="00216028" w:rsidRPr="006C399A" w:rsidRDefault="00216028" w:rsidP="00F40BE5">
      <w:pPr>
        <w:jc w:val="both"/>
        <w:rPr>
          <w:sz w:val="22"/>
          <w:szCs w:val="22"/>
        </w:rPr>
      </w:pPr>
      <w:r w:rsidRPr="006C399A">
        <w:rPr>
          <w:sz w:val="22"/>
          <w:szCs w:val="22"/>
        </w:rPr>
        <w:t>The World Telecommunication Development Conference (“WTDC”) is held every four years and sets the development agenda of the Telecommunication Development Sector (“ITU-D”).</w:t>
      </w:r>
      <w:r>
        <w:rPr>
          <w:sz w:val="22"/>
          <w:szCs w:val="22"/>
        </w:rPr>
        <w:t xml:space="preserve"> </w:t>
      </w:r>
      <w:r w:rsidRPr="006C399A">
        <w:rPr>
          <w:sz w:val="22"/>
          <w:szCs w:val="22"/>
        </w:rPr>
        <w:t>WTDC further offers a unique opportunity for the international community to come together and discuss the future of the ICT sector and its contribution to social and economic development.</w:t>
      </w:r>
    </w:p>
    <w:p w14:paraId="671A59BC" w14:textId="39FB522B" w:rsidR="00216028" w:rsidRPr="006C399A" w:rsidRDefault="00216028" w:rsidP="00F40BE5">
      <w:pPr>
        <w:jc w:val="both"/>
        <w:rPr>
          <w:sz w:val="22"/>
          <w:szCs w:val="22"/>
        </w:rPr>
      </w:pPr>
      <w:r w:rsidRPr="006C399A">
        <w:rPr>
          <w:sz w:val="22"/>
          <w:szCs w:val="22"/>
        </w:rPr>
        <w:t xml:space="preserve">On 24 March 2020, </w:t>
      </w:r>
      <w:r>
        <w:rPr>
          <w:sz w:val="22"/>
          <w:szCs w:val="22"/>
        </w:rPr>
        <w:t>BDT</w:t>
      </w:r>
      <w:r w:rsidRPr="006C399A">
        <w:rPr>
          <w:sz w:val="22"/>
          <w:szCs w:val="22"/>
        </w:rPr>
        <w:t xml:space="preserve"> organized its first </w:t>
      </w:r>
      <w:hyperlink r:id="rId12" w:history="1">
        <w:r w:rsidRPr="00D40CCA">
          <w:rPr>
            <w:rStyle w:val="Hyperlink"/>
            <w:sz w:val="22"/>
            <w:szCs w:val="22"/>
          </w:rPr>
          <w:t>Web Dialogue on WTDC</w:t>
        </w:r>
      </w:hyperlink>
      <w:r w:rsidRPr="006C399A">
        <w:rPr>
          <w:sz w:val="22"/>
          <w:szCs w:val="22"/>
        </w:rPr>
        <w:t xml:space="preserve"> where participants had the opportunity to discuss and provide their input on how to improve the effectiveness of WTDC-21. Although circumstances dictated that the membership was unable to gather in person, </w:t>
      </w:r>
      <w:r>
        <w:rPr>
          <w:sz w:val="22"/>
          <w:szCs w:val="22"/>
        </w:rPr>
        <w:t>over 200 </w:t>
      </w:r>
      <w:r w:rsidRPr="006C399A">
        <w:rPr>
          <w:sz w:val="22"/>
          <w:szCs w:val="22"/>
        </w:rPr>
        <w:t>participants actively took part in</w:t>
      </w:r>
      <w:r>
        <w:rPr>
          <w:sz w:val="22"/>
          <w:szCs w:val="22"/>
        </w:rPr>
        <w:t xml:space="preserve"> the discussions</w:t>
      </w:r>
      <w:r w:rsidRPr="006C399A">
        <w:rPr>
          <w:sz w:val="22"/>
          <w:szCs w:val="22"/>
        </w:rPr>
        <w:t xml:space="preserve">. </w:t>
      </w:r>
    </w:p>
    <w:p w14:paraId="78F16AF1" w14:textId="458A4EB8" w:rsidR="00216028" w:rsidRPr="006C399A" w:rsidRDefault="00216028" w:rsidP="00F40BE5">
      <w:pPr>
        <w:jc w:val="both"/>
        <w:rPr>
          <w:sz w:val="22"/>
          <w:szCs w:val="22"/>
        </w:rPr>
      </w:pPr>
      <w:r>
        <w:rPr>
          <w:sz w:val="22"/>
          <w:szCs w:val="22"/>
        </w:rPr>
        <w:t>Building on the outcomes of this first event, t</w:t>
      </w:r>
      <w:r w:rsidRPr="006C399A">
        <w:rPr>
          <w:sz w:val="22"/>
          <w:szCs w:val="22"/>
        </w:rPr>
        <w:t>he membership is again invited to come together on 30 April 2020</w:t>
      </w:r>
      <w:r>
        <w:rPr>
          <w:sz w:val="22"/>
          <w:szCs w:val="22"/>
        </w:rPr>
        <w:t>.</w:t>
      </w:r>
      <w:r w:rsidRPr="006C399A">
        <w:rPr>
          <w:sz w:val="22"/>
          <w:szCs w:val="22"/>
        </w:rPr>
        <w:t xml:space="preserve"> </w:t>
      </w:r>
      <w:r>
        <w:rPr>
          <w:sz w:val="22"/>
          <w:szCs w:val="22"/>
        </w:rPr>
        <w:t xml:space="preserve">This time membership is invited </w:t>
      </w:r>
      <w:r w:rsidRPr="006C399A">
        <w:rPr>
          <w:sz w:val="22"/>
          <w:szCs w:val="22"/>
        </w:rPr>
        <w:t>to explore</w:t>
      </w:r>
      <w:r>
        <w:rPr>
          <w:sz w:val="22"/>
          <w:szCs w:val="22"/>
        </w:rPr>
        <w:t xml:space="preserve"> concrete proposals aimed at improving the preparatory process, format and content of the conference</w:t>
      </w:r>
      <w:r w:rsidRPr="006C399A">
        <w:rPr>
          <w:sz w:val="22"/>
          <w:szCs w:val="22"/>
        </w:rPr>
        <w:t>.</w:t>
      </w:r>
    </w:p>
    <w:p w14:paraId="393EC7AF" w14:textId="6DA48092" w:rsidR="00484DFE" w:rsidRPr="006C399A" w:rsidRDefault="00216028" w:rsidP="00173BFB">
      <w:pPr>
        <w:spacing w:after="240"/>
        <w:jc w:val="both"/>
        <w:rPr>
          <w:sz w:val="22"/>
          <w:szCs w:val="22"/>
        </w:rPr>
      </w:pPr>
      <w:r w:rsidRPr="006C399A">
        <w:rPr>
          <w:sz w:val="22"/>
          <w:szCs w:val="22"/>
        </w:rPr>
        <w:t>Th</w:t>
      </w:r>
      <w:r>
        <w:rPr>
          <w:sz w:val="22"/>
          <w:szCs w:val="22"/>
        </w:rPr>
        <w:t xml:space="preserve">is background document is designed to </w:t>
      </w:r>
      <w:r w:rsidRPr="006C399A">
        <w:rPr>
          <w:sz w:val="22"/>
          <w:szCs w:val="22"/>
        </w:rPr>
        <w:t xml:space="preserve">facilitate </w:t>
      </w:r>
      <w:r>
        <w:rPr>
          <w:sz w:val="22"/>
          <w:szCs w:val="22"/>
        </w:rPr>
        <w:t xml:space="preserve">the </w:t>
      </w:r>
      <w:r w:rsidRPr="006C399A">
        <w:rPr>
          <w:sz w:val="22"/>
          <w:szCs w:val="22"/>
        </w:rPr>
        <w:t>discussions</w:t>
      </w:r>
      <w:r>
        <w:rPr>
          <w:sz w:val="22"/>
          <w:szCs w:val="22"/>
        </w:rPr>
        <w:t xml:space="preserve"> and should not be considered as exhaustive. The results</w:t>
      </w:r>
      <w:r w:rsidRPr="006C399A">
        <w:rPr>
          <w:sz w:val="22"/>
          <w:szCs w:val="22"/>
        </w:rPr>
        <w:t xml:space="preserve"> </w:t>
      </w:r>
      <w:r>
        <w:rPr>
          <w:sz w:val="22"/>
          <w:szCs w:val="22"/>
        </w:rPr>
        <w:t xml:space="preserve">of this second Web Dialogue </w:t>
      </w:r>
      <w:r w:rsidRPr="00C91819">
        <w:rPr>
          <w:sz w:val="22"/>
          <w:szCs w:val="22"/>
        </w:rPr>
        <w:t>will serve as a key input for the WTDC-21 preparation and planning process</w:t>
      </w:r>
      <w:r>
        <w:rPr>
          <w:sz w:val="22"/>
          <w:szCs w:val="22"/>
        </w:rPr>
        <w:t xml:space="preserve"> and will be reviewed by TDAG at its June session</w:t>
      </w:r>
      <w:r w:rsidRPr="006C399A">
        <w:rPr>
          <w:sz w:val="22"/>
          <w:szCs w:val="22"/>
        </w:rPr>
        <w:t xml:space="preserve">. </w:t>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484DFE" w14:paraId="7AFE8B71" w14:textId="77777777" w:rsidTr="00173BFB">
        <w:tc>
          <w:tcPr>
            <w:tcW w:w="9629" w:type="dxa"/>
          </w:tcPr>
          <w:p w14:paraId="22DC5D93" w14:textId="3FB645FC" w:rsidR="00484DFE" w:rsidRDefault="005C641D" w:rsidP="00484DFE">
            <w:pPr>
              <w:keepNext/>
              <w:spacing w:before="80" w:after="80"/>
              <w:rPr>
                <w:b/>
                <w:bCs/>
                <w:sz w:val="28"/>
                <w:szCs w:val="28"/>
              </w:rPr>
            </w:pPr>
            <w:r w:rsidRPr="007A5A9E">
              <w:rPr>
                <w:b/>
                <w:bCs/>
                <w:sz w:val="28"/>
                <w:szCs w:val="28"/>
              </w:rPr>
              <w:t xml:space="preserve">Topic 1: </w:t>
            </w:r>
            <w:r w:rsidR="00951C75">
              <w:rPr>
                <w:b/>
                <w:bCs/>
                <w:sz w:val="28"/>
                <w:szCs w:val="28"/>
              </w:rPr>
              <w:t>P</w:t>
            </w:r>
            <w:r w:rsidRPr="007A5A9E">
              <w:rPr>
                <w:b/>
                <w:bCs/>
                <w:sz w:val="28"/>
                <w:szCs w:val="28"/>
              </w:rPr>
              <w:t xml:space="preserve">reparatory </w:t>
            </w:r>
            <w:r w:rsidR="00951C75">
              <w:rPr>
                <w:b/>
                <w:bCs/>
                <w:sz w:val="28"/>
                <w:szCs w:val="28"/>
              </w:rPr>
              <w:t>P</w:t>
            </w:r>
            <w:r w:rsidRPr="007A5A9E">
              <w:rPr>
                <w:b/>
                <w:bCs/>
                <w:sz w:val="28"/>
                <w:szCs w:val="28"/>
              </w:rPr>
              <w:t>rocess</w:t>
            </w:r>
          </w:p>
        </w:tc>
      </w:tr>
    </w:tbl>
    <w:p w14:paraId="0DC4395D" w14:textId="2DB7E773" w:rsidR="00216028" w:rsidRPr="005C641D" w:rsidRDefault="00216028" w:rsidP="005C641D">
      <w:pPr>
        <w:keepNext/>
        <w:spacing w:before="0"/>
        <w:rPr>
          <w:szCs w:val="24"/>
        </w:rPr>
      </w:pPr>
    </w:p>
    <w:tbl>
      <w:tblPr>
        <w:tblStyle w:val="TableGrid"/>
        <w:tblW w:w="9776" w:type="dxa"/>
        <w:tblLook w:val="04A0" w:firstRow="1" w:lastRow="0" w:firstColumn="1" w:lastColumn="0" w:noHBand="0" w:noVBand="1"/>
      </w:tblPr>
      <w:tblGrid>
        <w:gridCol w:w="4957"/>
        <w:gridCol w:w="4819"/>
      </w:tblGrid>
      <w:tr w:rsidR="00216028" w:rsidRPr="007A5A9E" w14:paraId="181A7DDF" w14:textId="77777777" w:rsidTr="00AD23C9">
        <w:trPr>
          <w:trHeight w:val="341"/>
        </w:trPr>
        <w:tc>
          <w:tcPr>
            <w:tcW w:w="4957" w:type="dxa"/>
            <w:shd w:val="clear" w:color="auto" w:fill="EEECE1" w:themeFill="background2"/>
            <w:vAlign w:val="center"/>
          </w:tcPr>
          <w:p w14:paraId="3BD955F0" w14:textId="77777777" w:rsidR="00216028" w:rsidRPr="007A5A9E" w:rsidRDefault="00216028" w:rsidP="00AD23C9">
            <w:pPr>
              <w:spacing w:after="120"/>
              <w:jc w:val="center"/>
              <w:rPr>
                <w:b/>
                <w:bCs/>
                <w:sz w:val="22"/>
                <w:szCs w:val="22"/>
              </w:rPr>
            </w:pPr>
            <w:r>
              <w:rPr>
                <w:b/>
                <w:bCs/>
                <w:sz w:val="22"/>
                <w:szCs w:val="22"/>
              </w:rPr>
              <w:t>Proposals</w:t>
            </w:r>
          </w:p>
        </w:tc>
        <w:tc>
          <w:tcPr>
            <w:tcW w:w="4819" w:type="dxa"/>
            <w:shd w:val="clear" w:color="auto" w:fill="EEECE1" w:themeFill="background2"/>
            <w:vAlign w:val="center"/>
          </w:tcPr>
          <w:p w14:paraId="1BC2B806" w14:textId="77777777" w:rsidR="00216028" w:rsidRPr="007A5A9E" w:rsidRDefault="00216028" w:rsidP="00AD23C9">
            <w:pPr>
              <w:spacing w:after="120"/>
              <w:jc w:val="center"/>
              <w:rPr>
                <w:b/>
                <w:bCs/>
                <w:sz w:val="22"/>
                <w:szCs w:val="22"/>
              </w:rPr>
            </w:pPr>
            <w:r>
              <w:rPr>
                <w:b/>
                <w:bCs/>
                <w:sz w:val="22"/>
                <w:szCs w:val="22"/>
              </w:rPr>
              <w:t>Relevant Legal or Procedural Provisions/Comments</w:t>
            </w:r>
          </w:p>
        </w:tc>
      </w:tr>
      <w:tr w:rsidR="00216028" w:rsidRPr="007A5A9E" w14:paraId="1E8BC4EF" w14:textId="77777777" w:rsidTr="00B57607">
        <w:trPr>
          <w:trHeight w:val="341"/>
        </w:trPr>
        <w:tc>
          <w:tcPr>
            <w:tcW w:w="4957" w:type="dxa"/>
          </w:tcPr>
          <w:p w14:paraId="4B5B969F" w14:textId="53EA70C5" w:rsidR="00216028" w:rsidRPr="007A5A9E" w:rsidRDefault="009D4F4A" w:rsidP="0043071E">
            <w:pPr>
              <w:spacing w:before="60" w:after="60"/>
              <w:rPr>
                <w:sz w:val="22"/>
                <w:szCs w:val="22"/>
              </w:rPr>
            </w:pPr>
            <w:r w:rsidRPr="009D4F4A">
              <w:rPr>
                <w:b/>
                <w:bCs/>
                <w:sz w:val="22"/>
                <w:szCs w:val="22"/>
              </w:rPr>
              <w:t>1.1</w:t>
            </w:r>
            <w:r>
              <w:rPr>
                <w:sz w:val="22"/>
                <w:szCs w:val="22"/>
              </w:rPr>
              <w:t xml:space="preserve"> </w:t>
            </w:r>
            <w:r w:rsidR="00216028" w:rsidRPr="007A5A9E">
              <w:rPr>
                <w:sz w:val="22"/>
                <w:szCs w:val="22"/>
              </w:rPr>
              <w:t xml:space="preserve">A formal inter-regional </w:t>
            </w:r>
            <w:r w:rsidR="00216028">
              <w:rPr>
                <w:sz w:val="22"/>
                <w:szCs w:val="22"/>
              </w:rPr>
              <w:t xml:space="preserve">conference </w:t>
            </w:r>
            <w:r w:rsidR="00216028" w:rsidRPr="007A5A9E">
              <w:rPr>
                <w:sz w:val="22"/>
                <w:szCs w:val="22"/>
              </w:rPr>
              <w:t xml:space="preserve">preparatory process </w:t>
            </w:r>
            <w:r w:rsidR="00216028">
              <w:rPr>
                <w:sz w:val="22"/>
                <w:szCs w:val="22"/>
              </w:rPr>
              <w:t>c</w:t>
            </w:r>
            <w:r w:rsidR="00216028" w:rsidRPr="007A5A9E">
              <w:rPr>
                <w:sz w:val="22"/>
                <w:szCs w:val="22"/>
              </w:rPr>
              <w:t>ould be put in place</w:t>
            </w:r>
            <w:r w:rsidR="00216028">
              <w:rPr>
                <w:sz w:val="22"/>
                <w:szCs w:val="22"/>
              </w:rPr>
              <w:t xml:space="preserve"> by ITU</w:t>
            </w:r>
            <w:r w:rsidR="00216028" w:rsidRPr="007A5A9E">
              <w:rPr>
                <w:sz w:val="22"/>
                <w:szCs w:val="22"/>
              </w:rPr>
              <w:t xml:space="preserve">. The goal of these </w:t>
            </w:r>
            <w:r w:rsidR="00216028">
              <w:rPr>
                <w:sz w:val="22"/>
                <w:szCs w:val="22"/>
              </w:rPr>
              <w:t>inter-regional</w:t>
            </w:r>
            <w:r w:rsidR="00216028" w:rsidRPr="007A5A9E">
              <w:rPr>
                <w:sz w:val="22"/>
                <w:szCs w:val="22"/>
              </w:rPr>
              <w:t xml:space="preserve"> preparatory meetings (</w:t>
            </w:r>
            <w:r w:rsidR="00216028">
              <w:rPr>
                <w:sz w:val="22"/>
                <w:szCs w:val="22"/>
              </w:rPr>
              <w:t>I</w:t>
            </w:r>
            <w:r w:rsidR="00216028" w:rsidRPr="007A5A9E">
              <w:rPr>
                <w:sz w:val="22"/>
                <w:szCs w:val="22"/>
              </w:rPr>
              <w:t>PM</w:t>
            </w:r>
            <w:r w:rsidR="00216028">
              <w:rPr>
                <w:sz w:val="22"/>
                <w:szCs w:val="22"/>
              </w:rPr>
              <w:t>s</w:t>
            </w:r>
            <w:r w:rsidR="00216028" w:rsidRPr="007A5A9E">
              <w:rPr>
                <w:sz w:val="22"/>
                <w:szCs w:val="22"/>
              </w:rPr>
              <w:t xml:space="preserve">) would be to foster agreement </w:t>
            </w:r>
            <w:r w:rsidR="00216028">
              <w:rPr>
                <w:sz w:val="22"/>
                <w:szCs w:val="22"/>
              </w:rPr>
              <w:t xml:space="preserve">between regions on key issues </w:t>
            </w:r>
            <w:r w:rsidR="00216028" w:rsidRPr="007A5A9E">
              <w:rPr>
                <w:sz w:val="22"/>
                <w:szCs w:val="22"/>
              </w:rPr>
              <w:t xml:space="preserve">ahead of the </w:t>
            </w:r>
            <w:r w:rsidR="00216028">
              <w:rPr>
                <w:sz w:val="22"/>
                <w:szCs w:val="22"/>
              </w:rPr>
              <w:t>c</w:t>
            </w:r>
            <w:r w:rsidR="00216028" w:rsidRPr="007A5A9E">
              <w:rPr>
                <w:sz w:val="22"/>
                <w:szCs w:val="22"/>
              </w:rPr>
              <w:t xml:space="preserve">onference. Three physical </w:t>
            </w:r>
            <w:r w:rsidR="00216028">
              <w:rPr>
                <w:sz w:val="22"/>
                <w:szCs w:val="22"/>
              </w:rPr>
              <w:t>I</w:t>
            </w:r>
            <w:r w:rsidR="00216028" w:rsidRPr="007A5A9E">
              <w:rPr>
                <w:sz w:val="22"/>
                <w:szCs w:val="22"/>
              </w:rPr>
              <w:t>PM</w:t>
            </w:r>
            <w:r w:rsidR="00216028">
              <w:rPr>
                <w:sz w:val="22"/>
                <w:szCs w:val="22"/>
              </w:rPr>
              <w:t>s</w:t>
            </w:r>
            <w:r w:rsidR="00216028" w:rsidRPr="007A5A9E">
              <w:rPr>
                <w:sz w:val="22"/>
                <w:szCs w:val="22"/>
              </w:rPr>
              <w:t xml:space="preserve"> </w:t>
            </w:r>
            <w:r w:rsidR="00216028">
              <w:rPr>
                <w:sz w:val="22"/>
                <w:szCs w:val="22"/>
              </w:rPr>
              <w:t>c</w:t>
            </w:r>
            <w:r w:rsidR="00216028" w:rsidRPr="007A5A9E">
              <w:rPr>
                <w:sz w:val="22"/>
                <w:szCs w:val="22"/>
              </w:rPr>
              <w:t xml:space="preserve">ould be organized, </w:t>
            </w:r>
            <w:r w:rsidR="00216028">
              <w:rPr>
                <w:sz w:val="22"/>
                <w:szCs w:val="22"/>
              </w:rPr>
              <w:t xml:space="preserve">each one to be held </w:t>
            </w:r>
            <w:r w:rsidR="00216028" w:rsidRPr="007A5A9E">
              <w:rPr>
                <w:sz w:val="22"/>
                <w:szCs w:val="22"/>
              </w:rPr>
              <w:t>back-to-back with RPM</w:t>
            </w:r>
            <w:r w:rsidR="00216028">
              <w:rPr>
                <w:sz w:val="22"/>
                <w:szCs w:val="22"/>
              </w:rPr>
              <w:t xml:space="preserve">s </w:t>
            </w:r>
            <w:r w:rsidR="00216028" w:rsidRPr="007A5A9E">
              <w:rPr>
                <w:sz w:val="22"/>
                <w:szCs w:val="22"/>
              </w:rPr>
              <w:t>2</w:t>
            </w:r>
            <w:r w:rsidR="00216028">
              <w:rPr>
                <w:sz w:val="22"/>
                <w:szCs w:val="22"/>
              </w:rPr>
              <w:t xml:space="preserve">, </w:t>
            </w:r>
            <w:r w:rsidR="00216028" w:rsidRPr="007A5A9E">
              <w:rPr>
                <w:sz w:val="22"/>
                <w:szCs w:val="22"/>
              </w:rPr>
              <w:t xml:space="preserve">4 </w:t>
            </w:r>
            <w:r w:rsidR="00216028">
              <w:rPr>
                <w:sz w:val="22"/>
                <w:szCs w:val="22"/>
              </w:rPr>
              <w:t xml:space="preserve">and </w:t>
            </w:r>
            <w:r w:rsidR="00216028" w:rsidRPr="007A5A9E">
              <w:rPr>
                <w:sz w:val="22"/>
                <w:szCs w:val="22"/>
              </w:rPr>
              <w:t>6</w:t>
            </w:r>
            <w:r w:rsidR="00216028">
              <w:rPr>
                <w:sz w:val="22"/>
                <w:szCs w:val="22"/>
              </w:rPr>
              <w:t>, respectively</w:t>
            </w:r>
            <w:r w:rsidR="00216028" w:rsidRPr="007A5A9E">
              <w:rPr>
                <w:sz w:val="22"/>
                <w:szCs w:val="22"/>
              </w:rPr>
              <w:t>.</w:t>
            </w:r>
          </w:p>
        </w:tc>
        <w:tc>
          <w:tcPr>
            <w:tcW w:w="4819" w:type="dxa"/>
          </w:tcPr>
          <w:p w14:paraId="13AE3DF6" w14:textId="39D2675C" w:rsidR="00216028" w:rsidRPr="00632F57" w:rsidRDefault="00632F57" w:rsidP="008B2192">
            <w:pPr>
              <w:tabs>
                <w:tab w:val="clear" w:pos="794"/>
                <w:tab w:val="clear" w:pos="1191"/>
                <w:tab w:val="clear" w:pos="1588"/>
                <w:tab w:val="clear" w:pos="1985"/>
              </w:tabs>
              <w:overflowPunct/>
              <w:spacing w:before="0"/>
              <w:textAlignment w:val="auto"/>
              <w:rPr>
                <w:sz w:val="22"/>
                <w:szCs w:val="22"/>
                <w:lang w:val="en-US"/>
              </w:rPr>
            </w:pPr>
            <w:r>
              <w:rPr>
                <w:rFonts w:ascii="Calibri" w:hAnsi="Calibri"/>
                <w:sz w:val="22"/>
                <w:szCs w:val="22"/>
              </w:rPr>
              <w:t xml:space="preserve">WTDC Resolution 31 </w:t>
            </w:r>
            <w:r w:rsidRPr="002978CC">
              <w:rPr>
                <w:rFonts w:cstheme="minorHAnsi"/>
                <w:sz w:val="22"/>
                <w:szCs w:val="22"/>
              </w:rPr>
              <w:t>(Rev. Buenos Aires, 2017)</w:t>
            </w:r>
            <w:r>
              <w:rPr>
                <w:rFonts w:cstheme="minorHAnsi"/>
                <w:sz w:val="22"/>
                <w:szCs w:val="22"/>
              </w:rPr>
              <w:t xml:space="preserve"> resolves to instruct the BDT Director </w:t>
            </w:r>
            <w:r>
              <w:rPr>
                <w:rFonts w:ascii="Calibri" w:eastAsiaTheme="minorHAnsi" w:hAnsi="Calibri" w:cs="Calibri"/>
                <w:sz w:val="22"/>
                <w:szCs w:val="22"/>
                <w:lang w:val="en-US"/>
              </w:rPr>
              <w:t xml:space="preserve">to </w:t>
            </w:r>
            <w:r w:rsidRPr="00C16797">
              <w:rPr>
                <w:rFonts w:ascii="Calibri" w:eastAsiaTheme="minorHAnsi" w:hAnsi="Calibri" w:cs="Calibri"/>
                <w:sz w:val="22"/>
                <w:szCs w:val="22"/>
                <w:lang w:val="en-US"/>
              </w:rPr>
              <w:t>organize one regional preparatory meeting (RPM) per region for each of the six regions (if the relevant region deems appropriate).</w:t>
            </w:r>
          </w:p>
        </w:tc>
      </w:tr>
      <w:tr w:rsidR="00216028" w:rsidRPr="007A5A9E" w14:paraId="4D3EFAE7" w14:textId="77777777" w:rsidTr="00B57607">
        <w:trPr>
          <w:trHeight w:val="341"/>
        </w:trPr>
        <w:tc>
          <w:tcPr>
            <w:tcW w:w="4957" w:type="dxa"/>
          </w:tcPr>
          <w:p w14:paraId="730ED1FF" w14:textId="61D5918D" w:rsidR="00216028" w:rsidRPr="007A5A9E" w:rsidRDefault="009D4F4A" w:rsidP="0043071E">
            <w:pPr>
              <w:spacing w:before="60" w:after="60"/>
              <w:rPr>
                <w:sz w:val="22"/>
                <w:szCs w:val="22"/>
              </w:rPr>
            </w:pPr>
            <w:r w:rsidRPr="009D4F4A">
              <w:rPr>
                <w:b/>
                <w:bCs/>
                <w:sz w:val="22"/>
                <w:szCs w:val="22"/>
              </w:rPr>
              <w:t>1.2</w:t>
            </w:r>
            <w:r>
              <w:rPr>
                <w:sz w:val="22"/>
                <w:szCs w:val="22"/>
              </w:rPr>
              <w:t xml:space="preserve"> </w:t>
            </w:r>
            <w:r w:rsidR="00216028">
              <w:rPr>
                <w:sz w:val="22"/>
                <w:szCs w:val="22"/>
              </w:rPr>
              <w:t xml:space="preserve">The </w:t>
            </w:r>
            <w:r w:rsidR="00216028" w:rsidRPr="007A5A9E">
              <w:rPr>
                <w:sz w:val="22"/>
                <w:szCs w:val="22"/>
              </w:rPr>
              <w:t xml:space="preserve">Bureau </w:t>
            </w:r>
            <w:r w:rsidR="00216028">
              <w:rPr>
                <w:sz w:val="22"/>
                <w:szCs w:val="22"/>
              </w:rPr>
              <w:t>c</w:t>
            </w:r>
            <w:r w:rsidR="00216028" w:rsidRPr="007A5A9E">
              <w:rPr>
                <w:sz w:val="22"/>
                <w:szCs w:val="22"/>
              </w:rPr>
              <w:t xml:space="preserve">ould advise </w:t>
            </w:r>
            <w:r w:rsidR="00216028">
              <w:rPr>
                <w:sz w:val="22"/>
                <w:szCs w:val="22"/>
              </w:rPr>
              <w:t xml:space="preserve">and assist </w:t>
            </w:r>
            <w:r w:rsidR="00216028" w:rsidRPr="007A5A9E">
              <w:rPr>
                <w:sz w:val="22"/>
                <w:szCs w:val="22"/>
              </w:rPr>
              <w:t>RTO</w:t>
            </w:r>
            <w:r w:rsidR="00216028">
              <w:rPr>
                <w:sz w:val="22"/>
                <w:szCs w:val="22"/>
              </w:rPr>
              <w:t>s</w:t>
            </w:r>
            <w:r w:rsidR="00216028" w:rsidRPr="007A5A9E">
              <w:rPr>
                <w:sz w:val="22"/>
                <w:szCs w:val="22"/>
              </w:rPr>
              <w:t xml:space="preserve"> </w:t>
            </w:r>
            <w:r w:rsidR="00216028">
              <w:rPr>
                <w:sz w:val="22"/>
                <w:szCs w:val="22"/>
              </w:rPr>
              <w:t>with their preparations for the conference, while maintaining independence</w:t>
            </w:r>
            <w:r w:rsidR="00216028" w:rsidRPr="007A5A9E">
              <w:rPr>
                <w:sz w:val="22"/>
                <w:szCs w:val="22"/>
              </w:rPr>
              <w:t xml:space="preserve">. </w:t>
            </w:r>
            <w:r w:rsidR="00216028">
              <w:rPr>
                <w:sz w:val="22"/>
                <w:szCs w:val="22"/>
              </w:rPr>
              <w:t xml:space="preserve">This task would include advising the RTOs on the result of the streamlining process undertaken by TDAG and proposing editorial amendments to Resolutions, as appropriate. </w:t>
            </w:r>
          </w:p>
        </w:tc>
        <w:tc>
          <w:tcPr>
            <w:tcW w:w="4819" w:type="dxa"/>
          </w:tcPr>
          <w:p w14:paraId="1A9B274A" w14:textId="77777777" w:rsidR="00216028" w:rsidRPr="007A5A9E" w:rsidRDefault="00216028" w:rsidP="0043071E">
            <w:pPr>
              <w:spacing w:before="60" w:after="60"/>
              <w:rPr>
                <w:sz w:val="22"/>
                <w:szCs w:val="22"/>
              </w:rPr>
            </w:pPr>
          </w:p>
        </w:tc>
      </w:tr>
    </w:tbl>
    <w:p w14:paraId="3366BA05" w14:textId="77777777" w:rsidR="00216028" w:rsidRDefault="00216028" w:rsidP="005C641D">
      <w:pPr>
        <w:tabs>
          <w:tab w:val="clear" w:pos="794"/>
          <w:tab w:val="clear" w:pos="1191"/>
          <w:tab w:val="clear" w:pos="1588"/>
          <w:tab w:val="clear" w:pos="1985"/>
        </w:tabs>
        <w:overflowPunct/>
        <w:autoSpaceDE/>
        <w:autoSpaceDN/>
        <w:adjustRightInd/>
        <w:spacing w:before="0" w:line="259" w:lineRule="auto"/>
        <w:textAlignment w:val="auto"/>
        <w:rPr>
          <w:sz w:val="28"/>
          <w:szCs w:val="28"/>
        </w:rPr>
      </w:pPr>
      <w:bookmarkStart w:id="3" w:name="_Hlk37855701"/>
      <w:r>
        <w:rPr>
          <w:sz w:val="28"/>
          <w:szCs w:val="28"/>
        </w:rPr>
        <w:br w:type="page"/>
      </w:r>
    </w:p>
    <w:tbl>
      <w:tblPr>
        <w:tblpPr w:leftFromText="180" w:rightFromText="180" w:horzAnchor="margin" w:tblpY="-492"/>
        <w:tblW w:w="9888" w:type="dxa"/>
        <w:tblBorders>
          <w:bottom w:val="single" w:sz="2" w:space="0" w:color="00B0F0"/>
        </w:tblBorders>
        <w:tblLayout w:type="fixed"/>
        <w:tblCellMar>
          <w:left w:w="107" w:type="dxa"/>
          <w:right w:w="107" w:type="dxa"/>
        </w:tblCellMar>
        <w:tblLook w:val="0000" w:firstRow="0" w:lastRow="0" w:firstColumn="0" w:lastColumn="0" w:noHBand="0" w:noVBand="0"/>
      </w:tblPr>
      <w:tblGrid>
        <w:gridCol w:w="9888"/>
      </w:tblGrid>
      <w:tr w:rsidR="007115B2" w:rsidRPr="003028D9" w14:paraId="5AD5E814" w14:textId="77777777" w:rsidTr="00173BFB">
        <w:trPr>
          <w:cantSplit/>
        </w:trPr>
        <w:tc>
          <w:tcPr>
            <w:tcW w:w="9888" w:type="dxa"/>
          </w:tcPr>
          <w:p w14:paraId="1F17459A" w14:textId="60B1A6D3" w:rsidR="007115B2" w:rsidRPr="003028D9" w:rsidRDefault="007115B2" w:rsidP="00915F3F">
            <w:pPr>
              <w:keepNext/>
              <w:spacing w:before="80" w:after="80"/>
              <w:rPr>
                <w:szCs w:val="24"/>
              </w:rPr>
            </w:pPr>
            <w:r w:rsidRPr="007A5A9E">
              <w:rPr>
                <w:b/>
                <w:bCs/>
                <w:sz w:val="28"/>
                <w:szCs w:val="28"/>
              </w:rPr>
              <w:lastRenderedPageBreak/>
              <w:t>Topic 2: Content and Structure</w:t>
            </w:r>
          </w:p>
        </w:tc>
      </w:tr>
    </w:tbl>
    <w:p w14:paraId="269AE386" w14:textId="77777777" w:rsidR="007115B2" w:rsidRPr="007115B2" w:rsidRDefault="007115B2" w:rsidP="007115B2">
      <w:pPr>
        <w:keepNext/>
        <w:spacing w:before="0"/>
        <w:rPr>
          <w:szCs w:val="24"/>
        </w:rPr>
      </w:pPr>
    </w:p>
    <w:tbl>
      <w:tblPr>
        <w:tblStyle w:val="TableGrid"/>
        <w:tblW w:w="9776" w:type="dxa"/>
        <w:tblLook w:val="04A0" w:firstRow="1" w:lastRow="0" w:firstColumn="1" w:lastColumn="0" w:noHBand="0" w:noVBand="1"/>
      </w:tblPr>
      <w:tblGrid>
        <w:gridCol w:w="4957"/>
        <w:gridCol w:w="4819"/>
      </w:tblGrid>
      <w:tr w:rsidR="00216028" w:rsidRPr="00264DC9" w14:paraId="3B1F49A9" w14:textId="77777777" w:rsidTr="00AD23C9">
        <w:trPr>
          <w:trHeight w:val="341"/>
        </w:trPr>
        <w:tc>
          <w:tcPr>
            <w:tcW w:w="4957" w:type="dxa"/>
            <w:shd w:val="clear" w:color="auto" w:fill="EEECE1" w:themeFill="background2"/>
            <w:vAlign w:val="center"/>
          </w:tcPr>
          <w:p w14:paraId="6970E41C" w14:textId="77777777" w:rsidR="00216028" w:rsidRPr="00264DC9" w:rsidRDefault="00216028" w:rsidP="00AD23C9">
            <w:pPr>
              <w:spacing w:after="120"/>
              <w:jc w:val="center"/>
              <w:rPr>
                <w:b/>
                <w:bCs/>
                <w:sz w:val="22"/>
                <w:szCs w:val="22"/>
              </w:rPr>
            </w:pPr>
            <w:r>
              <w:rPr>
                <w:b/>
                <w:bCs/>
                <w:sz w:val="22"/>
                <w:szCs w:val="22"/>
              </w:rPr>
              <w:t>Proposals</w:t>
            </w:r>
          </w:p>
        </w:tc>
        <w:tc>
          <w:tcPr>
            <w:tcW w:w="4819" w:type="dxa"/>
            <w:shd w:val="clear" w:color="auto" w:fill="EEECE1" w:themeFill="background2"/>
            <w:vAlign w:val="center"/>
          </w:tcPr>
          <w:p w14:paraId="2AEC0241" w14:textId="77777777" w:rsidR="00216028" w:rsidRPr="00264DC9" w:rsidRDefault="00216028" w:rsidP="00AD23C9">
            <w:pPr>
              <w:spacing w:after="120"/>
              <w:jc w:val="center"/>
              <w:rPr>
                <w:b/>
                <w:bCs/>
                <w:sz w:val="22"/>
                <w:szCs w:val="22"/>
              </w:rPr>
            </w:pPr>
            <w:r>
              <w:rPr>
                <w:b/>
                <w:bCs/>
                <w:sz w:val="22"/>
                <w:szCs w:val="22"/>
              </w:rPr>
              <w:t>Relevant Legal or Procedural Provisions/Comments</w:t>
            </w:r>
          </w:p>
        </w:tc>
      </w:tr>
      <w:tr w:rsidR="00216028" w:rsidRPr="00264DC9" w14:paraId="3107DDC7" w14:textId="77777777" w:rsidTr="00B57607">
        <w:trPr>
          <w:trHeight w:val="341"/>
        </w:trPr>
        <w:tc>
          <w:tcPr>
            <w:tcW w:w="4957" w:type="dxa"/>
          </w:tcPr>
          <w:p w14:paraId="3A59AE43" w14:textId="097A3181" w:rsidR="00216028" w:rsidRPr="0041481B" w:rsidRDefault="0041481B" w:rsidP="0041481B">
            <w:pPr>
              <w:spacing w:before="60" w:after="60"/>
              <w:rPr>
                <w:rFonts w:cstheme="minorHAnsi"/>
                <w:color w:val="404040" w:themeColor="text1" w:themeTint="BF"/>
                <w:sz w:val="22"/>
                <w:szCs w:val="22"/>
              </w:rPr>
            </w:pPr>
            <w:r>
              <w:rPr>
                <w:rFonts w:cstheme="minorHAnsi"/>
                <w:b/>
                <w:bCs/>
                <w:sz w:val="22"/>
                <w:szCs w:val="22"/>
              </w:rPr>
              <w:t xml:space="preserve">2.1 </w:t>
            </w:r>
            <w:r w:rsidR="00216028" w:rsidRPr="0041481B">
              <w:rPr>
                <w:rFonts w:cstheme="minorHAnsi"/>
                <w:sz w:val="22"/>
                <w:szCs w:val="22"/>
              </w:rPr>
              <w:t>The main discussions at WTDC could revolve around how the development-related challenges identified during the preparatory process can be addressed and funded. Any approved action should be linked either to the existing ITU-D budget or to pledges made prior to or during the conference.</w:t>
            </w:r>
          </w:p>
        </w:tc>
        <w:tc>
          <w:tcPr>
            <w:tcW w:w="4819" w:type="dxa"/>
          </w:tcPr>
          <w:p w14:paraId="00659325" w14:textId="77777777" w:rsidR="00632F57" w:rsidRDefault="00632F57" w:rsidP="001B7891">
            <w:pPr>
              <w:tabs>
                <w:tab w:val="clear" w:pos="794"/>
              </w:tabs>
              <w:spacing w:before="60" w:after="60"/>
              <w:ind w:left="27" w:firstLine="4"/>
              <w:rPr>
                <w:rFonts w:ascii="Calibri" w:hAnsi="Calibri" w:cs="Calibri"/>
                <w:color w:val="404040" w:themeColor="text1" w:themeTint="BF"/>
                <w:sz w:val="22"/>
                <w:szCs w:val="22"/>
              </w:rPr>
            </w:pPr>
            <w:r w:rsidRPr="002978CC">
              <w:rPr>
                <w:rFonts w:cstheme="minorHAnsi"/>
                <w:sz w:val="22"/>
                <w:szCs w:val="22"/>
              </w:rPr>
              <w:t>The duties of WTDC are reflected in articles 22 of the ITU Constitution and 16 of the ITU Convention</w:t>
            </w:r>
            <w:r>
              <w:rPr>
                <w:rFonts w:cstheme="minorHAnsi"/>
                <w:sz w:val="22"/>
                <w:szCs w:val="22"/>
              </w:rPr>
              <w:t xml:space="preserve">. </w:t>
            </w:r>
          </w:p>
          <w:p w14:paraId="1D7F2053" w14:textId="1620E26C" w:rsidR="00216028" w:rsidRPr="00555347" w:rsidRDefault="00632F57" w:rsidP="008B2192">
            <w:pPr>
              <w:tabs>
                <w:tab w:val="clear" w:pos="794"/>
              </w:tabs>
              <w:spacing w:before="60" w:after="60"/>
              <w:rPr>
                <w:rFonts w:cstheme="minorHAnsi"/>
                <w:color w:val="404040" w:themeColor="text1" w:themeTint="BF"/>
                <w:sz w:val="22"/>
                <w:szCs w:val="22"/>
              </w:rPr>
            </w:pPr>
            <w:r w:rsidRPr="00B06829">
              <w:rPr>
                <w:rFonts w:cstheme="minorHAnsi"/>
                <w:sz w:val="22"/>
                <w:szCs w:val="22"/>
              </w:rPr>
              <w:t xml:space="preserve">Section 1 of Resolution 1 </w:t>
            </w:r>
            <w:r>
              <w:rPr>
                <w:rFonts w:cstheme="minorHAnsi"/>
                <w:sz w:val="22"/>
                <w:szCs w:val="22"/>
              </w:rPr>
              <w:t xml:space="preserve">addresses </w:t>
            </w:r>
            <w:r w:rsidRPr="00B06829">
              <w:rPr>
                <w:rFonts w:cstheme="minorHAnsi"/>
                <w:sz w:val="22"/>
                <w:szCs w:val="22"/>
              </w:rPr>
              <w:t xml:space="preserve">the structure of WTDC </w:t>
            </w:r>
            <w:r>
              <w:rPr>
                <w:rFonts w:cstheme="minorHAnsi"/>
                <w:sz w:val="22"/>
                <w:szCs w:val="22"/>
              </w:rPr>
              <w:t>whereas</w:t>
            </w:r>
            <w:r w:rsidRPr="00B06829">
              <w:rPr>
                <w:rFonts w:cstheme="minorHAnsi"/>
                <w:sz w:val="22"/>
                <w:szCs w:val="22"/>
              </w:rPr>
              <w:t xml:space="preserve"> CV213 </w:t>
            </w:r>
            <w:r>
              <w:rPr>
                <w:rFonts w:cstheme="minorHAnsi"/>
                <w:sz w:val="22"/>
                <w:szCs w:val="22"/>
              </w:rPr>
              <w:t xml:space="preserve">addresses the </w:t>
            </w:r>
            <w:r w:rsidRPr="00B06829">
              <w:rPr>
                <w:rFonts w:cstheme="minorHAnsi"/>
                <w:sz w:val="22"/>
                <w:szCs w:val="22"/>
              </w:rPr>
              <w:t>preparation and adoption of the agenda</w:t>
            </w:r>
            <w:r>
              <w:rPr>
                <w:rFonts w:cstheme="minorHAnsi"/>
                <w:sz w:val="22"/>
                <w:szCs w:val="22"/>
              </w:rPr>
              <w:t xml:space="preserve"> of the conference.</w:t>
            </w:r>
          </w:p>
        </w:tc>
      </w:tr>
      <w:tr w:rsidR="00216028" w:rsidRPr="00264DC9" w14:paraId="010D8EE9" w14:textId="77777777" w:rsidTr="00B57607">
        <w:trPr>
          <w:trHeight w:val="341"/>
        </w:trPr>
        <w:tc>
          <w:tcPr>
            <w:tcW w:w="4957" w:type="dxa"/>
          </w:tcPr>
          <w:p w14:paraId="15D3FC07" w14:textId="0F57D983" w:rsidR="00216028" w:rsidRPr="0041481B" w:rsidRDefault="0041481B" w:rsidP="0041481B">
            <w:pPr>
              <w:spacing w:before="60" w:after="60"/>
              <w:rPr>
                <w:rFonts w:cstheme="minorHAnsi"/>
                <w:sz w:val="22"/>
                <w:szCs w:val="22"/>
              </w:rPr>
            </w:pPr>
            <w:r>
              <w:rPr>
                <w:rFonts w:cstheme="minorHAnsi"/>
                <w:b/>
                <w:bCs/>
                <w:sz w:val="22"/>
                <w:szCs w:val="22"/>
              </w:rPr>
              <w:t xml:space="preserve">2.2 </w:t>
            </w:r>
            <w:r w:rsidR="00216028" w:rsidRPr="0041481B">
              <w:rPr>
                <w:rFonts w:cstheme="minorHAnsi"/>
                <w:sz w:val="22"/>
                <w:szCs w:val="22"/>
              </w:rPr>
              <w:t xml:space="preserve">WTDC could consider delegating the discussion on the ITU strategic plan to TDAG in preparation for the following PP, </w:t>
            </w:r>
            <w:proofErr w:type="gramStart"/>
            <w:r w:rsidR="00216028" w:rsidRPr="0041481B">
              <w:rPr>
                <w:rFonts w:cstheme="minorHAnsi"/>
                <w:sz w:val="22"/>
                <w:szCs w:val="22"/>
              </w:rPr>
              <w:t>taking into account</w:t>
            </w:r>
            <w:proofErr w:type="gramEnd"/>
            <w:r w:rsidR="00216028" w:rsidRPr="0041481B">
              <w:rPr>
                <w:rFonts w:cstheme="minorHAnsi"/>
                <w:sz w:val="22"/>
                <w:szCs w:val="22"/>
              </w:rPr>
              <w:t xml:space="preserve"> the results of WTDC. </w:t>
            </w:r>
          </w:p>
          <w:p w14:paraId="00785F21" w14:textId="25FD27C2" w:rsidR="00216028" w:rsidRPr="0041481B" w:rsidRDefault="0041481B" w:rsidP="0041481B">
            <w:pPr>
              <w:spacing w:before="60" w:after="60"/>
              <w:rPr>
                <w:sz w:val="22"/>
                <w:szCs w:val="22"/>
              </w:rPr>
            </w:pPr>
            <w:r>
              <w:rPr>
                <w:rFonts w:cstheme="minorHAnsi"/>
                <w:b/>
                <w:bCs/>
                <w:sz w:val="22"/>
                <w:szCs w:val="22"/>
              </w:rPr>
              <w:t xml:space="preserve">2.3 </w:t>
            </w:r>
            <w:r w:rsidR="00216028" w:rsidRPr="0041481B">
              <w:rPr>
                <w:rFonts w:cstheme="minorHAnsi"/>
                <w:sz w:val="22"/>
                <w:szCs w:val="22"/>
              </w:rPr>
              <w:t xml:space="preserve">The High-Level policy session (which includes delivery of policy statements) could be repurposed to become thematic events [details under Topic 4] to address development challenges and clearly identified priorities. </w:t>
            </w:r>
          </w:p>
          <w:p w14:paraId="24E62C83" w14:textId="0A2E45CF" w:rsidR="00216028" w:rsidRPr="0041481B" w:rsidRDefault="003151A2" w:rsidP="0041481B">
            <w:pPr>
              <w:spacing w:before="60" w:after="60"/>
              <w:rPr>
                <w:sz w:val="22"/>
                <w:szCs w:val="22"/>
              </w:rPr>
            </w:pPr>
            <w:r>
              <w:rPr>
                <w:rFonts w:cstheme="minorHAnsi"/>
                <w:b/>
                <w:bCs/>
                <w:sz w:val="22"/>
                <w:szCs w:val="22"/>
              </w:rPr>
              <w:t xml:space="preserve">2.4 </w:t>
            </w:r>
            <w:r w:rsidR="00216028" w:rsidRPr="0041481B">
              <w:rPr>
                <w:rFonts w:cstheme="minorHAnsi"/>
                <w:sz w:val="22"/>
                <w:szCs w:val="22"/>
              </w:rPr>
              <w:t>Discussions on Resolutions could primarily derive from outcomes of the preceding TDAG meetings which would undertake efforts on streamlining.</w:t>
            </w:r>
          </w:p>
        </w:tc>
        <w:tc>
          <w:tcPr>
            <w:tcW w:w="4819" w:type="dxa"/>
          </w:tcPr>
          <w:p w14:paraId="2D4667EC" w14:textId="6C75B924" w:rsidR="00216028" w:rsidRPr="00632F57" w:rsidRDefault="00632F57" w:rsidP="00555347">
            <w:pPr>
              <w:tabs>
                <w:tab w:val="clear" w:pos="794"/>
              </w:tabs>
              <w:spacing w:before="60" w:after="60"/>
              <w:rPr>
                <w:rFonts w:asciiTheme="majorHAnsi" w:hAnsiTheme="majorHAnsi"/>
                <w:color w:val="404040" w:themeColor="text1" w:themeTint="BF"/>
                <w:sz w:val="22"/>
                <w:szCs w:val="22"/>
              </w:rPr>
            </w:pPr>
            <w:r w:rsidRPr="002978CC">
              <w:rPr>
                <w:rFonts w:cstheme="minorHAnsi"/>
                <w:sz w:val="22"/>
                <w:szCs w:val="22"/>
              </w:rPr>
              <w:t xml:space="preserve">Under the </w:t>
            </w:r>
            <w:r>
              <w:rPr>
                <w:rFonts w:cstheme="minorHAnsi"/>
                <w:sz w:val="22"/>
                <w:szCs w:val="22"/>
              </w:rPr>
              <w:t>ITU Constitution and Convention</w:t>
            </w:r>
            <w:r w:rsidRPr="002978CC">
              <w:rPr>
                <w:rFonts w:cstheme="minorHAnsi"/>
                <w:sz w:val="22"/>
                <w:szCs w:val="22"/>
              </w:rPr>
              <w:t>, WTDC is not required to review the ITU-D contribution to the ITU strategic plan. However, this task is reflected in Resolution 1 (Rev. Buenos Aires, 2017), in particular in Article 1.8.2. Since Resolution 1 is within the purview of WTDC, it can be amended by the conference, if so desired.</w:t>
            </w:r>
          </w:p>
        </w:tc>
      </w:tr>
      <w:tr w:rsidR="00216028" w:rsidRPr="00264DC9" w14:paraId="128B7F58" w14:textId="77777777" w:rsidTr="00B57607">
        <w:trPr>
          <w:trHeight w:val="341"/>
        </w:trPr>
        <w:tc>
          <w:tcPr>
            <w:tcW w:w="4957" w:type="dxa"/>
          </w:tcPr>
          <w:p w14:paraId="00302507" w14:textId="69E6DCD8" w:rsidR="00216028" w:rsidRPr="0041481B" w:rsidRDefault="003151A2" w:rsidP="0041481B">
            <w:pPr>
              <w:spacing w:before="60" w:after="60"/>
              <w:rPr>
                <w:sz w:val="22"/>
                <w:szCs w:val="22"/>
              </w:rPr>
            </w:pPr>
            <w:r>
              <w:rPr>
                <w:b/>
                <w:bCs/>
                <w:sz w:val="22"/>
                <w:szCs w:val="22"/>
              </w:rPr>
              <w:t xml:space="preserve">2.5 </w:t>
            </w:r>
            <w:r w:rsidR="00216028" w:rsidRPr="0041481B">
              <w:rPr>
                <w:sz w:val="22"/>
                <w:szCs w:val="22"/>
              </w:rPr>
              <w:t xml:space="preserve">Study Group Questions could be identified during the preparatory process, in line with the Membership’s needs and regional and inter-regional priorities. </w:t>
            </w:r>
          </w:p>
          <w:p w14:paraId="520924FE" w14:textId="7583BD6F" w:rsidR="00216028" w:rsidRPr="0041481B" w:rsidRDefault="003151A2" w:rsidP="0041481B">
            <w:pPr>
              <w:spacing w:before="60" w:after="60"/>
              <w:rPr>
                <w:sz w:val="22"/>
                <w:szCs w:val="22"/>
              </w:rPr>
            </w:pPr>
            <w:r>
              <w:rPr>
                <w:b/>
                <w:bCs/>
                <w:sz w:val="22"/>
                <w:szCs w:val="22"/>
              </w:rPr>
              <w:t xml:space="preserve">2.6 </w:t>
            </w:r>
            <w:r w:rsidR="00216028" w:rsidRPr="0041481B">
              <w:rPr>
                <w:sz w:val="22"/>
                <w:szCs w:val="22"/>
              </w:rPr>
              <w:t>The mapping of Study Group Questions from ITU-T to ITU-D and ITU-R to ITU-D could be improved with a view to identifying possible areas of overlap or convergence.</w:t>
            </w:r>
          </w:p>
        </w:tc>
        <w:tc>
          <w:tcPr>
            <w:tcW w:w="4819" w:type="dxa"/>
          </w:tcPr>
          <w:p w14:paraId="43DD0EBF" w14:textId="77777777" w:rsidR="00216028" w:rsidRPr="00555347" w:rsidRDefault="00216028" w:rsidP="00555347">
            <w:pPr>
              <w:tabs>
                <w:tab w:val="clear" w:pos="794"/>
              </w:tabs>
              <w:spacing w:before="60" w:after="60"/>
              <w:ind w:left="47"/>
              <w:rPr>
                <w:sz w:val="22"/>
                <w:szCs w:val="22"/>
              </w:rPr>
            </w:pPr>
          </w:p>
        </w:tc>
      </w:tr>
      <w:tr w:rsidR="00216028" w:rsidRPr="00264DC9" w14:paraId="4467ECBF" w14:textId="77777777" w:rsidTr="00B57607">
        <w:trPr>
          <w:trHeight w:val="341"/>
        </w:trPr>
        <w:tc>
          <w:tcPr>
            <w:tcW w:w="4957" w:type="dxa"/>
          </w:tcPr>
          <w:p w14:paraId="0CA1112A" w14:textId="24DF2C38" w:rsidR="00216028" w:rsidRPr="00555347" w:rsidRDefault="003151A2" w:rsidP="00555347">
            <w:pPr>
              <w:tabs>
                <w:tab w:val="clear" w:pos="794"/>
                <w:tab w:val="clear" w:pos="1191"/>
                <w:tab w:val="clear" w:pos="1588"/>
                <w:tab w:val="clear" w:pos="1985"/>
              </w:tabs>
              <w:overflowPunct/>
              <w:autoSpaceDE/>
              <w:autoSpaceDN/>
              <w:adjustRightInd/>
              <w:spacing w:before="60" w:after="60"/>
              <w:textAlignment w:val="auto"/>
              <w:rPr>
                <w:sz w:val="22"/>
                <w:szCs w:val="22"/>
                <w:lang w:val="en-US"/>
              </w:rPr>
            </w:pPr>
            <w:r>
              <w:rPr>
                <w:b/>
                <w:bCs/>
                <w:sz w:val="22"/>
                <w:szCs w:val="22"/>
                <w:lang w:val="en-US"/>
              </w:rPr>
              <w:t xml:space="preserve">2.7 </w:t>
            </w:r>
            <w:r w:rsidR="00216028" w:rsidRPr="00555347">
              <w:rPr>
                <w:sz w:val="22"/>
                <w:szCs w:val="22"/>
                <w:lang w:val="en-US"/>
              </w:rPr>
              <w:t xml:space="preserve">RTOs </w:t>
            </w:r>
            <w:r w:rsidR="00216028">
              <w:rPr>
                <w:sz w:val="22"/>
                <w:szCs w:val="22"/>
                <w:lang w:val="en-US"/>
              </w:rPr>
              <w:t>c</w:t>
            </w:r>
            <w:r w:rsidR="00216028" w:rsidRPr="00555347">
              <w:rPr>
                <w:sz w:val="22"/>
                <w:szCs w:val="22"/>
                <w:lang w:val="en-US"/>
              </w:rPr>
              <w:t>ould elaborat</w:t>
            </w:r>
            <w:r w:rsidR="00216028">
              <w:rPr>
                <w:sz w:val="22"/>
                <w:szCs w:val="22"/>
                <w:lang w:val="en-US"/>
              </w:rPr>
              <w:t>e</w:t>
            </w:r>
            <w:r w:rsidR="00216028" w:rsidRPr="00555347">
              <w:rPr>
                <w:sz w:val="22"/>
                <w:szCs w:val="22"/>
                <w:lang w:val="en-US"/>
              </w:rPr>
              <w:t xml:space="preserve"> a limited number of ‘Regional Priorities’</w:t>
            </w:r>
            <w:r w:rsidR="00216028">
              <w:rPr>
                <w:sz w:val="22"/>
                <w:szCs w:val="22"/>
                <w:lang w:val="en-US"/>
              </w:rPr>
              <w:t>, based on the defined development scope of the conference</w:t>
            </w:r>
            <w:r w:rsidR="00216028" w:rsidRPr="00555347">
              <w:rPr>
                <w:sz w:val="22"/>
                <w:szCs w:val="22"/>
                <w:lang w:val="en-US"/>
              </w:rPr>
              <w:t xml:space="preserve">. RTOs </w:t>
            </w:r>
            <w:r w:rsidR="00216028">
              <w:rPr>
                <w:sz w:val="22"/>
                <w:szCs w:val="22"/>
                <w:lang w:val="en-US"/>
              </w:rPr>
              <w:t>c</w:t>
            </w:r>
            <w:r w:rsidR="00216028" w:rsidRPr="00555347">
              <w:rPr>
                <w:sz w:val="22"/>
                <w:szCs w:val="22"/>
                <w:lang w:val="en-US"/>
              </w:rPr>
              <w:t xml:space="preserve">ould be encouraged to identify common priorities across regions which could be implemented within the budgetary limitations of the BDT </w:t>
            </w:r>
            <w:r w:rsidR="00216028" w:rsidRPr="00555347">
              <w:rPr>
                <w:sz w:val="22"/>
                <w:szCs w:val="22"/>
              </w:rPr>
              <w:t>or linked to pledges and commitments made prior</w:t>
            </w:r>
            <w:r w:rsidR="00216028">
              <w:rPr>
                <w:sz w:val="22"/>
                <w:szCs w:val="22"/>
              </w:rPr>
              <w:t xml:space="preserve"> to or</w:t>
            </w:r>
            <w:r w:rsidR="00216028" w:rsidRPr="00555347">
              <w:rPr>
                <w:sz w:val="22"/>
                <w:szCs w:val="22"/>
              </w:rPr>
              <w:t xml:space="preserve"> during the conference</w:t>
            </w:r>
            <w:r w:rsidR="00216028" w:rsidRPr="00555347">
              <w:rPr>
                <w:sz w:val="22"/>
                <w:szCs w:val="22"/>
                <w:lang w:val="en-US"/>
              </w:rPr>
              <w:t xml:space="preserve">. </w:t>
            </w:r>
          </w:p>
        </w:tc>
        <w:tc>
          <w:tcPr>
            <w:tcW w:w="4819" w:type="dxa"/>
          </w:tcPr>
          <w:p w14:paraId="1A1C2298" w14:textId="77777777" w:rsidR="00216028" w:rsidRPr="00555347" w:rsidRDefault="00216028" w:rsidP="00555347">
            <w:pPr>
              <w:tabs>
                <w:tab w:val="clear" w:pos="794"/>
                <w:tab w:val="clear" w:pos="1191"/>
                <w:tab w:val="clear" w:pos="1588"/>
                <w:tab w:val="clear" w:pos="1985"/>
              </w:tabs>
              <w:overflowPunct/>
              <w:autoSpaceDE/>
              <w:autoSpaceDN/>
              <w:adjustRightInd/>
              <w:spacing w:before="60" w:after="60"/>
              <w:textAlignment w:val="auto"/>
              <w:rPr>
                <w:sz w:val="22"/>
                <w:szCs w:val="22"/>
                <w:lang w:val="en-US"/>
              </w:rPr>
            </w:pPr>
          </w:p>
        </w:tc>
      </w:tr>
      <w:bookmarkEnd w:id="3"/>
    </w:tbl>
    <w:p w14:paraId="61F238D2" w14:textId="77777777" w:rsidR="00216028" w:rsidRDefault="00216028">
      <w:pPr>
        <w:tabs>
          <w:tab w:val="clear" w:pos="794"/>
          <w:tab w:val="clear" w:pos="1191"/>
          <w:tab w:val="clear" w:pos="1588"/>
          <w:tab w:val="clear" w:pos="1985"/>
        </w:tabs>
        <w:overflowPunct/>
        <w:autoSpaceDE/>
        <w:autoSpaceDN/>
        <w:adjustRightInd/>
        <w:spacing w:before="0" w:after="160" w:line="259" w:lineRule="auto"/>
        <w:textAlignment w:val="auto"/>
        <w:rPr>
          <w:sz w:val="28"/>
          <w:szCs w:val="28"/>
        </w:rPr>
      </w:pPr>
      <w:r>
        <w:rPr>
          <w:sz w:val="28"/>
          <w:szCs w:val="28"/>
        </w:rPr>
        <w:br w:type="page"/>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951C75" w14:paraId="3ABC2F2B" w14:textId="77777777" w:rsidTr="004346F1">
        <w:tc>
          <w:tcPr>
            <w:tcW w:w="9629" w:type="dxa"/>
          </w:tcPr>
          <w:p w14:paraId="42C92C7A" w14:textId="29AD1734" w:rsidR="00951C75" w:rsidRDefault="00951C75" w:rsidP="004346F1">
            <w:pPr>
              <w:keepNext/>
              <w:spacing w:before="80" w:after="80"/>
              <w:rPr>
                <w:b/>
                <w:bCs/>
                <w:sz w:val="28"/>
                <w:szCs w:val="28"/>
              </w:rPr>
            </w:pPr>
            <w:r w:rsidRPr="007A5A9E">
              <w:rPr>
                <w:b/>
                <w:bCs/>
                <w:sz w:val="28"/>
                <w:szCs w:val="28"/>
              </w:rPr>
              <w:lastRenderedPageBreak/>
              <w:t xml:space="preserve">Topic </w:t>
            </w:r>
            <w:r>
              <w:rPr>
                <w:b/>
                <w:bCs/>
                <w:sz w:val="28"/>
                <w:szCs w:val="28"/>
              </w:rPr>
              <w:t>3</w:t>
            </w:r>
            <w:r w:rsidRPr="007A5A9E">
              <w:rPr>
                <w:b/>
                <w:bCs/>
                <w:sz w:val="28"/>
                <w:szCs w:val="28"/>
              </w:rPr>
              <w:t>: Stakeholder Engagement</w:t>
            </w:r>
          </w:p>
        </w:tc>
      </w:tr>
    </w:tbl>
    <w:p w14:paraId="606A5F35" w14:textId="77777777" w:rsidR="00951C75" w:rsidRPr="005C641D" w:rsidRDefault="00951C75" w:rsidP="00951C75">
      <w:pPr>
        <w:keepNext/>
        <w:spacing w:before="0"/>
        <w:rPr>
          <w:szCs w:val="24"/>
        </w:rPr>
      </w:pPr>
    </w:p>
    <w:tbl>
      <w:tblPr>
        <w:tblStyle w:val="TableGrid"/>
        <w:tblW w:w="9776" w:type="dxa"/>
        <w:tblLook w:val="04A0" w:firstRow="1" w:lastRow="0" w:firstColumn="1" w:lastColumn="0" w:noHBand="0" w:noVBand="1"/>
      </w:tblPr>
      <w:tblGrid>
        <w:gridCol w:w="4957"/>
        <w:gridCol w:w="4819"/>
      </w:tblGrid>
      <w:tr w:rsidR="00216028" w:rsidRPr="007A5A9E" w14:paraId="7CE47AC2" w14:textId="77777777" w:rsidTr="00AD23C9">
        <w:trPr>
          <w:trHeight w:val="341"/>
        </w:trPr>
        <w:tc>
          <w:tcPr>
            <w:tcW w:w="4957" w:type="dxa"/>
            <w:shd w:val="clear" w:color="auto" w:fill="EEECE1" w:themeFill="background2"/>
            <w:vAlign w:val="center"/>
          </w:tcPr>
          <w:p w14:paraId="13C6042B" w14:textId="77777777" w:rsidR="00216028" w:rsidRPr="007A5A9E" w:rsidRDefault="00216028" w:rsidP="00AD23C9">
            <w:pPr>
              <w:spacing w:after="120"/>
              <w:jc w:val="center"/>
              <w:rPr>
                <w:b/>
                <w:bCs/>
                <w:sz w:val="22"/>
                <w:szCs w:val="22"/>
              </w:rPr>
            </w:pPr>
            <w:r>
              <w:rPr>
                <w:b/>
                <w:bCs/>
                <w:sz w:val="22"/>
                <w:szCs w:val="22"/>
              </w:rPr>
              <w:t>Proposals</w:t>
            </w:r>
          </w:p>
        </w:tc>
        <w:tc>
          <w:tcPr>
            <w:tcW w:w="4819" w:type="dxa"/>
            <w:shd w:val="clear" w:color="auto" w:fill="EEECE1" w:themeFill="background2"/>
            <w:vAlign w:val="center"/>
          </w:tcPr>
          <w:p w14:paraId="2E9A9F78" w14:textId="77777777" w:rsidR="00216028" w:rsidRPr="007A5A9E" w:rsidRDefault="00216028" w:rsidP="00AD23C9">
            <w:pPr>
              <w:spacing w:after="120"/>
              <w:jc w:val="center"/>
              <w:rPr>
                <w:b/>
                <w:bCs/>
                <w:sz w:val="22"/>
                <w:szCs w:val="22"/>
              </w:rPr>
            </w:pPr>
            <w:r>
              <w:rPr>
                <w:b/>
                <w:bCs/>
                <w:sz w:val="22"/>
                <w:szCs w:val="22"/>
              </w:rPr>
              <w:t>Relevant Legal or Procedural Provisions/Comments</w:t>
            </w:r>
          </w:p>
        </w:tc>
      </w:tr>
      <w:tr w:rsidR="000F7473" w:rsidRPr="007A5A9E" w14:paraId="59691820" w14:textId="77777777" w:rsidTr="00B57607">
        <w:trPr>
          <w:trHeight w:val="341"/>
        </w:trPr>
        <w:tc>
          <w:tcPr>
            <w:tcW w:w="4957" w:type="dxa"/>
          </w:tcPr>
          <w:p w14:paraId="64465F35" w14:textId="330487FF" w:rsidR="000F7473" w:rsidRPr="003151A2" w:rsidRDefault="003151A2" w:rsidP="003151A2">
            <w:pPr>
              <w:tabs>
                <w:tab w:val="left" w:pos="365"/>
              </w:tabs>
              <w:spacing w:before="60" w:after="60"/>
              <w:rPr>
                <w:sz w:val="22"/>
                <w:szCs w:val="22"/>
              </w:rPr>
            </w:pPr>
            <w:r>
              <w:rPr>
                <w:b/>
                <w:bCs/>
                <w:sz w:val="22"/>
                <w:szCs w:val="22"/>
              </w:rPr>
              <w:t xml:space="preserve">3.1 </w:t>
            </w:r>
            <w:r w:rsidR="000F7473" w:rsidRPr="003151A2">
              <w:rPr>
                <w:sz w:val="22"/>
                <w:szCs w:val="22"/>
              </w:rPr>
              <w:t>Create target lists of key invited participants by constituent group, including a short list of “stars”, and manage the targeting/invitation process against deadlines.</w:t>
            </w:r>
          </w:p>
          <w:p w14:paraId="7ABF6278" w14:textId="700125F5" w:rsidR="000F7473" w:rsidRPr="003151A2" w:rsidRDefault="003151A2" w:rsidP="003151A2">
            <w:pPr>
              <w:tabs>
                <w:tab w:val="left" w:pos="365"/>
              </w:tabs>
              <w:spacing w:before="60" w:after="60"/>
              <w:rPr>
                <w:sz w:val="22"/>
                <w:szCs w:val="22"/>
              </w:rPr>
            </w:pPr>
            <w:r>
              <w:rPr>
                <w:b/>
                <w:bCs/>
                <w:sz w:val="22"/>
                <w:szCs w:val="22"/>
              </w:rPr>
              <w:t xml:space="preserve">3.2 </w:t>
            </w:r>
            <w:r w:rsidR="000F7473" w:rsidRPr="003151A2">
              <w:rPr>
                <w:sz w:val="22"/>
                <w:szCs w:val="22"/>
              </w:rPr>
              <w:t>Improve, enhance the existing or create new preparatory events to engage target participants.</w:t>
            </w:r>
          </w:p>
        </w:tc>
        <w:tc>
          <w:tcPr>
            <w:tcW w:w="4819" w:type="dxa"/>
          </w:tcPr>
          <w:p w14:paraId="1B319D37" w14:textId="2F31B3E1" w:rsidR="000F7473" w:rsidRPr="00555347" w:rsidRDefault="000F7473" w:rsidP="000F7473">
            <w:pPr>
              <w:tabs>
                <w:tab w:val="clear" w:pos="794"/>
                <w:tab w:val="left" w:pos="365"/>
              </w:tabs>
              <w:spacing w:before="60" w:after="60"/>
              <w:rPr>
                <w:sz w:val="22"/>
                <w:szCs w:val="22"/>
              </w:rPr>
            </w:pPr>
            <w:r>
              <w:rPr>
                <w:sz w:val="22"/>
                <w:szCs w:val="22"/>
              </w:rPr>
              <w:t>Article 25 of the Convention and Article 3 of the General Rules address the issue of invitations / admission to WTDC. The rights of Sector Members and observers are addressed in Article 3 of the Constitution and PP Resolution 145, respectively. Additional provisions on the rights of Sector Members may also be found in PP Resolution 14.</w:t>
            </w:r>
          </w:p>
        </w:tc>
      </w:tr>
      <w:tr w:rsidR="000F7473" w:rsidRPr="007A5A9E" w14:paraId="7174CAD5" w14:textId="77777777" w:rsidTr="00B57607">
        <w:trPr>
          <w:trHeight w:val="341"/>
        </w:trPr>
        <w:tc>
          <w:tcPr>
            <w:tcW w:w="4957" w:type="dxa"/>
          </w:tcPr>
          <w:p w14:paraId="2FCF78F7" w14:textId="0A2E5526" w:rsidR="000F7473" w:rsidRPr="00F50331" w:rsidRDefault="003151A2" w:rsidP="000F7473">
            <w:pPr>
              <w:tabs>
                <w:tab w:val="clear" w:pos="794"/>
                <w:tab w:val="left" w:pos="365"/>
              </w:tabs>
              <w:spacing w:before="60" w:after="60"/>
              <w:rPr>
                <w:sz w:val="22"/>
                <w:szCs w:val="22"/>
              </w:rPr>
            </w:pPr>
            <w:r>
              <w:rPr>
                <w:b/>
                <w:bCs/>
                <w:sz w:val="22"/>
                <w:szCs w:val="22"/>
              </w:rPr>
              <w:t xml:space="preserve">3.3 </w:t>
            </w:r>
            <w:r w:rsidR="000F7473" w:rsidRPr="00F50331">
              <w:rPr>
                <w:sz w:val="22"/>
                <w:szCs w:val="22"/>
              </w:rPr>
              <w:t xml:space="preserve">External stakeholders could “co-chair” specific tracks and sessions in the conference agenda, examples may be: </w:t>
            </w:r>
          </w:p>
          <w:p w14:paraId="45606071" w14:textId="77777777" w:rsidR="000F7473" w:rsidRDefault="000F7473" w:rsidP="000F7473">
            <w:pPr>
              <w:pStyle w:val="ListParagraph"/>
              <w:numPr>
                <w:ilvl w:val="1"/>
                <w:numId w:val="6"/>
              </w:numPr>
              <w:tabs>
                <w:tab w:val="clear" w:pos="1134"/>
                <w:tab w:val="clear" w:pos="1871"/>
                <w:tab w:val="clear" w:pos="2268"/>
                <w:tab w:val="left" w:pos="365"/>
                <w:tab w:val="left" w:pos="1191"/>
                <w:tab w:val="left" w:pos="1588"/>
                <w:tab w:val="left" w:pos="1985"/>
              </w:tabs>
              <w:spacing w:before="60" w:after="60"/>
              <w:ind w:left="360"/>
              <w:contextualSpacing w:val="0"/>
              <w:rPr>
                <w:sz w:val="22"/>
                <w:szCs w:val="22"/>
              </w:rPr>
            </w:pPr>
            <w:r w:rsidRPr="007A5A9E">
              <w:rPr>
                <w:sz w:val="22"/>
                <w:szCs w:val="22"/>
              </w:rPr>
              <w:t>a track focused on international/bilateral development agencies and partners</w:t>
            </w:r>
            <w:r>
              <w:rPr>
                <w:sz w:val="22"/>
                <w:szCs w:val="22"/>
              </w:rPr>
              <w:t>;</w:t>
            </w:r>
          </w:p>
          <w:p w14:paraId="1D60982F" w14:textId="77777777" w:rsidR="000F7473" w:rsidRDefault="000F7473" w:rsidP="000F7473">
            <w:pPr>
              <w:pStyle w:val="ListParagraph"/>
              <w:numPr>
                <w:ilvl w:val="1"/>
                <w:numId w:val="6"/>
              </w:numPr>
              <w:tabs>
                <w:tab w:val="clear" w:pos="1134"/>
                <w:tab w:val="clear" w:pos="1871"/>
                <w:tab w:val="clear" w:pos="2268"/>
                <w:tab w:val="left" w:pos="365"/>
                <w:tab w:val="left" w:pos="1191"/>
                <w:tab w:val="left" w:pos="1588"/>
                <w:tab w:val="left" w:pos="1985"/>
              </w:tabs>
              <w:spacing w:before="60" w:after="60"/>
              <w:ind w:left="360"/>
              <w:contextualSpacing w:val="0"/>
              <w:rPr>
                <w:sz w:val="22"/>
                <w:szCs w:val="22"/>
              </w:rPr>
            </w:pPr>
            <w:r w:rsidRPr="007A5A9E">
              <w:rPr>
                <w:sz w:val="22"/>
                <w:szCs w:val="22"/>
              </w:rPr>
              <w:t>an educational track</w:t>
            </w:r>
            <w:r>
              <w:rPr>
                <w:sz w:val="22"/>
                <w:szCs w:val="22"/>
              </w:rPr>
              <w:t>;</w:t>
            </w:r>
            <w:r w:rsidRPr="007A5A9E">
              <w:rPr>
                <w:sz w:val="22"/>
                <w:szCs w:val="22"/>
              </w:rPr>
              <w:t xml:space="preserve"> </w:t>
            </w:r>
          </w:p>
          <w:p w14:paraId="1DBB0158" w14:textId="77777777" w:rsidR="000F7473" w:rsidRPr="00F50331" w:rsidRDefault="000F7473" w:rsidP="000F7473">
            <w:pPr>
              <w:pStyle w:val="ListParagraph"/>
              <w:numPr>
                <w:ilvl w:val="1"/>
                <w:numId w:val="6"/>
              </w:numPr>
              <w:tabs>
                <w:tab w:val="clear" w:pos="1134"/>
                <w:tab w:val="clear" w:pos="1871"/>
                <w:tab w:val="clear" w:pos="2268"/>
                <w:tab w:val="left" w:pos="365"/>
                <w:tab w:val="left" w:pos="1191"/>
                <w:tab w:val="left" w:pos="1588"/>
                <w:tab w:val="left" w:pos="1985"/>
              </w:tabs>
              <w:spacing w:before="60" w:after="60"/>
              <w:ind w:left="360"/>
              <w:contextualSpacing w:val="0"/>
              <w:rPr>
                <w:sz w:val="22"/>
                <w:szCs w:val="22"/>
              </w:rPr>
            </w:pPr>
            <w:r>
              <w:rPr>
                <w:sz w:val="22"/>
                <w:szCs w:val="22"/>
              </w:rPr>
              <w:t xml:space="preserve">track on how to </w:t>
            </w:r>
            <w:r w:rsidRPr="00555347">
              <w:rPr>
                <w:sz w:val="22"/>
                <w:szCs w:val="22"/>
              </w:rPr>
              <w:t>finance the ICT ecosystem</w:t>
            </w:r>
            <w:r>
              <w:rPr>
                <w:sz w:val="22"/>
                <w:szCs w:val="22"/>
              </w:rPr>
              <w:t>.</w:t>
            </w:r>
          </w:p>
        </w:tc>
        <w:tc>
          <w:tcPr>
            <w:tcW w:w="4819" w:type="dxa"/>
          </w:tcPr>
          <w:p w14:paraId="2A2F3E46" w14:textId="77777777" w:rsidR="000F7473" w:rsidRPr="00555347" w:rsidRDefault="000F7473" w:rsidP="000F7473">
            <w:pPr>
              <w:tabs>
                <w:tab w:val="clear" w:pos="794"/>
                <w:tab w:val="left" w:pos="365"/>
              </w:tabs>
              <w:spacing w:before="60" w:after="60"/>
              <w:rPr>
                <w:sz w:val="22"/>
                <w:szCs w:val="22"/>
              </w:rPr>
            </w:pPr>
          </w:p>
        </w:tc>
      </w:tr>
      <w:tr w:rsidR="000F7473" w:rsidRPr="007A5A9E" w14:paraId="4ADD6411" w14:textId="77777777" w:rsidTr="00B57607">
        <w:trPr>
          <w:trHeight w:val="341"/>
        </w:trPr>
        <w:tc>
          <w:tcPr>
            <w:tcW w:w="4957" w:type="dxa"/>
          </w:tcPr>
          <w:p w14:paraId="2896518E" w14:textId="766E106C" w:rsidR="000F7473" w:rsidRPr="00F50331" w:rsidRDefault="003151A2" w:rsidP="000F7473">
            <w:pPr>
              <w:tabs>
                <w:tab w:val="clear" w:pos="794"/>
                <w:tab w:val="left" w:pos="365"/>
              </w:tabs>
              <w:spacing w:before="60" w:after="60"/>
              <w:rPr>
                <w:sz w:val="22"/>
                <w:szCs w:val="22"/>
              </w:rPr>
            </w:pPr>
            <w:r>
              <w:rPr>
                <w:b/>
                <w:bCs/>
                <w:sz w:val="22"/>
                <w:szCs w:val="22"/>
              </w:rPr>
              <w:t xml:space="preserve">3.4 </w:t>
            </w:r>
            <w:r w:rsidR="000F7473" w:rsidRPr="00F50331">
              <w:rPr>
                <w:sz w:val="22"/>
                <w:szCs w:val="22"/>
              </w:rPr>
              <w:t>Develop and execute a targeted promotional campaign for WTDC.</w:t>
            </w:r>
          </w:p>
        </w:tc>
        <w:tc>
          <w:tcPr>
            <w:tcW w:w="4819" w:type="dxa"/>
          </w:tcPr>
          <w:p w14:paraId="29C377F3" w14:textId="77777777" w:rsidR="000F7473" w:rsidRPr="00555347" w:rsidRDefault="000F7473" w:rsidP="000F7473">
            <w:pPr>
              <w:tabs>
                <w:tab w:val="clear" w:pos="794"/>
              </w:tabs>
              <w:spacing w:before="60" w:after="60"/>
              <w:rPr>
                <w:sz w:val="22"/>
                <w:szCs w:val="22"/>
              </w:rPr>
            </w:pPr>
          </w:p>
        </w:tc>
      </w:tr>
    </w:tbl>
    <w:p w14:paraId="2A54C242" w14:textId="77777777" w:rsidR="00216028" w:rsidRDefault="00216028" w:rsidP="007A5A9E"/>
    <w:p w14:paraId="10AD2EE7" w14:textId="77777777" w:rsidR="00216028" w:rsidRDefault="00216028">
      <w:pPr>
        <w:tabs>
          <w:tab w:val="clear" w:pos="794"/>
          <w:tab w:val="clear" w:pos="1191"/>
          <w:tab w:val="clear" w:pos="1588"/>
          <w:tab w:val="clear" w:pos="1985"/>
        </w:tabs>
        <w:overflowPunct/>
        <w:autoSpaceDE/>
        <w:autoSpaceDN/>
        <w:adjustRightInd/>
        <w:spacing w:before="0" w:after="160" w:line="259" w:lineRule="auto"/>
        <w:textAlignment w:val="auto"/>
      </w:pPr>
      <w:r>
        <w:br w:type="page"/>
      </w:r>
    </w:p>
    <w:tbl>
      <w:tblPr>
        <w:tblStyle w:val="TableGrid"/>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629"/>
      </w:tblGrid>
      <w:tr w:rsidR="00B57607" w14:paraId="35F406B0" w14:textId="77777777" w:rsidTr="004346F1">
        <w:tc>
          <w:tcPr>
            <w:tcW w:w="9629" w:type="dxa"/>
          </w:tcPr>
          <w:p w14:paraId="125730B3" w14:textId="62C25C68" w:rsidR="00B57607" w:rsidRDefault="00B57607" w:rsidP="004346F1">
            <w:pPr>
              <w:keepNext/>
              <w:spacing w:before="80" w:after="80"/>
              <w:rPr>
                <w:b/>
                <w:bCs/>
                <w:sz w:val="28"/>
                <w:szCs w:val="28"/>
              </w:rPr>
            </w:pPr>
            <w:r w:rsidRPr="007A5A9E">
              <w:rPr>
                <w:b/>
                <w:bCs/>
                <w:sz w:val="28"/>
                <w:szCs w:val="28"/>
              </w:rPr>
              <w:lastRenderedPageBreak/>
              <w:t xml:space="preserve">Topic </w:t>
            </w:r>
            <w:r>
              <w:rPr>
                <w:b/>
                <w:bCs/>
                <w:sz w:val="28"/>
                <w:szCs w:val="28"/>
              </w:rPr>
              <w:t>4</w:t>
            </w:r>
            <w:r w:rsidRPr="007A5A9E">
              <w:rPr>
                <w:b/>
                <w:bCs/>
                <w:sz w:val="28"/>
                <w:szCs w:val="28"/>
              </w:rPr>
              <w:t xml:space="preserve">: </w:t>
            </w:r>
            <w:r>
              <w:rPr>
                <w:b/>
                <w:bCs/>
                <w:sz w:val="28"/>
                <w:szCs w:val="28"/>
              </w:rPr>
              <w:t>S</w:t>
            </w:r>
            <w:r w:rsidRPr="007A5A9E">
              <w:rPr>
                <w:b/>
                <w:bCs/>
                <w:sz w:val="28"/>
                <w:szCs w:val="28"/>
              </w:rPr>
              <w:t>ide events</w:t>
            </w:r>
          </w:p>
        </w:tc>
      </w:tr>
    </w:tbl>
    <w:p w14:paraId="6DB16899" w14:textId="77777777" w:rsidR="00B57607" w:rsidRPr="005C641D" w:rsidRDefault="00B57607" w:rsidP="00B57607">
      <w:pPr>
        <w:keepNext/>
        <w:spacing w:before="0"/>
        <w:rPr>
          <w:szCs w:val="24"/>
        </w:rPr>
      </w:pPr>
    </w:p>
    <w:tbl>
      <w:tblPr>
        <w:tblStyle w:val="TableGrid"/>
        <w:tblW w:w="9776" w:type="dxa"/>
        <w:tblLook w:val="04A0" w:firstRow="1" w:lastRow="0" w:firstColumn="1" w:lastColumn="0" w:noHBand="0" w:noVBand="1"/>
      </w:tblPr>
      <w:tblGrid>
        <w:gridCol w:w="4957"/>
        <w:gridCol w:w="4819"/>
      </w:tblGrid>
      <w:tr w:rsidR="00216028" w:rsidRPr="007A5A9E" w14:paraId="550FDA6A" w14:textId="77777777" w:rsidTr="00AD23C9">
        <w:trPr>
          <w:trHeight w:val="341"/>
        </w:trPr>
        <w:tc>
          <w:tcPr>
            <w:tcW w:w="4957" w:type="dxa"/>
            <w:shd w:val="clear" w:color="auto" w:fill="EEECE1" w:themeFill="background2"/>
            <w:vAlign w:val="center"/>
          </w:tcPr>
          <w:p w14:paraId="473E73FC" w14:textId="77777777" w:rsidR="00216028" w:rsidRPr="007A5A9E" w:rsidRDefault="00216028" w:rsidP="00AD23C9">
            <w:pPr>
              <w:spacing w:after="120"/>
              <w:jc w:val="center"/>
              <w:rPr>
                <w:b/>
                <w:bCs/>
                <w:sz w:val="22"/>
                <w:szCs w:val="22"/>
              </w:rPr>
            </w:pPr>
            <w:r>
              <w:rPr>
                <w:b/>
                <w:bCs/>
                <w:sz w:val="22"/>
                <w:szCs w:val="22"/>
              </w:rPr>
              <w:t>Proposals</w:t>
            </w:r>
          </w:p>
        </w:tc>
        <w:tc>
          <w:tcPr>
            <w:tcW w:w="4819" w:type="dxa"/>
            <w:shd w:val="clear" w:color="auto" w:fill="EEECE1" w:themeFill="background2"/>
            <w:vAlign w:val="center"/>
          </w:tcPr>
          <w:p w14:paraId="41F4528E" w14:textId="77777777" w:rsidR="00216028" w:rsidRPr="007A5A9E" w:rsidRDefault="00216028" w:rsidP="00AD23C9">
            <w:pPr>
              <w:spacing w:after="120"/>
              <w:jc w:val="center"/>
              <w:rPr>
                <w:b/>
                <w:bCs/>
                <w:sz w:val="22"/>
                <w:szCs w:val="22"/>
              </w:rPr>
            </w:pPr>
            <w:r>
              <w:rPr>
                <w:b/>
                <w:bCs/>
                <w:sz w:val="22"/>
                <w:szCs w:val="22"/>
              </w:rPr>
              <w:t>Relevant Legal or Procedural Provisions/Comments</w:t>
            </w:r>
          </w:p>
        </w:tc>
      </w:tr>
      <w:tr w:rsidR="00216028" w:rsidRPr="007A5A9E" w14:paraId="71E432E7" w14:textId="77777777" w:rsidTr="00B57607">
        <w:trPr>
          <w:trHeight w:val="341"/>
        </w:trPr>
        <w:tc>
          <w:tcPr>
            <w:tcW w:w="4957" w:type="dxa"/>
          </w:tcPr>
          <w:p w14:paraId="5C3B03A0" w14:textId="77777777" w:rsidR="00216028" w:rsidRPr="000F1C5F" w:rsidRDefault="00216028" w:rsidP="00962CDC">
            <w:pPr>
              <w:spacing w:before="60" w:after="60"/>
              <w:rPr>
                <w:sz w:val="22"/>
                <w:szCs w:val="22"/>
                <w:lang w:val="en-US"/>
              </w:rPr>
            </w:pPr>
            <w:r w:rsidRPr="000F1C5F">
              <w:rPr>
                <w:sz w:val="22"/>
                <w:szCs w:val="22"/>
                <w:lang w:val="en-US"/>
              </w:rPr>
              <w:t>Design side events to create impact with carefully selected theme(s), stakeholders, clear agenda and value proposition.</w:t>
            </w:r>
          </w:p>
          <w:p w14:paraId="5F06F946" w14:textId="5699D8DF" w:rsidR="00216028" w:rsidRPr="000F1C5F" w:rsidRDefault="00216028" w:rsidP="00962CDC">
            <w:pPr>
              <w:spacing w:before="60" w:after="60"/>
              <w:rPr>
                <w:sz w:val="22"/>
                <w:szCs w:val="22"/>
              </w:rPr>
            </w:pPr>
            <w:r w:rsidRPr="000F1C5F">
              <w:rPr>
                <w:sz w:val="22"/>
                <w:szCs w:val="22"/>
              </w:rPr>
              <w:t xml:space="preserve">For this purpose, there </w:t>
            </w:r>
            <w:r w:rsidR="001B7891">
              <w:rPr>
                <w:sz w:val="22"/>
                <w:szCs w:val="22"/>
              </w:rPr>
              <w:t>c</w:t>
            </w:r>
            <w:r w:rsidRPr="000F1C5F">
              <w:rPr>
                <w:sz w:val="22"/>
                <w:szCs w:val="22"/>
              </w:rPr>
              <w:t>ould be:</w:t>
            </w:r>
          </w:p>
          <w:p w14:paraId="2995DEB4" w14:textId="10F2667B" w:rsidR="00216028" w:rsidRPr="00A343C4" w:rsidRDefault="00A343C4" w:rsidP="00A343C4">
            <w:pPr>
              <w:tabs>
                <w:tab w:val="left" w:pos="369"/>
              </w:tabs>
              <w:spacing w:before="60" w:after="60"/>
              <w:rPr>
                <w:sz w:val="22"/>
                <w:szCs w:val="22"/>
              </w:rPr>
            </w:pPr>
            <w:r>
              <w:rPr>
                <w:b/>
                <w:bCs/>
                <w:sz w:val="22"/>
                <w:szCs w:val="22"/>
              </w:rPr>
              <w:t xml:space="preserve">4.1 </w:t>
            </w:r>
            <w:r w:rsidR="00216028" w:rsidRPr="00A343C4">
              <w:rPr>
                <w:sz w:val="22"/>
                <w:szCs w:val="22"/>
              </w:rPr>
              <w:t>A distinct “side-event” preparatory process.</w:t>
            </w:r>
          </w:p>
          <w:p w14:paraId="3B54DE0A" w14:textId="745CDDB5" w:rsidR="00244CE4" w:rsidRPr="00A343C4" w:rsidRDefault="00A343C4" w:rsidP="00A343C4">
            <w:pPr>
              <w:tabs>
                <w:tab w:val="left" w:pos="369"/>
              </w:tabs>
              <w:spacing w:before="60" w:after="60"/>
              <w:rPr>
                <w:sz w:val="22"/>
                <w:szCs w:val="22"/>
              </w:rPr>
            </w:pPr>
            <w:r>
              <w:rPr>
                <w:b/>
                <w:bCs/>
                <w:sz w:val="22"/>
                <w:szCs w:val="22"/>
              </w:rPr>
              <w:t xml:space="preserve">4.2 </w:t>
            </w:r>
            <w:r w:rsidR="00244CE4" w:rsidRPr="00A343C4">
              <w:rPr>
                <w:sz w:val="22"/>
                <w:szCs w:val="22"/>
              </w:rPr>
              <w:t xml:space="preserve">Side-events </w:t>
            </w:r>
            <w:r w:rsidR="001B7891" w:rsidRPr="00A343C4">
              <w:rPr>
                <w:sz w:val="22"/>
                <w:szCs w:val="22"/>
              </w:rPr>
              <w:t xml:space="preserve">could be </w:t>
            </w:r>
            <w:r w:rsidR="00244CE4" w:rsidRPr="00A343C4">
              <w:rPr>
                <w:sz w:val="22"/>
                <w:szCs w:val="22"/>
              </w:rPr>
              <w:t xml:space="preserve">made an integral part </w:t>
            </w:r>
            <w:r w:rsidR="00244CE4" w:rsidRPr="00A343C4">
              <w:rPr>
                <w:sz w:val="22"/>
                <w:szCs w:val="22"/>
                <w:lang w:val="en-US"/>
              </w:rPr>
              <w:t>of WTDC and constitut</w:t>
            </w:r>
            <w:r w:rsidR="00DB1DA2" w:rsidRPr="00A343C4">
              <w:rPr>
                <w:sz w:val="22"/>
                <w:szCs w:val="22"/>
                <w:lang w:val="en-US"/>
              </w:rPr>
              <w:t>ing</w:t>
            </w:r>
            <w:r w:rsidR="00244CE4" w:rsidRPr="00A343C4">
              <w:rPr>
                <w:sz w:val="22"/>
                <w:szCs w:val="22"/>
                <w:lang w:val="en-US"/>
              </w:rPr>
              <w:t xml:space="preserve"> a “</w:t>
            </w:r>
            <w:r w:rsidR="00244CE4" w:rsidRPr="00A343C4">
              <w:rPr>
                <w:i/>
                <w:iCs/>
                <w:sz w:val="22"/>
                <w:szCs w:val="22"/>
              </w:rPr>
              <w:t>development</w:t>
            </w:r>
            <w:r w:rsidR="00244CE4" w:rsidRPr="00A343C4">
              <w:rPr>
                <w:sz w:val="22"/>
                <w:szCs w:val="22"/>
                <w:lang w:val="en-US"/>
              </w:rPr>
              <w:t>” track in complement to the current program of the conference.</w:t>
            </w:r>
          </w:p>
          <w:p w14:paraId="758D64EC" w14:textId="3D983767" w:rsidR="00216028" w:rsidRPr="00A343C4" w:rsidRDefault="00A343C4" w:rsidP="00A343C4">
            <w:pPr>
              <w:spacing w:before="60" w:after="60"/>
              <w:rPr>
                <w:sz w:val="22"/>
                <w:szCs w:val="22"/>
              </w:rPr>
            </w:pPr>
            <w:r>
              <w:rPr>
                <w:b/>
                <w:bCs/>
                <w:sz w:val="22"/>
                <w:szCs w:val="22"/>
              </w:rPr>
              <w:t xml:space="preserve">4.3 </w:t>
            </w:r>
            <w:r w:rsidR="00216028" w:rsidRPr="00A343C4">
              <w:rPr>
                <w:sz w:val="22"/>
                <w:szCs w:val="22"/>
              </w:rPr>
              <w:t>A post-conference process after WTDC to further coordinate or implement “side-event” outcomes with the involved stakeholders.</w:t>
            </w:r>
          </w:p>
        </w:tc>
        <w:tc>
          <w:tcPr>
            <w:tcW w:w="4819" w:type="dxa"/>
          </w:tcPr>
          <w:p w14:paraId="4C65A127" w14:textId="77777777" w:rsidR="00216028" w:rsidRPr="000F1C5F" w:rsidRDefault="00216028" w:rsidP="004048FF">
            <w:pPr>
              <w:tabs>
                <w:tab w:val="clear" w:pos="794"/>
                <w:tab w:val="left" w:pos="369"/>
              </w:tabs>
              <w:spacing w:before="60" w:after="60"/>
              <w:ind w:left="369" w:hanging="369"/>
              <w:rPr>
                <w:sz w:val="22"/>
                <w:szCs w:val="22"/>
              </w:rPr>
            </w:pPr>
          </w:p>
        </w:tc>
      </w:tr>
      <w:tr w:rsidR="00216028" w:rsidRPr="007A5A9E" w14:paraId="3F254C62" w14:textId="77777777" w:rsidTr="00B57607">
        <w:trPr>
          <w:trHeight w:val="341"/>
        </w:trPr>
        <w:tc>
          <w:tcPr>
            <w:tcW w:w="4957" w:type="dxa"/>
          </w:tcPr>
          <w:p w14:paraId="3F1B499B" w14:textId="27BCB7C4" w:rsidR="00244CE4" w:rsidRPr="00244CE4" w:rsidRDefault="00DB1DA2" w:rsidP="00244CE4">
            <w:pPr>
              <w:tabs>
                <w:tab w:val="left" w:pos="369"/>
              </w:tabs>
              <w:spacing w:before="60" w:after="60"/>
              <w:rPr>
                <w:sz w:val="22"/>
                <w:szCs w:val="22"/>
                <w:lang w:val="en-US"/>
              </w:rPr>
            </w:pPr>
            <w:r>
              <w:rPr>
                <w:sz w:val="22"/>
                <w:szCs w:val="22"/>
                <w:lang w:val="en-US"/>
              </w:rPr>
              <w:t>Characteristics</w:t>
            </w:r>
            <w:r w:rsidR="00244CE4">
              <w:rPr>
                <w:sz w:val="22"/>
                <w:szCs w:val="22"/>
                <w:lang w:val="en-US"/>
              </w:rPr>
              <w:t xml:space="preserve"> of the “development” track during WTDC:</w:t>
            </w:r>
          </w:p>
          <w:p w14:paraId="3B7D71E9" w14:textId="0C6479FD" w:rsidR="00216028" w:rsidRPr="00A343C4" w:rsidRDefault="00A343C4" w:rsidP="00A343C4">
            <w:pPr>
              <w:tabs>
                <w:tab w:val="left" w:pos="369"/>
              </w:tabs>
              <w:spacing w:before="60" w:after="60"/>
              <w:rPr>
                <w:sz w:val="22"/>
                <w:szCs w:val="22"/>
                <w:lang w:val="en-US"/>
              </w:rPr>
            </w:pPr>
            <w:r>
              <w:rPr>
                <w:b/>
                <w:bCs/>
                <w:sz w:val="22"/>
                <w:szCs w:val="22"/>
                <w:lang w:val="en-US"/>
              </w:rPr>
              <w:t xml:space="preserve">4.4 </w:t>
            </w:r>
            <w:r w:rsidR="00216028" w:rsidRPr="00A343C4">
              <w:rPr>
                <w:sz w:val="22"/>
                <w:szCs w:val="22"/>
                <w:lang w:val="en-US"/>
              </w:rPr>
              <w:t>The development track could be organized around key thematic areas, for example “regional priorities”</w:t>
            </w:r>
            <w:r w:rsidR="001B7891" w:rsidRPr="00A343C4">
              <w:rPr>
                <w:sz w:val="22"/>
                <w:szCs w:val="22"/>
                <w:lang w:val="en-US"/>
              </w:rPr>
              <w:t xml:space="preserve"> should be diverse, </w:t>
            </w:r>
            <w:proofErr w:type="gramStart"/>
            <w:r w:rsidR="001B7891" w:rsidRPr="00A343C4">
              <w:rPr>
                <w:sz w:val="22"/>
                <w:szCs w:val="22"/>
                <w:lang w:val="en-US"/>
              </w:rPr>
              <w:t>interactive</w:t>
            </w:r>
            <w:proofErr w:type="gramEnd"/>
            <w:r w:rsidR="001B7891" w:rsidRPr="00A343C4">
              <w:rPr>
                <w:sz w:val="22"/>
                <w:szCs w:val="22"/>
                <w:lang w:val="en-US"/>
              </w:rPr>
              <w:t xml:space="preserve"> and dynamic.</w:t>
            </w:r>
          </w:p>
          <w:p w14:paraId="5687C0EC" w14:textId="658DC26D" w:rsidR="00216028" w:rsidRPr="00A343C4" w:rsidRDefault="00A343C4" w:rsidP="00A343C4">
            <w:pPr>
              <w:tabs>
                <w:tab w:val="left" w:pos="369"/>
              </w:tabs>
              <w:spacing w:before="60" w:after="60"/>
              <w:rPr>
                <w:sz w:val="22"/>
                <w:szCs w:val="22"/>
                <w:lang w:val="en-US"/>
              </w:rPr>
            </w:pPr>
            <w:r>
              <w:rPr>
                <w:rFonts w:cstheme="minorHAnsi"/>
                <w:b/>
                <w:bCs/>
                <w:sz w:val="22"/>
                <w:szCs w:val="22"/>
              </w:rPr>
              <w:t xml:space="preserve">4.5 </w:t>
            </w:r>
            <w:r w:rsidR="00216028" w:rsidRPr="00A343C4">
              <w:rPr>
                <w:rFonts w:cstheme="minorHAnsi"/>
                <w:sz w:val="22"/>
                <w:szCs w:val="22"/>
              </w:rPr>
              <w:t xml:space="preserve">The High-Level policy session (which includes delivery of policy statements) could be repurposed to become thematic events to address development challenges and clearly identified priorities. The thematic events could aim to find solutions to those challenges, including the financing aspects. </w:t>
            </w:r>
          </w:p>
          <w:p w14:paraId="3101104D" w14:textId="288B9164" w:rsidR="00216028" w:rsidRPr="00A343C4" w:rsidRDefault="00A343C4" w:rsidP="00A343C4">
            <w:pPr>
              <w:tabs>
                <w:tab w:val="left" w:pos="369"/>
              </w:tabs>
              <w:spacing w:before="60" w:after="60"/>
              <w:rPr>
                <w:sz w:val="22"/>
                <w:szCs w:val="22"/>
                <w:lang w:val="en-US"/>
              </w:rPr>
            </w:pPr>
            <w:r>
              <w:rPr>
                <w:b/>
                <w:bCs/>
                <w:sz w:val="22"/>
                <w:szCs w:val="22"/>
                <w:lang w:val="en-US"/>
              </w:rPr>
              <w:t xml:space="preserve">4.6 </w:t>
            </w:r>
            <w:r w:rsidR="00216028" w:rsidRPr="00A343C4">
              <w:rPr>
                <w:sz w:val="22"/>
                <w:szCs w:val="22"/>
                <w:lang w:val="en-US"/>
              </w:rPr>
              <w:t xml:space="preserve">The </w:t>
            </w:r>
            <w:r w:rsidR="00244CE4" w:rsidRPr="00A343C4">
              <w:rPr>
                <w:sz w:val="22"/>
                <w:szCs w:val="22"/>
                <w:lang w:val="en-US"/>
              </w:rPr>
              <w:t xml:space="preserve">speakers and </w:t>
            </w:r>
            <w:r w:rsidR="00216028" w:rsidRPr="00A343C4">
              <w:rPr>
                <w:sz w:val="22"/>
                <w:szCs w:val="22"/>
                <w:lang w:val="en-US"/>
              </w:rPr>
              <w:t>audience could include 4 types of stakeholders (problem owners, solution owners, fund owners and beneficiaries) to increase chances of interaction and interest.</w:t>
            </w:r>
          </w:p>
          <w:p w14:paraId="10DB2966" w14:textId="6512D25A" w:rsidR="00216028" w:rsidRPr="00A343C4" w:rsidRDefault="00A343C4" w:rsidP="00A343C4">
            <w:pPr>
              <w:tabs>
                <w:tab w:val="left" w:pos="369"/>
              </w:tabs>
              <w:spacing w:before="60" w:after="60"/>
              <w:rPr>
                <w:sz w:val="22"/>
                <w:szCs w:val="22"/>
              </w:rPr>
            </w:pPr>
            <w:r>
              <w:rPr>
                <w:b/>
                <w:bCs/>
                <w:sz w:val="22"/>
                <w:szCs w:val="22"/>
                <w:lang w:val="en-US"/>
              </w:rPr>
              <w:t xml:space="preserve">4.7 </w:t>
            </w:r>
            <w:r w:rsidR="00216028" w:rsidRPr="00A343C4">
              <w:rPr>
                <w:sz w:val="22"/>
                <w:szCs w:val="22"/>
                <w:lang w:val="en-US"/>
              </w:rPr>
              <w:t>Outcomes of this development track could be new/</w:t>
            </w:r>
            <w:r w:rsidR="00216028" w:rsidRPr="00A343C4">
              <w:rPr>
                <w:sz w:val="22"/>
                <w:szCs w:val="22"/>
              </w:rPr>
              <w:t>finalized</w:t>
            </w:r>
            <w:r w:rsidR="00216028" w:rsidRPr="00A343C4">
              <w:rPr>
                <w:sz w:val="22"/>
                <w:szCs w:val="22"/>
                <w:lang w:val="en-US"/>
              </w:rPr>
              <w:t xml:space="preserve"> project proposals and initiatives in relation with the themes, expressions of interest/commitments to finance them, concrete work plans to follow-up on them. </w:t>
            </w:r>
          </w:p>
        </w:tc>
        <w:tc>
          <w:tcPr>
            <w:tcW w:w="4819" w:type="dxa"/>
          </w:tcPr>
          <w:p w14:paraId="42CFF636" w14:textId="77777777" w:rsidR="00216028" w:rsidRPr="000F1C5F" w:rsidRDefault="00216028" w:rsidP="004048FF">
            <w:pPr>
              <w:tabs>
                <w:tab w:val="clear" w:pos="794"/>
                <w:tab w:val="left" w:pos="369"/>
              </w:tabs>
              <w:spacing w:before="60" w:after="60"/>
              <w:ind w:left="369" w:hanging="369"/>
              <w:rPr>
                <w:sz w:val="22"/>
                <w:szCs w:val="22"/>
                <w:lang w:val="en-US"/>
              </w:rPr>
            </w:pPr>
          </w:p>
        </w:tc>
      </w:tr>
    </w:tbl>
    <w:p w14:paraId="14F0327B" w14:textId="77777777" w:rsidR="00216028" w:rsidRDefault="00216028" w:rsidP="000B4C87"/>
    <w:p w14:paraId="7BAF8EA4" w14:textId="2939E35B" w:rsidR="00821996" w:rsidRDefault="003C58BF" w:rsidP="00FE1D3E">
      <w:pPr>
        <w:tabs>
          <w:tab w:val="clear" w:pos="794"/>
          <w:tab w:val="clear" w:pos="1191"/>
          <w:tab w:val="clear" w:pos="1588"/>
          <w:tab w:val="clear" w:pos="1985"/>
        </w:tabs>
        <w:spacing w:after="120"/>
        <w:jc w:val="center"/>
      </w:pPr>
      <w:bookmarkStart w:id="4" w:name="Proposal"/>
      <w:bookmarkEnd w:id="4"/>
      <w:r>
        <w:t>_____________</w:t>
      </w:r>
      <w:r w:rsidR="004122C5">
        <w:t>_</w:t>
      </w:r>
      <w:r w:rsidR="00922EC1">
        <w:t>_</w:t>
      </w:r>
    </w:p>
    <w:sectPr w:rsidR="00821996"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43F35" w14:textId="77777777" w:rsidR="00064DDD" w:rsidRDefault="00064DDD">
      <w:r>
        <w:separator/>
      </w:r>
    </w:p>
  </w:endnote>
  <w:endnote w:type="continuationSeparator" w:id="0">
    <w:p w14:paraId="033DC8CD" w14:textId="77777777" w:rsidR="00064DDD" w:rsidRDefault="0006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C196" w14:textId="77777777" w:rsidR="00B74B40" w:rsidRPr="006D271A" w:rsidRDefault="00B74B40" w:rsidP="00B74B4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p w14:paraId="3A775559" w14:textId="77777777" w:rsidR="00B74B40" w:rsidRDefault="00B74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77777777"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8F1E9" w14:textId="77777777" w:rsidR="00064DDD" w:rsidRDefault="00064DDD">
      <w:r>
        <w:t>____________________</w:t>
      </w:r>
    </w:p>
  </w:footnote>
  <w:footnote w:type="continuationSeparator" w:id="0">
    <w:p w14:paraId="62F361BE" w14:textId="77777777" w:rsidR="00064DDD" w:rsidRDefault="0006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721657" w:rsidRPr="00A525CC" w:rsidRDefault="00721657"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381A"/>
    <w:multiLevelType w:val="hybridMultilevel"/>
    <w:tmpl w:val="CA46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016D8"/>
    <w:multiLevelType w:val="hybridMultilevel"/>
    <w:tmpl w:val="8B7A2860"/>
    <w:lvl w:ilvl="0" w:tplc="30E412B8">
      <w:start w:val="1"/>
      <w:numFmt w:val="decimal"/>
      <w:lvlText w:val="%1."/>
      <w:lvlJc w:val="left"/>
      <w:pPr>
        <w:ind w:left="728" w:hanging="368"/>
      </w:pPr>
      <w:rPr>
        <w:rFonts w:asciiTheme="minorHAnsi" w:eastAsia="Times New Roman" w:hAnsiTheme="minorHAns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0F90B92"/>
    <w:multiLevelType w:val="hybridMultilevel"/>
    <w:tmpl w:val="3E2C81E0"/>
    <w:lvl w:ilvl="0" w:tplc="B7222814">
      <w:start w:val="1"/>
      <w:numFmt w:val="decimal"/>
      <w:lvlText w:val="%1."/>
      <w:lvlJc w:val="left"/>
      <w:pPr>
        <w:ind w:left="728" w:hanging="36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865CEF"/>
    <w:multiLevelType w:val="hybridMultilevel"/>
    <w:tmpl w:val="D980A3BA"/>
    <w:lvl w:ilvl="0" w:tplc="A4827C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F5125"/>
    <w:multiLevelType w:val="hybridMultilevel"/>
    <w:tmpl w:val="83049FB6"/>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E9F20CA"/>
    <w:multiLevelType w:val="hybridMultilevel"/>
    <w:tmpl w:val="741EFF8C"/>
    <w:lvl w:ilvl="0" w:tplc="2382B5FE">
      <w:start w:val="1"/>
      <w:numFmt w:val="decimal"/>
      <w:lvlText w:val="%1."/>
      <w:lvlJc w:val="left"/>
      <w:pPr>
        <w:ind w:left="360" w:hanging="360"/>
      </w:pPr>
      <w:rPr>
        <w:rFonts w:asciiTheme="minorHAnsi" w:hAnsiTheme="minorHAnsi" w:cstheme="minorHAnsi"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827"/>
    <w:rsid w:val="00015089"/>
    <w:rsid w:val="00017F81"/>
    <w:rsid w:val="0002520B"/>
    <w:rsid w:val="00037A9E"/>
    <w:rsid w:val="00037F91"/>
    <w:rsid w:val="000539F1"/>
    <w:rsid w:val="00054747"/>
    <w:rsid w:val="00055A2A"/>
    <w:rsid w:val="000615C1"/>
    <w:rsid w:val="00061675"/>
    <w:rsid w:val="00064DDD"/>
    <w:rsid w:val="000743AA"/>
    <w:rsid w:val="0009225C"/>
    <w:rsid w:val="000A17C4"/>
    <w:rsid w:val="000A36A4"/>
    <w:rsid w:val="000A3A00"/>
    <w:rsid w:val="000B2352"/>
    <w:rsid w:val="000C7B84"/>
    <w:rsid w:val="000D261B"/>
    <w:rsid w:val="000D58A3"/>
    <w:rsid w:val="000E3ED4"/>
    <w:rsid w:val="000E3F9C"/>
    <w:rsid w:val="000F1550"/>
    <w:rsid w:val="000F251B"/>
    <w:rsid w:val="000F5FE8"/>
    <w:rsid w:val="000F6644"/>
    <w:rsid w:val="000F7473"/>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3BFB"/>
    <w:rsid w:val="00175ADF"/>
    <w:rsid w:val="00175CAE"/>
    <w:rsid w:val="001828DB"/>
    <w:rsid w:val="001850FE"/>
    <w:rsid w:val="00185135"/>
    <w:rsid w:val="00187A4A"/>
    <w:rsid w:val="0019037C"/>
    <w:rsid w:val="001905A9"/>
    <w:rsid w:val="00191273"/>
    <w:rsid w:val="001942A7"/>
    <w:rsid w:val="00194F24"/>
    <w:rsid w:val="0019587B"/>
    <w:rsid w:val="001A163D"/>
    <w:rsid w:val="001A441E"/>
    <w:rsid w:val="001A6733"/>
    <w:rsid w:val="001B357F"/>
    <w:rsid w:val="001B7891"/>
    <w:rsid w:val="001C3444"/>
    <w:rsid w:val="001C3702"/>
    <w:rsid w:val="001C4656"/>
    <w:rsid w:val="001C46BC"/>
    <w:rsid w:val="001F23E6"/>
    <w:rsid w:val="001F4238"/>
    <w:rsid w:val="00200A38"/>
    <w:rsid w:val="00200A46"/>
    <w:rsid w:val="00211B6F"/>
    <w:rsid w:val="00216028"/>
    <w:rsid w:val="00217CC3"/>
    <w:rsid w:val="00220AB6"/>
    <w:rsid w:val="0022120F"/>
    <w:rsid w:val="0022754A"/>
    <w:rsid w:val="00236560"/>
    <w:rsid w:val="0023662E"/>
    <w:rsid w:val="00244CE4"/>
    <w:rsid w:val="00245D0F"/>
    <w:rsid w:val="002548C3"/>
    <w:rsid w:val="0025738B"/>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28D9"/>
    <w:rsid w:val="0030353C"/>
    <w:rsid w:val="003125C3"/>
    <w:rsid w:val="00312AE6"/>
    <w:rsid w:val="003151A2"/>
    <w:rsid w:val="00317D1A"/>
    <w:rsid w:val="003211FF"/>
    <w:rsid w:val="00321428"/>
    <w:rsid w:val="003242AB"/>
    <w:rsid w:val="00327247"/>
    <w:rsid w:val="003278DD"/>
    <w:rsid w:val="00327A9D"/>
    <w:rsid w:val="0033130E"/>
    <w:rsid w:val="0033269C"/>
    <w:rsid w:val="00351C79"/>
    <w:rsid w:val="0035516C"/>
    <w:rsid w:val="00355A4C"/>
    <w:rsid w:val="003604FB"/>
    <w:rsid w:val="00360B73"/>
    <w:rsid w:val="00367CC5"/>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81B"/>
    <w:rsid w:val="00416DDE"/>
    <w:rsid w:val="0044411E"/>
    <w:rsid w:val="00453435"/>
    <w:rsid w:val="00460089"/>
    <w:rsid w:val="00466398"/>
    <w:rsid w:val="0047306D"/>
    <w:rsid w:val="00473791"/>
    <w:rsid w:val="00476E48"/>
    <w:rsid w:val="00481DE9"/>
    <w:rsid w:val="00484DFE"/>
    <w:rsid w:val="0049128B"/>
    <w:rsid w:val="00493B49"/>
    <w:rsid w:val="00495501"/>
    <w:rsid w:val="004A070A"/>
    <w:rsid w:val="004A320E"/>
    <w:rsid w:val="004A4E9C"/>
    <w:rsid w:val="004B1A3C"/>
    <w:rsid w:val="004B75E2"/>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33DF"/>
    <w:rsid w:val="0056423B"/>
    <w:rsid w:val="00565DBB"/>
    <w:rsid w:val="00573424"/>
    <w:rsid w:val="0057402F"/>
    <w:rsid w:val="00581653"/>
    <w:rsid w:val="005849D6"/>
    <w:rsid w:val="00585367"/>
    <w:rsid w:val="0058581C"/>
    <w:rsid w:val="005871A1"/>
    <w:rsid w:val="0058737E"/>
    <w:rsid w:val="00592518"/>
    <w:rsid w:val="00592E87"/>
    <w:rsid w:val="0059420B"/>
    <w:rsid w:val="00594C4D"/>
    <w:rsid w:val="005A33B0"/>
    <w:rsid w:val="005C2DC2"/>
    <w:rsid w:val="005C304A"/>
    <w:rsid w:val="005C3D69"/>
    <w:rsid w:val="005C641D"/>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2F57"/>
    <w:rsid w:val="006339E9"/>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62D2"/>
    <w:rsid w:val="007115B2"/>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192"/>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0562D"/>
    <w:rsid w:val="00914004"/>
    <w:rsid w:val="00915F3F"/>
    <w:rsid w:val="00922EC1"/>
    <w:rsid w:val="00923CF1"/>
    <w:rsid w:val="009301F1"/>
    <w:rsid w:val="009307DF"/>
    <w:rsid w:val="009359B8"/>
    <w:rsid w:val="00935FF0"/>
    <w:rsid w:val="009431F8"/>
    <w:rsid w:val="00947A35"/>
    <w:rsid w:val="00951C7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C7DCE"/>
    <w:rsid w:val="009D119F"/>
    <w:rsid w:val="009D49A2"/>
    <w:rsid w:val="009D4F4A"/>
    <w:rsid w:val="009F3940"/>
    <w:rsid w:val="009F3EB2"/>
    <w:rsid w:val="009F6EB1"/>
    <w:rsid w:val="00A11D05"/>
    <w:rsid w:val="00A13162"/>
    <w:rsid w:val="00A20267"/>
    <w:rsid w:val="00A3158C"/>
    <w:rsid w:val="00A32DF3"/>
    <w:rsid w:val="00A33E32"/>
    <w:rsid w:val="00A343C4"/>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53AF"/>
    <w:rsid w:val="00AB734E"/>
    <w:rsid w:val="00AB740F"/>
    <w:rsid w:val="00AC6F14"/>
    <w:rsid w:val="00AC7221"/>
    <w:rsid w:val="00AD23C9"/>
    <w:rsid w:val="00AE5961"/>
    <w:rsid w:val="00AF0745"/>
    <w:rsid w:val="00AF4971"/>
    <w:rsid w:val="00AF5276"/>
    <w:rsid w:val="00AF7C86"/>
    <w:rsid w:val="00B01046"/>
    <w:rsid w:val="00B310F9"/>
    <w:rsid w:val="00B37866"/>
    <w:rsid w:val="00B412FB"/>
    <w:rsid w:val="00B4576B"/>
    <w:rsid w:val="00B46350"/>
    <w:rsid w:val="00B46DF3"/>
    <w:rsid w:val="00B57607"/>
    <w:rsid w:val="00B648C7"/>
    <w:rsid w:val="00B66E8F"/>
    <w:rsid w:val="00B74B40"/>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6E6E"/>
    <w:rsid w:val="00BD79F0"/>
    <w:rsid w:val="00BE2B4D"/>
    <w:rsid w:val="00BF3ED3"/>
    <w:rsid w:val="00C015F8"/>
    <w:rsid w:val="00C07E26"/>
    <w:rsid w:val="00C1011C"/>
    <w:rsid w:val="00C12F94"/>
    <w:rsid w:val="00C177C5"/>
    <w:rsid w:val="00C34EC3"/>
    <w:rsid w:val="00C4038C"/>
    <w:rsid w:val="00C42BA2"/>
    <w:rsid w:val="00C44066"/>
    <w:rsid w:val="00C44E13"/>
    <w:rsid w:val="00C44EC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70B"/>
    <w:rsid w:val="00CB79C5"/>
    <w:rsid w:val="00CC359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F30"/>
    <w:rsid w:val="00D1519F"/>
    <w:rsid w:val="00D20E99"/>
    <w:rsid w:val="00D21C83"/>
    <w:rsid w:val="00D35BDD"/>
    <w:rsid w:val="00D63006"/>
    <w:rsid w:val="00D72301"/>
    <w:rsid w:val="00D844DC"/>
    <w:rsid w:val="00D911DE"/>
    <w:rsid w:val="00D91B97"/>
    <w:rsid w:val="00D93ACC"/>
    <w:rsid w:val="00D93C08"/>
    <w:rsid w:val="00D95DAC"/>
    <w:rsid w:val="00DA0B53"/>
    <w:rsid w:val="00DB1171"/>
    <w:rsid w:val="00DB1519"/>
    <w:rsid w:val="00DB1DA2"/>
    <w:rsid w:val="00DB2840"/>
    <w:rsid w:val="00DC1BD3"/>
    <w:rsid w:val="00DC2C1A"/>
    <w:rsid w:val="00DD66B4"/>
    <w:rsid w:val="00DE1972"/>
    <w:rsid w:val="00DE27AB"/>
    <w:rsid w:val="00DF2AB3"/>
    <w:rsid w:val="00DF7250"/>
    <w:rsid w:val="00DF7638"/>
    <w:rsid w:val="00E00CAA"/>
    <w:rsid w:val="00E03EBF"/>
    <w:rsid w:val="00E05209"/>
    <w:rsid w:val="00E11BCF"/>
    <w:rsid w:val="00E17F84"/>
    <w:rsid w:val="00E2258E"/>
    <w:rsid w:val="00E260C2"/>
    <w:rsid w:val="00E32596"/>
    <w:rsid w:val="00E368F7"/>
    <w:rsid w:val="00E36EB8"/>
    <w:rsid w:val="00E37FB8"/>
    <w:rsid w:val="00E40B07"/>
    <w:rsid w:val="00E42326"/>
    <w:rsid w:val="00E43544"/>
    <w:rsid w:val="00E44D89"/>
    <w:rsid w:val="00E477EA"/>
    <w:rsid w:val="00E55807"/>
    <w:rsid w:val="00E63B14"/>
    <w:rsid w:val="00E642D2"/>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2A1"/>
    <w:rsid w:val="00F077FD"/>
    <w:rsid w:val="00F15244"/>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3E"/>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paragraph" w:styleId="BalloonText">
    <w:name w:val="Balloon Text"/>
    <w:basedOn w:val="Normal"/>
    <w:link w:val="BalloonTextChar"/>
    <w:semiHidden/>
    <w:unhideWhenUsed/>
    <w:rsid w:val="00244C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4CE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Conferences/TDAG/Pages/TDAG25/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BC00-32F7-4FB5-BB40-1BAC94B558CD}"/>
</file>

<file path=customXml/itemProps2.xml><?xml version="1.0" encoding="utf-8"?>
<ds:datastoreItem xmlns:ds="http://schemas.openxmlformats.org/officeDocument/2006/customXml" ds:itemID="{7A3F56D9-870E-4A63-BB54-59A4A7ABBDEE}"/>
</file>

<file path=customXml/itemProps3.xml><?xml version="1.0" encoding="utf-8"?>
<ds:datastoreItem xmlns:ds="http://schemas.openxmlformats.org/officeDocument/2006/customXml" ds:itemID="{D89EC32D-7E9A-4927-AEBB-C5CB93DE5866}"/>
</file>

<file path=customXml/itemProps4.xml><?xml version="1.0" encoding="utf-8"?>
<ds:datastoreItem xmlns:ds="http://schemas.openxmlformats.org/officeDocument/2006/customXml" ds:itemID="{630B1F8F-B173-45B9-9291-C68AF5355853}"/>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2</cp:revision>
  <cp:lastPrinted>2014-11-04T09:22:00Z</cp:lastPrinted>
  <dcterms:created xsi:type="dcterms:W3CDTF">2020-04-24T13:49:00Z</dcterms:created>
  <dcterms:modified xsi:type="dcterms:W3CDTF">2020-04-24T13:49:00Z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