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2E6963" w:rsidTr="00756E1A">
        <w:trPr>
          <w:cantSplit/>
          <w:trHeight w:val="1134"/>
        </w:trPr>
        <w:tc>
          <w:tcPr>
            <w:tcW w:w="6379" w:type="dxa"/>
          </w:tcPr>
          <w:p w:rsidR="00CE0DBE" w:rsidRDefault="00CA3DEF" w:rsidP="0054788A">
            <w:pPr>
              <w:rPr>
                <w:b/>
                <w:bCs/>
                <w:sz w:val="32"/>
                <w:szCs w:val="32"/>
              </w:rPr>
            </w:pPr>
            <w:r>
              <w:rPr>
                <w:b/>
                <w:bCs/>
                <w:sz w:val="32"/>
                <w:szCs w:val="32"/>
              </w:rPr>
              <w:t>-</w:t>
            </w:r>
            <w:r w:rsidR="002E6963" w:rsidRPr="006F3D93">
              <w:rPr>
                <w:b/>
                <w:bCs/>
                <w:sz w:val="32"/>
                <w:szCs w:val="32"/>
              </w:rPr>
              <w:t>Telecommunication</w:t>
            </w:r>
            <w:r w:rsidR="00635EDB">
              <w:rPr>
                <w:b/>
                <w:bCs/>
                <w:sz w:val="32"/>
                <w:szCs w:val="32"/>
              </w:rPr>
              <w:t xml:space="preserve"> Development</w:t>
            </w:r>
            <w:r w:rsidR="00F03622">
              <w:rPr>
                <w:b/>
                <w:bCs/>
                <w:sz w:val="32"/>
                <w:szCs w:val="32"/>
              </w:rPr>
              <w:br/>
            </w:r>
            <w:r w:rsidR="00635EDB">
              <w:rPr>
                <w:b/>
                <w:bCs/>
                <w:sz w:val="32"/>
                <w:szCs w:val="32"/>
              </w:rPr>
              <w:t>Advisory Group (TDAG)</w:t>
            </w:r>
          </w:p>
          <w:p w:rsidR="00635EDB" w:rsidRPr="00844A56" w:rsidRDefault="00635EDB" w:rsidP="0054788A">
            <w:pPr>
              <w:rPr>
                <w:rFonts w:ascii="Verdana" w:hAnsi="Verdana"/>
                <w:sz w:val="28"/>
                <w:szCs w:val="28"/>
              </w:rPr>
            </w:pPr>
          </w:p>
        </w:tc>
        <w:tc>
          <w:tcPr>
            <w:tcW w:w="3509" w:type="dxa"/>
          </w:tcPr>
          <w:p w:rsidR="002E6963" w:rsidRPr="00683C32" w:rsidRDefault="00A36F6D" w:rsidP="0054788A">
            <w:pPr>
              <w:spacing w:before="40"/>
              <w:ind w:right="142"/>
            </w:pPr>
            <w:r>
              <w:rPr>
                <w:noProof/>
                <w:lang w:val="en-US" w:eastAsia="zh-CN"/>
              </w:rPr>
              <w:drawing>
                <wp:inline distT="0" distB="0" distL="0" distR="0" wp14:anchorId="1BDE2AC8" wp14:editId="351C061C">
                  <wp:extent cx="1760220" cy="746760"/>
                  <wp:effectExtent l="0" t="0" r="0" b="0"/>
                  <wp:docPr id="2"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795294" w:rsidRPr="00997358" w:rsidTr="00756E1A">
        <w:trPr>
          <w:cantSplit/>
        </w:trPr>
        <w:tc>
          <w:tcPr>
            <w:tcW w:w="6379" w:type="dxa"/>
            <w:tcBorders>
              <w:bottom w:val="single" w:sz="12" w:space="0" w:color="auto"/>
            </w:tcBorders>
          </w:tcPr>
          <w:p w:rsidR="00795294" w:rsidRPr="00997358" w:rsidRDefault="00A36F6D" w:rsidP="0054788A">
            <w:pPr>
              <w:spacing w:before="40" w:after="40"/>
              <w:rPr>
                <w:rFonts w:cs="Arial"/>
                <w:b/>
                <w:bCs/>
                <w:sz w:val="20"/>
              </w:rPr>
            </w:pPr>
            <w:r w:rsidRPr="00010827">
              <w:rPr>
                <w:b/>
                <w:bCs/>
                <w:sz w:val="26"/>
                <w:szCs w:val="26"/>
              </w:rPr>
              <w:t>21</w:t>
            </w:r>
            <w:r w:rsidRPr="00010827">
              <w:rPr>
                <w:b/>
                <w:bCs/>
                <w:sz w:val="26"/>
                <w:szCs w:val="26"/>
                <w:vertAlign w:val="superscript"/>
              </w:rPr>
              <w:t>st</w:t>
            </w:r>
            <w:r w:rsidRPr="00010827">
              <w:rPr>
                <w:b/>
                <w:bCs/>
                <w:sz w:val="26"/>
                <w:szCs w:val="26"/>
              </w:rPr>
              <w:t xml:space="preserve"> Meeting, Geneva, 16-18 March 2016</w:t>
            </w:r>
          </w:p>
        </w:tc>
        <w:tc>
          <w:tcPr>
            <w:tcW w:w="3509" w:type="dxa"/>
            <w:tcBorders>
              <w:bottom w:val="single" w:sz="12" w:space="0" w:color="auto"/>
            </w:tcBorders>
          </w:tcPr>
          <w:p w:rsidR="00795294" w:rsidRPr="00997358" w:rsidRDefault="00795294" w:rsidP="0054788A">
            <w:pPr>
              <w:spacing w:before="40" w:after="40"/>
              <w:rPr>
                <w:b/>
                <w:bCs/>
                <w:sz w:val="20"/>
              </w:rPr>
            </w:pPr>
          </w:p>
        </w:tc>
      </w:tr>
      <w:tr w:rsidR="00683C32" w:rsidRPr="00997358" w:rsidTr="00756E1A">
        <w:trPr>
          <w:cantSplit/>
        </w:trPr>
        <w:tc>
          <w:tcPr>
            <w:tcW w:w="6379" w:type="dxa"/>
            <w:tcBorders>
              <w:top w:val="single" w:sz="12" w:space="0" w:color="auto"/>
            </w:tcBorders>
          </w:tcPr>
          <w:p w:rsidR="00683C32" w:rsidRPr="00997358" w:rsidRDefault="00683C32" w:rsidP="0054788A">
            <w:pPr>
              <w:spacing w:before="0"/>
              <w:rPr>
                <w:rFonts w:cs="Arial"/>
                <w:b/>
                <w:bCs/>
                <w:sz w:val="20"/>
              </w:rPr>
            </w:pPr>
          </w:p>
        </w:tc>
        <w:tc>
          <w:tcPr>
            <w:tcW w:w="3509" w:type="dxa"/>
            <w:tcBorders>
              <w:top w:val="single" w:sz="12" w:space="0" w:color="auto"/>
            </w:tcBorders>
          </w:tcPr>
          <w:p w:rsidR="00683C32" w:rsidRPr="00997358" w:rsidRDefault="00683C32" w:rsidP="0054788A">
            <w:pPr>
              <w:spacing w:before="0"/>
              <w:rPr>
                <w:b/>
                <w:bCs/>
                <w:sz w:val="20"/>
              </w:rPr>
            </w:pPr>
          </w:p>
        </w:tc>
      </w:tr>
      <w:tr w:rsidR="00683C32" w:rsidRPr="00002716" w:rsidTr="00756E1A">
        <w:trPr>
          <w:cantSplit/>
        </w:trPr>
        <w:tc>
          <w:tcPr>
            <w:tcW w:w="6379" w:type="dxa"/>
            <w:vMerge w:val="restart"/>
          </w:tcPr>
          <w:p w:rsidR="00683C32" w:rsidRPr="002E6963" w:rsidRDefault="00683C32" w:rsidP="0054788A">
            <w:pPr>
              <w:pStyle w:val="Committee"/>
              <w:rPr>
                <w:b w:val="0"/>
              </w:rPr>
            </w:pPr>
          </w:p>
        </w:tc>
        <w:tc>
          <w:tcPr>
            <w:tcW w:w="3509" w:type="dxa"/>
          </w:tcPr>
          <w:p w:rsidR="00683C32" w:rsidRPr="00002716" w:rsidRDefault="00380B71" w:rsidP="00756E1A">
            <w:pPr>
              <w:spacing w:before="0"/>
              <w:jc w:val="both"/>
              <w:rPr>
                <w:bCs/>
                <w:lang w:val="en-US"/>
              </w:rPr>
            </w:pPr>
            <w:r w:rsidRPr="00002716">
              <w:rPr>
                <w:b/>
                <w:bCs/>
                <w:lang w:val="en-US"/>
              </w:rPr>
              <w:t>Document</w:t>
            </w:r>
            <w:r w:rsidRPr="00A54E72">
              <w:rPr>
                <w:b/>
                <w:bCs/>
                <w:lang w:val="en-US"/>
              </w:rPr>
              <w:t xml:space="preserve"> </w:t>
            </w:r>
            <w:bookmarkStart w:id="0" w:name="DocRef1"/>
            <w:bookmarkEnd w:id="0"/>
            <w:r w:rsidR="0054788A">
              <w:rPr>
                <w:b/>
                <w:bCs/>
                <w:lang w:val="en-US"/>
              </w:rPr>
              <w:t>TDAG16-21</w:t>
            </w:r>
            <w:r w:rsidRPr="00A54E72">
              <w:rPr>
                <w:b/>
                <w:bCs/>
                <w:lang w:val="en-US"/>
              </w:rPr>
              <w:t>/</w:t>
            </w:r>
            <w:bookmarkStart w:id="1" w:name="DocNo1"/>
            <w:bookmarkEnd w:id="1"/>
            <w:r w:rsidR="00756E1A">
              <w:rPr>
                <w:b/>
                <w:bCs/>
                <w:lang w:val="en-US"/>
              </w:rPr>
              <w:t>ISCT/6</w:t>
            </w:r>
            <w:r w:rsidR="0054788A">
              <w:rPr>
                <w:b/>
                <w:bCs/>
                <w:lang w:val="en-US"/>
              </w:rPr>
              <w:t>-E</w:t>
            </w:r>
          </w:p>
        </w:tc>
      </w:tr>
      <w:tr w:rsidR="00683C32" w:rsidTr="00756E1A">
        <w:trPr>
          <w:cantSplit/>
        </w:trPr>
        <w:tc>
          <w:tcPr>
            <w:tcW w:w="6379" w:type="dxa"/>
            <w:vMerge/>
          </w:tcPr>
          <w:p w:rsidR="00683C32" w:rsidRPr="00002716" w:rsidRDefault="00683C32" w:rsidP="0054788A">
            <w:pPr>
              <w:spacing w:after="120"/>
              <w:rPr>
                <w:b/>
                <w:bCs/>
                <w:smallCaps/>
                <w:lang w:val="en-US"/>
              </w:rPr>
            </w:pPr>
          </w:p>
        </w:tc>
        <w:tc>
          <w:tcPr>
            <w:tcW w:w="3509" w:type="dxa"/>
          </w:tcPr>
          <w:p w:rsidR="00683C32" w:rsidRPr="002E6F8F" w:rsidRDefault="005F4502" w:rsidP="0054788A">
            <w:pPr>
              <w:spacing w:before="0"/>
              <w:rPr>
                <w:b/>
              </w:rPr>
            </w:pPr>
            <w:bookmarkStart w:id="2" w:name="CreationDate"/>
            <w:bookmarkEnd w:id="2"/>
            <w:r>
              <w:rPr>
                <w:b/>
              </w:rPr>
              <w:t>9 March 2016</w:t>
            </w:r>
          </w:p>
        </w:tc>
      </w:tr>
      <w:tr w:rsidR="00683C32" w:rsidTr="00756E1A">
        <w:trPr>
          <w:cantSplit/>
        </w:trPr>
        <w:tc>
          <w:tcPr>
            <w:tcW w:w="6379" w:type="dxa"/>
            <w:vMerge/>
          </w:tcPr>
          <w:p w:rsidR="00683C32" w:rsidRDefault="00683C32" w:rsidP="0054788A">
            <w:pPr>
              <w:spacing w:after="120"/>
              <w:rPr>
                <w:b/>
                <w:bCs/>
                <w:smallCaps/>
              </w:rPr>
            </w:pPr>
          </w:p>
        </w:tc>
        <w:tc>
          <w:tcPr>
            <w:tcW w:w="3509" w:type="dxa"/>
          </w:tcPr>
          <w:p w:rsidR="005F4502" w:rsidRPr="005F4502" w:rsidRDefault="005F4502" w:rsidP="005F4502">
            <w:pPr>
              <w:spacing w:before="0" w:after="240"/>
              <w:rPr>
                <w:b/>
              </w:rPr>
            </w:pPr>
            <w:bookmarkStart w:id="3" w:name="Original"/>
            <w:bookmarkEnd w:id="3"/>
            <w:r>
              <w:rPr>
                <w:b/>
              </w:rPr>
              <w:t>English only</w:t>
            </w:r>
          </w:p>
        </w:tc>
      </w:tr>
      <w:tr w:rsidR="00A13162" w:rsidTr="0054788A">
        <w:trPr>
          <w:cantSplit/>
          <w:trHeight w:val="852"/>
        </w:trPr>
        <w:tc>
          <w:tcPr>
            <w:tcW w:w="9888" w:type="dxa"/>
            <w:gridSpan w:val="2"/>
          </w:tcPr>
          <w:p w:rsidR="00A13162" w:rsidRPr="003604FB" w:rsidRDefault="00756E1A" w:rsidP="0054788A">
            <w:pPr>
              <w:pStyle w:val="Source"/>
              <w:jc w:val="center"/>
              <w:rPr>
                <w:sz w:val="28"/>
                <w:szCs w:val="28"/>
              </w:rPr>
            </w:pPr>
            <w:bookmarkStart w:id="4" w:name="Source"/>
            <w:bookmarkEnd w:id="4"/>
            <w:r>
              <w:rPr>
                <w:sz w:val="28"/>
                <w:szCs w:val="28"/>
              </w:rPr>
              <w:t>Note by the Director of BDT</w:t>
            </w:r>
          </w:p>
        </w:tc>
      </w:tr>
      <w:tr w:rsidR="00AC6F14" w:rsidRPr="002E6963" w:rsidTr="0054788A">
        <w:trPr>
          <w:cantSplit/>
        </w:trPr>
        <w:tc>
          <w:tcPr>
            <w:tcW w:w="9888" w:type="dxa"/>
            <w:gridSpan w:val="2"/>
          </w:tcPr>
          <w:p w:rsidR="00AC6F14" w:rsidRPr="00864C7E" w:rsidRDefault="00864C7E" w:rsidP="0054788A">
            <w:pPr>
              <w:pStyle w:val="Title1"/>
              <w:spacing w:after="120"/>
              <w:jc w:val="center"/>
              <w:rPr>
                <w:rFonts w:cs="Times New Roman"/>
                <w:b w:val="0"/>
                <w:bCs/>
                <w:caps/>
                <w:sz w:val="28"/>
                <w:szCs w:val="28"/>
              </w:rPr>
            </w:pPr>
            <w:bookmarkStart w:id="5" w:name="Title"/>
            <w:bookmarkEnd w:id="5"/>
            <w:r w:rsidRPr="00864C7E">
              <w:rPr>
                <w:rFonts w:cs="Times New Roman"/>
                <w:b w:val="0"/>
                <w:bCs/>
                <w:caps/>
                <w:sz w:val="28"/>
                <w:szCs w:val="28"/>
              </w:rPr>
              <w:t>progress report of the Focus Group on Digital Financial Services (FG-DFS)</w:t>
            </w:r>
          </w:p>
        </w:tc>
      </w:tr>
    </w:tbl>
    <w:p w:rsidR="00756E1A" w:rsidRDefault="00756E1A" w:rsidP="00756E1A">
      <w:pPr>
        <w:spacing w:before="0"/>
      </w:pPr>
    </w:p>
    <w:p w:rsidR="00756E1A" w:rsidRDefault="00756E1A" w:rsidP="00D040F7">
      <w:pPr>
        <w:spacing w:before="0"/>
      </w:pPr>
    </w:p>
    <w:p w:rsidR="00D040F7" w:rsidRDefault="000F251B" w:rsidP="00D040F7">
      <w:pPr>
        <w:pStyle w:val="Normalaftertitle"/>
        <w:pBdr>
          <w:top w:val="single" w:sz="4" w:space="1" w:color="auto"/>
          <w:left w:val="single" w:sz="4" w:space="0" w:color="auto"/>
          <w:bottom w:val="single" w:sz="4" w:space="1" w:color="auto"/>
          <w:right w:val="single" w:sz="4" w:space="4" w:color="auto"/>
        </w:pBdr>
        <w:spacing w:before="0"/>
        <w:ind w:left="284"/>
        <w:rPr>
          <w:b/>
          <w:bCs/>
        </w:rPr>
      </w:pPr>
      <w:r>
        <w:rPr>
          <w:b/>
          <w:bCs/>
        </w:rPr>
        <w:t>Abstract</w:t>
      </w:r>
      <w:r w:rsidR="00D040F7" w:rsidRPr="005E090D">
        <w:rPr>
          <w:b/>
          <w:bCs/>
        </w:rPr>
        <w:t xml:space="preserve">: </w:t>
      </w:r>
    </w:p>
    <w:p w:rsidR="000F7375" w:rsidRDefault="000F7375" w:rsidP="00864C7E">
      <w:pPr>
        <w:pStyle w:val="Normalaftertitle"/>
        <w:pBdr>
          <w:top w:val="single" w:sz="4" w:space="1" w:color="auto"/>
          <w:left w:val="single" w:sz="4" w:space="0" w:color="auto"/>
          <w:bottom w:val="single" w:sz="4" w:space="1" w:color="auto"/>
          <w:right w:val="single" w:sz="4" w:space="4" w:color="auto"/>
        </w:pBdr>
        <w:spacing w:before="120"/>
        <w:ind w:left="284"/>
      </w:pPr>
      <w:bookmarkStart w:id="6" w:name="Abstract"/>
      <w:bookmarkEnd w:id="6"/>
      <w:r>
        <w:t>This document has been received as a contribution from the TSB Director.</w:t>
      </w:r>
    </w:p>
    <w:p w:rsidR="00D6155F" w:rsidRPr="00D6155F" w:rsidRDefault="000F7375" w:rsidP="000F7375">
      <w:pPr>
        <w:pStyle w:val="Normalaftertitle"/>
        <w:pBdr>
          <w:top w:val="single" w:sz="4" w:space="1" w:color="auto"/>
          <w:left w:val="single" w:sz="4" w:space="0" w:color="auto"/>
          <w:bottom w:val="single" w:sz="4" w:space="1" w:color="auto"/>
          <w:right w:val="single" w:sz="4" w:space="4" w:color="auto"/>
        </w:pBdr>
        <w:spacing w:before="120"/>
        <w:ind w:left="284"/>
      </w:pPr>
      <w:r>
        <w:t>It</w:t>
      </w:r>
      <w:r w:rsidR="00D6155F" w:rsidRPr="00D6155F">
        <w:t xml:space="preserve"> provides a progress report on the activities of the ITU-T Focus Group</w:t>
      </w:r>
      <w:r w:rsidR="00864C7E">
        <w:t xml:space="preserve"> on Digital Financial Services (FG-</w:t>
      </w:r>
      <w:r w:rsidR="00D6155F" w:rsidRPr="00D6155F">
        <w:t xml:space="preserve">DFS) during the period May 2015 – February 2016. </w:t>
      </w:r>
    </w:p>
    <w:p w:rsidR="00864C7E" w:rsidRDefault="00D040F7" w:rsidP="00864C7E">
      <w:pPr>
        <w:pStyle w:val="Normalaftertitle"/>
        <w:pBdr>
          <w:top w:val="single" w:sz="4" w:space="1" w:color="auto"/>
          <w:left w:val="single" w:sz="4" w:space="0" w:color="auto"/>
          <w:bottom w:val="single" w:sz="4" w:space="1" w:color="auto"/>
          <w:right w:val="single" w:sz="4" w:space="4" w:color="auto"/>
        </w:pBdr>
        <w:spacing w:before="120"/>
        <w:ind w:left="284"/>
        <w:rPr>
          <w:b/>
          <w:bCs/>
        </w:rPr>
      </w:pPr>
      <w:r w:rsidRPr="005E090D">
        <w:rPr>
          <w:b/>
          <w:bCs/>
        </w:rPr>
        <w:t>Action required:</w:t>
      </w:r>
      <w:bookmarkStart w:id="7" w:name="ActionRequired"/>
      <w:bookmarkEnd w:id="7"/>
    </w:p>
    <w:p w:rsidR="00D6155F" w:rsidRPr="00D6155F" w:rsidRDefault="00D6155F" w:rsidP="00864C7E">
      <w:pPr>
        <w:pStyle w:val="Normalaftertitle"/>
        <w:pBdr>
          <w:top w:val="single" w:sz="4" w:space="1" w:color="auto"/>
          <w:left w:val="single" w:sz="4" w:space="0" w:color="auto"/>
          <w:bottom w:val="single" w:sz="4" w:space="1" w:color="auto"/>
          <w:right w:val="single" w:sz="4" w:space="4" w:color="auto"/>
        </w:pBdr>
        <w:spacing w:before="120"/>
        <w:ind w:left="284"/>
      </w:pPr>
      <w:r w:rsidRPr="00D6155F">
        <w:t xml:space="preserve">TDAG is invited to </w:t>
      </w:r>
      <w:r>
        <w:t>submit comments on the</w:t>
      </w:r>
      <w:r w:rsidRPr="00D6155F">
        <w:t xml:space="preserve"> draft deliverables in Section 4 of the document </w:t>
      </w:r>
      <w:r>
        <w:t>and to submit it for comments to</w:t>
      </w:r>
      <w:r w:rsidRPr="00D6155F">
        <w:t xml:space="preserve"> ITU-D Study Groups 1 and 2. </w:t>
      </w:r>
      <w:r w:rsidR="00864C7E">
        <w:t>E</w:t>
      </w:r>
      <w:r w:rsidRPr="00D6155F">
        <w:t xml:space="preserve">xperts from ITU-D Study Groups 1 and 2 </w:t>
      </w:r>
      <w:r w:rsidR="00864C7E">
        <w:t xml:space="preserve">are kindly invited </w:t>
      </w:r>
      <w:r w:rsidRPr="00D6155F">
        <w:t>to participa</w:t>
      </w:r>
      <w:r w:rsidR="00864C7E">
        <w:t>te in the future meetings of FG-</w:t>
      </w:r>
      <w:r w:rsidRPr="00D6155F">
        <w:t>DFS.</w:t>
      </w:r>
    </w:p>
    <w:p w:rsidR="00D040F7" w:rsidRPr="00962081" w:rsidRDefault="00D040F7" w:rsidP="00864C7E">
      <w:pPr>
        <w:pStyle w:val="Normalaftertitle"/>
        <w:pBdr>
          <w:top w:val="single" w:sz="4" w:space="1" w:color="auto"/>
          <w:left w:val="single" w:sz="4" w:space="0" w:color="auto"/>
          <w:bottom w:val="single" w:sz="4" w:space="1" w:color="auto"/>
          <w:right w:val="single" w:sz="4" w:space="4" w:color="auto"/>
        </w:pBdr>
        <w:spacing w:before="120"/>
        <w:ind w:left="284"/>
      </w:pPr>
    </w:p>
    <w:p w:rsidR="00756E1A" w:rsidRDefault="00756E1A">
      <w:pPr>
        <w:tabs>
          <w:tab w:val="clear" w:pos="794"/>
          <w:tab w:val="clear" w:pos="1191"/>
          <w:tab w:val="clear" w:pos="1588"/>
          <w:tab w:val="clear" w:pos="1985"/>
        </w:tabs>
        <w:overflowPunct/>
        <w:autoSpaceDE/>
        <w:autoSpaceDN/>
        <w:adjustRightInd/>
        <w:spacing w:before="0"/>
        <w:textAlignment w:val="auto"/>
        <w:rPr>
          <w:rFonts w:eastAsia="MS Mincho"/>
          <w:b/>
          <w:szCs w:val="24"/>
        </w:rPr>
      </w:pPr>
      <w:bookmarkStart w:id="8" w:name="Proposal"/>
      <w:bookmarkEnd w:id="8"/>
      <w:r>
        <w:rPr>
          <w:rFonts w:eastAsia="MS Mincho"/>
          <w:b/>
          <w:szCs w:val="24"/>
        </w:rPr>
        <w:br w:type="page"/>
      </w:r>
    </w:p>
    <w:p w:rsidR="00D6155F" w:rsidRPr="005F4502" w:rsidRDefault="00D6155F" w:rsidP="005F4502">
      <w:pPr>
        <w:pStyle w:val="ListParagraph"/>
        <w:keepNext/>
        <w:keepLines/>
        <w:numPr>
          <w:ilvl w:val="0"/>
          <w:numId w:val="4"/>
        </w:numPr>
        <w:tabs>
          <w:tab w:val="clear" w:pos="794"/>
          <w:tab w:val="left" w:pos="426"/>
        </w:tabs>
        <w:spacing w:before="360"/>
        <w:textAlignment w:val="auto"/>
        <w:outlineLvl w:val="0"/>
        <w:rPr>
          <w:rFonts w:eastAsia="MS Mincho"/>
          <w:b/>
          <w:szCs w:val="24"/>
        </w:rPr>
      </w:pPr>
      <w:r w:rsidRPr="005F4502">
        <w:rPr>
          <w:rFonts w:eastAsia="MS Mincho"/>
          <w:b/>
          <w:szCs w:val="24"/>
        </w:rPr>
        <w:lastRenderedPageBreak/>
        <w:t>Introduction</w:t>
      </w:r>
      <w:bookmarkStart w:id="9" w:name="_GoBack"/>
      <w:bookmarkEnd w:id="9"/>
    </w:p>
    <w:p w:rsidR="00D6155F" w:rsidRPr="005F4502" w:rsidRDefault="00D6155F" w:rsidP="005F4502">
      <w:pPr>
        <w:textAlignment w:val="auto"/>
        <w:rPr>
          <w:rFonts w:eastAsia="MS Mincho"/>
          <w:szCs w:val="24"/>
        </w:rPr>
      </w:pPr>
      <w:r w:rsidRPr="005F4502">
        <w:rPr>
          <w:rFonts w:eastAsia="MS Mincho"/>
          <w:szCs w:val="24"/>
        </w:rPr>
        <w:t xml:space="preserve">The Focus Group on Digital Financial Services (FG DFS) was established by TSAG at its meeting of June 2014. The Focus Group held its first meeting on 5 December 2014. The Focus Group has a duration of two years and is expected to complete its work in December 2016. The terms of reference of the Focus Group is available online at: </w:t>
      </w:r>
      <w:hyperlink r:id="rId9" w:history="1">
        <w:r w:rsidRPr="005F4502">
          <w:rPr>
            <w:rFonts w:eastAsia="MS Mincho"/>
            <w:color w:val="0000FF"/>
            <w:szCs w:val="24"/>
            <w:u w:val="single"/>
          </w:rPr>
          <w:t>http://www.itu.int/en/ITU-T/focusgroups/dfs/Pages/default.aspx</w:t>
        </w:r>
      </w:hyperlink>
      <w:r w:rsidRPr="005F4502">
        <w:rPr>
          <w:rFonts w:eastAsia="MS Mincho"/>
          <w:szCs w:val="24"/>
        </w:rPr>
        <w:t xml:space="preserve"> </w:t>
      </w:r>
    </w:p>
    <w:p w:rsidR="00D6155F" w:rsidRPr="005F4502" w:rsidRDefault="00D6155F" w:rsidP="005F4502">
      <w:pPr>
        <w:textAlignment w:val="auto"/>
        <w:rPr>
          <w:rFonts w:eastAsia="MS Mincho"/>
          <w:szCs w:val="24"/>
        </w:rPr>
      </w:pPr>
      <w:r w:rsidRPr="005F4502">
        <w:rPr>
          <w:rFonts w:eastAsia="MS Mincho"/>
          <w:szCs w:val="24"/>
        </w:rPr>
        <w:t xml:space="preserve">Since its establishment, the Focus Group has met four times. All input and output documents for each meeting can be found on the FG DFS Collaboration site: </w:t>
      </w:r>
      <w:hyperlink r:id="rId10" w:history="1">
        <w:r w:rsidRPr="005F4502">
          <w:rPr>
            <w:rFonts w:eastAsia="MS Mincho"/>
            <w:color w:val="0000FF"/>
            <w:szCs w:val="24"/>
            <w:u w:val="single"/>
          </w:rPr>
          <w:t>https://extranet.itu.int/ITU-T/focusgroups/fgdfs/SitePages/Home.aspx</w:t>
        </w:r>
      </w:hyperlink>
      <w:r w:rsidRPr="005F4502">
        <w:rPr>
          <w:rFonts w:eastAsia="MS Mincho"/>
          <w:szCs w:val="24"/>
        </w:rPr>
        <w:t xml:space="preserve">. </w:t>
      </w:r>
    </w:p>
    <w:p w:rsidR="00D6155F" w:rsidRPr="005F4502" w:rsidRDefault="00D6155F" w:rsidP="005F4502">
      <w:pPr>
        <w:pStyle w:val="ListParagraph"/>
        <w:keepNext/>
        <w:keepLines/>
        <w:numPr>
          <w:ilvl w:val="0"/>
          <w:numId w:val="4"/>
        </w:numPr>
        <w:tabs>
          <w:tab w:val="clear" w:pos="794"/>
          <w:tab w:val="left" w:pos="426"/>
        </w:tabs>
        <w:spacing w:before="360"/>
        <w:textAlignment w:val="auto"/>
        <w:outlineLvl w:val="0"/>
        <w:rPr>
          <w:rFonts w:eastAsia="MS Mincho"/>
          <w:b/>
          <w:szCs w:val="24"/>
        </w:rPr>
      </w:pPr>
      <w:r w:rsidRPr="005F4502">
        <w:rPr>
          <w:rFonts w:eastAsia="MS Mincho"/>
          <w:b/>
          <w:szCs w:val="24"/>
        </w:rPr>
        <w:t>Third and Fourth Meetings</w:t>
      </w:r>
    </w:p>
    <w:p w:rsidR="00D6155F" w:rsidRPr="005F4502" w:rsidRDefault="00D6155F" w:rsidP="00864C7E">
      <w:pPr>
        <w:ind w:left="-6" w:right="85"/>
        <w:textAlignment w:val="auto"/>
        <w:rPr>
          <w:rFonts w:eastAsia="MS Mincho" w:cs="Segoe UI"/>
          <w:color w:val="444444"/>
          <w:sz w:val="20"/>
        </w:rPr>
      </w:pPr>
      <w:r w:rsidRPr="005F4502">
        <w:rPr>
          <w:rFonts w:eastAsia="MS Mincho"/>
        </w:rPr>
        <w:t>The Focus Group on Digital Financial Services (FG-DFS) held its third meeting on 1– 2 October 2015 in Kuala Lumpur Malaysia. The four working groups held their meetings on 30 September and 1</w:t>
      </w:r>
      <w:r w:rsidRPr="005F4502">
        <w:rPr>
          <w:rFonts w:eastAsia="MS Mincho"/>
          <w:vertAlign w:val="superscript"/>
        </w:rPr>
        <w:t>st</w:t>
      </w:r>
      <w:r w:rsidRPr="005F4502">
        <w:rPr>
          <w:rFonts w:eastAsia="MS Mincho"/>
        </w:rPr>
        <w:t xml:space="preserve"> October 2015. The meeting was well attended with the participation of 88 delegates from 20 countries, representing members and non-members of ITU.</w:t>
      </w:r>
      <w:r w:rsidRPr="005F4502">
        <w:rPr>
          <w:rFonts w:eastAsia="MS Mincho"/>
          <w:szCs w:val="24"/>
        </w:rPr>
        <w:t xml:space="preserve"> The meeting report is available in document </w:t>
      </w:r>
      <w:hyperlink r:id="rId11" w:history="1">
        <w:r w:rsidRPr="005F4502">
          <w:rPr>
            <w:rFonts w:eastAsia="MS Mincho"/>
            <w:color w:val="0000FF"/>
            <w:szCs w:val="24"/>
            <w:u w:val="single"/>
          </w:rPr>
          <w:t>DFS-O-003</w:t>
        </w:r>
      </w:hyperlink>
      <w:r w:rsidRPr="005F4502">
        <w:rPr>
          <w:rFonts w:eastAsia="MS Mincho" w:cs="Segoe UI"/>
          <w:color w:val="444444"/>
          <w:sz w:val="20"/>
        </w:rPr>
        <w:t xml:space="preserve">. </w:t>
      </w:r>
    </w:p>
    <w:p w:rsidR="00D6155F" w:rsidRPr="005F4502" w:rsidRDefault="00D6155F" w:rsidP="005F4502">
      <w:pPr>
        <w:textAlignment w:val="auto"/>
        <w:rPr>
          <w:rFonts w:eastAsia="MS Mincho"/>
        </w:rPr>
      </w:pPr>
      <w:r w:rsidRPr="005F4502">
        <w:rPr>
          <w:rFonts w:eastAsia="MS Mincho"/>
        </w:rPr>
        <w:t xml:space="preserve">The fourth meeting was held on 15-16 December 2015 at ITU Headquarters in Geneva. The meeting was preceded by a workshop on Digital Financial Services and Financial Inclusion on 14 December 2015. </w:t>
      </w:r>
      <w:r w:rsidRPr="005F4502">
        <w:rPr>
          <w:rFonts w:eastAsia="MS Mincho"/>
          <w:szCs w:val="24"/>
        </w:rPr>
        <w:t xml:space="preserve">The presentations made at the workshop can be accessed here: </w:t>
      </w:r>
      <w:hyperlink r:id="rId12" w:history="1">
        <w:r w:rsidRPr="005F4502">
          <w:rPr>
            <w:rFonts w:eastAsia="MS Mincho"/>
            <w:color w:val="0000FF"/>
            <w:u w:val="single"/>
          </w:rPr>
          <w:t>http://www.itu.int/en/ITU-T/Workshops-and-Seminars/ifds/Pages/Programme_201512.aspx</w:t>
        </w:r>
      </w:hyperlink>
      <w:r w:rsidRPr="005F4502">
        <w:rPr>
          <w:rFonts w:eastAsia="MS Mincho"/>
          <w:szCs w:val="24"/>
        </w:rPr>
        <w:t xml:space="preserve">. </w:t>
      </w:r>
      <w:r w:rsidRPr="005F4502">
        <w:rPr>
          <w:rFonts w:eastAsia="MS Mincho"/>
        </w:rPr>
        <w:t xml:space="preserve">Some 110 participants from 19 developing countries attended the meeting. </w:t>
      </w:r>
      <w:r w:rsidRPr="005F4502">
        <w:rPr>
          <w:rFonts w:eastAsia="MS Mincho"/>
          <w:szCs w:val="24"/>
        </w:rPr>
        <w:t xml:space="preserve">The meeting report is available in document </w:t>
      </w:r>
      <w:hyperlink r:id="rId13" w:history="1">
        <w:r w:rsidRPr="005F4502">
          <w:rPr>
            <w:rFonts w:eastAsia="MS Mincho"/>
            <w:color w:val="0000FF"/>
            <w:sz w:val="22"/>
            <w:szCs w:val="22"/>
            <w:u w:val="single"/>
          </w:rPr>
          <w:t>DFS-O-004</w:t>
        </w:r>
      </w:hyperlink>
      <w:r w:rsidRPr="005F4502">
        <w:rPr>
          <w:rFonts w:eastAsia="MS Mincho" w:cs="Segoe UI"/>
          <w:color w:val="444444"/>
          <w:sz w:val="20"/>
        </w:rPr>
        <w:t xml:space="preserve">. </w:t>
      </w:r>
    </w:p>
    <w:p w:rsidR="00D6155F" w:rsidRPr="005F4502" w:rsidRDefault="00D6155F" w:rsidP="00D6155F">
      <w:pPr>
        <w:jc w:val="both"/>
        <w:textAlignment w:val="auto"/>
        <w:rPr>
          <w:rFonts w:eastAsia="MS Mincho"/>
        </w:rPr>
      </w:pPr>
      <w:r w:rsidRPr="005F4502">
        <w:rPr>
          <w:rFonts w:eastAsia="MS Mincho"/>
        </w:rPr>
        <w:t>The third and fourth meetings reviewed and discussed the progress made by the working groups since the previous face-to-face meetings. The parallel breakout sessions held on the first two days of the meetings gave the working groups the opportunity to further advance the work on the deliverables. The working groups also adopted work plans for the time between the meetings.</w:t>
      </w:r>
    </w:p>
    <w:p w:rsidR="00D6155F" w:rsidRPr="005F4502" w:rsidRDefault="00D6155F" w:rsidP="00D6155F">
      <w:pPr>
        <w:pStyle w:val="ListParagraph"/>
        <w:keepNext/>
        <w:keepLines/>
        <w:numPr>
          <w:ilvl w:val="0"/>
          <w:numId w:val="4"/>
        </w:numPr>
        <w:tabs>
          <w:tab w:val="clear" w:pos="794"/>
          <w:tab w:val="left" w:pos="426"/>
        </w:tabs>
        <w:spacing w:before="360"/>
        <w:textAlignment w:val="auto"/>
        <w:outlineLvl w:val="0"/>
        <w:rPr>
          <w:b/>
          <w:szCs w:val="24"/>
        </w:rPr>
      </w:pPr>
      <w:r w:rsidRPr="005F4502">
        <w:rPr>
          <w:b/>
          <w:szCs w:val="24"/>
        </w:rPr>
        <w:t xml:space="preserve">FG DFS </w:t>
      </w:r>
      <w:r w:rsidRPr="005F4502">
        <w:rPr>
          <w:rFonts w:eastAsia="MS Mincho"/>
          <w:b/>
          <w:szCs w:val="24"/>
        </w:rPr>
        <w:t>Management</w:t>
      </w:r>
      <w:r w:rsidRPr="005F4502">
        <w:rPr>
          <w:b/>
          <w:szCs w:val="24"/>
        </w:rPr>
        <w:t xml:space="preserve"> and Working Group Meetings</w:t>
      </w:r>
    </w:p>
    <w:p w:rsidR="00D6155F" w:rsidRPr="005F4502" w:rsidRDefault="00D6155F" w:rsidP="00D6155F">
      <w:pPr>
        <w:textAlignment w:val="auto"/>
        <w:rPr>
          <w:rFonts w:eastAsia="MS Mincho"/>
        </w:rPr>
      </w:pPr>
      <w:r w:rsidRPr="005F4502">
        <w:rPr>
          <w:rFonts w:eastAsia="MS Mincho"/>
        </w:rPr>
        <w:t>The following meetings were held in between face-to-face FG DFS meetings, through teleconference facilities to progress with the work of the focus group:</w:t>
      </w:r>
    </w:p>
    <w:p w:rsidR="00D6155F" w:rsidRPr="005F4502" w:rsidRDefault="00D6155F" w:rsidP="00864C7E">
      <w:pPr>
        <w:numPr>
          <w:ilvl w:val="0"/>
          <w:numId w:val="3"/>
        </w:numPr>
        <w:spacing w:before="60"/>
        <w:ind w:left="357" w:hanging="357"/>
        <w:jc w:val="both"/>
        <w:textAlignment w:val="auto"/>
        <w:rPr>
          <w:rFonts w:eastAsia="MS Mincho"/>
        </w:rPr>
      </w:pPr>
      <w:r w:rsidRPr="005F4502">
        <w:rPr>
          <w:rFonts w:eastAsia="MS Mincho"/>
        </w:rPr>
        <w:t>FG DFS management meetings – 3 meetings</w:t>
      </w:r>
    </w:p>
    <w:p w:rsidR="00D6155F" w:rsidRPr="005F4502" w:rsidRDefault="00D6155F" w:rsidP="00864C7E">
      <w:pPr>
        <w:numPr>
          <w:ilvl w:val="0"/>
          <w:numId w:val="3"/>
        </w:numPr>
        <w:spacing w:before="60"/>
        <w:ind w:left="357" w:hanging="357"/>
        <w:jc w:val="both"/>
        <w:textAlignment w:val="auto"/>
        <w:rPr>
          <w:rFonts w:eastAsia="MS Mincho"/>
        </w:rPr>
      </w:pPr>
      <w:r w:rsidRPr="005F4502">
        <w:rPr>
          <w:rFonts w:eastAsia="MS Mincho"/>
        </w:rPr>
        <w:t>DFS Ecosystem WG progress meeting – 4 meetings</w:t>
      </w:r>
    </w:p>
    <w:p w:rsidR="00D6155F" w:rsidRPr="005F4502" w:rsidRDefault="00D6155F" w:rsidP="00864C7E">
      <w:pPr>
        <w:numPr>
          <w:ilvl w:val="0"/>
          <w:numId w:val="3"/>
        </w:numPr>
        <w:spacing w:before="60"/>
        <w:ind w:left="357" w:hanging="357"/>
        <w:jc w:val="both"/>
        <w:textAlignment w:val="auto"/>
        <w:rPr>
          <w:rFonts w:eastAsia="MS Mincho"/>
        </w:rPr>
      </w:pPr>
      <w:r w:rsidRPr="005F4502">
        <w:rPr>
          <w:rFonts w:eastAsia="MS Mincho"/>
        </w:rPr>
        <w:t>Technology, Innovation and Competition WG progress meeting – 6 meetings</w:t>
      </w:r>
    </w:p>
    <w:p w:rsidR="00D6155F" w:rsidRPr="005F4502" w:rsidRDefault="00D6155F" w:rsidP="00864C7E">
      <w:pPr>
        <w:numPr>
          <w:ilvl w:val="0"/>
          <w:numId w:val="3"/>
        </w:numPr>
        <w:spacing w:before="60"/>
        <w:ind w:left="357" w:hanging="357"/>
        <w:jc w:val="both"/>
        <w:textAlignment w:val="auto"/>
        <w:rPr>
          <w:rFonts w:eastAsia="MS Mincho"/>
        </w:rPr>
      </w:pPr>
      <w:r w:rsidRPr="005F4502">
        <w:rPr>
          <w:rFonts w:eastAsia="MS Mincho"/>
        </w:rPr>
        <w:t>Interoperability WG progress meeting – 3 meetings</w:t>
      </w:r>
    </w:p>
    <w:p w:rsidR="00D6155F" w:rsidRPr="005F4502" w:rsidRDefault="00D6155F" w:rsidP="00864C7E">
      <w:pPr>
        <w:numPr>
          <w:ilvl w:val="0"/>
          <w:numId w:val="3"/>
        </w:numPr>
        <w:spacing w:before="60"/>
        <w:ind w:left="357" w:hanging="357"/>
        <w:jc w:val="both"/>
        <w:textAlignment w:val="auto"/>
        <w:rPr>
          <w:rFonts w:eastAsia="MS Mincho"/>
        </w:rPr>
      </w:pPr>
      <w:r w:rsidRPr="005F4502">
        <w:rPr>
          <w:rFonts w:eastAsia="MS Mincho"/>
        </w:rPr>
        <w:t>Consumer Experience and Protection WG progress meeting – 3 meetings</w:t>
      </w:r>
    </w:p>
    <w:p w:rsidR="00D6155F" w:rsidRPr="005F4502" w:rsidRDefault="00D6155F" w:rsidP="00D6155F">
      <w:pPr>
        <w:pStyle w:val="ListParagraph"/>
        <w:keepNext/>
        <w:keepLines/>
        <w:numPr>
          <w:ilvl w:val="0"/>
          <w:numId w:val="4"/>
        </w:numPr>
        <w:tabs>
          <w:tab w:val="clear" w:pos="794"/>
          <w:tab w:val="left" w:pos="426"/>
        </w:tabs>
        <w:spacing w:before="360"/>
        <w:textAlignment w:val="auto"/>
        <w:outlineLvl w:val="0"/>
        <w:rPr>
          <w:rFonts w:eastAsia="MS Mincho"/>
          <w:b/>
          <w:szCs w:val="24"/>
        </w:rPr>
      </w:pPr>
      <w:r w:rsidRPr="005F4502">
        <w:rPr>
          <w:rFonts w:eastAsia="MS Mincho"/>
          <w:b/>
          <w:szCs w:val="24"/>
        </w:rPr>
        <w:t>Deliverables</w:t>
      </w:r>
    </w:p>
    <w:p w:rsidR="00D6155F" w:rsidRPr="005F4502" w:rsidRDefault="00D6155F" w:rsidP="005F4502">
      <w:pPr>
        <w:spacing w:after="120"/>
        <w:textAlignment w:val="auto"/>
        <w:rPr>
          <w:rFonts w:eastAsia="MS Mincho"/>
          <w:b/>
        </w:rPr>
      </w:pPr>
      <w:r w:rsidRPr="005F4502">
        <w:rPr>
          <w:rFonts w:eastAsia="MS Mincho"/>
        </w:rPr>
        <w:t xml:space="preserve">At the end of the fourth face-to-face meeting, the status of the work items of FG DFS is as follows: </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3356"/>
        <w:gridCol w:w="1673"/>
        <w:gridCol w:w="1673"/>
      </w:tblGrid>
      <w:tr w:rsidR="00D6155F" w:rsidRPr="005F4502" w:rsidTr="00864C7E">
        <w:trPr>
          <w:trHeight w:val="300"/>
          <w:tblHeader/>
          <w:jc w:val="center"/>
        </w:trPr>
        <w:tc>
          <w:tcPr>
            <w:tcW w:w="998" w:type="pct"/>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b/>
                <w:bCs/>
                <w:color w:val="000000"/>
                <w:sz w:val="22"/>
                <w:szCs w:val="22"/>
                <w:lang w:val="en-US" w:eastAsia="zh-CN"/>
              </w:rPr>
            </w:pPr>
            <w:r w:rsidRPr="005F4502">
              <w:rPr>
                <w:b/>
                <w:bCs/>
                <w:color w:val="000000"/>
                <w:sz w:val="22"/>
                <w:szCs w:val="22"/>
                <w:lang w:val="en-US" w:eastAsia="zh-CN"/>
              </w:rPr>
              <w:lastRenderedPageBreak/>
              <w:t>Working Group</w:t>
            </w:r>
          </w:p>
        </w:tc>
        <w:tc>
          <w:tcPr>
            <w:tcW w:w="2004" w:type="pct"/>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b/>
                <w:bCs/>
                <w:color w:val="000000"/>
                <w:sz w:val="22"/>
                <w:szCs w:val="22"/>
                <w:lang w:val="en-US" w:eastAsia="zh-CN"/>
              </w:rPr>
            </w:pPr>
            <w:r w:rsidRPr="005F4502">
              <w:rPr>
                <w:b/>
                <w:bCs/>
                <w:color w:val="000000"/>
                <w:sz w:val="22"/>
                <w:szCs w:val="22"/>
                <w:lang w:val="en-US" w:eastAsia="zh-CN"/>
              </w:rPr>
              <w:t>Deliverable</w:t>
            </w:r>
          </w:p>
        </w:tc>
        <w:tc>
          <w:tcPr>
            <w:tcW w:w="999" w:type="pct"/>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b/>
                <w:bCs/>
                <w:color w:val="000000"/>
                <w:sz w:val="22"/>
                <w:szCs w:val="22"/>
                <w:lang w:val="en-US" w:eastAsia="zh-CN"/>
              </w:rPr>
            </w:pPr>
            <w:r w:rsidRPr="005F4502">
              <w:rPr>
                <w:b/>
                <w:bCs/>
                <w:color w:val="000000"/>
                <w:sz w:val="22"/>
                <w:szCs w:val="22"/>
                <w:lang w:val="en-US" w:eastAsia="zh-CN"/>
              </w:rPr>
              <w:t>Draft Document on FG DFS Collaboration Site (if ready)</w:t>
            </w:r>
          </w:p>
        </w:tc>
        <w:tc>
          <w:tcPr>
            <w:tcW w:w="999" w:type="pct"/>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b/>
                <w:bCs/>
                <w:color w:val="000000"/>
                <w:sz w:val="22"/>
                <w:szCs w:val="22"/>
                <w:lang w:val="en-US" w:eastAsia="zh-CN"/>
              </w:rPr>
            </w:pPr>
            <w:r w:rsidRPr="005F4502">
              <w:rPr>
                <w:b/>
                <w:bCs/>
                <w:color w:val="000000"/>
                <w:sz w:val="22"/>
                <w:szCs w:val="22"/>
                <w:lang w:val="en-US" w:eastAsia="zh-CN"/>
              </w:rPr>
              <w:t xml:space="preserve">Expected FG DFS Meeting for Completion </w:t>
            </w:r>
          </w:p>
        </w:tc>
      </w:tr>
      <w:tr w:rsidR="00D6155F" w:rsidRPr="005F4502" w:rsidTr="00864C7E">
        <w:trPr>
          <w:trHeight w:val="300"/>
          <w:jc w:val="center"/>
        </w:trPr>
        <w:tc>
          <w:tcPr>
            <w:tcW w:w="998" w:type="pct"/>
            <w:vMerge w:val="restart"/>
            <w:shd w:val="clear" w:color="auto" w:fill="auto"/>
            <w:noWrap/>
            <w:vAlign w:val="center"/>
          </w:tcPr>
          <w:p w:rsidR="00D6155F" w:rsidRPr="005F4502" w:rsidRDefault="00D6155F" w:rsidP="00D6155F">
            <w:pPr>
              <w:spacing w:before="0"/>
              <w:jc w:val="center"/>
              <w:textAlignment w:val="auto"/>
              <w:rPr>
                <w:color w:val="000000"/>
                <w:sz w:val="22"/>
                <w:szCs w:val="22"/>
                <w:lang w:val="en-US" w:eastAsia="zh-CN"/>
              </w:rPr>
            </w:pPr>
          </w:p>
        </w:tc>
        <w:tc>
          <w:tcPr>
            <w:tcW w:w="2004" w:type="pct"/>
            <w:shd w:val="clear" w:color="auto" w:fill="auto"/>
            <w:noWrap/>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Introduction to DFS Ecosystem</w:t>
            </w:r>
          </w:p>
        </w:tc>
        <w:tc>
          <w:tcPr>
            <w:tcW w:w="999" w:type="pct"/>
          </w:tcPr>
          <w:p w:rsidR="00D6155F" w:rsidRPr="005F4502" w:rsidRDefault="000F7375"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hyperlink r:id="rId14" w:history="1">
              <w:r w:rsidR="00D6155F" w:rsidRPr="005F4502">
                <w:rPr>
                  <w:rFonts w:eastAsia="MS Mincho" w:cs="Segoe UI"/>
                  <w:color w:val="0000FF"/>
                  <w:sz w:val="20"/>
                  <w:u w:val="single"/>
                </w:rPr>
                <w:t>DFS-I-156</w:t>
              </w:r>
            </w:hyperlink>
            <w:r w:rsidR="00D6155F" w:rsidRPr="005F4502">
              <w:rPr>
                <w:rFonts w:eastAsia="MS Mincho" w:cs="Segoe UI"/>
                <w:color w:val="444444"/>
                <w:sz w:val="20"/>
              </w:rPr>
              <w:t xml:space="preserve"> </w:t>
            </w:r>
            <w:r w:rsidR="00D6155F" w:rsidRPr="005F4502">
              <w:rPr>
                <w:color w:val="000000"/>
                <w:sz w:val="22"/>
                <w:szCs w:val="22"/>
                <w:lang w:val="en-US" w:eastAsia="zh-CN"/>
              </w:rPr>
              <w:t>(Chapters 1 &amp; 2)</w:t>
            </w:r>
          </w:p>
        </w:tc>
        <w:tc>
          <w:tcPr>
            <w:tcW w:w="999" w:type="pct"/>
            <w:shd w:val="clear" w:color="auto" w:fill="auto"/>
            <w:noWrap/>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 5</w:t>
            </w:r>
          </w:p>
        </w:tc>
      </w:tr>
      <w:tr w:rsidR="00D6155F" w:rsidRPr="005F4502" w:rsidTr="00864C7E">
        <w:trPr>
          <w:trHeight w:val="300"/>
          <w:jc w:val="center"/>
        </w:trPr>
        <w:tc>
          <w:tcPr>
            <w:tcW w:w="998" w:type="pct"/>
            <w:vMerge/>
            <w:shd w:val="clear" w:color="auto" w:fill="auto"/>
            <w:noWrap/>
            <w:vAlign w:val="center"/>
            <w:hideMark/>
          </w:tcPr>
          <w:p w:rsidR="00D6155F" w:rsidRPr="005F4502" w:rsidRDefault="00D6155F" w:rsidP="00D6155F">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Products, Services and Use Cases</w:t>
            </w:r>
          </w:p>
        </w:tc>
        <w:tc>
          <w:tcPr>
            <w:tcW w:w="999" w:type="pct"/>
          </w:tcPr>
          <w:p w:rsidR="00D6155F" w:rsidRPr="005F4502" w:rsidRDefault="000F7375"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hyperlink r:id="rId15" w:history="1">
              <w:r w:rsidR="00D6155F" w:rsidRPr="005F4502">
                <w:rPr>
                  <w:rFonts w:eastAsia="MS Mincho" w:cs="Segoe UI"/>
                  <w:color w:val="0000FF"/>
                  <w:sz w:val="20"/>
                  <w:u w:val="single"/>
                </w:rPr>
                <w:t>DFS-I-156</w:t>
              </w:r>
            </w:hyperlink>
            <w:r w:rsidR="00D6155F" w:rsidRPr="005F4502">
              <w:rPr>
                <w:rFonts w:eastAsia="MS Mincho" w:cs="Segoe UI"/>
                <w:color w:val="444444"/>
                <w:sz w:val="20"/>
              </w:rPr>
              <w:t xml:space="preserve"> </w:t>
            </w:r>
            <w:r w:rsidR="00D6155F" w:rsidRPr="005F4502">
              <w:rPr>
                <w:rFonts w:eastAsia="MS Mincho" w:cs="Segoe UI"/>
                <w:color w:val="444444"/>
                <w:sz w:val="22"/>
                <w:szCs w:val="22"/>
              </w:rPr>
              <w:t>(</w:t>
            </w:r>
            <w:r w:rsidR="00D6155F" w:rsidRPr="005F4502">
              <w:rPr>
                <w:color w:val="000000"/>
                <w:sz w:val="22"/>
                <w:szCs w:val="22"/>
                <w:lang w:val="en-US" w:eastAsia="zh-CN"/>
              </w:rPr>
              <w:t>Chapter 3)</w:t>
            </w:r>
          </w:p>
        </w:tc>
        <w:tc>
          <w:tcPr>
            <w:tcW w:w="999"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 3</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Merchants/Payment Acceptors</w:t>
            </w:r>
          </w:p>
        </w:tc>
        <w:tc>
          <w:tcPr>
            <w:tcW w:w="999" w:type="pct"/>
          </w:tcPr>
          <w:p w:rsidR="00D6155F" w:rsidRPr="005F4502" w:rsidRDefault="000F7375"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hyperlink r:id="rId16" w:history="1">
              <w:r w:rsidR="00D6155F" w:rsidRPr="005F4502">
                <w:rPr>
                  <w:rFonts w:eastAsia="MS Mincho" w:cs="Segoe UI"/>
                  <w:color w:val="0000FF"/>
                  <w:sz w:val="20"/>
                  <w:u w:val="single"/>
                </w:rPr>
                <w:t>DFS-I-156</w:t>
              </w:r>
            </w:hyperlink>
            <w:r w:rsidR="00D6155F" w:rsidRPr="005F4502">
              <w:rPr>
                <w:rFonts w:eastAsia="MS Mincho" w:cs="Segoe UI"/>
                <w:color w:val="444444"/>
                <w:sz w:val="20"/>
              </w:rPr>
              <w:t xml:space="preserve"> </w:t>
            </w:r>
            <w:r w:rsidR="00D6155F" w:rsidRPr="005F4502">
              <w:rPr>
                <w:rFonts w:eastAsia="MS Mincho" w:cs="Segoe UI"/>
                <w:color w:val="444444"/>
                <w:sz w:val="22"/>
                <w:szCs w:val="22"/>
              </w:rPr>
              <w:t>(</w:t>
            </w:r>
            <w:r w:rsidR="00D6155F" w:rsidRPr="005F4502">
              <w:rPr>
                <w:color w:val="000000"/>
                <w:sz w:val="22"/>
                <w:szCs w:val="22"/>
                <w:lang w:val="en-US" w:eastAsia="zh-CN"/>
              </w:rPr>
              <w:t>Chapters 4 &amp; 5)</w:t>
            </w:r>
          </w:p>
        </w:tc>
        <w:tc>
          <w:tcPr>
            <w:tcW w:w="999"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 6</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Bulk Payments</w:t>
            </w:r>
          </w:p>
        </w:tc>
        <w:tc>
          <w:tcPr>
            <w:tcW w:w="999" w:type="pct"/>
          </w:tcPr>
          <w:p w:rsidR="00D6155F" w:rsidRPr="005F4502" w:rsidRDefault="000F7375"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hyperlink r:id="rId17" w:history="1">
              <w:r w:rsidR="00D6155F" w:rsidRPr="005F4502">
                <w:rPr>
                  <w:rFonts w:eastAsia="MS Mincho" w:cs="Segoe UI"/>
                  <w:color w:val="0000FF"/>
                  <w:sz w:val="20"/>
                  <w:u w:val="single"/>
                </w:rPr>
                <w:t>DFS-I-156</w:t>
              </w:r>
            </w:hyperlink>
            <w:r w:rsidR="00D6155F" w:rsidRPr="005F4502">
              <w:rPr>
                <w:rFonts w:eastAsia="MS Mincho" w:cs="Segoe UI"/>
                <w:color w:val="444444"/>
                <w:sz w:val="20"/>
              </w:rPr>
              <w:t xml:space="preserve"> </w:t>
            </w:r>
            <w:r w:rsidR="00D6155F" w:rsidRPr="005F4502">
              <w:rPr>
                <w:rFonts w:eastAsia="MS Mincho" w:cs="Segoe UI"/>
                <w:color w:val="444444"/>
                <w:sz w:val="22"/>
                <w:szCs w:val="22"/>
              </w:rPr>
              <w:t>(</w:t>
            </w:r>
            <w:r w:rsidR="00D6155F" w:rsidRPr="005F4502">
              <w:rPr>
                <w:color w:val="000000"/>
                <w:sz w:val="22"/>
                <w:szCs w:val="22"/>
                <w:lang w:val="en-US" w:eastAsia="zh-CN"/>
              </w:rPr>
              <w:t>Chapter 6)</w:t>
            </w:r>
          </w:p>
        </w:tc>
        <w:tc>
          <w:tcPr>
            <w:tcW w:w="999"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 6</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Postal Networks in Digital Financial Services</w:t>
            </w:r>
          </w:p>
        </w:tc>
        <w:tc>
          <w:tcPr>
            <w:tcW w:w="999" w:type="pct"/>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999"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 7</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Regulation</w:t>
            </w:r>
          </w:p>
        </w:tc>
        <w:tc>
          <w:tcPr>
            <w:tcW w:w="999" w:type="pct"/>
          </w:tcPr>
          <w:p w:rsidR="00D6155F" w:rsidRPr="005F4502" w:rsidRDefault="000F7375"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hyperlink r:id="rId18" w:history="1">
              <w:r w:rsidR="00D6155F" w:rsidRPr="005F4502">
                <w:rPr>
                  <w:rFonts w:eastAsia="MS Mincho" w:cs="Segoe UI"/>
                  <w:color w:val="0000FF"/>
                  <w:sz w:val="20"/>
                  <w:u w:val="single"/>
                </w:rPr>
                <w:t>DFS-I-156</w:t>
              </w:r>
            </w:hyperlink>
            <w:r w:rsidR="00D6155F" w:rsidRPr="005F4502">
              <w:rPr>
                <w:rFonts w:eastAsia="MS Mincho" w:cs="Segoe UI"/>
                <w:color w:val="444444"/>
                <w:sz w:val="20"/>
              </w:rPr>
              <w:t xml:space="preserve"> </w:t>
            </w:r>
            <w:r w:rsidR="00D6155F" w:rsidRPr="005F4502">
              <w:rPr>
                <w:rFonts w:eastAsia="MS Mincho" w:cs="Segoe UI"/>
                <w:color w:val="444444"/>
                <w:sz w:val="22"/>
                <w:szCs w:val="22"/>
              </w:rPr>
              <w:t>(</w:t>
            </w:r>
            <w:r w:rsidR="00D6155F" w:rsidRPr="005F4502">
              <w:rPr>
                <w:color w:val="000000"/>
                <w:sz w:val="22"/>
                <w:szCs w:val="22"/>
                <w:lang w:val="en-US" w:eastAsia="zh-CN"/>
              </w:rPr>
              <w:t>Chapters 8 &amp; 9)</w:t>
            </w:r>
          </w:p>
        </w:tc>
        <w:tc>
          <w:tcPr>
            <w:tcW w:w="999"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 7</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National Identity Systems</w:t>
            </w:r>
          </w:p>
        </w:tc>
        <w:tc>
          <w:tcPr>
            <w:tcW w:w="999" w:type="pct"/>
          </w:tcPr>
          <w:p w:rsidR="00D6155F" w:rsidRPr="005F4502" w:rsidRDefault="000F7375"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hyperlink r:id="rId19" w:history="1">
              <w:r w:rsidR="00D6155F" w:rsidRPr="005F4502">
                <w:rPr>
                  <w:rFonts w:eastAsia="MS Mincho" w:cs="Segoe UI"/>
                  <w:color w:val="0000FF"/>
                  <w:sz w:val="20"/>
                  <w:u w:val="single"/>
                </w:rPr>
                <w:t>DFS-I-083</w:t>
              </w:r>
            </w:hyperlink>
          </w:p>
        </w:tc>
        <w:tc>
          <w:tcPr>
            <w:tcW w:w="999"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 6</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 xml:space="preserve">Risk Management </w:t>
            </w:r>
          </w:p>
        </w:tc>
        <w:tc>
          <w:tcPr>
            <w:tcW w:w="999" w:type="pct"/>
          </w:tcPr>
          <w:p w:rsidR="00D6155F" w:rsidRPr="005F4502" w:rsidRDefault="000F7375"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hyperlink r:id="rId20" w:history="1">
              <w:r w:rsidR="00D6155F" w:rsidRPr="005F4502">
                <w:rPr>
                  <w:rFonts w:eastAsia="MS Mincho" w:cs="Segoe UI"/>
                  <w:color w:val="0000FF"/>
                  <w:sz w:val="20"/>
                  <w:u w:val="single"/>
                </w:rPr>
                <w:t>DFS-I-156</w:t>
              </w:r>
            </w:hyperlink>
            <w:r w:rsidR="00D6155F" w:rsidRPr="005F4502">
              <w:rPr>
                <w:rFonts w:eastAsia="MS Mincho" w:cs="Segoe UI"/>
                <w:color w:val="444444"/>
                <w:sz w:val="20"/>
              </w:rPr>
              <w:t xml:space="preserve"> </w:t>
            </w:r>
            <w:r w:rsidR="00D6155F" w:rsidRPr="005F4502">
              <w:rPr>
                <w:rFonts w:eastAsia="MS Mincho" w:cs="Segoe UI"/>
                <w:color w:val="444444"/>
                <w:sz w:val="22"/>
                <w:szCs w:val="22"/>
              </w:rPr>
              <w:t>(</w:t>
            </w:r>
            <w:r w:rsidR="00D6155F" w:rsidRPr="005F4502">
              <w:rPr>
                <w:color w:val="000000"/>
                <w:sz w:val="22"/>
                <w:szCs w:val="22"/>
                <w:lang w:val="en-US" w:eastAsia="zh-CN"/>
              </w:rPr>
              <w:t>Chapters 11 &amp; 12)</w:t>
            </w:r>
          </w:p>
        </w:tc>
        <w:tc>
          <w:tcPr>
            <w:tcW w:w="999"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 7</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Digital Financial Services Glossary</w:t>
            </w:r>
          </w:p>
        </w:tc>
        <w:tc>
          <w:tcPr>
            <w:tcW w:w="999" w:type="pct"/>
          </w:tcPr>
          <w:p w:rsidR="00D6155F" w:rsidRPr="005F4502" w:rsidRDefault="000F7375"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hyperlink r:id="rId21" w:history="1">
              <w:r w:rsidR="00D6155F" w:rsidRPr="005F4502">
                <w:rPr>
                  <w:rFonts w:eastAsia="MS Mincho" w:cs="Segoe UI"/>
                  <w:color w:val="0000FF"/>
                  <w:sz w:val="20"/>
                  <w:u w:val="single"/>
                </w:rPr>
                <w:t>DFS-I-156</w:t>
              </w:r>
            </w:hyperlink>
            <w:r w:rsidR="00D6155F" w:rsidRPr="005F4502">
              <w:rPr>
                <w:rFonts w:eastAsia="MS Mincho" w:cs="Segoe UI"/>
                <w:color w:val="444444"/>
                <w:sz w:val="20"/>
              </w:rPr>
              <w:t xml:space="preserve"> </w:t>
            </w:r>
            <w:r w:rsidR="00D6155F" w:rsidRPr="005F4502">
              <w:rPr>
                <w:rFonts w:eastAsia="MS Mincho" w:cs="Segoe UI"/>
                <w:color w:val="444444"/>
                <w:sz w:val="22"/>
                <w:szCs w:val="22"/>
              </w:rPr>
              <w:t>(</w:t>
            </w:r>
            <w:r w:rsidR="00D6155F" w:rsidRPr="005F4502">
              <w:rPr>
                <w:color w:val="000000"/>
                <w:sz w:val="22"/>
                <w:szCs w:val="22"/>
                <w:lang w:val="en-US" w:eastAsia="zh-CN"/>
              </w:rPr>
              <w:t>Chapter 13)</w:t>
            </w:r>
          </w:p>
        </w:tc>
        <w:tc>
          <w:tcPr>
            <w:tcW w:w="999"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 6</w:t>
            </w:r>
          </w:p>
        </w:tc>
      </w:tr>
      <w:tr w:rsidR="00D6155F" w:rsidRPr="005F4502" w:rsidTr="00864C7E">
        <w:trPr>
          <w:trHeight w:val="300"/>
          <w:jc w:val="center"/>
        </w:trPr>
        <w:tc>
          <w:tcPr>
            <w:tcW w:w="998" w:type="pct"/>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sz w:val="20"/>
                <w:lang w:val="en-US" w:eastAsia="zh-CN"/>
              </w:rPr>
            </w:pPr>
          </w:p>
        </w:tc>
        <w:tc>
          <w:tcPr>
            <w:tcW w:w="999" w:type="pct"/>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sz w:val="20"/>
                <w:lang w:val="en-US" w:eastAsia="zh-CN"/>
              </w:rPr>
            </w:pPr>
          </w:p>
        </w:tc>
        <w:tc>
          <w:tcPr>
            <w:tcW w:w="999"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sz w:val="20"/>
                <w:lang w:val="en-US" w:eastAsia="zh-CN"/>
              </w:rPr>
            </w:pPr>
          </w:p>
        </w:tc>
      </w:tr>
      <w:tr w:rsidR="00D6155F" w:rsidRPr="005F4502" w:rsidTr="00864C7E">
        <w:trPr>
          <w:trHeight w:val="300"/>
          <w:jc w:val="center"/>
        </w:trPr>
        <w:tc>
          <w:tcPr>
            <w:tcW w:w="998" w:type="pct"/>
            <w:vMerge w:val="restart"/>
            <w:shd w:val="clear" w:color="auto" w:fill="auto"/>
            <w:noWrap/>
            <w:vAlign w:val="center"/>
            <w:hideMark/>
          </w:tcPr>
          <w:p w:rsidR="00D6155F" w:rsidRPr="005F4502" w:rsidRDefault="00D6155F" w:rsidP="00D6155F">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5F4502">
              <w:rPr>
                <w:color w:val="000000"/>
                <w:sz w:val="22"/>
                <w:szCs w:val="22"/>
                <w:lang w:val="en-US" w:eastAsia="zh-CN"/>
              </w:rPr>
              <w:t>Technology, Innovation and Competition</w:t>
            </w: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Security in DFS</w:t>
            </w:r>
          </w:p>
        </w:tc>
        <w:tc>
          <w:tcPr>
            <w:tcW w:w="999" w:type="pct"/>
          </w:tcPr>
          <w:p w:rsidR="00D6155F" w:rsidRPr="005F4502" w:rsidRDefault="00D6155F" w:rsidP="00D6155F">
            <w:pPr>
              <w:textAlignment w:val="auto"/>
              <w:rPr>
                <w:color w:val="000000"/>
                <w:sz w:val="22"/>
                <w:szCs w:val="22"/>
                <w:lang w:val="en-US" w:eastAsia="zh-CN"/>
              </w:rPr>
            </w:pPr>
          </w:p>
        </w:tc>
        <w:tc>
          <w:tcPr>
            <w:tcW w:w="999" w:type="pct"/>
            <w:shd w:val="clear" w:color="auto" w:fill="auto"/>
            <w:noWrap/>
            <w:hideMark/>
          </w:tcPr>
          <w:p w:rsidR="00D6155F" w:rsidRPr="005F4502" w:rsidRDefault="00D6155F" w:rsidP="00D6155F">
            <w:pPr>
              <w:textAlignment w:val="auto"/>
              <w:rPr>
                <w:rFonts w:eastAsia="MS Mincho"/>
              </w:rPr>
            </w:pPr>
            <w:r w:rsidRPr="005F4502">
              <w:rPr>
                <w:color w:val="000000"/>
                <w:sz w:val="22"/>
                <w:szCs w:val="22"/>
                <w:lang w:val="en-US" w:eastAsia="zh-CN"/>
              </w:rPr>
              <w:t># 5</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Overview of vendor Platforms in DFS</w:t>
            </w:r>
          </w:p>
        </w:tc>
        <w:tc>
          <w:tcPr>
            <w:tcW w:w="999" w:type="pct"/>
          </w:tcPr>
          <w:p w:rsidR="00D6155F" w:rsidRPr="005F4502" w:rsidRDefault="00D6155F" w:rsidP="00D6155F">
            <w:pPr>
              <w:textAlignment w:val="auto"/>
              <w:rPr>
                <w:color w:val="000000"/>
                <w:sz w:val="22"/>
                <w:szCs w:val="22"/>
                <w:lang w:val="en-US" w:eastAsia="zh-CN"/>
              </w:rPr>
            </w:pPr>
          </w:p>
        </w:tc>
        <w:tc>
          <w:tcPr>
            <w:tcW w:w="999" w:type="pct"/>
            <w:shd w:val="clear" w:color="auto" w:fill="auto"/>
            <w:noWrap/>
            <w:hideMark/>
          </w:tcPr>
          <w:p w:rsidR="00D6155F" w:rsidRPr="005F4502" w:rsidRDefault="00D6155F" w:rsidP="00D6155F">
            <w:pPr>
              <w:textAlignment w:val="auto"/>
              <w:rPr>
                <w:rFonts w:eastAsia="MS Mincho"/>
              </w:rPr>
            </w:pPr>
            <w:r w:rsidRPr="005F4502">
              <w:rPr>
                <w:color w:val="000000"/>
                <w:sz w:val="22"/>
                <w:szCs w:val="22"/>
                <w:lang w:val="en-US" w:eastAsia="zh-CN"/>
              </w:rPr>
              <w:t># 5</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Overview of handsets used in DFS</w:t>
            </w:r>
          </w:p>
        </w:tc>
        <w:tc>
          <w:tcPr>
            <w:tcW w:w="999" w:type="pct"/>
          </w:tcPr>
          <w:p w:rsidR="00D6155F" w:rsidRPr="005F4502" w:rsidRDefault="00D6155F" w:rsidP="00D6155F">
            <w:pPr>
              <w:textAlignment w:val="auto"/>
              <w:rPr>
                <w:color w:val="000000"/>
                <w:sz w:val="22"/>
                <w:szCs w:val="22"/>
                <w:lang w:val="en-US" w:eastAsia="zh-CN"/>
              </w:rPr>
            </w:pPr>
          </w:p>
        </w:tc>
        <w:tc>
          <w:tcPr>
            <w:tcW w:w="999" w:type="pct"/>
            <w:shd w:val="clear" w:color="auto" w:fill="auto"/>
            <w:noWrap/>
            <w:hideMark/>
          </w:tcPr>
          <w:p w:rsidR="00D6155F" w:rsidRPr="005F4502" w:rsidRDefault="00D6155F" w:rsidP="00D6155F">
            <w:pPr>
              <w:textAlignment w:val="auto"/>
              <w:rPr>
                <w:rFonts w:eastAsia="MS Mincho"/>
              </w:rPr>
            </w:pPr>
            <w:r w:rsidRPr="005F4502">
              <w:rPr>
                <w:color w:val="000000"/>
                <w:sz w:val="22"/>
                <w:szCs w:val="22"/>
                <w:lang w:val="en-US" w:eastAsia="zh-CN"/>
              </w:rPr>
              <w:t># 5</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Big Data issues in DFS: principles, ethics</w:t>
            </w:r>
          </w:p>
        </w:tc>
        <w:tc>
          <w:tcPr>
            <w:tcW w:w="999" w:type="pct"/>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999"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 6</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ID Issues in DFS</w:t>
            </w:r>
          </w:p>
        </w:tc>
        <w:tc>
          <w:tcPr>
            <w:tcW w:w="999" w:type="pct"/>
          </w:tcPr>
          <w:p w:rsidR="00D6155F" w:rsidRPr="005F4502" w:rsidRDefault="00D6155F" w:rsidP="00D6155F">
            <w:pPr>
              <w:textAlignment w:val="auto"/>
              <w:rPr>
                <w:color w:val="000000"/>
                <w:sz w:val="22"/>
                <w:szCs w:val="22"/>
                <w:lang w:val="en-US" w:eastAsia="zh-CN"/>
              </w:rPr>
            </w:pPr>
          </w:p>
        </w:tc>
        <w:tc>
          <w:tcPr>
            <w:tcW w:w="999" w:type="pct"/>
            <w:shd w:val="clear" w:color="auto" w:fill="auto"/>
            <w:noWrap/>
            <w:hideMark/>
          </w:tcPr>
          <w:p w:rsidR="00D6155F" w:rsidRPr="005F4502" w:rsidRDefault="00D6155F" w:rsidP="00D6155F">
            <w:pPr>
              <w:textAlignment w:val="auto"/>
              <w:rPr>
                <w:rFonts w:eastAsia="MS Mincho"/>
              </w:rPr>
            </w:pPr>
            <w:r w:rsidRPr="005F4502">
              <w:rPr>
                <w:color w:val="000000"/>
                <w:sz w:val="22"/>
                <w:szCs w:val="22"/>
                <w:lang w:val="en-US" w:eastAsia="zh-CN"/>
              </w:rPr>
              <w:t># 7</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Competition Issues in DFS</w:t>
            </w:r>
          </w:p>
        </w:tc>
        <w:tc>
          <w:tcPr>
            <w:tcW w:w="999" w:type="pct"/>
          </w:tcPr>
          <w:p w:rsidR="00D6155F" w:rsidRPr="005F4502" w:rsidRDefault="00D6155F" w:rsidP="00D6155F">
            <w:pPr>
              <w:textAlignment w:val="auto"/>
              <w:rPr>
                <w:color w:val="000000"/>
                <w:sz w:val="22"/>
                <w:szCs w:val="22"/>
                <w:lang w:val="en-US" w:eastAsia="zh-CN"/>
              </w:rPr>
            </w:pPr>
          </w:p>
        </w:tc>
        <w:tc>
          <w:tcPr>
            <w:tcW w:w="999" w:type="pct"/>
            <w:shd w:val="clear" w:color="auto" w:fill="auto"/>
            <w:noWrap/>
            <w:hideMark/>
          </w:tcPr>
          <w:p w:rsidR="00D6155F" w:rsidRPr="005F4502" w:rsidRDefault="00D6155F" w:rsidP="00D6155F">
            <w:pPr>
              <w:textAlignment w:val="auto"/>
              <w:rPr>
                <w:rFonts w:eastAsia="MS Mincho"/>
              </w:rPr>
            </w:pPr>
            <w:r w:rsidRPr="005F4502">
              <w:rPr>
                <w:color w:val="000000"/>
                <w:sz w:val="22"/>
                <w:szCs w:val="22"/>
                <w:lang w:val="en-US" w:eastAsia="zh-CN"/>
              </w:rPr>
              <w:t># 7</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Transaction Cost Model for DFS</w:t>
            </w:r>
          </w:p>
        </w:tc>
        <w:tc>
          <w:tcPr>
            <w:tcW w:w="999" w:type="pct"/>
          </w:tcPr>
          <w:p w:rsidR="00D6155F" w:rsidRPr="005F4502" w:rsidRDefault="000F7375" w:rsidP="00D6155F">
            <w:pPr>
              <w:textAlignment w:val="auto"/>
              <w:rPr>
                <w:color w:val="000000"/>
                <w:sz w:val="22"/>
                <w:szCs w:val="22"/>
                <w:lang w:val="en-US" w:eastAsia="zh-CN"/>
              </w:rPr>
            </w:pPr>
            <w:hyperlink r:id="rId22" w:history="1">
              <w:r w:rsidR="00D6155F" w:rsidRPr="005F4502">
                <w:rPr>
                  <w:rFonts w:eastAsia="MS Mincho" w:cs="Segoe UI"/>
                  <w:color w:val="0000FF"/>
                  <w:sz w:val="20"/>
                  <w:u w:val="single"/>
                </w:rPr>
                <w:t>DFS-I-101</w:t>
              </w:r>
            </w:hyperlink>
          </w:p>
        </w:tc>
        <w:tc>
          <w:tcPr>
            <w:tcW w:w="999" w:type="pct"/>
            <w:shd w:val="clear" w:color="auto" w:fill="auto"/>
            <w:noWrap/>
            <w:hideMark/>
          </w:tcPr>
          <w:p w:rsidR="00D6155F" w:rsidRPr="005F4502" w:rsidRDefault="00D6155F" w:rsidP="00D6155F">
            <w:pPr>
              <w:textAlignment w:val="auto"/>
              <w:rPr>
                <w:rFonts w:eastAsia="MS Mincho"/>
              </w:rPr>
            </w:pPr>
            <w:r w:rsidRPr="005F4502">
              <w:rPr>
                <w:color w:val="000000"/>
                <w:sz w:val="22"/>
                <w:szCs w:val="22"/>
                <w:lang w:val="en-US" w:eastAsia="zh-CN"/>
              </w:rPr>
              <w:t># 7</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Technical Innovation trends in DFS</w:t>
            </w:r>
          </w:p>
        </w:tc>
        <w:tc>
          <w:tcPr>
            <w:tcW w:w="999" w:type="pct"/>
          </w:tcPr>
          <w:p w:rsidR="00D6155F" w:rsidRPr="005F4502" w:rsidRDefault="00D6155F" w:rsidP="00D6155F">
            <w:pPr>
              <w:textAlignment w:val="auto"/>
              <w:rPr>
                <w:color w:val="000000"/>
                <w:sz w:val="22"/>
                <w:szCs w:val="22"/>
                <w:lang w:val="en-US" w:eastAsia="zh-CN"/>
              </w:rPr>
            </w:pPr>
          </w:p>
        </w:tc>
        <w:tc>
          <w:tcPr>
            <w:tcW w:w="999" w:type="pct"/>
            <w:shd w:val="clear" w:color="auto" w:fill="auto"/>
            <w:noWrap/>
            <w:hideMark/>
          </w:tcPr>
          <w:p w:rsidR="00D6155F" w:rsidRPr="005F4502" w:rsidRDefault="00D6155F" w:rsidP="00D6155F">
            <w:pPr>
              <w:textAlignment w:val="auto"/>
              <w:rPr>
                <w:rFonts w:eastAsia="MS Mincho"/>
              </w:rPr>
            </w:pPr>
            <w:r w:rsidRPr="005F4502">
              <w:rPr>
                <w:color w:val="000000"/>
                <w:sz w:val="22"/>
                <w:szCs w:val="22"/>
                <w:lang w:val="en-US" w:eastAsia="zh-CN"/>
              </w:rPr>
              <w:t># 6</w:t>
            </w:r>
          </w:p>
        </w:tc>
      </w:tr>
      <w:tr w:rsidR="00D6155F" w:rsidRPr="005F4502" w:rsidTr="00864C7E">
        <w:trPr>
          <w:trHeight w:val="300"/>
          <w:jc w:val="center"/>
        </w:trPr>
        <w:tc>
          <w:tcPr>
            <w:tcW w:w="998" w:type="pct"/>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sz w:val="20"/>
                <w:lang w:val="en-US" w:eastAsia="zh-CN"/>
              </w:rPr>
            </w:pPr>
          </w:p>
        </w:tc>
        <w:tc>
          <w:tcPr>
            <w:tcW w:w="999" w:type="pct"/>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sz w:val="20"/>
                <w:lang w:val="en-US" w:eastAsia="zh-CN"/>
              </w:rPr>
            </w:pPr>
          </w:p>
        </w:tc>
        <w:tc>
          <w:tcPr>
            <w:tcW w:w="999"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sz w:val="20"/>
                <w:lang w:val="en-US" w:eastAsia="zh-CN"/>
              </w:rPr>
            </w:pPr>
          </w:p>
        </w:tc>
      </w:tr>
      <w:tr w:rsidR="00D6155F" w:rsidRPr="005F4502" w:rsidTr="00864C7E">
        <w:trPr>
          <w:trHeight w:val="300"/>
          <w:jc w:val="center"/>
        </w:trPr>
        <w:tc>
          <w:tcPr>
            <w:tcW w:w="998" w:type="pct"/>
            <w:vMerge w:val="restart"/>
            <w:shd w:val="clear" w:color="auto" w:fill="auto"/>
            <w:noWrap/>
            <w:vAlign w:val="center"/>
            <w:hideMark/>
          </w:tcPr>
          <w:p w:rsidR="00D6155F" w:rsidRPr="005F4502" w:rsidRDefault="00D6155F" w:rsidP="00D6155F">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5F4502">
              <w:rPr>
                <w:color w:val="000000"/>
                <w:sz w:val="22"/>
                <w:szCs w:val="22"/>
                <w:lang w:val="en-US" w:eastAsia="zh-CN"/>
              </w:rPr>
              <w:t>Interoperability</w:t>
            </w:r>
          </w:p>
        </w:tc>
        <w:tc>
          <w:tcPr>
            <w:tcW w:w="2004" w:type="pct"/>
            <w:shd w:val="clear" w:color="auto" w:fill="auto"/>
            <w:noWrap/>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Refined overview of the regional integration initiatives</w:t>
            </w:r>
          </w:p>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 xml:space="preserve"> </w:t>
            </w:r>
          </w:p>
        </w:tc>
        <w:tc>
          <w:tcPr>
            <w:tcW w:w="999" w:type="pct"/>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999"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 6</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Analysis on the right timing of interoperability</w:t>
            </w:r>
          </w:p>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999" w:type="pct"/>
          </w:tcPr>
          <w:p w:rsidR="00D6155F" w:rsidRPr="005F4502" w:rsidRDefault="00D6155F" w:rsidP="00D6155F">
            <w:pPr>
              <w:textAlignment w:val="auto"/>
              <w:rPr>
                <w:color w:val="000000"/>
                <w:sz w:val="22"/>
                <w:szCs w:val="22"/>
                <w:lang w:val="en-US" w:eastAsia="zh-CN"/>
              </w:rPr>
            </w:pPr>
          </w:p>
        </w:tc>
        <w:tc>
          <w:tcPr>
            <w:tcW w:w="999" w:type="pct"/>
            <w:shd w:val="clear" w:color="auto" w:fill="auto"/>
            <w:noWrap/>
            <w:hideMark/>
          </w:tcPr>
          <w:p w:rsidR="00D6155F" w:rsidRPr="005F4502" w:rsidRDefault="00D6155F" w:rsidP="00D6155F">
            <w:pPr>
              <w:textAlignment w:val="auto"/>
              <w:rPr>
                <w:rFonts w:eastAsia="MS Mincho"/>
              </w:rPr>
            </w:pPr>
            <w:r w:rsidRPr="005F4502">
              <w:rPr>
                <w:color w:val="000000"/>
                <w:sz w:val="22"/>
                <w:szCs w:val="22"/>
                <w:lang w:val="en-US" w:eastAsia="zh-CN"/>
              </w:rPr>
              <w:t># 6</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Develop scheme templates for interoperability between e-money (incl. mobile money) services</w:t>
            </w:r>
          </w:p>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999" w:type="pct"/>
          </w:tcPr>
          <w:p w:rsidR="00D6155F" w:rsidRPr="005F4502" w:rsidRDefault="00D6155F" w:rsidP="00D6155F">
            <w:pPr>
              <w:textAlignment w:val="auto"/>
              <w:rPr>
                <w:color w:val="000000"/>
                <w:sz w:val="22"/>
                <w:szCs w:val="22"/>
                <w:lang w:val="en-US" w:eastAsia="zh-CN"/>
              </w:rPr>
            </w:pPr>
          </w:p>
        </w:tc>
        <w:tc>
          <w:tcPr>
            <w:tcW w:w="999" w:type="pct"/>
            <w:shd w:val="clear" w:color="auto" w:fill="auto"/>
            <w:noWrap/>
            <w:hideMark/>
          </w:tcPr>
          <w:p w:rsidR="00D6155F" w:rsidRPr="005F4502" w:rsidRDefault="00D6155F" w:rsidP="00D6155F">
            <w:pPr>
              <w:textAlignment w:val="auto"/>
              <w:rPr>
                <w:rFonts w:eastAsia="MS Mincho"/>
              </w:rPr>
            </w:pPr>
            <w:r w:rsidRPr="005F4502">
              <w:rPr>
                <w:color w:val="000000"/>
                <w:sz w:val="22"/>
                <w:szCs w:val="22"/>
                <w:lang w:val="en-US" w:eastAsia="zh-CN"/>
              </w:rPr>
              <w:t># 6</w:t>
            </w:r>
          </w:p>
        </w:tc>
      </w:tr>
      <w:tr w:rsidR="00D6155F" w:rsidRPr="005F4502" w:rsidTr="00864C7E">
        <w:trPr>
          <w:trHeight w:val="300"/>
          <w:jc w:val="center"/>
        </w:trPr>
        <w:tc>
          <w:tcPr>
            <w:tcW w:w="998" w:type="pct"/>
            <w:vMerge/>
            <w:shd w:val="clear" w:color="auto" w:fill="auto"/>
            <w:noWrap/>
            <w:vAlign w:val="bottom"/>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Develop scheme templates for interoperability between e-money (incl. mobile money) accounts and deposit transaction accounts ("bank accounts")</w:t>
            </w:r>
          </w:p>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999" w:type="pct"/>
          </w:tcPr>
          <w:p w:rsidR="00D6155F" w:rsidRPr="005F4502" w:rsidRDefault="00D6155F" w:rsidP="00D6155F">
            <w:pPr>
              <w:textAlignment w:val="auto"/>
              <w:rPr>
                <w:color w:val="000000"/>
                <w:sz w:val="22"/>
                <w:szCs w:val="22"/>
                <w:lang w:val="en-US" w:eastAsia="zh-CN"/>
              </w:rPr>
            </w:pPr>
          </w:p>
        </w:tc>
        <w:tc>
          <w:tcPr>
            <w:tcW w:w="999" w:type="pct"/>
            <w:shd w:val="clear" w:color="auto" w:fill="auto"/>
            <w:noWrap/>
          </w:tcPr>
          <w:p w:rsidR="00D6155F" w:rsidRPr="005F4502" w:rsidRDefault="00D6155F" w:rsidP="00D6155F">
            <w:pPr>
              <w:textAlignment w:val="auto"/>
              <w:rPr>
                <w:color w:val="000000"/>
                <w:sz w:val="22"/>
                <w:szCs w:val="22"/>
                <w:lang w:val="en-US" w:eastAsia="zh-CN"/>
              </w:rPr>
            </w:pPr>
            <w:r w:rsidRPr="005F4502">
              <w:rPr>
                <w:color w:val="000000"/>
                <w:sz w:val="22"/>
                <w:szCs w:val="22"/>
                <w:lang w:val="en-US" w:eastAsia="zh-CN"/>
              </w:rPr>
              <w:t>#6</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 xml:space="preserve">Guidance on possible structure of industry forums and cooperation frameworks between authorities, users, and providers </w:t>
            </w:r>
          </w:p>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999" w:type="pct"/>
          </w:tcPr>
          <w:p w:rsidR="00D6155F" w:rsidRPr="005F4502" w:rsidRDefault="00D6155F" w:rsidP="00D6155F">
            <w:pPr>
              <w:textAlignment w:val="auto"/>
              <w:rPr>
                <w:color w:val="000000"/>
                <w:sz w:val="22"/>
                <w:szCs w:val="22"/>
                <w:lang w:val="en-US" w:eastAsia="zh-CN"/>
              </w:rPr>
            </w:pPr>
          </w:p>
        </w:tc>
        <w:tc>
          <w:tcPr>
            <w:tcW w:w="999" w:type="pct"/>
            <w:shd w:val="clear" w:color="auto" w:fill="auto"/>
            <w:noWrap/>
            <w:hideMark/>
          </w:tcPr>
          <w:p w:rsidR="00D6155F" w:rsidRPr="005F4502" w:rsidRDefault="00D6155F" w:rsidP="00D6155F">
            <w:pPr>
              <w:textAlignment w:val="auto"/>
              <w:rPr>
                <w:rFonts w:eastAsia="MS Mincho"/>
              </w:rPr>
            </w:pPr>
            <w:r w:rsidRPr="005F4502">
              <w:rPr>
                <w:color w:val="000000"/>
                <w:sz w:val="22"/>
                <w:szCs w:val="22"/>
                <w:lang w:val="en-US" w:eastAsia="zh-CN"/>
              </w:rPr>
              <w:t># 6</w:t>
            </w:r>
          </w:p>
        </w:tc>
      </w:tr>
      <w:tr w:rsidR="00D6155F" w:rsidRPr="005F4502" w:rsidTr="00864C7E">
        <w:trPr>
          <w:trHeight w:val="300"/>
          <w:jc w:val="center"/>
        </w:trPr>
        <w:tc>
          <w:tcPr>
            <w:tcW w:w="998" w:type="pct"/>
            <w:vMerge/>
            <w:shd w:val="clear" w:color="auto" w:fill="auto"/>
            <w:noWrap/>
            <w:vAlign w:val="bottom"/>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Oversight Framework relevant aspects, KYC, AML-CFT challenges of Interoperability</w:t>
            </w:r>
          </w:p>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999" w:type="pct"/>
          </w:tcPr>
          <w:p w:rsidR="00D6155F" w:rsidRPr="005F4502" w:rsidRDefault="00D6155F" w:rsidP="00D6155F">
            <w:pPr>
              <w:textAlignment w:val="auto"/>
              <w:rPr>
                <w:color w:val="000000"/>
                <w:sz w:val="22"/>
                <w:szCs w:val="22"/>
                <w:lang w:val="en-US" w:eastAsia="zh-CN"/>
              </w:rPr>
            </w:pPr>
          </w:p>
        </w:tc>
        <w:tc>
          <w:tcPr>
            <w:tcW w:w="999" w:type="pct"/>
            <w:shd w:val="clear" w:color="auto" w:fill="auto"/>
            <w:noWrap/>
          </w:tcPr>
          <w:p w:rsidR="00D6155F" w:rsidRPr="005F4502" w:rsidRDefault="00D6155F" w:rsidP="00D6155F">
            <w:pPr>
              <w:textAlignment w:val="auto"/>
              <w:rPr>
                <w:color w:val="000000"/>
                <w:sz w:val="22"/>
                <w:szCs w:val="22"/>
                <w:lang w:val="en-US" w:eastAsia="zh-CN"/>
              </w:rPr>
            </w:pPr>
            <w:r w:rsidRPr="005F4502">
              <w:rPr>
                <w:color w:val="000000"/>
                <w:sz w:val="22"/>
                <w:szCs w:val="22"/>
                <w:lang w:val="en-US" w:eastAsia="zh-CN"/>
              </w:rPr>
              <w:t># 6</w:t>
            </w:r>
          </w:p>
        </w:tc>
      </w:tr>
      <w:tr w:rsidR="00D6155F" w:rsidRPr="005F4502" w:rsidTr="00864C7E">
        <w:trPr>
          <w:trHeight w:val="300"/>
          <w:jc w:val="center"/>
        </w:trPr>
        <w:tc>
          <w:tcPr>
            <w:tcW w:w="998" w:type="pct"/>
            <w:vMerge/>
            <w:shd w:val="clear" w:color="auto" w:fill="auto"/>
            <w:noWrap/>
            <w:vAlign w:val="bottom"/>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 xml:space="preserve">Access of non-banks to infrastructure </w:t>
            </w:r>
          </w:p>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999" w:type="pct"/>
          </w:tcPr>
          <w:p w:rsidR="00D6155F" w:rsidRPr="005F4502" w:rsidRDefault="00D6155F" w:rsidP="00D6155F">
            <w:pPr>
              <w:textAlignment w:val="auto"/>
              <w:rPr>
                <w:color w:val="000000"/>
                <w:sz w:val="22"/>
                <w:szCs w:val="22"/>
                <w:lang w:val="en-US" w:eastAsia="zh-CN"/>
              </w:rPr>
            </w:pPr>
          </w:p>
        </w:tc>
        <w:tc>
          <w:tcPr>
            <w:tcW w:w="999" w:type="pct"/>
            <w:shd w:val="clear" w:color="auto" w:fill="auto"/>
            <w:noWrap/>
          </w:tcPr>
          <w:p w:rsidR="00D6155F" w:rsidRPr="005F4502" w:rsidRDefault="00D6155F" w:rsidP="00D6155F">
            <w:pPr>
              <w:textAlignment w:val="auto"/>
              <w:rPr>
                <w:color w:val="000000"/>
                <w:sz w:val="22"/>
                <w:szCs w:val="22"/>
                <w:lang w:val="en-US" w:eastAsia="zh-CN"/>
              </w:rPr>
            </w:pPr>
            <w:r w:rsidRPr="005F4502">
              <w:rPr>
                <w:color w:val="000000"/>
                <w:sz w:val="22"/>
                <w:szCs w:val="22"/>
                <w:lang w:val="en-US" w:eastAsia="zh-CN"/>
              </w:rPr>
              <w:t># 6</w:t>
            </w:r>
          </w:p>
        </w:tc>
      </w:tr>
      <w:tr w:rsidR="00D6155F" w:rsidRPr="005F4502" w:rsidTr="00864C7E">
        <w:trPr>
          <w:trHeight w:val="300"/>
          <w:jc w:val="center"/>
        </w:trPr>
        <w:tc>
          <w:tcPr>
            <w:tcW w:w="998" w:type="pct"/>
            <w:vMerge/>
            <w:shd w:val="clear" w:color="auto" w:fill="auto"/>
            <w:noWrap/>
            <w:vAlign w:val="bottom"/>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(Non-)Exclusivity of agents</w:t>
            </w:r>
          </w:p>
        </w:tc>
        <w:tc>
          <w:tcPr>
            <w:tcW w:w="999" w:type="pct"/>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sz w:val="20"/>
                <w:lang w:val="en-US" w:eastAsia="zh-CN"/>
              </w:rPr>
            </w:pPr>
          </w:p>
        </w:tc>
        <w:tc>
          <w:tcPr>
            <w:tcW w:w="999" w:type="pct"/>
            <w:shd w:val="clear" w:color="auto" w:fill="auto"/>
            <w:noWrap/>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5F4502">
              <w:rPr>
                <w:sz w:val="20"/>
                <w:lang w:val="en-US" w:eastAsia="zh-CN"/>
              </w:rPr>
              <w:t>#  6</w:t>
            </w:r>
          </w:p>
        </w:tc>
      </w:tr>
      <w:tr w:rsidR="00D6155F" w:rsidRPr="005F4502" w:rsidTr="00864C7E">
        <w:trPr>
          <w:trHeight w:val="300"/>
          <w:jc w:val="center"/>
        </w:trPr>
        <w:tc>
          <w:tcPr>
            <w:tcW w:w="998" w:type="pct"/>
            <w:shd w:val="clear" w:color="auto" w:fill="auto"/>
            <w:noWrap/>
            <w:vAlign w:val="bottom"/>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999" w:type="pct"/>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sz w:val="20"/>
                <w:lang w:val="en-US" w:eastAsia="zh-CN"/>
              </w:rPr>
            </w:pPr>
          </w:p>
        </w:tc>
        <w:tc>
          <w:tcPr>
            <w:tcW w:w="999" w:type="pct"/>
            <w:shd w:val="clear" w:color="auto" w:fill="auto"/>
            <w:noWrap/>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sz w:val="20"/>
                <w:lang w:val="en-US" w:eastAsia="zh-CN"/>
              </w:rPr>
            </w:pPr>
          </w:p>
        </w:tc>
      </w:tr>
      <w:tr w:rsidR="00D6155F" w:rsidRPr="005F4502" w:rsidTr="00864C7E">
        <w:trPr>
          <w:trHeight w:val="300"/>
          <w:jc w:val="center"/>
        </w:trPr>
        <w:tc>
          <w:tcPr>
            <w:tcW w:w="998" w:type="pct"/>
            <w:vMerge w:val="restart"/>
            <w:shd w:val="clear" w:color="auto" w:fill="auto"/>
            <w:noWrap/>
            <w:vAlign w:val="center"/>
            <w:hideMark/>
          </w:tcPr>
          <w:p w:rsidR="00D6155F" w:rsidRPr="005F4502" w:rsidRDefault="00D6155F" w:rsidP="00D6155F">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5F4502">
              <w:rPr>
                <w:color w:val="000000"/>
                <w:sz w:val="22"/>
                <w:szCs w:val="22"/>
                <w:lang w:val="en-US" w:eastAsia="zh-CN"/>
              </w:rPr>
              <w:t>Consumer Experience and Protection</w:t>
            </w:r>
          </w:p>
        </w:tc>
        <w:tc>
          <w:tcPr>
            <w:tcW w:w="2004"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Model Annotated User Agreement for DFS</w:t>
            </w:r>
          </w:p>
        </w:tc>
        <w:tc>
          <w:tcPr>
            <w:tcW w:w="999" w:type="pct"/>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999" w:type="pct"/>
            <w:shd w:val="clear" w:color="auto" w:fill="auto"/>
            <w:noWrap/>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 6</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sz w:val="20"/>
                <w:lang w:val="en-US" w:eastAsia="zh-CN"/>
              </w:rPr>
            </w:pPr>
          </w:p>
        </w:tc>
        <w:tc>
          <w:tcPr>
            <w:tcW w:w="2004" w:type="pct"/>
            <w:shd w:val="clear" w:color="auto" w:fill="auto"/>
            <w:noWrap/>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Gap analysis of legal and regulatory issues for consumer protection</w:t>
            </w:r>
          </w:p>
        </w:tc>
        <w:tc>
          <w:tcPr>
            <w:tcW w:w="999" w:type="pct"/>
          </w:tcPr>
          <w:p w:rsidR="00D6155F" w:rsidRPr="005F4502" w:rsidRDefault="00D6155F" w:rsidP="00D6155F">
            <w:pPr>
              <w:textAlignment w:val="auto"/>
              <w:rPr>
                <w:color w:val="000000"/>
                <w:sz w:val="22"/>
                <w:szCs w:val="22"/>
                <w:lang w:val="en-US" w:eastAsia="zh-CN"/>
              </w:rPr>
            </w:pPr>
          </w:p>
        </w:tc>
        <w:tc>
          <w:tcPr>
            <w:tcW w:w="999" w:type="pct"/>
            <w:shd w:val="clear" w:color="auto" w:fill="auto"/>
            <w:noWrap/>
          </w:tcPr>
          <w:p w:rsidR="00D6155F" w:rsidRPr="005F4502" w:rsidRDefault="00D6155F" w:rsidP="00D6155F">
            <w:pPr>
              <w:textAlignment w:val="auto"/>
              <w:rPr>
                <w:rFonts w:eastAsia="MS Mincho"/>
              </w:rPr>
            </w:pPr>
            <w:r w:rsidRPr="005F4502">
              <w:rPr>
                <w:color w:val="000000"/>
                <w:sz w:val="22"/>
                <w:szCs w:val="22"/>
                <w:lang w:val="en-US" w:eastAsia="zh-CN"/>
              </w:rPr>
              <w:t># 6</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QoS and QoE for DFS</w:t>
            </w:r>
          </w:p>
        </w:tc>
        <w:tc>
          <w:tcPr>
            <w:tcW w:w="999" w:type="pct"/>
          </w:tcPr>
          <w:p w:rsidR="00D6155F" w:rsidRPr="005F4502" w:rsidRDefault="000F7375" w:rsidP="00D6155F">
            <w:pPr>
              <w:textAlignment w:val="auto"/>
              <w:rPr>
                <w:color w:val="000000"/>
                <w:sz w:val="22"/>
                <w:szCs w:val="22"/>
                <w:lang w:val="en-US" w:eastAsia="zh-CN"/>
              </w:rPr>
            </w:pPr>
            <w:hyperlink r:id="rId23" w:history="1">
              <w:r w:rsidR="00D6155F" w:rsidRPr="005F4502">
                <w:rPr>
                  <w:rFonts w:eastAsia="MS Mincho" w:cs="Segoe UI"/>
                  <w:color w:val="0000FF"/>
                  <w:sz w:val="20"/>
                  <w:u w:val="single"/>
                </w:rPr>
                <w:t>DFS-I-149</w:t>
              </w:r>
            </w:hyperlink>
          </w:p>
        </w:tc>
        <w:tc>
          <w:tcPr>
            <w:tcW w:w="999" w:type="pct"/>
            <w:shd w:val="clear" w:color="auto" w:fill="auto"/>
            <w:noWrap/>
          </w:tcPr>
          <w:p w:rsidR="00D6155F" w:rsidRPr="005F4502" w:rsidRDefault="00D6155F" w:rsidP="00D6155F">
            <w:pPr>
              <w:textAlignment w:val="auto"/>
              <w:rPr>
                <w:rFonts w:eastAsia="MS Mincho"/>
              </w:rPr>
            </w:pPr>
            <w:r w:rsidRPr="005F4502">
              <w:rPr>
                <w:color w:val="000000"/>
                <w:sz w:val="22"/>
                <w:szCs w:val="22"/>
                <w:lang w:val="en-US" w:eastAsia="zh-CN"/>
              </w:rPr>
              <w:t># 6</w:t>
            </w:r>
          </w:p>
        </w:tc>
      </w:tr>
      <w:tr w:rsidR="00D6155F" w:rsidRPr="005F4502" w:rsidTr="00864C7E">
        <w:trPr>
          <w:trHeight w:val="300"/>
          <w:jc w:val="center"/>
        </w:trPr>
        <w:tc>
          <w:tcPr>
            <w:tcW w:w="998" w:type="pct"/>
            <w:vMerge/>
            <w:shd w:val="clear" w:color="auto" w:fill="auto"/>
            <w:noWrap/>
            <w:vAlign w:val="bottom"/>
            <w:hideMark/>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2004" w:type="pct"/>
            <w:shd w:val="clear" w:color="auto" w:fill="auto"/>
            <w:noWrap/>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Alternative Dispute Resolution Mechanism</w:t>
            </w:r>
          </w:p>
        </w:tc>
        <w:tc>
          <w:tcPr>
            <w:tcW w:w="999" w:type="pct"/>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c>
          <w:tcPr>
            <w:tcW w:w="999" w:type="pct"/>
            <w:shd w:val="clear" w:color="auto" w:fill="auto"/>
            <w:noWrap/>
          </w:tcPr>
          <w:p w:rsidR="00D6155F" w:rsidRPr="005F4502" w:rsidRDefault="00D6155F" w:rsidP="00D6155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5F4502">
              <w:rPr>
                <w:color w:val="000000"/>
                <w:sz w:val="22"/>
                <w:szCs w:val="22"/>
                <w:lang w:val="en-US" w:eastAsia="zh-CN"/>
              </w:rPr>
              <w:t>#7</w:t>
            </w:r>
          </w:p>
        </w:tc>
      </w:tr>
    </w:tbl>
    <w:p w:rsidR="00D6155F" w:rsidRPr="005F4502" w:rsidRDefault="00D6155F" w:rsidP="00D6155F">
      <w:pPr>
        <w:pStyle w:val="ListParagraph"/>
        <w:keepNext/>
        <w:keepLines/>
        <w:numPr>
          <w:ilvl w:val="0"/>
          <w:numId w:val="4"/>
        </w:numPr>
        <w:tabs>
          <w:tab w:val="clear" w:pos="794"/>
          <w:tab w:val="left" w:pos="426"/>
        </w:tabs>
        <w:spacing w:before="360"/>
        <w:textAlignment w:val="auto"/>
        <w:outlineLvl w:val="0"/>
        <w:rPr>
          <w:rFonts w:eastAsia="MS Mincho"/>
          <w:b/>
          <w:szCs w:val="24"/>
        </w:rPr>
      </w:pPr>
      <w:r w:rsidRPr="005F4502">
        <w:rPr>
          <w:rFonts w:eastAsia="MS Mincho"/>
          <w:b/>
          <w:szCs w:val="24"/>
        </w:rPr>
        <w:t>Planned Meetings and Events</w:t>
      </w:r>
    </w:p>
    <w:p w:rsidR="00D6155F" w:rsidRPr="005F4502" w:rsidRDefault="00D6155F" w:rsidP="005F4502">
      <w:pPr>
        <w:jc w:val="both"/>
        <w:textAlignment w:val="auto"/>
        <w:rPr>
          <w:rFonts w:eastAsia="MS Mincho"/>
          <w:szCs w:val="24"/>
        </w:rPr>
      </w:pPr>
      <w:r w:rsidRPr="005F4502">
        <w:rPr>
          <w:rFonts w:eastAsia="MS Mincho"/>
          <w:szCs w:val="24"/>
        </w:rPr>
        <w:t>The following meetings and events are planned in 2016:</w:t>
      </w:r>
    </w:p>
    <w:p w:rsidR="00D6155F" w:rsidRPr="005F4502" w:rsidRDefault="00D6155F" w:rsidP="00864C7E">
      <w:pPr>
        <w:numPr>
          <w:ilvl w:val="0"/>
          <w:numId w:val="1"/>
        </w:numPr>
        <w:tabs>
          <w:tab w:val="clear" w:pos="794"/>
          <w:tab w:val="left" w:pos="709"/>
        </w:tabs>
        <w:spacing w:before="60"/>
        <w:ind w:left="357" w:hanging="357"/>
        <w:jc w:val="both"/>
        <w:textAlignment w:val="auto"/>
        <w:rPr>
          <w:rFonts w:eastAsia="MS Mincho"/>
          <w:szCs w:val="24"/>
        </w:rPr>
      </w:pPr>
      <w:r w:rsidRPr="005F4502">
        <w:rPr>
          <w:rFonts w:eastAsia="MS Mincho"/>
          <w:szCs w:val="24"/>
        </w:rPr>
        <w:t>FG DFS 5</w:t>
      </w:r>
      <w:r w:rsidRPr="005F4502">
        <w:rPr>
          <w:rFonts w:eastAsia="MS Mincho"/>
          <w:szCs w:val="24"/>
          <w:vertAlign w:val="superscript"/>
        </w:rPr>
        <w:t>th</w:t>
      </w:r>
      <w:r w:rsidRPr="005F4502">
        <w:rPr>
          <w:rFonts w:eastAsia="MS Mincho"/>
          <w:szCs w:val="24"/>
        </w:rPr>
        <w:t xml:space="preserve"> Meeting: 27-29 April 2016, World Bank, Washington D.C</w:t>
      </w:r>
    </w:p>
    <w:p w:rsidR="00D6155F" w:rsidRPr="005F4502" w:rsidRDefault="00D6155F" w:rsidP="00864C7E">
      <w:pPr>
        <w:numPr>
          <w:ilvl w:val="0"/>
          <w:numId w:val="1"/>
        </w:numPr>
        <w:tabs>
          <w:tab w:val="clear" w:pos="794"/>
          <w:tab w:val="left" w:pos="709"/>
        </w:tabs>
        <w:spacing w:before="60"/>
        <w:ind w:left="357" w:hanging="357"/>
        <w:jc w:val="both"/>
        <w:textAlignment w:val="auto"/>
        <w:rPr>
          <w:rFonts w:eastAsia="MS Mincho"/>
          <w:szCs w:val="24"/>
        </w:rPr>
      </w:pPr>
      <w:r w:rsidRPr="005F4502">
        <w:rPr>
          <w:rFonts w:eastAsia="MS Mincho"/>
          <w:szCs w:val="24"/>
        </w:rPr>
        <w:t>Participation in the side event on Digital Financial Inclusion on 11 May 2016, in Egypt during the ITU Global Symposium for Regulators.</w:t>
      </w:r>
    </w:p>
    <w:p w:rsidR="00D6155F" w:rsidRPr="005F4502" w:rsidRDefault="00D6155F" w:rsidP="00864C7E">
      <w:pPr>
        <w:numPr>
          <w:ilvl w:val="0"/>
          <w:numId w:val="1"/>
        </w:numPr>
        <w:tabs>
          <w:tab w:val="clear" w:pos="794"/>
          <w:tab w:val="left" w:pos="709"/>
        </w:tabs>
        <w:spacing w:before="60"/>
        <w:ind w:left="357" w:hanging="357"/>
        <w:jc w:val="both"/>
        <w:textAlignment w:val="auto"/>
        <w:rPr>
          <w:rFonts w:eastAsia="MS Mincho"/>
          <w:szCs w:val="24"/>
        </w:rPr>
      </w:pPr>
      <w:r w:rsidRPr="005F4502">
        <w:rPr>
          <w:rFonts w:eastAsia="MS Mincho"/>
          <w:szCs w:val="24"/>
        </w:rPr>
        <w:t>FG DFS 6</w:t>
      </w:r>
      <w:r w:rsidRPr="005F4502">
        <w:rPr>
          <w:rFonts w:eastAsia="MS Mincho"/>
          <w:szCs w:val="24"/>
          <w:vertAlign w:val="superscript"/>
        </w:rPr>
        <w:t>th</w:t>
      </w:r>
      <w:r w:rsidRPr="005F4502">
        <w:rPr>
          <w:rFonts w:eastAsia="MS Mincho"/>
          <w:szCs w:val="24"/>
        </w:rPr>
        <w:t xml:space="preserve"> Meeting September 2016, in Africa </w:t>
      </w:r>
    </w:p>
    <w:p w:rsidR="00D6155F" w:rsidRPr="005F4502" w:rsidRDefault="00D6155F" w:rsidP="00864C7E">
      <w:pPr>
        <w:numPr>
          <w:ilvl w:val="0"/>
          <w:numId w:val="1"/>
        </w:numPr>
        <w:tabs>
          <w:tab w:val="clear" w:pos="794"/>
          <w:tab w:val="left" w:pos="709"/>
        </w:tabs>
        <w:spacing w:before="60"/>
        <w:ind w:left="357" w:hanging="357"/>
        <w:jc w:val="both"/>
        <w:textAlignment w:val="auto"/>
        <w:rPr>
          <w:rFonts w:eastAsia="MS Mincho"/>
          <w:szCs w:val="24"/>
        </w:rPr>
      </w:pPr>
      <w:r w:rsidRPr="005F4502">
        <w:rPr>
          <w:rFonts w:eastAsia="MS Mincho"/>
          <w:szCs w:val="24"/>
        </w:rPr>
        <w:t>FG DFS 7</w:t>
      </w:r>
      <w:r w:rsidRPr="005F4502">
        <w:rPr>
          <w:rFonts w:eastAsia="MS Mincho"/>
          <w:szCs w:val="24"/>
          <w:vertAlign w:val="superscript"/>
        </w:rPr>
        <w:t>th</w:t>
      </w:r>
      <w:r w:rsidRPr="005F4502">
        <w:rPr>
          <w:rFonts w:eastAsia="MS Mincho"/>
          <w:szCs w:val="24"/>
        </w:rPr>
        <w:t xml:space="preserve"> Meeting and Workshop on Digital Financial Services and Financial Inclusion: December 2016, ITU, Geneva</w:t>
      </w:r>
    </w:p>
    <w:p w:rsidR="00D6155F" w:rsidRPr="005F4502" w:rsidRDefault="00D6155F" w:rsidP="005F4502">
      <w:pPr>
        <w:jc w:val="both"/>
        <w:textAlignment w:val="auto"/>
        <w:rPr>
          <w:rFonts w:eastAsia="MS Mincho"/>
          <w:szCs w:val="24"/>
        </w:rPr>
      </w:pPr>
      <w:r w:rsidRPr="005F4502">
        <w:rPr>
          <w:rFonts w:eastAsia="MS Mincho"/>
          <w:szCs w:val="24"/>
        </w:rPr>
        <w:t>In addition, in between the meetings of the Focus Group each working group will be conducting e-Meetings to advance the work on the deliverables of the Focus Group.</w:t>
      </w:r>
    </w:p>
    <w:p w:rsidR="00D6155F" w:rsidRPr="005F4502" w:rsidRDefault="00D6155F" w:rsidP="00D6155F">
      <w:pPr>
        <w:pStyle w:val="ListParagraph"/>
        <w:keepNext/>
        <w:keepLines/>
        <w:numPr>
          <w:ilvl w:val="0"/>
          <w:numId w:val="4"/>
        </w:numPr>
        <w:tabs>
          <w:tab w:val="clear" w:pos="794"/>
          <w:tab w:val="left" w:pos="426"/>
        </w:tabs>
        <w:spacing w:before="360"/>
        <w:textAlignment w:val="auto"/>
        <w:outlineLvl w:val="0"/>
        <w:rPr>
          <w:rFonts w:eastAsia="MS Mincho"/>
          <w:b/>
          <w:szCs w:val="24"/>
        </w:rPr>
      </w:pPr>
      <w:r w:rsidRPr="005F4502">
        <w:rPr>
          <w:rFonts w:eastAsia="MS Mincho"/>
          <w:b/>
          <w:szCs w:val="24"/>
        </w:rPr>
        <w:t>Collaboration</w:t>
      </w:r>
    </w:p>
    <w:p w:rsidR="00D6155F" w:rsidRPr="005F4502" w:rsidRDefault="00D6155F" w:rsidP="00D6155F">
      <w:pPr>
        <w:textAlignment w:val="auto"/>
        <w:rPr>
          <w:rFonts w:eastAsia="MS Mincho"/>
        </w:rPr>
      </w:pPr>
      <w:r w:rsidRPr="005F4502">
        <w:rPr>
          <w:rFonts w:eastAsia="MS Mincho"/>
        </w:rPr>
        <w:t>FG DFS sent liaison statements to the following organizations calling for collaboration and contribution on Digital Financial Services:</w:t>
      </w:r>
    </w:p>
    <w:p w:rsidR="00D6155F" w:rsidRPr="005F4502" w:rsidRDefault="00D6155F" w:rsidP="00864C7E">
      <w:pPr>
        <w:numPr>
          <w:ilvl w:val="0"/>
          <w:numId w:val="2"/>
        </w:numPr>
        <w:spacing w:before="60"/>
        <w:ind w:left="357" w:hanging="357"/>
        <w:jc w:val="both"/>
        <w:textAlignment w:val="auto"/>
        <w:rPr>
          <w:rFonts w:eastAsia="MS Mincho"/>
        </w:rPr>
      </w:pPr>
      <w:r w:rsidRPr="005F4502">
        <w:rPr>
          <w:rFonts w:eastAsia="MS Mincho"/>
        </w:rPr>
        <w:t xml:space="preserve">ITU-T Study Group 2; </w:t>
      </w:r>
    </w:p>
    <w:p w:rsidR="00D6155F" w:rsidRPr="005F4502" w:rsidRDefault="00D6155F" w:rsidP="00864C7E">
      <w:pPr>
        <w:numPr>
          <w:ilvl w:val="0"/>
          <w:numId w:val="2"/>
        </w:numPr>
        <w:spacing w:before="60"/>
        <w:ind w:left="357" w:hanging="357"/>
        <w:jc w:val="both"/>
        <w:textAlignment w:val="auto"/>
        <w:rPr>
          <w:rFonts w:eastAsia="MS Mincho"/>
        </w:rPr>
      </w:pPr>
      <w:r w:rsidRPr="005F4502">
        <w:rPr>
          <w:rFonts w:eastAsia="MS Mincho"/>
        </w:rPr>
        <w:t>ITU-T Study Group 3;</w:t>
      </w:r>
    </w:p>
    <w:p w:rsidR="00D6155F" w:rsidRPr="005F4502" w:rsidRDefault="00D6155F" w:rsidP="00864C7E">
      <w:pPr>
        <w:numPr>
          <w:ilvl w:val="0"/>
          <w:numId w:val="2"/>
        </w:numPr>
        <w:spacing w:before="60"/>
        <w:ind w:left="357" w:hanging="357"/>
        <w:jc w:val="both"/>
        <w:textAlignment w:val="auto"/>
        <w:rPr>
          <w:rFonts w:eastAsia="MS Mincho"/>
        </w:rPr>
      </w:pPr>
      <w:r w:rsidRPr="005F4502">
        <w:rPr>
          <w:rFonts w:eastAsia="MS Mincho"/>
        </w:rPr>
        <w:t>ITU-T Study Group 12;</w:t>
      </w:r>
    </w:p>
    <w:p w:rsidR="00D6155F" w:rsidRPr="005F4502" w:rsidRDefault="00D6155F" w:rsidP="00864C7E">
      <w:pPr>
        <w:numPr>
          <w:ilvl w:val="0"/>
          <w:numId w:val="2"/>
        </w:numPr>
        <w:spacing w:before="60"/>
        <w:ind w:left="357" w:hanging="357"/>
        <w:jc w:val="both"/>
        <w:textAlignment w:val="auto"/>
        <w:rPr>
          <w:rFonts w:eastAsia="MS Mincho"/>
        </w:rPr>
      </w:pPr>
      <w:r w:rsidRPr="005F4502">
        <w:rPr>
          <w:rFonts w:eastAsia="MS Mincho"/>
        </w:rPr>
        <w:t>ITU-T Study Group 17;</w:t>
      </w:r>
    </w:p>
    <w:p w:rsidR="00D6155F" w:rsidRPr="005F4502" w:rsidRDefault="00D6155F" w:rsidP="00864C7E">
      <w:pPr>
        <w:numPr>
          <w:ilvl w:val="0"/>
          <w:numId w:val="2"/>
        </w:numPr>
        <w:spacing w:before="60"/>
        <w:ind w:left="357" w:hanging="357"/>
        <w:jc w:val="both"/>
        <w:textAlignment w:val="auto"/>
        <w:rPr>
          <w:rFonts w:eastAsia="MS Mincho"/>
        </w:rPr>
      </w:pPr>
      <w:r w:rsidRPr="005F4502">
        <w:rPr>
          <w:rFonts w:eastAsia="MS Mincho"/>
        </w:rPr>
        <w:lastRenderedPageBreak/>
        <w:t>ITU-D Study Group 1;</w:t>
      </w:r>
    </w:p>
    <w:p w:rsidR="00D6155F" w:rsidRPr="005F4502" w:rsidRDefault="00D6155F" w:rsidP="00864C7E">
      <w:pPr>
        <w:numPr>
          <w:ilvl w:val="0"/>
          <w:numId w:val="2"/>
        </w:numPr>
        <w:spacing w:before="60"/>
        <w:ind w:left="357" w:hanging="357"/>
        <w:jc w:val="both"/>
        <w:textAlignment w:val="auto"/>
        <w:rPr>
          <w:rFonts w:eastAsia="MS Mincho"/>
        </w:rPr>
      </w:pPr>
      <w:r w:rsidRPr="005F4502">
        <w:rPr>
          <w:rFonts w:eastAsia="MS Mincho"/>
        </w:rPr>
        <w:t>ITU-D Study Group 2;</w:t>
      </w:r>
    </w:p>
    <w:p w:rsidR="00D6155F" w:rsidRPr="005F4502" w:rsidRDefault="00D6155F" w:rsidP="00864C7E">
      <w:pPr>
        <w:numPr>
          <w:ilvl w:val="0"/>
          <w:numId w:val="2"/>
        </w:numPr>
        <w:spacing w:before="60"/>
        <w:ind w:left="357" w:hanging="357"/>
        <w:jc w:val="both"/>
        <w:textAlignment w:val="auto"/>
        <w:rPr>
          <w:rFonts w:eastAsia="MS Mincho"/>
        </w:rPr>
      </w:pPr>
      <w:r w:rsidRPr="005F4502">
        <w:rPr>
          <w:rFonts w:eastAsia="MS Mincho"/>
        </w:rPr>
        <w:t>Mobey Forum</w:t>
      </w:r>
    </w:p>
    <w:p w:rsidR="00D6155F" w:rsidRPr="005F4502" w:rsidRDefault="00D6155F" w:rsidP="00864C7E">
      <w:pPr>
        <w:numPr>
          <w:ilvl w:val="0"/>
          <w:numId w:val="2"/>
        </w:numPr>
        <w:spacing w:before="60"/>
        <w:ind w:left="357" w:hanging="357"/>
        <w:jc w:val="both"/>
        <w:textAlignment w:val="auto"/>
        <w:rPr>
          <w:rFonts w:eastAsia="MS Mincho"/>
        </w:rPr>
      </w:pPr>
      <w:r w:rsidRPr="005F4502">
        <w:rPr>
          <w:rFonts w:eastAsia="MS Mincho"/>
        </w:rPr>
        <w:t>ISO TC 68/SC 7</w:t>
      </w:r>
    </w:p>
    <w:p w:rsidR="00D6155F" w:rsidRPr="005F4502" w:rsidRDefault="00D6155F" w:rsidP="00864C7E">
      <w:pPr>
        <w:numPr>
          <w:ilvl w:val="0"/>
          <w:numId w:val="2"/>
        </w:numPr>
        <w:spacing w:before="60"/>
        <w:ind w:left="357" w:hanging="357"/>
        <w:jc w:val="both"/>
        <w:textAlignment w:val="auto"/>
        <w:rPr>
          <w:rFonts w:eastAsia="MS Mincho"/>
        </w:rPr>
      </w:pPr>
      <w:r w:rsidRPr="005F4502">
        <w:rPr>
          <w:rFonts w:eastAsia="MS Mincho"/>
        </w:rPr>
        <w:t>Alliance for Financial Inclusion</w:t>
      </w:r>
    </w:p>
    <w:p w:rsidR="00D6155F" w:rsidRPr="005F4502" w:rsidRDefault="00D6155F" w:rsidP="00D6155F">
      <w:pPr>
        <w:textAlignment w:val="auto"/>
        <w:rPr>
          <w:rFonts w:eastAsia="MS Mincho"/>
        </w:rPr>
      </w:pPr>
      <w:r w:rsidRPr="005F4502">
        <w:rPr>
          <w:rFonts w:eastAsia="MS Mincho"/>
        </w:rPr>
        <w:t>Overall, the FG DFS meetings benefitted from the fruitful exchange and constructive input from both ICT and financial services stakeholders.</w:t>
      </w:r>
    </w:p>
    <w:p w:rsidR="000A6E79" w:rsidRPr="005F4502" w:rsidRDefault="00D6155F" w:rsidP="00D6155F">
      <w:r w:rsidRPr="005F4502">
        <w:rPr>
          <w:rFonts w:eastAsia="MS Mincho"/>
        </w:rPr>
        <w:t>It is hoped that the final Deliverables be made publicly available to the benefit of the wider financial services and ICT communities with an interest in the topic</w:t>
      </w:r>
    </w:p>
    <w:p w:rsidR="003C58BF" w:rsidRPr="00C86600" w:rsidRDefault="003C58BF" w:rsidP="00816EE1">
      <w:pPr>
        <w:tabs>
          <w:tab w:val="clear" w:pos="794"/>
          <w:tab w:val="clear" w:pos="1191"/>
          <w:tab w:val="clear" w:pos="1588"/>
          <w:tab w:val="clear" w:pos="1985"/>
        </w:tabs>
        <w:spacing w:after="120"/>
        <w:jc w:val="center"/>
      </w:pPr>
      <w:r>
        <w:t>_____________</w:t>
      </w:r>
      <w:r w:rsidR="004122C5">
        <w:t>_</w:t>
      </w:r>
      <w:r w:rsidR="00922EC1">
        <w:t>_</w:t>
      </w:r>
    </w:p>
    <w:sectPr w:rsidR="003C58BF" w:rsidRPr="00C86600" w:rsidSect="00DA0B53">
      <w:headerReference w:type="default" r:id="rId24"/>
      <w:footerReference w:type="first" r:id="rId25"/>
      <w:pgSz w:w="11907" w:h="16834" w:code="9"/>
      <w:pgMar w:top="1418" w:right="1275"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204" w:rsidRDefault="002C6204">
      <w:r>
        <w:separator/>
      </w:r>
    </w:p>
  </w:endnote>
  <w:endnote w:type="continuationSeparator" w:id="0">
    <w:p w:rsidR="002C6204" w:rsidRDefault="002C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0F7375"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204" w:rsidRDefault="002C6204">
      <w:r>
        <w:t>____________________</w:t>
      </w:r>
    </w:p>
  </w:footnote>
  <w:footnote w:type="continuationSeparator" w:id="0">
    <w:p w:rsidR="002C6204" w:rsidRDefault="002C6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0F737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6A6549">
      <w:rPr>
        <w:sz w:val="22"/>
        <w:szCs w:val="22"/>
        <w:lang w:val="de-CH"/>
      </w:rPr>
      <w:t>6</w:t>
    </w:r>
    <w:r w:rsidRPr="00A54E72">
      <w:rPr>
        <w:sz w:val="22"/>
        <w:szCs w:val="22"/>
        <w:lang w:val="de-CH"/>
      </w:rPr>
      <w:t>-</w:t>
    </w:r>
    <w:r>
      <w:rPr>
        <w:sz w:val="22"/>
        <w:szCs w:val="22"/>
        <w:lang w:val="de-CH"/>
      </w:rPr>
      <w:t>2</w:t>
    </w:r>
    <w:r w:rsidR="006A6549">
      <w:rPr>
        <w:sz w:val="22"/>
        <w:szCs w:val="22"/>
        <w:lang w:val="de-CH"/>
      </w:rPr>
      <w:t>1</w:t>
    </w:r>
    <w:r w:rsidRPr="00A54E72">
      <w:rPr>
        <w:sz w:val="22"/>
        <w:szCs w:val="22"/>
        <w:lang w:val="de-CH"/>
      </w:rPr>
      <w:t>/</w:t>
    </w:r>
    <w:r w:rsidR="000F7375">
      <w:rPr>
        <w:sz w:val="22"/>
        <w:szCs w:val="22"/>
        <w:lang w:val="de-CH"/>
      </w:rPr>
      <w:t>ISCT/6</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F7375">
      <w:rPr>
        <w:noProof/>
        <w:sz w:val="22"/>
        <w:szCs w:val="22"/>
        <w:lang w:val="de-CH"/>
      </w:rPr>
      <w:t>2</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A6313"/>
    <w:multiLevelType w:val="hybridMultilevel"/>
    <w:tmpl w:val="570E0A1A"/>
    <w:lvl w:ilvl="0" w:tplc="2BD86F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42B48"/>
    <w:multiLevelType w:val="hybridMultilevel"/>
    <w:tmpl w:val="551E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553680"/>
    <w:multiLevelType w:val="hybridMultilevel"/>
    <w:tmpl w:val="165081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1660BF"/>
    <w:multiLevelType w:val="hybridMultilevel"/>
    <w:tmpl w:val="768671CE"/>
    <w:lvl w:ilvl="0" w:tplc="2BD86F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8A"/>
    <w:rsid w:val="00002716"/>
    <w:rsid w:val="00005791"/>
    <w:rsid w:val="00006A89"/>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A6E79"/>
    <w:rsid w:val="000B2352"/>
    <w:rsid w:val="000C7B84"/>
    <w:rsid w:val="000D261B"/>
    <w:rsid w:val="000D58A3"/>
    <w:rsid w:val="000E3ED4"/>
    <w:rsid w:val="000E3F9C"/>
    <w:rsid w:val="000F1550"/>
    <w:rsid w:val="000F251B"/>
    <w:rsid w:val="000F5FE8"/>
    <w:rsid w:val="000F6644"/>
    <w:rsid w:val="000F7375"/>
    <w:rsid w:val="00100833"/>
    <w:rsid w:val="00102F72"/>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85B33"/>
    <w:rsid w:val="00287A3C"/>
    <w:rsid w:val="002A2FC6"/>
    <w:rsid w:val="002C1EC7"/>
    <w:rsid w:val="002C6204"/>
    <w:rsid w:val="002C7EA3"/>
    <w:rsid w:val="002D20AE"/>
    <w:rsid w:val="002D6C61"/>
    <w:rsid w:val="002E2104"/>
    <w:rsid w:val="002E2DAC"/>
    <w:rsid w:val="002E6963"/>
    <w:rsid w:val="002E6F8F"/>
    <w:rsid w:val="002F05D8"/>
    <w:rsid w:val="002F2DE0"/>
    <w:rsid w:val="002F5E25"/>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58BF"/>
    <w:rsid w:val="003D451D"/>
    <w:rsid w:val="003F2DD8"/>
    <w:rsid w:val="003F50B2"/>
    <w:rsid w:val="00401BFF"/>
    <w:rsid w:val="00404424"/>
    <w:rsid w:val="0041156B"/>
    <w:rsid w:val="004122C5"/>
    <w:rsid w:val="00413B78"/>
    <w:rsid w:val="00416DDE"/>
    <w:rsid w:val="0044411E"/>
    <w:rsid w:val="00453435"/>
    <w:rsid w:val="0046639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2ABF"/>
    <w:rsid w:val="00504DB0"/>
    <w:rsid w:val="00507C35"/>
    <w:rsid w:val="00510735"/>
    <w:rsid w:val="00514D2F"/>
    <w:rsid w:val="0054420E"/>
    <w:rsid w:val="00544D1B"/>
    <w:rsid w:val="00545DC0"/>
    <w:rsid w:val="00545F6C"/>
    <w:rsid w:val="0054788A"/>
    <w:rsid w:val="0055720C"/>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4502"/>
    <w:rsid w:val="005F51A9"/>
    <w:rsid w:val="005F6BE1"/>
    <w:rsid w:val="005F7416"/>
    <w:rsid w:val="00600C11"/>
    <w:rsid w:val="006038ED"/>
    <w:rsid w:val="00606B89"/>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065FE"/>
    <w:rsid w:val="00721657"/>
    <w:rsid w:val="00727B1A"/>
    <w:rsid w:val="00741337"/>
    <w:rsid w:val="00752258"/>
    <w:rsid w:val="00756E1A"/>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8027AC"/>
    <w:rsid w:val="008028CE"/>
    <w:rsid w:val="0080332E"/>
    <w:rsid w:val="008141E0"/>
    <w:rsid w:val="00816EE1"/>
    <w:rsid w:val="00816F88"/>
    <w:rsid w:val="00822323"/>
    <w:rsid w:val="00833024"/>
    <w:rsid w:val="008419B1"/>
    <w:rsid w:val="00844A56"/>
    <w:rsid w:val="00845B11"/>
    <w:rsid w:val="00852081"/>
    <w:rsid w:val="00864C7E"/>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25CC"/>
    <w:rsid w:val="00A53E7C"/>
    <w:rsid w:val="00A60087"/>
    <w:rsid w:val="00A705E8"/>
    <w:rsid w:val="00A9392C"/>
    <w:rsid w:val="00A9462B"/>
    <w:rsid w:val="00A97D59"/>
    <w:rsid w:val="00AA3E09"/>
    <w:rsid w:val="00AA4BEF"/>
    <w:rsid w:val="00AB4962"/>
    <w:rsid w:val="00AB734E"/>
    <w:rsid w:val="00AB740F"/>
    <w:rsid w:val="00AC6F14"/>
    <w:rsid w:val="00AC7221"/>
    <w:rsid w:val="00AE5961"/>
    <w:rsid w:val="00AF0745"/>
    <w:rsid w:val="00AF4971"/>
    <w:rsid w:val="00AF5276"/>
    <w:rsid w:val="00B01046"/>
    <w:rsid w:val="00B310F9"/>
    <w:rsid w:val="00B37866"/>
    <w:rsid w:val="00B412FB"/>
    <w:rsid w:val="00B4576B"/>
    <w:rsid w:val="00B46350"/>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6F4D"/>
    <w:rsid w:val="00C86600"/>
    <w:rsid w:val="00C87BCA"/>
    <w:rsid w:val="00C94506"/>
    <w:rsid w:val="00C954BC"/>
    <w:rsid w:val="00CA1F0B"/>
    <w:rsid w:val="00CA3DEF"/>
    <w:rsid w:val="00CB110F"/>
    <w:rsid w:val="00CB2A2E"/>
    <w:rsid w:val="00CB338A"/>
    <w:rsid w:val="00CB79C5"/>
    <w:rsid w:val="00CC411F"/>
    <w:rsid w:val="00CC4B75"/>
    <w:rsid w:val="00CC732E"/>
    <w:rsid w:val="00CD7207"/>
    <w:rsid w:val="00CE0DBE"/>
    <w:rsid w:val="00CE5E4D"/>
    <w:rsid w:val="00CF02C4"/>
    <w:rsid w:val="00CF167F"/>
    <w:rsid w:val="00CF72E5"/>
    <w:rsid w:val="00D01F54"/>
    <w:rsid w:val="00D040F7"/>
    <w:rsid w:val="00D10FC7"/>
    <w:rsid w:val="00D1519F"/>
    <w:rsid w:val="00D20E99"/>
    <w:rsid w:val="00D21C83"/>
    <w:rsid w:val="00D35BDD"/>
    <w:rsid w:val="00D6155F"/>
    <w:rsid w:val="00D63006"/>
    <w:rsid w:val="00D72301"/>
    <w:rsid w:val="00D911DE"/>
    <w:rsid w:val="00D91B97"/>
    <w:rsid w:val="00D93ACC"/>
    <w:rsid w:val="00D93C08"/>
    <w:rsid w:val="00D95DAC"/>
    <w:rsid w:val="00DA0B53"/>
    <w:rsid w:val="00DB1171"/>
    <w:rsid w:val="00DB1519"/>
    <w:rsid w:val="00DB2840"/>
    <w:rsid w:val="00DC1BD3"/>
    <w:rsid w:val="00DD66B4"/>
    <w:rsid w:val="00DE0D21"/>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63B14"/>
    <w:rsid w:val="00E65CA0"/>
    <w:rsid w:val="00E70D9F"/>
    <w:rsid w:val="00E83810"/>
    <w:rsid w:val="00E86933"/>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2523B57-2C02-4800-B797-599FB801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E7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StyleBefore12pt">
    <w:name w:val="Style Before:  12 pt"/>
    <w:basedOn w:val="Normal"/>
    <w:next w:val="Normal"/>
    <w:rsid w:val="000A6E79"/>
    <w:pPr>
      <w:spacing w:before="240"/>
    </w:pPr>
  </w:style>
  <w:style w:type="paragraph" w:styleId="ListParagraph">
    <w:name w:val="List Paragraph"/>
    <w:basedOn w:val="Normal"/>
    <w:uiPriority w:val="34"/>
    <w:qFormat/>
    <w:rsid w:val="00D61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xtranet.itu.int/ITU-T/focusgroups/fgdfs/Output%20Documents/DFS-O-004.docx?Web=1" TargetMode="External"/><Relationship Id="rId18" Type="http://schemas.openxmlformats.org/officeDocument/2006/relationships/hyperlink" Target="https://extranet.itu.int/ITU-T/focusgroups/fgdfs/Input%20Documents/DFS-I-156.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xtranet.itu.int/ITU-T/focusgroups/fgdfs/Input%20Documents/DFS-I-156.zip" TargetMode="External"/><Relationship Id="rId7" Type="http://schemas.openxmlformats.org/officeDocument/2006/relationships/endnotes" Target="endnotes.xml"/><Relationship Id="rId12" Type="http://schemas.openxmlformats.org/officeDocument/2006/relationships/hyperlink" Target="http://www.itu.int/en/ITU-T/Workshops-and-Seminars/ifds/Pages/Programme_201512.aspx" TargetMode="External"/><Relationship Id="rId17" Type="http://schemas.openxmlformats.org/officeDocument/2006/relationships/hyperlink" Target="https://extranet.itu.int/ITU-T/focusgroups/fgdfs/Input%20Documents/DFS-I-156.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xtranet.itu.int/ITU-T/focusgroups/fgdfs/Input%20Documents/DFS-I-156.zip" TargetMode="External"/><Relationship Id="rId20" Type="http://schemas.openxmlformats.org/officeDocument/2006/relationships/hyperlink" Target="https://extranet.itu.int/ITU-T/focusgroups/fgdfs/Input%20Documents/DFS-I-156.zip"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itu.int/ITU-T/focusgroups/fgdfs/Output%20Documents/DFS-O-003.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xtranet.itu.int/ITU-T/focusgroups/fgdfs/Input%20Documents/DFS-I-156.zip" TargetMode="External"/><Relationship Id="rId23" Type="http://schemas.openxmlformats.org/officeDocument/2006/relationships/hyperlink" Target="https://extranet.itu.int/ITU-T/focusgroups/fgdfs/Input%20Documents/DFS-I-149.zip" TargetMode="External"/><Relationship Id="rId28" Type="http://schemas.openxmlformats.org/officeDocument/2006/relationships/customXml" Target="../customXml/item2.xml"/><Relationship Id="rId10" Type="http://schemas.openxmlformats.org/officeDocument/2006/relationships/hyperlink" Target="https://extranet.itu.int/ITU-T/focusgroups/fgdfs/SitePages/Home.aspx" TargetMode="External"/><Relationship Id="rId19" Type="http://schemas.openxmlformats.org/officeDocument/2006/relationships/hyperlink" Target="https://extranet.itu.int/ITU-T/focusgroups/fgdfs/Input%20Documents/DFS-I-083.docx" TargetMode="External"/><Relationship Id="rId4" Type="http://schemas.openxmlformats.org/officeDocument/2006/relationships/settings" Target="settings.xml"/><Relationship Id="rId9" Type="http://schemas.openxmlformats.org/officeDocument/2006/relationships/hyperlink" Target="http://www.itu.int/en/ITU-T/focusgroups/dfs/Pages/default.aspx" TargetMode="External"/><Relationship Id="rId14" Type="http://schemas.openxmlformats.org/officeDocument/2006/relationships/hyperlink" Target="https://extranet.itu.int/ITU-T/focusgroups/fgdfs/Input%20Documents/DFS-I-156.zip" TargetMode="External"/><Relationship Id="rId22" Type="http://schemas.openxmlformats.org/officeDocument/2006/relationships/hyperlink" Target="https://extranet.itu.int/ITU-T/focusgroups/fgdfs/Input%20Documents/DFS-I-101.pdf"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2016-21st</TDAG>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7B9C3-E7E1-4FF6-A396-4E5ECE41ACF5}"/>
</file>

<file path=customXml/itemProps2.xml><?xml version="1.0" encoding="utf-8"?>
<ds:datastoreItem xmlns:ds="http://schemas.openxmlformats.org/officeDocument/2006/customXml" ds:itemID="{0ED60011-4A30-4AD3-9E27-CF1AD9F78A8F}"/>
</file>

<file path=customXml/itemProps3.xml><?xml version="1.0" encoding="utf-8"?>
<ds:datastoreItem xmlns:ds="http://schemas.openxmlformats.org/officeDocument/2006/customXml" ds:itemID="{E003D352-F74D-4FAB-BA87-6C256417DB95}"/>
</file>

<file path=customXml/itemProps4.xml><?xml version="1.0" encoding="utf-8"?>
<ds:datastoreItem xmlns:ds="http://schemas.openxmlformats.org/officeDocument/2006/customXml" ds:itemID="{9E46845E-9C5A-4C95-A4CB-C87588FA47B6}"/>
</file>

<file path=docProps/app.xml><?xml version="1.0" encoding="utf-8"?>
<Properties xmlns="http://schemas.openxmlformats.org/officeDocument/2006/extended-properties" xmlns:vt="http://schemas.openxmlformats.org/officeDocument/2006/docPropsVTypes">
  <Template>Normal.dotm</Template>
  <TotalTime>0</TotalTime>
  <Pages>5</Pages>
  <Words>994</Words>
  <Characters>6885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 Brigitte</dc:creator>
  <cp:lastModifiedBy>BDT - mcb</cp:lastModifiedBy>
  <cp:revision>2</cp:revision>
  <cp:lastPrinted>2016-03-11T09:16:00Z</cp:lastPrinted>
  <dcterms:created xsi:type="dcterms:W3CDTF">2016-03-14T11:03:00Z</dcterms:created>
  <dcterms:modified xsi:type="dcterms:W3CDTF">2016-03-14T11:03:00Z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0x01010087413FF6915D684E968F677E18ADA217</vt:lpwstr>
  </property>
</Properties>
</file>