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043C" w14:textId="461CFBB4" w:rsidR="001D503E" w:rsidRPr="002F6D2F" w:rsidRDefault="004916E1" w:rsidP="005411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Theme="minorHAnsi" w:cstheme="minorBidi"/>
          <w:sz w:val="32"/>
          <w:szCs w:val="32"/>
        </w:rPr>
      </w:pPr>
      <w:r w:rsidRPr="002F6D2F">
        <w:rPr>
          <w:rFonts w:eastAsiaTheme="minorHAnsi" w:cstheme="minorBidi"/>
          <w:sz w:val="32"/>
          <w:szCs w:val="32"/>
        </w:rPr>
        <w:t>Directrices de prácticas óptimas del GSR-20</w:t>
      </w:r>
    </w:p>
    <w:p w14:paraId="7AE4B270" w14:textId="297C7699" w:rsidR="004916E1" w:rsidRPr="002F6D2F" w:rsidRDefault="00B81C95" w:rsidP="00DB0B83">
      <w:pPr>
        <w:pStyle w:val="Headingb"/>
        <w:rPr>
          <w:rFonts w:eastAsiaTheme="minorHAnsi"/>
        </w:rPr>
      </w:pPr>
      <w:r w:rsidRPr="002F6D2F">
        <w:rPr>
          <w:rFonts w:eastAsiaTheme="minorHAnsi"/>
        </w:rPr>
        <w:t>El marco de referencia para la reglamentación digital</w:t>
      </w:r>
    </w:p>
    <w:p w14:paraId="329E7D62" w14:textId="239994A2" w:rsidR="004916E1" w:rsidRPr="002F6D2F" w:rsidRDefault="00B81C95" w:rsidP="00DB0B83">
      <w:pPr>
        <w:pStyle w:val="Headingi"/>
        <w:rPr>
          <w:rFonts w:eastAsiaTheme="minorHAnsi"/>
        </w:rPr>
      </w:pPr>
      <w:r w:rsidRPr="002F6D2F">
        <w:rPr>
          <w:rFonts w:eastAsiaTheme="minorHAnsi"/>
        </w:rPr>
        <w:t>Primer borrador, 10 de agosto de 2020</w:t>
      </w:r>
    </w:p>
    <w:p w14:paraId="053CD479" w14:textId="2B22A3AC" w:rsidR="004916E1" w:rsidRPr="002F6D2F" w:rsidRDefault="001A24B4" w:rsidP="00C919EA">
      <w:pPr>
        <w:rPr>
          <w:rFonts w:eastAsiaTheme="minorHAnsi"/>
        </w:rPr>
      </w:pPr>
      <w:bookmarkStart w:id="0" w:name="lt_pId003"/>
      <w:r w:rsidRPr="002F6D2F">
        <w:rPr>
          <w:rFonts w:eastAsiaTheme="minorHAnsi"/>
        </w:rPr>
        <w:t xml:space="preserve">A fin de </w:t>
      </w:r>
      <w:r w:rsidR="00117C7D" w:rsidRPr="002F6D2F">
        <w:rPr>
          <w:rFonts w:eastAsiaTheme="minorHAnsi"/>
        </w:rPr>
        <w:t>brindar a</w:t>
      </w:r>
      <w:r w:rsidR="00B81C95" w:rsidRPr="002F6D2F">
        <w:rPr>
          <w:rFonts w:eastAsiaTheme="minorHAnsi"/>
        </w:rPr>
        <w:t xml:space="preserve"> la economía digital</w:t>
      </w:r>
      <w:r w:rsidR="00117C7D" w:rsidRPr="002F6D2F">
        <w:rPr>
          <w:rFonts w:eastAsiaTheme="minorHAnsi"/>
        </w:rPr>
        <w:t xml:space="preserve"> un apoyo que le permita</w:t>
      </w:r>
      <w:r w:rsidR="00B81C95" w:rsidRPr="002F6D2F">
        <w:rPr>
          <w:rFonts w:eastAsiaTheme="minorHAnsi"/>
        </w:rPr>
        <w:t xml:space="preserve"> cre</w:t>
      </w:r>
      <w:r w:rsidR="00117C7D" w:rsidRPr="002F6D2F">
        <w:rPr>
          <w:rFonts w:eastAsiaTheme="minorHAnsi"/>
        </w:rPr>
        <w:t>cer</w:t>
      </w:r>
      <w:r w:rsidRPr="002F6D2F">
        <w:rPr>
          <w:rFonts w:eastAsiaTheme="minorHAnsi"/>
        </w:rPr>
        <w:t xml:space="preserve"> a un ritmo</w:t>
      </w:r>
      <w:r w:rsidR="00B81C95" w:rsidRPr="002F6D2F">
        <w:rPr>
          <w:rFonts w:eastAsiaTheme="minorHAnsi"/>
        </w:rPr>
        <w:t xml:space="preserve"> sostenible y garanti</w:t>
      </w:r>
      <w:r w:rsidR="00117C7D" w:rsidRPr="002F6D2F">
        <w:rPr>
          <w:rFonts w:eastAsiaTheme="minorHAnsi"/>
        </w:rPr>
        <w:t>zar</w:t>
      </w:r>
      <w:r w:rsidR="00B81C95" w:rsidRPr="002F6D2F">
        <w:rPr>
          <w:rFonts w:eastAsiaTheme="minorHAnsi"/>
        </w:rPr>
        <w:t xml:space="preserve"> la continuidad de los servicios y la</w:t>
      </w:r>
      <w:r w:rsidR="00117C7D" w:rsidRPr="002F6D2F">
        <w:rPr>
          <w:rFonts w:eastAsiaTheme="minorHAnsi"/>
        </w:rPr>
        <w:t xml:space="preserve"> actividad</w:t>
      </w:r>
      <w:r w:rsidR="00B81C95" w:rsidRPr="002F6D2F">
        <w:rPr>
          <w:rFonts w:eastAsiaTheme="minorHAnsi"/>
        </w:rPr>
        <w:t xml:space="preserve"> </w:t>
      </w:r>
      <w:r w:rsidR="00117C7D" w:rsidRPr="002F6D2F">
        <w:rPr>
          <w:rFonts w:eastAsiaTheme="minorHAnsi"/>
        </w:rPr>
        <w:t>comercial</w:t>
      </w:r>
      <w:r w:rsidR="00B81C95" w:rsidRPr="002F6D2F">
        <w:rPr>
          <w:rFonts w:eastAsiaTheme="minorHAnsi"/>
        </w:rPr>
        <w:t xml:space="preserve">, incluso en tiempos de crisis, </w:t>
      </w:r>
      <w:r w:rsidRPr="002F6D2F">
        <w:rPr>
          <w:rFonts w:eastAsiaTheme="minorHAnsi"/>
        </w:rPr>
        <w:t>es necesario</w:t>
      </w:r>
      <w:r w:rsidR="00B81C95" w:rsidRPr="002F6D2F">
        <w:rPr>
          <w:rFonts w:eastAsiaTheme="minorHAnsi"/>
        </w:rPr>
        <w:t xml:space="preserve"> que los reguladores y los</w:t>
      </w:r>
      <w:r w:rsidRPr="002F6D2F">
        <w:rPr>
          <w:rFonts w:eastAsiaTheme="minorHAnsi"/>
        </w:rPr>
        <w:t xml:space="preserve"> responsables de las</w:t>
      </w:r>
      <w:r w:rsidR="00B81C95" w:rsidRPr="002F6D2F">
        <w:rPr>
          <w:rFonts w:eastAsiaTheme="minorHAnsi"/>
        </w:rPr>
        <w:t xml:space="preserve"> políticas encuentren un equilibrio adecuado entre la</w:t>
      </w:r>
      <w:r w:rsidR="004C3B2F" w:rsidRPr="002F6D2F">
        <w:rPr>
          <w:rFonts w:eastAsiaTheme="minorHAnsi"/>
        </w:rPr>
        <w:t>s</w:t>
      </w:r>
      <w:r w:rsidR="00B81C95" w:rsidRPr="002F6D2F">
        <w:rPr>
          <w:rFonts w:eastAsiaTheme="minorHAnsi"/>
        </w:rPr>
        <w:t xml:space="preserve"> medidas</w:t>
      </w:r>
      <w:r w:rsidR="004C3B2F" w:rsidRPr="002F6D2F">
        <w:rPr>
          <w:rFonts w:eastAsiaTheme="minorHAnsi"/>
        </w:rPr>
        <w:t xml:space="preserve"> encaminadas a facilitar la promoción de</w:t>
      </w:r>
      <w:r w:rsidR="00B81C95" w:rsidRPr="002F6D2F">
        <w:rPr>
          <w:rFonts w:eastAsiaTheme="minorHAnsi"/>
        </w:rPr>
        <w:t xml:space="preserve"> la transformación digital y la conectividad asequible,</w:t>
      </w:r>
      <w:r w:rsidR="004C3B2F" w:rsidRPr="002F6D2F">
        <w:rPr>
          <w:rFonts w:eastAsiaTheme="minorHAnsi"/>
        </w:rPr>
        <w:t xml:space="preserve"> </w:t>
      </w:r>
      <w:r w:rsidR="00762FDE" w:rsidRPr="002F6D2F">
        <w:rPr>
          <w:rFonts w:eastAsiaTheme="minorHAnsi"/>
        </w:rPr>
        <w:t>velando</w:t>
      </w:r>
      <w:r w:rsidR="004C3B2F" w:rsidRPr="002F6D2F">
        <w:rPr>
          <w:rFonts w:eastAsiaTheme="minorHAnsi"/>
        </w:rPr>
        <w:t xml:space="preserve"> al mismo tiempo</w:t>
      </w:r>
      <w:r w:rsidR="00762FDE" w:rsidRPr="002F6D2F">
        <w:rPr>
          <w:rFonts w:eastAsiaTheme="minorHAnsi"/>
        </w:rPr>
        <w:t xml:space="preserve"> por</w:t>
      </w:r>
      <w:r w:rsidR="00B81C95" w:rsidRPr="002F6D2F">
        <w:rPr>
          <w:rFonts w:eastAsiaTheme="minorHAnsi"/>
        </w:rPr>
        <w:t xml:space="preserve"> el cumplimiento de los objetivos </w:t>
      </w:r>
      <w:r w:rsidR="004C3B2F" w:rsidRPr="002F6D2F">
        <w:rPr>
          <w:rFonts w:eastAsiaTheme="minorHAnsi"/>
        </w:rPr>
        <w:t>perdurables</w:t>
      </w:r>
      <w:r w:rsidR="00B81C95" w:rsidRPr="002F6D2F">
        <w:rPr>
          <w:rFonts w:eastAsiaTheme="minorHAnsi"/>
        </w:rPr>
        <w:t xml:space="preserve"> de la</w:t>
      </w:r>
      <w:r w:rsidR="004C3B2F" w:rsidRPr="002F6D2F">
        <w:rPr>
          <w:rFonts w:eastAsiaTheme="minorHAnsi"/>
        </w:rPr>
        <w:t>s</w:t>
      </w:r>
      <w:r w:rsidR="00B81C95" w:rsidRPr="002F6D2F">
        <w:rPr>
          <w:rFonts w:eastAsiaTheme="minorHAnsi"/>
        </w:rPr>
        <w:t xml:space="preserve"> política</w:t>
      </w:r>
      <w:r w:rsidR="004C3B2F" w:rsidRPr="002F6D2F">
        <w:rPr>
          <w:rFonts w:eastAsiaTheme="minorHAnsi"/>
        </w:rPr>
        <w:t>s</w:t>
      </w:r>
      <w:r w:rsidR="00B81C95" w:rsidRPr="002F6D2F">
        <w:rPr>
          <w:rFonts w:eastAsiaTheme="minorHAnsi"/>
        </w:rPr>
        <w:t xml:space="preserve"> social</w:t>
      </w:r>
      <w:r w:rsidR="004C3B2F" w:rsidRPr="002F6D2F">
        <w:rPr>
          <w:rFonts w:eastAsiaTheme="minorHAnsi"/>
        </w:rPr>
        <w:t>es</w:t>
      </w:r>
      <w:r w:rsidR="00B81C95" w:rsidRPr="002F6D2F">
        <w:rPr>
          <w:rFonts w:eastAsiaTheme="minorHAnsi"/>
        </w:rPr>
        <w:t xml:space="preserve">. Por consiguiente, </w:t>
      </w:r>
      <w:r w:rsidR="004C3B2F" w:rsidRPr="002F6D2F">
        <w:rPr>
          <w:rFonts w:eastAsiaTheme="minorHAnsi"/>
        </w:rPr>
        <w:t>se requiere</w:t>
      </w:r>
      <w:r w:rsidR="00B81C95" w:rsidRPr="002F6D2F">
        <w:rPr>
          <w:rFonts w:eastAsiaTheme="minorHAnsi"/>
        </w:rPr>
        <w:t xml:space="preserve"> un ecosistema </w:t>
      </w:r>
      <w:r w:rsidR="00762FDE" w:rsidRPr="002F6D2F">
        <w:rPr>
          <w:rFonts w:eastAsiaTheme="minorHAnsi"/>
        </w:rPr>
        <w:t>reglamentario</w:t>
      </w:r>
      <w:r w:rsidR="00B81C95" w:rsidRPr="002F6D2F">
        <w:rPr>
          <w:rFonts w:eastAsiaTheme="minorHAnsi"/>
        </w:rPr>
        <w:t xml:space="preserve"> adaptable, </w:t>
      </w:r>
      <w:r w:rsidR="004C3B2F" w:rsidRPr="002F6D2F">
        <w:rPr>
          <w:rFonts w:eastAsiaTheme="minorHAnsi"/>
        </w:rPr>
        <w:t>resiliente</w:t>
      </w:r>
      <w:r w:rsidR="00B81C95" w:rsidRPr="002F6D2F">
        <w:rPr>
          <w:rFonts w:eastAsiaTheme="minorHAnsi"/>
        </w:rPr>
        <w:t xml:space="preserve">, </w:t>
      </w:r>
      <w:r w:rsidR="0054110A" w:rsidRPr="002F6D2F">
        <w:rPr>
          <w:rFonts w:eastAsiaTheme="minorHAnsi"/>
        </w:rPr>
        <w:t>colaborativo</w:t>
      </w:r>
      <w:r w:rsidR="00B81C95" w:rsidRPr="002F6D2F">
        <w:rPr>
          <w:rFonts w:eastAsiaTheme="minorHAnsi"/>
        </w:rPr>
        <w:t xml:space="preserve"> y </w:t>
      </w:r>
      <w:r w:rsidR="00762FDE" w:rsidRPr="002F6D2F">
        <w:rPr>
          <w:rFonts w:eastAsiaTheme="minorHAnsi"/>
        </w:rPr>
        <w:t xml:space="preserve">acorde </w:t>
      </w:r>
      <w:r w:rsidR="004C3B2F" w:rsidRPr="002F6D2F">
        <w:rPr>
          <w:rFonts w:eastAsiaTheme="minorHAnsi"/>
        </w:rPr>
        <w:t>a sus objetivos,</w:t>
      </w:r>
      <w:r w:rsidR="00B81C95" w:rsidRPr="002F6D2F">
        <w:rPr>
          <w:rFonts w:eastAsiaTheme="minorHAnsi"/>
        </w:rPr>
        <w:t xml:space="preserve"> para que los mercados digitales abiertos y competitivos prosperen</w:t>
      </w:r>
      <w:r w:rsidR="004C3B2F" w:rsidRPr="002F6D2F">
        <w:rPr>
          <w:rFonts w:eastAsiaTheme="minorHAnsi"/>
        </w:rPr>
        <w:t>,</w:t>
      </w:r>
      <w:r w:rsidR="00B81C95" w:rsidRPr="002F6D2F">
        <w:rPr>
          <w:rFonts w:eastAsiaTheme="minorHAnsi"/>
        </w:rPr>
        <w:t xml:space="preserve"> produzcan resultados positivos para los consumidores y </w:t>
      </w:r>
      <w:r w:rsidR="004C3B2F" w:rsidRPr="002F6D2F">
        <w:rPr>
          <w:rFonts w:eastAsiaTheme="minorHAnsi"/>
        </w:rPr>
        <w:t>siente</w:t>
      </w:r>
      <w:r w:rsidR="00177D1A" w:rsidRPr="002F6D2F">
        <w:rPr>
          <w:rFonts w:eastAsiaTheme="minorHAnsi"/>
        </w:rPr>
        <w:t>n</w:t>
      </w:r>
      <w:r w:rsidR="00B81C95" w:rsidRPr="002F6D2F">
        <w:rPr>
          <w:rFonts w:eastAsiaTheme="minorHAnsi"/>
        </w:rPr>
        <w:t xml:space="preserve"> la</w:t>
      </w:r>
      <w:r w:rsidR="004C3B2F" w:rsidRPr="002F6D2F">
        <w:rPr>
          <w:rFonts w:eastAsiaTheme="minorHAnsi"/>
        </w:rPr>
        <w:t>s</w:t>
      </w:r>
      <w:r w:rsidR="00B81C95" w:rsidRPr="002F6D2F">
        <w:rPr>
          <w:rFonts w:eastAsiaTheme="minorHAnsi"/>
        </w:rPr>
        <w:t xml:space="preserve"> base</w:t>
      </w:r>
      <w:r w:rsidR="004C3B2F" w:rsidRPr="002F6D2F">
        <w:rPr>
          <w:rFonts w:eastAsiaTheme="minorHAnsi"/>
        </w:rPr>
        <w:t>s</w:t>
      </w:r>
      <w:r w:rsidR="00B81C95" w:rsidRPr="002F6D2F">
        <w:rPr>
          <w:rFonts w:eastAsiaTheme="minorHAnsi"/>
        </w:rPr>
        <w:t xml:space="preserve"> de la transformación digital.</w:t>
      </w:r>
      <w:bookmarkEnd w:id="0"/>
    </w:p>
    <w:p w14:paraId="09AFDE75" w14:textId="7DD7A1F9" w:rsidR="004916E1" w:rsidRPr="002F6D2F" w:rsidRDefault="00B81C95" w:rsidP="00C919EA">
      <w:pPr>
        <w:rPr>
          <w:rFonts w:eastAsiaTheme="minorHAnsi"/>
        </w:rPr>
      </w:pPr>
      <w:bookmarkStart w:id="1" w:name="lt_pId005"/>
      <w:r w:rsidRPr="002F6D2F">
        <w:rPr>
          <w:rFonts w:eastAsiaTheme="minorHAnsi"/>
        </w:rPr>
        <w:t xml:space="preserve">La pandemia de COVID-19 nos ha demostrado que la conectividad </w:t>
      </w:r>
      <w:r w:rsidR="004C3B2F" w:rsidRPr="002F6D2F">
        <w:rPr>
          <w:rFonts w:eastAsiaTheme="minorHAnsi"/>
        </w:rPr>
        <w:t>universal</w:t>
      </w:r>
      <w:r w:rsidRPr="002F6D2F">
        <w:rPr>
          <w:rFonts w:eastAsiaTheme="minorHAnsi"/>
        </w:rPr>
        <w:t xml:space="preserve"> es esencial y que</w:t>
      </w:r>
      <w:r w:rsidR="004C3B2F" w:rsidRPr="002F6D2F">
        <w:rPr>
          <w:rFonts w:eastAsiaTheme="minorHAnsi"/>
        </w:rPr>
        <w:t xml:space="preserve"> ningún grupo de interesados puede superar</w:t>
      </w:r>
      <w:r w:rsidRPr="002F6D2F">
        <w:rPr>
          <w:rFonts w:eastAsiaTheme="minorHAnsi"/>
        </w:rPr>
        <w:t xml:space="preserve"> los principales desafíos digitales</w:t>
      </w:r>
      <w:r w:rsidR="004C3B2F" w:rsidRPr="002F6D2F">
        <w:rPr>
          <w:rFonts w:eastAsiaTheme="minorHAnsi"/>
        </w:rPr>
        <w:t xml:space="preserve"> por sí solo</w:t>
      </w:r>
      <w:r w:rsidRPr="002F6D2F">
        <w:rPr>
          <w:rFonts w:eastAsiaTheme="minorHAnsi"/>
        </w:rPr>
        <w:t xml:space="preserve">. </w:t>
      </w:r>
      <w:r w:rsidR="004C3B2F" w:rsidRPr="002F6D2F">
        <w:rPr>
          <w:rFonts w:eastAsiaTheme="minorHAnsi"/>
        </w:rPr>
        <w:t>Tal y c</w:t>
      </w:r>
      <w:r w:rsidRPr="002F6D2F">
        <w:rPr>
          <w:rFonts w:eastAsiaTheme="minorHAnsi"/>
        </w:rPr>
        <w:t xml:space="preserve">omo destacó el Secretario General de las Naciones Unidas, </w:t>
      </w:r>
      <w:r w:rsidR="004C3B2F" w:rsidRPr="002F6D2F">
        <w:rPr>
          <w:rFonts w:eastAsiaTheme="minorHAnsi"/>
        </w:rPr>
        <w:t xml:space="preserve">Sr. </w:t>
      </w:r>
      <w:r w:rsidRPr="002F6D2F">
        <w:rPr>
          <w:rFonts w:eastAsiaTheme="minorHAnsi"/>
        </w:rPr>
        <w:t xml:space="preserve">António Guterres, en su presentación de la Hoja de </w:t>
      </w:r>
      <w:r w:rsidR="004C3B2F" w:rsidRPr="002F6D2F">
        <w:rPr>
          <w:rFonts w:eastAsiaTheme="minorHAnsi"/>
        </w:rPr>
        <w:t>ruta para la cooperación digital</w:t>
      </w:r>
      <w:r w:rsidRPr="002F6D2F">
        <w:rPr>
          <w:rFonts w:eastAsiaTheme="minorHAnsi"/>
        </w:rPr>
        <w:t xml:space="preserve">, </w:t>
      </w:r>
      <w:r w:rsidR="00762FDE" w:rsidRPr="002F6D2F">
        <w:rPr>
          <w:rFonts w:eastAsiaTheme="minorHAnsi"/>
        </w:rPr>
        <w:t>la</w:t>
      </w:r>
      <w:r w:rsidRPr="002F6D2F">
        <w:rPr>
          <w:rFonts w:eastAsiaTheme="minorHAnsi"/>
        </w:rPr>
        <w:t xml:space="preserve"> cooperación digital eficaz es </w:t>
      </w:r>
      <w:r w:rsidR="00445B62" w:rsidRPr="002F6D2F">
        <w:rPr>
          <w:rFonts w:eastAsiaTheme="minorHAnsi"/>
        </w:rPr>
        <w:t xml:space="preserve">una herramienta crucial </w:t>
      </w:r>
      <w:r w:rsidRPr="002F6D2F">
        <w:rPr>
          <w:rFonts w:eastAsiaTheme="minorHAnsi"/>
        </w:rPr>
        <w:t xml:space="preserve">para </w:t>
      </w:r>
      <w:r w:rsidR="00445B62" w:rsidRPr="002F6D2F">
        <w:rPr>
          <w:rFonts w:eastAsiaTheme="minorHAnsi"/>
        </w:rPr>
        <w:t>construir</w:t>
      </w:r>
      <w:r w:rsidRPr="002F6D2F">
        <w:rPr>
          <w:rFonts w:eastAsiaTheme="minorHAnsi"/>
        </w:rPr>
        <w:t xml:space="preserve"> el futuro que queremos y </w:t>
      </w:r>
      <w:r w:rsidR="00445B62" w:rsidRPr="002F6D2F">
        <w:rPr>
          <w:rFonts w:eastAsiaTheme="minorHAnsi"/>
        </w:rPr>
        <w:t xml:space="preserve">lograr </w:t>
      </w:r>
      <w:r w:rsidRPr="002F6D2F">
        <w:rPr>
          <w:rFonts w:eastAsiaTheme="minorHAnsi"/>
        </w:rPr>
        <w:t xml:space="preserve">los ambiciosos objetivos de la </w:t>
      </w:r>
      <w:r w:rsidR="00445B62" w:rsidRPr="002F6D2F">
        <w:rPr>
          <w:rFonts w:eastAsiaTheme="minorHAnsi"/>
        </w:rPr>
        <w:t>Agenda 2030 para el Desarrollo Sostenible</w:t>
      </w:r>
      <w:r w:rsidRPr="002F6D2F">
        <w:rPr>
          <w:rFonts w:eastAsiaTheme="minorHAnsi"/>
        </w:rPr>
        <w:t>.</w:t>
      </w:r>
      <w:bookmarkEnd w:id="1"/>
    </w:p>
    <w:p w14:paraId="6AD4F124" w14:textId="7A7706F8" w:rsidR="004916E1" w:rsidRPr="002F6D2F" w:rsidRDefault="00B81C95" w:rsidP="00C919EA">
      <w:pPr>
        <w:rPr>
          <w:rFonts w:eastAsiaTheme="minorHAnsi"/>
        </w:rPr>
      </w:pPr>
      <w:bookmarkStart w:id="2" w:name="lt_pId007"/>
      <w:r w:rsidRPr="002F6D2F">
        <w:rPr>
          <w:rFonts w:eastAsiaTheme="minorHAnsi"/>
        </w:rPr>
        <w:t>Nosotros, los reguladores que participamos en la edición del 20º aniversario del Simposio Mundial para Organismos Reguladores, reconocemos que no existe un</w:t>
      </w:r>
      <w:r w:rsidR="0054110A" w:rsidRPr="002F6D2F">
        <w:rPr>
          <w:rFonts w:eastAsiaTheme="minorHAnsi"/>
        </w:rPr>
        <w:t xml:space="preserve"> marco de prácticas óptimas</w:t>
      </w:r>
      <w:r w:rsidRPr="002F6D2F">
        <w:rPr>
          <w:rFonts w:eastAsiaTheme="minorHAnsi"/>
        </w:rPr>
        <w:t xml:space="preserve"> único</w:t>
      </w:r>
      <w:r w:rsidR="00445B62" w:rsidRPr="002F6D2F">
        <w:rPr>
          <w:rFonts w:eastAsiaTheme="minorHAnsi"/>
        </w:rPr>
        <w:t xml:space="preserve"> e integral </w:t>
      </w:r>
      <w:r w:rsidRPr="002F6D2F">
        <w:rPr>
          <w:rFonts w:eastAsiaTheme="minorHAnsi"/>
        </w:rPr>
        <w:t xml:space="preserve">y que las pautas </w:t>
      </w:r>
      <w:r w:rsidR="00445B62" w:rsidRPr="002F6D2F">
        <w:rPr>
          <w:rFonts w:eastAsiaTheme="minorHAnsi"/>
        </w:rPr>
        <w:t>reglamentarias</w:t>
      </w:r>
      <w:r w:rsidRPr="002F6D2F">
        <w:rPr>
          <w:rFonts w:eastAsiaTheme="minorHAnsi"/>
        </w:rPr>
        <w:t xml:space="preserve"> de la economía digital conectada</w:t>
      </w:r>
      <w:r w:rsidR="00445B62" w:rsidRPr="002F6D2F">
        <w:rPr>
          <w:rFonts w:eastAsiaTheme="minorHAnsi"/>
        </w:rPr>
        <w:t xml:space="preserve">, si bien </w:t>
      </w:r>
      <w:r w:rsidRPr="002F6D2F">
        <w:rPr>
          <w:rFonts w:eastAsiaTheme="minorHAnsi"/>
        </w:rPr>
        <w:t>se</w:t>
      </w:r>
      <w:r w:rsidR="00445B62" w:rsidRPr="002F6D2F">
        <w:rPr>
          <w:rFonts w:eastAsiaTheme="minorHAnsi"/>
        </w:rPr>
        <w:t xml:space="preserve"> </w:t>
      </w:r>
      <w:r w:rsidR="0054110A" w:rsidRPr="002F6D2F">
        <w:rPr>
          <w:rFonts w:eastAsiaTheme="minorHAnsi"/>
        </w:rPr>
        <w:t>basarán</w:t>
      </w:r>
      <w:r w:rsidR="00445B62" w:rsidRPr="002F6D2F">
        <w:rPr>
          <w:rFonts w:eastAsiaTheme="minorHAnsi"/>
        </w:rPr>
        <w:t xml:space="preserve"> </w:t>
      </w:r>
      <w:r w:rsidRPr="002F6D2F">
        <w:rPr>
          <w:rFonts w:eastAsiaTheme="minorHAnsi"/>
        </w:rPr>
        <w:t>en las circunstancias locales</w:t>
      </w:r>
      <w:r w:rsidR="00445B62" w:rsidRPr="002F6D2F">
        <w:rPr>
          <w:rFonts w:eastAsiaTheme="minorHAnsi"/>
        </w:rPr>
        <w:t xml:space="preserve">, también abordarán </w:t>
      </w:r>
      <w:r w:rsidRPr="002F6D2F">
        <w:rPr>
          <w:rFonts w:eastAsiaTheme="minorHAnsi"/>
        </w:rPr>
        <w:t>desafíos</w:t>
      </w:r>
      <w:r w:rsidR="00445B62" w:rsidRPr="002F6D2F">
        <w:rPr>
          <w:rFonts w:eastAsiaTheme="minorHAnsi"/>
        </w:rPr>
        <w:t xml:space="preserve"> de alcance</w:t>
      </w:r>
      <w:r w:rsidRPr="002F6D2F">
        <w:rPr>
          <w:rFonts w:eastAsiaTheme="minorHAnsi"/>
        </w:rPr>
        <w:t xml:space="preserve"> regional y mundial, especialmente ahora que nos </w:t>
      </w:r>
      <w:r w:rsidR="009E51BC" w:rsidRPr="002F6D2F">
        <w:rPr>
          <w:rFonts w:eastAsiaTheme="minorHAnsi"/>
        </w:rPr>
        <w:t>estamos esforzando en reconstruir mejor utilizando las</w:t>
      </w:r>
      <w:r w:rsidRPr="002F6D2F">
        <w:rPr>
          <w:rFonts w:eastAsiaTheme="minorHAnsi"/>
        </w:rPr>
        <w:t xml:space="preserve"> tecnologías digitales </w:t>
      </w:r>
      <w:bookmarkEnd w:id="2"/>
      <w:r w:rsidR="009E51BC" w:rsidRPr="002F6D2F">
        <w:rPr>
          <w:rFonts w:eastAsiaTheme="minorHAnsi"/>
        </w:rPr>
        <w:t>de forma generalizada.</w:t>
      </w:r>
    </w:p>
    <w:p w14:paraId="0F6FE219" w14:textId="7FFEB432" w:rsidR="004916E1" w:rsidRPr="002F6D2F" w:rsidRDefault="00B81C95" w:rsidP="00C919EA">
      <w:pPr>
        <w:rPr>
          <w:rFonts w:eastAsiaTheme="minorHAnsi"/>
        </w:rPr>
      </w:pPr>
      <w:r w:rsidRPr="002F6D2F">
        <w:rPr>
          <w:rFonts w:eastAsiaTheme="minorHAnsi"/>
        </w:rPr>
        <w:t xml:space="preserve">No obstante, estamos de acuerdo en que las experiencias individuales pueden ser esclarecedoras y guiarnos hacia la excelencia normativa en beneficio de todos. </w:t>
      </w:r>
      <w:r w:rsidR="009E51BC" w:rsidRPr="002F6D2F">
        <w:rPr>
          <w:rFonts w:eastAsiaTheme="minorHAnsi"/>
        </w:rPr>
        <w:t xml:space="preserve">Hemos </w:t>
      </w:r>
      <w:r w:rsidR="00762FDE" w:rsidRPr="002F6D2F">
        <w:rPr>
          <w:rFonts w:eastAsiaTheme="minorHAnsi"/>
        </w:rPr>
        <w:t>definido</w:t>
      </w:r>
      <w:r w:rsidR="009E51BC" w:rsidRPr="002F6D2F">
        <w:rPr>
          <w:rFonts w:eastAsiaTheme="minorHAnsi"/>
        </w:rPr>
        <w:t xml:space="preserve"> y refrendado estas directrices sobre prácticas </w:t>
      </w:r>
      <w:r w:rsidR="00762FDE" w:rsidRPr="002F6D2F">
        <w:rPr>
          <w:rFonts w:eastAsiaTheme="minorHAnsi"/>
        </w:rPr>
        <w:t>reglamentarias óptimas,</w:t>
      </w:r>
      <w:r w:rsidR="009E51BC" w:rsidRPr="002F6D2F">
        <w:rPr>
          <w:rFonts w:eastAsiaTheme="minorHAnsi"/>
        </w:rPr>
        <w:t xml:space="preserve"> a fin de </w:t>
      </w:r>
      <w:r w:rsidRPr="002F6D2F">
        <w:rPr>
          <w:rFonts w:eastAsiaTheme="minorHAnsi"/>
        </w:rPr>
        <w:t xml:space="preserve">establecer el </w:t>
      </w:r>
      <w:r w:rsidR="009E51BC" w:rsidRPr="002F6D2F">
        <w:rPr>
          <w:rFonts w:eastAsiaTheme="minorHAnsi"/>
        </w:rPr>
        <w:t>marco de referencia para la reglamentación digital</w:t>
      </w:r>
      <w:r w:rsidRPr="002F6D2F">
        <w:rPr>
          <w:rFonts w:eastAsiaTheme="minorHAnsi"/>
        </w:rPr>
        <w:t xml:space="preserve">. </w:t>
      </w:r>
      <w:r w:rsidR="004916E1" w:rsidRPr="002F6D2F">
        <w:rPr>
          <w:rFonts w:eastAsiaTheme="minorHAnsi"/>
        </w:rPr>
        <w:t xml:space="preserve">Teniendo presentes las </w:t>
      </w:r>
      <w:r w:rsidR="00762FDE" w:rsidRPr="002F6D2F">
        <w:rPr>
          <w:rFonts w:eastAsiaTheme="minorHAnsi"/>
        </w:rPr>
        <w:t>d</w:t>
      </w:r>
      <w:r w:rsidR="004916E1" w:rsidRPr="002F6D2F">
        <w:rPr>
          <w:rFonts w:eastAsiaTheme="minorHAnsi"/>
        </w:rPr>
        <w:t xml:space="preserve">irectrices de prácticas óptimas </w:t>
      </w:r>
      <w:r w:rsidR="00762FDE" w:rsidRPr="002F6D2F">
        <w:rPr>
          <w:rFonts w:eastAsiaTheme="minorHAnsi"/>
        </w:rPr>
        <w:t xml:space="preserve">elaboradas por </w:t>
      </w:r>
      <w:r w:rsidR="004916E1" w:rsidRPr="002F6D2F">
        <w:rPr>
          <w:rFonts w:eastAsiaTheme="minorHAnsi"/>
        </w:rPr>
        <w:t>el GSR desde 2003, que recogen el saber en materia de reglamentación</w:t>
      </w:r>
      <w:r w:rsidR="002C2472" w:rsidRPr="002F6D2F">
        <w:rPr>
          <w:rFonts w:eastAsiaTheme="minorHAnsi"/>
        </w:rPr>
        <w:t>, junto con una serie</w:t>
      </w:r>
      <w:r w:rsidR="004916E1" w:rsidRPr="002F6D2F">
        <w:rPr>
          <w:rFonts w:eastAsiaTheme="minorHAnsi"/>
        </w:rPr>
        <w:t xml:space="preserve"> </w:t>
      </w:r>
      <w:r w:rsidR="002C2472" w:rsidRPr="002F6D2F">
        <w:rPr>
          <w:rFonts w:eastAsiaTheme="minorHAnsi"/>
        </w:rPr>
        <w:t>de</w:t>
      </w:r>
      <w:r w:rsidR="004916E1" w:rsidRPr="002F6D2F">
        <w:rPr>
          <w:rFonts w:eastAsiaTheme="minorHAnsi"/>
        </w:rPr>
        <w:t xml:space="preserve"> prácticas probadas, nos concentramos en herramientas </w:t>
      </w:r>
      <w:r w:rsidR="002C2472" w:rsidRPr="002F6D2F">
        <w:rPr>
          <w:rFonts w:eastAsiaTheme="minorHAnsi"/>
        </w:rPr>
        <w:t xml:space="preserve">y </w:t>
      </w:r>
      <w:r w:rsidR="00762FDE" w:rsidRPr="002F6D2F">
        <w:rPr>
          <w:rFonts w:eastAsiaTheme="minorHAnsi"/>
        </w:rPr>
        <w:t>planteamientos</w:t>
      </w:r>
      <w:r w:rsidR="002C2472" w:rsidRPr="002F6D2F">
        <w:rPr>
          <w:rFonts w:eastAsiaTheme="minorHAnsi"/>
        </w:rPr>
        <w:t xml:space="preserve"> nuevos, audaces, innovadores y revolucionarios para la reglamentación digital.</w:t>
      </w:r>
    </w:p>
    <w:p w14:paraId="0056E652" w14:textId="5EF53689" w:rsidR="004916E1" w:rsidRPr="002F6D2F" w:rsidRDefault="001950AA" w:rsidP="00C919EA">
      <w:pPr>
        <w:pStyle w:val="Headingb"/>
        <w:rPr>
          <w:rFonts w:eastAsiaTheme="majorEastAsia"/>
        </w:rPr>
      </w:pPr>
      <w:r w:rsidRPr="002F6D2F">
        <w:rPr>
          <w:rFonts w:eastAsiaTheme="majorEastAsia"/>
        </w:rPr>
        <w:t>Demostración de liderazgo intelectual en materia de reglamentación para la transformación digital</w:t>
      </w:r>
    </w:p>
    <w:p w14:paraId="66F744B6" w14:textId="15108C20" w:rsidR="004916E1" w:rsidRPr="002F6D2F" w:rsidRDefault="00B81C95" w:rsidP="003C40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60" w:line="259" w:lineRule="auto"/>
        <w:textAlignment w:val="auto"/>
        <w:rPr>
          <w:sz w:val="22"/>
          <w:szCs w:val="22"/>
        </w:rPr>
      </w:pPr>
      <w:bookmarkStart w:id="3" w:name="lt_pId012"/>
      <w:r w:rsidRPr="00C919EA">
        <w:rPr>
          <w:rFonts w:eastAsiaTheme="minorHAnsi"/>
        </w:rPr>
        <w:t xml:space="preserve">Si bien reconocemos que la reglamentación digital se regirá por los </w:t>
      </w:r>
      <w:r w:rsidR="006A4EFF" w:rsidRPr="00C919EA">
        <w:rPr>
          <w:rFonts w:eastAsiaTheme="minorHAnsi"/>
        </w:rPr>
        <w:t xml:space="preserve">principios fundamentales de diseño de políticas </w:t>
      </w:r>
      <w:r w:rsidRPr="00C919EA">
        <w:rPr>
          <w:rFonts w:eastAsiaTheme="minorHAnsi"/>
        </w:rPr>
        <w:t>esbozados en las</w:t>
      </w:r>
      <w:r w:rsidRPr="002F6D2F">
        <w:rPr>
          <w:sz w:val="22"/>
          <w:szCs w:val="22"/>
        </w:rPr>
        <w:t xml:space="preserve"> </w:t>
      </w:r>
      <w:hyperlink r:id="rId8" w:history="1">
        <w:r w:rsidRPr="00C919EA">
          <w:rPr>
            <w:rStyle w:val="Hyperlink"/>
            <w:szCs w:val="24"/>
          </w:rPr>
          <w:t xml:space="preserve">Directrices </w:t>
        </w:r>
        <w:r w:rsidR="006A4EFF" w:rsidRPr="00C919EA">
          <w:rPr>
            <w:rStyle w:val="Hyperlink"/>
            <w:szCs w:val="24"/>
          </w:rPr>
          <w:t>de</w:t>
        </w:r>
        <w:r w:rsidRPr="00C919EA">
          <w:rPr>
            <w:rStyle w:val="Hyperlink"/>
            <w:szCs w:val="24"/>
          </w:rPr>
          <w:t xml:space="preserve"> prácticas óptimas del GSR-19 para acelerar la conectividad digital para todos</w:t>
        </w:r>
      </w:hyperlink>
      <w:r w:rsidRPr="00C919EA">
        <w:t xml:space="preserve">, hemos </w:t>
      </w:r>
      <w:r w:rsidR="006A4EFF" w:rsidRPr="00C919EA">
        <w:t xml:space="preserve">determinado </w:t>
      </w:r>
      <w:r w:rsidR="00762FDE" w:rsidRPr="00C919EA">
        <w:t>una serie de elementos</w:t>
      </w:r>
      <w:r w:rsidR="006A4EFF" w:rsidRPr="00C919EA">
        <w:t xml:space="preserve"> fundamentales para </w:t>
      </w:r>
      <w:r w:rsidRPr="00C919EA">
        <w:t xml:space="preserve">que los marcos reglamentarios sólidos y </w:t>
      </w:r>
      <w:r w:rsidR="006A4EFF" w:rsidRPr="00C919EA">
        <w:t xml:space="preserve">con perspectivas de futuro puedan </w:t>
      </w:r>
      <w:r w:rsidRPr="00C919EA">
        <w:t>respond</w:t>
      </w:r>
      <w:r w:rsidR="006A4EFF" w:rsidRPr="00C919EA">
        <w:t>er</w:t>
      </w:r>
      <w:r w:rsidRPr="00C919EA">
        <w:t xml:space="preserve"> a los desafíos de la transformación digital</w:t>
      </w:r>
      <w:r w:rsidR="00762FDE" w:rsidRPr="00C919EA">
        <w:t xml:space="preserve"> </w:t>
      </w:r>
      <w:r w:rsidR="00762FDE" w:rsidRPr="00C919EA">
        <w:rPr>
          <w:rFonts w:eastAsiaTheme="minorHAnsi"/>
        </w:rPr>
        <w:t>inmediatamente</w:t>
      </w:r>
      <w:r w:rsidR="00762FDE" w:rsidRPr="00C919EA">
        <w:t xml:space="preserve"> después de una</w:t>
      </w:r>
      <w:r w:rsidRPr="00C919EA">
        <w:t xml:space="preserve"> crisi</w:t>
      </w:r>
      <w:r w:rsidR="00762FDE" w:rsidRPr="00C919EA">
        <w:t xml:space="preserve">s </w:t>
      </w:r>
      <w:r w:rsidRPr="00C919EA">
        <w:t>mundial y</w:t>
      </w:r>
      <w:r w:rsidR="00762FDE" w:rsidRPr="00C919EA">
        <w:t xml:space="preserve"> en etapas posteriores</w:t>
      </w:r>
      <w:r w:rsidR="006A4EFF" w:rsidRPr="00C919EA">
        <w:t>.</w:t>
      </w:r>
      <w:bookmarkEnd w:id="3"/>
    </w:p>
    <w:p w14:paraId="3713E112" w14:textId="68D206AA" w:rsidR="004916E1" w:rsidRPr="002F6D2F" w:rsidRDefault="001950AA" w:rsidP="00C919EA">
      <w:pPr>
        <w:pStyle w:val="enumlev1"/>
      </w:pPr>
      <w:bookmarkStart w:id="4" w:name="lt_pId013"/>
      <w:r w:rsidRPr="002F6D2F">
        <w:t>•</w:t>
      </w:r>
      <w:r w:rsidRPr="002F6D2F">
        <w:tab/>
      </w:r>
      <w:r w:rsidR="00B81C95" w:rsidRPr="002F6D2F">
        <w:rPr>
          <w:b/>
          <w:bCs/>
        </w:rPr>
        <w:t>Estrategias de reglamentación de la</w:t>
      </w:r>
      <w:r w:rsidR="006A4EFF" w:rsidRPr="002F6D2F">
        <w:rPr>
          <w:b/>
          <w:bCs/>
        </w:rPr>
        <w:t>s</w:t>
      </w:r>
      <w:r w:rsidR="00B81C95" w:rsidRPr="002F6D2F">
        <w:rPr>
          <w:b/>
          <w:bCs/>
        </w:rPr>
        <w:t xml:space="preserve"> tecnología</w:t>
      </w:r>
      <w:r w:rsidR="006A4EFF" w:rsidRPr="002F6D2F">
        <w:rPr>
          <w:b/>
          <w:bCs/>
        </w:rPr>
        <w:t>s</w:t>
      </w:r>
      <w:r w:rsidR="00B81C95" w:rsidRPr="002F6D2F">
        <w:rPr>
          <w:b/>
          <w:bCs/>
        </w:rPr>
        <w:t xml:space="preserve"> digital</w:t>
      </w:r>
      <w:r w:rsidR="006A4EFF" w:rsidRPr="002F6D2F">
        <w:rPr>
          <w:b/>
          <w:bCs/>
        </w:rPr>
        <w:t>es</w:t>
      </w:r>
      <w:r w:rsidR="00B81C95" w:rsidRPr="002F6D2F">
        <w:t>: Los organismos reguladores debe</w:t>
      </w:r>
      <w:r w:rsidR="003C406A" w:rsidRPr="002F6D2F">
        <w:t>ría</w:t>
      </w:r>
      <w:r w:rsidR="00B81C95" w:rsidRPr="002F6D2F">
        <w:t xml:space="preserve">n articular una justificación clara de </w:t>
      </w:r>
      <w:r w:rsidR="006A4EFF" w:rsidRPr="002F6D2F">
        <w:t xml:space="preserve">la forma y el motivo </w:t>
      </w:r>
      <w:r w:rsidR="008916D0" w:rsidRPr="002F6D2F">
        <w:t xml:space="preserve">por el que </w:t>
      </w:r>
      <w:r w:rsidR="00B81C95" w:rsidRPr="002F6D2F">
        <w:t xml:space="preserve">adoptan las decisiones, </w:t>
      </w:r>
      <w:r w:rsidR="007476D6" w:rsidRPr="002F6D2F">
        <w:t>los</w:t>
      </w:r>
      <w:r w:rsidR="00B81C95" w:rsidRPr="002F6D2F">
        <w:t xml:space="preserve"> objetivos,</w:t>
      </w:r>
      <w:r w:rsidR="008916D0" w:rsidRPr="002F6D2F">
        <w:t xml:space="preserve"> </w:t>
      </w:r>
      <w:r w:rsidR="007476D6" w:rsidRPr="002F6D2F">
        <w:t>las</w:t>
      </w:r>
      <w:r w:rsidR="00B81C95" w:rsidRPr="002F6D2F">
        <w:t xml:space="preserve"> metas </w:t>
      </w:r>
      <w:r w:rsidR="008916D0" w:rsidRPr="002F6D2F">
        <w:t>delimitadas en el tiempo</w:t>
      </w:r>
      <w:r w:rsidR="00B81C95" w:rsidRPr="002F6D2F">
        <w:t xml:space="preserve"> y</w:t>
      </w:r>
      <w:r w:rsidR="008916D0" w:rsidRPr="002F6D2F">
        <w:t xml:space="preserve"> </w:t>
      </w:r>
      <w:r w:rsidR="007476D6" w:rsidRPr="002F6D2F">
        <w:t>lo</w:t>
      </w:r>
      <w:r w:rsidR="008916D0" w:rsidRPr="002F6D2F">
        <w:t>s</w:t>
      </w:r>
      <w:r w:rsidR="00B81C95" w:rsidRPr="002F6D2F">
        <w:t xml:space="preserve"> mecanismos de </w:t>
      </w:r>
      <w:r w:rsidR="00B81C95" w:rsidRPr="002F6D2F">
        <w:lastRenderedPageBreak/>
        <w:t>supervisión</w:t>
      </w:r>
      <w:r w:rsidR="007476D6" w:rsidRPr="002F6D2F">
        <w:t xml:space="preserve"> correspondientes</w:t>
      </w:r>
      <w:r w:rsidR="00B81C95" w:rsidRPr="002F6D2F">
        <w:t xml:space="preserve">. </w:t>
      </w:r>
      <w:r w:rsidR="008916D0" w:rsidRPr="002F6D2F">
        <w:t xml:space="preserve">En </w:t>
      </w:r>
      <w:r w:rsidR="007476D6" w:rsidRPr="002F6D2F">
        <w:t xml:space="preserve">el marco de </w:t>
      </w:r>
      <w:r w:rsidR="008916D0" w:rsidRPr="002F6D2F">
        <w:t>l</w:t>
      </w:r>
      <w:r w:rsidR="00B81C95" w:rsidRPr="002F6D2F">
        <w:t>as prioridades estratégicas</w:t>
      </w:r>
      <w:r w:rsidR="008916D0" w:rsidRPr="002F6D2F">
        <w:t xml:space="preserve">, </w:t>
      </w:r>
      <w:r w:rsidR="007476D6" w:rsidRPr="002F6D2F">
        <w:t>cabría</w:t>
      </w:r>
      <w:r w:rsidR="008916D0" w:rsidRPr="002F6D2F">
        <w:t xml:space="preserve"> abordar</w:t>
      </w:r>
      <w:r w:rsidR="00B81C95" w:rsidRPr="002F6D2F">
        <w:t xml:space="preserve"> las perspectivas a corto y medio plazo de los mercados nacionales y mundiales, </w:t>
      </w:r>
      <w:r w:rsidR="008916D0" w:rsidRPr="002F6D2F">
        <w:t xml:space="preserve">junto </w:t>
      </w:r>
      <w:r w:rsidR="00B81C95" w:rsidRPr="002F6D2F">
        <w:t>con estrategias a largo plazo que requieran política</w:t>
      </w:r>
      <w:r w:rsidR="008916D0" w:rsidRPr="002F6D2F">
        <w:t>s</w:t>
      </w:r>
      <w:r w:rsidR="00B81C95" w:rsidRPr="002F6D2F">
        <w:t xml:space="preserve"> gubernamental</w:t>
      </w:r>
      <w:r w:rsidR="008916D0" w:rsidRPr="002F6D2F">
        <w:t>es</w:t>
      </w:r>
      <w:r w:rsidR="00B81C95" w:rsidRPr="002F6D2F">
        <w:t xml:space="preserve"> </w:t>
      </w:r>
      <w:r w:rsidR="008916D0" w:rsidRPr="002F6D2F">
        <w:t>adecuadas</w:t>
      </w:r>
      <w:r w:rsidR="00B81C95" w:rsidRPr="002F6D2F">
        <w:t xml:space="preserve"> y enfoque</w:t>
      </w:r>
      <w:r w:rsidR="008916D0" w:rsidRPr="002F6D2F">
        <w:t>s</w:t>
      </w:r>
      <w:r w:rsidR="00B81C95" w:rsidRPr="002F6D2F">
        <w:t xml:space="preserve"> coordinado</w:t>
      </w:r>
      <w:r w:rsidR="008916D0" w:rsidRPr="002F6D2F">
        <w:t>s</w:t>
      </w:r>
      <w:r w:rsidR="00B81C95" w:rsidRPr="002F6D2F">
        <w:t xml:space="preserve"> entre todos los interesados, </w:t>
      </w:r>
      <w:r w:rsidR="003C406A" w:rsidRPr="002F6D2F">
        <w:t xml:space="preserve">promoviendo </w:t>
      </w:r>
      <w:r w:rsidR="00B81C95" w:rsidRPr="002F6D2F">
        <w:t>al tiempo estrategias de desarrollo regional</w:t>
      </w:r>
      <w:bookmarkStart w:id="5" w:name="lt_pId015"/>
      <w:bookmarkEnd w:id="4"/>
      <w:r w:rsidR="004916E1" w:rsidRPr="002F6D2F">
        <w:t>.</w:t>
      </w:r>
      <w:bookmarkEnd w:id="5"/>
    </w:p>
    <w:p w14:paraId="10AE390C" w14:textId="604977A3" w:rsidR="004916E1" w:rsidRPr="002F6D2F" w:rsidRDefault="001950AA" w:rsidP="00C919EA">
      <w:pPr>
        <w:pStyle w:val="enumlev1"/>
      </w:pPr>
      <w:bookmarkStart w:id="6" w:name="lt_pId016"/>
      <w:r w:rsidRPr="002F6D2F">
        <w:t>•</w:t>
      </w:r>
      <w:r w:rsidRPr="002F6D2F">
        <w:tab/>
      </w:r>
      <w:r w:rsidR="00B81C95" w:rsidRPr="002F6D2F">
        <w:rPr>
          <w:b/>
          <w:bCs/>
        </w:rPr>
        <w:t>Integra</w:t>
      </w:r>
      <w:r w:rsidR="007476D6" w:rsidRPr="002F6D2F">
        <w:rPr>
          <w:b/>
          <w:bCs/>
        </w:rPr>
        <w:t>ción de</w:t>
      </w:r>
      <w:r w:rsidR="00B81C95" w:rsidRPr="002F6D2F">
        <w:rPr>
          <w:b/>
          <w:bCs/>
        </w:rPr>
        <w:t xml:space="preserve"> la sostenibilidad en los marcos normativos</w:t>
      </w:r>
      <w:r w:rsidR="00B81C95" w:rsidRPr="002F6D2F">
        <w:t>: Es necesario revisar el enfoque</w:t>
      </w:r>
      <w:r w:rsidR="007D7425" w:rsidRPr="002F6D2F">
        <w:t xml:space="preserve"> político que se aplica a</w:t>
      </w:r>
      <w:r w:rsidR="00B81C95" w:rsidRPr="002F6D2F">
        <w:t xml:space="preserve"> la tecnología y ampliar su alcance para abarcar</w:t>
      </w:r>
      <w:r w:rsidR="007D7425" w:rsidRPr="002F6D2F">
        <w:t xml:space="preserve"> todo</w:t>
      </w:r>
      <w:r w:rsidR="00B81C95" w:rsidRPr="002F6D2F">
        <w:t xml:space="preserve"> el ciclo de las tecnologías y</w:t>
      </w:r>
      <w:r w:rsidR="007D7425" w:rsidRPr="002F6D2F">
        <w:t xml:space="preserve"> los</w:t>
      </w:r>
      <w:r w:rsidR="00B81C95" w:rsidRPr="002F6D2F">
        <w:t xml:space="preserve"> servicios digitales, desde la </w:t>
      </w:r>
      <w:r w:rsidR="007D7425" w:rsidRPr="002F6D2F">
        <w:t>concepción</w:t>
      </w:r>
      <w:r w:rsidR="00B81C95" w:rsidRPr="002F6D2F">
        <w:t xml:space="preserve"> hasta la difusión y el reciclado de los productos digitales. Los aspectos ambientales debe</w:t>
      </w:r>
      <w:r w:rsidR="007D7425" w:rsidRPr="002F6D2F">
        <w:t>ría</w:t>
      </w:r>
      <w:r w:rsidR="00B81C95" w:rsidRPr="002F6D2F">
        <w:t>n tenerse en cuenta en tod</w:t>
      </w:r>
      <w:r w:rsidR="007D7425" w:rsidRPr="002F6D2F">
        <w:t>o</w:t>
      </w:r>
      <w:r w:rsidR="00B81C95" w:rsidRPr="002F6D2F">
        <w:t>s l</w:t>
      </w:r>
      <w:r w:rsidR="007D7425" w:rsidRPr="002F6D2F">
        <w:t>o</w:t>
      </w:r>
      <w:r w:rsidR="00B81C95" w:rsidRPr="002F6D2F">
        <w:t xml:space="preserve">s </w:t>
      </w:r>
      <w:r w:rsidR="007D7425" w:rsidRPr="002F6D2F">
        <w:t>niveles</w:t>
      </w:r>
      <w:r w:rsidR="00B81C95" w:rsidRPr="002F6D2F">
        <w:t xml:space="preserve"> de un marco normativo integrado y coherente que abarque </w:t>
      </w:r>
      <w:r w:rsidR="007D7425" w:rsidRPr="002F6D2F">
        <w:t xml:space="preserve">un amplio abanico de temas, </w:t>
      </w:r>
      <w:r w:rsidR="00B81C95" w:rsidRPr="002F6D2F">
        <w:t>desde la huella de carbono de la</w:t>
      </w:r>
      <w:r w:rsidR="007D7425" w:rsidRPr="002F6D2F">
        <w:t xml:space="preserve"> tecnología </w:t>
      </w:r>
      <w:r w:rsidR="007476D6" w:rsidRPr="002F6D2F">
        <w:t>en</w:t>
      </w:r>
      <w:r w:rsidR="007D7425" w:rsidRPr="002F6D2F">
        <w:t xml:space="preserve"> la</w:t>
      </w:r>
      <w:r w:rsidR="00B81C95" w:rsidRPr="002F6D2F">
        <w:t xml:space="preserve"> nube hasta la gestión de los </w:t>
      </w:r>
      <w:r w:rsidR="007D7425" w:rsidRPr="002F6D2F">
        <w:t>residuos-e</w:t>
      </w:r>
      <w:r w:rsidR="00B81C95" w:rsidRPr="002F6D2F">
        <w:t xml:space="preserve"> y la digitalización de las </w:t>
      </w:r>
      <w:r w:rsidR="007D7425" w:rsidRPr="002F6D2F">
        <w:t>actividades</w:t>
      </w:r>
      <w:r w:rsidR="00B81C95" w:rsidRPr="002F6D2F">
        <w:t xml:space="preserve"> de los sectores económicos.</w:t>
      </w:r>
      <w:bookmarkEnd w:id="6"/>
    </w:p>
    <w:p w14:paraId="57419ADE" w14:textId="30E873DE" w:rsidR="004916E1" w:rsidRPr="002F6D2F" w:rsidRDefault="001950AA" w:rsidP="00C919EA">
      <w:pPr>
        <w:pStyle w:val="enumlev1"/>
      </w:pPr>
      <w:bookmarkStart w:id="7" w:name="lt_pId019"/>
      <w:r w:rsidRPr="002F6D2F">
        <w:t>•</w:t>
      </w:r>
      <w:r w:rsidRPr="002F6D2F">
        <w:tab/>
      </w:r>
      <w:r w:rsidR="00B81C95" w:rsidRPr="002F6D2F">
        <w:rPr>
          <w:b/>
          <w:bCs/>
        </w:rPr>
        <w:t>Maximiza</w:t>
      </w:r>
      <w:r w:rsidR="007476D6" w:rsidRPr="002F6D2F">
        <w:rPr>
          <w:b/>
          <w:bCs/>
        </w:rPr>
        <w:t>ción de</w:t>
      </w:r>
      <w:r w:rsidR="00B81C95" w:rsidRPr="002F6D2F">
        <w:rPr>
          <w:b/>
          <w:bCs/>
        </w:rPr>
        <w:t xml:space="preserve"> los beneficios y </w:t>
      </w:r>
      <w:r w:rsidR="007476D6" w:rsidRPr="002F6D2F">
        <w:rPr>
          <w:b/>
          <w:bCs/>
        </w:rPr>
        <w:t>minimización de</w:t>
      </w:r>
      <w:r w:rsidR="00B81C95" w:rsidRPr="002F6D2F">
        <w:rPr>
          <w:b/>
          <w:bCs/>
        </w:rPr>
        <w:t xml:space="preserve"> </w:t>
      </w:r>
      <w:r w:rsidR="00AA4EF1" w:rsidRPr="002F6D2F">
        <w:rPr>
          <w:b/>
          <w:bCs/>
        </w:rPr>
        <w:t xml:space="preserve">los </w:t>
      </w:r>
      <w:r w:rsidR="007476D6" w:rsidRPr="002F6D2F">
        <w:rPr>
          <w:b/>
          <w:bCs/>
        </w:rPr>
        <w:t>perjuicios</w:t>
      </w:r>
      <w:r w:rsidR="00B81C95" w:rsidRPr="002F6D2F">
        <w:rPr>
          <w:b/>
          <w:bCs/>
        </w:rPr>
        <w:t xml:space="preserve"> de las tecnologías digitales</w:t>
      </w:r>
      <w:r w:rsidR="00B81C95" w:rsidRPr="002F6D2F">
        <w:t xml:space="preserve">: </w:t>
      </w:r>
      <w:r w:rsidR="00AA4EF1" w:rsidRPr="002F6D2F">
        <w:t>Los responsables</w:t>
      </w:r>
      <w:r w:rsidR="00B81C95" w:rsidRPr="002F6D2F">
        <w:t xml:space="preserve"> de</w:t>
      </w:r>
      <w:r w:rsidR="00AA4EF1" w:rsidRPr="002F6D2F">
        <w:t xml:space="preserve"> las</w:t>
      </w:r>
      <w:r w:rsidR="00B81C95" w:rsidRPr="002F6D2F">
        <w:t xml:space="preserve"> políticas y los organismos reguladores deberían </w:t>
      </w:r>
      <w:r w:rsidR="00AA4EF1" w:rsidRPr="002F6D2F">
        <w:t>crear</w:t>
      </w:r>
      <w:r w:rsidR="00B81C95" w:rsidRPr="002F6D2F">
        <w:t xml:space="preserve"> regímenes normativos que </w:t>
      </w:r>
      <w:r w:rsidR="00AA4EF1" w:rsidRPr="002F6D2F">
        <w:t>propicien</w:t>
      </w:r>
      <w:r w:rsidR="00B81C95" w:rsidRPr="002F6D2F">
        <w:t xml:space="preserve"> la innovación y</w:t>
      </w:r>
      <w:r w:rsidR="00AA4EF1" w:rsidRPr="002F6D2F">
        <w:t>,</w:t>
      </w:r>
      <w:r w:rsidR="00B81C95" w:rsidRPr="002F6D2F">
        <w:t xml:space="preserve"> al mismo tiempo</w:t>
      </w:r>
      <w:r w:rsidR="00AA4EF1" w:rsidRPr="002F6D2F">
        <w:t>,</w:t>
      </w:r>
      <w:r w:rsidR="00B81C95" w:rsidRPr="002F6D2F">
        <w:t xml:space="preserve"> controlar los </w:t>
      </w:r>
      <w:r w:rsidR="007476D6" w:rsidRPr="002F6D2F">
        <w:t>perjuicios</w:t>
      </w:r>
      <w:r w:rsidR="00B81C95" w:rsidRPr="002F6D2F">
        <w:t xml:space="preserve">, utilizar los datos y las tecnologías digitales para mejorar la eficiencia y la eficacia de los servicios gubernamentales y colaborar en la elaboración y promoción de normas regionales y mundiales que </w:t>
      </w:r>
      <w:r w:rsidR="00BC38B5" w:rsidRPr="002F6D2F">
        <w:t>fomenten</w:t>
      </w:r>
      <w:r w:rsidR="00B81C95" w:rsidRPr="002F6D2F">
        <w:t xml:space="preserve"> una mayor utilización de las tecnologías.</w:t>
      </w:r>
      <w:bookmarkEnd w:id="7"/>
    </w:p>
    <w:p w14:paraId="0ADF264C" w14:textId="4092D2EA" w:rsidR="004916E1" w:rsidRPr="002F6D2F" w:rsidRDefault="001950AA" w:rsidP="00C919EA">
      <w:pPr>
        <w:pStyle w:val="enumlev1"/>
      </w:pPr>
      <w:bookmarkStart w:id="8" w:name="lt_pId021"/>
      <w:r w:rsidRPr="002F6D2F">
        <w:t>•</w:t>
      </w:r>
      <w:r w:rsidRPr="002F6D2F">
        <w:tab/>
      </w:r>
      <w:r w:rsidR="00B81C95" w:rsidRPr="002F6D2F">
        <w:rPr>
          <w:b/>
          <w:bCs/>
        </w:rPr>
        <w:t>Proceso de reglamentación abierto, inclusivo y transparente:</w:t>
      </w:r>
      <w:r w:rsidR="00B81C95" w:rsidRPr="002F6D2F">
        <w:t xml:space="preserve"> </w:t>
      </w:r>
      <w:r w:rsidR="00600BE6" w:rsidRPr="002F6D2F">
        <w:t>Sostenemos</w:t>
      </w:r>
      <w:r w:rsidR="00B81C95" w:rsidRPr="002F6D2F">
        <w:t xml:space="preserve"> que la reglamentación digital debe </w:t>
      </w:r>
      <w:r w:rsidR="00600BE6" w:rsidRPr="002F6D2F">
        <w:t>enfocarse</w:t>
      </w:r>
      <w:r w:rsidR="00B81C95" w:rsidRPr="002F6D2F">
        <w:t xml:space="preserve"> </w:t>
      </w:r>
      <w:r w:rsidR="00600BE6" w:rsidRPr="002F6D2F">
        <w:t>haci</w:t>
      </w:r>
      <w:r w:rsidR="00B81C95" w:rsidRPr="002F6D2F">
        <w:t xml:space="preserve">a </w:t>
      </w:r>
      <w:r w:rsidR="00600BE6" w:rsidRPr="002F6D2F">
        <w:t xml:space="preserve">la </w:t>
      </w:r>
      <w:r w:rsidR="00B81C95" w:rsidRPr="002F6D2F">
        <w:t>mejora</w:t>
      </w:r>
      <w:r w:rsidR="00600BE6" w:rsidRPr="002F6D2F">
        <w:t xml:space="preserve"> de</w:t>
      </w:r>
      <w:r w:rsidR="00B81C95" w:rsidRPr="002F6D2F">
        <w:t xml:space="preserve"> la transparencia, la ética y la confianza en todo el proceso </w:t>
      </w:r>
      <w:r w:rsidR="007476D6" w:rsidRPr="002F6D2F">
        <w:t>normativo</w:t>
      </w:r>
      <w:r w:rsidR="00B81C95" w:rsidRPr="002F6D2F">
        <w:t>. Los marcos reglamentarios debe</w:t>
      </w:r>
      <w:r w:rsidR="00600BE6" w:rsidRPr="002F6D2F">
        <w:t>ría</w:t>
      </w:r>
      <w:r w:rsidR="00B81C95" w:rsidRPr="002F6D2F">
        <w:t>n alentar una amplia participación de los interesados, incluidos los</w:t>
      </w:r>
      <w:r w:rsidR="00600BE6" w:rsidRPr="002F6D2F">
        <w:t xml:space="preserve"> procedentes del sector privado, </w:t>
      </w:r>
      <w:r w:rsidR="00B81C95" w:rsidRPr="002F6D2F">
        <w:t xml:space="preserve">la sociedad civil y los gobiernos locales, por conductos oficiales y oficiosos. A lo largo de todo el proceso, las entidades reguladas y el </w:t>
      </w:r>
      <w:r w:rsidR="00600BE6" w:rsidRPr="002F6D2F">
        <w:t xml:space="preserve">organismo </w:t>
      </w:r>
      <w:r w:rsidR="00B81C95" w:rsidRPr="002F6D2F">
        <w:t>regulador comparten</w:t>
      </w:r>
      <w:r w:rsidR="00600BE6" w:rsidRPr="002F6D2F">
        <w:t xml:space="preserve"> responsabilidades en lo que atañe a</w:t>
      </w:r>
      <w:r w:rsidR="00B81C95" w:rsidRPr="002F6D2F">
        <w:t xml:space="preserve"> la elaboración,</w:t>
      </w:r>
      <w:r w:rsidR="00600BE6" w:rsidRPr="002F6D2F">
        <w:t xml:space="preserve"> el control </w:t>
      </w:r>
      <w:r w:rsidR="00B81C95" w:rsidRPr="002F6D2F">
        <w:t>y la aplicación de las normas y directrices.</w:t>
      </w:r>
      <w:bookmarkEnd w:id="8"/>
    </w:p>
    <w:p w14:paraId="2DCCD773" w14:textId="7F11F7A4" w:rsidR="004916E1" w:rsidRPr="002F6D2F" w:rsidRDefault="001950AA" w:rsidP="00C919EA">
      <w:pPr>
        <w:pStyle w:val="enumlev1"/>
      </w:pPr>
      <w:bookmarkStart w:id="9" w:name="lt_pId025"/>
      <w:r w:rsidRPr="002F6D2F">
        <w:t>•</w:t>
      </w:r>
      <w:r w:rsidRPr="002F6D2F">
        <w:tab/>
      </w:r>
      <w:r w:rsidR="00B81C95" w:rsidRPr="002F6D2F">
        <w:rPr>
          <w:b/>
          <w:bCs/>
        </w:rPr>
        <w:t xml:space="preserve">Múltiples formatos y </w:t>
      </w:r>
      <w:r w:rsidR="00BC38B5" w:rsidRPr="002F6D2F">
        <w:rPr>
          <w:b/>
          <w:bCs/>
        </w:rPr>
        <w:t>modalidades de reglamentación</w:t>
      </w:r>
      <w:r w:rsidR="00B81C95" w:rsidRPr="002F6D2F">
        <w:t xml:space="preserve">: </w:t>
      </w:r>
      <w:r w:rsidR="00FD65EF" w:rsidRPr="002F6D2F">
        <w:t>El sistema de</w:t>
      </w:r>
      <w:r w:rsidR="00B81C95" w:rsidRPr="002F6D2F">
        <w:t xml:space="preserve"> reglamentación oficial debería </w:t>
      </w:r>
      <w:r w:rsidR="00FD65EF" w:rsidRPr="002F6D2F">
        <w:t xml:space="preserve">prever un margen </w:t>
      </w:r>
      <w:r w:rsidR="00B81C95" w:rsidRPr="002F6D2F">
        <w:t xml:space="preserve">suficiente para la autorregulación, los modelos de reglamentación híbridos y </w:t>
      </w:r>
      <w:r w:rsidR="008264EC" w:rsidRPr="002F6D2F">
        <w:t xml:space="preserve">basados en la colaboración </w:t>
      </w:r>
      <w:r w:rsidR="00B81C95" w:rsidRPr="002F6D2F">
        <w:t xml:space="preserve">y los mecanismos de supervisión. Desde los incentivos y </w:t>
      </w:r>
      <w:r w:rsidR="008F6CC6" w:rsidRPr="002F6D2F">
        <w:t>las gratificaciones</w:t>
      </w:r>
      <w:r w:rsidR="00B81C95" w:rsidRPr="002F6D2F">
        <w:t xml:space="preserve">, pasando por la </w:t>
      </w:r>
      <w:r w:rsidR="008F6CC6" w:rsidRPr="002F6D2F">
        <w:t>tolerancia</w:t>
      </w:r>
      <w:r w:rsidR="00B81C95" w:rsidRPr="002F6D2F">
        <w:t xml:space="preserve">, hasta las obligaciones específicas, </w:t>
      </w:r>
      <w:r w:rsidR="008F6CC6" w:rsidRPr="002F6D2F">
        <w:t>los reguladores disponen de una amplia</w:t>
      </w:r>
      <w:r w:rsidR="00B81C95" w:rsidRPr="002F6D2F">
        <w:t xml:space="preserve"> gama de </w:t>
      </w:r>
      <w:r w:rsidR="008F6CC6" w:rsidRPr="002F6D2F">
        <w:t>herramientas y medidas correctoras</w:t>
      </w:r>
      <w:r w:rsidR="00B81C95" w:rsidRPr="002F6D2F">
        <w:t>. L</w:t>
      </w:r>
      <w:r w:rsidR="008F6CC6" w:rsidRPr="002F6D2F">
        <w:t xml:space="preserve">a aparición de nuevos problemas </w:t>
      </w:r>
      <w:r w:rsidR="00B81C95" w:rsidRPr="002F6D2F">
        <w:t xml:space="preserve">exige </w:t>
      </w:r>
      <w:r w:rsidR="007476D6" w:rsidRPr="002F6D2F">
        <w:t>planteamientos</w:t>
      </w:r>
      <w:r w:rsidR="00B81C95" w:rsidRPr="002F6D2F">
        <w:t xml:space="preserve"> novedosos y el </w:t>
      </w:r>
      <w:r w:rsidR="008F6CC6" w:rsidRPr="002F6D2F">
        <w:t xml:space="preserve">ecosistema </w:t>
      </w:r>
      <w:r w:rsidR="00B81C95" w:rsidRPr="002F6D2F">
        <w:t xml:space="preserve">reglamentario se ha ampliado para abarcar </w:t>
      </w:r>
      <w:r w:rsidR="008F6CC6" w:rsidRPr="002F6D2F">
        <w:t>espacios controlados de pruebas normativas</w:t>
      </w:r>
      <w:r w:rsidR="00B81C95" w:rsidRPr="002F6D2F">
        <w:t xml:space="preserve">, marcos éticos, hojas de ruta tecnológicas, </w:t>
      </w:r>
      <w:r w:rsidR="008F6CC6" w:rsidRPr="002F6D2F">
        <w:t>evaluaciones de las repercusiones</w:t>
      </w:r>
      <w:r w:rsidR="00B81C95" w:rsidRPr="002F6D2F">
        <w:t xml:space="preserve"> reglamentari</w:t>
      </w:r>
      <w:r w:rsidR="008F6CC6" w:rsidRPr="002F6D2F">
        <w:t>as</w:t>
      </w:r>
      <w:r w:rsidR="00B81C95" w:rsidRPr="002F6D2F">
        <w:t xml:space="preserve">, </w:t>
      </w:r>
      <w:r w:rsidR="008F6CC6" w:rsidRPr="002F6D2F">
        <w:t>trabajos de</w:t>
      </w:r>
      <w:r w:rsidR="00B81C95" w:rsidRPr="002F6D2F">
        <w:t xml:space="preserve"> investigación multivariad</w:t>
      </w:r>
      <w:r w:rsidR="008F6CC6" w:rsidRPr="002F6D2F">
        <w:t>os</w:t>
      </w:r>
      <w:r w:rsidR="00B81C95" w:rsidRPr="002F6D2F">
        <w:t xml:space="preserve"> y simulaci</w:t>
      </w:r>
      <w:r w:rsidR="008F6CC6" w:rsidRPr="002F6D2F">
        <w:t>ones</w:t>
      </w:r>
      <w:r w:rsidR="00B81C95" w:rsidRPr="002F6D2F">
        <w:t xml:space="preserve"> de </w:t>
      </w:r>
      <w:r w:rsidR="008F6CC6" w:rsidRPr="002F6D2F">
        <w:t>macro</w:t>
      </w:r>
      <w:r w:rsidR="00B81C95" w:rsidRPr="002F6D2F">
        <w:t xml:space="preserve">datos para </w:t>
      </w:r>
      <w:r w:rsidR="008F6CC6" w:rsidRPr="002F6D2F">
        <w:t>examinar</w:t>
      </w:r>
      <w:r w:rsidR="00B81C95" w:rsidRPr="002F6D2F">
        <w:t xml:space="preserve"> la respuesta reglamentaria más equilibrada, proporcionada y justa. La inteligencia artificial, la Internet de las cosas</w:t>
      </w:r>
      <w:r w:rsidR="00600E05" w:rsidRPr="002F6D2F">
        <w:t xml:space="preserve"> y</w:t>
      </w:r>
      <w:r w:rsidR="00B81C95" w:rsidRPr="002F6D2F">
        <w:t xml:space="preserve"> la información </w:t>
      </w:r>
      <w:r w:rsidR="007476D6" w:rsidRPr="002F6D2F">
        <w:t xml:space="preserve">errónea </w:t>
      </w:r>
      <w:r w:rsidR="00B81C95" w:rsidRPr="002F6D2F">
        <w:t xml:space="preserve">en línea </w:t>
      </w:r>
      <w:r w:rsidR="00600E05" w:rsidRPr="002F6D2F">
        <w:t>figuran entre los complejos</w:t>
      </w:r>
      <w:r w:rsidR="00B81C95" w:rsidRPr="002F6D2F">
        <w:t xml:space="preserve"> </w:t>
      </w:r>
      <w:bookmarkStart w:id="10" w:name="lt_pId029"/>
      <w:bookmarkEnd w:id="9"/>
      <w:r w:rsidR="00600E05" w:rsidRPr="002F6D2F">
        <w:t>temas pendientes</w:t>
      </w:r>
      <w:r w:rsidR="004916E1" w:rsidRPr="002F6D2F">
        <w:t>.</w:t>
      </w:r>
      <w:bookmarkEnd w:id="10"/>
    </w:p>
    <w:p w14:paraId="26722634" w14:textId="64F80320" w:rsidR="004916E1" w:rsidRPr="002F6D2F" w:rsidRDefault="001950AA" w:rsidP="00C919EA">
      <w:pPr>
        <w:pStyle w:val="enumlev1"/>
      </w:pPr>
      <w:bookmarkStart w:id="11" w:name="lt_pId030"/>
      <w:r w:rsidRPr="002F6D2F">
        <w:t>•</w:t>
      </w:r>
      <w:r w:rsidRPr="002F6D2F">
        <w:tab/>
      </w:r>
      <w:r w:rsidR="00600E05" w:rsidRPr="002F6D2F">
        <w:rPr>
          <w:b/>
          <w:bCs/>
        </w:rPr>
        <w:t>G</w:t>
      </w:r>
      <w:r w:rsidR="00B81C95" w:rsidRPr="002F6D2F">
        <w:rPr>
          <w:b/>
          <w:bCs/>
        </w:rPr>
        <w:t>obernanza</w:t>
      </w:r>
      <w:r w:rsidR="00600E05" w:rsidRPr="002F6D2F">
        <w:rPr>
          <w:b/>
          <w:bCs/>
        </w:rPr>
        <w:t xml:space="preserve"> sólida</w:t>
      </w:r>
      <w:r w:rsidR="00B81C95" w:rsidRPr="002F6D2F">
        <w:rPr>
          <w:b/>
          <w:bCs/>
        </w:rPr>
        <w:t xml:space="preserve"> e instituciones eficaces con mecanismos </w:t>
      </w:r>
      <w:r w:rsidR="00600E05" w:rsidRPr="002F6D2F">
        <w:rPr>
          <w:b/>
          <w:bCs/>
        </w:rPr>
        <w:t>adecuados</w:t>
      </w:r>
      <w:r w:rsidR="00B81C95" w:rsidRPr="002F6D2F">
        <w:rPr>
          <w:b/>
          <w:bCs/>
        </w:rPr>
        <w:t xml:space="preserve"> para la adopción de enfoques reglamentarios </w:t>
      </w:r>
      <w:r w:rsidR="008264EC" w:rsidRPr="002F6D2F">
        <w:rPr>
          <w:b/>
          <w:bCs/>
        </w:rPr>
        <w:t>basados en la colaboración</w:t>
      </w:r>
      <w:r w:rsidR="00B81C95" w:rsidRPr="002F6D2F">
        <w:rPr>
          <w:b/>
          <w:bCs/>
        </w:rPr>
        <w:t>:</w:t>
      </w:r>
      <w:r w:rsidR="00B81C95" w:rsidRPr="002F6D2F">
        <w:t xml:space="preserve"> El diseño institucional es </w:t>
      </w:r>
      <w:r w:rsidR="00313CB3" w:rsidRPr="002F6D2F">
        <w:t>crucial</w:t>
      </w:r>
      <w:r w:rsidR="00B81C95" w:rsidRPr="002F6D2F">
        <w:t xml:space="preserve"> y las autoridades reguladoras debe</w:t>
      </w:r>
      <w:r w:rsidR="00313CB3" w:rsidRPr="002F6D2F">
        <w:t>ría</w:t>
      </w:r>
      <w:r w:rsidR="00B81C95" w:rsidRPr="002F6D2F">
        <w:t>n disponer de las facultades adecuadas</w:t>
      </w:r>
      <w:r w:rsidR="00E17320" w:rsidRPr="002F6D2F">
        <w:t>, gozar de una amplia</w:t>
      </w:r>
      <w:r w:rsidR="00B81C95" w:rsidRPr="002F6D2F">
        <w:t xml:space="preserve"> independencia </w:t>
      </w:r>
      <w:r w:rsidR="00E17320" w:rsidRPr="002F6D2F">
        <w:t xml:space="preserve">y hacer gala de </w:t>
      </w:r>
      <w:r w:rsidR="00B81C95" w:rsidRPr="002F6D2F">
        <w:t>integridad</w:t>
      </w:r>
      <w:r w:rsidR="00E17320" w:rsidRPr="002F6D2F">
        <w:t>,</w:t>
      </w:r>
      <w:r w:rsidR="00B81C95" w:rsidRPr="002F6D2F">
        <w:t xml:space="preserve"> para poder adoptar decisiones objetivas y</w:t>
      </w:r>
      <w:r w:rsidR="00E17320" w:rsidRPr="002F6D2F">
        <w:t xml:space="preserve"> con visión </w:t>
      </w:r>
      <w:r w:rsidR="00B81C95" w:rsidRPr="002F6D2F">
        <w:t xml:space="preserve">de futuro y colaborar </w:t>
      </w:r>
      <w:r w:rsidR="00E17320" w:rsidRPr="002F6D2F">
        <w:t>con los</w:t>
      </w:r>
      <w:r w:rsidR="00B81C95" w:rsidRPr="002F6D2F">
        <w:t xml:space="preserve"> sectores </w:t>
      </w:r>
      <w:r w:rsidR="007476D6" w:rsidRPr="002F6D2F">
        <w:t>en aras de</w:t>
      </w:r>
      <w:r w:rsidR="00B81C95" w:rsidRPr="002F6D2F">
        <w:t xml:space="preserve"> la transformación digital. Esto allanará el camino para la participación, </w:t>
      </w:r>
      <w:r w:rsidR="007476D6" w:rsidRPr="002F6D2F">
        <w:t>de acuerdo con</w:t>
      </w:r>
      <w:r w:rsidR="00A85EA4" w:rsidRPr="002F6D2F">
        <w:t xml:space="preserve"> una serie</w:t>
      </w:r>
      <w:r w:rsidR="00B81C95" w:rsidRPr="002F6D2F">
        <w:t xml:space="preserve"> </w:t>
      </w:r>
      <w:r w:rsidR="00A85EA4" w:rsidRPr="002F6D2F">
        <w:t xml:space="preserve">de </w:t>
      </w:r>
      <w:r w:rsidR="00B81C95" w:rsidRPr="002F6D2F">
        <w:t>principios, de todos los interesados en el mercado</w:t>
      </w:r>
      <w:r w:rsidR="00A85EA4" w:rsidRPr="002F6D2F">
        <w:t xml:space="preserve">, así como </w:t>
      </w:r>
      <w:r w:rsidR="00B81C95" w:rsidRPr="002F6D2F">
        <w:t xml:space="preserve">para la colaboración entre los sectores. Las instituciones eficaces deben </w:t>
      </w:r>
      <w:r w:rsidR="00A85EA4" w:rsidRPr="002F6D2F">
        <w:t>contar con</w:t>
      </w:r>
      <w:r w:rsidR="00B81C95" w:rsidRPr="002F6D2F">
        <w:t xml:space="preserve"> mandatos </w:t>
      </w:r>
      <w:r w:rsidR="00A85EA4" w:rsidRPr="002F6D2F">
        <w:t>adecuados</w:t>
      </w:r>
      <w:r w:rsidR="00B81C95" w:rsidRPr="002F6D2F">
        <w:t>,</w:t>
      </w:r>
      <w:r w:rsidR="00A85EA4" w:rsidRPr="002F6D2F">
        <w:t xml:space="preserve"> </w:t>
      </w:r>
      <w:r w:rsidR="00B81C95" w:rsidRPr="002F6D2F">
        <w:t xml:space="preserve">fondos suficientes y personal </w:t>
      </w:r>
      <w:r w:rsidR="00A85EA4" w:rsidRPr="002F6D2F">
        <w:t>debidamente</w:t>
      </w:r>
      <w:r w:rsidR="00B81C95" w:rsidRPr="002F6D2F">
        <w:t xml:space="preserve"> capacitado. Las competencias de</w:t>
      </w:r>
      <w:r w:rsidR="00A85EA4" w:rsidRPr="002F6D2F">
        <w:t xml:space="preserve"> </w:t>
      </w:r>
      <w:r w:rsidR="00B81C95" w:rsidRPr="002F6D2F">
        <w:t>l</w:t>
      </w:r>
      <w:r w:rsidR="00A85EA4" w:rsidRPr="002F6D2F">
        <w:t>os miembros del</w:t>
      </w:r>
      <w:r w:rsidR="00B81C95" w:rsidRPr="002F6D2F">
        <w:t xml:space="preserve"> personal deben </w:t>
      </w:r>
      <w:r w:rsidR="00B81C95" w:rsidRPr="002F6D2F">
        <w:lastRenderedPageBreak/>
        <w:t xml:space="preserve">actualizarse </w:t>
      </w:r>
      <w:r w:rsidR="00A85EA4" w:rsidRPr="002F6D2F">
        <w:t>constantemente</w:t>
      </w:r>
      <w:r w:rsidR="00B81C95" w:rsidRPr="002F6D2F">
        <w:t xml:space="preserve">, </w:t>
      </w:r>
      <w:r w:rsidR="00A85EA4" w:rsidRPr="002F6D2F">
        <w:t xml:space="preserve">observando en todo momento </w:t>
      </w:r>
      <w:r w:rsidR="00B81C95" w:rsidRPr="002F6D2F">
        <w:t>los principios de buena gobernanza, incluidas la rendición de cuentas y la transparencia.</w:t>
      </w:r>
      <w:bookmarkEnd w:id="11"/>
    </w:p>
    <w:p w14:paraId="0430610D" w14:textId="3B54E6E7" w:rsidR="004916E1" w:rsidRPr="002F6D2F" w:rsidRDefault="001950AA" w:rsidP="00C919EA">
      <w:pPr>
        <w:pStyle w:val="enumlev1"/>
      </w:pPr>
      <w:bookmarkStart w:id="12" w:name="lt_pId035"/>
      <w:r w:rsidRPr="002F6D2F">
        <w:t>•</w:t>
      </w:r>
      <w:r w:rsidRPr="002F6D2F">
        <w:tab/>
      </w:r>
      <w:r w:rsidR="00B81C95" w:rsidRPr="002F6D2F">
        <w:rPr>
          <w:b/>
          <w:bCs/>
        </w:rPr>
        <w:t xml:space="preserve">Enfoque </w:t>
      </w:r>
      <w:r w:rsidR="00A85EA4" w:rsidRPr="002F6D2F">
        <w:rPr>
          <w:b/>
          <w:bCs/>
        </w:rPr>
        <w:t>con base empírica</w:t>
      </w:r>
      <w:r w:rsidR="00B81C95" w:rsidRPr="002F6D2F">
        <w:t xml:space="preserve">: </w:t>
      </w:r>
      <w:r w:rsidR="00D80D1B" w:rsidRPr="002F6D2F">
        <w:t xml:space="preserve">La </w:t>
      </w:r>
      <w:r w:rsidR="001625DD" w:rsidRPr="002F6D2F">
        <w:t>información y los datos empíricos sientan las bases de</w:t>
      </w:r>
      <w:r w:rsidR="00B81C95" w:rsidRPr="002F6D2F">
        <w:t xml:space="preserve"> las decisiones </w:t>
      </w:r>
      <w:r w:rsidR="001625DD" w:rsidRPr="002F6D2F">
        <w:t xml:space="preserve">reglamentarias y facilitan tanto la definición de los problemas </w:t>
      </w:r>
      <w:r w:rsidR="007476D6" w:rsidRPr="002F6D2F">
        <w:t>emer</w:t>
      </w:r>
      <w:r w:rsidR="004556E8" w:rsidRPr="002F6D2F">
        <w:t>gentes</w:t>
      </w:r>
      <w:r w:rsidR="001625DD" w:rsidRPr="002F6D2F">
        <w:t xml:space="preserve"> en el ámbito de la reglamentación</w:t>
      </w:r>
      <w:r w:rsidR="00B81C95" w:rsidRPr="002F6D2F">
        <w:t xml:space="preserve">, </w:t>
      </w:r>
      <w:r w:rsidR="001625DD" w:rsidRPr="002F6D2F">
        <w:t>c</w:t>
      </w:r>
      <w:r w:rsidR="00B81C95" w:rsidRPr="002F6D2F">
        <w:t xml:space="preserve">omo </w:t>
      </w:r>
      <w:r w:rsidR="001625DD" w:rsidRPr="002F6D2F">
        <w:t>la</w:t>
      </w:r>
      <w:r w:rsidR="00B81C95" w:rsidRPr="002F6D2F">
        <w:t xml:space="preserve"> mitiga</w:t>
      </w:r>
      <w:r w:rsidR="001625DD" w:rsidRPr="002F6D2F">
        <w:t xml:space="preserve">ción de los efectos </w:t>
      </w:r>
      <w:r w:rsidR="00B81C95" w:rsidRPr="002F6D2F">
        <w:t>de las pandemias</w:t>
      </w:r>
      <w:r w:rsidR="001625DD" w:rsidRPr="002F6D2F">
        <w:t>. En ese sentido</w:t>
      </w:r>
      <w:r w:rsidR="00B81C95" w:rsidRPr="002F6D2F">
        <w:t xml:space="preserve">, los países </w:t>
      </w:r>
      <w:r w:rsidR="004556E8" w:rsidRPr="002F6D2F">
        <w:t>dotados de</w:t>
      </w:r>
      <w:r w:rsidR="00B81C95" w:rsidRPr="002F6D2F">
        <w:t xml:space="preserve"> una infraestructura de conectividad de primer orden </w:t>
      </w:r>
      <w:r w:rsidR="001625DD" w:rsidRPr="002F6D2F">
        <w:t>son capaces de</w:t>
      </w:r>
      <w:r w:rsidR="00B81C95" w:rsidRPr="002F6D2F">
        <w:t xml:space="preserve"> </w:t>
      </w:r>
      <w:r w:rsidR="001625DD" w:rsidRPr="002F6D2F">
        <w:t>atenuar</w:t>
      </w:r>
      <w:r w:rsidR="00B81C95" w:rsidRPr="002F6D2F">
        <w:t xml:space="preserve"> mejor l</w:t>
      </w:r>
      <w:r w:rsidR="001625DD" w:rsidRPr="002F6D2F">
        <w:t>as</w:t>
      </w:r>
      <w:r w:rsidR="00B81C95" w:rsidRPr="002F6D2F">
        <w:t xml:space="preserve"> </w:t>
      </w:r>
      <w:r w:rsidR="001625DD" w:rsidRPr="002F6D2F">
        <w:t>repercusiones</w:t>
      </w:r>
      <w:r w:rsidR="00B81C95" w:rsidRPr="002F6D2F">
        <w:t xml:space="preserve"> económic</w:t>
      </w:r>
      <w:r w:rsidR="001625DD" w:rsidRPr="002F6D2F">
        <w:t>as</w:t>
      </w:r>
      <w:r w:rsidR="00B81C95" w:rsidRPr="002F6D2F">
        <w:t xml:space="preserve"> negativ</w:t>
      </w:r>
      <w:r w:rsidR="001625DD" w:rsidRPr="002F6D2F">
        <w:t>as</w:t>
      </w:r>
      <w:r w:rsidR="00B81C95" w:rsidRPr="002F6D2F">
        <w:t xml:space="preserve"> de las pandemias. </w:t>
      </w:r>
      <w:r w:rsidR="00D80D1B" w:rsidRPr="002F6D2F">
        <w:t>L</w:t>
      </w:r>
      <w:r w:rsidR="00B81C95" w:rsidRPr="002F6D2F">
        <w:t>os datos y l</w:t>
      </w:r>
      <w:r w:rsidR="00B519AE" w:rsidRPr="002F6D2F">
        <w:t>os</w:t>
      </w:r>
      <w:r w:rsidR="00B81C95" w:rsidRPr="002F6D2F">
        <w:t xml:space="preserve"> análisis</w:t>
      </w:r>
      <w:r w:rsidR="00D80D1B" w:rsidRPr="002F6D2F">
        <w:t xml:space="preserve"> también permiten a</w:t>
      </w:r>
      <w:r w:rsidR="00B519AE" w:rsidRPr="002F6D2F">
        <w:t xml:space="preserve"> </w:t>
      </w:r>
      <w:r w:rsidR="00B81C95" w:rsidRPr="002F6D2F">
        <w:t>los reguladores</w:t>
      </w:r>
      <w:r w:rsidR="00B519AE" w:rsidRPr="002F6D2F">
        <w:t xml:space="preserve"> </w:t>
      </w:r>
      <w:r w:rsidR="00B81C95" w:rsidRPr="002F6D2F">
        <w:t xml:space="preserve">determinar si </w:t>
      </w:r>
      <w:r w:rsidR="00B519AE" w:rsidRPr="002F6D2F">
        <w:t>ciertas</w:t>
      </w:r>
      <w:r w:rsidR="00B81C95" w:rsidRPr="002F6D2F">
        <w:t xml:space="preserve"> intervenciones y decisiones</w:t>
      </w:r>
      <w:r w:rsidR="004556E8" w:rsidRPr="002F6D2F">
        <w:t xml:space="preserve"> de índole</w:t>
      </w:r>
      <w:r w:rsidR="00B81C95" w:rsidRPr="002F6D2F">
        <w:t xml:space="preserve"> reglamentaria están justificadas por las deficiencias del mercado y los orientan en la definición de los resultados reglamentarios deseados</w:t>
      </w:r>
      <w:r w:rsidR="00D80D1B" w:rsidRPr="002F6D2F">
        <w:t xml:space="preserve"> y</w:t>
      </w:r>
      <w:r w:rsidR="00B81C95" w:rsidRPr="002F6D2F">
        <w:t xml:space="preserve"> las opciones para lograrlos. El fortalecimiento de la función de </w:t>
      </w:r>
      <w:r w:rsidR="004556E8" w:rsidRPr="002F6D2F">
        <w:t>control</w:t>
      </w:r>
      <w:r w:rsidR="00B81C95" w:rsidRPr="002F6D2F">
        <w:t xml:space="preserve"> y evaluación de los organismos reguladores y su integración en colaboración con otros organismos competentes pueden facilitar los esfuerzos por mejorar la reglamentación y asegurar que </w:t>
      </w:r>
      <w:r w:rsidR="00255896" w:rsidRPr="002F6D2F">
        <w:t>e</w:t>
      </w:r>
      <w:r w:rsidR="00B81C95" w:rsidRPr="002F6D2F">
        <w:t xml:space="preserve">sta </w:t>
      </w:r>
      <w:r w:rsidR="00D80D1B" w:rsidRPr="002F6D2F">
        <w:t xml:space="preserve">última </w:t>
      </w:r>
      <w:r w:rsidR="00B81C95" w:rsidRPr="002F6D2F">
        <w:t xml:space="preserve">logre sus objetivos de la manera más eficaz y eficiente, </w:t>
      </w:r>
      <w:r w:rsidR="00D80D1B" w:rsidRPr="002F6D2F">
        <w:t>especialmente en lo que atañe a</w:t>
      </w:r>
      <w:r w:rsidR="00B81C95" w:rsidRPr="002F6D2F">
        <w:t xml:space="preserve"> la </w:t>
      </w:r>
      <w:r w:rsidR="00D80D1B" w:rsidRPr="002F6D2F">
        <w:t>resiliencia</w:t>
      </w:r>
      <w:r w:rsidR="00B81C95" w:rsidRPr="002F6D2F">
        <w:t xml:space="preserve"> de las redes y </w:t>
      </w:r>
      <w:r w:rsidR="00D80D1B" w:rsidRPr="002F6D2F">
        <w:t xml:space="preserve">a </w:t>
      </w:r>
      <w:r w:rsidR="00B81C95" w:rsidRPr="002F6D2F">
        <w:t>l</w:t>
      </w:r>
      <w:r w:rsidR="00D80D1B" w:rsidRPr="002F6D2F">
        <w:t>a mejora</w:t>
      </w:r>
      <w:r w:rsidR="00B81C95" w:rsidRPr="002F6D2F">
        <w:t xml:space="preserve"> de la capacidad </w:t>
      </w:r>
      <w:r w:rsidR="00D80D1B" w:rsidRPr="002F6D2F">
        <w:t>y</w:t>
      </w:r>
      <w:r w:rsidR="00B81C95" w:rsidRPr="002F6D2F">
        <w:t xml:space="preserve"> la cobertura de las redes sin imponer carga</w:t>
      </w:r>
      <w:r w:rsidR="00D80D1B" w:rsidRPr="002F6D2F">
        <w:t>s</w:t>
      </w:r>
      <w:r w:rsidR="00B81C95" w:rsidRPr="002F6D2F">
        <w:t xml:space="preserve"> desproporcionada</w:t>
      </w:r>
      <w:r w:rsidR="00D80D1B" w:rsidRPr="002F6D2F">
        <w:t>s</w:t>
      </w:r>
      <w:r w:rsidR="00B81C95" w:rsidRPr="002F6D2F">
        <w:t xml:space="preserve"> o </w:t>
      </w:r>
      <w:r w:rsidR="00D80D1B" w:rsidRPr="002F6D2F">
        <w:t>coincidentes</w:t>
      </w:r>
      <w:r w:rsidR="00B81C95" w:rsidRPr="002F6D2F">
        <w:t xml:space="preserve"> a</w:t>
      </w:r>
      <w:r w:rsidR="00D80D1B" w:rsidRPr="002F6D2F">
        <w:t xml:space="preserve"> </w:t>
      </w:r>
      <w:r w:rsidR="00B81C95" w:rsidRPr="002F6D2F">
        <w:t>l</w:t>
      </w:r>
      <w:r w:rsidR="00D80D1B" w:rsidRPr="002F6D2F">
        <w:t>os</w:t>
      </w:r>
      <w:r w:rsidR="00B81C95" w:rsidRPr="002F6D2F">
        <w:t xml:space="preserve"> mercado</w:t>
      </w:r>
      <w:r w:rsidR="00D80D1B" w:rsidRPr="002F6D2F">
        <w:t>s</w:t>
      </w:r>
      <w:r w:rsidR="00B81C95" w:rsidRPr="002F6D2F">
        <w:t>.</w:t>
      </w:r>
      <w:bookmarkEnd w:id="12"/>
    </w:p>
    <w:p w14:paraId="4505BA49" w14:textId="5791F274" w:rsidR="004916E1" w:rsidRPr="002F6D2F" w:rsidRDefault="001950AA" w:rsidP="00C919EA">
      <w:pPr>
        <w:pStyle w:val="enumlev1"/>
      </w:pPr>
      <w:bookmarkStart w:id="13" w:name="lt_pId039"/>
      <w:r w:rsidRPr="002F6D2F">
        <w:t>•</w:t>
      </w:r>
      <w:r w:rsidRPr="002F6D2F">
        <w:tab/>
      </w:r>
      <w:r w:rsidR="00B81C95" w:rsidRPr="002F6D2F">
        <w:rPr>
          <w:b/>
          <w:bCs/>
        </w:rPr>
        <w:t>Ninguna norma está grabada en piedra</w:t>
      </w:r>
      <w:r w:rsidR="00B81C95" w:rsidRPr="002F6D2F">
        <w:t>: Los marcos reglamentarios deben revisarse periódicamente</w:t>
      </w:r>
      <w:r w:rsidR="00D80D1B" w:rsidRPr="002F6D2F">
        <w:t>, con el fin de</w:t>
      </w:r>
      <w:r w:rsidR="00B81C95" w:rsidRPr="002F6D2F">
        <w:t xml:space="preserve"> garantizar que sigan siendo adecuados para </w:t>
      </w:r>
      <w:r w:rsidR="00D80D1B" w:rsidRPr="002F6D2F">
        <w:t>sus objetivos</w:t>
      </w:r>
      <w:r w:rsidR="00B81C95" w:rsidRPr="002F6D2F">
        <w:t xml:space="preserve">. Es posible que los marcos reglamentarios tengan que adaptarse para </w:t>
      </w:r>
      <w:r w:rsidR="00D80D1B" w:rsidRPr="002F6D2F">
        <w:t>seguir</w:t>
      </w:r>
      <w:r w:rsidR="00B81C95" w:rsidRPr="002F6D2F">
        <w:t xml:space="preserve"> cumpliendo los objetivos de </w:t>
      </w:r>
      <w:r w:rsidR="00D80D1B" w:rsidRPr="002F6D2F">
        <w:t xml:space="preserve">las </w:t>
      </w:r>
      <w:r w:rsidR="00B81C95" w:rsidRPr="002F6D2F">
        <w:t>política</w:t>
      </w:r>
      <w:r w:rsidR="00D80D1B" w:rsidRPr="002F6D2F">
        <w:t>s</w:t>
      </w:r>
      <w:r w:rsidR="00B81C95" w:rsidRPr="002F6D2F">
        <w:t xml:space="preserve"> pública</w:t>
      </w:r>
      <w:r w:rsidR="00D80D1B" w:rsidRPr="002F6D2F">
        <w:t>s</w:t>
      </w:r>
      <w:r w:rsidR="00B81C95" w:rsidRPr="002F6D2F">
        <w:t xml:space="preserve"> en un entorno digital en evolución. </w:t>
      </w:r>
      <w:r w:rsidR="00D80D1B" w:rsidRPr="002F6D2F">
        <w:t>La revocación de</w:t>
      </w:r>
      <w:r w:rsidR="00B81C95" w:rsidRPr="002F6D2F">
        <w:t xml:space="preserve"> las normas </w:t>
      </w:r>
      <w:r w:rsidR="00D80D1B" w:rsidRPr="002F6D2F">
        <w:t xml:space="preserve">que han dejado de estar justificadas </w:t>
      </w:r>
      <w:r w:rsidR="00B81C95" w:rsidRPr="002F6D2F">
        <w:t xml:space="preserve">es tan importante como </w:t>
      </w:r>
      <w:r w:rsidR="00D80D1B" w:rsidRPr="002F6D2F">
        <w:t xml:space="preserve">la adopción de </w:t>
      </w:r>
      <w:bookmarkEnd w:id="13"/>
      <w:r w:rsidR="00D80D1B" w:rsidRPr="002F6D2F">
        <w:t>normas prospectivas.</w:t>
      </w:r>
    </w:p>
    <w:p w14:paraId="36A41F3E" w14:textId="74E7890A" w:rsidR="004916E1" w:rsidRPr="002F6D2F" w:rsidRDefault="001950AA" w:rsidP="00C919EA">
      <w:pPr>
        <w:pStyle w:val="Headingb"/>
        <w:rPr>
          <w:rFonts w:eastAsiaTheme="majorEastAsia"/>
        </w:rPr>
      </w:pPr>
      <w:r w:rsidRPr="002F6D2F">
        <w:rPr>
          <w:rFonts w:eastAsiaTheme="majorEastAsia"/>
        </w:rPr>
        <w:t>Vectores de la acción reguladora: Inclusividad, agilidad y resiliencia</w:t>
      </w:r>
    </w:p>
    <w:p w14:paraId="11DA418C" w14:textId="314C6C83" w:rsidR="004916E1" w:rsidRPr="002F6D2F" w:rsidRDefault="00BA22D1" w:rsidP="00C919EA">
      <w:pPr>
        <w:rPr>
          <w:rFonts w:eastAsiaTheme="minorHAnsi"/>
        </w:rPr>
      </w:pPr>
      <w:bookmarkStart w:id="14" w:name="lt_pId045"/>
      <w:r w:rsidRPr="002F6D2F">
        <w:rPr>
          <w:rFonts w:eastAsiaTheme="minorHAnsi"/>
        </w:rPr>
        <w:t xml:space="preserve">Dado que las economías nacionales y los ciudadanos dependen cada vez más de </w:t>
      </w:r>
      <w:r w:rsidR="00B81C95" w:rsidRPr="002F6D2F">
        <w:rPr>
          <w:rFonts w:eastAsiaTheme="minorHAnsi"/>
        </w:rPr>
        <w:t>la infraestructura digital</w:t>
      </w:r>
      <w:r w:rsidRPr="002F6D2F">
        <w:rPr>
          <w:rFonts w:eastAsiaTheme="minorHAnsi"/>
        </w:rPr>
        <w:t xml:space="preserve"> y que es posible que se produzcan</w:t>
      </w:r>
      <w:r w:rsidR="00B81C95" w:rsidRPr="002F6D2F">
        <w:rPr>
          <w:rFonts w:eastAsiaTheme="minorHAnsi"/>
        </w:rPr>
        <w:t xml:space="preserve"> nuevas emergencias mundiales, los reguladores tendrán</w:t>
      </w:r>
      <w:r w:rsidRPr="002F6D2F">
        <w:rPr>
          <w:rFonts w:eastAsiaTheme="minorHAnsi"/>
        </w:rPr>
        <w:t xml:space="preserve"> que abandonar los enfoques reglamentarios basados en </w:t>
      </w:r>
      <w:r w:rsidR="00B81C95" w:rsidRPr="002F6D2F">
        <w:rPr>
          <w:rFonts w:eastAsiaTheme="minorHAnsi"/>
        </w:rPr>
        <w:t xml:space="preserve">marcos sectoriales tradicionales </w:t>
      </w:r>
      <w:r w:rsidR="00126AAF" w:rsidRPr="002F6D2F">
        <w:rPr>
          <w:rFonts w:eastAsiaTheme="minorHAnsi"/>
        </w:rPr>
        <w:t>y centrarse en</w:t>
      </w:r>
      <w:r w:rsidR="00B81C95" w:rsidRPr="002F6D2F">
        <w:rPr>
          <w:rFonts w:eastAsiaTheme="minorHAnsi"/>
        </w:rPr>
        <w:t xml:space="preserve"> marcos </w:t>
      </w:r>
      <w:r w:rsidR="00126AAF" w:rsidRPr="002F6D2F">
        <w:rPr>
          <w:rFonts w:eastAsiaTheme="minorHAnsi"/>
        </w:rPr>
        <w:t>reglamentarios</w:t>
      </w:r>
      <w:r w:rsidR="00B81C95" w:rsidRPr="002F6D2F">
        <w:rPr>
          <w:rFonts w:eastAsiaTheme="minorHAnsi"/>
        </w:rPr>
        <w:t xml:space="preserve"> adaptables, colaborativos, basados en resultados </w:t>
      </w:r>
      <w:r w:rsidR="004556E8" w:rsidRPr="002F6D2F">
        <w:rPr>
          <w:rFonts w:eastAsiaTheme="minorHAnsi"/>
        </w:rPr>
        <w:t xml:space="preserve">y neutros desde el punto de vista </w:t>
      </w:r>
      <w:r w:rsidR="00126AAF" w:rsidRPr="002F6D2F">
        <w:rPr>
          <w:rFonts w:eastAsiaTheme="minorHAnsi"/>
        </w:rPr>
        <w:t>de la tecnología</w:t>
      </w:r>
      <w:r w:rsidR="00B81C95" w:rsidRPr="002F6D2F">
        <w:rPr>
          <w:rFonts w:eastAsiaTheme="minorHAnsi"/>
        </w:rPr>
        <w:t>.</w:t>
      </w:r>
      <w:bookmarkEnd w:id="14"/>
    </w:p>
    <w:p w14:paraId="7D1144BD" w14:textId="582FCCEA" w:rsidR="004916E1" w:rsidRPr="002F6D2F" w:rsidRDefault="00B81C95" w:rsidP="00C919EA">
      <w:pPr>
        <w:rPr>
          <w:rFonts w:eastAsiaTheme="minorHAnsi"/>
        </w:rPr>
      </w:pPr>
      <w:bookmarkStart w:id="15" w:name="lt_pId046"/>
      <w:r w:rsidRPr="002F6D2F">
        <w:rPr>
          <w:rFonts w:eastAsiaTheme="minorHAnsi"/>
        </w:rPr>
        <w:t>Recomendamos que la reglamentación digital se base en los siguientes vectores</w:t>
      </w:r>
      <w:r w:rsidR="00126AAF" w:rsidRPr="002F6D2F">
        <w:rPr>
          <w:rFonts w:eastAsiaTheme="minorHAnsi"/>
        </w:rPr>
        <w:t>, a fin</w:t>
      </w:r>
      <w:r w:rsidRPr="002F6D2F">
        <w:rPr>
          <w:rFonts w:eastAsiaTheme="minorHAnsi"/>
        </w:rPr>
        <w:t xml:space="preserve"> </w:t>
      </w:r>
      <w:r w:rsidR="00126AAF" w:rsidRPr="002F6D2F">
        <w:rPr>
          <w:rFonts w:eastAsiaTheme="minorHAnsi"/>
        </w:rPr>
        <w:t>de</w:t>
      </w:r>
      <w:r w:rsidRPr="002F6D2F">
        <w:rPr>
          <w:rFonts w:eastAsiaTheme="minorHAnsi"/>
        </w:rPr>
        <w:t xml:space="preserve"> que la transformación digital pueda </w:t>
      </w:r>
      <w:r w:rsidR="004556E8" w:rsidRPr="002F6D2F">
        <w:rPr>
          <w:rFonts w:eastAsiaTheme="minorHAnsi"/>
        </w:rPr>
        <w:t>dar rienda suelta a</w:t>
      </w:r>
      <w:r w:rsidRPr="002F6D2F">
        <w:rPr>
          <w:rFonts w:eastAsiaTheme="minorHAnsi"/>
        </w:rPr>
        <w:t xml:space="preserve"> todo su potencial.</w:t>
      </w:r>
      <w:bookmarkEnd w:id="15"/>
    </w:p>
    <w:p w14:paraId="47FCCB2B" w14:textId="134CDABF" w:rsidR="004916E1" w:rsidRPr="002F6D2F" w:rsidRDefault="001950AA" w:rsidP="00C919EA">
      <w:pPr>
        <w:pStyle w:val="enumlev1"/>
      </w:pPr>
      <w:bookmarkStart w:id="16" w:name="lt_pId047"/>
      <w:r w:rsidRPr="002F6D2F">
        <w:t>•</w:t>
      </w:r>
      <w:r w:rsidRPr="002F6D2F">
        <w:tab/>
      </w:r>
      <w:r w:rsidR="00B81C95" w:rsidRPr="002F6D2F">
        <w:rPr>
          <w:b/>
          <w:bCs/>
        </w:rPr>
        <w:t>Los consumidores son ciudadanos, pacientes, estudiantes y nuestr</w:t>
      </w:r>
      <w:r w:rsidR="00264A96" w:rsidRPr="002F6D2F">
        <w:rPr>
          <w:b/>
          <w:bCs/>
        </w:rPr>
        <w:t>o</w:t>
      </w:r>
      <w:r w:rsidR="00B81C95" w:rsidRPr="002F6D2F">
        <w:rPr>
          <w:b/>
          <w:bCs/>
        </w:rPr>
        <w:t xml:space="preserve">s </w:t>
      </w:r>
      <w:r w:rsidR="00264A96" w:rsidRPr="002F6D2F">
        <w:rPr>
          <w:b/>
          <w:bCs/>
        </w:rPr>
        <w:t>familiares</w:t>
      </w:r>
      <w:r w:rsidR="00B81C95" w:rsidRPr="002F6D2F">
        <w:rPr>
          <w:b/>
          <w:bCs/>
        </w:rPr>
        <w:t>:</w:t>
      </w:r>
      <w:r w:rsidR="00B81C95" w:rsidRPr="002F6D2F">
        <w:t xml:space="preserve"> </w:t>
      </w:r>
      <w:r w:rsidR="004207C3" w:rsidRPr="002F6D2F">
        <w:t>E</w:t>
      </w:r>
      <w:r w:rsidR="00B81C95" w:rsidRPr="002F6D2F">
        <w:t xml:space="preserve">l interés </w:t>
      </w:r>
      <w:r w:rsidR="000417B0" w:rsidRPr="002F6D2F">
        <w:t xml:space="preserve">de los consumidores </w:t>
      </w:r>
      <w:r w:rsidR="00B81C95" w:rsidRPr="002F6D2F">
        <w:t>y la equidad son</w:t>
      </w:r>
      <w:r w:rsidR="000417B0" w:rsidRPr="002F6D2F">
        <w:t xml:space="preserve"> elementos</w:t>
      </w:r>
      <w:r w:rsidR="00B81C95" w:rsidRPr="002F6D2F">
        <w:t xml:space="preserve"> fundamentales para la reglamentación digital y todas las decisiones reglamentarias deberían adoptarse teniendo en cuenta a los consumidores, desde la</w:t>
      </w:r>
      <w:r w:rsidR="004A0718" w:rsidRPr="002F6D2F">
        <w:t xml:space="preserve"> realización de</w:t>
      </w:r>
      <w:r w:rsidR="00B81C95" w:rsidRPr="002F6D2F">
        <w:t xml:space="preserve"> intervenciones </w:t>
      </w:r>
      <w:r w:rsidR="000417B0" w:rsidRPr="002F6D2F">
        <w:t>progresivas</w:t>
      </w:r>
      <w:r w:rsidR="00B81C95" w:rsidRPr="002F6D2F">
        <w:t xml:space="preserve"> </w:t>
      </w:r>
      <w:r w:rsidR="004A0718" w:rsidRPr="002F6D2F">
        <w:t>en favor de</w:t>
      </w:r>
      <w:r w:rsidR="00B81C95" w:rsidRPr="002F6D2F">
        <w:t xml:space="preserve"> una experiencia en línea fluida</w:t>
      </w:r>
      <w:r w:rsidR="004A0718" w:rsidRPr="002F6D2F">
        <w:t xml:space="preserve"> y la provisión de</w:t>
      </w:r>
      <w:r w:rsidR="00B81C95" w:rsidRPr="002F6D2F">
        <w:t xml:space="preserve"> canales eficaces de reparación, en particular mediante órganos de defensa de los consumidores,</w:t>
      </w:r>
      <w:r w:rsidR="004A0718" w:rsidRPr="002F6D2F">
        <w:t xml:space="preserve"> hasta</w:t>
      </w:r>
      <w:r w:rsidR="00B81C95" w:rsidRPr="002F6D2F">
        <w:t xml:space="preserve"> </w:t>
      </w:r>
      <w:r w:rsidR="004A0718" w:rsidRPr="002F6D2F">
        <w:t>la formación</w:t>
      </w:r>
      <w:r w:rsidR="00B81C95" w:rsidRPr="002F6D2F">
        <w:t xml:space="preserve"> de los consumidores y la reforma jurídica</w:t>
      </w:r>
      <w:bookmarkStart w:id="17" w:name="lt_pId048"/>
      <w:bookmarkEnd w:id="16"/>
      <w:r w:rsidR="004916E1" w:rsidRPr="002F6D2F">
        <w:t>.</w:t>
      </w:r>
      <w:bookmarkEnd w:id="17"/>
    </w:p>
    <w:p w14:paraId="6BC53537" w14:textId="26204697" w:rsidR="004916E1" w:rsidRPr="002F6D2F" w:rsidRDefault="001950AA" w:rsidP="00C919EA">
      <w:pPr>
        <w:pStyle w:val="enumlev1"/>
      </w:pPr>
      <w:bookmarkStart w:id="18" w:name="lt_pId049"/>
      <w:r w:rsidRPr="002F6D2F">
        <w:t>•</w:t>
      </w:r>
      <w:r w:rsidRPr="002F6D2F">
        <w:tab/>
      </w:r>
      <w:r w:rsidR="00BB7C5C" w:rsidRPr="002F6D2F">
        <w:rPr>
          <w:b/>
          <w:bCs/>
        </w:rPr>
        <w:t>Dar prioridad a</w:t>
      </w:r>
      <w:r w:rsidR="004A0718" w:rsidRPr="002F6D2F">
        <w:rPr>
          <w:b/>
          <w:bCs/>
        </w:rPr>
        <w:t xml:space="preserve"> las</w:t>
      </w:r>
      <w:r w:rsidR="00B81C95" w:rsidRPr="002F6D2F">
        <w:rPr>
          <w:b/>
          <w:bCs/>
        </w:rPr>
        <w:t xml:space="preserve"> empresas:</w:t>
      </w:r>
      <w:r w:rsidR="00B81C95" w:rsidRPr="002F6D2F">
        <w:t xml:space="preserve"> </w:t>
      </w:r>
      <w:r w:rsidR="004A0718" w:rsidRPr="002F6D2F">
        <w:t>La</w:t>
      </w:r>
      <w:r w:rsidR="00B81C95" w:rsidRPr="002F6D2F">
        <w:t xml:space="preserve"> reglamentación digital debería utilizarse para</w:t>
      </w:r>
      <w:r w:rsidR="00DB17FD" w:rsidRPr="002F6D2F">
        <w:t xml:space="preserve"> impulsar</w:t>
      </w:r>
      <w:r w:rsidR="00B81C95" w:rsidRPr="002F6D2F">
        <w:t xml:space="preserve"> el desarrollo de oportunidades </w:t>
      </w:r>
      <w:r w:rsidR="00DB17FD" w:rsidRPr="002F6D2F">
        <w:t>de negocio</w:t>
      </w:r>
      <w:r w:rsidR="00B81C95" w:rsidRPr="002F6D2F">
        <w:t xml:space="preserve"> orientadas a la economía digital para </w:t>
      </w:r>
      <w:r w:rsidR="00DB17FD" w:rsidRPr="002F6D2F">
        <w:t>agentes comerciales de todo tipo y tamaño</w:t>
      </w:r>
      <w:r w:rsidR="00B81C95" w:rsidRPr="002F6D2F">
        <w:t xml:space="preserve">, incluidas las </w:t>
      </w:r>
      <w:r w:rsidR="00DB17FD" w:rsidRPr="002F6D2F">
        <w:t>pymes</w:t>
      </w:r>
      <w:r w:rsidR="00B81C95" w:rsidRPr="002F6D2F">
        <w:t xml:space="preserve">. Es necesario que los enfoques </w:t>
      </w:r>
      <w:r w:rsidR="00DB17FD" w:rsidRPr="002F6D2F">
        <w:t>en materia de políticas</w:t>
      </w:r>
      <w:r w:rsidR="00B81C95" w:rsidRPr="002F6D2F">
        <w:t xml:space="preserve"> </w:t>
      </w:r>
      <w:r w:rsidR="00DB17FD" w:rsidRPr="002F6D2F">
        <w:t>incluyan</w:t>
      </w:r>
      <w:r w:rsidR="00B81C95" w:rsidRPr="002F6D2F">
        <w:t xml:space="preserve"> la tecnología digital</w:t>
      </w:r>
      <w:r w:rsidR="00DB17FD" w:rsidRPr="002F6D2F">
        <w:t xml:space="preserve"> como </w:t>
      </w:r>
      <w:r w:rsidR="004556E8" w:rsidRPr="002F6D2F">
        <w:t>eje</w:t>
      </w:r>
      <w:r w:rsidR="00DB17FD" w:rsidRPr="002F6D2F">
        <w:t xml:space="preserve"> central </w:t>
      </w:r>
      <w:r w:rsidR="00B81C95" w:rsidRPr="002F6D2F">
        <w:t xml:space="preserve">de las estrategias de desarrollo locales, nacionales y, siempre que sea posible, regionales, </w:t>
      </w:r>
      <w:r w:rsidR="00DB17FD" w:rsidRPr="002F6D2F">
        <w:t>con objeto de</w:t>
      </w:r>
      <w:r w:rsidR="00B81C95" w:rsidRPr="002F6D2F">
        <w:t xml:space="preserve"> estimular la economía, </w:t>
      </w:r>
      <w:r w:rsidR="004F0AE2" w:rsidRPr="002F6D2F">
        <w:t>facilitar la actividad comercial</w:t>
      </w:r>
      <w:r w:rsidR="00B81C95" w:rsidRPr="002F6D2F">
        <w:t xml:space="preserve"> y crear valor en sectores de gran potencial, fomentando al mismo tiempo las sinergias intersectoriales, así como </w:t>
      </w:r>
      <w:r w:rsidR="00B81C95" w:rsidRPr="002F6D2F">
        <w:rPr>
          <w:b/>
          <w:bCs/>
        </w:rPr>
        <w:t>la conectividad y la digitalización de las pequeñas y medianas empresas (</w:t>
      </w:r>
      <w:r w:rsidR="00DB17FD" w:rsidRPr="002F6D2F">
        <w:rPr>
          <w:b/>
          <w:bCs/>
        </w:rPr>
        <w:t>pymes</w:t>
      </w:r>
      <w:r w:rsidR="00B81C95" w:rsidRPr="002F6D2F">
        <w:rPr>
          <w:b/>
          <w:bCs/>
        </w:rPr>
        <w:t>)</w:t>
      </w:r>
      <w:bookmarkStart w:id="19" w:name="lt_pId051"/>
      <w:bookmarkEnd w:id="18"/>
      <w:r w:rsidR="004916E1" w:rsidRPr="000A7B46">
        <w:t>.</w:t>
      </w:r>
      <w:bookmarkEnd w:id="19"/>
    </w:p>
    <w:p w14:paraId="5986E4CA" w14:textId="42E1A411" w:rsidR="004916E1" w:rsidRPr="002F6D2F" w:rsidRDefault="001950AA" w:rsidP="00C919EA">
      <w:pPr>
        <w:pStyle w:val="enumlev1"/>
      </w:pPr>
      <w:bookmarkStart w:id="20" w:name="lt_pId052"/>
      <w:r w:rsidRPr="002F6D2F">
        <w:lastRenderedPageBreak/>
        <w:t>•</w:t>
      </w:r>
      <w:r w:rsidRPr="002F6D2F">
        <w:tab/>
      </w:r>
      <w:r w:rsidR="00B81C95" w:rsidRPr="002F6D2F">
        <w:t>La reglamentación s</w:t>
      </w:r>
      <w:r w:rsidR="004F0AE2" w:rsidRPr="002F6D2F">
        <w:t>o</w:t>
      </w:r>
      <w:r w:rsidR="00B81C95" w:rsidRPr="002F6D2F">
        <w:t xml:space="preserve">lo es necesaria </w:t>
      </w:r>
      <w:r w:rsidR="004F0AE2" w:rsidRPr="002F6D2F">
        <w:t>en los casos en que</w:t>
      </w:r>
      <w:r w:rsidR="00B81C95" w:rsidRPr="002F6D2F">
        <w:t xml:space="preserve"> existe una </w:t>
      </w:r>
      <w:r w:rsidR="00B81C95" w:rsidRPr="002F6D2F">
        <w:rPr>
          <w:b/>
          <w:bCs/>
        </w:rPr>
        <w:t xml:space="preserve">justificación de política pública para regular </w:t>
      </w:r>
      <w:r w:rsidR="00B81C95" w:rsidRPr="002F6D2F">
        <w:t xml:space="preserve">un servicio, ya sea </w:t>
      </w:r>
      <w:r w:rsidR="00BB7C5C" w:rsidRPr="002F6D2F">
        <w:t>a través de</w:t>
      </w:r>
      <w:r w:rsidR="00B81C95" w:rsidRPr="002F6D2F">
        <w:t xml:space="preserve"> la ampliación de las normas y los regímenes reglamentarios </w:t>
      </w:r>
      <w:r w:rsidR="00BB7C5C" w:rsidRPr="002F6D2F">
        <w:t>vigentes</w:t>
      </w:r>
      <w:r w:rsidR="00B81C95" w:rsidRPr="002F6D2F">
        <w:t xml:space="preserve"> o</w:t>
      </w:r>
      <w:r w:rsidR="00BB7C5C" w:rsidRPr="002F6D2F">
        <w:t xml:space="preserve"> de</w:t>
      </w:r>
      <w:r w:rsidR="00B81C95" w:rsidRPr="002F6D2F">
        <w:t xml:space="preserve"> la elaboración de otros nuevos. A falta de una justificación de política pública, los organismos reguladores y los</w:t>
      </w:r>
      <w:r w:rsidR="00BB7C5C" w:rsidRPr="002F6D2F">
        <w:t xml:space="preserve"> responsables de las</w:t>
      </w:r>
      <w:r w:rsidR="00B81C95" w:rsidRPr="002F6D2F">
        <w:t xml:space="preserve"> políticas debe</w:t>
      </w:r>
      <w:r w:rsidR="004F0AE2" w:rsidRPr="002F6D2F">
        <w:t>ría</w:t>
      </w:r>
      <w:r w:rsidR="00B81C95" w:rsidRPr="002F6D2F">
        <w:t>n permitir que la competencia se desarrolle sin traba</w:t>
      </w:r>
      <w:r w:rsidR="004556E8" w:rsidRPr="002F6D2F">
        <w:t>s</w:t>
      </w:r>
      <w:r w:rsidR="00B81C95" w:rsidRPr="002F6D2F">
        <w:t>.</w:t>
      </w:r>
      <w:bookmarkEnd w:id="20"/>
    </w:p>
    <w:p w14:paraId="5E9C379C" w14:textId="075703EE" w:rsidR="004916E1" w:rsidRPr="002F6D2F" w:rsidRDefault="001950AA" w:rsidP="00C919EA">
      <w:pPr>
        <w:pStyle w:val="enumlev1"/>
      </w:pPr>
      <w:bookmarkStart w:id="21" w:name="lt_pId054"/>
      <w:r w:rsidRPr="002F6D2F">
        <w:t>•</w:t>
      </w:r>
      <w:r w:rsidRPr="002F6D2F">
        <w:tab/>
      </w:r>
      <w:r w:rsidR="00B81C95" w:rsidRPr="002F6D2F">
        <w:rPr>
          <w:b/>
          <w:bCs/>
        </w:rPr>
        <w:t>Blinda</w:t>
      </w:r>
      <w:r w:rsidR="005017CE" w:rsidRPr="002F6D2F">
        <w:rPr>
          <w:b/>
          <w:bCs/>
        </w:rPr>
        <w:t>r los</w:t>
      </w:r>
      <w:r w:rsidR="00B81C95" w:rsidRPr="002F6D2F">
        <w:rPr>
          <w:b/>
          <w:bCs/>
        </w:rPr>
        <w:t xml:space="preserve"> datos</w:t>
      </w:r>
      <w:r w:rsidR="00B81C95" w:rsidRPr="002F6D2F">
        <w:t xml:space="preserve">: Unas normas claras, firmes y aplicables en materia de </w:t>
      </w:r>
      <w:r w:rsidR="004F0AE2" w:rsidRPr="002F6D2F">
        <w:t>gobernanza</w:t>
      </w:r>
      <w:r w:rsidR="00B81C95" w:rsidRPr="002F6D2F">
        <w:t xml:space="preserve"> de datos pueden proporcionar un </w:t>
      </w:r>
      <w:r w:rsidR="005017CE" w:rsidRPr="002F6D2F">
        <w:t xml:space="preserve">escudo </w:t>
      </w:r>
      <w:r w:rsidR="00B81C95" w:rsidRPr="002F6D2F">
        <w:t>adecuado para la protección de</w:t>
      </w:r>
      <w:r w:rsidR="005017CE" w:rsidRPr="002F6D2F">
        <w:t xml:space="preserve"> </w:t>
      </w:r>
      <w:r w:rsidR="00B81C95" w:rsidRPr="002F6D2F">
        <w:t>l</w:t>
      </w:r>
      <w:r w:rsidR="005017CE" w:rsidRPr="002F6D2F">
        <w:t>os</w:t>
      </w:r>
      <w:r w:rsidR="00B81C95" w:rsidRPr="002F6D2F">
        <w:t xml:space="preserve"> consumidor</w:t>
      </w:r>
      <w:r w:rsidR="005017CE" w:rsidRPr="002F6D2F">
        <w:t>es</w:t>
      </w:r>
      <w:r w:rsidR="00B81C95" w:rsidRPr="002F6D2F">
        <w:t xml:space="preserve"> digital</w:t>
      </w:r>
      <w:r w:rsidR="005017CE" w:rsidRPr="002F6D2F">
        <w:t>es</w:t>
      </w:r>
      <w:r w:rsidR="00B81C95" w:rsidRPr="002F6D2F">
        <w:t xml:space="preserve">, creando al mismo tiempo un marco previsible y estructurado para </w:t>
      </w:r>
      <w:r w:rsidR="005017CE" w:rsidRPr="002F6D2F">
        <w:t>l</w:t>
      </w:r>
      <w:r w:rsidR="004556E8" w:rsidRPr="002F6D2F">
        <w:t xml:space="preserve">a actividad comercial </w:t>
      </w:r>
      <w:r w:rsidR="00B81C95" w:rsidRPr="002F6D2F">
        <w:t>digital. Los protocolos y mecanismos reglamentarios más avanzados pueden contribuir en gran medida a</w:t>
      </w:r>
      <w:r w:rsidR="005017CE" w:rsidRPr="002F6D2F">
        <w:t xml:space="preserve">l refuerzo de </w:t>
      </w:r>
      <w:r w:rsidR="00B81C95" w:rsidRPr="002F6D2F">
        <w:t>la confianza en el ecosistema digital,</w:t>
      </w:r>
      <w:r w:rsidR="005017CE" w:rsidRPr="002F6D2F">
        <w:t xml:space="preserve"> véanse</w:t>
      </w:r>
      <w:r w:rsidR="00B81C95" w:rsidRPr="002F6D2F">
        <w:t xml:space="preserve"> el compromiso de cumplir los requisitos relacionados con el acceso a los datos no personales </w:t>
      </w:r>
      <w:r w:rsidR="005017CE" w:rsidRPr="002F6D2F">
        <w:t>que conservan</w:t>
      </w:r>
      <w:r w:rsidR="00B81C95" w:rsidRPr="002F6D2F">
        <w:t xml:space="preserve"> las plataformas digitales, la transparencia de ciertos algoritmos esenciales </w:t>
      </w:r>
      <w:r w:rsidR="005017CE" w:rsidRPr="002F6D2F">
        <w:t>que utilizan</w:t>
      </w:r>
      <w:r w:rsidR="00B81C95" w:rsidRPr="002F6D2F">
        <w:t xml:space="preserve"> los servicios digitales, la portabilidad de los datos esenciales de las plataformas estructurantes</w:t>
      </w:r>
      <w:r w:rsidR="004556E8" w:rsidRPr="002F6D2F">
        <w:t xml:space="preserve"> y</w:t>
      </w:r>
      <w:r w:rsidR="00B81C95" w:rsidRPr="002F6D2F">
        <w:t xml:space="preserve"> la interoperabilidad y el mantenimiento de las API (interfaces de programación de aplicaciones).</w:t>
      </w:r>
      <w:bookmarkEnd w:id="21"/>
    </w:p>
    <w:p w14:paraId="2A0E3DAE" w14:textId="46AD9548" w:rsidR="004916E1" w:rsidRPr="002F6D2F" w:rsidRDefault="001950AA" w:rsidP="00C919EA">
      <w:pPr>
        <w:pStyle w:val="enumlev1"/>
      </w:pPr>
      <w:bookmarkStart w:id="22" w:name="lt_pId057"/>
      <w:r w:rsidRPr="002F6D2F">
        <w:t>•</w:t>
      </w:r>
      <w:r w:rsidRPr="002F6D2F">
        <w:tab/>
      </w:r>
      <w:r w:rsidR="00B81C95" w:rsidRPr="002F6D2F">
        <w:rPr>
          <w:b/>
          <w:bCs/>
        </w:rPr>
        <w:t>Reajust</w:t>
      </w:r>
      <w:r w:rsidR="00D15C67" w:rsidRPr="002F6D2F">
        <w:rPr>
          <w:b/>
          <w:bCs/>
        </w:rPr>
        <w:t>ar</w:t>
      </w:r>
      <w:r w:rsidR="00B81C95" w:rsidRPr="002F6D2F">
        <w:rPr>
          <w:b/>
          <w:bCs/>
        </w:rPr>
        <w:t xml:space="preserve"> las definiciones de mercado</w:t>
      </w:r>
      <w:r w:rsidR="00B81C95" w:rsidRPr="002F6D2F">
        <w:t xml:space="preserve">: </w:t>
      </w:r>
      <w:r w:rsidR="00D15C67" w:rsidRPr="002F6D2F">
        <w:t xml:space="preserve">Los </w:t>
      </w:r>
      <w:r w:rsidR="00B81C95" w:rsidRPr="002F6D2F">
        <w:t xml:space="preserve">reguladores </w:t>
      </w:r>
      <w:r w:rsidR="00D15C67" w:rsidRPr="002F6D2F">
        <w:t>podrían determinar</w:t>
      </w:r>
      <w:r w:rsidR="00B81C95" w:rsidRPr="002F6D2F">
        <w:t xml:space="preserve"> nuevos retos y objetivos de gobernanza, </w:t>
      </w:r>
      <w:r w:rsidR="00D15C67" w:rsidRPr="002F6D2F">
        <w:t>ya</w:t>
      </w:r>
      <w:r w:rsidR="00B81C95" w:rsidRPr="002F6D2F">
        <w:t xml:space="preserve"> que los servicios prestados a escala mundial también se prestan a escala local. La aparición de plataformas digitales mundiales puede</w:t>
      </w:r>
      <w:r w:rsidR="00D15C67" w:rsidRPr="002F6D2F">
        <w:t xml:space="preserve"> conllevar una ampliación</w:t>
      </w:r>
      <w:r w:rsidR="00B81C95" w:rsidRPr="002F6D2F">
        <w:t xml:space="preserve"> </w:t>
      </w:r>
      <w:r w:rsidR="00D15C67" w:rsidRPr="002F6D2F">
        <w:t>d</w:t>
      </w:r>
      <w:r w:rsidR="00B81C95" w:rsidRPr="002F6D2F">
        <w:t xml:space="preserve">el alcance de los mercados más allá del sector de las comunicaciones electrónicas. </w:t>
      </w:r>
      <w:r w:rsidR="00D15C67" w:rsidRPr="002F6D2F">
        <w:t>En ese sentido, p</w:t>
      </w:r>
      <w:r w:rsidR="00B81C95" w:rsidRPr="002F6D2F">
        <w:t xml:space="preserve">ueden diseñarse nuevos modelos de reglamentación </w:t>
      </w:r>
      <w:r w:rsidR="00B81C95" w:rsidRPr="002F6D2F">
        <w:rPr>
          <w:i/>
          <w:iCs/>
        </w:rPr>
        <w:t>ex ante</w:t>
      </w:r>
      <w:r w:rsidR="00B81C95" w:rsidRPr="002F6D2F">
        <w:t xml:space="preserve"> </w:t>
      </w:r>
      <w:r w:rsidR="00701CF0" w:rsidRPr="002F6D2F">
        <w:t xml:space="preserve">para </w:t>
      </w:r>
      <w:r w:rsidR="00266B82" w:rsidRPr="002F6D2F">
        <w:t>dichas</w:t>
      </w:r>
      <w:r w:rsidR="00B81C95" w:rsidRPr="002F6D2F">
        <w:t xml:space="preserve"> plataformas</w:t>
      </w:r>
      <w:r w:rsidR="00701CF0" w:rsidRPr="002F6D2F">
        <w:t>, con el fin de</w:t>
      </w:r>
      <w:r w:rsidR="00B81C95" w:rsidRPr="002F6D2F">
        <w:t xml:space="preserve"> preservar </w:t>
      </w:r>
      <w:r w:rsidR="00701CF0" w:rsidRPr="002F6D2F">
        <w:t>un</w:t>
      </w:r>
      <w:r w:rsidR="00B81C95" w:rsidRPr="002F6D2F">
        <w:t>a Internet abierta a todos los niveles, desde el acceso a los servicios hasta los dispositivos de usuario y la generación de contenido. Al hacerlo, debe prestarse la debida atención a</w:t>
      </w:r>
      <w:r w:rsidR="00701CF0" w:rsidRPr="002F6D2F">
        <w:t xml:space="preserve">l uso de </w:t>
      </w:r>
      <w:r w:rsidR="00B81C95" w:rsidRPr="002F6D2F">
        <w:t xml:space="preserve">la reglamentación únicamente cuando sea necesario y </w:t>
      </w:r>
      <w:r w:rsidR="00701CF0" w:rsidRPr="002F6D2F">
        <w:t>priori</w:t>
      </w:r>
      <w:r w:rsidR="00266B82" w:rsidRPr="002F6D2F">
        <w:t>zar</w:t>
      </w:r>
      <w:r w:rsidR="00B81C95" w:rsidRPr="002F6D2F">
        <w:t xml:space="preserve"> las medidas preventivas, en la medida de lo posible.</w:t>
      </w:r>
      <w:bookmarkEnd w:id="22"/>
    </w:p>
    <w:p w14:paraId="7F610629" w14:textId="741DDA4B" w:rsidR="004916E1" w:rsidRPr="002F6D2F" w:rsidRDefault="001950AA" w:rsidP="00C919EA">
      <w:pPr>
        <w:pStyle w:val="enumlev1"/>
      </w:pPr>
      <w:bookmarkStart w:id="23" w:name="lt_pId062"/>
      <w:r w:rsidRPr="002F6D2F">
        <w:t>•</w:t>
      </w:r>
      <w:r w:rsidRPr="002F6D2F">
        <w:tab/>
      </w:r>
      <w:r w:rsidR="00B81C95" w:rsidRPr="002F6D2F">
        <w:rPr>
          <w:b/>
          <w:bCs/>
        </w:rPr>
        <w:t xml:space="preserve">Conectividad </w:t>
      </w:r>
      <w:r w:rsidR="00701CF0" w:rsidRPr="002F6D2F">
        <w:rPr>
          <w:b/>
          <w:bCs/>
        </w:rPr>
        <w:t>positiva</w:t>
      </w:r>
      <w:r w:rsidR="00B81C95" w:rsidRPr="002F6D2F">
        <w:rPr>
          <w:b/>
          <w:bCs/>
        </w:rPr>
        <w:t xml:space="preserve"> para todos:</w:t>
      </w:r>
      <w:r w:rsidR="00B81C95" w:rsidRPr="002F6D2F">
        <w:t xml:space="preserve"> </w:t>
      </w:r>
      <w:r w:rsidR="0009744C" w:rsidRPr="002F6D2F">
        <w:t xml:space="preserve">La elaboración de </w:t>
      </w:r>
      <w:r w:rsidR="00B81C95" w:rsidRPr="002F6D2F">
        <w:t xml:space="preserve">estrategias específicas e innovadoras para </w:t>
      </w:r>
      <w:r w:rsidR="0009744C" w:rsidRPr="002F6D2F">
        <w:t>ampliar</w:t>
      </w:r>
      <w:r w:rsidR="00B81C95" w:rsidRPr="002F6D2F">
        <w:t xml:space="preserve"> el acceso universal a la banda ancha y reducir los cost</w:t>
      </w:r>
      <w:r w:rsidR="0009744C" w:rsidRPr="002F6D2F">
        <w:t>e</w:t>
      </w:r>
      <w:r w:rsidR="00B81C95" w:rsidRPr="002F6D2F">
        <w:t xml:space="preserve">s de las comunicaciones </w:t>
      </w:r>
      <w:r w:rsidR="008906B9" w:rsidRPr="002F6D2F">
        <w:t>permitirá colmar lagunas en</w:t>
      </w:r>
      <w:r w:rsidR="00B81C95" w:rsidRPr="002F6D2F">
        <w:t xml:space="preserve"> los mercados nacionales</w:t>
      </w:r>
      <w:r w:rsidR="008906B9" w:rsidRPr="002F6D2F">
        <w:t xml:space="preserve"> y</w:t>
      </w:r>
      <w:r w:rsidR="00B81C95" w:rsidRPr="002F6D2F">
        <w:t>, al</w:t>
      </w:r>
      <w:r w:rsidR="008906B9" w:rsidRPr="002F6D2F">
        <w:t xml:space="preserve"> mismo</w:t>
      </w:r>
      <w:r w:rsidR="00B81C95" w:rsidRPr="002F6D2F">
        <w:t xml:space="preserve"> tiempo</w:t>
      </w:r>
      <w:r w:rsidR="008906B9" w:rsidRPr="002F6D2F">
        <w:t>, abordar</w:t>
      </w:r>
      <w:r w:rsidR="00B81C95" w:rsidRPr="002F6D2F">
        <w:t xml:space="preserve"> la confianza, la seguridad y la protección de la infraestructura y los servicios. Las iniciativas </w:t>
      </w:r>
      <w:r w:rsidR="008906B9" w:rsidRPr="002F6D2F">
        <w:t>reglamentarias</w:t>
      </w:r>
      <w:r w:rsidR="00B81C95" w:rsidRPr="002F6D2F">
        <w:t xml:space="preserve"> pueden contribuir a</w:t>
      </w:r>
      <w:r w:rsidR="008906B9" w:rsidRPr="002F6D2F">
        <w:t>l logro de los Objetivos de Desarrollo Sostenible (ODS) reduciendo con mayor celeridad</w:t>
      </w:r>
      <w:r w:rsidR="00B81C95" w:rsidRPr="002F6D2F">
        <w:t xml:space="preserve"> </w:t>
      </w:r>
      <w:r w:rsidR="001E1F8B" w:rsidRPr="002F6D2F">
        <w:t xml:space="preserve">las brechas digitales relacionadas </w:t>
      </w:r>
      <w:r w:rsidR="00266B82" w:rsidRPr="002F6D2F">
        <w:t xml:space="preserve">no solo </w:t>
      </w:r>
      <w:r w:rsidR="001E1F8B" w:rsidRPr="002F6D2F">
        <w:t>con</w:t>
      </w:r>
      <w:r w:rsidR="00B81C95" w:rsidRPr="002F6D2F">
        <w:t xml:space="preserve"> la desigualdad </w:t>
      </w:r>
      <w:r w:rsidR="008906B9" w:rsidRPr="002F6D2F">
        <w:t>en el</w:t>
      </w:r>
      <w:r w:rsidR="00B81C95" w:rsidRPr="002F6D2F">
        <w:t xml:space="preserve"> acceso a la infraestructura, sino también </w:t>
      </w:r>
      <w:r w:rsidR="001E1F8B" w:rsidRPr="002F6D2F">
        <w:t xml:space="preserve">con </w:t>
      </w:r>
      <w:r w:rsidR="00B81C95" w:rsidRPr="002F6D2F">
        <w:t>la alfabetización digital y</w:t>
      </w:r>
      <w:r w:rsidR="008906B9" w:rsidRPr="002F6D2F">
        <w:t xml:space="preserve"> la creación de</w:t>
      </w:r>
      <w:r w:rsidR="00B81C95" w:rsidRPr="002F6D2F">
        <w:t xml:space="preserve"> contenido y oportunidades significativos. La conectividad digital </w:t>
      </w:r>
      <w:r w:rsidR="008906B9" w:rsidRPr="002F6D2F">
        <w:t>positiva</w:t>
      </w:r>
      <w:r w:rsidR="00B81C95" w:rsidRPr="002F6D2F">
        <w:t xml:space="preserve"> es un ecualizador que </w:t>
      </w:r>
      <w:r w:rsidR="008906B9" w:rsidRPr="002F6D2F">
        <w:t>reduce</w:t>
      </w:r>
      <w:r w:rsidR="00B81C95" w:rsidRPr="002F6D2F">
        <w:t xml:space="preserve"> las brechas sociales y económicas, por </w:t>
      </w:r>
      <w:r w:rsidR="00B41FC0" w:rsidRPr="002F6D2F">
        <w:t>ejemplo,</w:t>
      </w:r>
      <w:r w:rsidR="00B81C95" w:rsidRPr="002F6D2F">
        <w:t xml:space="preserve"> en l</w:t>
      </w:r>
      <w:r w:rsidR="008906B9" w:rsidRPr="002F6D2F">
        <w:t>os sectores educativo, sanitario y financiero</w:t>
      </w:r>
      <w:r w:rsidR="00B81C95" w:rsidRPr="002F6D2F">
        <w:t>, pero s</w:t>
      </w:r>
      <w:r w:rsidR="00266B82" w:rsidRPr="002F6D2F">
        <w:t>o</w:t>
      </w:r>
      <w:r w:rsidR="00B81C95" w:rsidRPr="002F6D2F">
        <w:t>lo si se reconoce como un derecho universal.</w:t>
      </w:r>
      <w:bookmarkEnd w:id="23"/>
      <w:r w:rsidR="00266B82" w:rsidRPr="002F6D2F">
        <w:t xml:space="preserve"> </w:t>
      </w:r>
    </w:p>
    <w:p w14:paraId="48365DD0" w14:textId="7BFBAD13" w:rsidR="004916E1" w:rsidRPr="002F6D2F" w:rsidRDefault="001950AA" w:rsidP="00C919EA">
      <w:pPr>
        <w:pStyle w:val="enumlev1"/>
      </w:pPr>
      <w:bookmarkStart w:id="24" w:name="lt_pId066"/>
      <w:r w:rsidRPr="002F6D2F">
        <w:t>•</w:t>
      </w:r>
      <w:r w:rsidRPr="002F6D2F">
        <w:tab/>
      </w:r>
      <w:r w:rsidR="00B81C95" w:rsidRPr="002F6D2F">
        <w:rPr>
          <w:b/>
          <w:bCs/>
        </w:rPr>
        <w:t>Tan bueno como el oro:</w:t>
      </w:r>
      <w:r w:rsidR="00B81C95" w:rsidRPr="002F6D2F">
        <w:t xml:space="preserve"> Los mecanismos </w:t>
      </w:r>
      <w:r w:rsidR="006F51CB" w:rsidRPr="002F6D2F">
        <w:t>que</w:t>
      </w:r>
      <w:r w:rsidR="00B81C95" w:rsidRPr="002F6D2F">
        <w:t xml:space="preserve"> facilita</w:t>
      </w:r>
      <w:r w:rsidR="006F51CB" w:rsidRPr="002F6D2F">
        <w:t>n</w:t>
      </w:r>
      <w:r w:rsidR="00B81C95" w:rsidRPr="002F6D2F">
        <w:t xml:space="preserve"> la navegación por los mercados y la simplificación de las </w:t>
      </w:r>
      <w:r w:rsidR="00266B82" w:rsidRPr="002F6D2F">
        <w:t>normas</w:t>
      </w:r>
      <w:r w:rsidR="00B81C95" w:rsidRPr="002F6D2F">
        <w:t xml:space="preserve"> y </w:t>
      </w:r>
      <w:r w:rsidR="006F51CB" w:rsidRPr="002F6D2F">
        <w:t>los reglamentos fomentan</w:t>
      </w:r>
      <w:r w:rsidR="00B81C95" w:rsidRPr="002F6D2F">
        <w:t xml:space="preserve"> la confianza en la gobernanza </w:t>
      </w:r>
      <w:r w:rsidR="006F51CB" w:rsidRPr="002F6D2F">
        <w:t>reglamentaria</w:t>
      </w:r>
      <w:r w:rsidR="00B81C95" w:rsidRPr="002F6D2F">
        <w:t xml:space="preserve"> y </w:t>
      </w:r>
      <w:r w:rsidR="006F51CB" w:rsidRPr="002F6D2F">
        <w:t>propician</w:t>
      </w:r>
      <w:r w:rsidR="00B81C95" w:rsidRPr="002F6D2F">
        <w:t xml:space="preserve"> la entrada de nuev</w:t>
      </w:r>
      <w:r w:rsidR="006F51CB" w:rsidRPr="002F6D2F">
        <w:t>o</w:t>
      </w:r>
      <w:r w:rsidR="00B81C95" w:rsidRPr="002F6D2F">
        <w:t xml:space="preserve">s </w:t>
      </w:r>
      <w:r w:rsidR="006F51CB" w:rsidRPr="002F6D2F">
        <w:t>flujos de inversiones</w:t>
      </w:r>
      <w:r w:rsidR="00B81C95" w:rsidRPr="002F6D2F">
        <w:t xml:space="preserve"> y nuevos agentes a través de las industrias y las fronteras, </w:t>
      </w:r>
      <w:r w:rsidR="001E1F8B" w:rsidRPr="002F6D2F">
        <w:t>junto con</w:t>
      </w:r>
      <w:r w:rsidR="00B81C95" w:rsidRPr="002F6D2F">
        <w:t xml:space="preserve"> la creación de una infraestructura suficiente, </w:t>
      </w:r>
      <w:r w:rsidR="006A3DC1" w:rsidRPr="002F6D2F">
        <w:t>resiliente</w:t>
      </w:r>
      <w:r w:rsidR="00B81C95" w:rsidRPr="002F6D2F">
        <w:t xml:space="preserve"> y abierta. Los regímenes de autorización general, los mecanismos</w:t>
      </w:r>
      <w:r w:rsidR="006A3DC1" w:rsidRPr="002F6D2F">
        <w:t xml:space="preserve"> </w:t>
      </w:r>
      <w:r w:rsidR="00FC2E7E">
        <w:t>eficientes y eficaces</w:t>
      </w:r>
      <w:r w:rsidR="00FC2E7E" w:rsidRPr="002F6D2F">
        <w:t xml:space="preserve"> </w:t>
      </w:r>
      <w:r w:rsidR="00B81C95" w:rsidRPr="002F6D2F">
        <w:t xml:space="preserve">para la gestión del espectro, la compartición de infraestructuras y las </w:t>
      </w:r>
      <w:r w:rsidR="006A3DC1" w:rsidRPr="002F6D2F">
        <w:t xml:space="preserve">normas generales de competencia </w:t>
      </w:r>
      <w:r w:rsidR="00B81C95" w:rsidRPr="002F6D2F">
        <w:t xml:space="preserve">han demostrado ser catalizadores de la transformación digital y siguen </w:t>
      </w:r>
      <w:r w:rsidR="006A3DC1" w:rsidRPr="002F6D2F">
        <w:t>constituyendo</w:t>
      </w:r>
      <w:r w:rsidR="00B81C95" w:rsidRPr="002F6D2F">
        <w:t xml:space="preserve"> l</w:t>
      </w:r>
      <w:r w:rsidR="00266B82" w:rsidRPr="002F6D2F">
        <w:t>os pilares</w:t>
      </w:r>
      <w:r w:rsidR="00B81C95" w:rsidRPr="002F6D2F">
        <w:t xml:space="preserve"> de las futuras reglamentaciones.</w:t>
      </w:r>
      <w:bookmarkEnd w:id="24"/>
    </w:p>
    <w:p w14:paraId="68B9C568" w14:textId="323147AE" w:rsidR="004916E1" w:rsidRPr="002F6D2F" w:rsidRDefault="00B81C95" w:rsidP="00C919EA">
      <w:pPr>
        <w:rPr>
          <w:rFonts w:eastAsiaTheme="minorHAnsi"/>
        </w:rPr>
      </w:pPr>
      <w:bookmarkStart w:id="25" w:name="lt_pId069"/>
      <w:r w:rsidRPr="002F6D2F">
        <w:rPr>
          <w:rFonts w:eastAsiaTheme="minorHAnsi"/>
        </w:rPr>
        <w:t>Después de la crisis mundial de</w:t>
      </w:r>
      <w:r w:rsidR="006A3DC1" w:rsidRPr="002F6D2F">
        <w:rPr>
          <w:rFonts w:eastAsiaTheme="minorHAnsi"/>
        </w:rPr>
        <w:t>l</w:t>
      </w:r>
      <w:r w:rsidRPr="002F6D2F">
        <w:rPr>
          <w:rFonts w:eastAsiaTheme="minorHAnsi"/>
        </w:rPr>
        <w:t xml:space="preserve"> COVID-19, tal vez sea necesario reajustar las políticas y replantear </w:t>
      </w:r>
      <w:r w:rsidR="006A3DC1" w:rsidRPr="002F6D2F">
        <w:rPr>
          <w:rFonts w:eastAsiaTheme="minorHAnsi"/>
        </w:rPr>
        <w:t>los enfoques reglamentarios</w:t>
      </w:r>
      <w:r w:rsidRPr="002F6D2F">
        <w:rPr>
          <w:rFonts w:eastAsiaTheme="minorHAnsi"/>
        </w:rPr>
        <w:t>.</w:t>
      </w:r>
      <w:bookmarkEnd w:id="25"/>
    </w:p>
    <w:p w14:paraId="39D7269C" w14:textId="78C9C201" w:rsidR="004916E1" w:rsidRPr="002F6D2F" w:rsidRDefault="00B81C95" w:rsidP="00C919EA">
      <w:pPr>
        <w:rPr>
          <w:rFonts w:eastAsiaTheme="minorHAnsi"/>
        </w:rPr>
      </w:pPr>
      <w:bookmarkStart w:id="26" w:name="lt_pId070"/>
      <w:r w:rsidRPr="002F6D2F">
        <w:rPr>
          <w:rFonts w:eastAsiaTheme="minorHAnsi"/>
        </w:rPr>
        <w:lastRenderedPageBreak/>
        <w:t xml:space="preserve">Creemos que la reglamentación digital puede </w:t>
      </w:r>
      <w:r w:rsidR="00266B82" w:rsidRPr="002F6D2F">
        <w:rPr>
          <w:rFonts w:eastAsiaTheme="minorHAnsi"/>
        </w:rPr>
        <w:t>mejorar</w:t>
      </w:r>
      <w:r w:rsidRPr="002F6D2F">
        <w:rPr>
          <w:rFonts w:eastAsiaTheme="minorHAnsi"/>
        </w:rPr>
        <w:t xml:space="preserve"> la preparación de los mercados digitales para hacer frente a acontecimientos y emergencias inesperados y cumplir las expectativas a pesar de las dificultades, en particular mediante </w:t>
      </w:r>
      <w:r w:rsidR="00824B7C" w:rsidRPr="002F6D2F">
        <w:rPr>
          <w:rFonts w:eastAsiaTheme="minorHAnsi"/>
        </w:rPr>
        <w:t xml:space="preserve">la aplicación de </w:t>
      </w:r>
      <w:r w:rsidRPr="002F6D2F">
        <w:rPr>
          <w:rFonts w:eastAsiaTheme="minorHAnsi"/>
        </w:rPr>
        <w:t>las siguientes reformas.</w:t>
      </w:r>
      <w:bookmarkEnd w:id="26"/>
    </w:p>
    <w:p w14:paraId="722E2347" w14:textId="74D1EA33" w:rsidR="004916E1" w:rsidRPr="002F6D2F" w:rsidRDefault="001950AA" w:rsidP="00C919EA">
      <w:pPr>
        <w:pStyle w:val="enumlev1"/>
      </w:pPr>
      <w:bookmarkStart w:id="27" w:name="lt_pId071"/>
      <w:r w:rsidRPr="002F6D2F">
        <w:t>•</w:t>
      </w:r>
      <w:r w:rsidRPr="002F6D2F">
        <w:tab/>
      </w:r>
      <w:r w:rsidR="006540E4" w:rsidRPr="002F6D2F">
        <w:rPr>
          <w:b/>
          <w:bCs/>
        </w:rPr>
        <w:t>Un m</w:t>
      </w:r>
      <w:r w:rsidR="00B81C95" w:rsidRPr="002F6D2F">
        <w:rPr>
          <w:b/>
          <w:bCs/>
        </w:rPr>
        <w:t>arco ágil para la competencia en los mercados digitales:</w:t>
      </w:r>
      <w:r w:rsidR="00B81C95" w:rsidRPr="002F6D2F">
        <w:t xml:space="preserve"> </w:t>
      </w:r>
      <w:r w:rsidR="006540E4" w:rsidRPr="002F6D2F">
        <w:t xml:space="preserve">Habida cuenta de </w:t>
      </w:r>
      <w:r w:rsidR="00B81C95" w:rsidRPr="002F6D2F">
        <w:t xml:space="preserve">que el fortalecimiento del poder de mercado de las plataformas digitales mundiales puede dar lugar a </w:t>
      </w:r>
      <w:r w:rsidR="00C85A8D" w:rsidRPr="002F6D2F">
        <w:t xml:space="preserve">la extinción de </w:t>
      </w:r>
      <w:r w:rsidR="00B81C95" w:rsidRPr="002F6D2F">
        <w:t xml:space="preserve">posibles fuentes de innovación o a </w:t>
      </w:r>
      <w:r w:rsidR="00C85A8D" w:rsidRPr="002F6D2F">
        <w:t>la restricción de</w:t>
      </w:r>
      <w:r w:rsidR="00B81C95" w:rsidRPr="002F6D2F">
        <w:t xml:space="preserve"> la libertad de elección de los consumidores, </w:t>
      </w:r>
      <w:r w:rsidR="00B81C95" w:rsidRPr="002F6D2F">
        <w:rPr>
          <w:rFonts w:eastAsiaTheme="minorHAnsi" w:cstheme="minorBidi"/>
        </w:rPr>
        <w:t>una</w:t>
      </w:r>
      <w:r w:rsidR="00B81C95" w:rsidRPr="002F6D2F">
        <w:t xml:space="preserve"> nueva respuesta </w:t>
      </w:r>
      <w:r w:rsidR="0055237D" w:rsidRPr="002F6D2F">
        <w:t>reglamentaria</w:t>
      </w:r>
      <w:r w:rsidR="00B81C95" w:rsidRPr="002F6D2F">
        <w:t xml:space="preserve"> ágil</w:t>
      </w:r>
      <w:r w:rsidR="0055237D" w:rsidRPr="002F6D2F">
        <w:t xml:space="preserve"> y centrada </w:t>
      </w:r>
      <w:r w:rsidR="00B81C95" w:rsidRPr="002F6D2F">
        <w:t>en la prevención puede basarse en la vigilancia en tiempo real de la</w:t>
      </w:r>
      <w:r w:rsidR="0055237D" w:rsidRPr="002F6D2F">
        <w:t>s</w:t>
      </w:r>
      <w:r w:rsidR="00B81C95" w:rsidRPr="002F6D2F">
        <w:t xml:space="preserve"> actividad</w:t>
      </w:r>
      <w:r w:rsidR="0055237D" w:rsidRPr="002F6D2F">
        <w:t>es</w:t>
      </w:r>
      <w:r w:rsidR="00B81C95" w:rsidRPr="002F6D2F">
        <w:t xml:space="preserve">, </w:t>
      </w:r>
      <w:r w:rsidR="00266B82" w:rsidRPr="002F6D2F">
        <w:t xml:space="preserve">unida </w:t>
      </w:r>
      <w:r w:rsidR="00B81C95" w:rsidRPr="002F6D2F">
        <w:t>a soluciones específicas, proporcionadas y oportunas. Entretanto, los organismos reguladores deberían apoyar la innovación y l</w:t>
      </w:r>
      <w:r w:rsidR="0055237D" w:rsidRPr="002F6D2F">
        <w:t>a implantación de</w:t>
      </w:r>
      <w:r w:rsidR="00B81C95" w:rsidRPr="002F6D2F">
        <w:t xml:space="preserve"> nuevos modelos comerciales y de concesión de licencias</w:t>
      </w:r>
      <w:r w:rsidR="0055237D" w:rsidRPr="002F6D2F">
        <w:t>,</w:t>
      </w:r>
      <w:r w:rsidR="00B81C95" w:rsidRPr="002F6D2F">
        <w:t xml:space="preserve"> que faciliten un acceso asequible a los servicios </w:t>
      </w:r>
      <w:r w:rsidR="0055237D" w:rsidRPr="002F6D2F">
        <w:t>sanitarios</w:t>
      </w:r>
      <w:r w:rsidR="00B81C95" w:rsidRPr="002F6D2F">
        <w:t xml:space="preserve">, empresariales y educativos y </w:t>
      </w:r>
      <w:r w:rsidR="001E1F8B" w:rsidRPr="002F6D2F">
        <w:t>la</w:t>
      </w:r>
      <w:r w:rsidR="00B81C95" w:rsidRPr="002F6D2F">
        <w:t xml:space="preserve"> inversión en ellos a través de plataformas digitales, especialmente a medida que el mundo se adapta a la actual pandemia y se recupera de </w:t>
      </w:r>
      <w:bookmarkStart w:id="28" w:name="lt_pId073"/>
      <w:bookmarkEnd w:id="27"/>
      <w:r w:rsidR="0055237D" w:rsidRPr="002F6D2F">
        <w:t>sus efectos</w:t>
      </w:r>
      <w:r w:rsidR="004916E1" w:rsidRPr="002F6D2F">
        <w:t>.</w:t>
      </w:r>
      <w:bookmarkEnd w:id="28"/>
    </w:p>
    <w:p w14:paraId="6F0C4D81" w14:textId="5FC72873" w:rsidR="004916E1" w:rsidRPr="002F6D2F" w:rsidRDefault="001950AA" w:rsidP="00C919EA">
      <w:pPr>
        <w:pStyle w:val="enumlev1"/>
      </w:pPr>
      <w:bookmarkStart w:id="29" w:name="lt_pId074"/>
      <w:r w:rsidRPr="002F6D2F">
        <w:t>•</w:t>
      </w:r>
      <w:r w:rsidRPr="002F6D2F">
        <w:tab/>
      </w:r>
      <w:r w:rsidR="008571A8" w:rsidRPr="002F6D2F">
        <w:rPr>
          <w:b/>
          <w:bCs/>
        </w:rPr>
        <w:t>Códigos de conducta</w:t>
      </w:r>
      <w:r w:rsidR="001E1F8B" w:rsidRPr="002F6D2F">
        <w:rPr>
          <w:b/>
          <w:bCs/>
        </w:rPr>
        <w:t xml:space="preserve"> de cumplimiento</w:t>
      </w:r>
      <w:r w:rsidR="008571A8" w:rsidRPr="002F6D2F">
        <w:rPr>
          <w:b/>
          <w:bCs/>
        </w:rPr>
        <w:t xml:space="preserve"> voluntario</w:t>
      </w:r>
      <w:r w:rsidR="001E1F8B" w:rsidRPr="002F6D2F">
        <w:rPr>
          <w:b/>
          <w:bCs/>
        </w:rPr>
        <w:t xml:space="preserve"> u obligatorio</w:t>
      </w:r>
      <w:r w:rsidR="008571A8" w:rsidRPr="002F6D2F">
        <w:rPr>
          <w:b/>
          <w:bCs/>
        </w:rPr>
        <w:t xml:space="preserve">: </w:t>
      </w:r>
      <w:r w:rsidR="000021FD" w:rsidRPr="002F6D2F">
        <w:t xml:space="preserve">En </w:t>
      </w:r>
      <w:r w:rsidR="008571A8" w:rsidRPr="002F6D2F">
        <w:t>esferas importantes</w:t>
      </w:r>
      <w:r w:rsidR="000021FD" w:rsidRPr="002F6D2F">
        <w:t>,</w:t>
      </w:r>
      <w:r w:rsidR="008571A8" w:rsidRPr="002F6D2F">
        <w:t xml:space="preserve"> como la moderación del contenido en línea en las plataformas digitales, </w:t>
      </w:r>
      <w:r w:rsidR="000021FD" w:rsidRPr="002F6D2F">
        <w:t xml:space="preserve">la gestión de la </w:t>
      </w:r>
      <w:r w:rsidR="008571A8" w:rsidRPr="002F6D2F">
        <w:t xml:space="preserve">información errónea y la calidad de las noticias en línea, y la protección de </w:t>
      </w:r>
      <w:r w:rsidR="000021FD" w:rsidRPr="002F6D2F">
        <w:t>la infancia</w:t>
      </w:r>
      <w:r w:rsidR="008571A8" w:rsidRPr="002F6D2F">
        <w:t xml:space="preserve"> en línea, se alienta a las plataformas digitales a que adopten enfoque</w:t>
      </w:r>
      <w:r w:rsidR="000021FD" w:rsidRPr="002F6D2F">
        <w:t>s</w:t>
      </w:r>
      <w:r w:rsidR="008571A8" w:rsidRPr="002F6D2F">
        <w:t xml:space="preserve"> basado</w:t>
      </w:r>
      <w:r w:rsidR="000021FD" w:rsidRPr="002F6D2F">
        <w:t>s</w:t>
      </w:r>
      <w:r w:rsidR="008571A8" w:rsidRPr="002F6D2F">
        <w:t xml:space="preserve"> en los resultados</w:t>
      </w:r>
      <w:r w:rsidR="00266B82" w:rsidRPr="002F6D2F">
        <w:t>. Por su parte,</w:t>
      </w:r>
      <w:r w:rsidR="008571A8" w:rsidRPr="002F6D2F">
        <w:t xml:space="preserve"> los </w:t>
      </w:r>
      <w:r w:rsidR="000021FD" w:rsidRPr="002F6D2F">
        <w:t xml:space="preserve">organismos </w:t>
      </w:r>
      <w:r w:rsidR="008571A8" w:rsidRPr="002F6D2F">
        <w:t>reguladores deberían orientarlas y apoyarlas durante todo el proceso de creación, aplicación y cumplimiento</w:t>
      </w:r>
      <w:r w:rsidR="00266B82" w:rsidRPr="002F6D2F">
        <w:t xml:space="preserve"> de códigos</w:t>
      </w:r>
      <w:r w:rsidR="008571A8" w:rsidRPr="002F6D2F">
        <w:t>. L</w:t>
      </w:r>
      <w:r w:rsidR="00BC1966" w:rsidRPr="002F6D2F">
        <w:t>as iniciativas</w:t>
      </w:r>
      <w:r w:rsidR="008571A8" w:rsidRPr="002F6D2F">
        <w:t xml:space="preserve"> </w:t>
      </w:r>
      <w:r w:rsidR="00BC1966" w:rsidRPr="002F6D2F">
        <w:t>encaminadas a la</w:t>
      </w:r>
      <w:r w:rsidR="008571A8" w:rsidRPr="002F6D2F">
        <w:t xml:space="preserve"> alfabetización y</w:t>
      </w:r>
      <w:r w:rsidR="00BC1966" w:rsidRPr="002F6D2F">
        <w:t xml:space="preserve"> la</w:t>
      </w:r>
      <w:r w:rsidR="008571A8" w:rsidRPr="002F6D2F">
        <w:t xml:space="preserve"> sensibilización en materia de medios de comunicación y tecnología digital </w:t>
      </w:r>
      <w:r w:rsidR="00BC1966" w:rsidRPr="002F6D2F">
        <w:t xml:space="preserve">también </w:t>
      </w:r>
      <w:r w:rsidR="008571A8" w:rsidRPr="002F6D2F">
        <w:t>deberían</w:t>
      </w:r>
      <w:r w:rsidR="00BC1966" w:rsidRPr="002F6D2F">
        <w:t xml:space="preserve"> ser esenciales</w:t>
      </w:r>
      <w:r w:rsidR="008571A8" w:rsidRPr="002F6D2F">
        <w:t xml:space="preserve"> para hacer frente a los </w:t>
      </w:r>
      <w:r w:rsidR="00346BAD" w:rsidRPr="002F6D2F">
        <w:t>desafíos relacionados con los servicios</w:t>
      </w:r>
      <w:r w:rsidR="008571A8" w:rsidRPr="002F6D2F">
        <w:t xml:space="preserve"> que plantea la transformación digital</w:t>
      </w:r>
      <w:bookmarkStart w:id="30" w:name="lt_pId076"/>
      <w:bookmarkEnd w:id="29"/>
      <w:r w:rsidR="004916E1" w:rsidRPr="002F6D2F">
        <w:t>.</w:t>
      </w:r>
      <w:bookmarkEnd w:id="30"/>
    </w:p>
    <w:p w14:paraId="7B77ADB6" w14:textId="2C2B32DB" w:rsidR="004916E1" w:rsidRPr="002F6D2F" w:rsidRDefault="001950AA" w:rsidP="00C919EA">
      <w:pPr>
        <w:pStyle w:val="enumlev1"/>
      </w:pPr>
      <w:bookmarkStart w:id="31" w:name="lt_pId077"/>
      <w:r w:rsidRPr="002F6D2F">
        <w:t>•</w:t>
      </w:r>
      <w:r w:rsidRPr="002F6D2F">
        <w:tab/>
      </w:r>
      <w:r w:rsidR="008571A8" w:rsidRPr="002F6D2F">
        <w:rPr>
          <w:b/>
          <w:bCs/>
        </w:rPr>
        <w:t>Mejora de los planes nacionales de emergencia:</w:t>
      </w:r>
      <w:r w:rsidR="008571A8" w:rsidRPr="002F6D2F">
        <w:t xml:space="preserve"> Los planes de emergencia permiten </w:t>
      </w:r>
      <w:r w:rsidR="00BC1966" w:rsidRPr="002F6D2F">
        <w:t>mejorar la</w:t>
      </w:r>
      <w:r w:rsidR="008571A8" w:rsidRPr="002F6D2F">
        <w:t xml:space="preserve"> preparación y </w:t>
      </w:r>
      <w:r w:rsidR="00BC1966" w:rsidRPr="002F6D2F">
        <w:t xml:space="preserve">el proceso de </w:t>
      </w:r>
      <w:r w:rsidR="008571A8" w:rsidRPr="002F6D2F">
        <w:t xml:space="preserve">toma de decisiones </w:t>
      </w:r>
      <w:r w:rsidR="00BC1966" w:rsidRPr="002F6D2F">
        <w:t>en tiempos</w:t>
      </w:r>
      <w:r w:rsidR="008571A8" w:rsidRPr="002F6D2F">
        <w:t xml:space="preserve"> </w:t>
      </w:r>
      <w:r w:rsidR="00BC1966" w:rsidRPr="002F6D2F">
        <w:t>de</w:t>
      </w:r>
      <w:r w:rsidR="008571A8" w:rsidRPr="002F6D2F">
        <w:t xml:space="preserve"> crisis. Es</w:t>
      </w:r>
      <w:r w:rsidR="00BC1966" w:rsidRPr="002F6D2F">
        <w:t>t</w:t>
      </w:r>
      <w:r w:rsidR="008571A8" w:rsidRPr="002F6D2F">
        <w:t xml:space="preserve">os planes son fundamentales para anticiparse </w:t>
      </w:r>
      <w:r w:rsidR="00BC1966" w:rsidRPr="002F6D2F">
        <w:t xml:space="preserve">tanto </w:t>
      </w:r>
      <w:r w:rsidR="008571A8" w:rsidRPr="002F6D2F">
        <w:t xml:space="preserve">a futuros acontecimientos inesperados </w:t>
      </w:r>
      <w:r w:rsidR="00BC1966" w:rsidRPr="002F6D2F">
        <w:t>como</w:t>
      </w:r>
      <w:r w:rsidR="008571A8" w:rsidRPr="002F6D2F">
        <w:t xml:space="preserve"> a sus efectos negativos, y debe</w:t>
      </w:r>
      <w:r w:rsidR="00BC1966" w:rsidRPr="002F6D2F">
        <w:t>ría</w:t>
      </w:r>
      <w:r w:rsidR="008571A8" w:rsidRPr="002F6D2F">
        <w:t>n centrarse en las zonas urbanas y rurales</w:t>
      </w:r>
      <w:r w:rsidR="00BC1966" w:rsidRPr="002F6D2F">
        <w:t xml:space="preserve"> aplicando</w:t>
      </w:r>
      <w:r w:rsidR="008571A8" w:rsidRPr="002F6D2F">
        <w:t xml:space="preserve"> un enfoque </w:t>
      </w:r>
      <w:r w:rsidR="00BC1966" w:rsidRPr="002F6D2F">
        <w:t>articulado en torno a múltiples tecnologías</w:t>
      </w:r>
      <w:r w:rsidR="008571A8" w:rsidRPr="002F6D2F">
        <w:t xml:space="preserve">. </w:t>
      </w:r>
      <w:r w:rsidR="00BC1966" w:rsidRPr="002F6D2F">
        <w:t>L</w:t>
      </w:r>
      <w:r w:rsidR="008571A8" w:rsidRPr="002F6D2F">
        <w:t xml:space="preserve">a cooperación bilateral, regional e internacional </w:t>
      </w:r>
      <w:r w:rsidR="00BC1966" w:rsidRPr="002F6D2F">
        <w:t xml:space="preserve">es necesaria </w:t>
      </w:r>
      <w:r w:rsidR="008571A8" w:rsidRPr="002F6D2F">
        <w:t>para garantizar la continuidad de la</w:t>
      </w:r>
      <w:r w:rsidR="00BC1966" w:rsidRPr="002F6D2F">
        <w:t xml:space="preserve"> actividad</w:t>
      </w:r>
      <w:r w:rsidR="008571A8" w:rsidRPr="002F6D2F">
        <w:t xml:space="preserve"> </w:t>
      </w:r>
      <w:r w:rsidR="00346BAD" w:rsidRPr="002F6D2F">
        <w:t>comercial</w:t>
      </w:r>
      <w:r w:rsidR="008571A8" w:rsidRPr="002F6D2F">
        <w:t xml:space="preserve"> y los servicios públicos y respaldar los esfuerzos de recuperación nacional.</w:t>
      </w:r>
      <w:bookmarkEnd w:id="31"/>
    </w:p>
    <w:p w14:paraId="68BF66DE" w14:textId="46D3D452" w:rsidR="004916E1" w:rsidRPr="002F6D2F" w:rsidRDefault="001950AA" w:rsidP="00C919EA">
      <w:pPr>
        <w:pStyle w:val="enumlev1"/>
      </w:pPr>
      <w:bookmarkStart w:id="32" w:name="lt_pId081"/>
      <w:r w:rsidRPr="002F6D2F">
        <w:t>•</w:t>
      </w:r>
      <w:r w:rsidRPr="002F6D2F">
        <w:tab/>
      </w:r>
      <w:r w:rsidR="008571A8" w:rsidRPr="002F6D2F">
        <w:rPr>
          <w:b/>
          <w:bCs/>
        </w:rPr>
        <w:t>Reforma del espectro:</w:t>
      </w:r>
      <w:r w:rsidR="008571A8" w:rsidRPr="002F6D2F">
        <w:t xml:space="preserve"> </w:t>
      </w:r>
      <w:r w:rsidR="000021FD" w:rsidRPr="002F6D2F">
        <w:t xml:space="preserve">Los </w:t>
      </w:r>
      <w:r w:rsidR="003B0B50" w:rsidRPr="002F6D2F">
        <w:t>gestores</w:t>
      </w:r>
      <w:r w:rsidR="008571A8" w:rsidRPr="002F6D2F">
        <w:t xml:space="preserve"> del espectro deben ser capaces de </w:t>
      </w:r>
      <w:r w:rsidR="00FC2E7E">
        <w:t>responder de forma oportuna,</w:t>
      </w:r>
      <w:r w:rsidR="008571A8" w:rsidRPr="002F6D2F">
        <w:t xml:space="preserve"> pon</w:t>
      </w:r>
      <w:r w:rsidR="00FC2E7E">
        <w:t>iendo</w:t>
      </w:r>
      <w:r w:rsidR="008571A8" w:rsidRPr="002F6D2F">
        <w:t xml:space="preserve"> a disposición espectro </w:t>
      </w:r>
      <w:r w:rsidR="00FC2E7E">
        <w:t xml:space="preserve">para aplicaciones inalámbricas </w:t>
      </w:r>
      <w:r w:rsidR="008571A8" w:rsidRPr="002F6D2F">
        <w:t xml:space="preserve">cuando y donde </w:t>
      </w:r>
      <w:r w:rsidR="00A92B52" w:rsidRPr="002F6D2F">
        <w:t>se requiera,</w:t>
      </w:r>
      <w:r w:rsidR="008571A8" w:rsidRPr="002F6D2F">
        <w:t xml:space="preserve"> </w:t>
      </w:r>
      <w:r w:rsidR="003B0B50" w:rsidRPr="002F6D2F">
        <w:t xml:space="preserve">de la forma más </w:t>
      </w:r>
      <w:r w:rsidR="00925F32">
        <w:t>sencilla</w:t>
      </w:r>
      <w:r w:rsidR="003B0B50" w:rsidRPr="002F6D2F">
        <w:t xml:space="preserve"> posible</w:t>
      </w:r>
      <w:r w:rsidR="008571A8" w:rsidRPr="002F6D2F">
        <w:t xml:space="preserve">, </w:t>
      </w:r>
      <w:r w:rsidR="003B0B50" w:rsidRPr="002F6D2F">
        <w:t>concediendo</w:t>
      </w:r>
      <w:r w:rsidR="008571A8" w:rsidRPr="002F6D2F">
        <w:t xml:space="preserve"> a los usuarios del espectro y a los innovadores la flexibilidad necesaria para prestar los servicios que </w:t>
      </w:r>
      <w:r w:rsidR="003B0B50" w:rsidRPr="002F6D2F">
        <w:t>aporten</w:t>
      </w:r>
      <w:r w:rsidR="008571A8" w:rsidRPr="002F6D2F">
        <w:t xml:space="preserve"> los mayores beneficios. Un marco de autorización ágil y flexible, </w:t>
      </w:r>
      <w:r w:rsidR="003B0B50" w:rsidRPr="002F6D2F">
        <w:t>basado en</w:t>
      </w:r>
      <w:r w:rsidR="008571A8" w:rsidRPr="002F6D2F">
        <w:t xml:space="preserve"> enfoque</w:t>
      </w:r>
      <w:r w:rsidR="00FC2E7E">
        <w:t>s</w:t>
      </w:r>
      <w:r w:rsidR="008571A8" w:rsidRPr="002F6D2F">
        <w:t xml:space="preserve"> </w:t>
      </w:r>
      <w:r w:rsidR="003B0B50" w:rsidRPr="002F6D2F">
        <w:t>neutro</w:t>
      </w:r>
      <w:r w:rsidR="00FC2E7E">
        <w:t>s</w:t>
      </w:r>
      <w:r w:rsidR="003B0B50" w:rsidRPr="002F6D2F">
        <w:t xml:space="preserve"> desde el punto de vista de la tecnología y</w:t>
      </w:r>
      <w:r w:rsidR="00FC2E7E">
        <w:t>/o</w:t>
      </w:r>
      <w:r w:rsidR="003B0B50" w:rsidRPr="002F6D2F">
        <w:t xml:space="preserve"> los</w:t>
      </w:r>
      <w:r w:rsidR="008571A8" w:rsidRPr="002F6D2F">
        <w:t xml:space="preserve"> servicios, </w:t>
      </w:r>
      <w:r w:rsidR="00FC2E7E" w:rsidRPr="00FC2E7E">
        <w:t xml:space="preserve">cuando y </w:t>
      </w:r>
      <w:r w:rsidR="00FC2E7E">
        <w:t>según proceda</w:t>
      </w:r>
      <w:r w:rsidR="00FC2E7E" w:rsidRPr="00FC2E7E">
        <w:t xml:space="preserve">, </w:t>
      </w:r>
      <w:r w:rsidR="00FC2E7E">
        <w:t xml:space="preserve">puede </w:t>
      </w:r>
      <w:r w:rsidR="008571A8" w:rsidRPr="002F6D2F">
        <w:t>permit</w:t>
      </w:r>
      <w:r w:rsidR="00FC2E7E">
        <w:t>ir</w:t>
      </w:r>
      <w:r w:rsidR="008571A8" w:rsidRPr="002F6D2F">
        <w:t xml:space="preserve"> a los </w:t>
      </w:r>
      <w:r w:rsidR="00FC2E7E" w:rsidRPr="00FC2E7E">
        <w:t>proveedores de servicios</w:t>
      </w:r>
      <w:r w:rsidR="00FC2E7E">
        <w:t xml:space="preserve"> </w:t>
      </w:r>
      <w:r w:rsidR="003B0B50" w:rsidRPr="002F6D2F">
        <w:t>instalar</w:t>
      </w:r>
      <w:r w:rsidR="008571A8" w:rsidRPr="002F6D2F">
        <w:t xml:space="preserve"> equipos de manera rápida y </w:t>
      </w:r>
      <w:r w:rsidR="003B0B50" w:rsidRPr="002F6D2F">
        <w:t>fluida</w:t>
      </w:r>
      <w:r w:rsidR="00FC2E7E">
        <w:t xml:space="preserve"> </w:t>
      </w:r>
      <w:r w:rsidR="00FC2E7E" w:rsidRPr="00FC2E7E">
        <w:t xml:space="preserve">y </w:t>
      </w:r>
      <w:r w:rsidR="00925F32">
        <w:t>modernizar</w:t>
      </w:r>
      <w:r w:rsidR="00FC2E7E" w:rsidRPr="00FC2E7E">
        <w:t xml:space="preserve"> sus redes</w:t>
      </w:r>
      <w:r w:rsidR="008571A8" w:rsidRPr="002F6D2F">
        <w:t xml:space="preserve">. </w:t>
      </w:r>
      <w:r w:rsidR="003B0B50" w:rsidRPr="002F6D2F">
        <w:t>Al g</w:t>
      </w:r>
      <w:r w:rsidR="008571A8" w:rsidRPr="002F6D2F">
        <w:t>arantizar la disponibilidad de suficiente espectro sin licencia</w:t>
      </w:r>
      <w:r w:rsidR="003B0B50" w:rsidRPr="002F6D2F">
        <w:t>, se</w:t>
      </w:r>
      <w:r w:rsidR="008571A8" w:rsidRPr="002F6D2F">
        <w:t xml:space="preserve"> impulsa la innovación y la inversión en una serie de tecnologías que pueden </w:t>
      </w:r>
      <w:r w:rsidR="003B0B50" w:rsidRPr="002F6D2F">
        <w:t xml:space="preserve">desempeñar un papel </w:t>
      </w:r>
      <w:r w:rsidR="008571A8" w:rsidRPr="002F6D2F">
        <w:t>complementar</w:t>
      </w:r>
      <w:r w:rsidR="003B0B50" w:rsidRPr="002F6D2F">
        <w:t>io y auxiliar a</w:t>
      </w:r>
      <w:r w:rsidR="008571A8" w:rsidRPr="002F6D2F">
        <w:t xml:space="preserve"> las redes y ampliar el acceso a la banda ancha a bajo cost</w:t>
      </w:r>
      <w:r w:rsidR="003B0B50" w:rsidRPr="002F6D2F">
        <w:t>e</w:t>
      </w:r>
      <w:r w:rsidR="008571A8" w:rsidRPr="002F6D2F">
        <w:t>.</w:t>
      </w:r>
      <w:r w:rsidR="004A4817">
        <w:t xml:space="preserve"> Aunque </w:t>
      </w:r>
      <w:r w:rsidR="00FC2E7E" w:rsidRPr="00FC2E7E">
        <w:t>la</w:t>
      </w:r>
      <w:r w:rsidR="004A4817">
        <w:t>s</w:t>
      </w:r>
      <w:r w:rsidR="00FC2E7E" w:rsidRPr="00FC2E7E">
        <w:t xml:space="preserve"> reforma</w:t>
      </w:r>
      <w:r w:rsidR="004A4817">
        <w:t>s reglamentarias encaminadas a la</w:t>
      </w:r>
      <w:r w:rsidR="00FC2E7E" w:rsidRPr="00FC2E7E">
        <w:t xml:space="preserve"> introduc</w:t>
      </w:r>
      <w:r w:rsidR="004A4817">
        <w:t>ción de</w:t>
      </w:r>
      <w:r w:rsidR="00FC2E7E" w:rsidRPr="00FC2E7E">
        <w:t xml:space="preserve"> nuevos sistemas y servicios de radiocomunicaciones en el mercado </w:t>
      </w:r>
      <w:r w:rsidR="004A4817">
        <w:t>constituyen</w:t>
      </w:r>
      <w:r w:rsidR="00FC2E7E" w:rsidRPr="00FC2E7E">
        <w:t xml:space="preserve"> objetivo</w:t>
      </w:r>
      <w:r w:rsidR="004A4817">
        <w:t>s</w:t>
      </w:r>
      <w:r w:rsidR="00FC2E7E" w:rsidRPr="00FC2E7E">
        <w:t xml:space="preserve"> encomiable</w:t>
      </w:r>
      <w:r w:rsidR="004A4817">
        <w:t>s</w:t>
      </w:r>
      <w:r w:rsidR="00FC2E7E" w:rsidRPr="00FC2E7E">
        <w:t>, la</w:t>
      </w:r>
      <w:r w:rsidR="004A4817">
        <w:t>s</w:t>
      </w:r>
      <w:r w:rsidR="00FC2E7E" w:rsidRPr="00FC2E7E">
        <w:t xml:space="preserve"> reforma</w:t>
      </w:r>
      <w:r w:rsidR="004A4817">
        <w:t xml:space="preserve">s relacionadas con </w:t>
      </w:r>
      <w:r w:rsidR="00FC2E7E" w:rsidRPr="00FC2E7E">
        <w:t>el espectro también debe</w:t>
      </w:r>
      <w:r w:rsidR="00925F32">
        <w:t>n</w:t>
      </w:r>
      <w:r w:rsidR="00FC2E7E" w:rsidRPr="00FC2E7E">
        <w:t xml:space="preserve"> centrarse en garantizar que </w:t>
      </w:r>
      <w:r w:rsidR="004A4817" w:rsidRPr="00FC2E7E">
        <w:t xml:space="preserve">las zonas y poblaciones que tradicionalmente han </w:t>
      </w:r>
      <w:r w:rsidR="004A4817">
        <w:t xml:space="preserve">permanecido </w:t>
      </w:r>
      <w:r w:rsidR="004A4817" w:rsidRPr="004A4817">
        <w:lastRenderedPageBreak/>
        <w:t>desatendidas</w:t>
      </w:r>
      <w:r w:rsidR="004A4817">
        <w:t>,</w:t>
      </w:r>
      <w:r w:rsidR="004A4817" w:rsidRPr="004A4817">
        <w:t xml:space="preserve"> o insuficientemente atendidas</w:t>
      </w:r>
      <w:r w:rsidR="004A4817">
        <w:t>,</w:t>
      </w:r>
      <w:r w:rsidR="004A4817" w:rsidRPr="00FC2E7E">
        <w:t xml:space="preserve"> </w:t>
      </w:r>
      <w:r w:rsidR="001A2730">
        <w:t>gocen de</w:t>
      </w:r>
      <w:r w:rsidR="00FC2E7E" w:rsidRPr="00FC2E7E">
        <w:t xml:space="preserve"> un acceso asequible al servicio de banda ancha</w:t>
      </w:r>
      <w:r w:rsidR="001A2730">
        <w:t>.</w:t>
      </w:r>
      <w:bookmarkEnd w:id="32"/>
    </w:p>
    <w:p w14:paraId="506E1AAD" w14:textId="08067265" w:rsidR="004916E1" w:rsidRPr="002F6D2F" w:rsidRDefault="001950AA" w:rsidP="00C919EA">
      <w:pPr>
        <w:pStyle w:val="Headingb"/>
        <w:rPr>
          <w:rFonts w:eastAsiaTheme="majorEastAsia"/>
        </w:rPr>
      </w:pPr>
      <w:r w:rsidRPr="002F6D2F">
        <w:rPr>
          <w:rFonts w:eastAsiaTheme="majorEastAsia"/>
        </w:rPr>
        <w:t>Colaboración intersectorial, cooperación transfronteriza y compromiso en todos los ámbitos</w:t>
      </w:r>
    </w:p>
    <w:p w14:paraId="34904EF7" w14:textId="0955C4A3" w:rsidR="004916E1" w:rsidRPr="002F6D2F" w:rsidRDefault="008571A8" w:rsidP="00C919EA">
      <w:pPr>
        <w:rPr>
          <w:rFonts w:eastAsiaTheme="minorHAnsi"/>
        </w:rPr>
      </w:pPr>
      <w:bookmarkStart w:id="33" w:name="lt_pId087"/>
      <w:r w:rsidRPr="002F6D2F">
        <w:rPr>
          <w:rFonts w:eastAsiaTheme="minorHAnsi"/>
        </w:rPr>
        <w:t xml:space="preserve">La creciente globalización de los mercados y el </w:t>
      </w:r>
      <w:r w:rsidR="00D6316D" w:rsidRPr="002F6D2F">
        <w:rPr>
          <w:rFonts w:eastAsiaTheme="minorHAnsi"/>
        </w:rPr>
        <w:t>desvanecimiento</w:t>
      </w:r>
      <w:r w:rsidRPr="002F6D2F">
        <w:rPr>
          <w:rFonts w:eastAsiaTheme="minorHAnsi"/>
        </w:rPr>
        <w:t xml:space="preserve"> de las fronteras sectoriales tradicionales </w:t>
      </w:r>
      <w:r w:rsidR="0006424A" w:rsidRPr="002F6D2F">
        <w:rPr>
          <w:rFonts w:eastAsiaTheme="minorHAnsi"/>
        </w:rPr>
        <w:t>harán</w:t>
      </w:r>
      <w:r w:rsidRPr="002F6D2F">
        <w:rPr>
          <w:rFonts w:eastAsiaTheme="minorHAnsi"/>
        </w:rPr>
        <w:t xml:space="preserve"> </w:t>
      </w:r>
      <w:r w:rsidR="0006424A" w:rsidRPr="002F6D2F">
        <w:rPr>
          <w:rFonts w:eastAsiaTheme="minorHAnsi"/>
        </w:rPr>
        <w:t>d</w:t>
      </w:r>
      <w:r w:rsidRPr="002F6D2F">
        <w:rPr>
          <w:rFonts w:eastAsiaTheme="minorHAnsi"/>
        </w:rPr>
        <w:t>e la cooperación y la colaboración internacional</w:t>
      </w:r>
      <w:r w:rsidR="0006424A" w:rsidRPr="002F6D2F">
        <w:rPr>
          <w:rFonts w:eastAsiaTheme="minorHAnsi"/>
        </w:rPr>
        <w:t>es</w:t>
      </w:r>
      <w:r w:rsidRPr="002F6D2F">
        <w:rPr>
          <w:rFonts w:eastAsiaTheme="minorHAnsi"/>
        </w:rPr>
        <w:t xml:space="preserve"> e intergubernamental</w:t>
      </w:r>
      <w:r w:rsidR="0006424A" w:rsidRPr="002F6D2F">
        <w:rPr>
          <w:rFonts w:eastAsiaTheme="minorHAnsi"/>
        </w:rPr>
        <w:t>es</w:t>
      </w:r>
      <w:r w:rsidRPr="002F6D2F">
        <w:rPr>
          <w:rFonts w:eastAsiaTheme="minorHAnsi"/>
        </w:rPr>
        <w:t xml:space="preserve"> </w:t>
      </w:r>
      <w:r w:rsidR="00A92B52" w:rsidRPr="002F6D2F">
        <w:rPr>
          <w:rFonts w:eastAsiaTheme="minorHAnsi"/>
        </w:rPr>
        <w:t>herramientas</w:t>
      </w:r>
      <w:r w:rsidRPr="002F6D2F">
        <w:rPr>
          <w:rFonts w:eastAsiaTheme="minorHAnsi"/>
        </w:rPr>
        <w:t xml:space="preserve"> </w:t>
      </w:r>
      <w:r w:rsidR="00A92B52" w:rsidRPr="002F6D2F">
        <w:rPr>
          <w:rFonts w:eastAsiaTheme="minorHAnsi"/>
        </w:rPr>
        <w:t>clave</w:t>
      </w:r>
      <w:r w:rsidRPr="002F6D2F">
        <w:rPr>
          <w:rFonts w:eastAsiaTheme="minorHAnsi"/>
        </w:rPr>
        <w:t xml:space="preserve"> para </w:t>
      </w:r>
      <w:r w:rsidR="0006424A" w:rsidRPr="002F6D2F">
        <w:rPr>
          <w:rFonts w:eastAsiaTheme="minorHAnsi"/>
        </w:rPr>
        <w:t>garantizar</w:t>
      </w:r>
      <w:r w:rsidRPr="002F6D2F">
        <w:rPr>
          <w:rFonts w:eastAsiaTheme="minorHAnsi"/>
        </w:rPr>
        <w:t xml:space="preserve"> que nuestros marcos reglamentarios puedan adaptarse y responder a los </w:t>
      </w:r>
      <w:r w:rsidR="0006424A" w:rsidRPr="002F6D2F">
        <w:rPr>
          <w:rFonts w:eastAsiaTheme="minorHAnsi"/>
        </w:rPr>
        <w:t>desafíos nuevos e incipientes</w:t>
      </w:r>
      <w:r w:rsidR="00A92B52" w:rsidRPr="002F6D2F">
        <w:rPr>
          <w:rFonts w:eastAsiaTheme="minorHAnsi"/>
        </w:rPr>
        <w:t xml:space="preserve"> en el ámbito de la reglamentación</w:t>
      </w:r>
      <w:r w:rsidRPr="002F6D2F">
        <w:rPr>
          <w:rFonts w:eastAsiaTheme="minorHAnsi"/>
        </w:rPr>
        <w:t xml:space="preserve">. </w:t>
      </w:r>
      <w:bookmarkEnd w:id="33"/>
    </w:p>
    <w:p w14:paraId="1F321FDE" w14:textId="2BC24FD4" w:rsidR="004916E1" w:rsidRPr="002F6D2F" w:rsidRDefault="008571A8" w:rsidP="00C919EA">
      <w:pPr>
        <w:rPr>
          <w:rFonts w:eastAsiaTheme="minorHAnsi"/>
        </w:rPr>
      </w:pPr>
      <w:bookmarkStart w:id="34" w:name="lt_pId088"/>
      <w:r w:rsidRPr="002F6D2F">
        <w:rPr>
          <w:rFonts w:eastAsiaTheme="minorHAnsi"/>
        </w:rPr>
        <w:t xml:space="preserve">Las políticas públicas </w:t>
      </w:r>
      <w:r w:rsidR="0006424A" w:rsidRPr="002F6D2F">
        <w:rPr>
          <w:rFonts w:eastAsiaTheme="minorHAnsi"/>
        </w:rPr>
        <w:t>están dejando de centrarse en</w:t>
      </w:r>
      <w:r w:rsidRPr="002F6D2F">
        <w:rPr>
          <w:rFonts w:eastAsiaTheme="minorHAnsi"/>
        </w:rPr>
        <w:t xml:space="preserve"> un </w:t>
      </w:r>
      <w:r w:rsidR="0006424A" w:rsidRPr="002F6D2F">
        <w:rPr>
          <w:rFonts w:eastAsiaTheme="minorHAnsi"/>
        </w:rPr>
        <w:t>único</w:t>
      </w:r>
      <w:r w:rsidRPr="002F6D2F">
        <w:rPr>
          <w:rFonts w:eastAsiaTheme="minorHAnsi"/>
        </w:rPr>
        <w:t xml:space="preserve"> sector </w:t>
      </w:r>
      <w:r w:rsidR="0006424A" w:rsidRPr="002F6D2F">
        <w:rPr>
          <w:rFonts w:eastAsiaTheme="minorHAnsi"/>
        </w:rPr>
        <w:t>para abarcar</w:t>
      </w:r>
      <w:r w:rsidRPr="002F6D2F">
        <w:rPr>
          <w:rFonts w:eastAsiaTheme="minorHAnsi"/>
        </w:rPr>
        <w:t xml:space="preserve"> la economía y la sociedad</w:t>
      </w:r>
      <w:r w:rsidR="0006424A" w:rsidRPr="002F6D2F">
        <w:rPr>
          <w:rFonts w:eastAsiaTheme="minorHAnsi"/>
        </w:rPr>
        <w:t xml:space="preserve"> en su conjunto</w:t>
      </w:r>
      <w:r w:rsidRPr="002F6D2F">
        <w:rPr>
          <w:rFonts w:eastAsiaTheme="minorHAnsi"/>
        </w:rPr>
        <w:t>, con el apoyo de la transformación digital. Los reguladores y los responsables de la</w:t>
      </w:r>
      <w:r w:rsidR="0006424A" w:rsidRPr="002F6D2F">
        <w:rPr>
          <w:rFonts w:eastAsiaTheme="minorHAnsi"/>
        </w:rPr>
        <w:t>s</w:t>
      </w:r>
      <w:r w:rsidRPr="002F6D2F">
        <w:rPr>
          <w:rFonts w:eastAsiaTheme="minorHAnsi"/>
        </w:rPr>
        <w:t xml:space="preserve"> políticas de TIC están sometidos a una presión cada vez mayor para </w:t>
      </w:r>
      <w:r w:rsidR="002F6D2F" w:rsidRPr="002F6D2F">
        <w:rPr>
          <w:rFonts w:eastAsiaTheme="minorHAnsi"/>
        </w:rPr>
        <w:t>conectar</w:t>
      </w:r>
      <w:r w:rsidRPr="002F6D2F">
        <w:rPr>
          <w:rFonts w:eastAsiaTheme="minorHAnsi"/>
        </w:rPr>
        <w:t xml:space="preserve"> con sus homólogos y </w:t>
      </w:r>
      <w:r w:rsidR="0006424A" w:rsidRPr="002F6D2F">
        <w:rPr>
          <w:rFonts w:eastAsiaTheme="minorHAnsi"/>
        </w:rPr>
        <w:t>con otr</w:t>
      </w:r>
      <w:r w:rsidRPr="002F6D2F">
        <w:rPr>
          <w:rFonts w:eastAsiaTheme="minorHAnsi"/>
        </w:rPr>
        <w:t>os agentes de todos los sectores económicos</w:t>
      </w:r>
      <w:r w:rsidR="0006424A" w:rsidRPr="002F6D2F">
        <w:rPr>
          <w:rFonts w:eastAsiaTheme="minorHAnsi"/>
        </w:rPr>
        <w:t xml:space="preserve">, </w:t>
      </w:r>
      <w:r w:rsidR="00A92B52" w:rsidRPr="002F6D2F">
        <w:rPr>
          <w:rFonts w:eastAsiaTheme="minorHAnsi"/>
        </w:rPr>
        <w:t>a fin</w:t>
      </w:r>
      <w:r w:rsidRPr="002F6D2F">
        <w:rPr>
          <w:rFonts w:eastAsiaTheme="minorHAnsi"/>
        </w:rPr>
        <w:t xml:space="preserve"> de aprovechar la transformación digital como motor del desarrollo sostenible y</w:t>
      </w:r>
      <w:bookmarkEnd w:id="34"/>
      <w:r w:rsidR="0006424A" w:rsidRPr="002F6D2F">
        <w:rPr>
          <w:rFonts w:eastAsiaTheme="minorHAnsi"/>
        </w:rPr>
        <w:t xml:space="preserve"> la consecución de los ODS.</w:t>
      </w:r>
    </w:p>
    <w:p w14:paraId="2994FC2A" w14:textId="513B16F0" w:rsidR="008571A8" w:rsidRPr="002F6D2F" w:rsidRDefault="008571A8" w:rsidP="00C919EA">
      <w:pPr>
        <w:rPr>
          <w:rFonts w:eastAsiaTheme="minorHAnsi"/>
        </w:rPr>
      </w:pPr>
      <w:bookmarkStart w:id="35" w:name="lt_pId090"/>
      <w:r w:rsidRPr="002F6D2F">
        <w:rPr>
          <w:rFonts w:eastAsiaTheme="minorHAnsi"/>
        </w:rPr>
        <w:t xml:space="preserve">La </w:t>
      </w:r>
      <w:r w:rsidR="00C96BD9" w:rsidRPr="002F6D2F">
        <w:rPr>
          <w:rFonts w:eastAsiaTheme="minorHAnsi"/>
        </w:rPr>
        <w:t>reglamentación de la quinta generación basada en la colaboración y</w:t>
      </w:r>
      <w:r w:rsidRPr="002F6D2F">
        <w:rPr>
          <w:rFonts w:eastAsiaTheme="minorHAnsi"/>
        </w:rPr>
        <w:t xml:space="preserve"> sustentada en sólidos principios </w:t>
      </w:r>
      <w:r w:rsidR="008264EC" w:rsidRPr="002F6D2F">
        <w:rPr>
          <w:rFonts w:eastAsiaTheme="minorHAnsi"/>
        </w:rPr>
        <w:t>normativos</w:t>
      </w:r>
      <w:r w:rsidRPr="002F6D2F">
        <w:rPr>
          <w:rFonts w:eastAsiaTheme="minorHAnsi"/>
        </w:rPr>
        <w:t xml:space="preserve"> promoverá la certidumbre, </w:t>
      </w:r>
      <w:r w:rsidR="002F6D2F" w:rsidRPr="002F6D2F">
        <w:rPr>
          <w:rFonts w:eastAsiaTheme="minorHAnsi"/>
        </w:rPr>
        <w:t>lo que</w:t>
      </w:r>
      <w:r w:rsidR="00A92B52" w:rsidRPr="002F6D2F">
        <w:rPr>
          <w:rFonts w:eastAsiaTheme="minorHAnsi"/>
        </w:rPr>
        <w:t xml:space="preserve"> reviste una importancia crucial</w:t>
      </w:r>
      <w:r w:rsidRPr="002F6D2F">
        <w:rPr>
          <w:rFonts w:eastAsiaTheme="minorHAnsi"/>
        </w:rPr>
        <w:t xml:space="preserve"> para que la regla</w:t>
      </w:r>
      <w:r w:rsidR="008264EC" w:rsidRPr="002F6D2F">
        <w:rPr>
          <w:rFonts w:eastAsiaTheme="minorHAnsi"/>
        </w:rPr>
        <w:t>menta</w:t>
      </w:r>
      <w:r w:rsidRPr="002F6D2F">
        <w:rPr>
          <w:rFonts w:eastAsiaTheme="minorHAnsi"/>
        </w:rPr>
        <w:t xml:space="preserve">ción siga atrayendo inversiones y fomentando la innovación que hasta ahora ha </w:t>
      </w:r>
      <w:r w:rsidR="008264EC" w:rsidRPr="002F6D2F">
        <w:rPr>
          <w:rFonts w:eastAsiaTheme="minorHAnsi"/>
        </w:rPr>
        <w:t>caracterizado</w:t>
      </w:r>
      <w:r w:rsidRPr="002F6D2F">
        <w:rPr>
          <w:rFonts w:eastAsiaTheme="minorHAnsi"/>
        </w:rPr>
        <w:t xml:space="preserve"> la economía digital.</w:t>
      </w:r>
    </w:p>
    <w:p w14:paraId="6DE90B42" w14:textId="4F201A6E" w:rsidR="004916E1" w:rsidRPr="002F6D2F" w:rsidRDefault="008571A8" w:rsidP="00C919EA">
      <w:pPr>
        <w:rPr>
          <w:rFonts w:eastAsiaTheme="minorHAnsi"/>
        </w:rPr>
      </w:pPr>
      <w:bookmarkStart w:id="36" w:name="lt_pId091"/>
      <w:bookmarkEnd w:id="35"/>
      <w:r w:rsidRPr="002F6D2F">
        <w:rPr>
          <w:rFonts w:eastAsiaTheme="minorHAnsi"/>
        </w:rPr>
        <w:t xml:space="preserve">Por </w:t>
      </w:r>
      <w:r w:rsidR="008264EC" w:rsidRPr="002F6D2F">
        <w:rPr>
          <w:rFonts w:eastAsiaTheme="minorHAnsi"/>
        </w:rPr>
        <w:t>consiguiente</w:t>
      </w:r>
      <w:r w:rsidRPr="002F6D2F">
        <w:rPr>
          <w:rFonts w:eastAsiaTheme="minorHAnsi"/>
        </w:rPr>
        <w:t xml:space="preserve">, consideramos que las siguientes </w:t>
      </w:r>
      <w:r w:rsidR="008264EC" w:rsidRPr="002F6D2F">
        <w:rPr>
          <w:rFonts w:eastAsiaTheme="minorHAnsi"/>
        </w:rPr>
        <w:t>esferas son vitales</w:t>
      </w:r>
      <w:r w:rsidRPr="002F6D2F">
        <w:rPr>
          <w:rFonts w:eastAsiaTheme="minorHAnsi"/>
        </w:rPr>
        <w:t xml:space="preserve"> para el éxito de la colaboración y la </w:t>
      </w:r>
      <w:r w:rsidR="008264EC" w:rsidRPr="002F6D2F">
        <w:rPr>
          <w:rFonts w:eastAsiaTheme="minorHAnsi"/>
        </w:rPr>
        <w:t xml:space="preserve">adopción de </w:t>
      </w:r>
      <w:r w:rsidR="00A92B52" w:rsidRPr="002F6D2F">
        <w:rPr>
          <w:rFonts w:eastAsiaTheme="minorHAnsi"/>
        </w:rPr>
        <w:t>medidas</w:t>
      </w:r>
      <w:r w:rsidR="008264EC" w:rsidRPr="002F6D2F">
        <w:rPr>
          <w:rFonts w:eastAsiaTheme="minorHAnsi"/>
        </w:rPr>
        <w:t xml:space="preserve"> reglamentarias.</w:t>
      </w:r>
      <w:bookmarkEnd w:id="36"/>
    </w:p>
    <w:p w14:paraId="2061E820" w14:textId="7179E47E" w:rsidR="004916E1" w:rsidRPr="002F6D2F" w:rsidRDefault="001950AA" w:rsidP="00C919EA">
      <w:pPr>
        <w:pStyle w:val="enumlev1"/>
      </w:pPr>
      <w:bookmarkStart w:id="37" w:name="lt_pId092"/>
      <w:r w:rsidRPr="002F6D2F">
        <w:t>•</w:t>
      </w:r>
      <w:r w:rsidRPr="002F6D2F">
        <w:tab/>
      </w:r>
      <w:r w:rsidR="008571A8" w:rsidRPr="002F6D2F">
        <w:rPr>
          <w:b/>
          <w:bCs/>
        </w:rPr>
        <w:t xml:space="preserve">Capacidad jurídica para </w:t>
      </w:r>
      <w:r w:rsidR="008264EC" w:rsidRPr="002F6D2F">
        <w:rPr>
          <w:b/>
          <w:bCs/>
        </w:rPr>
        <w:t>actuar de forma conjunta</w:t>
      </w:r>
      <w:r w:rsidR="008264EC" w:rsidRPr="002F6D2F">
        <w:t xml:space="preserve"> </w:t>
      </w:r>
      <w:r w:rsidR="008571A8" w:rsidRPr="002F6D2F">
        <w:t xml:space="preserve">- Es probable que los resultados de la reglamentación </w:t>
      </w:r>
      <w:r w:rsidR="00C96BD9" w:rsidRPr="002F6D2F">
        <w:t>basa</w:t>
      </w:r>
      <w:r w:rsidR="00727433">
        <w:t>da</w:t>
      </w:r>
      <w:r w:rsidR="00C96BD9" w:rsidRPr="002F6D2F">
        <w:t xml:space="preserve"> en la colaboración </w:t>
      </w:r>
      <w:r w:rsidR="008571A8" w:rsidRPr="002F6D2F">
        <w:t xml:space="preserve">sean significativos, eficaces y bien </w:t>
      </w:r>
      <w:r w:rsidR="00C96BD9" w:rsidRPr="002F6D2F">
        <w:t>valorados</w:t>
      </w:r>
      <w:r w:rsidR="008571A8" w:rsidRPr="002F6D2F">
        <w:t xml:space="preserve">, </w:t>
      </w:r>
      <w:r w:rsidR="00C96BD9" w:rsidRPr="002F6D2F">
        <w:t>y tengan</w:t>
      </w:r>
      <w:r w:rsidR="008571A8" w:rsidRPr="002F6D2F">
        <w:t xml:space="preserve"> menos consecuencias negativas </w:t>
      </w:r>
      <w:r w:rsidR="00C96BD9" w:rsidRPr="002F6D2F">
        <w:t>imprevistas</w:t>
      </w:r>
      <w:r w:rsidR="008571A8" w:rsidRPr="002F6D2F">
        <w:t xml:space="preserve">, </w:t>
      </w:r>
      <w:r w:rsidR="00C96BD9" w:rsidRPr="002F6D2F">
        <w:t>en los casos en que</w:t>
      </w:r>
      <w:r w:rsidR="00A92B52" w:rsidRPr="002F6D2F">
        <w:t xml:space="preserve"> esta</w:t>
      </w:r>
      <w:r w:rsidR="00C96BD9" w:rsidRPr="002F6D2F">
        <w:t xml:space="preserve"> se base </w:t>
      </w:r>
      <w:r w:rsidR="008571A8" w:rsidRPr="002F6D2F">
        <w:t xml:space="preserve">en procesos jurídicos y marcos y mandatos institucionales sólidos. Los memorandos de entendimiento </w:t>
      </w:r>
      <w:r w:rsidR="00C96BD9" w:rsidRPr="002F6D2F">
        <w:t xml:space="preserve">y </w:t>
      </w:r>
      <w:r w:rsidR="00727433">
        <w:t>otros</w:t>
      </w:r>
      <w:r w:rsidR="008571A8" w:rsidRPr="002F6D2F">
        <w:t xml:space="preserve"> actos vinculantes similares son </w:t>
      </w:r>
      <w:r w:rsidR="00C96BD9" w:rsidRPr="002F6D2F">
        <w:t>especialmente</w:t>
      </w:r>
      <w:r w:rsidR="008571A8" w:rsidRPr="002F6D2F">
        <w:t xml:space="preserve"> útiles para formalizar las bases de la colaboración y definir las funciones, los mecanismos y los resultados de </w:t>
      </w:r>
      <w:bookmarkStart w:id="38" w:name="lt_pId093"/>
      <w:bookmarkEnd w:id="37"/>
      <w:r w:rsidR="00C96BD9" w:rsidRPr="002F6D2F">
        <w:t>esta última</w:t>
      </w:r>
      <w:r w:rsidR="004916E1" w:rsidRPr="002F6D2F">
        <w:t>.</w:t>
      </w:r>
      <w:bookmarkEnd w:id="38"/>
    </w:p>
    <w:p w14:paraId="6712E4EC" w14:textId="388A2AC2" w:rsidR="004916E1" w:rsidRPr="002F6D2F" w:rsidRDefault="001950AA" w:rsidP="00C919EA">
      <w:pPr>
        <w:pStyle w:val="enumlev1"/>
      </w:pPr>
      <w:bookmarkStart w:id="39" w:name="lt_pId094"/>
      <w:r w:rsidRPr="002F6D2F">
        <w:t>•</w:t>
      </w:r>
      <w:r w:rsidRPr="002F6D2F">
        <w:tab/>
      </w:r>
      <w:r w:rsidR="00C96BD9" w:rsidRPr="002F6D2F">
        <w:rPr>
          <w:b/>
          <w:bCs/>
        </w:rPr>
        <w:t>Articulación de</w:t>
      </w:r>
      <w:r w:rsidR="008571A8" w:rsidRPr="002F6D2F">
        <w:rPr>
          <w:b/>
          <w:bCs/>
        </w:rPr>
        <w:t xml:space="preserve"> esfuerzos fragmentados en torno a una causa común, </w:t>
      </w:r>
      <w:r w:rsidR="00C96BD9" w:rsidRPr="002F6D2F">
        <w:rPr>
          <w:b/>
          <w:bCs/>
        </w:rPr>
        <w:t>armonización de medidas</w:t>
      </w:r>
      <w:r w:rsidR="008571A8" w:rsidRPr="002F6D2F">
        <w:rPr>
          <w:b/>
          <w:bCs/>
        </w:rPr>
        <w:t xml:space="preserve"> y multiplica</w:t>
      </w:r>
      <w:r w:rsidR="00C96BD9" w:rsidRPr="002F6D2F">
        <w:rPr>
          <w:b/>
          <w:bCs/>
        </w:rPr>
        <w:t>ción de</w:t>
      </w:r>
      <w:r w:rsidR="008571A8" w:rsidRPr="002F6D2F">
        <w:rPr>
          <w:b/>
          <w:bCs/>
        </w:rPr>
        <w:t xml:space="preserve"> los resultados </w:t>
      </w:r>
      <w:r w:rsidR="00C96BD9" w:rsidRPr="002F6D2F">
        <w:rPr>
          <w:b/>
          <w:bCs/>
        </w:rPr>
        <w:t xml:space="preserve">de </w:t>
      </w:r>
      <w:r w:rsidR="008571A8" w:rsidRPr="002F6D2F">
        <w:rPr>
          <w:b/>
          <w:bCs/>
        </w:rPr>
        <w:t xml:space="preserve">consumidores y empresas: </w:t>
      </w:r>
      <w:r w:rsidR="00C96BD9" w:rsidRPr="002F6D2F">
        <w:t xml:space="preserve">El organismo </w:t>
      </w:r>
      <w:r w:rsidR="008571A8" w:rsidRPr="002F6D2F">
        <w:t>regulador de las TIC desempeña un papel fundamental</w:t>
      </w:r>
      <w:r w:rsidR="00B0044A" w:rsidRPr="002F6D2F">
        <w:t xml:space="preserve"> tanto</w:t>
      </w:r>
      <w:r w:rsidR="008571A8" w:rsidRPr="002F6D2F">
        <w:t xml:space="preserve"> en la facilitación del acceso a los recursos para emergencias (</w:t>
      </w:r>
      <w:r w:rsidR="00C96BD9" w:rsidRPr="002F6D2F">
        <w:t>entre ellos el</w:t>
      </w:r>
      <w:r w:rsidR="008571A8" w:rsidRPr="002F6D2F">
        <w:t xml:space="preserve"> espectro de frecuencias, el ancho de banda de Internet, el despliegue de equipos y el uso compartido de la infraestructura), </w:t>
      </w:r>
      <w:r w:rsidR="00B0044A" w:rsidRPr="002F6D2F">
        <w:t>como</w:t>
      </w:r>
      <w:r w:rsidR="008571A8" w:rsidRPr="002F6D2F">
        <w:t xml:space="preserve"> en la coordinación permanente con sectores</w:t>
      </w:r>
      <w:r w:rsidR="00B0044A" w:rsidRPr="002F6D2F">
        <w:t xml:space="preserve"> tales como el sanitario, el gubernamental, el educativo y el financiero,</w:t>
      </w:r>
      <w:r w:rsidR="008571A8" w:rsidRPr="002F6D2F">
        <w:t xml:space="preserve"> </w:t>
      </w:r>
      <w:r w:rsidR="00B0044A" w:rsidRPr="002F6D2F">
        <w:t>a fin de atender a</w:t>
      </w:r>
      <w:r w:rsidR="008571A8" w:rsidRPr="002F6D2F">
        <w:t xml:space="preserve"> las necesidades de los ciudadanos y apoyar los </w:t>
      </w:r>
      <w:r w:rsidR="00B0044A" w:rsidRPr="002F6D2F">
        <w:t>planteamientos</w:t>
      </w:r>
      <w:r w:rsidR="008571A8" w:rsidRPr="002F6D2F">
        <w:t xml:space="preserve"> </w:t>
      </w:r>
      <w:r w:rsidR="00B0044A" w:rsidRPr="002F6D2F">
        <w:t>pangubernamentales</w:t>
      </w:r>
      <w:r w:rsidR="008571A8" w:rsidRPr="002F6D2F">
        <w:t xml:space="preserve"> </w:t>
      </w:r>
      <w:r w:rsidR="00B0044A" w:rsidRPr="002F6D2F">
        <w:t>respecto de</w:t>
      </w:r>
      <w:r w:rsidR="008571A8" w:rsidRPr="002F6D2F">
        <w:t xml:space="preserve"> la transformación digital.</w:t>
      </w:r>
      <w:bookmarkEnd w:id="39"/>
    </w:p>
    <w:p w14:paraId="5AE50EA5" w14:textId="0926243F" w:rsidR="004916E1" w:rsidRPr="002F6D2F" w:rsidRDefault="001950AA" w:rsidP="00C919EA">
      <w:pPr>
        <w:pStyle w:val="enumlev1"/>
      </w:pPr>
      <w:bookmarkStart w:id="40" w:name="lt_pId096"/>
      <w:r w:rsidRPr="002F6D2F">
        <w:t>•</w:t>
      </w:r>
      <w:r w:rsidRPr="002F6D2F">
        <w:tab/>
      </w:r>
      <w:r w:rsidR="00B073A7" w:rsidRPr="002F6D2F">
        <w:rPr>
          <w:b/>
          <w:bCs/>
        </w:rPr>
        <w:t>La i</w:t>
      </w:r>
      <w:r w:rsidR="008571A8" w:rsidRPr="002F6D2F">
        <w:rPr>
          <w:b/>
          <w:bCs/>
        </w:rPr>
        <w:t>ncorporación de métodos modernos de diagnóstico de la</w:t>
      </w:r>
      <w:r w:rsidR="00CC5EEC">
        <w:rPr>
          <w:b/>
          <w:bCs/>
        </w:rPr>
        <w:t>s</w:t>
      </w:r>
      <w:r w:rsidR="008571A8" w:rsidRPr="002F6D2F">
        <w:rPr>
          <w:b/>
          <w:bCs/>
        </w:rPr>
        <w:t xml:space="preserve"> capacidad</w:t>
      </w:r>
      <w:r w:rsidR="00CC5EEC">
        <w:rPr>
          <w:b/>
          <w:bCs/>
        </w:rPr>
        <w:t>es</w:t>
      </w:r>
      <w:r w:rsidR="008571A8" w:rsidRPr="002F6D2F">
        <w:rPr>
          <w:b/>
          <w:bCs/>
        </w:rPr>
        <w:t xml:space="preserve"> </w:t>
      </w:r>
      <w:r w:rsidR="00B073A7" w:rsidRPr="002F6D2F">
        <w:rPr>
          <w:b/>
          <w:bCs/>
        </w:rPr>
        <w:t>reglamentaria</w:t>
      </w:r>
      <w:r w:rsidR="00CC5EEC">
        <w:rPr>
          <w:b/>
          <w:bCs/>
        </w:rPr>
        <w:t>s</w:t>
      </w:r>
      <w:r w:rsidR="008571A8" w:rsidRPr="002F6D2F">
        <w:rPr>
          <w:b/>
          <w:bCs/>
        </w:rPr>
        <w:t xml:space="preserve"> e institucional</w:t>
      </w:r>
      <w:r w:rsidR="00CC5EEC">
        <w:rPr>
          <w:b/>
          <w:bCs/>
        </w:rPr>
        <w:t>es</w:t>
      </w:r>
      <w:r w:rsidR="008571A8" w:rsidRPr="002F6D2F">
        <w:rPr>
          <w:b/>
          <w:bCs/>
        </w:rPr>
        <w:t xml:space="preserve"> de los organismos</w:t>
      </w:r>
      <w:r w:rsidR="008571A8" w:rsidRPr="002F6D2F">
        <w:t xml:space="preserve"> les permitirá perfeccionar sus objetivos de manera ágil</w:t>
      </w:r>
      <w:r w:rsidR="0081710C" w:rsidRPr="002F6D2F">
        <w:t xml:space="preserve"> y flexible,</w:t>
      </w:r>
      <w:r w:rsidR="008571A8" w:rsidRPr="002F6D2F">
        <w:t xml:space="preserve"> para responder tanto a </w:t>
      </w:r>
      <w:r w:rsidR="00C9383F" w:rsidRPr="002F6D2F">
        <w:t xml:space="preserve">los </w:t>
      </w:r>
      <w:r w:rsidR="0081710C" w:rsidRPr="002F6D2F">
        <w:t>cambios tecnológicos</w:t>
      </w:r>
      <w:r w:rsidR="008571A8" w:rsidRPr="002F6D2F">
        <w:t xml:space="preserve"> y</w:t>
      </w:r>
      <w:r w:rsidR="00C9383F" w:rsidRPr="002F6D2F">
        <w:t xml:space="preserve"> los</w:t>
      </w:r>
      <w:r w:rsidR="008571A8" w:rsidRPr="002F6D2F">
        <w:t xml:space="preserve"> nuevos servicios</w:t>
      </w:r>
      <w:r w:rsidR="00CC5EEC" w:rsidRPr="00CC5EEC">
        <w:t xml:space="preserve"> </w:t>
      </w:r>
      <w:r w:rsidR="00CC5EEC" w:rsidRPr="002F6D2F">
        <w:t>previsibles</w:t>
      </w:r>
      <w:r w:rsidR="0081710C" w:rsidRPr="002F6D2F">
        <w:t>,</w:t>
      </w:r>
      <w:r w:rsidR="008571A8" w:rsidRPr="002F6D2F">
        <w:t xml:space="preserve"> como a situaciones extraordinarias de emergencia, como una pandemia. La gestión de</w:t>
      </w:r>
      <w:r w:rsidR="0081710C" w:rsidRPr="002F6D2F">
        <w:t xml:space="preserve"> los</w:t>
      </w:r>
      <w:r w:rsidR="008571A8" w:rsidRPr="002F6D2F">
        <w:t xml:space="preserve"> riesgos, la planificación, la supervisión de la aplicación de la</w:t>
      </w:r>
      <w:r w:rsidR="0081710C" w:rsidRPr="002F6D2F">
        <w:t xml:space="preserve"> normativa y</w:t>
      </w:r>
      <w:r w:rsidR="008571A8" w:rsidRPr="002F6D2F">
        <w:t xml:space="preserve"> el examen y la evaluación de l</w:t>
      </w:r>
      <w:r w:rsidR="0081710C" w:rsidRPr="002F6D2F">
        <w:t>a</w:t>
      </w:r>
      <w:r w:rsidR="008571A8" w:rsidRPr="002F6D2F">
        <w:t>s</w:t>
      </w:r>
      <w:r w:rsidR="0081710C" w:rsidRPr="002F6D2F">
        <w:t xml:space="preserve"> repercusiones de esas normas en </w:t>
      </w:r>
      <w:r w:rsidR="008571A8" w:rsidRPr="002F6D2F">
        <w:t xml:space="preserve">los mercados y en </w:t>
      </w:r>
      <w:r w:rsidR="001A5321" w:rsidRPr="002F6D2F">
        <w:t xml:space="preserve">el modo en que se ejecutan </w:t>
      </w:r>
      <w:r w:rsidR="008571A8" w:rsidRPr="002F6D2F">
        <w:t xml:space="preserve">las políticas públicas deben </w:t>
      </w:r>
      <w:r w:rsidR="001A5321" w:rsidRPr="002F6D2F">
        <w:t>conformar</w:t>
      </w:r>
      <w:r w:rsidR="008571A8" w:rsidRPr="002F6D2F">
        <w:t xml:space="preserve"> un mecanismo institucional que </w:t>
      </w:r>
      <w:r w:rsidR="001A5321" w:rsidRPr="002F6D2F">
        <w:t>no se limite a</w:t>
      </w:r>
      <w:r w:rsidR="008571A8" w:rsidRPr="002F6D2F">
        <w:t xml:space="preserve"> las consideraciones políticas a corto plazo, de</w:t>
      </w:r>
      <w:r w:rsidR="001A5321" w:rsidRPr="002F6D2F">
        <w:t xml:space="preserve"> tal manera</w:t>
      </w:r>
      <w:r w:rsidR="008571A8" w:rsidRPr="002F6D2F">
        <w:t xml:space="preserve"> que los marcos reglamentarios </w:t>
      </w:r>
      <w:r w:rsidR="00700A42" w:rsidRPr="002F6D2F">
        <w:t>revistan un carácter</w:t>
      </w:r>
      <w:r w:rsidR="008571A8" w:rsidRPr="002F6D2F">
        <w:t xml:space="preserve"> previsibl</w:t>
      </w:r>
      <w:r w:rsidR="00700A42" w:rsidRPr="002F6D2F">
        <w:t>e</w:t>
      </w:r>
      <w:r w:rsidR="008571A8" w:rsidRPr="002F6D2F">
        <w:t xml:space="preserve"> y sostenibl</w:t>
      </w:r>
      <w:r w:rsidR="00700A42" w:rsidRPr="002F6D2F">
        <w:t xml:space="preserve">e en </w:t>
      </w:r>
      <w:r w:rsidR="008571A8" w:rsidRPr="002F6D2F">
        <w:t>el tiempo</w:t>
      </w:r>
      <w:r w:rsidR="00700A42" w:rsidRPr="002F6D2F">
        <w:t xml:space="preserve"> y goce</w:t>
      </w:r>
      <w:r w:rsidR="00C9383F" w:rsidRPr="002F6D2F">
        <w:t>n</w:t>
      </w:r>
      <w:r w:rsidR="00700A42" w:rsidRPr="002F6D2F">
        <w:t xml:space="preserve"> de</w:t>
      </w:r>
      <w:r w:rsidR="008571A8" w:rsidRPr="002F6D2F">
        <w:t xml:space="preserve"> una base sólida a partir de la cual consolidar y utilizar mejor los recursos públicos.</w:t>
      </w:r>
      <w:bookmarkEnd w:id="40"/>
    </w:p>
    <w:p w14:paraId="782A1FCE" w14:textId="0CD2E1FF" w:rsidR="004916E1" w:rsidRPr="002F6D2F" w:rsidRDefault="001950AA" w:rsidP="00C919EA">
      <w:pPr>
        <w:pStyle w:val="enumlev1"/>
      </w:pPr>
      <w:bookmarkStart w:id="41" w:name="lt_pId098"/>
      <w:r w:rsidRPr="002F6D2F">
        <w:lastRenderedPageBreak/>
        <w:t>•</w:t>
      </w:r>
      <w:r w:rsidRPr="002F6D2F">
        <w:tab/>
      </w:r>
      <w:r w:rsidR="008571A8" w:rsidRPr="002F6D2F">
        <w:rPr>
          <w:b/>
          <w:bCs/>
        </w:rPr>
        <w:t>Creación de plataformas de diálogo sobre temas clave:</w:t>
      </w:r>
      <w:r w:rsidR="008571A8" w:rsidRPr="002F6D2F">
        <w:t xml:space="preserve"> </w:t>
      </w:r>
      <w:r w:rsidR="00700A42" w:rsidRPr="002F6D2F">
        <w:t>A</w:t>
      </w:r>
      <w:r w:rsidR="008571A8" w:rsidRPr="002F6D2F">
        <w:t xml:space="preserve">l tiempo que diseñan marcos </w:t>
      </w:r>
      <w:r w:rsidR="00D30CE6" w:rsidRPr="002F6D2F">
        <w:t>reglamentarios auxiliares</w:t>
      </w:r>
      <w:r w:rsidR="008571A8" w:rsidRPr="002F6D2F">
        <w:t xml:space="preserve"> viables para las soluciones tecnológicas impulsadas por la industria, los reguladores deben participar en el intercambio de información </w:t>
      </w:r>
      <w:r w:rsidR="00D30CE6" w:rsidRPr="002F6D2F">
        <w:t>a escala sectorial</w:t>
      </w:r>
      <w:r w:rsidR="008571A8" w:rsidRPr="002F6D2F">
        <w:t xml:space="preserve"> y entre el sector y los organismos gubernamentales, así como</w:t>
      </w:r>
      <w:r w:rsidR="00D30CE6" w:rsidRPr="002F6D2F">
        <w:t xml:space="preserve"> con otras entidades</w:t>
      </w:r>
      <w:r w:rsidR="008571A8" w:rsidRPr="002F6D2F">
        <w:t>, como organismos de protección de datos y de protección del consumidor. La coordinación estratégica</w:t>
      </w:r>
      <w:r w:rsidR="00D30CE6" w:rsidRPr="002F6D2F">
        <w:t xml:space="preserve"> y</w:t>
      </w:r>
      <w:r w:rsidR="008571A8" w:rsidRPr="002F6D2F">
        <w:t xml:space="preserve"> la </w:t>
      </w:r>
      <w:r w:rsidR="00D30CE6" w:rsidRPr="002F6D2F">
        <w:t>colaboración</w:t>
      </w:r>
      <w:r w:rsidR="008571A8" w:rsidRPr="002F6D2F">
        <w:t xml:space="preserve"> nacional e internacional entre los reguladores y los organismos encargados </w:t>
      </w:r>
      <w:r w:rsidR="00D30CE6" w:rsidRPr="002F6D2F">
        <w:t>del cumplimiento de la normativa</w:t>
      </w:r>
      <w:r w:rsidR="008571A8" w:rsidRPr="002F6D2F">
        <w:t xml:space="preserve"> permitiría mejorar la aplicación de la</w:t>
      </w:r>
      <w:r w:rsidR="00D30CE6" w:rsidRPr="002F6D2F">
        <w:t>s normas</w:t>
      </w:r>
      <w:r w:rsidR="008571A8" w:rsidRPr="002F6D2F">
        <w:t xml:space="preserve"> </w:t>
      </w:r>
      <w:r w:rsidR="00D30CE6" w:rsidRPr="002F6D2F">
        <w:t>e incrementar</w:t>
      </w:r>
      <w:r w:rsidR="008571A8" w:rsidRPr="002F6D2F">
        <w:t xml:space="preserve"> los beneficios para los consumidores.</w:t>
      </w:r>
      <w:bookmarkEnd w:id="41"/>
    </w:p>
    <w:p w14:paraId="5998D8B4" w14:textId="5516350E" w:rsidR="001950AA" w:rsidRPr="002F6D2F" w:rsidRDefault="001950AA" w:rsidP="00C919EA">
      <w:pPr>
        <w:pStyle w:val="enumlev1"/>
      </w:pPr>
      <w:bookmarkStart w:id="42" w:name="lt_pId101"/>
      <w:r w:rsidRPr="002F6D2F">
        <w:t>•</w:t>
      </w:r>
      <w:r w:rsidRPr="002F6D2F">
        <w:tab/>
      </w:r>
      <w:r w:rsidR="00C628F1" w:rsidRPr="002F6D2F">
        <w:rPr>
          <w:b/>
          <w:bCs/>
        </w:rPr>
        <w:t>L</w:t>
      </w:r>
      <w:r w:rsidR="008571A8" w:rsidRPr="002F6D2F">
        <w:rPr>
          <w:b/>
          <w:bCs/>
        </w:rPr>
        <w:t>as asociaciones de reglamentación</w:t>
      </w:r>
      <w:r w:rsidR="008571A8" w:rsidRPr="002F6D2F">
        <w:t xml:space="preserve"> (AR)</w:t>
      </w:r>
      <w:r w:rsidR="00C628F1" w:rsidRPr="002F6D2F">
        <w:t>, con sus nuevas funciones,</w:t>
      </w:r>
      <w:r w:rsidR="008571A8" w:rsidRPr="002F6D2F">
        <w:t xml:space="preserve"> deberían aprovechar su capacidad para impulsar el desarrollo de los mercados digitales en los planos nacional y regional</w:t>
      </w:r>
      <w:r w:rsidR="004D069C">
        <w:t xml:space="preserve"> y</w:t>
      </w:r>
      <w:r w:rsidR="008571A8" w:rsidRPr="002F6D2F">
        <w:t>,</w:t>
      </w:r>
      <w:r w:rsidR="004D069C">
        <w:t xml:space="preserve"> al mismo tiempo, elaborar</w:t>
      </w:r>
      <w:r w:rsidR="00F75D2B" w:rsidRPr="002F6D2F">
        <w:t xml:space="preserve"> hipótesis</w:t>
      </w:r>
      <w:r w:rsidR="008571A8" w:rsidRPr="002F6D2F">
        <w:t xml:space="preserve"> </w:t>
      </w:r>
      <w:r w:rsidR="004D069C">
        <w:t>sobre</w:t>
      </w:r>
      <w:r w:rsidR="00F75D2B" w:rsidRPr="002F6D2F">
        <w:t xml:space="preserve"> medidas de respuesta a futuras situaciones de emergencia</w:t>
      </w:r>
      <w:r w:rsidR="008571A8" w:rsidRPr="002F6D2F">
        <w:t xml:space="preserve"> de todo tipo. La colaboración, el intercambio de información y el enriquecimiento mutuo entre los organismos reguladores, así como entre las </w:t>
      </w:r>
      <w:r w:rsidR="00F75D2B" w:rsidRPr="002F6D2F">
        <w:t>AR</w:t>
      </w:r>
      <w:r w:rsidR="008571A8" w:rsidRPr="002F6D2F">
        <w:t xml:space="preserve">, deberían seguir </w:t>
      </w:r>
      <w:r w:rsidR="00F75D2B" w:rsidRPr="002F6D2F">
        <w:t xml:space="preserve">reforzándose y orientándose </w:t>
      </w:r>
      <w:r w:rsidR="008571A8" w:rsidRPr="002F6D2F">
        <w:t>hacia la armonización</w:t>
      </w:r>
      <w:r w:rsidR="001A2730">
        <w:t xml:space="preserve"> y la coordinación</w:t>
      </w:r>
      <w:r w:rsidR="008571A8" w:rsidRPr="002F6D2F">
        <w:t xml:space="preserve"> regional</w:t>
      </w:r>
      <w:r w:rsidR="001A2730">
        <w:t>es</w:t>
      </w:r>
      <w:r w:rsidR="008571A8" w:rsidRPr="002F6D2F">
        <w:t xml:space="preserve">, incluso en </w:t>
      </w:r>
      <w:r w:rsidR="00F75D2B" w:rsidRPr="002F6D2F">
        <w:t>l</w:t>
      </w:r>
      <w:r w:rsidR="00C628F1" w:rsidRPr="002F6D2F">
        <w:t>os</w:t>
      </w:r>
      <w:r w:rsidR="00F75D2B" w:rsidRPr="002F6D2F">
        <w:t xml:space="preserve"> ámbito</w:t>
      </w:r>
      <w:r w:rsidR="00C628F1" w:rsidRPr="002F6D2F">
        <w:t>s</w:t>
      </w:r>
      <w:r w:rsidR="008571A8" w:rsidRPr="002F6D2F">
        <w:t xml:space="preserve"> de la gestión del espectro, la itinerancia móvil internacional y la reglamentación de las plataformas digitales.</w:t>
      </w:r>
      <w:bookmarkStart w:id="43" w:name="lt_pId103"/>
      <w:bookmarkEnd w:id="42"/>
    </w:p>
    <w:p w14:paraId="01353723" w14:textId="4E52CDF2" w:rsidR="004916E1" w:rsidRPr="002F6D2F" w:rsidRDefault="001950AA" w:rsidP="00C919EA">
      <w:pPr>
        <w:pStyle w:val="enumlev1"/>
      </w:pPr>
      <w:r w:rsidRPr="002F6D2F">
        <w:t>•</w:t>
      </w:r>
      <w:r w:rsidRPr="002F6D2F">
        <w:tab/>
      </w:r>
      <w:r w:rsidR="008571A8" w:rsidRPr="002F6D2F">
        <w:rPr>
          <w:b/>
          <w:bCs/>
        </w:rPr>
        <w:t>Cooperación internacional:</w:t>
      </w:r>
      <w:r w:rsidR="008571A8" w:rsidRPr="002F6D2F">
        <w:t xml:space="preserve"> Un diálogo internacional eficaz es esencial para </w:t>
      </w:r>
      <w:r w:rsidR="004D069C">
        <w:t>permitir el aprendizaje entre países</w:t>
      </w:r>
      <w:r w:rsidR="008571A8" w:rsidRPr="002F6D2F">
        <w:t xml:space="preserve"> y explorar soluciones política</w:t>
      </w:r>
      <w:r w:rsidR="00F75D2B" w:rsidRPr="002F6D2F">
        <w:t>s</w:t>
      </w:r>
      <w:r w:rsidR="008571A8" w:rsidRPr="002F6D2F">
        <w:t xml:space="preserve"> comunes a nivel regional </w:t>
      </w:r>
      <w:r w:rsidR="00F75D2B" w:rsidRPr="002F6D2F">
        <w:t>y</w:t>
      </w:r>
      <w:r w:rsidR="008571A8" w:rsidRPr="002F6D2F">
        <w:t xml:space="preserve"> mundial. Las organizaciones internacionales deben redoblar esfuerzos </w:t>
      </w:r>
      <w:r w:rsidR="00A701B5" w:rsidRPr="002F6D2F">
        <w:t>por</w:t>
      </w:r>
      <w:r w:rsidR="008571A8" w:rsidRPr="002F6D2F">
        <w:t xml:space="preserve"> cumplir su compromiso de prestar servicio</w:t>
      </w:r>
      <w:r w:rsidR="00A701B5" w:rsidRPr="002F6D2F">
        <w:t>s</w:t>
      </w:r>
      <w:r w:rsidR="008571A8" w:rsidRPr="002F6D2F">
        <w:t xml:space="preserve"> equitativo</w:t>
      </w:r>
      <w:r w:rsidR="00A701B5" w:rsidRPr="002F6D2F">
        <w:t>s</w:t>
      </w:r>
      <w:r w:rsidR="008571A8" w:rsidRPr="002F6D2F">
        <w:t xml:space="preserve"> a una comunidad internacional con intereses y realidades</w:t>
      </w:r>
      <w:r w:rsidR="00C628F1" w:rsidRPr="002F6D2F">
        <w:t xml:space="preserve"> tan</w:t>
      </w:r>
      <w:r w:rsidR="008571A8" w:rsidRPr="002F6D2F">
        <w:t xml:space="preserve"> diferentes </w:t>
      </w:r>
      <w:r w:rsidR="00C628F1" w:rsidRPr="002F6D2F">
        <w:t>com</w:t>
      </w:r>
      <w:r w:rsidR="008571A8" w:rsidRPr="002F6D2F">
        <w:t>o interdependientes. L</w:t>
      </w:r>
      <w:r w:rsidR="00A701B5" w:rsidRPr="002F6D2F">
        <w:t>a</w:t>
      </w:r>
      <w:r w:rsidR="008571A8" w:rsidRPr="002F6D2F">
        <w:t xml:space="preserve">s </w:t>
      </w:r>
      <w:r w:rsidR="00A701B5" w:rsidRPr="002F6D2F">
        <w:t>herramientas</w:t>
      </w:r>
      <w:r w:rsidR="008571A8" w:rsidRPr="002F6D2F">
        <w:t xml:space="preserve"> de cooperación internacional deben emplearse de manera transparente y eficiente y convertirse en</w:t>
      </w:r>
      <w:r w:rsidR="005D4561" w:rsidRPr="002F6D2F">
        <w:t xml:space="preserve"> elementos</w:t>
      </w:r>
      <w:r w:rsidR="008571A8" w:rsidRPr="002F6D2F">
        <w:t xml:space="preserve"> niveladores que permitan que los mercados digitales nacionales prosperen</w:t>
      </w:r>
      <w:bookmarkStart w:id="44" w:name="lt_pId106"/>
      <w:bookmarkEnd w:id="43"/>
      <w:r w:rsidR="004916E1" w:rsidRPr="002F6D2F">
        <w:t>.</w:t>
      </w:r>
      <w:bookmarkEnd w:id="44"/>
    </w:p>
    <w:p w14:paraId="15834017" w14:textId="77777777" w:rsidR="001950AA" w:rsidRPr="002F6D2F" w:rsidRDefault="001950AA" w:rsidP="00411C49">
      <w:pPr>
        <w:pStyle w:val="Reasons"/>
        <w:rPr>
          <w:sz w:val="22"/>
          <w:szCs w:val="22"/>
          <w:lang w:val="es-ES_tradnl"/>
        </w:rPr>
      </w:pPr>
    </w:p>
    <w:p w14:paraId="673E7C28" w14:textId="77777777" w:rsidR="001950AA" w:rsidRPr="002F6D2F" w:rsidRDefault="001950AA">
      <w:pPr>
        <w:jc w:val="center"/>
      </w:pPr>
      <w:r w:rsidRPr="002F6D2F">
        <w:t>______________</w:t>
      </w:r>
    </w:p>
    <w:sectPr w:rsidR="001950AA" w:rsidRPr="002F6D2F" w:rsidSect="004916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91E8C" w14:textId="77777777" w:rsidR="00CB2A09" w:rsidRDefault="00CB2A09">
      <w:r>
        <w:separator/>
      </w:r>
    </w:p>
  </w:endnote>
  <w:endnote w:type="continuationSeparator" w:id="0">
    <w:p w14:paraId="2317A9C5" w14:textId="77777777" w:rsidR="00CB2A09" w:rsidRDefault="00CB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92F23" w14:textId="77777777" w:rsidR="002223BC" w:rsidRDefault="00222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0BCE1" w14:textId="6F49D596" w:rsidR="001D503E" w:rsidRPr="002223BC" w:rsidRDefault="001D503E" w:rsidP="00222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0F580" w14:textId="665BEAC1" w:rsidR="001D503E" w:rsidRPr="002223BC" w:rsidRDefault="001D503E" w:rsidP="00222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ACA3A" w14:textId="77777777" w:rsidR="00CB2A09" w:rsidRDefault="00CB2A09">
      <w:r>
        <w:t>____________________</w:t>
      </w:r>
    </w:p>
  </w:footnote>
  <w:footnote w:type="continuationSeparator" w:id="0">
    <w:p w14:paraId="49855312" w14:textId="77777777" w:rsidR="00CB2A09" w:rsidRDefault="00CB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B0D99" w14:textId="77777777" w:rsidR="002223BC" w:rsidRDefault="002223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60744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E3CA2B" w14:textId="1E33E2F1" w:rsidR="004916E1" w:rsidRDefault="004916E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AC394" w14:textId="77777777" w:rsidR="002223BC" w:rsidRDefault="00222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1FAA"/>
    <w:multiLevelType w:val="hybridMultilevel"/>
    <w:tmpl w:val="3F68F170"/>
    <w:lvl w:ilvl="0" w:tplc="D52C7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CF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A6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07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C4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43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E4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A2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4B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97FFD"/>
    <w:multiLevelType w:val="hybridMultilevel"/>
    <w:tmpl w:val="A7947CDA"/>
    <w:lvl w:ilvl="0" w:tplc="4DCA9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6B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83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01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01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AE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00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E3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75083"/>
    <w:multiLevelType w:val="hybridMultilevel"/>
    <w:tmpl w:val="CBAACB9E"/>
    <w:lvl w:ilvl="0" w:tplc="3FF4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2D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E8E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8E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60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A6F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E9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A3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083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61027"/>
    <w:multiLevelType w:val="hybridMultilevel"/>
    <w:tmpl w:val="AB86BF14"/>
    <w:lvl w:ilvl="0" w:tplc="95EE7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46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6E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61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E0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64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C9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45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04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E1"/>
    <w:rsid w:val="000021FD"/>
    <w:rsid w:val="000417B0"/>
    <w:rsid w:val="0006424A"/>
    <w:rsid w:val="0009744C"/>
    <w:rsid w:val="000A7B46"/>
    <w:rsid w:val="00117C7D"/>
    <w:rsid w:val="00126AAF"/>
    <w:rsid w:val="001625DD"/>
    <w:rsid w:val="00177D1A"/>
    <w:rsid w:val="001929C1"/>
    <w:rsid w:val="001950AA"/>
    <w:rsid w:val="001A24B4"/>
    <w:rsid w:val="001A2730"/>
    <w:rsid w:val="001A5321"/>
    <w:rsid w:val="001D503E"/>
    <w:rsid w:val="001E1F8B"/>
    <w:rsid w:val="002223BC"/>
    <w:rsid w:val="00255896"/>
    <w:rsid w:val="00264A96"/>
    <w:rsid w:val="00266B82"/>
    <w:rsid w:val="002946A7"/>
    <w:rsid w:val="002C2472"/>
    <w:rsid w:val="002C275E"/>
    <w:rsid w:val="002F0677"/>
    <w:rsid w:val="002F6D2F"/>
    <w:rsid w:val="00313CB3"/>
    <w:rsid w:val="00346BAD"/>
    <w:rsid w:val="003B0B50"/>
    <w:rsid w:val="003C406A"/>
    <w:rsid w:val="003D203E"/>
    <w:rsid w:val="004207C3"/>
    <w:rsid w:val="00445B62"/>
    <w:rsid w:val="004556E8"/>
    <w:rsid w:val="004916E1"/>
    <w:rsid w:val="004A0718"/>
    <w:rsid w:val="004A4817"/>
    <w:rsid w:val="004C3B2F"/>
    <w:rsid w:val="004D069C"/>
    <w:rsid w:val="004F0AE2"/>
    <w:rsid w:val="005017CE"/>
    <w:rsid w:val="0054110A"/>
    <w:rsid w:val="0055237D"/>
    <w:rsid w:val="005D4561"/>
    <w:rsid w:val="00600BE6"/>
    <w:rsid w:val="00600E05"/>
    <w:rsid w:val="006540E4"/>
    <w:rsid w:val="006975D9"/>
    <w:rsid w:val="006A3DC1"/>
    <w:rsid w:val="006A4EFF"/>
    <w:rsid w:val="006F51CB"/>
    <w:rsid w:val="00700A42"/>
    <w:rsid w:val="00701CF0"/>
    <w:rsid w:val="00727433"/>
    <w:rsid w:val="007476D6"/>
    <w:rsid w:val="00762FDE"/>
    <w:rsid w:val="00777165"/>
    <w:rsid w:val="007D7425"/>
    <w:rsid w:val="0081710C"/>
    <w:rsid w:val="00824B7C"/>
    <w:rsid w:val="008264EC"/>
    <w:rsid w:val="008571A8"/>
    <w:rsid w:val="008906B9"/>
    <w:rsid w:val="008916D0"/>
    <w:rsid w:val="008F6CC6"/>
    <w:rsid w:val="00925F32"/>
    <w:rsid w:val="009E51BC"/>
    <w:rsid w:val="009F2FB7"/>
    <w:rsid w:val="00A671EF"/>
    <w:rsid w:val="00A701B5"/>
    <w:rsid w:val="00A71DCC"/>
    <w:rsid w:val="00A85EA4"/>
    <w:rsid w:val="00A92B52"/>
    <w:rsid w:val="00AA4EF1"/>
    <w:rsid w:val="00AE425B"/>
    <w:rsid w:val="00AF15A4"/>
    <w:rsid w:val="00B0044A"/>
    <w:rsid w:val="00B073A7"/>
    <w:rsid w:val="00B41FC0"/>
    <w:rsid w:val="00B519AE"/>
    <w:rsid w:val="00B6715C"/>
    <w:rsid w:val="00B81C95"/>
    <w:rsid w:val="00B85204"/>
    <w:rsid w:val="00BA22D1"/>
    <w:rsid w:val="00BB59A8"/>
    <w:rsid w:val="00BB7C5C"/>
    <w:rsid w:val="00BC1966"/>
    <w:rsid w:val="00BC38B5"/>
    <w:rsid w:val="00C07449"/>
    <w:rsid w:val="00C628F1"/>
    <w:rsid w:val="00C85A8D"/>
    <w:rsid w:val="00C919EA"/>
    <w:rsid w:val="00C9383F"/>
    <w:rsid w:val="00C96BD9"/>
    <w:rsid w:val="00CB2A09"/>
    <w:rsid w:val="00CC5EEC"/>
    <w:rsid w:val="00CD1FBE"/>
    <w:rsid w:val="00D05575"/>
    <w:rsid w:val="00D15C67"/>
    <w:rsid w:val="00D30CE6"/>
    <w:rsid w:val="00D6316D"/>
    <w:rsid w:val="00D80D1B"/>
    <w:rsid w:val="00DB0B83"/>
    <w:rsid w:val="00DB17FD"/>
    <w:rsid w:val="00E17320"/>
    <w:rsid w:val="00EC3655"/>
    <w:rsid w:val="00EC3D5F"/>
    <w:rsid w:val="00F039A1"/>
    <w:rsid w:val="00F454E3"/>
    <w:rsid w:val="00F75D2B"/>
    <w:rsid w:val="00F8018D"/>
    <w:rsid w:val="00FC2E7E"/>
    <w:rsid w:val="00FD65EF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46FBD2D"/>
  <w15:docId w15:val="{2988A979-668B-41B4-B6D6-151171A5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9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NoBR">
    <w:name w:val="Rep_No_BR"/>
    <w:basedOn w:val="RecNoBR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NoBR">
    <w:name w:val="Res_No_BR"/>
    <w:basedOn w:val="RecNoBR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4916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6E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916E1"/>
    <w:rPr>
      <w:rFonts w:asciiTheme="minorHAnsi" w:hAnsiTheme="minorHAnsi"/>
      <w:sz w:val="18"/>
      <w:lang w:val="es-ES_tradnl" w:eastAsia="en-US"/>
    </w:rPr>
  </w:style>
  <w:style w:type="paragraph" w:customStyle="1" w:styleId="Reasons">
    <w:name w:val="Reasons"/>
    <w:basedOn w:val="Normal"/>
    <w:qFormat/>
    <w:rsid w:val="001950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4110A"/>
    <w:rPr>
      <w:rFonts w:asciiTheme="minorHAnsi" w:hAnsiTheme="minorHAnsi"/>
      <w:b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0A7B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D/Conferences/GSR/2019/Documents/GSR19BestPracticeGuidelines_S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9A94D79889A4792E34D38769D7A1B" ma:contentTypeVersion="2" ma:contentTypeDescription="Create a new document." ma:contentTypeScope="" ma:versionID="7552a0c0e36c81434b59fec236ab070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DF6DD-A675-4F3D-980A-65CD8824C877}"/>
</file>

<file path=customXml/itemProps2.xml><?xml version="1.0" encoding="utf-8"?>
<ds:datastoreItem xmlns:ds="http://schemas.openxmlformats.org/officeDocument/2006/customXml" ds:itemID="{D7FE1F92-5BEE-4FB8-9800-61844A8BDB1D}"/>
</file>

<file path=customXml/itemProps3.xml><?xml version="1.0" encoding="utf-8"?>
<ds:datastoreItem xmlns:ds="http://schemas.openxmlformats.org/officeDocument/2006/customXml" ds:itemID="{8C603D77-ACC1-46A2-8D58-6CF1601E9F84}"/>
</file>

<file path=customXml/itemProps4.xml><?xml version="1.0" encoding="utf-8"?>
<ds:datastoreItem xmlns:ds="http://schemas.openxmlformats.org/officeDocument/2006/customXml" ds:itemID="{BD3D55E5-00A4-480A-82FC-7B871724B7E1}"/>
</file>

<file path=docProps/app.xml><?xml version="1.0" encoding="utf-8"?>
<Properties xmlns="http://schemas.openxmlformats.org/officeDocument/2006/extended-properties" xmlns:vt="http://schemas.openxmlformats.org/officeDocument/2006/docPropsVTypes">
  <Template>PS_POOL.dotm</Template>
  <TotalTime>5</TotalTime>
  <Pages>7</Pages>
  <Words>3536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Spanish83</dc:creator>
  <cp:keywords/>
  <dc:description/>
  <cp:lastModifiedBy>Conde, Tamaiti</cp:lastModifiedBy>
  <cp:revision>7</cp:revision>
  <cp:lastPrinted>2009-11-11T18:20:00Z</cp:lastPrinted>
  <dcterms:created xsi:type="dcterms:W3CDTF">2020-08-13T14:40:00Z</dcterms:created>
  <dcterms:modified xsi:type="dcterms:W3CDTF">2020-08-17T09:54:00Z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0x0101009789A94D79889A4792E34D38769D7A1B</vt:lpwstr>
  </property>
</Properties>
</file>