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00CD8" w14:textId="77777777" w:rsidR="00577DF4" w:rsidRPr="001C5CD2" w:rsidRDefault="00CC0746">
      <w:pPr>
        <w:rPr>
          <w:sz w:val="32"/>
          <w:szCs w:val="32"/>
        </w:rPr>
      </w:pPr>
      <w:r w:rsidRPr="001C5CD2">
        <w:rPr>
          <w:sz w:val="32"/>
          <w:szCs w:val="32"/>
        </w:rPr>
        <w:t>GSR-20 Best Practice Guidelines</w:t>
      </w:r>
    </w:p>
    <w:p w14:paraId="2D099462" w14:textId="77777777" w:rsidR="00CC0746" w:rsidRPr="001C5CD2" w:rsidRDefault="00CC0746">
      <w:pPr>
        <w:rPr>
          <w:b/>
          <w:bCs/>
          <w:sz w:val="32"/>
          <w:szCs w:val="32"/>
        </w:rPr>
      </w:pPr>
      <w:r w:rsidRPr="001C5CD2">
        <w:rPr>
          <w:b/>
          <w:bCs/>
          <w:sz w:val="32"/>
          <w:szCs w:val="32"/>
        </w:rPr>
        <w:t>The gold standard for digital regulation</w:t>
      </w:r>
    </w:p>
    <w:p w14:paraId="638E4C3D" w14:textId="01E87DA4" w:rsidR="00CC0746" w:rsidRPr="001C5CD2" w:rsidRDefault="00CC0746">
      <w:pPr>
        <w:rPr>
          <w:i/>
          <w:iCs/>
        </w:rPr>
      </w:pPr>
      <w:r w:rsidRPr="001C5CD2">
        <w:rPr>
          <w:i/>
          <w:iCs/>
        </w:rPr>
        <w:t>First draft</w:t>
      </w:r>
      <w:r w:rsidR="004922AD" w:rsidRPr="001C5CD2">
        <w:rPr>
          <w:i/>
          <w:iCs/>
        </w:rPr>
        <w:t>, 10 August 2020</w:t>
      </w:r>
    </w:p>
    <w:p w14:paraId="31478307" w14:textId="07065327" w:rsidR="003759FD" w:rsidRDefault="003759FD" w:rsidP="009174C7">
      <w:pPr>
        <w:spacing w:before="360"/>
      </w:pPr>
      <w:r w:rsidRPr="001C5CD2">
        <w:t xml:space="preserve">Supporting the digital economy to grow sustainably </w:t>
      </w:r>
      <w:r w:rsidR="008240F9">
        <w:t xml:space="preserve">and ensure service </w:t>
      </w:r>
      <w:r w:rsidR="005840C4">
        <w:t xml:space="preserve">and business </w:t>
      </w:r>
      <w:r w:rsidR="008240F9">
        <w:t>continuity</w:t>
      </w:r>
      <w:r w:rsidR="005840C4">
        <w:t>, including</w:t>
      </w:r>
      <w:r w:rsidR="008240F9">
        <w:t xml:space="preserve"> in times of crisis</w:t>
      </w:r>
      <w:r w:rsidR="005840C4">
        <w:t>,</w:t>
      </w:r>
      <w:r w:rsidR="008240F9">
        <w:t xml:space="preserve"> </w:t>
      </w:r>
      <w:r w:rsidRPr="001C5CD2">
        <w:t xml:space="preserve">requires regulators and policy makers to find an appropriate balance between facilitative actions to promote digital transformation </w:t>
      </w:r>
      <w:r w:rsidR="008240F9">
        <w:t xml:space="preserve">and </w:t>
      </w:r>
      <w:r w:rsidR="00C44FF1">
        <w:t xml:space="preserve">affordable </w:t>
      </w:r>
      <w:r w:rsidR="008240F9">
        <w:t xml:space="preserve">connectivity </w:t>
      </w:r>
      <w:r w:rsidRPr="001C5CD2">
        <w:t xml:space="preserve">while ensuring enduring social policy objectives are met. </w:t>
      </w:r>
      <w:r w:rsidR="005F2E5D" w:rsidRPr="001C5CD2">
        <w:t>A</w:t>
      </w:r>
      <w:r w:rsidRPr="001C5CD2">
        <w:t>n adaptive</w:t>
      </w:r>
      <w:r w:rsidR="005F2E5D" w:rsidRPr="001C5CD2">
        <w:t>, resilient</w:t>
      </w:r>
      <w:r w:rsidR="005840C4">
        <w:t>, collaborative</w:t>
      </w:r>
      <w:r w:rsidR="005F2E5D" w:rsidRPr="001C5CD2">
        <w:t xml:space="preserve"> and</w:t>
      </w:r>
      <w:r w:rsidRPr="001C5CD2">
        <w:t xml:space="preserve"> fit-for-purpose regulatory ecosystem</w:t>
      </w:r>
      <w:r w:rsidR="005F2E5D" w:rsidRPr="001C5CD2">
        <w:t xml:space="preserve"> is hence necessary for</w:t>
      </w:r>
      <w:r w:rsidRPr="001C5CD2">
        <w:t xml:space="preserve"> open and competitive</w:t>
      </w:r>
      <w:r w:rsidR="005F2E5D" w:rsidRPr="001C5CD2">
        <w:t xml:space="preserve"> digital</w:t>
      </w:r>
      <w:r w:rsidRPr="001C5CD2">
        <w:t xml:space="preserve"> markets</w:t>
      </w:r>
      <w:r w:rsidR="005F2E5D" w:rsidRPr="001C5CD2">
        <w:t xml:space="preserve"> to thrive along with deliver</w:t>
      </w:r>
      <w:r w:rsidR="00191939" w:rsidRPr="001C5CD2">
        <w:t>ing</w:t>
      </w:r>
      <w:r w:rsidR="005F2E5D" w:rsidRPr="001C5CD2">
        <w:t xml:space="preserve"> positive consumer outcomes</w:t>
      </w:r>
      <w:r w:rsidR="005840C4">
        <w:t xml:space="preserve"> and provide the foundation for Digital Transformation</w:t>
      </w:r>
      <w:r w:rsidR="000D6BF3" w:rsidRPr="001C5CD2">
        <w:t>.</w:t>
      </w:r>
    </w:p>
    <w:p w14:paraId="7822201B" w14:textId="4F67C5EE" w:rsidR="005840C4" w:rsidRPr="0080620D" w:rsidRDefault="005840C4" w:rsidP="006F4D3A">
      <w:pPr>
        <w:spacing w:before="360"/>
      </w:pPr>
      <w:r>
        <w:t xml:space="preserve">The COVID-19 pandemic has shown us that connectivity for all is essential and key digital challenges cannot be overcome by one stakeholder group alone. As highlighted by the UN </w:t>
      </w:r>
      <w:r w:rsidRPr="003C37E2">
        <w:t>Secretary General António Guterres</w:t>
      </w:r>
      <w:r>
        <w:t>,</w:t>
      </w:r>
      <w:r w:rsidRPr="003C37E2">
        <w:t xml:space="preserve"> in his launch of the Roadmap for Digital Cooperation, “Effective digital cooperation is instrumental in achieving the future we want and the ambitious goals of the 2030 Agenda for Sustainable Development”</w:t>
      </w:r>
      <w:r w:rsidR="00060B35">
        <w:t>.</w:t>
      </w:r>
    </w:p>
    <w:p w14:paraId="5FD30390" w14:textId="22BF7ED4" w:rsidR="00852259" w:rsidRPr="001C5CD2" w:rsidRDefault="00852259" w:rsidP="00852259">
      <w:r w:rsidRPr="001C5CD2">
        <w:t xml:space="preserve">We, the regulators participating in the 20th anniversary edition of the Global Symposium for Regulators, recognize that there is no single, comprehensive blueprint for best practice and that regulatory patterns for the </w:t>
      </w:r>
      <w:r w:rsidR="000D6BF3" w:rsidRPr="001C5CD2">
        <w:t xml:space="preserve">connected </w:t>
      </w:r>
      <w:r w:rsidRPr="001C5CD2">
        <w:t xml:space="preserve">digital </w:t>
      </w:r>
      <w:r w:rsidR="000D6BF3" w:rsidRPr="001C5CD2">
        <w:t>economy</w:t>
      </w:r>
      <w:r w:rsidRPr="001C5CD2">
        <w:t xml:space="preserve"> will be rooted in local circumstances while addressing regional and global challenges, especially now while we </w:t>
      </w:r>
      <w:r w:rsidR="00191939" w:rsidRPr="001C5CD2">
        <w:t>strive to</w:t>
      </w:r>
      <w:r w:rsidRPr="001C5CD2">
        <w:t xml:space="preserve"> building back better</w:t>
      </w:r>
      <w:r w:rsidR="000D6BF3" w:rsidRPr="001C5CD2">
        <w:t xml:space="preserve"> with </w:t>
      </w:r>
      <w:r w:rsidR="00191939" w:rsidRPr="001C5CD2">
        <w:t>digital technologies across the board</w:t>
      </w:r>
      <w:r w:rsidRPr="001C5CD2">
        <w:t xml:space="preserve">. </w:t>
      </w:r>
    </w:p>
    <w:p w14:paraId="3D3C890C" w14:textId="5F3F2B29" w:rsidR="00CC0746" w:rsidRPr="001C5CD2" w:rsidRDefault="00852259" w:rsidP="00852259">
      <w:r w:rsidRPr="001C5CD2">
        <w:t xml:space="preserve">We, nevertheless, agree that </w:t>
      </w:r>
      <w:r w:rsidR="0013417A" w:rsidRPr="001C5CD2">
        <w:t xml:space="preserve">individual </w:t>
      </w:r>
      <w:r w:rsidRPr="001C5CD2">
        <w:t>experiences can be enlightening and guide us towards regulatory excellence for the benefit of all. We have identified and endorsed these regulatory best practice guidelines to set the gold standard for digital regulation. Recalling the series of GSR Best Practice Guidelines since 2003 that capture established regulatory wisdom and tried-and-tested practices, our focus is on novel, bold, innovative, and ground-breaking approaches and tools for digital regulation.</w:t>
      </w:r>
    </w:p>
    <w:p w14:paraId="1A0D65D0" w14:textId="77777777" w:rsidR="001D350D" w:rsidRPr="001C5CD2" w:rsidRDefault="001D350D" w:rsidP="00FA535A">
      <w:pPr>
        <w:pStyle w:val="Heading2"/>
        <w:spacing w:before="480"/>
      </w:pPr>
      <w:r w:rsidRPr="001C5CD2">
        <w:t>Demonstrating regulatory thought leadership for digital transformation</w:t>
      </w:r>
    </w:p>
    <w:p w14:paraId="396013B8" w14:textId="257E8AAA" w:rsidR="00761ACB" w:rsidRPr="001C5CD2" w:rsidRDefault="00FD03D8" w:rsidP="0013417A">
      <w:pPr>
        <w:spacing w:before="240"/>
      </w:pPr>
      <w:r w:rsidRPr="001C5CD2">
        <w:t xml:space="preserve">While recognizing that digital regulation will be led by the core policy design principles outlined in the </w:t>
      </w:r>
      <w:hyperlink r:id="rId11" w:history="1">
        <w:r w:rsidRPr="001C5CD2">
          <w:rPr>
            <w:rStyle w:val="Hyperlink"/>
          </w:rPr>
          <w:t>GSR-19 Best Practice Guidelines to fast forwar</w:t>
        </w:r>
        <w:r w:rsidRPr="001C5CD2">
          <w:rPr>
            <w:rStyle w:val="Hyperlink"/>
          </w:rPr>
          <w:t>d</w:t>
        </w:r>
        <w:r w:rsidRPr="001C5CD2">
          <w:rPr>
            <w:rStyle w:val="Hyperlink"/>
          </w:rPr>
          <w:t xml:space="preserve"> digital connectivity for all</w:t>
        </w:r>
      </w:hyperlink>
      <w:r w:rsidRPr="001C5CD2">
        <w:t>,</w:t>
      </w:r>
      <w:r w:rsidR="0013417A" w:rsidRPr="001C5CD2">
        <w:t xml:space="preserve"> w</w:t>
      </w:r>
      <w:r w:rsidR="00FA535A" w:rsidRPr="001C5CD2">
        <w:t xml:space="preserve">e identified </w:t>
      </w:r>
      <w:r w:rsidR="00450522" w:rsidRPr="001C5CD2">
        <w:t>the following</w:t>
      </w:r>
      <w:r w:rsidR="00FA535A" w:rsidRPr="001C5CD2">
        <w:t xml:space="preserve"> </w:t>
      </w:r>
      <w:r w:rsidR="00EB0AA2" w:rsidRPr="001C5CD2">
        <w:t>fundamentals</w:t>
      </w:r>
      <w:r w:rsidR="00FA535A" w:rsidRPr="001C5CD2">
        <w:t xml:space="preserve"> for </w:t>
      </w:r>
      <w:r w:rsidR="00B61AF5">
        <w:t>sound</w:t>
      </w:r>
      <w:r w:rsidR="00FA535A" w:rsidRPr="001C5CD2">
        <w:t xml:space="preserve">, future-proof </w:t>
      </w:r>
      <w:r w:rsidR="007830DC" w:rsidRPr="001C5CD2">
        <w:t>regulatory frameworks</w:t>
      </w:r>
      <w:r w:rsidR="00761ACB" w:rsidRPr="001C5CD2">
        <w:t xml:space="preserve"> </w:t>
      </w:r>
      <w:r w:rsidR="00FA535A" w:rsidRPr="001C5CD2">
        <w:t>t</w:t>
      </w:r>
      <w:r w:rsidR="00A25C8D" w:rsidRPr="001C5CD2">
        <w:t>o respond to the challenges of digital transformation</w:t>
      </w:r>
      <w:r w:rsidR="00761ACB" w:rsidRPr="001C5CD2">
        <w:t xml:space="preserve"> in the aftermath of global </w:t>
      </w:r>
      <w:r w:rsidR="0013417A" w:rsidRPr="001C5CD2">
        <w:t>crises</w:t>
      </w:r>
      <w:r w:rsidR="00761ACB" w:rsidRPr="001C5CD2">
        <w:t xml:space="preserve"> and beyond. </w:t>
      </w:r>
    </w:p>
    <w:p w14:paraId="7E89752C" w14:textId="5B210C62" w:rsidR="00B75D62" w:rsidRPr="001C5CD2" w:rsidRDefault="00CF39D6" w:rsidP="0061707A">
      <w:pPr>
        <w:pStyle w:val="ListParagraph"/>
        <w:numPr>
          <w:ilvl w:val="0"/>
          <w:numId w:val="3"/>
        </w:numPr>
      </w:pPr>
      <w:r w:rsidRPr="001C5CD2">
        <w:rPr>
          <w:b/>
          <w:bCs/>
        </w:rPr>
        <w:t>Regulatory s</w:t>
      </w:r>
      <w:r w:rsidR="00761ACB" w:rsidRPr="001C5CD2">
        <w:rPr>
          <w:b/>
          <w:bCs/>
        </w:rPr>
        <w:t>trategies for digital</w:t>
      </w:r>
      <w:r w:rsidR="00761ACB" w:rsidRPr="001C5CD2">
        <w:t xml:space="preserve">: </w:t>
      </w:r>
      <w:r w:rsidR="00B75D62" w:rsidRPr="001C5CD2">
        <w:t xml:space="preserve">Regulators </w:t>
      </w:r>
      <w:r w:rsidR="00F86F33" w:rsidRPr="001C5CD2">
        <w:t xml:space="preserve">should articulate a clear rationale for how and why decisions are made, their goals, time-bound </w:t>
      </w:r>
      <w:proofErr w:type="gramStart"/>
      <w:r w:rsidR="00F86F33" w:rsidRPr="001C5CD2">
        <w:t>targets</w:t>
      </w:r>
      <w:proofErr w:type="gramEnd"/>
      <w:r w:rsidR="00F86F33" w:rsidRPr="001C5CD2">
        <w:t xml:space="preserve"> and monitoring mechanisms</w:t>
      </w:r>
      <w:r w:rsidR="00F86F33">
        <w:t>.  S</w:t>
      </w:r>
      <w:r w:rsidR="00B75D62" w:rsidRPr="001C5CD2">
        <w:t>trategic priorities</w:t>
      </w:r>
      <w:r w:rsidR="001C3B56" w:rsidRPr="001C5CD2">
        <w:t xml:space="preserve"> </w:t>
      </w:r>
      <w:r w:rsidR="00F86F33">
        <w:t>should address</w:t>
      </w:r>
      <w:r w:rsidR="00761ACB" w:rsidRPr="001C5CD2">
        <w:t xml:space="preserve"> short</w:t>
      </w:r>
      <w:r w:rsidR="0013417A" w:rsidRPr="001C5CD2">
        <w:t>-to-</w:t>
      </w:r>
      <w:r w:rsidR="00761ACB" w:rsidRPr="001C5CD2">
        <w:t>medium term outlook</w:t>
      </w:r>
      <w:r w:rsidR="00F86F33">
        <w:t>s</w:t>
      </w:r>
      <w:r w:rsidR="00761ACB" w:rsidRPr="001C5CD2">
        <w:t xml:space="preserve"> of national and global markets</w:t>
      </w:r>
      <w:r w:rsidR="00F86F33">
        <w:t>, with</w:t>
      </w:r>
      <w:r w:rsidR="00761ACB" w:rsidRPr="001C5CD2">
        <w:t xml:space="preserve"> long-term strateg</w:t>
      </w:r>
      <w:r w:rsidR="00F86F33">
        <w:t>ies</w:t>
      </w:r>
      <w:r w:rsidR="001C3B56" w:rsidRPr="001C5CD2">
        <w:t xml:space="preserve"> requir</w:t>
      </w:r>
      <w:r w:rsidR="00F86F33">
        <w:t>ing</w:t>
      </w:r>
      <w:r w:rsidR="001C3B56" w:rsidRPr="001C5CD2">
        <w:t xml:space="preserve"> appropriate government policy and a coordinated approach among all stakeholders</w:t>
      </w:r>
      <w:r w:rsidR="007830DC" w:rsidRPr="001C5CD2">
        <w:t xml:space="preserve"> while advancing regional development strategies</w:t>
      </w:r>
      <w:r w:rsidR="001C3B56" w:rsidRPr="001C5CD2">
        <w:t>.</w:t>
      </w:r>
      <w:r w:rsidR="00FB0A39" w:rsidRPr="001C5CD2">
        <w:t xml:space="preserve"> </w:t>
      </w:r>
      <w:r w:rsidR="00940CC2" w:rsidRPr="001C5CD2">
        <w:br/>
      </w:r>
    </w:p>
    <w:p w14:paraId="0F6C8E44" w14:textId="7924F0D3" w:rsidR="00872E93" w:rsidRPr="001C5CD2" w:rsidRDefault="006650DA" w:rsidP="00940CC2">
      <w:pPr>
        <w:pStyle w:val="ListParagraph"/>
        <w:numPr>
          <w:ilvl w:val="0"/>
          <w:numId w:val="3"/>
        </w:numPr>
      </w:pPr>
      <w:r>
        <w:rPr>
          <w:b/>
          <w:bCs/>
        </w:rPr>
        <w:lastRenderedPageBreak/>
        <w:t xml:space="preserve">Integrating sustainability into regulatory </w:t>
      </w:r>
      <w:r w:rsidR="00C5663A">
        <w:rPr>
          <w:b/>
          <w:bCs/>
        </w:rPr>
        <w:t>frameworks</w:t>
      </w:r>
      <w:r w:rsidR="00872E93" w:rsidRPr="001C5CD2">
        <w:rPr>
          <w:b/>
          <w:bCs/>
        </w:rPr>
        <w:t xml:space="preserve">: </w:t>
      </w:r>
      <w:r w:rsidR="00EF1260" w:rsidRPr="001C5CD2">
        <w:t xml:space="preserve">The </w:t>
      </w:r>
      <w:r w:rsidR="00872E93" w:rsidRPr="001C5CD2">
        <w:t>policy approach to technology</w:t>
      </w:r>
      <w:r w:rsidR="00EF1260" w:rsidRPr="001C5CD2">
        <w:t xml:space="preserve"> needs to be revisited and its scope expanded to</w:t>
      </w:r>
      <w:r w:rsidR="00872E93" w:rsidRPr="001C5CD2">
        <w:t xml:space="preserve"> cover the full cycle</w:t>
      </w:r>
      <w:r w:rsidR="00EF1260" w:rsidRPr="001C5CD2">
        <w:t xml:space="preserve"> of digital</w:t>
      </w:r>
      <w:r w:rsidR="00DB6031" w:rsidRPr="001C5CD2">
        <w:t xml:space="preserve"> technologies and services</w:t>
      </w:r>
      <w:r w:rsidR="00872E93" w:rsidRPr="001C5CD2">
        <w:t>, from ideation to dissemination to recycling of</w:t>
      </w:r>
      <w:r w:rsidR="00CF39D6" w:rsidRPr="001C5CD2">
        <w:t xml:space="preserve"> digital </w:t>
      </w:r>
      <w:r w:rsidR="00DB6031" w:rsidRPr="001C5CD2">
        <w:t>products</w:t>
      </w:r>
      <w:r w:rsidR="00872E93" w:rsidRPr="001C5CD2">
        <w:t xml:space="preserve">. Environmental aspects should be </w:t>
      </w:r>
      <w:proofErr w:type="gramStart"/>
      <w:r w:rsidR="00872E93" w:rsidRPr="001C5CD2">
        <w:t>taken into account</w:t>
      </w:r>
      <w:proofErr w:type="gramEnd"/>
      <w:r w:rsidR="00872E93" w:rsidRPr="001C5CD2">
        <w:t xml:space="preserve"> at every stage</w:t>
      </w:r>
      <w:r w:rsidR="00EF1260" w:rsidRPr="001C5CD2">
        <w:t xml:space="preserve"> of an integrated, consistent regulatory framework</w:t>
      </w:r>
      <w:r w:rsidR="00DB6031" w:rsidRPr="001C5CD2">
        <w:t xml:space="preserve"> covering issues from</w:t>
      </w:r>
      <w:r w:rsidR="00872E93" w:rsidRPr="001C5CD2">
        <w:t xml:space="preserve"> the carbon footprint of cloud to e-waste management</w:t>
      </w:r>
      <w:r w:rsidR="00273E41" w:rsidRPr="001C5CD2">
        <w:t xml:space="preserve"> to digitization</w:t>
      </w:r>
      <w:r w:rsidR="00EF1260" w:rsidRPr="001C5CD2">
        <w:t xml:space="preserve"> of economic sectors’</w:t>
      </w:r>
      <w:r w:rsidR="00273E41" w:rsidRPr="001C5CD2">
        <w:t xml:space="preserve"> operations</w:t>
      </w:r>
      <w:r w:rsidR="00872E93" w:rsidRPr="001C5CD2">
        <w:t xml:space="preserve">. </w:t>
      </w:r>
      <w:r w:rsidR="00940CC2" w:rsidRPr="001C5CD2">
        <w:br/>
      </w:r>
    </w:p>
    <w:p w14:paraId="5A2F559B" w14:textId="70BC8AF7" w:rsidR="009174C7" w:rsidRPr="001C5CD2" w:rsidRDefault="009174C7" w:rsidP="009174C7">
      <w:pPr>
        <w:pStyle w:val="ListParagraph"/>
        <w:numPr>
          <w:ilvl w:val="0"/>
          <w:numId w:val="3"/>
        </w:numPr>
      </w:pPr>
      <w:r w:rsidRPr="001C5CD2">
        <w:rPr>
          <w:b/>
          <w:bCs/>
        </w:rPr>
        <w:t>Maximizing benefits while minimizing harms of digital technologies</w:t>
      </w:r>
      <w:r w:rsidRPr="001C5CD2">
        <w:t>: policy makers and regulators should design regulatory regimes to enable innovation while controlling harms, use data and digital technologies to improve the efficiency and effectiveness of government services, work together to develop and promote regional and global standards that enable greater use of technologies.</w:t>
      </w:r>
    </w:p>
    <w:p w14:paraId="017B95A2" w14:textId="77777777" w:rsidR="009174C7" w:rsidRPr="001C5CD2" w:rsidRDefault="009174C7" w:rsidP="009174C7">
      <w:pPr>
        <w:pStyle w:val="ListParagraph"/>
      </w:pPr>
    </w:p>
    <w:p w14:paraId="4A0DD51E" w14:textId="6BF95706" w:rsidR="00940CC2" w:rsidRPr="001C5CD2" w:rsidRDefault="00C04E95" w:rsidP="00940CC2">
      <w:pPr>
        <w:pStyle w:val="ListParagraph"/>
        <w:numPr>
          <w:ilvl w:val="0"/>
          <w:numId w:val="5"/>
        </w:numPr>
      </w:pPr>
      <w:r w:rsidRPr="001C5CD2">
        <w:rPr>
          <w:b/>
          <w:bCs/>
        </w:rPr>
        <w:t xml:space="preserve">Open, </w:t>
      </w:r>
      <w:proofErr w:type="gramStart"/>
      <w:r w:rsidRPr="001C5CD2">
        <w:rPr>
          <w:b/>
          <w:bCs/>
        </w:rPr>
        <w:t>inclusive</w:t>
      </w:r>
      <w:proofErr w:type="gramEnd"/>
      <w:r w:rsidRPr="001C5CD2">
        <w:rPr>
          <w:b/>
          <w:bCs/>
        </w:rPr>
        <w:t xml:space="preserve"> and transparent regulatory process:</w:t>
      </w:r>
      <w:r w:rsidRPr="001C5CD2">
        <w:t xml:space="preserve"> </w:t>
      </w:r>
      <w:r w:rsidR="0013417A" w:rsidRPr="001C5CD2">
        <w:t xml:space="preserve">we assert that digital regulation needs to be </w:t>
      </w:r>
      <w:r w:rsidR="00DB6031" w:rsidRPr="001C5CD2">
        <w:t xml:space="preserve">oriented towards </w:t>
      </w:r>
      <w:r w:rsidR="0013417A" w:rsidRPr="001C5CD2">
        <w:t xml:space="preserve">enhancing transparency, ethics and trust throughout the regulatory process. </w:t>
      </w:r>
      <w:r w:rsidRPr="001C5CD2">
        <w:t>Regulatory settings should encourage broad participation</w:t>
      </w:r>
      <w:r w:rsidR="00DB6031" w:rsidRPr="001C5CD2">
        <w:t xml:space="preserve"> of stakeholders</w:t>
      </w:r>
      <w:r w:rsidR="00FF1AEE" w:rsidRPr="001C5CD2">
        <w:t xml:space="preserve">, including those from industry, civil society and local governments, through formal and informal channels. Throughout the process, </w:t>
      </w:r>
      <w:r w:rsidR="00CD3E7F" w:rsidRPr="001C5CD2">
        <w:t>the regulated entities and the regulator share responsibility for the development, monitoring and implementation of rules and guidelines</w:t>
      </w:r>
      <w:r w:rsidR="00FF1AEE" w:rsidRPr="001C5CD2">
        <w:t>.</w:t>
      </w:r>
      <w:r w:rsidR="00940CC2" w:rsidRPr="001C5CD2">
        <w:br/>
      </w:r>
    </w:p>
    <w:p w14:paraId="78B2AAC8" w14:textId="497D65C2" w:rsidR="00C04E95" w:rsidRPr="001C5CD2" w:rsidRDefault="00CD3E7F" w:rsidP="00940CC2">
      <w:pPr>
        <w:pStyle w:val="ListParagraph"/>
        <w:numPr>
          <w:ilvl w:val="0"/>
          <w:numId w:val="3"/>
        </w:numPr>
      </w:pPr>
      <w:r w:rsidRPr="001C5CD2">
        <w:rPr>
          <w:b/>
          <w:bCs/>
        </w:rPr>
        <w:t>Multiple f</w:t>
      </w:r>
      <w:r w:rsidR="00C04E95" w:rsidRPr="001C5CD2">
        <w:rPr>
          <w:b/>
          <w:bCs/>
        </w:rPr>
        <w:t>ormat</w:t>
      </w:r>
      <w:r w:rsidR="00EB0AA2" w:rsidRPr="001C5CD2">
        <w:rPr>
          <w:b/>
          <w:bCs/>
        </w:rPr>
        <w:t>s</w:t>
      </w:r>
      <w:r w:rsidR="00C04E95" w:rsidRPr="001C5CD2">
        <w:rPr>
          <w:b/>
          <w:bCs/>
        </w:rPr>
        <w:t xml:space="preserve"> and modes</w:t>
      </w:r>
      <w:r w:rsidRPr="001C5CD2">
        <w:rPr>
          <w:b/>
          <w:bCs/>
        </w:rPr>
        <w:t xml:space="preserve"> of regulation</w:t>
      </w:r>
      <w:r w:rsidR="00C04E95" w:rsidRPr="001C5CD2">
        <w:rPr>
          <w:b/>
          <w:bCs/>
        </w:rPr>
        <w:t xml:space="preserve">: </w:t>
      </w:r>
      <w:r w:rsidR="00C04E95" w:rsidRPr="001C5CD2">
        <w:t>Formal regulation should leave sufficient space for self-regulation, hybrid and collaborative regulatory models and oversight mechanisms.</w:t>
      </w:r>
      <w:r w:rsidR="00EB0AA2" w:rsidRPr="001C5CD2">
        <w:t xml:space="preserve"> From incentives </w:t>
      </w:r>
      <w:r w:rsidRPr="001C5CD2">
        <w:t>and</w:t>
      </w:r>
      <w:r w:rsidR="00EB0AA2" w:rsidRPr="001C5CD2">
        <w:t xml:space="preserve"> rewards through forbearance to targeted obligations, the </w:t>
      </w:r>
      <w:r w:rsidR="005840C4">
        <w:t>range</w:t>
      </w:r>
      <w:r w:rsidR="005840C4" w:rsidRPr="001C5CD2">
        <w:t xml:space="preserve"> </w:t>
      </w:r>
      <w:r w:rsidR="00EB0AA2" w:rsidRPr="001C5CD2">
        <w:t xml:space="preserve">of tools and remedies at hand for regulators to explore is wide. New issues call for novel approaches and the regulatory canvas </w:t>
      </w:r>
      <w:r w:rsidRPr="001C5CD2">
        <w:t>has expanded</w:t>
      </w:r>
      <w:r w:rsidR="00EB0AA2" w:rsidRPr="001C5CD2">
        <w:t xml:space="preserve"> to cover </w:t>
      </w:r>
      <w:r w:rsidR="005840C4">
        <w:t xml:space="preserve">regulatory </w:t>
      </w:r>
      <w:r w:rsidR="00EB0AA2" w:rsidRPr="001C5CD2">
        <w:t xml:space="preserve">sandboxes, ethical frameworks, technology roadmaps, regulatory impact assessment, multi-varied research and big data simulation in </w:t>
      </w:r>
      <w:r w:rsidRPr="001C5CD2">
        <w:t>exploring</w:t>
      </w:r>
      <w:r w:rsidR="00EB0AA2" w:rsidRPr="001C5CD2">
        <w:t xml:space="preserve"> the most balanced, proportionate and fair regulatory response. Artificial intelligence, Internet of Things, online disinformation </w:t>
      </w:r>
      <w:proofErr w:type="gramStart"/>
      <w:r w:rsidR="00EB0AA2" w:rsidRPr="001C5CD2">
        <w:t>are</w:t>
      </w:r>
      <w:proofErr w:type="gramEnd"/>
      <w:r w:rsidR="00EB0AA2" w:rsidRPr="001C5CD2">
        <w:t xml:space="preserve"> some of the complex issues waiting to be addressed.</w:t>
      </w:r>
      <w:r w:rsidR="00053107" w:rsidRPr="001C5CD2">
        <w:t xml:space="preserve"> </w:t>
      </w:r>
      <w:r w:rsidR="00940CC2" w:rsidRPr="001C5CD2">
        <w:br/>
      </w:r>
    </w:p>
    <w:p w14:paraId="794EA281" w14:textId="48C26465" w:rsidR="00C04E95" w:rsidRPr="001C5CD2" w:rsidRDefault="00FF1AEE" w:rsidP="0059544D">
      <w:pPr>
        <w:pStyle w:val="ListParagraph"/>
        <w:numPr>
          <w:ilvl w:val="0"/>
          <w:numId w:val="3"/>
        </w:numPr>
      </w:pPr>
      <w:r w:rsidRPr="001C5CD2">
        <w:rPr>
          <w:b/>
          <w:bCs/>
        </w:rPr>
        <w:t>Good governance and effective institutions</w:t>
      </w:r>
      <w:r w:rsidR="00060B35">
        <w:rPr>
          <w:b/>
          <w:bCs/>
        </w:rPr>
        <w:t xml:space="preserve"> with appropriate mechanisms in place for collaborative regulatory approaches</w:t>
      </w:r>
      <w:r w:rsidR="00C04E95" w:rsidRPr="001C5CD2">
        <w:rPr>
          <w:b/>
          <w:bCs/>
        </w:rPr>
        <w:t>:</w:t>
      </w:r>
      <w:r w:rsidR="00C04E95" w:rsidRPr="001C5CD2">
        <w:t xml:space="preserve"> </w:t>
      </w:r>
      <w:r w:rsidRPr="001C5CD2">
        <w:t>Institutional design is key and r</w:t>
      </w:r>
      <w:r w:rsidR="00C04E95" w:rsidRPr="001C5CD2">
        <w:t>egulatory authorities should hold appropriate powers, strong independence and integrity to be able to make objective, future-proof decisions</w:t>
      </w:r>
      <w:r w:rsidR="00060B35">
        <w:t xml:space="preserve"> and to collaborate across sectors to foster digital transform</w:t>
      </w:r>
      <w:r w:rsidR="001A72EC">
        <w:t>a</w:t>
      </w:r>
      <w:r w:rsidR="00060B35">
        <w:t>tion</w:t>
      </w:r>
      <w:r w:rsidRPr="001C5CD2">
        <w:t>.</w:t>
      </w:r>
      <w:r w:rsidR="00C04E95" w:rsidRPr="001C5CD2">
        <w:t xml:space="preserve"> </w:t>
      </w:r>
      <w:r w:rsidRPr="001C5CD2">
        <w:t xml:space="preserve">This will pave the way for principled engagement of </w:t>
      </w:r>
      <w:r w:rsidR="00C04E95" w:rsidRPr="001C5CD2">
        <w:t>all market stakeholders</w:t>
      </w:r>
      <w:r w:rsidR="00C44FF1">
        <w:t xml:space="preserve"> and for collaboration across the sectors</w:t>
      </w:r>
      <w:r w:rsidR="00C04E95" w:rsidRPr="001C5CD2">
        <w:t xml:space="preserve">. </w:t>
      </w:r>
      <w:r w:rsidR="00202A44" w:rsidRPr="001C5CD2">
        <w:t xml:space="preserve">Effective institutions </w:t>
      </w:r>
      <w:r w:rsidR="003C363C" w:rsidRPr="001C5CD2">
        <w:t xml:space="preserve">need to </w:t>
      </w:r>
      <w:r w:rsidR="00060B35">
        <w:t xml:space="preserve">have appropriate mandates, </w:t>
      </w:r>
      <w:r w:rsidR="003C363C" w:rsidRPr="001C5CD2">
        <w:t>be</w:t>
      </w:r>
      <w:r w:rsidR="00202A44" w:rsidRPr="001C5CD2">
        <w:t xml:space="preserve"> adequately funded</w:t>
      </w:r>
      <w:r w:rsidR="003C363C" w:rsidRPr="001C5CD2">
        <w:t>,</w:t>
      </w:r>
      <w:r w:rsidR="00202A44" w:rsidRPr="001C5CD2">
        <w:t xml:space="preserve"> well capacitated </w:t>
      </w:r>
      <w:r w:rsidR="00F86F33">
        <w:t>staff.  S</w:t>
      </w:r>
      <w:r w:rsidR="003C363C" w:rsidRPr="001C5CD2">
        <w:t xml:space="preserve">taff competences </w:t>
      </w:r>
      <w:r w:rsidR="00F86F33">
        <w:t xml:space="preserve">should be continuously upgraded </w:t>
      </w:r>
      <w:r w:rsidR="003C363C" w:rsidRPr="001C5CD2">
        <w:t xml:space="preserve">while being </w:t>
      </w:r>
      <w:r w:rsidR="00202A44" w:rsidRPr="001C5CD2">
        <w:t>in adherence with good governance principles including accountability and transparency.</w:t>
      </w:r>
      <w:r w:rsidR="00940CC2" w:rsidRPr="001C5CD2">
        <w:br/>
      </w:r>
    </w:p>
    <w:p w14:paraId="7EDDA96B" w14:textId="5D4D75E3" w:rsidR="004922AD" w:rsidRPr="001C5CD2" w:rsidRDefault="004922AD" w:rsidP="00940CC2">
      <w:pPr>
        <w:pStyle w:val="ListParagraph"/>
        <w:numPr>
          <w:ilvl w:val="0"/>
          <w:numId w:val="3"/>
        </w:numPr>
      </w:pPr>
      <w:r w:rsidRPr="001C5CD2">
        <w:rPr>
          <w:b/>
          <w:bCs/>
        </w:rPr>
        <w:t>Evidence-based</w:t>
      </w:r>
      <w:r w:rsidR="00B12273" w:rsidRPr="001C5CD2">
        <w:rPr>
          <w:b/>
          <w:bCs/>
        </w:rPr>
        <w:t xml:space="preserve"> </w:t>
      </w:r>
      <w:r w:rsidR="007830DC" w:rsidRPr="001C5CD2">
        <w:rPr>
          <w:b/>
          <w:bCs/>
        </w:rPr>
        <w:t>approach</w:t>
      </w:r>
      <w:r w:rsidRPr="001C5CD2">
        <w:t xml:space="preserve">: </w:t>
      </w:r>
      <w:r w:rsidR="007830DC" w:rsidRPr="001C5CD2">
        <w:t>evidence and data</w:t>
      </w:r>
      <w:r w:rsidRPr="001C5CD2">
        <w:t xml:space="preserve"> inform</w:t>
      </w:r>
      <w:r w:rsidR="007830DC" w:rsidRPr="001C5CD2">
        <w:t xml:space="preserve"> regulatory decisions and</w:t>
      </w:r>
      <w:r w:rsidR="003C38E7" w:rsidRPr="001C5CD2">
        <w:t xml:space="preserve"> help</w:t>
      </w:r>
      <w:r w:rsidR="007830DC" w:rsidRPr="001C5CD2">
        <w:t xml:space="preserve"> identify emerging regulatory issues</w:t>
      </w:r>
      <w:r w:rsidR="005840C4">
        <w:t xml:space="preserve"> </w:t>
      </w:r>
      <w:r w:rsidR="001A72EC">
        <w:t>as well as</w:t>
      </w:r>
      <w:r w:rsidR="005840C4">
        <w:t xml:space="preserve"> mitigate</w:t>
      </w:r>
      <w:r w:rsidR="005840C4" w:rsidRPr="003C37E2">
        <w:t xml:space="preserve"> the impact of pandemics</w:t>
      </w:r>
      <w:r w:rsidR="005840C4">
        <w:t>, with</w:t>
      </w:r>
      <w:r w:rsidR="005840C4" w:rsidRPr="003C37E2">
        <w:t xml:space="preserve"> countries with top connectivity infrastructure </w:t>
      </w:r>
      <w:r w:rsidR="005840C4">
        <w:t>being able to better</w:t>
      </w:r>
      <w:r w:rsidR="005840C4" w:rsidRPr="003C37E2">
        <w:t xml:space="preserve"> mitigate negative economic impact</w:t>
      </w:r>
      <w:r w:rsidR="005840C4">
        <w:t xml:space="preserve"> resulting from pandemics</w:t>
      </w:r>
      <w:r w:rsidR="00A25C8D" w:rsidRPr="001C5CD2">
        <w:t>.</w:t>
      </w:r>
      <w:r w:rsidR="00CB4C7F" w:rsidRPr="001C5CD2">
        <w:t xml:space="preserve"> </w:t>
      </w:r>
      <w:r w:rsidR="007830DC" w:rsidRPr="001C5CD2">
        <w:t>Data and analysis also</w:t>
      </w:r>
      <w:r w:rsidR="00202A44" w:rsidRPr="001C5CD2">
        <w:t xml:space="preserve"> </w:t>
      </w:r>
      <w:r w:rsidR="003C38E7" w:rsidRPr="001C5CD2">
        <w:t>allow</w:t>
      </w:r>
      <w:r w:rsidR="00202A44" w:rsidRPr="001C5CD2">
        <w:t xml:space="preserve"> regulators to determine if specific regulatory interventions and decisions are justified by market failures and </w:t>
      </w:r>
      <w:r w:rsidR="007830DC" w:rsidRPr="001C5CD2">
        <w:t>guide</w:t>
      </w:r>
      <w:r w:rsidR="00202A44" w:rsidRPr="001C5CD2">
        <w:t xml:space="preserve"> </w:t>
      </w:r>
      <w:r w:rsidR="003C38E7" w:rsidRPr="001C5CD2">
        <w:t>them</w:t>
      </w:r>
      <w:r w:rsidR="00202A44" w:rsidRPr="001C5CD2">
        <w:t xml:space="preserve"> </w:t>
      </w:r>
      <w:r w:rsidR="007830DC" w:rsidRPr="001C5CD2">
        <w:t>in</w:t>
      </w:r>
      <w:r w:rsidR="00202A44" w:rsidRPr="001C5CD2">
        <w:t xml:space="preserve"> defin</w:t>
      </w:r>
      <w:r w:rsidR="007830DC" w:rsidRPr="001C5CD2">
        <w:t>ing</w:t>
      </w:r>
      <w:r w:rsidR="00202A44" w:rsidRPr="001C5CD2">
        <w:t xml:space="preserve"> the </w:t>
      </w:r>
      <w:r w:rsidR="00202A44" w:rsidRPr="001C5CD2">
        <w:lastRenderedPageBreak/>
        <w:t xml:space="preserve">desired regulatory outcomes </w:t>
      </w:r>
      <w:r w:rsidR="003C38E7" w:rsidRPr="001C5CD2">
        <w:t>as well as</w:t>
      </w:r>
      <w:r w:rsidR="00202A44" w:rsidRPr="001C5CD2">
        <w:t xml:space="preserve"> the options to achieve them.</w:t>
      </w:r>
      <w:r w:rsidR="00A6528E" w:rsidRPr="001C5CD2">
        <w:t xml:space="preserve"> </w:t>
      </w:r>
      <w:r w:rsidR="00027C26" w:rsidRPr="001C5CD2">
        <w:t xml:space="preserve">Strengthening the monitoring and evaluation function of regulators and integrating in it </w:t>
      </w:r>
      <w:r w:rsidR="00F86F33">
        <w:t xml:space="preserve">in </w:t>
      </w:r>
      <w:r w:rsidR="00027C26" w:rsidRPr="001C5CD2">
        <w:t xml:space="preserve">collaboration with other competent agencies can facilitate effort towards improving </w:t>
      </w:r>
      <w:r w:rsidR="00F86F33">
        <w:t xml:space="preserve">regulation and </w:t>
      </w:r>
      <w:r w:rsidR="006C5114">
        <w:t xml:space="preserve">ensuring that the regulation achieves its objectives in the most effective and efficient manner, </w:t>
      </w:r>
      <w:r w:rsidR="00AC3F51">
        <w:t xml:space="preserve">in particular </w:t>
      </w:r>
      <w:r w:rsidR="00AC3F51" w:rsidRPr="001C5CD2">
        <w:t>network resilience and enhancing both the capacity and coverage of networks</w:t>
      </w:r>
      <w:r w:rsidR="00AC3F51">
        <w:t xml:space="preserve"> </w:t>
      </w:r>
      <w:r w:rsidR="006C5114">
        <w:t>without imposing disproportionate or overlapping burden on the market</w:t>
      </w:r>
      <w:r w:rsidR="00027C26" w:rsidRPr="001C5CD2">
        <w:t>.</w:t>
      </w:r>
      <w:r w:rsidR="007830DC" w:rsidRPr="001C5CD2">
        <w:br/>
      </w:r>
    </w:p>
    <w:p w14:paraId="39B0D7CC" w14:textId="11B721F0" w:rsidR="00450522" w:rsidRPr="001C5CD2" w:rsidRDefault="00450522" w:rsidP="00450522">
      <w:pPr>
        <w:pStyle w:val="ListParagraph"/>
        <w:numPr>
          <w:ilvl w:val="0"/>
          <w:numId w:val="3"/>
        </w:numPr>
      </w:pPr>
      <w:r w:rsidRPr="001C5CD2">
        <w:rPr>
          <w:b/>
          <w:bCs/>
        </w:rPr>
        <w:t>No rule is set in stone:</w:t>
      </w:r>
      <w:r w:rsidRPr="001C5CD2">
        <w:t xml:space="preserve"> Regulatory frameworks should be regularly reviewed to ensure they remain fit for purpose. Regulatory frameworks may need to adapt to ensure they are continuing to meet public policy objectives in an evolving digital environment. Revoking the rules that are no longer justified is just as important as adopting forward-looking ones.</w:t>
      </w:r>
    </w:p>
    <w:p w14:paraId="398E8A93" w14:textId="77777777" w:rsidR="00450522" w:rsidRPr="001C5CD2" w:rsidRDefault="00450522" w:rsidP="00450522"/>
    <w:p w14:paraId="315B73BA" w14:textId="77777777" w:rsidR="001D350D" w:rsidRPr="001C5CD2" w:rsidRDefault="001D350D" w:rsidP="00FA535A">
      <w:pPr>
        <w:pStyle w:val="Heading2"/>
        <w:spacing w:before="480"/>
      </w:pPr>
      <w:r w:rsidRPr="001C5CD2">
        <w:t>Vectors of regulatory action: Inclusiveness, agility, and resilience</w:t>
      </w:r>
    </w:p>
    <w:p w14:paraId="301A69B4" w14:textId="3A18C205" w:rsidR="00305412" w:rsidRPr="001C5CD2" w:rsidRDefault="00305412" w:rsidP="00453296">
      <w:pPr>
        <w:spacing w:before="240"/>
      </w:pPr>
      <w:r w:rsidRPr="001C5CD2">
        <w:t>T</w:t>
      </w:r>
      <w:r w:rsidR="00A25C8D" w:rsidRPr="001C5CD2">
        <w:t xml:space="preserve">he increasing reliance on digital infrastructure by </w:t>
      </w:r>
      <w:r w:rsidRPr="001C5CD2">
        <w:t>national</w:t>
      </w:r>
      <w:r w:rsidR="00A25C8D" w:rsidRPr="001C5CD2">
        <w:t xml:space="preserve"> economies</w:t>
      </w:r>
      <w:r w:rsidR="00453296" w:rsidRPr="001C5CD2">
        <w:t xml:space="preserve"> and citizens</w:t>
      </w:r>
      <w:r w:rsidR="00A25C8D" w:rsidRPr="001C5CD2">
        <w:t xml:space="preserve"> </w:t>
      </w:r>
      <w:r w:rsidRPr="001C5CD2">
        <w:t>combined with the probability of new global emergencies</w:t>
      </w:r>
      <w:r w:rsidR="00A25C8D" w:rsidRPr="001C5CD2">
        <w:t xml:space="preserve"> </w:t>
      </w:r>
      <w:r w:rsidRPr="001C5CD2">
        <w:t xml:space="preserve">means regulators </w:t>
      </w:r>
      <w:r w:rsidR="00A25C8D" w:rsidRPr="001C5CD2">
        <w:t xml:space="preserve">will need to switch focus beyond regulating within traditional sectoral frameworks to regulatory frameworks which are </w:t>
      </w:r>
      <w:r w:rsidR="006C5114">
        <w:t xml:space="preserve">adaptive, </w:t>
      </w:r>
      <w:r w:rsidR="00C44FF1">
        <w:t xml:space="preserve">collaborative, </w:t>
      </w:r>
      <w:r w:rsidR="00A25C8D" w:rsidRPr="001C5CD2">
        <w:t xml:space="preserve">outcomes-based and technology neutral. </w:t>
      </w:r>
    </w:p>
    <w:p w14:paraId="0470CE96" w14:textId="7421B320" w:rsidR="00A25C8D" w:rsidRPr="001C5CD2" w:rsidRDefault="00305412" w:rsidP="00A25C8D">
      <w:r w:rsidRPr="001C5CD2">
        <w:t xml:space="preserve">We recommend that digital regulation be rooted in the following vectors </w:t>
      </w:r>
      <w:r w:rsidR="00453296" w:rsidRPr="001C5CD2">
        <w:t xml:space="preserve">so the digital transformation can unfold its full potential. </w:t>
      </w:r>
    </w:p>
    <w:p w14:paraId="19FD8ED6" w14:textId="53449584" w:rsidR="00EF1260" w:rsidRPr="001C5CD2" w:rsidRDefault="00453296" w:rsidP="00EF1260">
      <w:pPr>
        <w:pStyle w:val="ListParagraph"/>
        <w:numPr>
          <w:ilvl w:val="0"/>
          <w:numId w:val="6"/>
        </w:numPr>
      </w:pPr>
      <w:r w:rsidRPr="001C5CD2">
        <w:rPr>
          <w:b/>
          <w:bCs/>
        </w:rPr>
        <w:t xml:space="preserve">Consumers are </w:t>
      </w:r>
      <w:r w:rsidR="006C5114">
        <w:rPr>
          <w:b/>
          <w:bCs/>
        </w:rPr>
        <w:t xml:space="preserve">citizens, </w:t>
      </w:r>
      <w:r w:rsidRPr="001C5CD2">
        <w:rPr>
          <w:b/>
          <w:bCs/>
        </w:rPr>
        <w:t>patients</w:t>
      </w:r>
      <w:r w:rsidR="006C5114">
        <w:rPr>
          <w:b/>
          <w:bCs/>
        </w:rPr>
        <w:t>,</w:t>
      </w:r>
      <w:r w:rsidRPr="001C5CD2">
        <w:rPr>
          <w:b/>
          <w:bCs/>
        </w:rPr>
        <w:t xml:space="preserve"> students </w:t>
      </w:r>
      <w:r w:rsidR="006C5114">
        <w:rPr>
          <w:b/>
          <w:bCs/>
        </w:rPr>
        <w:t xml:space="preserve">and </w:t>
      </w:r>
      <w:r w:rsidRPr="001C5CD2">
        <w:rPr>
          <w:b/>
          <w:bCs/>
        </w:rPr>
        <w:t>our families:</w:t>
      </w:r>
      <w:r w:rsidRPr="001C5CD2">
        <w:t xml:space="preserve"> </w:t>
      </w:r>
      <w:r w:rsidR="00EF1260" w:rsidRPr="001C5CD2">
        <w:t>consumer interest and fairness</w:t>
      </w:r>
      <w:r w:rsidRPr="001C5CD2">
        <w:t xml:space="preserve"> are </w:t>
      </w:r>
      <w:r w:rsidR="003C0A2F" w:rsidRPr="001C5CD2">
        <w:t>central to</w:t>
      </w:r>
      <w:r w:rsidRPr="001C5CD2">
        <w:t xml:space="preserve"> digital regulatio</w:t>
      </w:r>
      <w:r w:rsidR="003C0A2F" w:rsidRPr="001C5CD2">
        <w:t xml:space="preserve">n and all regulatory decisions should be taken with consumers in mind, </w:t>
      </w:r>
      <w:r w:rsidR="00EF1260" w:rsidRPr="001C5CD2">
        <w:t xml:space="preserve">from incremental interventions to providing </w:t>
      </w:r>
      <w:r w:rsidRPr="001C5CD2">
        <w:t xml:space="preserve">smooth online experience to </w:t>
      </w:r>
      <w:r w:rsidR="00EF1260" w:rsidRPr="001C5CD2">
        <w:t>effective channels for redress</w:t>
      </w:r>
      <w:r w:rsidR="006C5114">
        <w:t>, including through</w:t>
      </w:r>
      <w:r w:rsidR="00EF1260" w:rsidRPr="001C5CD2">
        <w:t xml:space="preserve"> consumer advocacy bodies</w:t>
      </w:r>
      <w:r w:rsidR="006C5114">
        <w:t>,</w:t>
      </w:r>
      <w:r w:rsidR="00EF1260" w:rsidRPr="001C5CD2">
        <w:t xml:space="preserve"> to consumer education to legal reform. </w:t>
      </w:r>
      <w:r w:rsidR="003C0A2F" w:rsidRPr="001C5CD2">
        <w:t xml:space="preserve"> </w:t>
      </w:r>
    </w:p>
    <w:p w14:paraId="6FF66FD5" w14:textId="77777777" w:rsidR="000D57FB" w:rsidRPr="001C5CD2" w:rsidRDefault="000D57FB" w:rsidP="000D57FB">
      <w:pPr>
        <w:pStyle w:val="ListParagraph"/>
      </w:pPr>
    </w:p>
    <w:p w14:paraId="45048F79" w14:textId="3EB032E7" w:rsidR="00940CC2" w:rsidRPr="0046260C" w:rsidRDefault="00940CC2" w:rsidP="00940CC2">
      <w:pPr>
        <w:pStyle w:val="ListParagraph"/>
        <w:numPr>
          <w:ilvl w:val="0"/>
          <w:numId w:val="5"/>
        </w:numPr>
      </w:pPr>
      <w:r w:rsidRPr="001C5CD2">
        <w:rPr>
          <w:b/>
          <w:bCs/>
        </w:rPr>
        <w:t>Focus on business</w:t>
      </w:r>
      <w:r w:rsidRPr="001C5CD2">
        <w:t xml:space="preserve">: digital regulation should be used </w:t>
      </w:r>
      <w:r w:rsidR="003C0A2F" w:rsidRPr="001C5CD2">
        <w:t xml:space="preserve">as </w:t>
      </w:r>
      <w:r w:rsidRPr="001C5CD2">
        <w:t>a lever for the development of business opportunities geared toward the digital economy</w:t>
      </w:r>
      <w:r w:rsidR="003C0A2F" w:rsidRPr="001C5CD2">
        <w:t xml:space="preserve"> for all kinds and sizes of market players</w:t>
      </w:r>
      <w:r w:rsidR="00060B35">
        <w:t>, including SMEs</w:t>
      </w:r>
      <w:r w:rsidRPr="001C5CD2">
        <w:t xml:space="preserve">. </w:t>
      </w:r>
      <w:r w:rsidR="00EB0AA2" w:rsidRPr="001C5CD2">
        <w:t xml:space="preserve">The policy approaches need to integrate digital technology at the center of the </w:t>
      </w:r>
      <w:r w:rsidR="00060B35">
        <w:t xml:space="preserve">local, </w:t>
      </w:r>
      <w:r w:rsidR="00EB0AA2" w:rsidRPr="001C5CD2">
        <w:t xml:space="preserve">national </w:t>
      </w:r>
      <w:r w:rsidR="003C0A2F" w:rsidRPr="001C5CD2">
        <w:t>and, whenever possible,</w:t>
      </w:r>
      <w:r w:rsidR="00EB0AA2" w:rsidRPr="001C5CD2">
        <w:t xml:space="preserve"> regional development strateg</w:t>
      </w:r>
      <w:r w:rsidR="003C0A2F" w:rsidRPr="001C5CD2">
        <w:t xml:space="preserve">ies </w:t>
      </w:r>
      <w:r w:rsidR="00EB0AA2" w:rsidRPr="001C5CD2">
        <w:t>to stimulate the economy, do business and create value in high-potential sectors</w:t>
      </w:r>
      <w:r w:rsidR="003C0A2F" w:rsidRPr="001C5CD2">
        <w:t xml:space="preserve"> while</w:t>
      </w:r>
      <w:r w:rsidR="00EB0AA2" w:rsidRPr="001C5CD2">
        <w:t xml:space="preserve"> foster</w:t>
      </w:r>
      <w:r w:rsidR="003C0A2F" w:rsidRPr="001C5CD2">
        <w:t>ing</w:t>
      </w:r>
      <w:r w:rsidR="00EB0AA2" w:rsidRPr="001C5CD2">
        <w:t xml:space="preserve"> </w:t>
      </w:r>
      <w:r w:rsidR="00B61AF5">
        <w:t>cross</w:t>
      </w:r>
      <w:r w:rsidR="00EB0AA2" w:rsidRPr="001C5CD2">
        <w:t xml:space="preserve">-sectoral </w:t>
      </w:r>
      <w:r w:rsidR="003C0A2F" w:rsidRPr="001C5CD2">
        <w:t>synergie</w:t>
      </w:r>
      <w:r w:rsidR="00EB0AA2" w:rsidRPr="001C5CD2">
        <w:t>s</w:t>
      </w:r>
      <w:r w:rsidR="00060B35">
        <w:t xml:space="preserve"> as well as </w:t>
      </w:r>
      <w:r w:rsidR="00060B35" w:rsidRPr="0046260C">
        <w:rPr>
          <w:b/>
          <w:bCs/>
        </w:rPr>
        <w:t>connectivity and digitalization of small and medium-sized enterprises (SMEs)</w:t>
      </w:r>
      <w:r w:rsidR="00EB0AA2" w:rsidRPr="0046260C">
        <w:t>.</w:t>
      </w:r>
    </w:p>
    <w:p w14:paraId="5B00FE61" w14:textId="77777777" w:rsidR="00940CC2" w:rsidRPr="001C5CD2" w:rsidRDefault="00940CC2" w:rsidP="00940CC2">
      <w:pPr>
        <w:pStyle w:val="ListParagraph"/>
        <w:rPr>
          <w:b/>
          <w:bCs/>
        </w:rPr>
      </w:pPr>
    </w:p>
    <w:p w14:paraId="659B4D0F" w14:textId="77777777" w:rsidR="00E10942" w:rsidRPr="001C5CD2" w:rsidRDefault="00E10942" w:rsidP="00C56BBE">
      <w:pPr>
        <w:pStyle w:val="ListParagraph"/>
        <w:numPr>
          <w:ilvl w:val="0"/>
          <w:numId w:val="6"/>
        </w:numPr>
      </w:pPr>
      <w:r w:rsidRPr="001C5CD2">
        <w:t xml:space="preserve">Regulation is only needed where there is a </w:t>
      </w:r>
      <w:r w:rsidRPr="001C5CD2">
        <w:rPr>
          <w:b/>
          <w:bCs/>
        </w:rPr>
        <w:t>public policy justification for regulating</w:t>
      </w:r>
      <w:r w:rsidRPr="001C5CD2">
        <w:t xml:space="preserve"> a service, whether through an expansion of existing rules and regulatory regimes or the development of new ones. In the absence of a public policy rationale, regulators and policymakers should allow competition to proceed unfettered.</w:t>
      </w:r>
    </w:p>
    <w:p w14:paraId="1100DC50" w14:textId="77777777" w:rsidR="00E10942" w:rsidRPr="001C5CD2" w:rsidRDefault="00E10942" w:rsidP="00E10942">
      <w:pPr>
        <w:pStyle w:val="ListParagraph"/>
      </w:pPr>
    </w:p>
    <w:p w14:paraId="42DC4A72" w14:textId="27986563" w:rsidR="001249B0" w:rsidRPr="001C5CD2" w:rsidRDefault="00453296" w:rsidP="00C56BBE">
      <w:pPr>
        <w:pStyle w:val="ListParagraph"/>
        <w:numPr>
          <w:ilvl w:val="0"/>
          <w:numId w:val="6"/>
        </w:numPr>
      </w:pPr>
      <w:r w:rsidRPr="001C5CD2">
        <w:rPr>
          <w:b/>
          <w:bCs/>
        </w:rPr>
        <w:t>Data</w:t>
      </w:r>
      <w:r w:rsidR="009174C7" w:rsidRPr="001C5CD2">
        <w:rPr>
          <w:b/>
          <w:bCs/>
        </w:rPr>
        <w:t xml:space="preserve"> shield</w:t>
      </w:r>
      <w:r w:rsidR="003C0A2F" w:rsidRPr="001C5CD2">
        <w:rPr>
          <w:b/>
          <w:bCs/>
        </w:rPr>
        <w:t>ing</w:t>
      </w:r>
      <w:r w:rsidRPr="001C5CD2">
        <w:t xml:space="preserve">: </w:t>
      </w:r>
      <w:r w:rsidR="006156D2">
        <w:t xml:space="preserve">Clear, </w:t>
      </w:r>
      <w:proofErr w:type="gramStart"/>
      <w:r w:rsidR="006156D2">
        <w:t>s</w:t>
      </w:r>
      <w:r w:rsidR="002A43F1" w:rsidRPr="001C5CD2">
        <w:t>trong</w:t>
      </w:r>
      <w:proofErr w:type="gramEnd"/>
      <w:r w:rsidR="00940CC2" w:rsidRPr="001C5CD2">
        <w:t xml:space="preserve"> and enforceable rules </w:t>
      </w:r>
      <w:r w:rsidR="00BC1F3D" w:rsidRPr="001C5CD2">
        <w:t xml:space="preserve">related to data governance can provide adequate shield for digital consumer protection while creating a </w:t>
      </w:r>
      <w:r w:rsidR="006156D2">
        <w:t>predictable</w:t>
      </w:r>
      <w:r w:rsidR="00BC1F3D" w:rsidRPr="001C5CD2">
        <w:t>, structured framework for doing digital business.</w:t>
      </w:r>
      <w:r w:rsidR="006156D2">
        <w:t xml:space="preserve"> State-of-the-art </w:t>
      </w:r>
      <w:r w:rsidR="003C0A2F" w:rsidRPr="001C5CD2">
        <w:t xml:space="preserve">regulatory protocols and </w:t>
      </w:r>
      <w:r w:rsidR="00BC1F3D" w:rsidRPr="001C5CD2">
        <w:t xml:space="preserve">mechanisms can </w:t>
      </w:r>
      <w:r w:rsidR="00BC1F3D" w:rsidRPr="001C5CD2">
        <w:lastRenderedPageBreak/>
        <w:t>go a long way towards enhancing trust in the digital ecosystem, such as the c</w:t>
      </w:r>
      <w:r w:rsidR="001249B0" w:rsidRPr="001C5CD2">
        <w:t xml:space="preserve">ommitment to comply with requirements related to the access to non-personal data </w:t>
      </w:r>
      <w:r w:rsidR="006156D2">
        <w:t>r</w:t>
      </w:r>
      <w:r w:rsidR="001249B0" w:rsidRPr="001C5CD2">
        <w:t xml:space="preserve">etained by </w:t>
      </w:r>
      <w:r w:rsidR="00BC1F3D" w:rsidRPr="001C5CD2">
        <w:t>digital</w:t>
      </w:r>
      <w:r w:rsidR="001249B0" w:rsidRPr="001C5CD2">
        <w:t xml:space="preserve"> platforms, transparency of certain essential algorithms used </w:t>
      </w:r>
      <w:r w:rsidR="003C0A2F" w:rsidRPr="001C5CD2">
        <w:t>by digital services</w:t>
      </w:r>
      <w:r w:rsidR="001249B0" w:rsidRPr="001C5CD2">
        <w:t>, portability of essential data of structuring platforms, interoperability and maintenance of APIs (</w:t>
      </w:r>
      <w:r w:rsidR="006156D2">
        <w:t xml:space="preserve">application </w:t>
      </w:r>
      <w:r w:rsidR="001249B0" w:rsidRPr="001C5CD2">
        <w:t>programming interfaces</w:t>
      </w:r>
      <w:r w:rsidR="00BC1F3D" w:rsidRPr="001C5CD2">
        <w:t>)</w:t>
      </w:r>
      <w:r w:rsidR="001249B0" w:rsidRPr="001C5CD2">
        <w:t xml:space="preserve">. </w:t>
      </w:r>
    </w:p>
    <w:p w14:paraId="2BA2A76B" w14:textId="77777777" w:rsidR="00EF1260" w:rsidRPr="001C5CD2" w:rsidRDefault="00EF1260" w:rsidP="000D57FB">
      <w:pPr>
        <w:pStyle w:val="ListParagraph"/>
      </w:pPr>
    </w:p>
    <w:p w14:paraId="31DDA27A" w14:textId="1F7DC2C7" w:rsidR="00AC563C" w:rsidRPr="001C5CD2" w:rsidRDefault="00555764" w:rsidP="006C6A8D">
      <w:pPr>
        <w:pStyle w:val="ListParagraph"/>
        <w:numPr>
          <w:ilvl w:val="0"/>
          <w:numId w:val="6"/>
        </w:numPr>
      </w:pPr>
      <w:r w:rsidRPr="001C5CD2">
        <w:rPr>
          <w:b/>
          <w:bCs/>
        </w:rPr>
        <w:t>Resetting market definitions</w:t>
      </w:r>
      <w:r w:rsidRPr="001C5CD2">
        <w:t xml:space="preserve">: </w:t>
      </w:r>
      <w:r w:rsidR="00E10942" w:rsidRPr="001C5CD2">
        <w:t xml:space="preserve">regulators may identify new governance challenges and objectives, </w:t>
      </w:r>
      <w:r w:rsidR="00875209" w:rsidRPr="001C5CD2">
        <w:t xml:space="preserve">given that services provided on a global scale are also provided locally. </w:t>
      </w:r>
      <w:r w:rsidR="00E10942" w:rsidRPr="001C5CD2">
        <w:t>T</w:t>
      </w:r>
      <w:r w:rsidRPr="001C5CD2">
        <w:t>he emergence of global</w:t>
      </w:r>
      <w:r w:rsidR="002A43F1" w:rsidRPr="001C5CD2">
        <w:t xml:space="preserve"> </w:t>
      </w:r>
      <w:r w:rsidRPr="001C5CD2">
        <w:t xml:space="preserve">digital platforms </w:t>
      </w:r>
      <w:r w:rsidR="00E10942" w:rsidRPr="001C5CD2">
        <w:t>can</w:t>
      </w:r>
      <w:r w:rsidRPr="001C5CD2">
        <w:t xml:space="preserve"> le</w:t>
      </w:r>
      <w:r w:rsidR="00E10942" w:rsidRPr="001C5CD2">
        <w:t>a</w:t>
      </w:r>
      <w:r w:rsidRPr="001C5CD2">
        <w:t>d to extend</w:t>
      </w:r>
      <w:r w:rsidR="00E10942" w:rsidRPr="001C5CD2">
        <w:t>ing</w:t>
      </w:r>
      <w:r w:rsidRPr="001C5CD2">
        <w:t xml:space="preserve"> the scope of </w:t>
      </w:r>
      <w:r w:rsidR="00E10942" w:rsidRPr="001C5CD2">
        <w:t>markets</w:t>
      </w:r>
      <w:r w:rsidRPr="001C5CD2">
        <w:t xml:space="preserve"> beyond the electronic communications sector. New models of ex-ante regulation for such platforms can be designed to preserve the open internet at all levels, from access to services to user devices to content generation. In doing so, due attention should be given to only use regulation where and when needed</w:t>
      </w:r>
      <w:r w:rsidR="005D77D1" w:rsidRPr="001C5CD2">
        <w:t>,</w:t>
      </w:r>
      <w:r w:rsidRPr="001C5CD2">
        <w:t xml:space="preserve"> and prefer </w:t>
      </w:r>
      <w:r w:rsidR="00E10942" w:rsidRPr="001C5CD2">
        <w:t>preventive</w:t>
      </w:r>
      <w:r w:rsidRPr="001C5CD2">
        <w:t xml:space="preserve"> measures</w:t>
      </w:r>
      <w:r w:rsidR="00E10942" w:rsidRPr="001C5CD2">
        <w:t>, to the extent possible</w:t>
      </w:r>
      <w:r w:rsidRPr="001C5CD2">
        <w:t xml:space="preserve">. </w:t>
      </w:r>
      <w:r w:rsidR="00E10942" w:rsidRPr="001C5CD2">
        <w:br/>
      </w:r>
    </w:p>
    <w:p w14:paraId="3D501949" w14:textId="04894F38" w:rsidR="00CC3A9A" w:rsidRPr="001C5CD2" w:rsidRDefault="002368D4" w:rsidP="00450522">
      <w:pPr>
        <w:pStyle w:val="ListParagraph"/>
        <w:numPr>
          <w:ilvl w:val="0"/>
          <w:numId w:val="6"/>
        </w:numPr>
      </w:pPr>
      <w:r w:rsidRPr="001C5CD2">
        <w:rPr>
          <w:b/>
          <w:bCs/>
        </w:rPr>
        <w:t>Meaningful connectivity for all</w:t>
      </w:r>
      <w:r w:rsidRPr="001C5CD2">
        <w:t xml:space="preserve">: </w:t>
      </w:r>
      <w:r w:rsidR="00AC563C" w:rsidRPr="001C5CD2">
        <w:t xml:space="preserve">targeted </w:t>
      </w:r>
      <w:r w:rsidR="00060B35">
        <w:t xml:space="preserve">and innovative </w:t>
      </w:r>
      <w:r w:rsidR="00AC563C" w:rsidRPr="001C5CD2">
        <w:t>strategies to increase universal broadband access and lower the costs of communication will narrow national market gaps</w:t>
      </w:r>
      <w:r w:rsidR="00285652">
        <w:t>, while also addressing trust, security and safety of infrastructure and services</w:t>
      </w:r>
      <w:r w:rsidR="00AC563C" w:rsidRPr="001C5CD2">
        <w:t>. R</w:t>
      </w:r>
      <w:r w:rsidRPr="001C5CD2">
        <w:t xml:space="preserve">egulatory initiatives can contribute to </w:t>
      </w:r>
      <w:r w:rsidR="00E10942" w:rsidRPr="001C5CD2">
        <w:t xml:space="preserve">realizing SDGs by </w:t>
      </w:r>
      <w:r w:rsidRPr="001C5CD2">
        <w:t>bridging digital divides more quickly, not only in terms of inequality of access</w:t>
      </w:r>
      <w:r w:rsidR="00981CCF">
        <w:t xml:space="preserve"> to infrastructure</w:t>
      </w:r>
      <w:r w:rsidRPr="001C5CD2">
        <w:t xml:space="preserve"> but also digital literacy and meaningful content and opportunities. Meaningful </w:t>
      </w:r>
      <w:r w:rsidR="00E10942" w:rsidRPr="001C5CD2">
        <w:t xml:space="preserve">digital </w:t>
      </w:r>
      <w:r w:rsidRPr="001C5CD2">
        <w:t>connectivity is an equalizer that bridges social and economic divides, such as in education, health, finance</w:t>
      </w:r>
      <w:r w:rsidR="00981CCF">
        <w:t xml:space="preserve">, but only if it is recognized </w:t>
      </w:r>
      <w:r w:rsidRPr="001C5CD2">
        <w:t>as a universal right.</w:t>
      </w:r>
      <w:r w:rsidR="00450522" w:rsidRPr="001C5CD2">
        <w:br/>
      </w:r>
    </w:p>
    <w:p w14:paraId="59A6C436" w14:textId="4CA39EE6" w:rsidR="00A25C8D" w:rsidRPr="001C5CD2" w:rsidRDefault="00D23908" w:rsidP="00E063AA">
      <w:pPr>
        <w:pStyle w:val="ListParagraph"/>
        <w:numPr>
          <w:ilvl w:val="0"/>
          <w:numId w:val="5"/>
        </w:numPr>
      </w:pPr>
      <w:r w:rsidRPr="001C5CD2">
        <w:rPr>
          <w:b/>
          <w:bCs/>
        </w:rPr>
        <w:t>As good as gold</w:t>
      </w:r>
      <w:r w:rsidR="00CC3A9A" w:rsidRPr="001C5CD2">
        <w:rPr>
          <w:b/>
          <w:bCs/>
        </w:rPr>
        <w:t>:</w:t>
      </w:r>
      <w:r w:rsidR="00CC3A9A" w:rsidRPr="001C5CD2">
        <w:t xml:space="preserve"> Mechanisms for making markets easier to navigate and the simplification of regulatory rules and standards increase the trust in regulatory governance and facilitate the entry of fresh investment flows</w:t>
      </w:r>
      <w:r w:rsidR="00060B35">
        <w:t xml:space="preserve"> and new players</w:t>
      </w:r>
      <w:r w:rsidR="00CC3A9A" w:rsidRPr="001C5CD2">
        <w:t xml:space="preserve"> across industries and borders and the buildout of sufficient, resilient and open infrastructure. General authorization regimes, </w:t>
      </w:r>
      <w:r w:rsidR="008E6A39">
        <w:t>efficient and effective</w:t>
      </w:r>
      <w:r w:rsidR="008E6A39" w:rsidRPr="001C5CD2">
        <w:t xml:space="preserve"> </w:t>
      </w:r>
      <w:r w:rsidR="00CC3A9A" w:rsidRPr="001C5CD2">
        <w:t>mechanisms for spectrum management</w:t>
      </w:r>
      <w:r w:rsidR="00060B35">
        <w:t xml:space="preserve">, infrastructure sharing, </w:t>
      </w:r>
      <w:r w:rsidR="00CC3A9A" w:rsidRPr="001C5CD2">
        <w:t>and general competition laws have proved as catalysts of digital transformation</w:t>
      </w:r>
      <w:r w:rsidRPr="001C5CD2">
        <w:t xml:space="preserve"> and remain the basis for future regulations. </w:t>
      </w:r>
    </w:p>
    <w:p w14:paraId="6CB0DCE5" w14:textId="77777777" w:rsidR="00C51176" w:rsidRPr="001C5CD2" w:rsidRDefault="00C51176" w:rsidP="00305412">
      <w:r w:rsidRPr="001C5CD2">
        <w:t xml:space="preserve">In the aftermath of the COVID-19 global crisis, policy realignment and regulatory repatterning may need to take place. </w:t>
      </w:r>
    </w:p>
    <w:p w14:paraId="2A7A3A03" w14:textId="4CC4F6E4" w:rsidR="00305412" w:rsidRPr="001C5CD2" w:rsidRDefault="00C51176" w:rsidP="00305412">
      <w:r w:rsidRPr="001C5CD2">
        <w:t>We believe that digital regulation can</w:t>
      </w:r>
      <w:r w:rsidR="00305412" w:rsidRPr="001C5CD2">
        <w:t xml:space="preserve"> boost the readiness of digital </w:t>
      </w:r>
      <w:r w:rsidR="004D1B6F" w:rsidRPr="001C5CD2">
        <w:t>markets</w:t>
      </w:r>
      <w:r w:rsidR="00305412" w:rsidRPr="001C5CD2">
        <w:t xml:space="preserve"> to face unexpected events and emergencies and deliver up to the expectations despite the odds</w:t>
      </w:r>
      <w:r w:rsidRPr="001C5CD2">
        <w:t xml:space="preserve">, notably through the following </w:t>
      </w:r>
      <w:r w:rsidR="004D1B6F" w:rsidRPr="001C5CD2">
        <w:t>targeted reforms</w:t>
      </w:r>
      <w:r w:rsidRPr="001C5CD2">
        <w:t>.</w:t>
      </w:r>
    </w:p>
    <w:p w14:paraId="097AADC0" w14:textId="22B0C786" w:rsidR="00AC563C" w:rsidRPr="001C5CD2" w:rsidRDefault="00E063AA" w:rsidP="00AC563C">
      <w:pPr>
        <w:pStyle w:val="ListParagraph"/>
        <w:numPr>
          <w:ilvl w:val="0"/>
          <w:numId w:val="5"/>
        </w:numPr>
      </w:pPr>
      <w:r w:rsidRPr="001C5CD2">
        <w:rPr>
          <w:b/>
          <w:bCs/>
        </w:rPr>
        <w:t>Agile</w:t>
      </w:r>
      <w:r w:rsidR="001249B0" w:rsidRPr="001C5CD2">
        <w:rPr>
          <w:b/>
          <w:bCs/>
        </w:rPr>
        <w:t xml:space="preserve"> framework for competition in digital markets</w:t>
      </w:r>
      <w:r w:rsidR="001249B0" w:rsidRPr="001C5CD2">
        <w:t xml:space="preserve">: </w:t>
      </w:r>
      <w:r w:rsidR="004D1B6F" w:rsidRPr="001C5CD2">
        <w:t xml:space="preserve">since </w:t>
      </w:r>
      <w:r w:rsidR="00CC3A9A" w:rsidRPr="001C5CD2">
        <w:t>the strengthening of the market power</w:t>
      </w:r>
      <w:r w:rsidR="001249B0" w:rsidRPr="001C5CD2">
        <w:t xml:space="preserve"> of global digital platforms can lead to</w:t>
      </w:r>
      <w:r w:rsidR="00CC3A9A" w:rsidRPr="001C5CD2">
        <w:t xml:space="preserve"> </w:t>
      </w:r>
      <w:r w:rsidR="001249B0" w:rsidRPr="001C5CD2">
        <w:t>stifling p</w:t>
      </w:r>
      <w:r w:rsidR="00CC3A9A" w:rsidRPr="001C5CD2">
        <w:t>otential sources of innovation or the restriction of consumers' freedom of choice</w:t>
      </w:r>
      <w:r w:rsidR="004D1B6F" w:rsidRPr="001C5CD2">
        <w:t>, a</w:t>
      </w:r>
      <w:r w:rsidR="00CC3A9A" w:rsidRPr="001C5CD2">
        <w:t xml:space="preserve"> new agile regulatory response with emphasis on prevention</w:t>
      </w:r>
      <w:r w:rsidR="001249B0" w:rsidRPr="001C5CD2">
        <w:t xml:space="preserve"> can be based on the </w:t>
      </w:r>
      <w:r w:rsidR="00CC3A9A" w:rsidRPr="001C5CD2">
        <w:t>real-time monitoring of activity</w:t>
      </w:r>
      <w:r w:rsidR="001249B0" w:rsidRPr="001C5CD2">
        <w:t xml:space="preserve"> as well as t</w:t>
      </w:r>
      <w:r w:rsidR="00CC3A9A" w:rsidRPr="001C5CD2">
        <w:t>argeted, proportionate and timely remedies</w:t>
      </w:r>
      <w:r w:rsidR="001249B0" w:rsidRPr="001C5CD2">
        <w:t xml:space="preserve">. </w:t>
      </w:r>
      <w:r w:rsidR="00F84921" w:rsidRPr="001C5CD2">
        <w:t xml:space="preserve">Regulators should </w:t>
      </w:r>
      <w:r w:rsidR="004D1B6F" w:rsidRPr="001C5CD2">
        <w:t>meanwhile</w:t>
      </w:r>
      <w:r w:rsidR="00F84921" w:rsidRPr="001C5CD2">
        <w:t xml:space="preserve"> support innovation and new business</w:t>
      </w:r>
      <w:r w:rsidR="00285652">
        <w:t xml:space="preserve"> and licensing</w:t>
      </w:r>
      <w:r w:rsidR="00F84921" w:rsidRPr="001C5CD2">
        <w:t xml:space="preserve"> models that facilitate</w:t>
      </w:r>
      <w:r w:rsidR="00060B35">
        <w:t xml:space="preserve"> affordable</w:t>
      </w:r>
      <w:r w:rsidR="00F84921" w:rsidRPr="001C5CD2">
        <w:t xml:space="preserve"> access to </w:t>
      </w:r>
      <w:r w:rsidR="00060B35">
        <w:t xml:space="preserve">and investment in </w:t>
      </w:r>
      <w:r w:rsidR="00F84921" w:rsidRPr="001C5CD2">
        <w:t>health, enterprise, and educational services over digital platforms</w:t>
      </w:r>
      <w:r w:rsidR="00981CCF">
        <w:t>, especially</w:t>
      </w:r>
      <w:r w:rsidR="00F84921" w:rsidRPr="001C5CD2">
        <w:t xml:space="preserve"> as the world adapts to, and recovers from, the current health pandemic.</w:t>
      </w:r>
    </w:p>
    <w:p w14:paraId="03DC0985" w14:textId="77777777" w:rsidR="000E5AA4" w:rsidRPr="001C5CD2" w:rsidRDefault="000E5AA4" w:rsidP="000E5AA4">
      <w:pPr>
        <w:pStyle w:val="ListParagraph"/>
      </w:pPr>
    </w:p>
    <w:p w14:paraId="3C9FACAC" w14:textId="3A59DEC6" w:rsidR="00CC3A9A" w:rsidRPr="0046260C" w:rsidRDefault="00E732AB" w:rsidP="000E5AA4">
      <w:pPr>
        <w:pStyle w:val="ListParagraph"/>
        <w:numPr>
          <w:ilvl w:val="0"/>
          <w:numId w:val="5"/>
        </w:numPr>
      </w:pPr>
      <w:r w:rsidRPr="0046260C">
        <w:rPr>
          <w:b/>
          <w:bCs/>
        </w:rPr>
        <w:lastRenderedPageBreak/>
        <w:t>Voluntary and enforceable c</w:t>
      </w:r>
      <w:r w:rsidR="00CC3A9A" w:rsidRPr="0046260C">
        <w:rPr>
          <w:b/>
          <w:bCs/>
        </w:rPr>
        <w:t>ode</w:t>
      </w:r>
      <w:r w:rsidR="001249B0" w:rsidRPr="0046260C">
        <w:rPr>
          <w:b/>
          <w:bCs/>
        </w:rPr>
        <w:t>s of conduct</w:t>
      </w:r>
      <w:r w:rsidR="001249B0" w:rsidRPr="0046260C">
        <w:t xml:space="preserve">: in important areas such as </w:t>
      </w:r>
      <w:r w:rsidR="000E5AA4" w:rsidRPr="0046260C">
        <w:t xml:space="preserve">online content moderation over digital platforms, </w:t>
      </w:r>
      <w:r w:rsidR="00CC3A9A" w:rsidRPr="0046260C">
        <w:t>address</w:t>
      </w:r>
      <w:r w:rsidR="000E5AA4" w:rsidRPr="0046260C">
        <w:t>ing</w:t>
      </w:r>
      <w:r w:rsidR="00CC3A9A" w:rsidRPr="0046260C">
        <w:t xml:space="preserve"> misinformation and </w:t>
      </w:r>
      <w:r w:rsidR="000E5AA4" w:rsidRPr="0046260C">
        <w:t xml:space="preserve">online </w:t>
      </w:r>
      <w:r w:rsidR="00CC3A9A" w:rsidRPr="0046260C">
        <w:t>news quality</w:t>
      </w:r>
      <w:r w:rsidR="000E5AA4" w:rsidRPr="0046260C">
        <w:t xml:space="preserve">, </w:t>
      </w:r>
      <w:r w:rsidR="00285652" w:rsidRPr="0046260C">
        <w:t xml:space="preserve">and child online protection, </w:t>
      </w:r>
      <w:r w:rsidR="000E5AA4" w:rsidRPr="0046260C">
        <w:t xml:space="preserve">digital </w:t>
      </w:r>
      <w:r w:rsidR="00CC3A9A" w:rsidRPr="0046260C">
        <w:t xml:space="preserve">platforms </w:t>
      </w:r>
      <w:r w:rsidR="000E5AA4" w:rsidRPr="0046260C">
        <w:t>are encouraged to</w:t>
      </w:r>
      <w:r w:rsidR="00CC3A9A" w:rsidRPr="0046260C">
        <w:t xml:space="preserve"> adopt an outcomes-based approach and regulators </w:t>
      </w:r>
      <w:r w:rsidR="000E5AA4" w:rsidRPr="0046260C">
        <w:t>should</w:t>
      </w:r>
      <w:r w:rsidR="00CC3A9A" w:rsidRPr="0046260C">
        <w:t xml:space="preserve"> guide and support them throughout the process of creating the code</w:t>
      </w:r>
      <w:r w:rsidR="000E5AA4" w:rsidRPr="0046260C">
        <w:t>s, their</w:t>
      </w:r>
      <w:r w:rsidR="00CC3A9A" w:rsidRPr="0046260C">
        <w:t xml:space="preserve"> implementation</w:t>
      </w:r>
      <w:r w:rsidR="000E5AA4" w:rsidRPr="0046260C">
        <w:t xml:space="preserve"> and enforcement</w:t>
      </w:r>
      <w:r w:rsidR="00CC3A9A" w:rsidRPr="0046260C">
        <w:t xml:space="preserve">. Media and digital literacy </w:t>
      </w:r>
      <w:r w:rsidR="000E5AA4" w:rsidRPr="0046260C">
        <w:t xml:space="preserve">and awareness efforts </w:t>
      </w:r>
      <w:r w:rsidR="00CC3A9A" w:rsidRPr="0046260C">
        <w:t xml:space="preserve">should </w:t>
      </w:r>
      <w:r w:rsidR="000E5AA4" w:rsidRPr="0046260C">
        <w:t xml:space="preserve">likewise </w:t>
      </w:r>
      <w:r w:rsidR="00CC3A9A" w:rsidRPr="0046260C">
        <w:t>be central to navigating the challenges around services that are enabled by the digital transformation.</w:t>
      </w:r>
      <w:r w:rsidR="00940CC2" w:rsidRPr="0046260C">
        <w:br/>
      </w:r>
    </w:p>
    <w:p w14:paraId="3729613A" w14:textId="617B8A50" w:rsidR="000E5AA4" w:rsidRPr="001C5CD2" w:rsidRDefault="000E5AA4" w:rsidP="000E5AA4">
      <w:pPr>
        <w:pStyle w:val="ListParagraph"/>
        <w:numPr>
          <w:ilvl w:val="0"/>
          <w:numId w:val="5"/>
        </w:numPr>
      </w:pPr>
      <w:r w:rsidRPr="001C5CD2">
        <w:rPr>
          <w:b/>
          <w:bCs/>
        </w:rPr>
        <w:t>Upgrading national emergency plans</w:t>
      </w:r>
      <w:r w:rsidRPr="001C5CD2">
        <w:t xml:space="preserve">: </w:t>
      </w:r>
      <w:r w:rsidR="00E063AA" w:rsidRPr="001C5CD2">
        <w:t xml:space="preserve">Emergency plans provide for </w:t>
      </w:r>
      <w:r w:rsidR="00E063AA" w:rsidRPr="001C5CD2">
        <w:rPr>
          <w:rFonts w:cs="Calibri"/>
          <w:shd w:val="clear" w:color="auto" w:fill="FFFFFF"/>
        </w:rPr>
        <w:t>better preparedness for and decision-making during crises.</w:t>
      </w:r>
      <w:r w:rsidR="00E063AA" w:rsidRPr="001C5CD2">
        <w:t xml:space="preserve"> </w:t>
      </w:r>
      <w:r w:rsidRPr="001C5CD2">
        <w:t>Such plans are key to a</w:t>
      </w:r>
      <w:r w:rsidR="00453296" w:rsidRPr="001C5CD2">
        <w:t xml:space="preserve">nticipating </w:t>
      </w:r>
      <w:r w:rsidRPr="001C5CD2">
        <w:t>future</w:t>
      </w:r>
      <w:r w:rsidR="00453296" w:rsidRPr="001C5CD2">
        <w:t xml:space="preserve"> unexpected </w:t>
      </w:r>
      <w:r w:rsidRPr="001C5CD2">
        <w:t>events</w:t>
      </w:r>
      <w:r w:rsidR="00453296" w:rsidRPr="001C5CD2">
        <w:t xml:space="preserve"> and their </w:t>
      </w:r>
      <w:r w:rsidRPr="001C5CD2">
        <w:t xml:space="preserve">negative </w:t>
      </w:r>
      <w:r w:rsidR="00453296" w:rsidRPr="001C5CD2">
        <w:t>impacts</w:t>
      </w:r>
      <w:r w:rsidRPr="001C5CD2">
        <w:t xml:space="preserve"> and should focus on both urban and rural areas</w:t>
      </w:r>
      <w:r w:rsidR="004476BF" w:rsidRPr="001C5CD2">
        <w:t xml:space="preserve"> through a multi-technology approach</w:t>
      </w:r>
      <w:r w:rsidRPr="001C5CD2">
        <w:t>.</w:t>
      </w:r>
      <w:r w:rsidR="004476BF" w:rsidRPr="001C5CD2">
        <w:t xml:space="preserve"> </w:t>
      </w:r>
      <w:r w:rsidRPr="001C5CD2">
        <w:t>Bilateral, regional and international cooperation is required to ensure business and public service continuity and underpin national recovery efforts.</w:t>
      </w:r>
    </w:p>
    <w:p w14:paraId="6E6C786B" w14:textId="77777777" w:rsidR="00453296" w:rsidRPr="001C5CD2" w:rsidRDefault="00453296" w:rsidP="000E5AA4">
      <w:pPr>
        <w:pStyle w:val="ListParagraph"/>
      </w:pPr>
    </w:p>
    <w:p w14:paraId="77C5C817" w14:textId="517E0B9A" w:rsidR="00555764" w:rsidRPr="0046260C" w:rsidRDefault="000E5AA4" w:rsidP="00F84921">
      <w:pPr>
        <w:pStyle w:val="ListParagraph"/>
        <w:numPr>
          <w:ilvl w:val="0"/>
          <w:numId w:val="5"/>
        </w:numPr>
      </w:pPr>
      <w:r w:rsidRPr="001C5CD2">
        <w:rPr>
          <w:b/>
          <w:bCs/>
        </w:rPr>
        <w:t>Spectrum</w:t>
      </w:r>
      <w:r w:rsidR="00E063AA" w:rsidRPr="001C5CD2">
        <w:rPr>
          <w:b/>
          <w:bCs/>
        </w:rPr>
        <w:t xml:space="preserve"> reform</w:t>
      </w:r>
      <w:r w:rsidRPr="001C5CD2">
        <w:t xml:space="preserve">: </w:t>
      </w:r>
      <w:r w:rsidR="00555764" w:rsidRPr="001C5CD2">
        <w:t xml:space="preserve">spectrum managers need to </w:t>
      </w:r>
      <w:r w:rsidR="00F84921" w:rsidRPr="001C5CD2">
        <w:t xml:space="preserve">be </w:t>
      </w:r>
      <w:r w:rsidR="00555764" w:rsidRPr="001C5CD2">
        <w:t xml:space="preserve">able to </w:t>
      </w:r>
      <w:r w:rsidR="009C7A34">
        <w:t>respond timely</w:t>
      </w:r>
      <w:r w:rsidR="00555764" w:rsidRPr="001C5CD2">
        <w:t xml:space="preserve">, making spectrum available </w:t>
      </w:r>
      <w:r w:rsidR="009C7A34">
        <w:t xml:space="preserve">for wireless applications </w:t>
      </w:r>
      <w:r w:rsidR="00555764" w:rsidRPr="001C5CD2">
        <w:t xml:space="preserve">when and where it is needed as easily as possible, giving spectrum users and innovators flexibility to provide services that will deliver the greatest benefits. An agile and flexible </w:t>
      </w:r>
      <w:r w:rsidR="00F84921" w:rsidRPr="001C5CD2">
        <w:t>authorization</w:t>
      </w:r>
      <w:r w:rsidR="00555764" w:rsidRPr="001C5CD2">
        <w:t xml:space="preserve"> framework, using technology- and</w:t>
      </w:r>
      <w:r w:rsidR="009C7A34">
        <w:t>/or</w:t>
      </w:r>
      <w:r w:rsidR="00555764" w:rsidRPr="001C5CD2">
        <w:t xml:space="preserve"> service-neutral approach</w:t>
      </w:r>
      <w:r w:rsidR="009C7A34">
        <w:t>es, where and as appropriate, may</w:t>
      </w:r>
      <w:r w:rsidR="00555764" w:rsidRPr="001C5CD2">
        <w:t xml:space="preserve"> enable </w:t>
      </w:r>
      <w:r w:rsidR="009C7A34">
        <w:t>service providers</w:t>
      </w:r>
      <w:r w:rsidR="00555764" w:rsidRPr="001C5CD2">
        <w:t xml:space="preserve"> to deploy equipment </w:t>
      </w:r>
      <w:r w:rsidR="005D77D1" w:rsidRPr="001C5CD2">
        <w:t>quickly and smoothly</w:t>
      </w:r>
      <w:r w:rsidR="009C7A34">
        <w:t xml:space="preserve"> and evolve their networks</w:t>
      </w:r>
      <w:r w:rsidR="00555764" w:rsidRPr="001C5CD2">
        <w:t>.</w:t>
      </w:r>
      <w:r w:rsidR="00F84921" w:rsidRPr="001C5CD2">
        <w:t xml:space="preserve"> Ensuring sufficient unlicensed spectrum is available drives innovation and investment in a range of technologies that can complement and support networks and expand broadband access at low cost.</w:t>
      </w:r>
      <w:r w:rsidR="00F84921" w:rsidRPr="008240F9">
        <w:t xml:space="preserve"> </w:t>
      </w:r>
      <w:r w:rsidR="009C7A34">
        <w:t>While regulatory reform for the purpose of bringing new radio systems and services to market is a laudable objective, spectrum reform should also be focused on ensuring that access to broadband service is provided affordably to those areas and populations that have been traditionally unserved or underserved.</w:t>
      </w:r>
    </w:p>
    <w:p w14:paraId="1465C117" w14:textId="10F4A292" w:rsidR="001D350D" w:rsidRPr="001C5CD2" w:rsidRDefault="001D350D" w:rsidP="00FA535A">
      <w:pPr>
        <w:pStyle w:val="Heading2"/>
        <w:spacing w:before="480"/>
      </w:pPr>
      <w:r w:rsidRPr="001C5CD2">
        <w:t>Collaboration across sectors, cooperation across borders, and engagement across the board</w:t>
      </w:r>
    </w:p>
    <w:p w14:paraId="70C408B6" w14:textId="7FF7306B" w:rsidR="00305412" w:rsidRPr="001C5CD2" w:rsidRDefault="00305412" w:rsidP="009174C7">
      <w:pPr>
        <w:spacing w:before="240"/>
      </w:pPr>
      <w:r w:rsidRPr="001C5CD2">
        <w:t xml:space="preserve">Increasing </w:t>
      </w:r>
      <w:r w:rsidR="009174C7" w:rsidRPr="001C5CD2">
        <w:t>globalization</w:t>
      </w:r>
      <w:r w:rsidRPr="001C5CD2">
        <w:t xml:space="preserve"> of markets and blurring of traditional sectoral boundaries will mean that international and inter-governmental cooperation and collaboration are integral in ensuring our regulatory frameworks can adapt and respond to new and emerging regulatory challenges. </w:t>
      </w:r>
    </w:p>
    <w:p w14:paraId="40BB6950" w14:textId="712AE72B" w:rsidR="00305412" w:rsidRPr="001C5CD2" w:rsidRDefault="00883333" w:rsidP="00FA535A">
      <w:pPr>
        <w:spacing w:before="240"/>
      </w:pPr>
      <w:r w:rsidRPr="001C5CD2">
        <w:t xml:space="preserve">Public policies have started to change focus from a single sector to the economy and society, underpinned by digital transformation. </w:t>
      </w:r>
      <w:r w:rsidR="00EB0AA2" w:rsidRPr="001C5CD2">
        <w:t xml:space="preserve">ICT regulators and </w:t>
      </w:r>
      <w:proofErr w:type="gramStart"/>
      <w:r w:rsidR="00EB0AA2" w:rsidRPr="001C5CD2">
        <w:t>policy-makers</w:t>
      </w:r>
      <w:proofErr w:type="gramEnd"/>
      <w:r w:rsidR="00EB0AA2" w:rsidRPr="001C5CD2">
        <w:t xml:space="preserve"> are under increasing pressure to connect with peers </w:t>
      </w:r>
      <w:r w:rsidRPr="001C5CD2">
        <w:t xml:space="preserve">and players </w:t>
      </w:r>
      <w:r w:rsidR="00EB0AA2" w:rsidRPr="001C5CD2">
        <w:t>across all economic sectors to leverage digital transformation as an engine for sustainable development and achieving SDGs.</w:t>
      </w:r>
    </w:p>
    <w:p w14:paraId="692080AE" w14:textId="6D3ABEF0" w:rsidR="00AC563C" w:rsidRPr="001C5CD2" w:rsidRDefault="008240F9" w:rsidP="00FA535A">
      <w:pPr>
        <w:spacing w:before="240"/>
      </w:pPr>
      <w:r>
        <w:t>5</w:t>
      </w:r>
      <w:r w:rsidRPr="006F4D3A">
        <w:rPr>
          <w:vertAlign w:val="superscript"/>
        </w:rPr>
        <w:t>th</w:t>
      </w:r>
      <w:r>
        <w:t xml:space="preserve"> generation c</w:t>
      </w:r>
      <w:r w:rsidR="00AC563C" w:rsidRPr="001C5CD2">
        <w:t xml:space="preserve">ollaborative regulation underpinned by solid regulatory principles will promote certainty which is key if regulation is to continue to </w:t>
      </w:r>
      <w:r w:rsidR="00542A8A">
        <w:t xml:space="preserve">attract investment and </w:t>
      </w:r>
      <w:r w:rsidR="00AC563C" w:rsidRPr="001C5CD2">
        <w:t>foster the innovation that has hitherto defined the digital economy.</w:t>
      </w:r>
    </w:p>
    <w:p w14:paraId="38EBF2E2" w14:textId="1E699629" w:rsidR="00872E93" w:rsidRPr="001C5CD2" w:rsidRDefault="007848DE" w:rsidP="001D350D">
      <w:r w:rsidRPr="001C5CD2">
        <w:t xml:space="preserve">We therefore consider the following areas </w:t>
      </w:r>
      <w:r w:rsidR="00EE1833" w:rsidRPr="001C5CD2">
        <w:t>essential</w:t>
      </w:r>
      <w:r w:rsidRPr="001C5CD2">
        <w:t xml:space="preserve"> to the success of regulatory collaboration and response.</w:t>
      </w:r>
    </w:p>
    <w:p w14:paraId="51A4AD6B" w14:textId="06A957D5" w:rsidR="00480802" w:rsidRPr="001C5CD2" w:rsidRDefault="00480802" w:rsidP="00480802">
      <w:pPr>
        <w:pStyle w:val="ListParagraph"/>
        <w:numPr>
          <w:ilvl w:val="0"/>
          <w:numId w:val="4"/>
        </w:numPr>
      </w:pPr>
      <w:r w:rsidRPr="001C5CD2">
        <w:rPr>
          <w:b/>
          <w:bCs/>
        </w:rPr>
        <w:lastRenderedPageBreak/>
        <w:t>Legal capacity for joint action</w:t>
      </w:r>
      <w:r w:rsidRPr="001C5CD2">
        <w:t xml:space="preserve"> - The outcomes resulting from collaborative regulation are likely to be meaningful, effective and well considered with fewer unintended negative consequences when they are based on sound legal processes and institutional frameworks</w:t>
      </w:r>
      <w:r w:rsidR="00417688">
        <w:t xml:space="preserve"> and mandates</w:t>
      </w:r>
      <w:r w:rsidRPr="001C5CD2">
        <w:t>. Memoranda of Understanding or similar binding acts are particularly useful in formalizing the grounds for collaboration, defining roles, mechanisms, and outcomes of collaboration.</w:t>
      </w:r>
      <w:r w:rsidRPr="001C5CD2">
        <w:br/>
      </w:r>
    </w:p>
    <w:p w14:paraId="2F9ED286" w14:textId="140D78DC" w:rsidR="004147EB" w:rsidRPr="001C5CD2" w:rsidRDefault="00BF1DCB" w:rsidP="00E117C9">
      <w:pPr>
        <w:pStyle w:val="ListParagraph"/>
        <w:numPr>
          <w:ilvl w:val="0"/>
          <w:numId w:val="4"/>
        </w:numPr>
      </w:pPr>
      <w:r w:rsidRPr="001C5CD2">
        <w:rPr>
          <w:b/>
          <w:bCs/>
        </w:rPr>
        <w:t>Uniting fragmented efforts around a common cause, aligning actions and multiplying consumer and business outcomes</w:t>
      </w:r>
      <w:r w:rsidRPr="001C5CD2">
        <w:t>: t</w:t>
      </w:r>
      <w:r w:rsidR="003759FD" w:rsidRPr="001C5CD2">
        <w:t xml:space="preserve">he </w:t>
      </w:r>
      <w:r w:rsidR="007848DE" w:rsidRPr="001C5CD2">
        <w:t xml:space="preserve">ICT regulator has a central </w:t>
      </w:r>
      <w:r w:rsidR="003759FD" w:rsidRPr="001C5CD2">
        <w:t xml:space="preserve">role in facilitating access to resources </w:t>
      </w:r>
      <w:r w:rsidR="007848DE" w:rsidRPr="001C5CD2">
        <w:t xml:space="preserve">for emergencies </w:t>
      </w:r>
      <w:r w:rsidR="003759FD" w:rsidRPr="001C5CD2">
        <w:t>(</w:t>
      </w:r>
      <w:r w:rsidR="007848DE" w:rsidRPr="001C5CD2">
        <w:t xml:space="preserve">such as </w:t>
      </w:r>
      <w:r w:rsidR="003759FD" w:rsidRPr="001C5CD2">
        <w:t xml:space="preserve">frequency spectrum, </w:t>
      </w:r>
      <w:r w:rsidR="007848DE" w:rsidRPr="001C5CD2">
        <w:t xml:space="preserve">Internet </w:t>
      </w:r>
      <w:r w:rsidR="003759FD" w:rsidRPr="001C5CD2">
        <w:t>bandwidth, equipment</w:t>
      </w:r>
      <w:r w:rsidR="007848DE" w:rsidRPr="001C5CD2">
        <w:t xml:space="preserve"> deployment</w:t>
      </w:r>
      <w:r w:rsidR="00060B35">
        <w:t xml:space="preserve"> and sharing of infrastructure</w:t>
      </w:r>
      <w:r w:rsidR="003759FD" w:rsidRPr="001C5CD2">
        <w:t xml:space="preserve">) but also </w:t>
      </w:r>
      <w:r w:rsidR="007848DE" w:rsidRPr="001C5CD2">
        <w:t xml:space="preserve">in the continuing </w:t>
      </w:r>
      <w:r w:rsidR="003759FD" w:rsidRPr="001C5CD2">
        <w:t>coordination with sectors such as health, government, education and finance to take charge of the needs of citizens</w:t>
      </w:r>
      <w:r w:rsidR="00060B35">
        <w:t xml:space="preserve"> and support whole-of-government approaches to digital transformation.</w:t>
      </w:r>
      <w:r w:rsidR="00DA66B5" w:rsidRPr="001C5CD2">
        <w:t xml:space="preserve"> </w:t>
      </w:r>
      <w:r w:rsidR="007848DE" w:rsidRPr="001C5CD2">
        <w:br/>
      </w:r>
    </w:p>
    <w:p w14:paraId="04F83381" w14:textId="63E23DC7" w:rsidR="007848DE" w:rsidRPr="001C5CD2" w:rsidRDefault="007848DE" w:rsidP="00213C9E">
      <w:pPr>
        <w:pStyle w:val="ListParagraph"/>
        <w:numPr>
          <w:ilvl w:val="0"/>
          <w:numId w:val="4"/>
        </w:numPr>
      </w:pPr>
      <w:r w:rsidRPr="001C5CD2">
        <w:rPr>
          <w:b/>
          <w:bCs/>
        </w:rPr>
        <w:t xml:space="preserve">Incorporating modern methods for diagnosing the regulatory </w:t>
      </w:r>
      <w:r w:rsidR="00480802" w:rsidRPr="001C5CD2">
        <w:rPr>
          <w:b/>
          <w:bCs/>
        </w:rPr>
        <w:t xml:space="preserve">and institutional </w:t>
      </w:r>
      <w:r w:rsidRPr="001C5CD2">
        <w:rPr>
          <w:b/>
          <w:bCs/>
        </w:rPr>
        <w:t>capacities of agencies</w:t>
      </w:r>
      <w:r w:rsidRPr="001C5CD2">
        <w:t xml:space="preserve"> will enable them to refine their objectives in a flexible and agile manner to respond both to predictable instances of technological change and new services </w:t>
      </w:r>
      <w:r w:rsidR="00542A8A">
        <w:t>as well as</w:t>
      </w:r>
      <w:r w:rsidR="00542A8A" w:rsidRPr="001C5CD2">
        <w:t xml:space="preserve"> </w:t>
      </w:r>
      <w:r w:rsidRPr="001C5CD2">
        <w:t>to extraordinary emergency situations such as a pandemic. Risk management, planning</w:t>
      </w:r>
      <w:r w:rsidR="00A6528E" w:rsidRPr="001C5CD2">
        <w:t>,</w:t>
      </w:r>
      <w:r w:rsidRPr="001C5CD2">
        <w:t xml:space="preserve"> </w:t>
      </w:r>
      <w:r w:rsidR="00A6528E" w:rsidRPr="001C5CD2">
        <w:t xml:space="preserve">monitoring the implementation of </w:t>
      </w:r>
      <w:r w:rsidRPr="001C5CD2">
        <w:t>regulations a</w:t>
      </w:r>
      <w:r w:rsidR="00A6528E" w:rsidRPr="001C5CD2">
        <w:t xml:space="preserve">s well as </w:t>
      </w:r>
      <w:r w:rsidRPr="001C5CD2">
        <w:t xml:space="preserve">reviewing and assessing the impact of those regulations </w:t>
      </w:r>
      <w:r w:rsidR="00A6528E" w:rsidRPr="001C5CD2">
        <w:t xml:space="preserve">on markets and </w:t>
      </w:r>
      <w:r w:rsidRPr="001C5CD2">
        <w:t xml:space="preserve">on how public policy is carried out must form an institutional mechanism that goes beyond </w:t>
      </w:r>
      <w:r w:rsidR="00542A8A">
        <w:t xml:space="preserve">short-term </w:t>
      </w:r>
      <w:r w:rsidRPr="001C5CD2">
        <w:t>political considerations, so that regulator</w:t>
      </w:r>
      <w:r w:rsidR="00480802" w:rsidRPr="001C5CD2">
        <w:t>y frameworks</w:t>
      </w:r>
      <w:r w:rsidRPr="001C5CD2">
        <w:t xml:space="preserve"> enjoy predictability and sustainability over time as well as a solid base from which to consolidate and better use public resources.</w:t>
      </w:r>
    </w:p>
    <w:p w14:paraId="5EFFA331" w14:textId="77777777" w:rsidR="007848DE" w:rsidRPr="001C5CD2" w:rsidRDefault="007848DE" w:rsidP="007848DE">
      <w:pPr>
        <w:pStyle w:val="ListParagraph"/>
      </w:pPr>
    </w:p>
    <w:p w14:paraId="37278B5D" w14:textId="7968DB6C" w:rsidR="00893B50" w:rsidRPr="001C5CD2" w:rsidRDefault="00B62EA0" w:rsidP="00213C9E">
      <w:pPr>
        <w:pStyle w:val="ListParagraph"/>
        <w:numPr>
          <w:ilvl w:val="0"/>
          <w:numId w:val="4"/>
        </w:numPr>
      </w:pPr>
      <w:r w:rsidRPr="001C5CD2">
        <w:rPr>
          <w:b/>
          <w:bCs/>
        </w:rPr>
        <w:t>Creating platforms for dialogue</w:t>
      </w:r>
      <w:r w:rsidR="00EE1833" w:rsidRPr="001C5CD2">
        <w:rPr>
          <w:b/>
          <w:bCs/>
        </w:rPr>
        <w:t xml:space="preserve"> on key topics</w:t>
      </w:r>
      <w:r w:rsidRPr="001C5CD2">
        <w:t xml:space="preserve">: while designing viable regulatory support frameworks for </w:t>
      </w:r>
      <w:r w:rsidR="00893B50" w:rsidRPr="001C5CD2">
        <w:t xml:space="preserve">industry-led technological solutions, </w:t>
      </w:r>
      <w:r w:rsidRPr="001C5CD2">
        <w:t>regulators need to engage in</w:t>
      </w:r>
      <w:r w:rsidR="00893B50" w:rsidRPr="001C5CD2">
        <w:t xml:space="preserve"> information</w:t>
      </w:r>
      <w:r w:rsidR="00EE0CAE" w:rsidRPr="001C5CD2">
        <w:t xml:space="preserve"> </w:t>
      </w:r>
      <w:r w:rsidR="00893B50" w:rsidRPr="001C5CD2">
        <w:t xml:space="preserve">sharing across </w:t>
      </w:r>
      <w:r w:rsidR="00EE0CAE" w:rsidRPr="001C5CD2">
        <w:t xml:space="preserve">the </w:t>
      </w:r>
      <w:r w:rsidR="00893B50" w:rsidRPr="001C5CD2">
        <w:t xml:space="preserve">industry and between </w:t>
      </w:r>
      <w:r w:rsidR="00542A8A">
        <w:t xml:space="preserve">the </w:t>
      </w:r>
      <w:r w:rsidR="00893B50" w:rsidRPr="001C5CD2">
        <w:t>industry and government</w:t>
      </w:r>
      <w:r w:rsidRPr="001C5CD2">
        <w:t xml:space="preserve"> </w:t>
      </w:r>
      <w:r w:rsidR="00EE0CAE" w:rsidRPr="001C5CD2">
        <w:t>agencies</w:t>
      </w:r>
      <w:r w:rsidR="00060B35">
        <w:t xml:space="preserve"> </w:t>
      </w:r>
      <w:r w:rsidR="00A330C5">
        <w:t xml:space="preserve">as well as </w:t>
      </w:r>
      <w:r w:rsidR="00060B35">
        <w:t>others such as data protection and consumer protection agencies</w:t>
      </w:r>
      <w:r w:rsidRPr="001C5CD2">
        <w:t>. S</w:t>
      </w:r>
      <w:r w:rsidR="00893B50" w:rsidRPr="001C5CD2">
        <w:t>trategic coordination</w:t>
      </w:r>
      <w:r w:rsidRPr="001C5CD2">
        <w:t xml:space="preserve"> along with </w:t>
      </w:r>
      <w:r w:rsidR="00893B50" w:rsidRPr="001C5CD2">
        <w:t>domestic and international engagement between regulators and law enforcement agencies</w:t>
      </w:r>
      <w:r w:rsidRPr="001C5CD2">
        <w:t xml:space="preserve"> would lead to </w:t>
      </w:r>
      <w:r w:rsidR="00893B50" w:rsidRPr="001C5CD2">
        <w:t>improved regulatory enforcement</w:t>
      </w:r>
      <w:r w:rsidRPr="001C5CD2">
        <w:t xml:space="preserve"> and increase consumer benefits</w:t>
      </w:r>
      <w:r w:rsidR="00893B50" w:rsidRPr="001C5CD2">
        <w:t xml:space="preserve">. </w:t>
      </w:r>
    </w:p>
    <w:p w14:paraId="6B1EE47D" w14:textId="77777777" w:rsidR="00593552" w:rsidRPr="001C5CD2" w:rsidRDefault="00593552" w:rsidP="00B62EA0">
      <w:pPr>
        <w:pStyle w:val="ListParagraph"/>
      </w:pPr>
    </w:p>
    <w:p w14:paraId="77E11770" w14:textId="2BD42B5C" w:rsidR="001D350D" w:rsidRPr="001C5CD2" w:rsidRDefault="00883333" w:rsidP="00213C9E">
      <w:pPr>
        <w:pStyle w:val="ListParagraph"/>
        <w:numPr>
          <w:ilvl w:val="0"/>
          <w:numId w:val="4"/>
        </w:numPr>
      </w:pPr>
      <w:r w:rsidRPr="001C5CD2">
        <w:rPr>
          <w:b/>
          <w:bCs/>
        </w:rPr>
        <w:t xml:space="preserve">The new roles of </w:t>
      </w:r>
      <w:r w:rsidR="00846E39" w:rsidRPr="001C5CD2">
        <w:rPr>
          <w:b/>
          <w:bCs/>
        </w:rPr>
        <w:t>regulatory associations</w:t>
      </w:r>
      <w:r w:rsidRPr="001C5CD2">
        <w:t xml:space="preserve"> (RAs) </w:t>
      </w:r>
      <w:r w:rsidR="00EE0CAE" w:rsidRPr="001C5CD2">
        <w:t>should leverage their capacity to boost the development of digital markets at the national and regional level while building scenarios for future emergency response of all kinds.</w:t>
      </w:r>
      <w:r w:rsidRPr="001C5CD2">
        <w:t xml:space="preserve"> The c</w:t>
      </w:r>
      <w:r w:rsidR="00A9295F" w:rsidRPr="001C5CD2">
        <w:t>ollaboration</w:t>
      </w:r>
      <w:r w:rsidR="00EE0CAE" w:rsidRPr="001C5CD2">
        <w:t xml:space="preserve">, information sharing </w:t>
      </w:r>
      <w:r w:rsidRPr="001C5CD2">
        <w:t xml:space="preserve">and cross-fertilization </w:t>
      </w:r>
      <w:r w:rsidR="00A9295F" w:rsidRPr="001C5CD2">
        <w:t xml:space="preserve">among </w:t>
      </w:r>
      <w:r w:rsidR="00EE0CAE" w:rsidRPr="001C5CD2">
        <w:t>regulators as well as among RAs should be further</w:t>
      </w:r>
      <w:r w:rsidR="00A9295F" w:rsidRPr="001C5CD2">
        <w:t xml:space="preserve"> enhanced</w:t>
      </w:r>
      <w:r w:rsidR="00DA66B5" w:rsidRPr="001C5CD2">
        <w:t xml:space="preserve"> and geared towards regional harmonization</w:t>
      </w:r>
      <w:r w:rsidR="008E6A39">
        <w:t xml:space="preserve"> and coordination</w:t>
      </w:r>
      <w:r w:rsidR="00DA66B5" w:rsidRPr="001C5CD2">
        <w:t xml:space="preserve">, including </w:t>
      </w:r>
      <w:proofErr w:type="gramStart"/>
      <w:r w:rsidR="00DA66B5" w:rsidRPr="001C5CD2">
        <w:t>in the area of</w:t>
      </w:r>
      <w:proofErr w:type="gramEnd"/>
      <w:r w:rsidR="00DA66B5" w:rsidRPr="001C5CD2">
        <w:t xml:space="preserve"> spectrum management, international mobile roaming and digital platform regulation.</w:t>
      </w:r>
      <w:r w:rsidRPr="001C5CD2">
        <w:br/>
      </w:r>
    </w:p>
    <w:p w14:paraId="291A294E" w14:textId="7E557151" w:rsidR="00035F2B" w:rsidRPr="001C5CD2" w:rsidRDefault="00883333" w:rsidP="00480802">
      <w:pPr>
        <w:pStyle w:val="ListParagraph"/>
        <w:numPr>
          <w:ilvl w:val="0"/>
          <w:numId w:val="4"/>
        </w:numPr>
      </w:pPr>
      <w:r w:rsidRPr="001C5CD2">
        <w:rPr>
          <w:b/>
          <w:bCs/>
        </w:rPr>
        <w:t>International cooperation</w:t>
      </w:r>
      <w:r w:rsidRPr="001C5CD2">
        <w:t>:</w:t>
      </w:r>
      <w:r w:rsidR="00E16219" w:rsidRPr="001C5CD2">
        <w:t xml:space="preserve"> Effective international dialogue is essential to enable cross-country learning as well as to explore common policy solutions at both regional and global levels.</w:t>
      </w:r>
      <w:r w:rsidR="00EE0CAE" w:rsidRPr="001C5CD2">
        <w:t xml:space="preserve"> </w:t>
      </w:r>
      <w:r w:rsidRPr="001C5CD2">
        <w:t>I</w:t>
      </w:r>
      <w:r w:rsidR="00593552" w:rsidRPr="001C5CD2">
        <w:t xml:space="preserve">nternational organizations must redouble their efforts to </w:t>
      </w:r>
      <w:r w:rsidRPr="001C5CD2">
        <w:t xml:space="preserve">meet their </w:t>
      </w:r>
      <w:r w:rsidR="00593552" w:rsidRPr="001C5CD2">
        <w:t>commit</w:t>
      </w:r>
      <w:r w:rsidR="00EE0CAE" w:rsidRPr="001C5CD2">
        <w:t>ment</w:t>
      </w:r>
      <w:r w:rsidR="00593552" w:rsidRPr="001C5CD2">
        <w:t xml:space="preserve"> to rendering equitable service to an international community with differing yet interdependent interests and realities. Instruments for international cooperation must be employed transparently and efficiently and become levelers that enable national </w:t>
      </w:r>
      <w:r w:rsidR="00EE0CAE" w:rsidRPr="001C5CD2">
        <w:t>digital markets</w:t>
      </w:r>
      <w:r w:rsidR="00593552" w:rsidRPr="001C5CD2">
        <w:t xml:space="preserve"> to </w:t>
      </w:r>
      <w:r w:rsidR="00EE0CAE" w:rsidRPr="001C5CD2">
        <w:t>thrive</w:t>
      </w:r>
      <w:r w:rsidR="00593552" w:rsidRPr="001C5CD2">
        <w:t>.</w:t>
      </w:r>
      <w:r w:rsidRPr="001C5CD2">
        <w:br/>
      </w:r>
    </w:p>
    <w:sectPr w:rsidR="00035F2B" w:rsidRPr="001C5CD2" w:rsidSect="009F1911">
      <w:headerReference w:type="default" r:id="rId12"/>
      <w:footerReference w:type="default" r:id="rId13"/>
      <w:pgSz w:w="12240" w:h="15840"/>
      <w:pgMar w:top="127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48F29" w14:textId="77777777" w:rsidR="003B4018" w:rsidRDefault="003B4018" w:rsidP="001D350D">
      <w:pPr>
        <w:spacing w:after="0" w:line="240" w:lineRule="auto"/>
      </w:pPr>
      <w:r>
        <w:separator/>
      </w:r>
    </w:p>
  </w:endnote>
  <w:endnote w:type="continuationSeparator" w:id="0">
    <w:p w14:paraId="22B3458A" w14:textId="77777777" w:rsidR="003B4018" w:rsidRDefault="003B4018" w:rsidP="001D3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8164571"/>
      <w:docPartObj>
        <w:docPartGallery w:val="Page Numbers (Bottom of Page)"/>
        <w:docPartUnique/>
      </w:docPartObj>
    </w:sdtPr>
    <w:sdtEndPr>
      <w:rPr>
        <w:noProof/>
      </w:rPr>
    </w:sdtEndPr>
    <w:sdtContent>
      <w:p w14:paraId="1E09C0A2" w14:textId="7FB53B89" w:rsidR="001D350D" w:rsidRDefault="001D35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DAE46F" w14:textId="77777777" w:rsidR="001D350D" w:rsidRDefault="001D3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6A516" w14:textId="77777777" w:rsidR="003B4018" w:rsidRDefault="003B4018" w:rsidP="001D350D">
      <w:pPr>
        <w:spacing w:after="0" w:line="240" w:lineRule="auto"/>
      </w:pPr>
      <w:r>
        <w:separator/>
      </w:r>
    </w:p>
  </w:footnote>
  <w:footnote w:type="continuationSeparator" w:id="0">
    <w:p w14:paraId="0E223C7E" w14:textId="77777777" w:rsidR="003B4018" w:rsidRDefault="003B4018" w:rsidP="001D3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A3552" w14:textId="53DFBCD8" w:rsidR="001D350D" w:rsidRDefault="001D350D">
    <w:pPr>
      <w:pStyle w:val="Header"/>
      <w:jc w:val="center"/>
    </w:pPr>
  </w:p>
  <w:p w14:paraId="21601E14" w14:textId="77777777" w:rsidR="001D350D" w:rsidRDefault="001D3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D1FAA"/>
    <w:multiLevelType w:val="hybridMultilevel"/>
    <w:tmpl w:val="3F68F170"/>
    <w:lvl w:ilvl="0" w:tplc="04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32D6C02"/>
    <w:multiLevelType w:val="hybridMultilevel"/>
    <w:tmpl w:val="4E5A2142"/>
    <w:lvl w:ilvl="0" w:tplc="90381BFE">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7021A"/>
    <w:multiLevelType w:val="hybridMultilevel"/>
    <w:tmpl w:val="7B42032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FF816B2"/>
    <w:multiLevelType w:val="hybridMultilevel"/>
    <w:tmpl w:val="E02807A6"/>
    <w:lvl w:ilvl="0" w:tplc="F84AD7D8">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F205D24"/>
    <w:multiLevelType w:val="hybridMultilevel"/>
    <w:tmpl w:val="28C692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4233577"/>
    <w:multiLevelType w:val="hybridMultilevel"/>
    <w:tmpl w:val="3CC25FB2"/>
    <w:lvl w:ilvl="0" w:tplc="F84AD7D8">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C797FFD"/>
    <w:multiLevelType w:val="hybridMultilevel"/>
    <w:tmpl w:val="A7947CDA"/>
    <w:lvl w:ilvl="0" w:tplc="04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7B275083"/>
    <w:multiLevelType w:val="hybridMultilevel"/>
    <w:tmpl w:val="CBAACB9E"/>
    <w:lvl w:ilvl="0" w:tplc="04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7B461027"/>
    <w:multiLevelType w:val="hybridMultilevel"/>
    <w:tmpl w:val="AB86BF14"/>
    <w:lvl w:ilvl="0" w:tplc="04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8"/>
  </w:num>
  <w:num w:numId="6">
    <w:abstractNumId w:val="0"/>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46"/>
    <w:rsid w:val="00027C26"/>
    <w:rsid w:val="00035F2B"/>
    <w:rsid w:val="00053107"/>
    <w:rsid w:val="00055BB4"/>
    <w:rsid w:val="00060B35"/>
    <w:rsid w:val="000730EA"/>
    <w:rsid w:val="00083785"/>
    <w:rsid w:val="000D57FB"/>
    <w:rsid w:val="000D6BF3"/>
    <w:rsid w:val="000E39B9"/>
    <w:rsid w:val="000E5AA4"/>
    <w:rsid w:val="001249B0"/>
    <w:rsid w:val="0013417A"/>
    <w:rsid w:val="00180A9C"/>
    <w:rsid w:val="00191939"/>
    <w:rsid w:val="001A72EC"/>
    <w:rsid w:val="001C3B56"/>
    <w:rsid w:val="001C5CD2"/>
    <w:rsid w:val="001D350D"/>
    <w:rsid w:val="00202A44"/>
    <w:rsid w:val="002368D4"/>
    <w:rsid w:val="00273625"/>
    <w:rsid w:val="00273E41"/>
    <w:rsid w:val="00285652"/>
    <w:rsid w:val="002A43F1"/>
    <w:rsid w:val="00305412"/>
    <w:rsid w:val="00375364"/>
    <w:rsid w:val="003759FD"/>
    <w:rsid w:val="003B4018"/>
    <w:rsid w:val="003B447D"/>
    <w:rsid w:val="003C0A2F"/>
    <w:rsid w:val="003C363C"/>
    <w:rsid w:val="003C38E7"/>
    <w:rsid w:val="003C7D9D"/>
    <w:rsid w:val="004147EB"/>
    <w:rsid w:val="00417688"/>
    <w:rsid w:val="004476BF"/>
    <w:rsid w:val="00450522"/>
    <w:rsid w:val="00452B03"/>
    <w:rsid w:val="00453296"/>
    <w:rsid w:val="0046260C"/>
    <w:rsid w:val="00480802"/>
    <w:rsid w:val="004922AD"/>
    <w:rsid w:val="004D1B6F"/>
    <w:rsid w:val="004D1DEE"/>
    <w:rsid w:val="00500332"/>
    <w:rsid w:val="00504D5D"/>
    <w:rsid w:val="00522027"/>
    <w:rsid w:val="00536BAB"/>
    <w:rsid w:val="00542A8A"/>
    <w:rsid w:val="0054615E"/>
    <w:rsid w:val="00555764"/>
    <w:rsid w:val="00580D17"/>
    <w:rsid w:val="005840C4"/>
    <w:rsid w:val="00591AC7"/>
    <w:rsid w:val="00593552"/>
    <w:rsid w:val="005C0C7D"/>
    <w:rsid w:val="005D77D1"/>
    <w:rsid w:val="005F2E5D"/>
    <w:rsid w:val="006156D2"/>
    <w:rsid w:val="006461D1"/>
    <w:rsid w:val="006650DA"/>
    <w:rsid w:val="006972B1"/>
    <w:rsid w:val="006A736D"/>
    <w:rsid w:val="006A7EBE"/>
    <w:rsid w:val="006C5114"/>
    <w:rsid w:val="006F4D3A"/>
    <w:rsid w:val="00761ACB"/>
    <w:rsid w:val="00766046"/>
    <w:rsid w:val="00781BC6"/>
    <w:rsid w:val="007830DC"/>
    <w:rsid w:val="007848DE"/>
    <w:rsid w:val="007A5D0E"/>
    <w:rsid w:val="007B7F94"/>
    <w:rsid w:val="007C6359"/>
    <w:rsid w:val="007E6B8F"/>
    <w:rsid w:val="00807604"/>
    <w:rsid w:val="00811A68"/>
    <w:rsid w:val="008240F9"/>
    <w:rsid w:val="00846E39"/>
    <w:rsid w:val="00852259"/>
    <w:rsid w:val="00856462"/>
    <w:rsid w:val="00872E93"/>
    <w:rsid w:val="00875209"/>
    <w:rsid w:val="00880852"/>
    <w:rsid w:val="00883333"/>
    <w:rsid w:val="00893B50"/>
    <w:rsid w:val="008C4D8B"/>
    <w:rsid w:val="008E6A39"/>
    <w:rsid w:val="009174C7"/>
    <w:rsid w:val="00927113"/>
    <w:rsid w:val="00940CC2"/>
    <w:rsid w:val="00951DAA"/>
    <w:rsid w:val="009558E9"/>
    <w:rsid w:val="00980F28"/>
    <w:rsid w:val="00981CCF"/>
    <w:rsid w:val="009C7A34"/>
    <w:rsid w:val="009D4494"/>
    <w:rsid w:val="009F1911"/>
    <w:rsid w:val="00A25C8D"/>
    <w:rsid w:val="00A330C5"/>
    <w:rsid w:val="00A6528E"/>
    <w:rsid w:val="00A9295F"/>
    <w:rsid w:val="00AC3F51"/>
    <w:rsid w:val="00AC563C"/>
    <w:rsid w:val="00B12273"/>
    <w:rsid w:val="00B13B9A"/>
    <w:rsid w:val="00B26F2B"/>
    <w:rsid w:val="00B427BD"/>
    <w:rsid w:val="00B51633"/>
    <w:rsid w:val="00B61AF5"/>
    <w:rsid w:val="00B62EA0"/>
    <w:rsid w:val="00B75D62"/>
    <w:rsid w:val="00BC1F3D"/>
    <w:rsid w:val="00BC4CFB"/>
    <w:rsid w:val="00BC5CA7"/>
    <w:rsid w:val="00BF1DCB"/>
    <w:rsid w:val="00C04E95"/>
    <w:rsid w:val="00C44FF1"/>
    <w:rsid w:val="00C45642"/>
    <w:rsid w:val="00C51176"/>
    <w:rsid w:val="00C5663A"/>
    <w:rsid w:val="00C62D48"/>
    <w:rsid w:val="00C70579"/>
    <w:rsid w:val="00CB4C7F"/>
    <w:rsid w:val="00CC0746"/>
    <w:rsid w:val="00CC3A9A"/>
    <w:rsid w:val="00CD3E7F"/>
    <w:rsid w:val="00CE3256"/>
    <w:rsid w:val="00CF39D6"/>
    <w:rsid w:val="00D23908"/>
    <w:rsid w:val="00D63C41"/>
    <w:rsid w:val="00DA1909"/>
    <w:rsid w:val="00DA66B5"/>
    <w:rsid w:val="00DB6031"/>
    <w:rsid w:val="00DC5B38"/>
    <w:rsid w:val="00E063AA"/>
    <w:rsid w:val="00E10942"/>
    <w:rsid w:val="00E16219"/>
    <w:rsid w:val="00E732AB"/>
    <w:rsid w:val="00EB0AA2"/>
    <w:rsid w:val="00EE0CAE"/>
    <w:rsid w:val="00EE1833"/>
    <w:rsid w:val="00EF1260"/>
    <w:rsid w:val="00EF42BA"/>
    <w:rsid w:val="00F105AC"/>
    <w:rsid w:val="00F264CE"/>
    <w:rsid w:val="00F365E0"/>
    <w:rsid w:val="00F6718B"/>
    <w:rsid w:val="00F77A5C"/>
    <w:rsid w:val="00F84921"/>
    <w:rsid w:val="00F86F33"/>
    <w:rsid w:val="00FA535A"/>
    <w:rsid w:val="00FB0A39"/>
    <w:rsid w:val="00FD03D8"/>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AF0299"/>
  <w15:chartTrackingRefBased/>
  <w15:docId w15:val="{93C06602-E5D2-4B4F-A628-B9867D4D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D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5D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50D"/>
  </w:style>
  <w:style w:type="paragraph" w:styleId="Footer">
    <w:name w:val="footer"/>
    <w:basedOn w:val="Normal"/>
    <w:link w:val="FooterChar"/>
    <w:uiPriority w:val="99"/>
    <w:unhideWhenUsed/>
    <w:rsid w:val="001D3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50D"/>
  </w:style>
  <w:style w:type="paragraph" w:styleId="FootnoteText">
    <w:name w:val="footnote text"/>
    <w:basedOn w:val="Normal"/>
    <w:link w:val="FootnoteTextChar"/>
    <w:uiPriority w:val="99"/>
    <w:semiHidden/>
    <w:unhideWhenUsed/>
    <w:rsid w:val="003B44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447D"/>
    <w:rPr>
      <w:sz w:val="20"/>
      <w:szCs w:val="20"/>
    </w:rPr>
  </w:style>
  <w:style w:type="character" w:styleId="FootnoteReference">
    <w:name w:val="footnote reference"/>
    <w:basedOn w:val="DefaultParagraphFont"/>
    <w:uiPriority w:val="99"/>
    <w:semiHidden/>
    <w:unhideWhenUsed/>
    <w:rsid w:val="003B447D"/>
    <w:rPr>
      <w:vertAlign w:val="superscript"/>
    </w:rPr>
  </w:style>
  <w:style w:type="paragraph" w:styleId="ListParagraph">
    <w:name w:val="List Paragraph"/>
    <w:basedOn w:val="Normal"/>
    <w:uiPriority w:val="34"/>
    <w:qFormat/>
    <w:rsid w:val="005C0C7D"/>
    <w:pPr>
      <w:ind w:left="720"/>
      <w:contextualSpacing/>
    </w:pPr>
  </w:style>
  <w:style w:type="paragraph" w:styleId="BalloonText">
    <w:name w:val="Balloon Text"/>
    <w:basedOn w:val="Normal"/>
    <w:link w:val="BalloonTextChar"/>
    <w:uiPriority w:val="99"/>
    <w:semiHidden/>
    <w:unhideWhenUsed/>
    <w:rsid w:val="00B75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D62"/>
    <w:rPr>
      <w:rFonts w:ascii="Segoe UI" w:hAnsi="Segoe UI" w:cs="Segoe UI"/>
      <w:sz w:val="18"/>
      <w:szCs w:val="18"/>
    </w:rPr>
  </w:style>
  <w:style w:type="character" w:customStyle="1" w:styleId="Heading1Char">
    <w:name w:val="Heading 1 Char"/>
    <w:basedOn w:val="DefaultParagraphFont"/>
    <w:link w:val="Heading1"/>
    <w:uiPriority w:val="9"/>
    <w:rsid w:val="00B75D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75D6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D03D8"/>
    <w:rPr>
      <w:color w:val="0563C1" w:themeColor="hyperlink"/>
      <w:u w:val="single"/>
    </w:rPr>
  </w:style>
  <w:style w:type="character" w:styleId="UnresolvedMention">
    <w:name w:val="Unresolved Mention"/>
    <w:basedOn w:val="DefaultParagraphFont"/>
    <w:uiPriority w:val="99"/>
    <w:semiHidden/>
    <w:unhideWhenUsed/>
    <w:rsid w:val="00FD03D8"/>
    <w:rPr>
      <w:color w:val="605E5C"/>
      <w:shd w:val="clear" w:color="auto" w:fill="E1DFDD"/>
    </w:rPr>
  </w:style>
  <w:style w:type="character" w:styleId="CommentReference">
    <w:name w:val="annotation reference"/>
    <w:basedOn w:val="DefaultParagraphFont"/>
    <w:uiPriority w:val="99"/>
    <w:semiHidden/>
    <w:unhideWhenUsed/>
    <w:rsid w:val="00C44FF1"/>
    <w:rPr>
      <w:sz w:val="16"/>
      <w:szCs w:val="16"/>
    </w:rPr>
  </w:style>
  <w:style w:type="paragraph" w:styleId="CommentText">
    <w:name w:val="annotation text"/>
    <w:basedOn w:val="Normal"/>
    <w:link w:val="CommentTextChar"/>
    <w:uiPriority w:val="99"/>
    <w:semiHidden/>
    <w:unhideWhenUsed/>
    <w:rsid w:val="00C44FF1"/>
    <w:pPr>
      <w:spacing w:line="240" w:lineRule="auto"/>
    </w:pPr>
    <w:rPr>
      <w:sz w:val="20"/>
      <w:szCs w:val="20"/>
    </w:rPr>
  </w:style>
  <w:style w:type="character" w:customStyle="1" w:styleId="CommentTextChar">
    <w:name w:val="Comment Text Char"/>
    <w:basedOn w:val="DefaultParagraphFont"/>
    <w:link w:val="CommentText"/>
    <w:uiPriority w:val="99"/>
    <w:semiHidden/>
    <w:rsid w:val="00C44FF1"/>
    <w:rPr>
      <w:sz w:val="20"/>
      <w:szCs w:val="20"/>
    </w:rPr>
  </w:style>
  <w:style w:type="paragraph" w:styleId="CommentSubject">
    <w:name w:val="annotation subject"/>
    <w:basedOn w:val="CommentText"/>
    <w:next w:val="CommentText"/>
    <w:link w:val="CommentSubjectChar"/>
    <w:uiPriority w:val="99"/>
    <w:semiHidden/>
    <w:unhideWhenUsed/>
    <w:rsid w:val="00C44FF1"/>
    <w:rPr>
      <w:b/>
      <w:bCs/>
    </w:rPr>
  </w:style>
  <w:style w:type="character" w:customStyle="1" w:styleId="CommentSubjectChar">
    <w:name w:val="Comment Subject Char"/>
    <w:basedOn w:val="CommentTextChar"/>
    <w:link w:val="CommentSubject"/>
    <w:uiPriority w:val="99"/>
    <w:semiHidden/>
    <w:rsid w:val="00C44FF1"/>
    <w:rPr>
      <w:b/>
      <w:bCs/>
      <w:sz w:val="20"/>
      <w:szCs w:val="20"/>
    </w:rPr>
  </w:style>
  <w:style w:type="character" w:styleId="FollowedHyperlink">
    <w:name w:val="FollowedHyperlink"/>
    <w:basedOn w:val="DefaultParagraphFont"/>
    <w:uiPriority w:val="99"/>
    <w:semiHidden/>
    <w:unhideWhenUsed/>
    <w:rsid w:val="00781B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572831">
      <w:bodyDiv w:val="1"/>
      <w:marLeft w:val="0"/>
      <w:marRight w:val="0"/>
      <w:marTop w:val="0"/>
      <w:marBottom w:val="0"/>
      <w:divBdr>
        <w:top w:val="none" w:sz="0" w:space="0" w:color="auto"/>
        <w:left w:val="none" w:sz="0" w:space="0" w:color="auto"/>
        <w:bottom w:val="none" w:sz="0" w:space="0" w:color="auto"/>
        <w:right w:val="none" w:sz="0" w:space="0" w:color="auto"/>
      </w:divBdr>
      <w:divsChild>
        <w:div w:id="866286142">
          <w:marLeft w:val="0"/>
          <w:marRight w:val="0"/>
          <w:marTop w:val="0"/>
          <w:marBottom w:val="0"/>
          <w:divBdr>
            <w:top w:val="none" w:sz="0" w:space="0" w:color="auto"/>
            <w:left w:val="none" w:sz="0" w:space="0" w:color="auto"/>
            <w:bottom w:val="none" w:sz="0" w:space="0" w:color="auto"/>
            <w:right w:val="none" w:sz="0" w:space="0" w:color="auto"/>
          </w:divBdr>
          <w:divsChild>
            <w:div w:id="1303972346">
              <w:marLeft w:val="0"/>
              <w:marRight w:val="0"/>
              <w:marTop w:val="0"/>
              <w:marBottom w:val="0"/>
              <w:divBdr>
                <w:top w:val="none" w:sz="0" w:space="0" w:color="auto"/>
                <w:left w:val="none" w:sz="0" w:space="0" w:color="auto"/>
                <w:bottom w:val="none" w:sz="0" w:space="0" w:color="auto"/>
                <w:right w:val="none" w:sz="0" w:space="0" w:color="auto"/>
              </w:divBdr>
              <w:divsChild>
                <w:div w:id="1168785958">
                  <w:marLeft w:val="0"/>
                  <w:marRight w:val="0"/>
                  <w:marTop w:val="0"/>
                  <w:marBottom w:val="0"/>
                  <w:divBdr>
                    <w:top w:val="none" w:sz="0" w:space="0" w:color="auto"/>
                    <w:left w:val="none" w:sz="0" w:space="0" w:color="auto"/>
                    <w:bottom w:val="none" w:sz="0" w:space="0" w:color="auto"/>
                    <w:right w:val="none" w:sz="0" w:space="0" w:color="auto"/>
                  </w:divBdr>
                  <w:divsChild>
                    <w:div w:id="1247034641">
                      <w:marLeft w:val="0"/>
                      <w:marRight w:val="0"/>
                      <w:marTop w:val="0"/>
                      <w:marBottom w:val="0"/>
                      <w:divBdr>
                        <w:top w:val="none" w:sz="0" w:space="0" w:color="auto"/>
                        <w:left w:val="none" w:sz="0" w:space="0" w:color="auto"/>
                        <w:bottom w:val="none" w:sz="0" w:space="0" w:color="auto"/>
                        <w:right w:val="none" w:sz="0" w:space="0" w:color="auto"/>
                      </w:divBdr>
                      <w:divsChild>
                        <w:div w:id="2062510319">
                          <w:marLeft w:val="0"/>
                          <w:marRight w:val="0"/>
                          <w:marTop w:val="0"/>
                          <w:marBottom w:val="0"/>
                          <w:divBdr>
                            <w:top w:val="none" w:sz="0" w:space="0" w:color="auto"/>
                            <w:left w:val="none" w:sz="0" w:space="0" w:color="auto"/>
                            <w:bottom w:val="none" w:sz="0" w:space="0" w:color="auto"/>
                            <w:right w:val="none" w:sz="0" w:space="0" w:color="auto"/>
                          </w:divBdr>
                          <w:divsChild>
                            <w:div w:id="1983268475">
                              <w:marLeft w:val="0"/>
                              <w:marRight w:val="300"/>
                              <w:marTop w:val="180"/>
                              <w:marBottom w:val="0"/>
                              <w:divBdr>
                                <w:top w:val="none" w:sz="0" w:space="0" w:color="auto"/>
                                <w:left w:val="none" w:sz="0" w:space="0" w:color="auto"/>
                                <w:bottom w:val="none" w:sz="0" w:space="0" w:color="auto"/>
                                <w:right w:val="none" w:sz="0" w:space="0" w:color="auto"/>
                              </w:divBdr>
                              <w:divsChild>
                                <w:div w:id="16033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2834">
          <w:marLeft w:val="0"/>
          <w:marRight w:val="0"/>
          <w:marTop w:val="0"/>
          <w:marBottom w:val="0"/>
          <w:divBdr>
            <w:top w:val="none" w:sz="0" w:space="0" w:color="auto"/>
            <w:left w:val="none" w:sz="0" w:space="0" w:color="auto"/>
            <w:bottom w:val="none" w:sz="0" w:space="0" w:color="auto"/>
            <w:right w:val="none" w:sz="0" w:space="0" w:color="auto"/>
          </w:divBdr>
          <w:divsChild>
            <w:div w:id="1989439376">
              <w:marLeft w:val="0"/>
              <w:marRight w:val="0"/>
              <w:marTop w:val="0"/>
              <w:marBottom w:val="0"/>
              <w:divBdr>
                <w:top w:val="none" w:sz="0" w:space="0" w:color="auto"/>
                <w:left w:val="none" w:sz="0" w:space="0" w:color="auto"/>
                <w:bottom w:val="none" w:sz="0" w:space="0" w:color="auto"/>
                <w:right w:val="none" w:sz="0" w:space="0" w:color="auto"/>
              </w:divBdr>
              <w:divsChild>
                <w:div w:id="93744349">
                  <w:marLeft w:val="0"/>
                  <w:marRight w:val="0"/>
                  <w:marTop w:val="0"/>
                  <w:marBottom w:val="0"/>
                  <w:divBdr>
                    <w:top w:val="none" w:sz="0" w:space="0" w:color="auto"/>
                    <w:left w:val="none" w:sz="0" w:space="0" w:color="auto"/>
                    <w:bottom w:val="none" w:sz="0" w:space="0" w:color="auto"/>
                    <w:right w:val="none" w:sz="0" w:space="0" w:color="auto"/>
                  </w:divBdr>
                  <w:divsChild>
                    <w:div w:id="1479152418">
                      <w:marLeft w:val="0"/>
                      <w:marRight w:val="0"/>
                      <w:marTop w:val="0"/>
                      <w:marBottom w:val="0"/>
                      <w:divBdr>
                        <w:top w:val="none" w:sz="0" w:space="0" w:color="auto"/>
                        <w:left w:val="none" w:sz="0" w:space="0" w:color="auto"/>
                        <w:bottom w:val="none" w:sz="0" w:space="0" w:color="auto"/>
                        <w:right w:val="none" w:sz="0" w:space="0" w:color="auto"/>
                      </w:divBdr>
                      <w:divsChild>
                        <w:div w:id="11166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ITU-D/Conferences/GSR/2019/Documents/GSR19BestPracticeGuidelines_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89A94D79889A4792E34D38769D7A1B" ma:contentTypeVersion="2" ma:contentTypeDescription="Create a new document." ma:contentTypeScope="" ma:versionID="7552a0c0e36c81434b59fec236ab070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d648448f94c3d58177b40b5933f2d41a"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934EA-3A02-49F3-B3B9-3634AE5460E0}"/>
</file>

<file path=customXml/itemProps2.xml><?xml version="1.0" encoding="utf-8"?>
<ds:datastoreItem xmlns:ds="http://schemas.openxmlformats.org/officeDocument/2006/customXml" ds:itemID="{4E139B35-9D37-4753-9216-FFF3AB40A7DA}"/>
</file>

<file path=customXml/itemProps3.xml><?xml version="1.0" encoding="utf-8"?>
<ds:datastoreItem xmlns:ds="http://schemas.openxmlformats.org/officeDocument/2006/customXml" ds:itemID="{F834EE4D-4AB2-4933-9EB3-A44ABD657042}"/>
</file>

<file path=customXml/itemProps4.xml><?xml version="1.0" encoding="utf-8"?>
<ds:datastoreItem xmlns:ds="http://schemas.openxmlformats.org/officeDocument/2006/customXml" ds:itemID="{973D0CB9-EF2B-436B-8D79-7BB9D4115D71}"/>
</file>

<file path=docProps/app.xml><?xml version="1.0" encoding="utf-8"?>
<Properties xmlns="http://schemas.openxmlformats.org/officeDocument/2006/extended-properties" xmlns:vt="http://schemas.openxmlformats.org/officeDocument/2006/docPropsVTypes">
  <Template>Normal.dotm</Template>
  <TotalTime>6</TotalTime>
  <Pages>6</Pages>
  <Words>2857</Words>
  <Characters>16289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Lozanova, Youlia</dc:creator>
  <cp:keywords/>
  <dc:description/>
  <cp:lastModifiedBy>Conde, Tamaiti</cp:lastModifiedBy>
  <cp:revision>3</cp:revision>
  <dcterms:created xsi:type="dcterms:W3CDTF">2020-08-12T07:50:00Z</dcterms:created>
  <dcterms:modified xsi:type="dcterms:W3CDTF">2020-08-17T09:53:00Z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0x0101009789A94D79889A4792E34D38769D7A1B</vt:lpwstr>
  </property>
</Properties>
</file>