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p w:rsidR="0031148D" w:rsidRDefault="0031148D" w:rsidP="0031148D"/>
    <w:tbl>
      <w:tblPr>
        <w:tblW w:w="10089" w:type="dxa"/>
        <w:tblLook w:val="01E0" w:firstRow="1" w:lastRow="1" w:firstColumn="1" w:lastColumn="1" w:noHBand="0" w:noVBand="0"/>
      </w:tblPr>
      <w:tblGrid>
        <w:gridCol w:w="10089"/>
      </w:tblGrid>
      <w:tr w:rsidR="0031148D" w:rsidRPr="00A443C2" w:rsidTr="00AC302C">
        <w:tc>
          <w:tcPr>
            <w:tcW w:w="10089" w:type="dxa"/>
          </w:tcPr>
          <w:p w:rsidR="0031148D" w:rsidRPr="00B033C8" w:rsidRDefault="0031148D" w:rsidP="00AC302C">
            <w:pPr>
              <w:spacing w:before="380" w:line="280" w:lineRule="exact"/>
              <w:jc w:val="right"/>
              <w:rPr>
                <w:rFonts w:ascii="Tahoma" w:hAnsi="Tahoma" w:cs="Tahoma"/>
                <w:b/>
                <w:bCs/>
                <w:iCs/>
                <w:color w:val="243285"/>
                <w:sz w:val="32"/>
                <w:szCs w:val="32"/>
                <w:lang w:val="en-US"/>
              </w:rPr>
            </w:pPr>
          </w:p>
          <w:p w:rsidR="0031148D" w:rsidRPr="00A443C2" w:rsidRDefault="0031148D" w:rsidP="0031148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V</w:t>
            </w:r>
            <w:r w:rsidRPr="00A443C2">
              <w:rPr>
                <w:rFonts w:ascii="Tahoma" w:hAnsi="Tahoma" w:cs="Tahoma"/>
                <w:b/>
                <w:bCs/>
                <w:iCs/>
                <w:color w:val="243285"/>
                <w:sz w:val="36"/>
                <w:szCs w:val="36"/>
              </w:rPr>
              <w:t>.</w:t>
            </w:r>
            <w:r>
              <w:rPr>
                <w:rFonts w:ascii="Tahoma" w:hAnsi="Tahoma" w:cs="Tahoma"/>
                <w:b/>
                <w:bCs/>
                <w:iCs/>
                <w:color w:val="243285"/>
                <w:sz w:val="36"/>
                <w:szCs w:val="36"/>
              </w:rPr>
              <w:t>574-5</w:t>
            </w:r>
          </w:p>
          <w:p w:rsidR="0031148D" w:rsidRPr="00A443C2" w:rsidRDefault="0031148D" w:rsidP="0031148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31148D" w:rsidRPr="00F54FBD" w:rsidTr="00AC302C">
        <w:tc>
          <w:tcPr>
            <w:tcW w:w="10089" w:type="dxa"/>
          </w:tcPr>
          <w:p w:rsidR="0031148D" w:rsidRDefault="0031148D" w:rsidP="00AC302C">
            <w:pPr>
              <w:spacing w:before="80" w:line="500" w:lineRule="exact"/>
              <w:jc w:val="right"/>
              <w:rPr>
                <w:rFonts w:ascii="Tahoma" w:hAnsi="Tahoma" w:cs="Tahoma"/>
                <w:b/>
                <w:bCs/>
                <w:iCs/>
                <w:color w:val="243285"/>
                <w:sz w:val="44"/>
                <w:szCs w:val="44"/>
              </w:rPr>
            </w:pPr>
          </w:p>
          <w:p w:rsidR="0031148D" w:rsidRDefault="0031148D" w:rsidP="0031148D">
            <w:pPr>
              <w:spacing w:before="80" w:line="500" w:lineRule="exact"/>
              <w:jc w:val="right"/>
              <w:rPr>
                <w:rFonts w:ascii="Tahoma" w:hAnsi="Tahoma" w:cs="Tahoma"/>
                <w:b/>
                <w:bCs/>
                <w:iCs/>
                <w:color w:val="243285"/>
                <w:sz w:val="44"/>
                <w:szCs w:val="44"/>
              </w:rPr>
            </w:pPr>
            <w:r w:rsidRPr="0031148D">
              <w:rPr>
                <w:rFonts w:ascii="Tahoma" w:hAnsi="Tahoma" w:cs="Tahoma"/>
                <w:b/>
                <w:bCs/>
                <w:iCs/>
                <w:color w:val="243285"/>
                <w:sz w:val="44"/>
                <w:szCs w:val="44"/>
                <w:lang w:val="fr-CH"/>
              </w:rPr>
              <w:t>Emploi du décibel et du néper dans les télécommunications</w:t>
            </w:r>
          </w:p>
          <w:p w:rsidR="0031148D" w:rsidRPr="00F54FBD" w:rsidRDefault="0031148D" w:rsidP="00AC302C">
            <w:pPr>
              <w:spacing w:before="80" w:line="500" w:lineRule="exact"/>
              <w:jc w:val="right"/>
              <w:rPr>
                <w:rFonts w:ascii="Tahoma" w:hAnsi="Tahoma" w:cs="Tahoma"/>
                <w:b/>
                <w:bCs/>
                <w:iCs/>
                <w:color w:val="243285"/>
                <w:sz w:val="44"/>
                <w:szCs w:val="44"/>
              </w:rPr>
            </w:pPr>
          </w:p>
        </w:tc>
      </w:tr>
      <w:tr w:rsidR="0031148D" w:rsidRPr="00F54FBD" w:rsidTr="00AC302C">
        <w:tc>
          <w:tcPr>
            <w:tcW w:w="10089" w:type="dxa"/>
          </w:tcPr>
          <w:p w:rsidR="0031148D" w:rsidRPr="00F54FBD" w:rsidRDefault="0031148D" w:rsidP="00AC302C">
            <w:pPr>
              <w:spacing w:before="80" w:line="280" w:lineRule="exact"/>
              <w:ind w:right="640"/>
              <w:rPr>
                <w:rFonts w:ascii="Tahoma" w:hAnsi="Tahoma" w:cs="Tahoma"/>
                <w:b/>
                <w:bCs/>
                <w:iCs/>
                <w:color w:val="243285"/>
                <w:sz w:val="32"/>
                <w:szCs w:val="32"/>
              </w:rPr>
            </w:pPr>
          </w:p>
          <w:p w:rsidR="0031148D" w:rsidRPr="00F54FBD" w:rsidRDefault="0031148D" w:rsidP="00AC302C">
            <w:pPr>
              <w:spacing w:before="80" w:line="280" w:lineRule="exact"/>
              <w:ind w:right="640"/>
              <w:rPr>
                <w:rFonts w:ascii="Tahoma" w:hAnsi="Tahoma" w:cs="Tahoma"/>
                <w:b/>
                <w:bCs/>
                <w:iCs/>
                <w:color w:val="243285"/>
                <w:sz w:val="32"/>
                <w:szCs w:val="32"/>
              </w:rPr>
            </w:pPr>
          </w:p>
          <w:p w:rsidR="0031148D" w:rsidRPr="00F54FBD" w:rsidRDefault="0031148D" w:rsidP="00AC302C">
            <w:pPr>
              <w:spacing w:before="80" w:after="180" w:line="360" w:lineRule="exact"/>
              <w:ind w:right="720"/>
              <w:rPr>
                <w:rFonts w:ascii="Tahoma" w:hAnsi="Tahoma" w:cs="Tahoma"/>
                <w:b/>
                <w:bCs/>
                <w:iCs/>
                <w:color w:val="243285"/>
                <w:sz w:val="36"/>
                <w:szCs w:val="36"/>
              </w:rPr>
            </w:pPr>
          </w:p>
          <w:p w:rsidR="0031148D" w:rsidRPr="00F54FBD" w:rsidRDefault="0031148D" w:rsidP="00AC30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V</w:t>
            </w:r>
          </w:p>
          <w:p w:rsidR="0031148D" w:rsidRPr="00F54FBD" w:rsidRDefault="0031148D" w:rsidP="00AC302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Vocabulaire et sujets associés</w:t>
            </w:r>
          </w:p>
        </w:tc>
      </w:tr>
    </w:tbl>
    <w:p w:rsidR="0031148D" w:rsidRPr="00F54FBD" w:rsidRDefault="0031148D" w:rsidP="0031148D">
      <w:pPr>
        <w:spacing w:before="80"/>
        <w:rPr>
          <w:i/>
          <w:sz w:val="22"/>
        </w:rPr>
      </w:pPr>
    </w:p>
    <w:p w:rsidR="0031148D" w:rsidRPr="00F54FBD" w:rsidRDefault="0031148D" w:rsidP="0031148D">
      <w:pPr>
        <w:spacing w:before="80"/>
        <w:rPr>
          <w:i/>
          <w:sz w:val="22"/>
        </w:rPr>
      </w:pPr>
    </w:p>
    <w:p w:rsidR="0031148D" w:rsidRPr="00F54FBD" w:rsidRDefault="0031148D" w:rsidP="0031148D">
      <w:pPr>
        <w:spacing w:before="80"/>
        <w:rPr>
          <w:i/>
          <w:sz w:val="22"/>
        </w:rPr>
      </w:pPr>
    </w:p>
    <w:p w:rsidR="0031148D" w:rsidRPr="00F54FBD" w:rsidRDefault="0031148D" w:rsidP="0031148D">
      <w:pPr>
        <w:spacing w:before="80"/>
        <w:rPr>
          <w:i/>
          <w:sz w:val="22"/>
        </w:rPr>
      </w:pPr>
    </w:p>
    <w:p w:rsidR="0031148D" w:rsidRPr="00F54FBD" w:rsidRDefault="0031148D" w:rsidP="0031148D">
      <w:pPr>
        <w:spacing w:before="80"/>
        <w:rPr>
          <w:i/>
          <w:sz w:val="22"/>
        </w:rPr>
      </w:pPr>
    </w:p>
    <w:p w:rsidR="0031148D" w:rsidRPr="00F54FBD" w:rsidRDefault="0031148D" w:rsidP="0031148D">
      <w:pPr>
        <w:spacing w:before="80"/>
        <w:rPr>
          <w:i/>
          <w:sz w:val="22"/>
        </w:rPr>
      </w:pPr>
    </w:p>
    <w:p w:rsidR="0031148D" w:rsidRPr="00F54FBD" w:rsidRDefault="0031148D" w:rsidP="0031148D">
      <w:pPr>
        <w:pStyle w:val="Equation"/>
        <w:tabs>
          <w:tab w:val="clear" w:pos="4820"/>
          <w:tab w:val="clear" w:pos="9639"/>
          <w:tab w:val="left" w:pos="1191"/>
          <w:tab w:val="left" w:pos="1588"/>
          <w:tab w:val="left" w:pos="1985"/>
        </w:tabs>
        <w:rPr>
          <w:rFonts w:ascii="Palatino Linotype" w:hAnsi="Palatino Linotype"/>
        </w:rPr>
        <w:sectPr w:rsidR="0031148D" w:rsidRPr="00F54FBD">
          <w:headerReference w:type="even" r:id="rId6"/>
          <w:headerReference w:type="default" r:id="rId7"/>
          <w:pgSz w:w="11907" w:h="16840" w:code="9"/>
          <w:pgMar w:top="1089" w:right="1089" w:bottom="284" w:left="1089" w:header="567" w:footer="284" w:gutter="0"/>
          <w:pgNumType w:start="1"/>
          <w:cols w:space="720"/>
        </w:sectPr>
      </w:pPr>
    </w:p>
    <w:p w:rsidR="0031148D" w:rsidRPr="00F54FBD" w:rsidRDefault="0031148D" w:rsidP="003114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1148D" w:rsidRPr="00F54FBD" w:rsidRDefault="0031148D" w:rsidP="0031148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1148D" w:rsidRPr="00F54FBD" w:rsidRDefault="0031148D" w:rsidP="0031148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1148D" w:rsidRPr="00E44CBB" w:rsidRDefault="0031148D" w:rsidP="0031148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1148D" w:rsidRPr="00E44CBB" w:rsidRDefault="0031148D" w:rsidP="0031148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1148D" w:rsidRPr="00444E7C" w:rsidRDefault="0031148D" w:rsidP="0031148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1148D" w:rsidRPr="009454F8" w:rsidTr="00AC302C">
        <w:tc>
          <w:tcPr>
            <w:tcW w:w="9360" w:type="dxa"/>
            <w:gridSpan w:val="2"/>
          </w:tcPr>
          <w:p w:rsidR="0031148D" w:rsidRPr="009454F8" w:rsidRDefault="0031148D" w:rsidP="00AC30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1148D" w:rsidRPr="009454F8"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1148D" w:rsidRPr="00036EE3" w:rsidTr="00AC302C">
        <w:tc>
          <w:tcPr>
            <w:tcW w:w="1140" w:type="dxa"/>
            <w:tcBorders>
              <w:bottom w:val="nil"/>
            </w:tcBorders>
          </w:tcPr>
          <w:p w:rsidR="0031148D" w:rsidRPr="00614CC6" w:rsidRDefault="0031148D" w:rsidP="00AC302C">
            <w:pPr>
              <w:spacing w:before="90" w:after="100"/>
              <w:ind w:left="57"/>
              <w:rPr>
                <w:b/>
                <w:bCs/>
                <w:sz w:val="20"/>
                <w:lang w:val="en-US"/>
              </w:rPr>
            </w:pPr>
            <w:r w:rsidRPr="00614CC6">
              <w:rPr>
                <w:b/>
                <w:bCs/>
                <w:sz w:val="20"/>
                <w:lang w:val="en-US"/>
              </w:rPr>
              <w:t>Séries</w:t>
            </w:r>
          </w:p>
        </w:tc>
        <w:tc>
          <w:tcPr>
            <w:tcW w:w="8220" w:type="dxa"/>
            <w:tcBorders>
              <w:bottom w:val="nil"/>
            </w:tcBorders>
          </w:tcPr>
          <w:p w:rsidR="0031148D" w:rsidRPr="00614CC6"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1148D" w:rsidRPr="005E427C" w:rsidTr="00AC302C">
        <w:tc>
          <w:tcPr>
            <w:tcW w:w="1140" w:type="dxa"/>
            <w:tcBorders>
              <w:top w:val="nil"/>
              <w:bottom w:val="nil"/>
            </w:tcBorders>
            <w:shd w:val="clear" w:color="auto" w:fill="auto"/>
          </w:tcPr>
          <w:p w:rsidR="0031148D" w:rsidRPr="005E427C" w:rsidRDefault="0031148D" w:rsidP="00AC302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1148D" w:rsidRPr="005E427C"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1148D" w:rsidRPr="009454F8" w:rsidTr="00AC302C">
        <w:tc>
          <w:tcPr>
            <w:tcW w:w="1140" w:type="dxa"/>
            <w:tcBorders>
              <w:top w:val="nil"/>
              <w:bottom w:val="nil"/>
            </w:tcBorders>
          </w:tcPr>
          <w:p w:rsidR="0031148D" w:rsidRPr="00614CC6" w:rsidRDefault="0031148D" w:rsidP="00AC302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1148D" w:rsidRPr="00614CC6"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1148D" w:rsidRPr="00E80F1D" w:rsidTr="00AC302C">
        <w:tc>
          <w:tcPr>
            <w:tcW w:w="1140" w:type="dxa"/>
            <w:tcBorders>
              <w:top w:val="nil"/>
              <w:bottom w:val="nil"/>
            </w:tcBorders>
            <w:shd w:val="clear" w:color="auto" w:fill="auto"/>
          </w:tcPr>
          <w:p w:rsidR="0031148D" w:rsidRPr="00E80F1D" w:rsidRDefault="0031148D" w:rsidP="00AC302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1148D" w:rsidRPr="00E80F1D"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1148D" w:rsidRPr="00ED2695" w:rsidTr="00AC302C">
        <w:tc>
          <w:tcPr>
            <w:tcW w:w="1140" w:type="dxa"/>
            <w:tcBorders>
              <w:top w:val="nil"/>
              <w:bottom w:val="nil"/>
            </w:tcBorders>
            <w:shd w:val="clear" w:color="auto" w:fill="auto"/>
          </w:tcPr>
          <w:p w:rsidR="0031148D" w:rsidRPr="00614CC6" w:rsidRDefault="0031148D" w:rsidP="00AC302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1148D" w:rsidRPr="00614CC6"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1148D" w:rsidRPr="00DE5EA2" w:rsidTr="00AC302C">
        <w:tc>
          <w:tcPr>
            <w:tcW w:w="1140" w:type="dxa"/>
            <w:tcBorders>
              <w:top w:val="nil"/>
              <w:bottom w:val="nil"/>
            </w:tcBorders>
            <w:shd w:val="clear" w:color="auto" w:fill="auto"/>
          </w:tcPr>
          <w:p w:rsidR="0031148D" w:rsidRPr="00DE5EA2" w:rsidRDefault="0031148D" w:rsidP="00AC302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1148D" w:rsidRPr="00DE5EA2" w:rsidRDefault="0031148D"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1148D" w:rsidRPr="00B21066" w:rsidTr="00AC302C">
        <w:tc>
          <w:tcPr>
            <w:tcW w:w="1140" w:type="dxa"/>
            <w:tcBorders>
              <w:top w:val="nil"/>
              <w:bottom w:val="nil"/>
            </w:tcBorders>
            <w:shd w:val="clear" w:color="auto" w:fill="auto"/>
          </w:tcPr>
          <w:p w:rsidR="0031148D" w:rsidRPr="00B21066" w:rsidRDefault="0031148D" w:rsidP="00AC302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1148D" w:rsidRPr="00B21066" w:rsidRDefault="0031148D"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1148D" w:rsidRPr="00EC361D" w:rsidTr="00AC302C">
        <w:tc>
          <w:tcPr>
            <w:tcW w:w="1140" w:type="dxa"/>
            <w:tcBorders>
              <w:top w:val="nil"/>
              <w:bottom w:val="nil"/>
            </w:tcBorders>
            <w:shd w:val="clear" w:color="auto" w:fill="auto"/>
          </w:tcPr>
          <w:p w:rsidR="0031148D" w:rsidRPr="00EC361D" w:rsidRDefault="0031148D" w:rsidP="00AC302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31148D" w:rsidRPr="00EC361D" w:rsidRDefault="0031148D" w:rsidP="00AC302C">
            <w:pPr>
              <w:spacing w:before="30" w:after="30"/>
              <w:jc w:val="left"/>
              <w:rPr>
                <w:sz w:val="20"/>
                <w:lang w:val="fr-CH"/>
              </w:rPr>
            </w:pPr>
            <w:r w:rsidRPr="00EC361D">
              <w:rPr>
                <w:sz w:val="20"/>
              </w:rPr>
              <w:t>Propagation des ondes radioélectriques</w:t>
            </w:r>
          </w:p>
        </w:tc>
      </w:tr>
      <w:tr w:rsidR="0031148D" w:rsidRPr="004822EF" w:rsidTr="00AC302C">
        <w:tc>
          <w:tcPr>
            <w:tcW w:w="1140" w:type="dxa"/>
            <w:tcBorders>
              <w:top w:val="nil"/>
              <w:bottom w:val="nil"/>
            </w:tcBorders>
            <w:shd w:val="clear" w:color="auto" w:fill="auto"/>
          </w:tcPr>
          <w:p w:rsidR="0031148D" w:rsidRPr="004822EF" w:rsidRDefault="0031148D" w:rsidP="00AC302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31148D" w:rsidRPr="004822EF" w:rsidRDefault="0031148D"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1148D" w:rsidRPr="00326525" w:rsidTr="00AC302C">
        <w:tc>
          <w:tcPr>
            <w:tcW w:w="1140" w:type="dxa"/>
            <w:tcBorders>
              <w:top w:val="nil"/>
              <w:bottom w:val="nil"/>
            </w:tcBorders>
            <w:shd w:val="clear" w:color="auto" w:fill="auto"/>
          </w:tcPr>
          <w:p w:rsidR="0031148D" w:rsidRPr="00326525" w:rsidRDefault="0031148D" w:rsidP="00AC302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31148D" w:rsidRPr="00326525" w:rsidRDefault="0031148D"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1148D" w:rsidRPr="00C40D3E" w:rsidTr="00AC302C">
        <w:tc>
          <w:tcPr>
            <w:tcW w:w="1140" w:type="dxa"/>
            <w:tcBorders>
              <w:top w:val="nil"/>
              <w:bottom w:val="nil"/>
            </w:tcBorders>
            <w:shd w:val="clear" w:color="auto" w:fill="auto"/>
          </w:tcPr>
          <w:p w:rsidR="0031148D" w:rsidRPr="00C40D3E" w:rsidRDefault="0031148D" w:rsidP="00AC302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31148D" w:rsidRPr="00C40D3E" w:rsidRDefault="0031148D" w:rsidP="00AC302C">
            <w:pPr>
              <w:spacing w:before="30" w:after="30"/>
              <w:jc w:val="left"/>
              <w:rPr>
                <w:sz w:val="20"/>
                <w:lang w:val="en-US"/>
              </w:rPr>
            </w:pPr>
            <w:r w:rsidRPr="00C40D3E">
              <w:rPr>
                <w:sz w:val="20"/>
              </w:rPr>
              <w:t>Service fixe par satellite</w:t>
            </w:r>
          </w:p>
        </w:tc>
      </w:tr>
      <w:tr w:rsidR="0031148D" w:rsidRPr="00595D3D" w:rsidTr="00AC302C">
        <w:tc>
          <w:tcPr>
            <w:tcW w:w="1140" w:type="dxa"/>
            <w:tcBorders>
              <w:top w:val="nil"/>
              <w:bottom w:val="nil"/>
            </w:tcBorders>
            <w:shd w:val="clear" w:color="auto" w:fill="auto"/>
          </w:tcPr>
          <w:p w:rsidR="0031148D" w:rsidRPr="00595D3D" w:rsidRDefault="0031148D" w:rsidP="00AC302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31148D" w:rsidRPr="00595D3D" w:rsidRDefault="0031148D" w:rsidP="00AC302C">
            <w:pPr>
              <w:spacing w:before="30" w:after="30"/>
              <w:jc w:val="left"/>
              <w:rPr>
                <w:sz w:val="20"/>
                <w:lang w:val="en-US"/>
              </w:rPr>
            </w:pPr>
            <w:r w:rsidRPr="00595D3D">
              <w:rPr>
                <w:sz w:val="20"/>
              </w:rPr>
              <w:t>Applications spatiales et météorologie</w:t>
            </w:r>
          </w:p>
        </w:tc>
      </w:tr>
      <w:tr w:rsidR="0031148D" w:rsidRPr="009B5564" w:rsidTr="00AC302C">
        <w:tc>
          <w:tcPr>
            <w:tcW w:w="1140" w:type="dxa"/>
            <w:tcBorders>
              <w:top w:val="nil"/>
              <w:bottom w:val="nil"/>
            </w:tcBorders>
            <w:shd w:val="clear" w:color="auto" w:fill="auto"/>
          </w:tcPr>
          <w:p w:rsidR="0031148D" w:rsidRPr="009B5564" w:rsidRDefault="0031148D" w:rsidP="00AC302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31148D" w:rsidRPr="009B5564" w:rsidRDefault="0031148D" w:rsidP="00AC302C">
            <w:pPr>
              <w:spacing w:before="30" w:after="30"/>
              <w:jc w:val="left"/>
              <w:rPr>
                <w:bCs/>
                <w:sz w:val="20"/>
              </w:rPr>
            </w:pPr>
            <w:r w:rsidRPr="009B5564">
              <w:rPr>
                <w:bCs/>
                <w:sz w:val="20"/>
              </w:rPr>
              <w:t>Partage des fréquences et coordination entre les systèmes du service fixe par satellite et du service fixe</w:t>
            </w:r>
          </w:p>
        </w:tc>
      </w:tr>
      <w:tr w:rsidR="0031148D" w:rsidRPr="009B5564" w:rsidTr="00AC302C">
        <w:tc>
          <w:tcPr>
            <w:tcW w:w="1140" w:type="dxa"/>
            <w:tcBorders>
              <w:top w:val="nil"/>
              <w:bottom w:val="nil"/>
            </w:tcBorders>
            <w:shd w:val="clear" w:color="auto" w:fill="auto"/>
          </w:tcPr>
          <w:p w:rsidR="0031148D" w:rsidRPr="001B1BA9" w:rsidRDefault="0031148D" w:rsidP="00AC302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31148D" w:rsidRPr="001B1BA9" w:rsidRDefault="0031148D" w:rsidP="00AC302C">
            <w:pPr>
              <w:spacing w:before="30" w:after="30"/>
              <w:jc w:val="left"/>
              <w:rPr>
                <w:bCs/>
                <w:sz w:val="20"/>
                <w:lang w:val="en-US"/>
              </w:rPr>
            </w:pPr>
            <w:r w:rsidRPr="001B1BA9">
              <w:rPr>
                <w:bCs/>
                <w:sz w:val="20"/>
              </w:rPr>
              <w:t>Gestion du spectre</w:t>
            </w:r>
          </w:p>
        </w:tc>
      </w:tr>
      <w:tr w:rsidR="0031148D" w:rsidRPr="00DD5F95" w:rsidTr="00AC302C">
        <w:tc>
          <w:tcPr>
            <w:tcW w:w="1140" w:type="dxa"/>
            <w:tcBorders>
              <w:top w:val="nil"/>
              <w:bottom w:val="nil"/>
            </w:tcBorders>
            <w:shd w:val="clear" w:color="auto" w:fill="auto"/>
          </w:tcPr>
          <w:p w:rsidR="0031148D" w:rsidRPr="00DD5F95" w:rsidRDefault="0031148D" w:rsidP="00AC302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31148D" w:rsidRPr="00DD5F95" w:rsidRDefault="0031148D" w:rsidP="00AC302C">
            <w:pPr>
              <w:spacing w:before="30" w:after="30"/>
              <w:jc w:val="left"/>
              <w:rPr>
                <w:sz w:val="20"/>
                <w:lang w:val="en-US"/>
              </w:rPr>
            </w:pPr>
            <w:r w:rsidRPr="00DD5F95">
              <w:rPr>
                <w:sz w:val="20"/>
              </w:rPr>
              <w:t>Reportage d'actualités par satellite</w:t>
            </w:r>
          </w:p>
        </w:tc>
      </w:tr>
      <w:tr w:rsidR="0031148D" w:rsidRPr="00540102" w:rsidTr="00AC302C">
        <w:tc>
          <w:tcPr>
            <w:tcW w:w="1140" w:type="dxa"/>
            <w:tcBorders>
              <w:top w:val="nil"/>
              <w:bottom w:val="nil"/>
            </w:tcBorders>
            <w:shd w:val="clear" w:color="auto" w:fill="auto"/>
          </w:tcPr>
          <w:p w:rsidR="0031148D" w:rsidRPr="00540102" w:rsidRDefault="0031148D" w:rsidP="00AC302C">
            <w:pPr>
              <w:spacing w:before="30" w:after="30"/>
              <w:ind w:left="57"/>
              <w:jc w:val="left"/>
              <w:rPr>
                <w:b/>
                <w:bCs/>
                <w:sz w:val="20"/>
                <w:lang w:val="en-US"/>
              </w:rPr>
            </w:pPr>
            <w:r w:rsidRPr="00540102">
              <w:rPr>
                <w:b/>
                <w:bCs/>
                <w:sz w:val="20"/>
                <w:lang w:val="en-US"/>
              </w:rPr>
              <w:t>TF</w:t>
            </w:r>
          </w:p>
        </w:tc>
        <w:tc>
          <w:tcPr>
            <w:tcW w:w="8220" w:type="dxa"/>
            <w:tcBorders>
              <w:top w:val="nil"/>
              <w:bottom w:val="nil"/>
            </w:tcBorders>
            <w:shd w:val="clear" w:color="auto" w:fill="auto"/>
          </w:tcPr>
          <w:p w:rsidR="0031148D" w:rsidRPr="00540102" w:rsidRDefault="0031148D" w:rsidP="00AC302C">
            <w:pPr>
              <w:spacing w:before="30" w:after="30"/>
              <w:jc w:val="left"/>
              <w:rPr>
                <w:sz w:val="20"/>
              </w:rPr>
            </w:pPr>
            <w:r w:rsidRPr="00540102">
              <w:rPr>
                <w:sz w:val="20"/>
              </w:rPr>
              <w:t>Emissions de fréquences étalon et de signaux horaires</w:t>
            </w:r>
          </w:p>
        </w:tc>
      </w:tr>
      <w:tr w:rsidR="0031148D" w:rsidRPr="00540102" w:rsidTr="00AC302C">
        <w:tc>
          <w:tcPr>
            <w:tcW w:w="1140" w:type="dxa"/>
            <w:tcBorders>
              <w:top w:val="nil"/>
              <w:bottom w:val="single" w:sz="12" w:space="0" w:color="000080"/>
            </w:tcBorders>
            <w:shd w:val="clear" w:color="auto" w:fill="F3F3F3"/>
          </w:tcPr>
          <w:p w:rsidR="0031148D" w:rsidRPr="00540102" w:rsidRDefault="0031148D" w:rsidP="00AC302C">
            <w:pPr>
              <w:spacing w:before="30" w:after="30"/>
              <w:ind w:left="57"/>
              <w:jc w:val="left"/>
              <w:rPr>
                <w:b/>
                <w:bCs/>
                <w:color w:val="000080"/>
                <w:sz w:val="20"/>
                <w:lang w:val="en-US"/>
              </w:rPr>
            </w:pPr>
            <w:r w:rsidRPr="00540102">
              <w:rPr>
                <w:b/>
                <w:bCs/>
                <w:color w:val="000080"/>
                <w:sz w:val="20"/>
                <w:lang w:val="en-US"/>
              </w:rPr>
              <w:t>V</w:t>
            </w:r>
          </w:p>
        </w:tc>
        <w:tc>
          <w:tcPr>
            <w:tcW w:w="8220" w:type="dxa"/>
            <w:tcBorders>
              <w:top w:val="nil"/>
              <w:bottom w:val="single" w:sz="12" w:space="0" w:color="000080"/>
            </w:tcBorders>
            <w:shd w:val="clear" w:color="auto" w:fill="F3F3F3"/>
          </w:tcPr>
          <w:p w:rsidR="0031148D" w:rsidRPr="00540102" w:rsidRDefault="0031148D" w:rsidP="00AC302C">
            <w:pPr>
              <w:spacing w:before="30" w:after="140"/>
              <w:jc w:val="left"/>
              <w:rPr>
                <w:b/>
                <w:bCs/>
                <w:color w:val="000080"/>
                <w:sz w:val="20"/>
                <w:lang w:val="en-US"/>
              </w:rPr>
            </w:pPr>
            <w:r w:rsidRPr="00540102">
              <w:rPr>
                <w:b/>
                <w:bCs/>
                <w:color w:val="000080"/>
                <w:sz w:val="20"/>
              </w:rPr>
              <w:t>Vocabulaire et sujets associés</w:t>
            </w:r>
          </w:p>
        </w:tc>
      </w:tr>
    </w:tbl>
    <w:p w:rsidR="0031148D" w:rsidRPr="00036EE3" w:rsidRDefault="0031148D" w:rsidP="0031148D">
      <w:pPr>
        <w:spacing w:before="0"/>
        <w:jc w:val="center"/>
        <w:rPr>
          <w:sz w:val="20"/>
          <w:lang w:val="en-US"/>
        </w:rPr>
      </w:pPr>
    </w:p>
    <w:p w:rsidR="0031148D" w:rsidRPr="00036EE3" w:rsidRDefault="0031148D" w:rsidP="0031148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1148D" w:rsidRPr="00756B4D" w:rsidTr="00AC302C">
        <w:tc>
          <w:tcPr>
            <w:tcW w:w="9360" w:type="dxa"/>
          </w:tcPr>
          <w:p w:rsidR="0031148D" w:rsidRPr="00756B4D" w:rsidRDefault="0031148D" w:rsidP="00AC302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1148D" w:rsidRPr="00756B4D" w:rsidRDefault="0031148D" w:rsidP="0031148D">
      <w:pPr>
        <w:spacing w:before="0"/>
        <w:jc w:val="center"/>
        <w:rPr>
          <w:sz w:val="22"/>
        </w:rPr>
      </w:pPr>
    </w:p>
    <w:p w:rsidR="0031148D" w:rsidRPr="00614CC6" w:rsidRDefault="0031148D" w:rsidP="0031148D">
      <w:pPr>
        <w:spacing w:before="100"/>
        <w:jc w:val="right"/>
        <w:rPr>
          <w:i/>
          <w:iCs/>
          <w:sz w:val="20"/>
        </w:rPr>
      </w:pPr>
      <w:r w:rsidRPr="00614CC6">
        <w:rPr>
          <w:i/>
          <w:iCs/>
          <w:sz w:val="20"/>
        </w:rPr>
        <w:t>Publication électronique</w:t>
      </w:r>
    </w:p>
    <w:p w:rsidR="0031148D" w:rsidRPr="00614CC6" w:rsidRDefault="0031148D" w:rsidP="0031148D">
      <w:pPr>
        <w:spacing w:before="0"/>
        <w:jc w:val="right"/>
        <w:rPr>
          <w:sz w:val="20"/>
        </w:rPr>
      </w:pPr>
      <w:r w:rsidRPr="00614CC6">
        <w:rPr>
          <w:sz w:val="20"/>
        </w:rPr>
        <w:t>Genève, 20</w:t>
      </w:r>
      <w:r>
        <w:rPr>
          <w:sz w:val="20"/>
        </w:rPr>
        <w:t>16</w:t>
      </w:r>
    </w:p>
    <w:p w:rsidR="0031148D" w:rsidRPr="00614CC6" w:rsidRDefault="0031148D" w:rsidP="0031148D">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16</w:t>
      </w:r>
    </w:p>
    <w:p w:rsidR="0031148D" w:rsidRPr="00614CC6" w:rsidRDefault="0031148D" w:rsidP="0031148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1148D" w:rsidRPr="00614CC6" w:rsidRDefault="0031148D" w:rsidP="0031148D">
      <w:pPr>
        <w:spacing w:before="160"/>
        <w:rPr>
          <w:i/>
          <w:sz w:val="20"/>
          <w:highlight w:val="yellow"/>
        </w:rPr>
        <w:sectPr w:rsidR="0031148D"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31148D" w:rsidRPr="00756B4D" w:rsidRDefault="0031148D" w:rsidP="0031148D">
      <w:pPr>
        <w:pStyle w:val="RecNo"/>
        <w:spacing w:before="0"/>
      </w:pPr>
      <w:bookmarkStart w:id="2" w:name="irecnoe"/>
      <w:bookmarkEnd w:id="2"/>
      <w:r w:rsidRPr="00756B4D">
        <w:lastRenderedPageBreak/>
        <w:t xml:space="preserve">RECOMMANDATION  </w:t>
      </w:r>
      <w:r>
        <w:rPr>
          <w:rStyle w:val="href"/>
        </w:rPr>
        <w:t>U</w:t>
      </w:r>
      <w:bookmarkStart w:id="3" w:name="_GoBack"/>
      <w:bookmarkEnd w:id="3"/>
      <w:r>
        <w:rPr>
          <w:rStyle w:val="href"/>
        </w:rPr>
        <w:t>IT</w:t>
      </w:r>
      <w:r w:rsidRPr="00756B4D">
        <w:rPr>
          <w:rStyle w:val="href"/>
        </w:rPr>
        <w:t xml:space="preserve">-R  </w:t>
      </w:r>
      <w:r>
        <w:rPr>
          <w:rStyle w:val="href"/>
        </w:rPr>
        <w:t>V</w:t>
      </w:r>
      <w:r w:rsidRPr="00756B4D">
        <w:rPr>
          <w:rStyle w:val="href"/>
        </w:rPr>
        <w:t>.</w:t>
      </w:r>
      <w:r>
        <w:rPr>
          <w:rStyle w:val="href"/>
        </w:rPr>
        <w:t>574-5</w:t>
      </w:r>
    </w:p>
    <w:p w:rsidR="0031148D" w:rsidRPr="00537143" w:rsidRDefault="0031148D" w:rsidP="0031148D">
      <w:pPr>
        <w:pStyle w:val="Rectitle"/>
        <w:rPr>
          <w:sz w:val="22"/>
          <w:szCs w:val="22"/>
          <w:lang w:val="fr-CH"/>
        </w:rPr>
      </w:pPr>
      <w:r>
        <w:rPr>
          <w:lang w:val="fr-CH"/>
        </w:rPr>
        <w:t xml:space="preserve">Emploi du décibel et du néper dans les </w:t>
      </w:r>
      <w:r w:rsidRPr="00537143">
        <w:rPr>
          <w:lang w:val="fr-CH"/>
        </w:rPr>
        <w:t>télécommunications</w:t>
      </w:r>
      <w:r w:rsidRPr="00537143">
        <w:rPr>
          <w:rStyle w:val="FootnoteReference"/>
          <w:sz w:val="22"/>
          <w:szCs w:val="22"/>
          <w:vertAlign w:val="superscript"/>
          <w:lang w:val="fr-CH"/>
        </w:rPr>
        <w:footnoteReference w:customMarkFollows="1" w:id="1"/>
        <w:t>*</w:t>
      </w:r>
      <w:r w:rsidRPr="00537143">
        <w:rPr>
          <w:sz w:val="22"/>
          <w:szCs w:val="22"/>
          <w:vertAlign w:val="superscript"/>
          <w:lang w:val="fr-CH"/>
        </w:rPr>
        <w:t xml:space="preserve">, </w:t>
      </w:r>
      <w:r w:rsidRPr="00537143">
        <w:rPr>
          <w:rStyle w:val="FootnoteReference"/>
          <w:sz w:val="22"/>
          <w:szCs w:val="22"/>
          <w:vertAlign w:val="superscript"/>
          <w:lang w:val="fr-CH"/>
        </w:rPr>
        <w:footnoteReference w:customMarkFollows="1" w:id="2"/>
        <w:t>**</w:t>
      </w:r>
    </w:p>
    <w:p w:rsidR="0031148D" w:rsidRDefault="0031148D" w:rsidP="0031148D">
      <w:pPr>
        <w:pStyle w:val="RecTitleDate"/>
        <w:spacing w:before="0"/>
      </w:pPr>
    </w:p>
    <w:p w:rsidR="0031148D" w:rsidRPr="00537143" w:rsidRDefault="0031148D" w:rsidP="0031148D">
      <w:pPr>
        <w:pStyle w:val="RecTitleDate"/>
        <w:rPr>
          <w:szCs w:val="24"/>
        </w:rPr>
      </w:pPr>
      <w:r w:rsidRPr="00537143">
        <w:rPr>
          <w:szCs w:val="24"/>
        </w:rPr>
        <w:t>(1978-1982-</w:t>
      </w:r>
      <w:r w:rsidRPr="00537143">
        <w:rPr>
          <w:szCs w:val="24"/>
          <w:lang w:val="fr-CH"/>
        </w:rPr>
        <w:t>1986</w:t>
      </w:r>
      <w:r w:rsidRPr="00537143">
        <w:rPr>
          <w:szCs w:val="24"/>
        </w:rPr>
        <w:t>-1990-</w:t>
      </w:r>
      <w:r w:rsidRPr="00537143">
        <w:rPr>
          <w:szCs w:val="24"/>
          <w:lang w:val="fr-CH"/>
        </w:rPr>
        <w:t>2000</w:t>
      </w:r>
      <w:r w:rsidRPr="00537143">
        <w:rPr>
          <w:szCs w:val="24"/>
        </w:rPr>
        <w:t>-2015)</w:t>
      </w:r>
    </w:p>
    <w:p w:rsidR="0031148D" w:rsidRDefault="0031148D" w:rsidP="0031148D">
      <w:pPr>
        <w:pStyle w:val="headfoot"/>
      </w:pPr>
      <w:r>
        <w:t>Rec. UIT-R V.574-4</w:t>
      </w:r>
    </w:p>
    <w:p w:rsidR="0031148D" w:rsidRPr="00537143" w:rsidRDefault="0031148D" w:rsidP="0031148D">
      <w:pPr>
        <w:pStyle w:val="HeadingSum"/>
        <w:rPr>
          <w:lang w:val="fr-CH"/>
        </w:rPr>
      </w:pPr>
      <w:r w:rsidRPr="00537143">
        <w:rPr>
          <w:lang w:val="fr-CH"/>
        </w:rPr>
        <w:t>Domaine d'application</w:t>
      </w:r>
    </w:p>
    <w:p w:rsidR="0031148D" w:rsidRPr="00537143" w:rsidRDefault="0031148D" w:rsidP="0031148D">
      <w:pPr>
        <w:pStyle w:val="Summary"/>
        <w:spacing w:after="0"/>
        <w:rPr>
          <w:lang w:val="fr-CH"/>
        </w:rPr>
      </w:pPr>
      <w:r w:rsidRPr="00537143">
        <w:rPr>
          <w:lang w:val="fr-CH"/>
        </w:rPr>
        <w:t>Ce texte recommande les symboles à utiliser pour l'expression logarithmique des grandeurs en relation avec la puissance et fournit des exemples aussi bien de l'emploi du décibel et du néper que de la relation entre eux.</w:t>
      </w:r>
    </w:p>
    <w:p w:rsidR="0031148D" w:rsidRPr="00537143" w:rsidRDefault="0031148D" w:rsidP="0031148D">
      <w:pPr>
        <w:pStyle w:val="Headingb"/>
        <w:rPr>
          <w:szCs w:val="24"/>
          <w:lang w:val="fr-CH"/>
        </w:rPr>
      </w:pPr>
      <w:r w:rsidRPr="00537143">
        <w:rPr>
          <w:szCs w:val="24"/>
          <w:lang w:val="fr-CH"/>
        </w:rPr>
        <w:t>Mots clés</w:t>
      </w:r>
    </w:p>
    <w:p w:rsidR="0031148D" w:rsidRPr="00537143" w:rsidRDefault="0031148D" w:rsidP="0031148D">
      <w:pPr>
        <w:rPr>
          <w:szCs w:val="24"/>
          <w:lang w:val="fr-CH" w:eastAsia="ja-JP"/>
        </w:rPr>
      </w:pPr>
      <w:r w:rsidRPr="00537143">
        <w:rPr>
          <w:szCs w:val="24"/>
          <w:lang w:val="fr-CH" w:eastAsia="ja-JP"/>
        </w:rPr>
        <w:t>Décibel, néper</w:t>
      </w:r>
    </w:p>
    <w:p w:rsidR="0031148D" w:rsidRPr="00537143" w:rsidRDefault="0031148D" w:rsidP="0031148D">
      <w:pPr>
        <w:pStyle w:val="Headingb"/>
        <w:rPr>
          <w:szCs w:val="24"/>
          <w:lang w:val="fr-CH"/>
        </w:rPr>
      </w:pPr>
      <w:bookmarkStart w:id="4" w:name="_Toc368428505"/>
      <w:bookmarkStart w:id="5" w:name="_Toc368428583"/>
      <w:bookmarkStart w:id="6" w:name="_Toc368430174"/>
      <w:bookmarkStart w:id="7" w:name="_Toc369007123"/>
      <w:r w:rsidRPr="00537143">
        <w:rPr>
          <w:szCs w:val="24"/>
          <w:lang w:val="fr-CH"/>
        </w:rPr>
        <w:t>Recommandation</w:t>
      </w:r>
      <w:bookmarkEnd w:id="4"/>
      <w:bookmarkEnd w:id="5"/>
      <w:bookmarkEnd w:id="6"/>
      <w:bookmarkEnd w:id="7"/>
      <w:r w:rsidRPr="00537143">
        <w:rPr>
          <w:szCs w:val="24"/>
          <w:lang w:val="fr-CH"/>
        </w:rPr>
        <w:t>s connexes de l'UIT</w:t>
      </w:r>
    </w:p>
    <w:p w:rsidR="0031148D" w:rsidRPr="00537143" w:rsidRDefault="0031148D" w:rsidP="0031148D">
      <w:pPr>
        <w:rPr>
          <w:szCs w:val="24"/>
          <w:lang w:val="fr-CH"/>
        </w:rPr>
      </w:pPr>
      <w:r w:rsidRPr="00537143">
        <w:rPr>
          <w:szCs w:val="24"/>
          <w:lang w:val="fr-CH"/>
        </w:rPr>
        <w:t>Recommandation UIT-R V.430-4</w:t>
      </w:r>
      <w:r w:rsidRPr="00537143">
        <w:rPr>
          <w:szCs w:val="24"/>
          <w:lang w:val="fr-CH"/>
        </w:rPr>
        <w:tab/>
        <w:t>Emploi du système international d'unités (SI)</w:t>
      </w:r>
    </w:p>
    <w:p w:rsidR="0031148D" w:rsidRPr="00537143" w:rsidRDefault="0031148D" w:rsidP="0031148D">
      <w:pPr>
        <w:ind w:left="3600" w:hanging="3600"/>
        <w:rPr>
          <w:szCs w:val="24"/>
          <w:lang w:val="fr-CH"/>
        </w:rPr>
      </w:pPr>
      <w:r w:rsidRPr="00537143">
        <w:rPr>
          <w:szCs w:val="24"/>
          <w:lang w:val="fr-CH"/>
        </w:rPr>
        <w:t>Recommandation UIT-R V.431-8</w:t>
      </w:r>
      <w:r w:rsidRPr="00537143">
        <w:rPr>
          <w:szCs w:val="24"/>
          <w:lang w:val="fr-CH"/>
        </w:rPr>
        <w:tab/>
        <w:t>Nomenclature des bandes de fréquences et de longueurs d'onde employées en télécommunication</w:t>
      </w:r>
    </w:p>
    <w:p w:rsidR="0031148D" w:rsidRPr="00537143" w:rsidRDefault="0031148D" w:rsidP="0031148D">
      <w:pPr>
        <w:rPr>
          <w:szCs w:val="24"/>
          <w:lang w:val="fr-CH"/>
        </w:rPr>
      </w:pPr>
      <w:r w:rsidRPr="00537143">
        <w:rPr>
          <w:szCs w:val="24"/>
          <w:lang w:val="fr-CH"/>
        </w:rPr>
        <w:t>Recommandation UIT-R V.573-6</w:t>
      </w:r>
      <w:r w:rsidRPr="00537143">
        <w:rPr>
          <w:szCs w:val="24"/>
          <w:lang w:val="fr-CH"/>
        </w:rPr>
        <w:tab/>
      </w:r>
      <w:r w:rsidRPr="00537143">
        <w:rPr>
          <w:szCs w:val="24"/>
        </w:rPr>
        <w:t>Vocab</w:t>
      </w:r>
      <w:r>
        <w:rPr>
          <w:szCs w:val="24"/>
        </w:rPr>
        <w:t>ulaire des radiocommunications</w:t>
      </w:r>
    </w:p>
    <w:p w:rsidR="0031148D" w:rsidRPr="00537143" w:rsidRDefault="0031148D" w:rsidP="0031148D">
      <w:pPr>
        <w:rPr>
          <w:szCs w:val="24"/>
          <w:lang w:val="fr-CH"/>
        </w:rPr>
      </w:pPr>
      <w:r w:rsidRPr="00537143">
        <w:rPr>
          <w:szCs w:val="24"/>
          <w:lang w:val="fr-CH"/>
        </w:rPr>
        <w:t>Recommandation UIT-R V.665-3</w:t>
      </w:r>
      <w:r w:rsidRPr="00537143">
        <w:rPr>
          <w:szCs w:val="24"/>
          <w:lang w:val="fr-CH"/>
        </w:rPr>
        <w:tab/>
        <w:t>Unité d'intensité du</w:t>
      </w:r>
      <w:r>
        <w:rPr>
          <w:szCs w:val="24"/>
          <w:lang w:val="fr-CH"/>
        </w:rPr>
        <w:t xml:space="preserve"> trafic</w:t>
      </w:r>
    </w:p>
    <w:p w:rsidR="0031148D" w:rsidRPr="00537143" w:rsidRDefault="0031148D" w:rsidP="0031148D">
      <w:pPr>
        <w:pStyle w:val="Normalaftertitle0"/>
        <w:rPr>
          <w:szCs w:val="24"/>
          <w:lang w:val="fr-CH"/>
        </w:rPr>
      </w:pPr>
      <w:r w:rsidRPr="00537143">
        <w:rPr>
          <w:szCs w:val="24"/>
          <w:lang w:val="fr-CH"/>
        </w:rPr>
        <w:t>L'Assemblée des radiocommunications de l'UIT,</w:t>
      </w:r>
    </w:p>
    <w:p w:rsidR="0031148D" w:rsidRPr="00537143" w:rsidRDefault="0031148D" w:rsidP="0031148D">
      <w:pPr>
        <w:pStyle w:val="Call"/>
        <w:rPr>
          <w:szCs w:val="24"/>
        </w:rPr>
      </w:pPr>
      <w:r w:rsidRPr="00537143">
        <w:rPr>
          <w:szCs w:val="24"/>
        </w:rPr>
        <w:t>considérant</w:t>
      </w:r>
    </w:p>
    <w:p w:rsidR="0031148D" w:rsidRPr="00537143" w:rsidRDefault="0031148D" w:rsidP="0031148D">
      <w:pPr>
        <w:rPr>
          <w:szCs w:val="24"/>
        </w:rPr>
      </w:pPr>
      <w:r w:rsidRPr="00537143">
        <w:rPr>
          <w:i/>
          <w:iCs/>
          <w:szCs w:val="24"/>
        </w:rPr>
        <w:t>a)</w:t>
      </w:r>
      <w:r w:rsidRPr="00537143">
        <w:rPr>
          <w:szCs w:val="24"/>
        </w:rPr>
        <w:tab/>
        <w:t>l'utilisation fréquente par l'UIT du décibel et du néper pour exprimer les grandeurs;</w:t>
      </w:r>
    </w:p>
    <w:p w:rsidR="0031148D" w:rsidRPr="00537143" w:rsidRDefault="0031148D" w:rsidP="0031148D">
      <w:pPr>
        <w:rPr>
          <w:szCs w:val="24"/>
        </w:rPr>
      </w:pPr>
      <w:r w:rsidRPr="00537143">
        <w:rPr>
          <w:i/>
          <w:iCs/>
          <w:szCs w:val="24"/>
        </w:rPr>
        <w:t>b)</w:t>
      </w:r>
      <w:r w:rsidRPr="00537143">
        <w:rPr>
          <w:szCs w:val="24"/>
        </w:rPr>
        <w:tab/>
        <w:t>la Norme internationale CEI</w:t>
      </w:r>
      <w:r w:rsidRPr="00537143">
        <w:rPr>
          <w:rFonts w:ascii="Tms Rmn" w:hAnsi="Tms Rmn"/>
          <w:szCs w:val="24"/>
        </w:rPr>
        <w:t>  </w:t>
      </w:r>
      <w:r w:rsidRPr="00537143">
        <w:rPr>
          <w:szCs w:val="24"/>
        </w:rPr>
        <w:t>60027-3 sur les «Grandeurs logarithmiques et connexes, et leurs unités» de la Commission électrotechnique internationale;</w:t>
      </w:r>
    </w:p>
    <w:p w:rsidR="0031148D" w:rsidRPr="00537143" w:rsidRDefault="0031148D" w:rsidP="0031148D">
      <w:pPr>
        <w:rPr>
          <w:szCs w:val="24"/>
        </w:rPr>
      </w:pPr>
      <w:r w:rsidRPr="00537143">
        <w:rPr>
          <w:i/>
          <w:iCs/>
          <w:szCs w:val="24"/>
        </w:rPr>
        <w:t>c)</w:t>
      </w:r>
      <w:r w:rsidRPr="00537143">
        <w:rPr>
          <w:szCs w:val="24"/>
        </w:rPr>
        <w:tab/>
        <w:t xml:space="preserve">la Norme internationale </w:t>
      </w:r>
      <w:r w:rsidRPr="00537143">
        <w:rPr>
          <w:szCs w:val="24"/>
          <w:lang w:val="fr-CH"/>
        </w:rPr>
        <w:t>ISO</w:t>
      </w:r>
      <w:r w:rsidRPr="00537143">
        <w:rPr>
          <w:rFonts w:ascii="Tms Rmn" w:hAnsi="Tms Rmn"/>
          <w:szCs w:val="24"/>
          <w:lang w:val="fr-CH"/>
        </w:rPr>
        <w:t>  </w:t>
      </w:r>
      <w:r w:rsidRPr="00537143">
        <w:rPr>
          <w:szCs w:val="24"/>
          <w:lang w:val="fr-CH"/>
        </w:rPr>
        <w:t xml:space="preserve">80000 </w:t>
      </w:r>
      <w:r w:rsidRPr="00537143">
        <w:rPr>
          <w:szCs w:val="24"/>
        </w:rPr>
        <w:t>de l'Organisation internationale de normalisation sur les grandeurs et unités;</w:t>
      </w:r>
    </w:p>
    <w:p w:rsidR="0031148D" w:rsidRPr="00537143" w:rsidRDefault="0031148D" w:rsidP="0031148D">
      <w:pPr>
        <w:rPr>
          <w:szCs w:val="24"/>
        </w:rPr>
      </w:pPr>
      <w:r w:rsidRPr="00537143">
        <w:rPr>
          <w:i/>
          <w:iCs/>
          <w:szCs w:val="24"/>
        </w:rPr>
        <w:t>d)</w:t>
      </w:r>
      <w:r w:rsidRPr="00537143">
        <w:rPr>
          <w:szCs w:val="24"/>
        </w:rPr>
        <w:tab/>
        <w:t>la commodité d'utiliser une seule unité pour exprimer sous forme logarithmique les valeurs numériques des spécifications internationales et les résultats de mesures dans les échanges au niveau international;</w:t>
      </w:r>
    </w:p>
    <w:p w:rsidR="0031148D" w:rsidRPr="00537143" w:rsidRDefault="0031148D" w:rsidP="0031148D">
      <w:pPr>
        <w:rPr>
          <w:szCs w:val="24"/>
        </w:rPr>
      </w:pPr>
      <w:r w:rsidRPr="00537143">
        <w:rPr>
          <w:i/>
          <w:iCs/>
          <w:szCs w:val="24"/>
        </w:rPr>
        <w:t>e)</w:t>
      </w:r>
      <w:r w:rsidRPr="00537143">
        <w:rPr>
          <w:szCs w:val="24"/>
        </w:rPr>
        <w:tab/>
        <w:t>l'emploi, dans les radiocommunications, du seul décibel pour exprimer des résultats de mesures sous forme logarithmique,</w:t>
      </w:r>
    </w:p>
    <w:p w:rsidR="0031148D" w:rsidRPr="00537143" w:rsidRDefault="0031148D" w:rsidP="0031148D">
      <w:pPr>
        <w:pStyle w:val="Call"/>
      </w:pPr>
      <w:r w:rsidRPr="00537143">
        <w:t xml:space="preserve">recommande </w:t>
      </w:r>
    </w:p>
    <w:p w:rsidR="0031148D" w:rsidRDefault="0031148D" w:rsidP="0031148D">
      <w:pPr>
        <w:rPr>
          <w:szCs w:val="24"/>
        </w:rPr>
      </w:pPr>
      <w:r w:rsidRPr="00537143">
        <w:rPr>
          <w:b/>
          <w:bCs/>
          <w:szCs w:val="24"/>
        </w:rPr>
        <w:t>1</w:t>
      </w:r>
      <w:r w:rsidRPr="00537143">
        <w:rPr>
          <w:szCs w:val="24"/>
        </w:rPr>
        <w:tab/>
        <w:t>que les symboles utilisés pour l'expression logarithmique de grandeurs en relation directe ou indirecte avec une puissance soient choisis selon les dir</w:t>
      </w:r>
      <w:r>
        <w:rPr>
          <w:szCs w:val="24"/>
        </w:rPr>
        <w:t>ectives contenues dans l'Annexe </w:t>
      </w:r>
      <w:r w:rsidRPr="00537143">
        <w:rPr>
          <w:szCs w:val="24"/>
        </w:rPr>
        <w:t>1.</w:t>
      </w:r>
      <w:bookmarkStart w:id="8" w:name="_Toc122852778"/>
    </w:p>
    <w:p w:rsidR="0031148D" w:rsidRPr="00537143" w:rsidRDefault="0031148D" w:rsidP="0031148D">
      <w:pPr>
        <w:pStyle w:val="Annextitle"/>
      </w:pPr>
      <w:r w:rsidRPr="00537143">
        <w:lastRenderedPageBreak/>
        <w:t>Annexe  1</w:t>
      </w:r>
      <w:bookmarkStart w:id="9" w:name="_Toc122852779"/>
      <w:bookmarkEnd w:id="8"/>
      <w:r>
        <w:br/>
      </w:r>
      <w:r>
        <w:br/>
      </w:r>
      <w:r w:rsidRPr="00537143">
        <w:t>Emploi du décibel et du néper</w:t>
      </w:r>
      <w:bookmarkEnd w:id="9"/>
    </w:p>
    <w:p w:rsidR="0031148D" w:rsidRPr="00537143" w:rsidRDefault="0031148D" w:rsidP="0031148D">
      <w:pPr>
        <w:pStyle w:val="Heading1"/>
        <w:rPr>
          <w:szCs w:val="24"/>
        </w:rPr>
      </w:pPr>
      <w:bookmarkStart w:id="10" w:name="_Toc122852780"/>
      <w:r w:rsidRPr="00537143">
        <w:rPr>
          <w:szCs w:val="24"/>
        </w:rPr>
        <w:t>1</w:t>
      </w:r>
      <w:r w:rsidRPr="00537143">
        <w:rPr>
          <w:szCs w:val="24"/>
        </w:rPr>
        <w:tab/>
        <w:t>Définition du décibel</w:t>
      </w:r>
      <w:bookmarkEnd w:id="10"/>
    </w:p>
    <w:p w:rsidR="0031148D" w:rsidRPr="00537143" w:rsidRDefault="0031148D" w:rsidP="0031148D">
      <w:pPr>
        <w:rPr>
          <w:szCs w:val="24"/>
        </w:rPr>
      </w:pPr>
      <w:r w:rsidRPr="00537143">
        <w:rPr>
          <w:b/>
          <w:bCs/>
          <w:szCs w:val="24"/>
        </w:rPr>
        <w:t>1.1</w:t>
      </w:r>
      <w:r w:rsidRPr="00537143">
        <w:rPr>
          <w:szCs w:val="24"/>
        </w:rPr>
        <w:tab/>
        <w:t>Le</w:t>
      </w:r>
      <w:r w:rsidRPr="00537143">
        <w:rPr>
          <w:i/>
          <w:szCs w:val="24"/>
        </w:rPr>
        <w:t xml:space="preserve"> bel</w:t>
      </w:r>
      <w:r w:rsidRPr="00537143">
        <w:rPr>
          <w:szCs w:val="24"/>
        </w:rPr>
        <w:t xml:space="preserve"> (symbole B) sert à exprimer</w:t>
      </w:r>
      <w:r w:rsidRPr="00537143">
        <w:rPr>
          <w:i/>
          <w:szCs w:val="24"/>
        </w:rPr>
        <w:t xml:space="preserve"> le rapport de deux puissances</w:t>
      </w:r>
      <w:r w:rsidRPr="00537143">
        <w:rPr>
          <w:szCs w:val="24"/>
        </w:rPr>
        <w:t xml:space="preserve"> par le logarithme décimal de ce rapport. Cette unité est désuète et en pratique, on emploie le</w:t>
      </w:r>
      <w:r w:rsidRPr="00537143">
        <w:rPr>
          <w:i/>
          <w:szCs w:val="24"/>
        </w:rPr>
        <w:t xml:space="preserve"> décibel</w:t>
      </w:r>
      <w:r w:rsidRPr="00537143">
        <w:rPr>
          <w:szCs w:val="24"/>
        </w:rPr>
        <w:t xml:space="preserve"> (symbole dB) qui est le dixième du bel.</w:t>
      </w:r>
    </w:p>
    <w:p w:rsidR="0031148D" w:rsidRPr="00537143" w:rsidRDefault="0031148D" w:rsidP="00384EB6">
      <w:pPr>
        <w:rPr>
          <w:szCs w:val="24"/>
        </w:rPr>
      </w:pPr>
      <w:r w:rsidRPr="00537143">
        <w:rPr>
          <w:b/>
          <w:bCs/>
          <w:szCs w:val="24"/>
        </w:rPr>
        <w:t>1.2</w:t>
      </w:r>
      <w:r w:rsidRPr="00537143">
        <w:rPr>
          <w:szCs w:val="24"/>
        </w:rPr>
        <w:tab/>
        <w:t>Le décibel permet aussi d'exprimer le rapport de deux</w:t>
      </w:r>
      <w:r w:rsidRPr="00537143">
        <w:rPr>
          <w:i/>
          <w:szCs w:val="24"/>
        </w:rPr>
        <w:t xml:space="preserve"> grandeurs de champ</w:t>
      </w:r>
      <w:r w:rsidRPr="00537143">
        <w:rPr>
          <w:szCs w:val="24"/>
        </w:rPr>
        <w:t>, telles qu'une tension, un courant, une pression acoustique, un champ électrique, une vitesse ou une densité de charge, dont le carré est proportionnel à une puissance dans les systèmes linéaires. Pour obtenir la même valeur numérique qu'avec un rapport de puissances, le logarithme du rapport des grandeurs de champ est multiplié par le facteur 20, en supposant que les impédances sont égales.</w:t>
      </w:r>
    </w:p>
    <w:p w:rsidR="0031148D" w:rsidRPr="00537143" w:rsidRDefault="0031148D" w:rsidP="0031148D">
      <w:pPr>
        <w:rPr>
          <w:szCs w:val="24"/>
        </w:rPr>
      </w:pPr>
      <w:r w:rsidRPr="00537143">
        <w:rPr>
          <w:szCs w:val="24"/>
        </w:rPr>
        <w:t>La relation entre un rapport de courants ou de tensions et le rapport des puissances correspondantes dépend des impédances. Par conséquent, si les impédances sont inégales, il ne convient d'utiliser le décibel que si des précisions sont fournies sur ces impédances.</w:t>
      </w:r>
    </w:p>
    <w:p w:rsidR="0031148D" w:rsidRPr="00537143" w:rsidRDefault="0031148D" w:rsidP="00384EB6">
      <w:pPr>
        <w:rPr>
          <w:szCs w:val="24"/>
        </w:rPr>
      </w:pPr>
      <w:r w:rsidRPr="00537143">
        <w:rPr>
          <w:szCs w:val="24"/>
        </w:rPr>
        <w:t>Par exemple, si</w:t>
      </w:r>
      <w:r w:rsidRPr="00537143">
        <w:rPr>
          <w:i/>
          <w:szCs w:val="24"/>
        </w:rPr>
        <w:t xml:space="preserve"> P</w:t>
      </w:r>
      <w:r w:rsidR="00384EB6" w:rsidRPr="00384EB6">
        <w:rPr>
          <w:iCs/>
          <w:szCs w:val="24"/>
          <w:vertAlign w:val="subscript"/>
        </w:rPr>
        <w:t>1</w:t>
      </w:r>
      <w:r w:rsidRPr="00537143">
        <w:rPr>
          <w:szCs w:val="24"/>
        </w:rPr>
        <w:t xml:space="preserve"> et</w:t>
      </w:r>
      <w:r w:rsidRPr="00537143">
        <w:rPr>
          <w:i/>
          <w:szCs w:val="24"/>
        </w:rPr>
        <w:t xml:space="preserve"> P</w:t>
      </w:r>
      <w:r w:rsidR="00384EB6" w:rsidRPr="00384EB6">
        <w:rPr>
          <w:iCs/>
          <w:szCs w:val="24"/>
          <w:vertAlign w:val="subscript"/>
        </w:rPr>
        <w:t>2</w:t>
      </w:r>
      <w:r w:rsidRPr="00537143">
        <w:rPr>
          <w:szCs w:val="24"/>
        </w:rPr>
        <w:t xml:space="preserve"> sont deux puissances, leur rapport exprimé en décibels est:</w:t>
      </w:r>
    </w:p>
    <w:p w:rsidR="00384EB6" w:rsidRPr="00384EB6" w:rsidRDefault="00384EB6" w:rsidP="00384EB6">
      <w:pPr>
        <w:pStyle w:val="Equation"/>
        <w:jc w:val="center"/>
        <w:rPr>
          <w:lang w:val="fr-CH"/>
        </w:rPr>
      </w:pPr>
      <w:r w:rsidRPr="00384EB6">
        <w:rPr>
          <w:lang w:val="fr-CH"/>
        </w:rPr>
        <w:t>10 lg (</w:t>
      </w:r>
      <w:r w:rsidRPr="00384EB6">
        <w:rPr>
          <w:i/>
          <w:lang w:val="fr-CH"/>
        </w:rPr>
        <w:t>P</w:t>
      </w:r>
      <w:r w:rsidRPr="00384EB6">
        <w:rPr>
          <w:position w:val="-4"/>
          <w:sz w:val="18"/>
          <w:lang w:val="fr-CH"/>
        </w:rPr>
        <w:t>1</w:t>
      </w:r>
      <w:r w:rsidRPr="00384EB6">
        <w:rPr>
          <w:rFonts w:ascii="Tms Rmn" w:hAnsi="Tms Rmn"/>
          <w:sz w:val="6"/>
          <w:lang w:val="fr-CH"/>
        </w:rPr>
        <w:t> </w:t>
      </w:r>
      <w:r w:rsidRPr="00384EB6">
        <w:rPr>
          <w:lang w:val="fr-CH"/>
        </w:rPr>
        <w:t>/</w:t>
      </w:r>
      <w:r w:rsidRPr="00384EB6">
        <w:rPr>
          <w:rFonts w:ascii="Tms Rmn" w:hAnsi="Tms Rmn"/>
          <w:sz w:val="6"/>
          <w:lang w:val="fr-CH"/>
        </w:rPr>
        <w:t> </w:t>
      </w:r>
      <w:r w:rsidRPr="00384EB6">
        <w:rPr>
          <w:i/>
          <w:lang w:val="fr-CH"/>
        </w:rPr>
        <w:t>P</w:t>
      </w:r>
      <w:r w:rsidRPr="00384EB6">
        <w:rPr>
          <w:position w:val="-4"/>
          <w:sz w:val="18"/>
          <w:lang w:val="fr-CH"/>
        </w:rPr>
        <w:t>2</w:t>
      </w:r>
      <w:r w:rsidRPr="00384EB6">
        <w:rPr>
          <w:lang w:val="fr-CH"/>
        </w:rPr>
        <w:t>)</w:t>
      </w:r>
    </w:p>
    <w:p w:rsidR="0031148D" w:rsidRPr="00537143" w:rsidRDefault="0031148D" w:rsidP="00384EB6">
      <w:pPr>
        <w:rPr>
          <w:szCs w:val="24"/>
        </w:rPr>
      </w:pPr>
      <w:r w:rsidRPr="00537143">
        <w:rPr>
          <w:szCs w:val="24"/>
        </w:rPr>
        <w:t>Si</w:t>
      </w:r>
      <w:r w:rsidRPr="00537143">
        <w:rPr>
          <w:i/>
          <w:szCs w:val="24"/>
        </w:rPr>
        <w:t xml:space="preserve"> </w:t>
      </w:r>
      <w:r w:rsidR="00384EB6" w:rsidRPr="00537143">
        <w:rPr>
          <w:i/>
          <w:szCs w:val="24"/>
        </w:rPr>
        <w:t>P</w:t>
      </w:r>
      <w:r w:rsidR="00384EB6" w:rsidRPr="00384EB6">
        <w:rPr>
          <w:iCs/>
          <w:szCs w:val="24"/>
          <w:vertAlign w:val="subscript"/>
        </w:rPr>
        <w:t>1</w:t>
      </w:r>
      <w:r w:rsidR="00384EB6" w:rsidRPr="00537143">
        <w:rPr>
          <w:szCs w:val="24"/>
        </w:rPr>
        <w:t xml:space="preserve"> et</w:t>
      </w:r>
      <w:r w:rsidR="00384EB6" w:rsidRPr="00537143">
        <w:rPr>
          <w:i/>
          <w:szCs w:val="24"/>
        </w:rPr>
        <w:t xml:space="preserve"> P</w:t>
      </w:r>
      <w:r w:rsidR="00384EB6" w:rsidRPr="00384EB6">
        <w:rPr>
          <w:iCs/>
          <w:szCs w:val="24"/>
          <w:vertAlign w:val="subscript"/>
        </w:rPr>
        <w:t>2</w:t>
      </w:r>
      <w:r w:rsidR="00384EB6" w:rsidRPr="00537143">
        <w:rPr>
          <w:szCs w:val="24"/>
        </w:rPr>
        <w:t xml:space="preserve"> </w:t>
      </w:r>
      <w:r w:rsidRPr="00537143">
        <w:rPr>
          <w:szCs w:val="24"/>
        </w:rPr>
        <w:t>représentent les puissances dissipées par les courants</w:t>
      </w:r>
      <w:r w:rsidRPr="00537143">
        <w:rPr>
          <w:i/>
          <w:szCs w:val="24"/>
        </w:rPr>
        <w:t xml:space="preserve"> I</w:t>
      </w:r>
      <w:r w:rsidR="00384EB6" w:rsidRPr="00384EB6">
        <w:rPr>
          <w:iCs/>
          <w:szCs w:val="24"/>
          <w:vertAlign w:val="subscript"/>
        </w:rPr>
        <w:t>1</w:t>
      </w:r>
      <w:r w:rsidRPr="00537143">
        <w:rPr>
          <w:szCs w:val="24"/>
        </w:rPr>
        <w:t xml:space="preserve"> et </w:t>
      </w:r>
      <w:r w:rsidRPr="00384EB6">
        <w:rPr>
          <w:iCs/>
          <w:szCs w:val="24"/>
        </w:rPr>
        <w:t>I</w:t>
      </w:r>
      <w:r w:rsidR="00384EB6" w:rsidRPr="00384EB6">
        <w:rPr>
          <w:iCs/>
          <w:szCs w:val="24"/>
          <w:vertAlign w:val="subscript"/>
        </w:rPr>
        <w:t>2</w:t>
      </w:r>
      <w:r w:rsidRPr="00537143">
        <w:rPr>
          <w:szCs w:val="24"/>
        </w:rPr>
        <w:t xml:space="preserve"> dans les résistances</w:t>
      </w:r>
      <w:r w:rsidRPr="00537143">
        <w:rPr>
          <w:i/>
          <w:szCs w:val="24"/>
        </w:rPr>
        <w:t xml:space="preserve"> </w:t>
      </w:r>
      <w:r w:rsidRPr="00384EB6">
        <w:rPr>
          <w:iCs/>
          <w:szCs w:val="24"/>
        </w:rPr>
        <w:t>R</w:t>
      </w:r>
      <w:r w:rsidR="00384EB6" w:rsidRPr="00384EB6">
        <w:rPr>
          <w:iCs/>
          <w:szCs w:val="24"/>
          <w:vertAlign w:val="subscript"/>
        </w:rPr>
        <w:t>1</w:t>
      </w:r>
      <w:r w:rsidRPr="00537143">
        <w:rPr>
          <w:szCs w:val="24"/>
        </w:rPr>
        <w:t xml:space="preserve"> et</w:t>
      </w:r>
      <w:r>
        <w:rPr>
          <w:szCs w:val="24"/>
        </w:rPr>
        <w:t> </w:t>
      </w:r>
      <w:r w:rsidRPr="00384EB6">
        <w:rPr>
          <w:iCs/>
          <w:szCs w:val="24"/>
        </w:rPr>
        <w:t>R</w:t>
      </w:r>
      <w:r w:rsidR="00384EB6" w:rsidRPr="00384EB6">
        <w:rPr>
          <w:iCs/>
          <w:szCs w:val="24"/>
          <w:vertAlign w:val="subscript"/>
        </w:rPr>
        <w:t>2</w:t>
      </w:r>
      <w:r w:rsidRPr="00537143">
        <w:rPr>
          <w:szCs w:val="24"/>
        </w:rPr>
        <w:t>:</w:t>
      </w:r>
    </w:p>
    <w:p w:rsidR="0031148D" w:rsidRPr="00537143" w:rsidRDefault="0031148D" w:rsidP="0031148D">
      <w:pPr>
        <w:pStyle w:val="Equation"/>
        <w:jc w:val="center"/>
        <w:rPr>
          <w:szCs w:val="24"/>
        </w:rPr>
      </w:pPr>
      <w:r w:rsidRPr="00537143">
        <w:rPr>
          <w:position w:val="-28"/>
          <w:szCs w:val="24"/>
        </w:rPr>
        <w:object w:dxaOrig="3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v:imagedata r:id="rId12" o:title=""/>
          </v:shape>
          <o:OLEObject Type="Embed" ProgID="Equation.3" ShapeID="_x0000_i1025" DrawAspect="Content" ObjectID="_1532235867" r:id="rId13"/>
        </w:object>
      </w:r>
    </w:p>
    <w:p w:rsidR="0031148D" w:rsidRPr="00537143" w:rsidRDefault="0031148D" w:rsidP="0031148D">
      <w:pPr>
        <w:rPr>
          <w:szCs w:val="24"/>
        </w:rPr>
      </w:pPr>
      <w:r w:rsidRPr="00537143">
        <w:rPr>
          <w:b/>
          <w:bCs/>
          <w:szCs w:val="24"/>
        </w:rPr>
        <w:t>1.3</w:t>
      </w:r>
      <w:r w:rsidRPr="00537143">
        <w:rPr>
          <w:szCs w:val="24"/>
        </w:rPr>
        <w:tab/>
        <w:t>Le décibel permet en outre d'exprimer le rapport de deux valeurs d'une grandeur liée à la puissance par une relation bien déterminée. Dans ce cas, le logarithme de ce rapport doit être multiplié par un facteur représentant la relation qui lie la grandeur à une puissance et un terme représentant un facteur multiplicatif peut lui être ajouté.</w:t>
      </w:r>
    </w:p>
    <w:p w:rsidR="0031148D" w:rsidRPr="00537143" w:rsidRDefault="0031148D" w:rsidP="00384EB6">
      <w:pPr>
        <w:rPr>
          <w:szCs w:val="24"/>
        </w:rPr>
      </w:pPr>
      <w:r w:rsidRPr="00537143">
        <w:rPr>
          <w:szCs w:val="24"/>
        </w:rPr>
        <w:t xml:space="preserve">Si le rapport de deux puissances </w:t>
      </w:r>
      <w:r w:rsidR="00384EB6" w:rsidRPr="00537143">
        <w:rPr>
          <w:i/>
          <w:szCs w:val="24"/>
        </w:rPr>
        <w:t>P</w:t>
      </w:r>
      <w:r w:rsidR="00384EB6" w:rsidRPr="00384EB6">
        <w:rPr>
          <w:iCs/>
          <w:szCs w:val="24"/>
          <w:vertAlign w:val="subscript"/>
        </w:rPr>
        <w:t>1</w:t>
      </w:r>
      <w:r w:rsidR="00384EB6" w:rsidRPr="00537143">
        <w:rPr>
          <w:szCs w:val="24"/>
        </w:rPr>
        <w:t xml:space="preserve"> et</w:t>
      </w:r>
      <w:r w:rsidR="00384EB6" w:rsidRPr="00537143">
        <w:rPr>
          <w:i/>
          <w:szCs w:val="24"/>
        </w:rPr>
        <w:t xml:space="preserve"> P</w:t>
      </w:r>
      <w:r w:rsidR="00384EB6" w:rsidRPr="00384EB6">
        <w:rPr>
          <w:iCs/>
          <w:szCs w:val="24"/>
          <w:vertAlign w:val="subscript"/>
        </w:rPr>
        <w:t>2</w:t>
      </w:r>
      <w:r w:rsidR="00384EB6">
        <w:rPr>
          <w:iCs/>
          <w:szCs w:val="24"/>
          <w:vertAlign w:val="subscript"/>
        </w:rPr>
        <w:t xml:space="preserve"> </w:t>
      </w:r>
      <w:r w:rsidRPr="00537143">
        <w:rPr>
          <w:szCs w:val="24"/>
        </w:rPr>
        <w:t xml:space="preserve">dépend du rapport des valeurs </w:t>
      </w:r>
      <w:r w:rsidRPr="00384EB6">
        <w:rPr>
          <w:szCs w:val="24"/>
        </w:rPr>
        <w:t>X</w:t>
      </w:r>
      <w:r w:rsidR="00384EB6" w:rsidRPr="00384EB6">
        <w:rPr>
          <w:szCs w:val="24"/>
          <w:vertAlign w:val="subscript"/>
        </w:rPr>
        <w:t>1</w:t>
      </w:r>
      <w:r w:rsidRPr="00537143">
        <w:rPr>
          <w:szCs w:val="24"/>
        </w:rPr>
        <w:t xml:space="preserve"> et </w:t>
      </w:r>
      <w:r w:rsidRPr="00537143">
        <w:rPr>
          <w:i/>
          <w:iCs/>
          <w:szCs w:val="24"/>
        </w:rPr>
        <w:t>X</w:t>
      </w:r>
      <w:r w:rsidR="00384EB6">
        <w:rPr>
          <w:szCs w:val="24"/>
          <w:vertAlign w:val="subscript"/>
        </w:rPr>
        <w:t>2</w:t>
      </w:r>
      <w:r w:rsidRPr="00537143">
        <w:rPr>
          <w:szCs w:val="24"/>
        </w:rPr>
        <w:t xml:space="preserve"> d'une autre grandeur </w:t>
      </w:r>
      <w:r w:rsidRPr="00537143">
        <w:rPr>
          <w:i/>
          <w:iCs/>
          <w:szCs w:val="24"/>
        </w:rPr>
        <w:t>X</w:t>
      </w:r>
      <w:r w:rsidRPr="00537143">
        <w:rPr>
          <w:szCs w:val="24"/>
        </w:rPr>
        <w:t xml:space="preserve"> par une relation de la forme </w:t>
      </w:r>
      <w:r w:rsidR="00384EB6" w:rsidRPr="00384EB6">
        <w:rPr>
          <w:i/>
          <w:iCs/>
          <w:lang w:val="fr-CH"/>
        </w:rPr>
        <w:t>P</w:t>
      </w:r>
      <w:r w:rsidR="00384EB6" w:rsidRPr="00384EB6">
        <w:rPr>
          <w:position w:val="-4"/>
          <w:sz w:val="16"/>
          <w:lang w:val="fr-CH"/>
        </w:rPr>
        <w:t>1</w:t>
      </w:r>
      <w:r w:rsidR="00384EB6" w:rsidRPr="00384EB6">
        <w:rPr>
          <w:lang w:val="fr-CH"/>
        </w:rPr>
        <w:t>/</w:t>
      </w:r>
      <w:r w:rsidR="00384EB6" w:rsidRPr="00384EB6">
        <w:rPr>
          <w:i/>
          <w:iCs/>
          <w:lang w:val="fr-CH"/>
        </w:rPr>
        <w:t>P</w:t>
      </w:r>
      <w:r w:rsidR="00384EB6" w:rsidRPr="00384EB6">
        <w:rPr>
          <w:position w:val="-4"/>
          <w:sz w:val="16"/>
          <w:lang w:val="fr-CH"/>
        </w:rPr>
        <w:t>2</w:t>
      </w:r>
      <w:r w:rsidR="00384EB6" w:rsidRPr="00384EB6">
        <w:rPr>
          <w:sz w:val="28"/>
          <w:vertAlign w:val="subscript"/>
          <w:lang w:val="fr-CH"/>
        </w:rPr>
        <w:t> </w:t>
      </w:r>
      <w:r w:rsidR="00384EB6">
        <w:rPr>
          <w:rFonts w:ascii="Symbol" w:hAnsi="Symbol"/>
        </w:rPr>
        <w:t></w:t>
      </w:r>
      <w:r w:rsidR="00384EB6" w:rsidRPr="00384EB6">
        <w:rPr>
          <w:sz w:val="28"/>
          <w:vertAlign w:val="subscript"/>
          <w:lang w:val="fr-CH"/>
        </w:rPr>
        <w:t> </w:t>
      </w:r>
      <w:r w:rsidR="00384EB6" w:rsidRPr="00384EB6">
        <w:rPr>
          <w:lang w:val="fr-CH"/>
        </w:rPr>
        <w:t>(</w:t>
      </w:r>
      <w:r w:rsidR="00384EB6" w:rsidRPr="00384EB6">
        <w:rPr>
          <w:i/>
          <w:iCs/>
          <w:lang w:val="fr-CH"/>
        </w:rPr>
        <w:t>X</w:t>
      </w:r>
      <w:r w:rsidR="00384EB6" w:rsidRPr="00384EB6">
        <w:rPr>
          <w:position w:val="-4"/>
          <w:sz w:val="16"/>
          <w:lang w:val="fr-CH"/>
        </w:rPr>
        <w:t>1</w:t>
      </w:r>
      <w:r w:rsidR="00384EB6" w:rsidRPr="00384EB6">
        <w:rPr>
          <w:lang w:val="fr-CH"/>
        </w:rPr>
        <w:t>/</w:t>
      </w:r>
      <w:r w:rsidR="00384EB6" w:rsidRPr="00384EB6">
        <w:rPr>
          <w:i/>
          <w:iCs/>
          <w:lang w:val="fr-CH"/>
        </w:rPr>
        <w:t>X</w:t>
      </w:r>
      <w:r w:rsidR="00384EB6" w:rsidRPr="00384EB6">
        <w:rPr>
          <w:position w:val="-4"/>
          <w:sz w:val="16"/>
          <w:lang w:val="fr-CH"/>
        </w:rPr>
        <w:t>2</w:t>
      </w:r>
      <w:r w:rsidR="00384EB6" w:rsidRPr="00384EB6">
        <w:rPr>
          <w:lang w:val="fr-CH"/>
        </w:rPr>
        <w:t>)</w:t>
      </w:r>
      <w:r w:rsidR="00384EB6">
        <w:rPr>
          <w:rFonts w:ascii="Symbol" w:hAnsi="Symbol"/>
          <w:position w:val="6"/>
          <w:sz w:val="16"/>
        </w:rPr>
        <w:t></w:t>
      </w:r>
      <w:r w:rsidR="00384EB6" w:rsidRPr="00384EB6">
        <w:rPr>
          <w:lang w:val="fr-CH"/>
        </w:rPr>
        <w:t xml:space="preserve">, </w:t>
      </w:r>
      <w:r w:rsidRPr="00537143">
        <w:rPr>
          <w:rFonts w:ascii="Symbol" w:hAnsi="Symbol"/>
          <w:szCs w:val="24"/>
        </w:rPr>
        <w:t></w:t>
      </w:r>
      <w:r w:rsidRPr="00537143">
        <w:rPr>
          <w:szCs w:val="24"/>
        </w:rPr>
        <w:t xml:space="preserve"> étant un nombre réel quelconque, on peut l'exprimer en décibels:</w:t>
      </w:r>
    </w:p>
    <w:p w:rsidR="0031148D" w:rsidRPr="00537143" w:rsidRDefault="00384EB6" w:rsidP="0031148D">
      <w:pPr>
        <w:pStyle w:val="Equation"/>
        <w:jc w:val="center"/>
        <w:rPr>
          <w:szCs w:val="24"/>
        </w:rPr>
      </w:pPr>
      <w:r w:rsidRPr="00E74FCC">
        <w:rPr>
          <w:lang w:val="fr-CH"/>
        </w:rPr>
        <w:t>10 lg (</w:t>
      </w:r>
      <w:r w:rsidRPr="00E74FCC">
        <w:rPr>
          <w:i/>
          <w:iCs/>
          <w:lang w:val="fr-CH"/>
        </w:rPr>
        <w:t>P</w:t>
      </w:r>
      <w:r w:rsidRPr="00E74FCC">
        <w:rPr>
          <w:position w:val="-4"/>
          <w:sz w:val="18"/>
          <w:lang w:val="fr-CH"/>
        </w:rPr>
        <w:t>1</w:t>
      </w:r>
      <w:r w:rsidRPr="00E74FCC">
        <w:rPr>
          <w:rFonts w:ascii="Tms Rmn" w:hAnsi="Tms Rmn"/>
          <w:sz w:val="6"/>
          <w:lang w:val="fr-CH"/>
        </w:rPr>
        <w:t> </w:t>
      </w:r>
      <w:r w:rsidRPr="00E74FCC">
        <w:rPr>
          <w:lang w:val="fr-CH"/>
        </w:rPr>
        <w:t>/</w:t>
      </w:r>
      <w:r w:rsidRPr="00E74FCC">
        <w:rPr>
          <w:rFonts w:ascii="Tms Rmn" w:hAnsi="Tms Rmn"/>
          <w:sz w:val="6"/>
          <w:lang w:val="fr-CH"/>
        </w:rPr>
        <w:t> </w:t>
      </w:r>
      <w:r w:rsidRPr="00E74FCC">
        <w:rPr>
          <w:i/>
          <w:iCs/>
          <w:lang w:val="fr-CH"/>
        </w:rPr>
        <w:t>P</w:t>
      </w:r>
      <w:r w:rsidRPr="00E74FCC">
        <w:rPr>
          <w:position w:val="-4"/>
          <w:sz w:val="18"/>
          <w:lang w:val="fr-CH"/>
        </w:rPr>
        <w:t>2</w:t>
      </w:r>
      <w:r w:rsidRPr="00E74FCC">
        <w:rPr>
          <w:lang w:val="fr-CH"/>
        </w:rPr>
        <w:t>)  </w:t>
      </w:r>
      <w:r>
        <w:rPr>
          <w:rFonts w:ascii="Symbol" w:hAnsi="Symbol"/>
        </w:rPr>
        <w:t></w:t>
      </w:r>
      <w:r w:rsidRPr="00E74FCC">
        <w:rPr>
          <w:lang w:val="fr-CH"/>
        </w:rPr>
        <w:t xml:space="preserve">  10 </w:t>
      </w:r>
      <w:r>
        <w:rPr>
          <w:rFonts w:ascii="Symbol" w:hAnsi="Symbol"/>
        </w:rPr>
        <w:t></w:t>
      </w:r>
      <w:r w:rsidRPr="00E74FCC">
        <w:rPr>
          <w:lang w:val="fr-CH"/>
        </w:rPr>
        <w:t xml:space="preserve"> lg (</w:t>
      </w:r>
      <w:r w:rsidRPr="00E74FCC">
        <w:rPr>
          <w:i/>
          <w:iCs/>
          <w:lang w:val="fr-CH"/>
        </w:rPr>
        <w:t>X</w:t>
      </w:r>
      <w:r w:rsidRPr="00E74FCC">
        <w:rPr>
          <w:position w:val="-4"/>
          <w:sz w:val="18"/>
          <w:lang w:val="fr-CH"/>
        </w:rPr>
        <w:t>1</w:t>
      </w:r>
      <w:r w:rsidRPr="00E74FCC">
        <w:rPr>
          <w:rFonts w:ascii="Tms Rmn" w:hAnsi="Tms Rmn"/>
          <w:sz w:val="12"/>
          <w:lang w:val="fr-CH"/>
        </w:rPr>
        <w:t> </w:t>
      </w:r>
      <w:r w:rsidRPr="00E74FCC">
        <w:rPr>
          <w:lang w:val="fr-CH"/>
        </w:rPr>
        <w:t>/</w:t>
      </w:r>
      <w:r w:rsidRPr="00E74FCC">
        <w:rPr>
          <w:rFonts w:ascii="Tms Rmn" w:hAnsi="Tms Rmn"/>
          <w:sz w:val="12"/>
          <w:lang w:val="fr-CH"/>
        </w:rPr>
        <w:t> </w:t>
      </w:r>
      <w:r w:rsidRPr="00E74FCC">
        <w:rPr>
          <w:i/>
          <w:iCs/>
          <w:lang w:val="fr-CH"/>
        </w:rPr>
        <w:t>X</w:t>
      </w:r>
      <w:r w:rsidRPr="00E74FCC">
        <w:rPr>
          <w:position w:val="-4"/>
          <w:sz w:val="18"/>
          <w:lang w:val="fr-CH"/>
        </w:rPr>
        <w:t>2</w:t>
      </w:r>
      <w:r w:rsidRPr="00E74FCC">
        <w:rPr>
          <w:lang w:val="fr-CH"/>
        </w:rPr>
        <w:t>)         dB</w:t>
      </w:r>
    </w:p>
    <w:p w:rsidR="0031148D" w:rsidRPr="00537143" w:rsidRDefault="0031148D" w:rsidP="0031148D">
      <w:pPr>
        <w:pStyle w:val="Heading1"/>
        <w:rPr>
          <w:szCs w:val="24"/>
        </w:rPr>
      </w:pPr>
      <w:bookmarkStart w:id="11" w:name="_Toc122852781"/>
      <w:r w:rsidRPr="00537143">
        <w:rPr>
          <w:szCs w:val="24"/>
        </w:rPr>
        <w:t>2</w:t>
      </w:r>
      <w:r w:rsidRPr="00537143">
        <w:rPr>
          <w:szCs w:val="24"/>
        </w:rPr>
        <w:tab/>
        <w:t>Définition du néper</w:t>
      </w:r>
      <w:bookmarkEnd w:id="11"/>
    </w:p>
    <w:p w:rsidR="0031148D" w:rsidRPr="00537143" w:rsidRDefault="0031148D" w:rsidP="0031148D">
      <w:pPr>
        <w:rPr>
          <w:szCs w:val="24"/>
        </w:rPr>
      </w:pPr>
      <w:r w:rsidRPr="00537143">
        <w:rPr>
          <w:szCs w:val="24"/>
        </w:rPr>
        <w:t>Le</w:t>
      </w:r>
      <w:r w:rsidRPr="00537143">
        <w:rPr>
          <w:i/>
          <w:szCs w:val="24"/>
        </w:rPr>
        <w:t xml:space="preserve"> néper</w:t>
      </w:r>
      <w:r w:rsidRPr="00537143">
        <w:rPr>
          <w:szCs w:val="24"/>
        </w:rPr>
        <w:t xml:space="preserve"> (symbole Np), sert à exprimer le rapport de deux grandeurs de champ telles que tension ou courant, dont le carré est proportionnel à une puissance, par le logarithme népérien de ce rapport. La valeur en népers d'un rapport de puissances est la moitié du logarithme népérien du rapport des puissances. Les valeurs en népers d'un rapport de deux grandeurs de champ et du rapport des puissances correspondantes ne sont égales que si les impédances sont égales.</w:t>
      </w:r>
    </w:p>
    <w:p w:rsidR="0031148D" w:rsidRPr="00537143" w:rsidRDefault="0031148D" w:rsidP="008535D1">
      <w:pPr>
        <w:rPr>
          <w:szCs w:val="24"/>
        </w:rPr>
      </w:pPr>
      <w:r w:rsidRPr="00537143">
        <w:rPr>
          <w:szCs w:val="24"/>
        </w:rPr>
        <w:t>Un néper correspond à la valeur</w:t>
      </w:r>
      <w:r w:rsidRPr="00537143">
        <w:rPr>
          <w:i/>
          <w:szCs w:val="24"/>
        </w:rPr>
        <w:t xml:space="preserve"> e</w:t>
      </w:r>
      <w:r w:rsidRPr="00537143">
        <w:rPr>
          <w:szCs w:val="24"/>
        </w:rPr>
        <w:t xml:space="preserve"> d'un rapport de grandeurs de champ et à la valeur</w:t>
      </w:r>
      <w:r w:rsidRPr="00537143">
        <w:rPr>
          <w:i/>
          <w:szCs w:val="24"/>
        </w:rPr>
        <w:t xml:space="preserve"> </w:t>
      </w:r>
      <w:r w:rsidRPr="008535D1">
        <w:rPr>
          <w:iCs/>
          <w:szCs w:val="24"/>
        </w:rPr>
        <w:t>e</w:t>
      </w:r>
      <w:r w:rsidR="008535D1" w:rsidRPr="008535D1">
        <w:rPr>
          <w:iCs/>
          <w:szCs w:val="24"/>
          <w:vertAlign w:val="superscript"/>
        </w:rPr>
        <w:t>2</w:t>
      </w:r>
      <w:r w:rsidRPr="00537143">
        <w:rPr>
          <w:szCs w:val="24"/>
        </w:rPr>
        <w:t xml:space="preserve"> d'un rapport de puissances.</w:t>
      </w:r>
    </w:p>
    <w:p w:rsidR="0031148D" w:rsidRPr="00537143" w:rsidRDefault="0031148D" w:rsidP="0031148D">
      <w:pPr>
        <w:rPr>
          <w:szCs w:val="24"/>
        </w:rPr>
      </w:pPr>
      <w:r w:rsidRPr="00537143">
        <w:rPr>
          <w:szCs w:val="24"/>
        </w:rPr>
        <w:t>On emploie aussi des sous-multiples tels que le décinéper (dNp).</w:t>
      </w:r>
    </w:p>
    <w:p w:rsidR="0031148D" w:rsidRPr="00537143" w:rsidRDefault="0031148D" w:rsidP="0031148D">
      <w:pPr>
        <w:rPr>
          <w:szCs w:val="24"/>
        </w:rPr>
      </w:pPr>
      <w:r w:rsidRPr="00537143">
        <w:rPr>
          <w:szCs w:val="24"/>
        </w:rPr>
        <w:t xml:space="preserve">Dans certains domaines, on exprime parfois en népers le logarithme d'un rapport de puissances sans le facteur 1/2. C'est, par exemple, le cas de la profondeur optique ou affaiblissement en radiométrie. </w:t>
      </w:r>
      <w:r w:rsidRPr="00537143">
        <w:rPr>
          <w:szCs w:val="24"/>
        </w:rPr>
        <w:lastRenderedPageBreak/>
        <w:t>Un tel usag</w:t>
      </w:r>
      <w:r w:rsidR="008535D1">
        <w:rPr>
          <w:szCs w:val="24"/>
        </w:rPr>
        <w:t>e est à proscrire dans les télé</w:t>
      </w:r>
      <w:r w:rsidRPr="00537143">
        <w:rPr>
          <w:szCs w:val="24"/>
        </w:rPr>
        <w:t>communications pour éviter toute ambiguïté. Le néper défini ainsi vaudrait en effet 4,34 dB et non 8,68 dB comme dans l'usage courant.</w:t>
      </w:r>
    </w:p>
    <w:p w:rsidR="0031148D" w:rsidRPr="00537143" w:rsidRDefault="0031148D" w:rsidP="0031148D">
      <w:pPr>
        <w:pStyle w:val="Heading1"/>
        <w:rPr>
          <w:szCs w:val="24"/>
        </w:rPr>
      </w:pPr>
      <w:bookmarkStart w:id="12" w:name="_Toc122852782"/>
      <w:r w:rsidRPr="00537143">
        <w:rPr>
          <w:szCs w:val="24"/>
        </w:rPr>
        <w:t>3</w:t>
      </w:r>
      <w:r w:rsidRPr="00537143">
        <w:rPr>
          <w:szCs w:val="24"/>
        </w:rPr>
        <w:tab/>
        <w:t>Emplois respectifs du décibel et du néper</w:t>
      </w:r>
      <w:bookmarkEnd w:id="12"/>
    </w:p>
    <w:p w:rsidR="0031148D" w:rsidRPr="00537143" w:rsidRDefault="0031148D" w:rsidP="0031148D">
      <w:pPr>
        <w:rPr>
          <w:szCs w:val="24"/>
        </w:rPr>
      </w:pPr>
      <w:r w:rsidRPr="00537143">
        <w:rPr>
          <w:szCs w:val="24"/>
        </w:rPr>
        <w:t>Les pays conservent la latitude d'utiliser soit le néper, soit le décibel aux fins des mesures faites dans les limites de leur territoire et pour éviter d'inutiles conversions, les pays qui le préfèrent peuvent continuer à utiliser entre eux le néper par accord bilatéral.</w:t>
      </w:r>
    </w:p>
    <w:p w:rsidR="0031148D" w:rsidRPr="00537143" w:rsidRDefault="0031148D" w:rsidP="0031148D">
      <w:pPr>
        <w:rPr>
          <w:szCs w:val="24"/>
        </w:rPr>
      </w:pPr>
      <w:r w:rsidRPr="00537143">
        <w:rPr>
          <w:szCs w:val="24"/>
        </w:rPr>
        <w:t>Pour l'échange international de renseignements sur les mesures de transmission et les valeurs connexes, ainsi que pour les valeurs numériques des spécifications internationales, la seule expression logarithmique à utiliser est le décibel. Toutefois, il est possible d'utiliser le néper par accord bilatéral.</w:t>
      </w:r>
    </w:p>
    <w:p w:rsidR="0031148D" w:rsidRPr="00537143" w:rsidRDefault="0031148D" w:rsidP="0031148D">
      <w:pPr>
        <w:rPr>
          <w:szCs w:val="24"/>
        </w:rPr>
      </w:pPr>
      <w:r w:rsidRPr="00537143">
        <w:rPr>
          <w:szCs w:val="24"/>
        </w:rPr>
        <w:t>Pour les calculs théoriques et scientifiques, dans lesquels des rapports sont exprimés sous forme de logarithmes népériens, le néper est toujours utilisé, implicitement ou explicitement.</w:t>
      </w:r>
    </w:p>
    <w:p w:rsidR="0031148D" w:rsidRPr="00537143" w:rsidRDefault="0031148D" w:rsidP="0031148D">
      <w:pPr>
        <w:rPr>
          <w:szCs w:val="24"/>
        </w:rPr>
      </w:pPr>
      <w:r w:rsidRPr="00537143">
        <w:rPr>
          <w:szCs w:val="24"/>
        </w:rPr>
        <w:t>A la suite de certains calculs sur des grandeurs complexes, on obtient une partie réelle en népers et une partie imaginaire en radians. Des facteurs de conversion permettent de passer aux décibels ou aux degrés.</w:t>
      </w:r>
    </w:p>
    <w:p w:rsidR="0031148D" w:rsidRPr="00537143" w:rsidRDefault="0031148D" w:rsidP="0031148D">
      <w:pPr>
        <w:rPr>
          <w:szCs w:val="24"/>
        </w:rPr>
      </w:pPr>
      <w:r w:rsidRPr="00537143">
        <w:rPr>
          <w:szCs w:val="24"/>
        </w:rPr>
        <w:t>Les facteurs de conversion entre le néper et le décibel sont les suivants:</w:t>
      </w:r>
    </w:p>
    <w:p w:rsidR="0031148D" w:rsidRPr="00537143" w:rsidRDefault="0031148D" w:rsidP="0031148D">
      <w:pPr>
        <w:pStyle w:val="Equation"/>
        <w:tabs>
          <w:tab w:val="left" w:pos="3062"/>
          <w:tab w:val="left" w:pos="6464"/>
        </w:tabs>
        <w:rPr>
          <w:szCs w:val="24"/>
        </w:rPr>
      </w:pPr>
      <w:r w:rsidRPr="00537143">
        <w:rPr>
          <w:szCs w:val="24"/>
        </w:rPr>
        <w:tab/>
      </w:r>
      <w:r>
        <w:rPr>
          <w:szCs w:val="24"/>
        </w:rPr>
        <w:tab/>
      </w:r>
      <w:r w:rsidRPr="00537143">
        <w:rPr>
          <w:szCs w:val="24"/>
        </w:rPr>
        <w:t xml:space="preserve">1 Np  </w:t>
      </w:r>
      <w:r w:rsidRPr="00537143">
        <w:rPr>
          <w:rFonts w:ascii="Symbol" w:hAnsi="Symbol"/>
          <w:szCs w:val="24"/>
        </w:rPr>
        <w:t></w:t>
      </w:r>
      <w:r w:rsidRPr="00537143">
        <w:rPr>
          <w:szCs w:val="24"/>
        </w:rPr>
        <w:t xml:space="preserve">  (20 lg </w:t>
      </w:r>
      <w:r w:rsidRPr="00537143">
        <w:rPr>
          <w:i/>
          <w:iCs/>
          <w:szCs w:val="24"/>
        </w:rPr>
        <w:t>e</w:t>
      </w:r>
      <w:r w:rsidRPr="00537143">
        <w:rPr>
          <w:szCs w:val="24"/>
        </w:rPr>
        <w:t xml:space="preserve">) dB  </w:t>
      </w:r>
      <w:r w:rsidRPr="00537143">
        <w:rPr>
          <w:rFonts w:ascii="Symbol" w:hAnsi="Symbol"/>
          <w:szCs w:val="24"/>
        </w:rPr>
        <w:sym w:font="Symbol" w:char="F0BB"/>
      </w:r>
      <w:r w:rsidRPr="00537143">
        <w:rPr>
          <w:szCs w:val="24"/>
        </w:rPr>
        <w:t xml:space="preserve">  8,686</w:t>
      </w:r>
      <w:r w:rsidRPr="00537143">
        <w:rPr>
          <w:szCs w:val="24"/>
        </w:rPr>
        <w:tab/>
        <w:t>dB</w:t>
      </w:r>
    </w:p>
    <w:p w:rsidR="0031148D" w:rsidRPr="00537143" w:rsidRDefault="0031148D" w:rsidP="0031148D">
      <w:pPr>
        <w:pStyle w:val="Equation"/>
        <w:tabs>
          <w:tab w:val="left" w:pos="3062"/>
          <w:tab w:val="left" w:pos="6464"/>
        </w:tabs>
        <w:rPr>
          <w:szCs w:val="24"/>
        </w:rPr>
      </w:pPr>
      <w:r w:rsidRPr="00537143">
        <w:rPr>
          <w:szCs w:val="24"/>
        </w:rPr>
        <w:tab/>
      </w:r>
      <w:r>
        <w:rPr>
          <w:szCs w:val="24"/>
        </w:rPr>
        <w:tab/>
      </w:r>
      <w:r w:rsidRPr="00537143">
        <w:rPr>
          <w:szCs w:val="24"/>
        </w:rPr>
        <w:t xml:space="preserve">1 dB  </w:t>
      </w:r>
      <w:r w:rsidRPr="00537143">
        <w:rPr>
          <w:rFonts w:ascii="Symbol" w:hAnsi="Symbol"/>
          <w:szCs w:val="24"/>
        </w:rPr>
        <w:t></w:t>
      </w:r>
      <w:r w:rsidRPr="00537143">
        <w:rPr>
          <w:szCs w:val="24"/>
        </w:rPr>
        <w:t xml:space="preserve">  (0,05 ln 10) Np  </w:t>
      </w:r>
      <w:r w:rsidRPr="00537143">
        <w:rPr>
          <w:rFonts w:ascii="Symbol" w:hAnsi="Symbol"/>
          <w:szCs w:val="24"/>
        </w:rPr>
        <w:sym w:font="Symbol" w:char="F0BB"/>
      </w:r>
      <w:r w:rsidRPr="00537143">
        <w:rPr>
          <w:szCs w:val="24"/>
        </w:rPr>
        <w:t xml:space="preserve">  0,1151</w:t>
      </w:r>
      <w:r w:rsidRPr="00537143">
        <w:rPr>
          <w:szCs w:val="24"/>
        </w:rPr>
        <w:tab/>
        <w:t>Np</w:t>
      </w:r>
    </w:p>
    <w:p w:rsidR="0031148D" w:rsidRPr="00537143" w:rsidRDefault="0031148D" w:rsidP="0031148D">
      <w:pPr>
        <w:pStyle w:val="Heading1"/>
        <w:rPr>
          <w:szCs w:val="24"/>
        </w:rPr>
      </w:pPr>
      <w:bookmarkStart w:id="13" w:name="_Toc122852783"/>
      <w:r w:rsidRPr="00537143">
        <w:rPr>
          <w:szCs w:val="24"/>
        </w:rPr>
        <w:t>4</w:t>
      </w:r>
      <w:r w:rsidRPr="00537143">
        <w:rPr>
          <w:szCs w:val="24"/>
        </w:rPr>
        <w:tab/>
        <w:t>Règles d'emploi des symboles comprenant le symbole dB</w:t>
      </w:r>
      <w:bookmarkEnd w:id="13"/>
    </w:p>
    <w:p w:rsidR="0031148D" w:rsidRPr="00537143" w:rsidRDefault="0031148D" w:rsidP="0031148D">
      <w:pPr>
        <w:rPr>
          <w:szCs w:val="24"/>
        </w:rPr>
      </w:pPr>
      <w:r w:rsidRPr="00537143">
        <w:rPr>
          <w:szCs w:val="24"/>
        </w:rPr>
        <w:t>Pour les symboles formés à partir du symbole dB on doit se conformer, autant que possible, aux règles suivantes:</w:t>
      </w:r>
    </w:p>
    <w:p w:rsidR="0031148D" w:rsidRPr="00537143" w:rsidRDefault="0031148D" w:rsidP="0031148D">
      <w:pPr>
        <w:pStyle w:val="Heading2"/>
        <w:rPr>
          <w:szCs w:val="24"/>
        </w:rPr>
      </w:pPr>
      <w:bookmarkStart w:id="14" w:name="_Toc122852784"/>
      <w:r w:rsidRPr="00537143">
        <w:rPr>
          <w:szCs w:val="24"/>
        </w:rPr>
        <w:t>4.1</w:t>
      </w:r>
      <w:r w:rsidRPr="00537143">
        <w:rPr>
          <w:szCs w:val="24"/>
        </w:rPr>
        <w:tab/>
        <w:t>Symbole dB sans indication supplémentaire</w:t>
      </w:r>
      <w:bookmarkEnd w:id="14"/>
    </w:p>
    <w:p w:rsidR="0031148D" w:rsidRPr="00537143" w:rsidRDefault="0031148D" w:rsidP="0031148D">
      <w:pPr>
        <w:rPr>
          <w:szCs w:val="24"/>
        </w:rPr>
      </w:pPr>
      <w:r w:rsidRPr="00537143">
        <w:rPr>
          <w:szCs w:val="24"/>
        </w:rPr>
        <w:t>Le symbole dB sans indication supplémentaire sert à désigner un rapport de deux puissances, de deux puissances surfaciques ou de deux autres grandeurs clairement liées à une puissance, ou la différence entre deux niveaux de puissance (voir le § 6).</w:t>
      </w:r>
    </w:p>
    <w:p w:rsidR="0031148D" w:rsidRPr="00537143" w:rsidRDefault="0031148D" w:rsidP="0031148D">
      <w:pPr>
        <w:pStyle w:val="Heading2"/>
        <w:rPr>
          <w:szCs w:val="24"/>
        </w:rPr>
      </w:pPr>
      <w:bookmarkStart w:id="15" w:name="_Toc122852785"/>
      <w:r w:rsidRPr="00537143">
        <w:rPr>
          <w:szCs w:val="24"/>
        </w:rPr>
        <w:t>4.2</w:t>
      </w:r>
      <w:r w:rsidRPr="00537143">
        <w:rPr>
          <w:szCs w:val="24"/>
        </w:rPr>
        <w:tab/>
        <w:t>Symbole dB suivi d'une information supplémentaire entre parenthèses</w:t>
      </w:r>
      <w:bookmarkEnd w:id="15"/>
    </w:p>
    <w:p w:rsidR="0031148D" w:rsidRPr="00537143" w:rsidRDefault="0031148D" w:rsidP="0031148D">
      <w:pPr>
        <w:rPr>
          <w:szCs w:val="24"/>
        </w:rPr>
      </w:pPr>
      <w:r w:rsidRPr="00537143">
        <w:rPr>
          <w:szCs w:val="24"/>
        </w:rPr>
        <w:t>Le symbole dB suivi d'une information supplémentaire entre parenthèses sert à exprimer un niveau absolu de puissance, de puissance surfacique ou de toute autre grandeur clairement liée à une puissance, par rapport à une valeur de référence figurant entre ces parenthèses. Cependant, l'usage courant conduit dans certains cas à des simplifications d'écriture, par exemple dBm au lieu de dB(mW).</w:t>
      </w:r>
    </w:p>
    <w:p w:rsidR="0031148D" w:rsidRPr="00537143" w:rsidRDefault="0031148D" w:rsidP="0031148D">
      <w:pPr>
        <w:pStyle w:val="Heading2"/>
        <w:rPr>
          <w:szCs w:val="24"/>
        </w:rPr>
      </w:pPr>
      <w:bookmarkStart w:id="16" w:name="_Toc122852786"/>
      <w:r w:rsidRPr="00537143">
        <w:rPr>
          <w:szCs w:val="24"/>
        </w:rPr>
        <w:t>4.3</w:t>
      </w:r>
      <w:r w:rsidRPr="00537143">
        <w:rPr>
          <w:szCs w:val="24"/>
        </w:rPr>
        <w:tab/>
        <w:t>Symbole dB suivi d'informations supplémentaires sans parenthèses</w:t>
      </w:r>
      <w:bookmarkEnd w:id="16"/>
    </w:p>
    <w:p w:rsidR="0031148D" w:rsidRPr="00537143" w:rsidRDefault="0031148D" w:rsidP="0031148D">
      <w:pPr>
        <w:rPr>
          <w:szCs w:val="24"/>
        </w:rPr>
      </w:pPr>
      <w:r w:rsidRPr="00537143">
        <w:rPr>
          <w:szCs w:val="24"/>
        </w:rPr>
        <w:t>Le symbole dB suivi d'informations supplémentaires sans parenthèses sert à indiquer des conditions d'emploi conven</w:t>
      </w:r>
      <w:r w:rsidRPr="00537143">
        <w:rPr>
          <w:szCs w:val="24"/>
        </w:rPr>
        <w:softHyphen/>
        <w:t>tionnelles, telles que l'utilisation de filtres spécifiés, ou la mesure en un point spécifié d'un circuit (voir le § 8).</w:t>
      </w:r>
    </w:p>
    <w:p w:rsidR="0031148D" w:rsidRDefault="0031148D" w:rsidP="0031148D">
      <w:pPr>
        <w:pStyle w:val="Heading1"/>
        <w:rPr>
          <w:szCs w:val="24"/>
        </w:rPr>
      </w:pPr>
      <w:bookmarkStart w:id="17" w:name="_Toc122852787"/>
      <w:r>
        <w:rPr>
          <w:szCs w:val="24"/>
        </w:rPr>
        <w:br w:type="page"/>
      </w:r>
    </w:p>
    <w:p w:rsidR="0031148D" w:rsidRPr="00537143" w:rsidRDefault="0031148D" w:rsidP="0031148D">
      <w:pPr>
        <w:pStyle w:val="Heading1"/>
        <w:rPr>
          <w:szCs w:val="24"/>
        </w:rPr>
      </w:pPr>
      <w:r w:rsidRPr="00537143">
        <w:rPr>
          <w:szCs w:val="24"/>
        </w:rPr>
        <w:lastRenderedPageBreak/>
        <w:t>5</w:t>
      </w:r>
      <w:r w:rsidRPr="00537143">
        <w:rPr>
          <w:szCs w:val="24"/>
        </w:rPr>
        <w:tab/>
        <w:t>Affaiblissement et gain</w:t>
      </w:r>
      <w:bookmarkEnd w:id="17"/>
    </w:p>
    <w:p w:rsidR="0031148D" w:rsidRPr="00537143" w:rsidRDefault="0031148D" w:rsidP="0031148D">
      <w:pPr>
        <w:rPr>
          <w:szCs w:val="24"/>
        </w:rPr>
      </w:pPr>
      <w:r w:rsidRPr="00537143">
        <w:rPr>
          <w:szCs w:val="24"/>
        </w:rPr>
        <w:t>L'</w:t>
      </w:r>
      <w:r w:rsidRPr="00537143">
        <w:rPr>
          <w:i/>
          <w:szCs w:val="24"/>
        </w:rPr>
        <w:t>affaiblissement</w:t>
      </w:r>
      <w:r w:rsidRPr="00537143">
        <w:rPr>
          <w:szCs w:val="24"/>
        </w:rPr>
        <w:t>, ou</w:t>
      </w:r>
      <w:r w:rsidRPr="00537143">
        <w:rPr>
          <w:i/>
          <w:szCs w:val="24"/>
        </w:rPr>
        <w:t xml:space="preserve"> atténuation</w:t>
      </w:r>
      <w:r w:rsidRPr="00537143">
        <w:rPr>
          <w:szCs w:val="24"/>
        </w:rPr>
        <w:t>, est la diminution, entre deux points, d'une puissance électrique, électromagnétique ou acoustique. L'affaiblissement est aussi l'expression quantitative de la diminution d'une puissance par le rapport des valeurs en deux points d'une puissance ou d'une grandeur qui est liée à la puissance par une relation bien définie. Ce rapport est généralement exprimé en décibels.</w:t>
      </w:r>
    </w:p>
    <w:p w:rsidR="0031148D" w:rsidRPr="00537143" w:rsidRDefault="0031148D" w:rsidP="0031148D">
      <w:pPr>
        <w:rPr>
          <w:szCs w:val="24"/>
        </w:rPr>
      </w:pPr>
      <w:r w:rsidRPr="00537143">
        <w:rPr>
          <w:szCs w:val="24"/>
        </w:rPr>
        <w:t>Le</w:t>
      </w:r>
      <w:r w:rsidRPr="00537143">
        <w:rPr>
          <w:i/>
          <w:szCs w:val="24"/>
        </w:rPr>
        <w:t xml:space="preserve"> gain</w:t>
      </w:r>
      <w:r w:rsidRPr="00537143">
        <w:rPr>
          <w:szCs w:val="24"/>
        </w:rPr>
        <w:t xml:space="preserve"> est l'augmentation, entre deux points, d'une puissance électrique, électromagnétique ou acoustique. Le gain est aussi l'expression quantitative de l'augmentation d'une puissance par le rapport des valeurs en deux points d'une puissance ou d'une grandeur qui est liée à la puissance par une relation bien définie. Ce rapport est généralement exprimé en décibels.</w:t>
      </w:r>
    </w:p>
    <w:p w:rsidR="0031148D" w:rsidRPr="00537143" w:rsidRDefault="0031148D" w:rsidP="0031148D">
      <w:pPr>
        <w:rPr>
          <w:szCs w:val="24"/>
        </w:rPr>
      </w:pPr>
      <w:r w:rsidRPr="00537143">
        <w:rPr>
          <w:szCs w:val="24"/>
        </w:rPr>
        <w:t>On doit donner la désignation exacte de l'affaiblissement ou du gain considéré (par exemple, affaiblissement sur images, affaiblissement d'insertion, gain d'antenne), ce qui revient en fait à préciser la définition du rapport considéré (impédance terminale, conditions de référence, etc.).</w:t>
      </w:r>
    </w:p>
    <w:p w:rsidR="0031148D" w:rsidRPr="00537143" w:rsidRDefault="0031148D" w:rsidP="0031148D">
      <w:pPr>
        <w:pStyle w:val="Heading2"/>
        <w:rPr>
          <w:szCs w:val="24"/>
        </w:rPr>
      </w:pPr>
      <w:bookmarkStart w:id="18" w:name="_Toc122852788"/>
      <w:r w:rsidRPr="00537143">
        <w:rPr>
          <w:szCs w:val="24"/>
        </w:rPr>
        <w:t>5.1</w:t>
      </w:r>
      <w:r w:rsidRPr="00537143">
        <w:rPr>
          <w:szCs w:val="24"/>
        </w:rPr>
        <w:tab/>
        <w:t>Affaiblissement de transmission</w:t>
      </w:r>
      <w:bookmarkEnd w:id="18"/>
      <w:r w:rsidRPr="00537143">
        <w:rPr>
          <w:szCs w:val="24"/>
        </w:rPr>
        <w:t xml:space="preserve"> </w:t>
      </w:r>
    </w:p>
    <w:p w:rsidR="0031148D" w:rsidRPr="00537143" w:rsidRDefault="0031148D" w:rsidP="008535D1">
      <w:pPr>
        <w:rPr>
          <w:szCs w:val="24"/>
        </w:rPr>
      </w:pPr>
      <w:r w:rsidRPr="00537143">
        <w:rPr>
          <w:szCs w:val="24"/>
        </w:rPr>
        <w:t>Le rapport, exprimé en décibels, de la puissance émise (</w:t>
      </w:r>
      <w:r w:rsidRPr="00537143">
        <w:rPr>
          <w:i/>
          <w:szCs w:val="24"/>
        </w:rPr>
        <w:t>P</w:t>
      </w:r>
      <w:r w:rsidR="008535D1" w:rsidRPr="008535D1">
        <w:rPr>
          <w:i/>
          <w:szCs w:val="24"/>
          <w:vertAlign w:val="subscript"/>
        </w:rPr>
        <w:t>t</w:t>
      </w:r>
      <w:r w:rsidRPr="00537143">
        <w:rPr>
          <w:rFonts w:ascii="Tms Rmn" w:hAnsi="Tms Rmn"/>
          <w:iCs/>
          <w:szCs w:val="24"/>
        </w:rPr>
        <w:t> </w:t>
      </w:r>
      <w:r w:rsidRPr="00537143">
        <w:rPr>
          <w:szCs w:val="24"/>
        </w:rPr>
        <w:t>) à la puissance reçue (</w:t>
      </w:r>
      <w:r w:rsidRPr="00537143">
        <w:rPr>
          <w:i/>
          <w:szCs w:val="24"/>
        </w:rPr>
        <w:t>P</w:t>
      </w:r>
      <w:r w:rsidR="008535D1" w:rsidRPr="008535D1">
        <w:rPr>
          <w:i/>
          <w:szCs w:val="24"/>
          <w:vertAlign w:val="subscript"/>
        </w:rPr>
        <w:t>r</w:t>
      </w:r>
      <w:r w:rsidRPr="00537143">
        <w:rPr>
          <w:rFonts w:ascii="Tms Rmn" w:hAnsi="Tms Rmn"/>
          <w:position w:val="-4"/>
          <w:szCs w:val="24"/>
        </w:rPr>
        <w:t> </w:t>
      </w:r>
      <w:r w:rsidRPr="00537143">
        <w:rPr>
          <w:szCs w:val="24"/>
        </w:rPr>
        <w:t>):</w:t>
      </w:r>
    </w:p>
    <w:p w:rsidR="0031148D" w:rsidRPr="008535D1" w:rsidRDefault="008535D1" w:rsidP="0031148D">
      <w:pPr>
        <w:pStyle w:val="Equation"/>
        <w:jc w:val="center"/>
        <w:rPr>
          <w:i/>
          <w:szCs w:val="24"/>
          <w:lang w:val="fr-CH"/>
        </w:rPr>
      </w:pPr>
      <w:r w:rsidRPr="008535D1">
        <w:rPr>
          <w:i/>
          <w:lang w:val="fr-CH"/>
        </w:rPr>
        <w:t>L</w:t>
      </w:r>
      <w:r w:rsidRPr="008535D1">
        <w:rPr>
          <w:lang w:val="fr-CH"/>
        </w:rPr>
        <w:t>  </w:t>
      </w:r>
      <w:r>
        <w:rPr>
          <w:rFonts w:ascii="Symbol" w:hAnsi="Symbol"/>
        </w:rPr>
        <w:t></w:t>
      </w:r>
      <w:r w:rsidRPr="008535D1">
        <w:rPr>
          <w:lang w:val="fr-CH"/>
        </w:rPr>
        <w:t>  10 lg (</w:t>
      </w:r>
      <w:r w:rsidRPr="008535D1">
        <w:rPr>
          <w:i/>
          <w:lang w:val="fr-CH"/>
        </w:rPr>
        <w:t>P</w:t>
      </w:r>
      <w:r w:rsidRPr="008535D1">
        <w:rPr>
          <w:i/>
          <w:iCs/>
          <w:position w:val="-4"/>
          <w:sz w:val="18"/>
          <w:lang w:val="fr-CH"/>
        </w:rPr>
        <w:t>t</w:t>
      </w:r>
      <w:r w:rsidRPr="008535D1">
        <w:rPr>
          <w:rFonts w:ascii="Tms Rmn" w:hAnsi="Tms Rmn"/>
          <w:sz w:val="12"/>
          <w:lang w:val="fr-CH"/>
        </w:rPr>
        <w:t> </w:t>
      </w:r>
      <w:r w:rsidRPr="008535D1">
        <w:rPr>
          <w:lang w:val="fr-CH"/>
        </w:rPr>
        <w:t>/</w:t>
      </w:r>
      <w:r w:rsidRPr="008535D1">
        <w:rPr>
          <w:rFonts w:ascii="Tms Rmn" w:hAnsi="Tms Rmn"/>
          <w:sz w:val="6"/>
          <w:lang w:val="fr-CH"/>
        </w:rPr>
        <w:t> </w:t>
      </w:r>
      <w:r w:rsidRPr="008535D1">
        <w:rPr>
          <w:i/>
          <w:lang w:val="fr-CH"/>
        </w:rPr>
        <w:t>P</w:t>
      </w:r>
      <w:r w:rsidRPr="008535D1">
        <w:rPr>
          <w:i/>
          <w:iCs/>
          <w:position w:val="-4"/>
          <w:sz w:val="18"/>
          <w:lang w:val="fr-CH"/>
        </w:rPr>
        <w:t>r</w:t>
      </w:r>
      <w:r w:rsidRPr="008535D1">
        <w:rPr>
          <w:rFonts w:ascii="Tms Rmn" w:hAnsi="Tms Rmn"/>
          <w:sz w:val="6"/>
          <w:lang w:val="fr-CH"/>
        </w:rPr>
        <w:t> </w:t>
      </w:r>
      <w:r w:rsidRPr="008535D1">
        <w:rPr>
          <w:lang w:val="fr-CH"/>
        </w:rPr>
        <w:t>)         dB</w:t>
      </w:r>
    </w:p>
    <w:p w:rsidR="0031148D" w:rsidRPr="00537143" w:rsidRDefault="0031148D" w:rsidP="0031148D">
      <w:pPr>
        <w:pStyle w:val="Heading2"/>
        <w:rPr>
          <w:szCs w:val="24"/>
        </w:rPr>
      </w:pPr>
      <w:bookmarkStart w:id="19" w:name="_Toc122852789"/>
      <w:r w:rsidRPr="00537143">
        <w:rPr>
          <w:szCs w:val="24"/>
        </w:rPr>
        <w:t>5.2</w:t>
      </w:r>
      <w:r w:rsidRPr="00537143">
        <w:rPr>
          <w:szCs w:val="24"/>
        </w:rPr>
        <w:tab/>
        <w:t>Gain d'une antenne</w:t>
      </w:r>
      <w:bookmarkEnd w:id="19"/>
    </w:p>
    <w:p w:rsidR="0031148D" w:rsidRPr="00537143" w:rsidRDefault="0031148D" w:rsidP="008535D1">
      <w:pPr>
        <w:rPr>
          <w:szCs w:val="24"/>
        </w:rPr>
      </w:pPr>
      <w:r w:rsidRPr="00537143">
        <w:rPr>
          <w:szCs w:val="24"/>
        </w:rPr>
        <w:t>Le rapport généralement exprimé en décibels, entre la puissance nécessaire à l'entrée d'une antenne de référence sans pertes (</w:t>
      </w:r>
      <w:r w:rsidRPr="008535D1">
        <w:rPr>
          <w:iCs/>
          <w:szCs w:val="24"/>
        </w:rPr>
        <w:t>P</w:t>
      </w:r>
      <w:r w:rsidR="008535D1" w:rsidRPr="008535D1">
        <w:rPr>
          <w:iCs/>
          <w:szCs w:val="24"/>
          <w:vertAlign w:val="subscript"/>
        </w:rPr>
        <w:t>0</w:t>
      </w:r>
      <w:r w:rsidRPr="00537143">
        <w:rPr>
          <w:szCs w:val="24"/>
        </w:rPr>
        <w:t>) et la puissance fournie à l'entrée de l'antenne donnée (</w:t>
      </w:r>
      <w:r w:rsidRPr="00537143">
        <w:rPr>
          <w:i/>
          <w:szCs w:val="24"/>
        </w:rPr>
        <w:t>P</w:t>
      </w:r>
      <w:r w:rsidR="008535D1" w:rsidRPr="008535D1">
        <w:rPr>
          <w:i/>
          <w:szCs w:val="24"/>
          <w:vertAlign w:val="subscript"/>
        </w:rPr>
        <w:t>a</w:t>
      </w:r>
      <w:r w:rsidRPr="00537143">
        <w:rPr>
          <w:rFonts w:ascii="Tms Rmn" w:hAnsi="Tms Rmn"/>
          <w:szCs w:val="24"/>
        </w:rPr>
        <w:t> </w:t>
      </w:r>
      <w:r w:rsidRPr="00537143">
        <w:rPr>
          <w:szCs w:val="24"/>
        </w:rPr>
        <w:t>) pour que les deux antennes produisent dans le même champ ou la même puissance surfacique, à la même distance dans une direction donnée (en l'absence de précision, dans la direction du rayonnement maximal):</w:t>
      </w:r>
    </w:p>
    <w:p w:rsidR="0031148D" w:rsidRPr="008535D1" w:rsidRDefault="008535D1" w:rsidP="0031148D">
      <w:pPr>
        <w:pStyle w:val="Equation"/>
        <w:jc w:val="center"/>
        <w:rPr>
          <w:i/>
          <w:szCs w:val="24"/>
          <w:lang w:val="fr-CH"/>
        </w:rPr>
      </w:pPr>
      <w:r w:rsidRPr="008535D1">
        <w:rPr>
          <w:i/>
          <w:lang w:val="fr-CH"/>
        </w:rPr>
        <w:t>G</w:t>
      </w:r>
      <w:r w:rsidRPr="008535D1">
        <w:rPr>
          <w:lang w:val="fr-CH"/>
        </w:rPr>
        <w:t>  </w:t>
      </w:r>
      <w:r>
        <w:rPr>
          <w:rFonts w:ascii="Symbol" w:hAnsi="Symbol"/>
        </w:rPr>
        <w:t></w:t>
      </w:r>
      <w:r w:rsidRPr="008535D1">
        <w:rPr>
          <w:lang w:val="fr-CH"/>
        </w:rPr>
        <w:t>  10 lg (</w:t>
      </w:r>
      <w:r w:rsidRPr="008535D1">
        <w:rPr>
          <w:i/>
          <w:lang w:val="fr-CH"/>
        </w:rPr>
        <w:t>P</w:t>
      </w:r>
      <w:r w:rsidRPr="008535D1">
        <w:rPr>
          <w:position w:val="-4"/>
          <w:sz w:val="18"/>
          <w:lang w:val="fr-CH"/>
        </w:rPr>
        <w:t>0</w:t>
      </w:r>
      <w:r w:rsidRPr="008535D1">
        <w:rPr>
          <w:rFonts w:ascii="Tms Rmn" w:hAnsi="Tms Rmn"/>
          <w:sz w:val="12"/>
          <w:lang w:val="fr-CH"/>
        </w:rPr>
        <w:t> </w:t>
      </w:r>
      <w:r w:rsidRPr="008535D1">
        <w:rPr>
          <w:lang w:val="fr-CH"/>
        </w:rPr>
        <w:t>/</w:t>
      </w:r>
      <w:r w:rsidRPr="008535D1">
        <w:rPr>
          <w:rFonts w:ascii="Tms Rmn" w:hAnsi="Tms Rmn"/>
          <w:sz w:val="6"/>
          <w:lang w:val="fr-CH"/>
        </w:rPr>
        <w:t> </w:t>
      </w:r>
      <w:r w:rsidRPr="008535D1">
        <w:rPr>
          <w:i/>
          <w:lang w:val="fr-CH"/>
        </w:rPr>
        <w:t>P</w:t>
      </w:r>
      <w:r w:rsidRPr="008535D1">
        <w:rPr>
          <w:i/>
          <w:iCs/>
          <w:position w:val="-4"/>
          <w:sz w:val="18"/>
          <w:lang w:val="fr-CH"/>
        </w:rPr>
        <w:t>a</w:t>
      </w:r>
      <w:r w:rsidRPr="008535D1">
        <w:rPr>
          <w:rFonts w:ascii="Tms Rmn" w:hAnsi="Tms Rmn"/>
          <w:sz w:val="6"/>
          <w:lang w:val="fr-CH"/>
        </w:rPr>
        <w:t> </w:t>
      </w:r>
      <w:r w:rsidRPr="008535D1">
        <w:rPr>
          <w:lang w:val="fr-CH"/>
        </w:rPr>
        <w:t>)         dB</w:t>
      </w:r>
    </w:p>
    <w:p w:rsidR="0031148D" w:rsidRPr="00537143" w:rsidRDefault="0031148D" w:rsidP="0031148D">
      <w:pPr>
        <w:rPr>
          <w:szCs w:val="24"/>
        </w:rPr>
      </w:pPr>
      <w:r w:rsidRPr="00537143">
        <w:rPr>
          <w:szCs w:val="24"/>
        </w:rPr>
        <w:t>L'antenne de référence est le plus souvent l'antenne isotrope, ou un doublet demi-onde, ou encore, dans certains cas, une antenne verticale courte.</w:t>
      </w:r>
    </w:p>
    <w:p w:rsidR="0031148D" w:rsidRPr="00537143" w:rsidRDefault="0031148D" w:rsidP="0031148D">
      <w:pPr>
        <w:pStyle w:val="Heading1"/>
        <w:rPr>
          <w:szCs w:val="24"/>
        </w:rPr>
      </w:pPr>
      <w:bookmarkStart w:id="20" w:name="_Toc122852790"/>
      <w:r w:rsidRPr="00537143">
        <w:rPr>
          <w:szCs w:val="24"/>
        </w:rPr>
        <w:t>6</w:t>
      </w:r>
      <w:r w:rsidRPr="00537143">
        <w:rPr>
          <w:szCs w:val="24"/>
        </w:rPr>
        <w:tab/>
        <w:t>Niveaux</w:t>
      </w:r>
      <w:bookmarkEnd w:id="20"/>
    </w:p>
    <w:p w:rsidR="0031148D" w:rsidRPr="00537143" w:rsidRDefault="0031148D" w:rsidP="002A5694">
      <w:pPr>
        <w:rPr>
          <w:szCs w:val="24"/>
        </w:rPr>
      </w:pPr>
      <w:r w:rsidRPr="00537143">
        <w:rPr>
          <w:szCs w:val="24"/>
        </w:rPr>
        <w:t xml:space="preserve">Dans de nombreux cas, pour comparer une grandeur, soit </w:t>
      </w:r>
      <w:r w:rsidRPr="00537143">
        <w:rPr>
          <w:i/>
          <w:szCs w:val="24"/>
        </w:rPr>
        <w:t>x</w:t>
      </w:r>
      <w:r w:rsidRPr="00537143">
        <w:rPr>
          <w:szCs w:val="24"/>
        </w:rPr>
        <w:t xml:space="preserve">, avec une grandeur de référence spécifiée de la même espèce (et ayant les mêmes dimensions), </w:t>
      </w:r>
      <w:r w:rsidRPr="00537143">
        <w:rPr>
          <w:i/>
          <w:szCs w:val="24"/>
        </w:rPr>
        <w:t>x</w:t>
      </w:r>
      <w:r w:rsidR="002A5694" w:rsidRPr="002A5694">
        <w:rPr>
          <w:i/>
          <w:szCs w:val="24"/>
          <w:vertAlign w:val="subscript"/>
        </w:rPr>
        <w:t>réf</w:t>
      </w:r>
      <w:r w:rsidRPr="00537143">
        <w:rPr>
          <w:szCs w:val="24"/>
        </w:rPr>
        <w:t xml:space="preserve">, on utilise le logarithme du rapport </w:t>
      </w:r>
      <w:r w:rsidRPr="00537143">
        <w:rPr>
          <w:i/>
          <w:szCs w:val="24"/>
        </w:rPr>
        <w:t>x</w:t>
      </w:r>
      <w:r w:rsidRPr="00537143">
        <w:rPr>
          <w:szCs w:val="24"/>
        </w:rPr>
        <w:t>/</w:t>
      </w:r>
      <w:r w:rsidRPr="00537143">
        <w:rPr>
          <w:i/>
          <w:szCs w:val="24"/>
        </w:rPr>
        <w:t>x</w:t>
      </w:r>
      <w:r w:rsidR="002A5694" w:rsidRPr="002A5694">
        <w:rPr>
          <w:i/>
          <w:szCs w:val="24"/>
          <w:vertAlign w:val="subscript"/>
        </w:rPr>
        <w:t>réf</w:t>
      </w:r>
      <w:r w:rsidRPr="00537143">
        <w:rPr>
          <w:szCs w:val="24"/>
        </w:rPr>
        <w:t xml:space="preserve">. Cette expression logarithmique est souvent appelée «niveau de </w:t>
      </w:r>
      <w:r w:rsidRPr="00537143">
        <w:rPr>
          <w:i/>
          <w:szCs w:val="24"/>
        </w:rPr>
        <w:t>x</w:t>
      </w:r>
      <w:r w:rsidRPr="00537143">
        <w:rPr>
          <w:szCs w:val="24"/>
        </w:rPr>
        <w:t xml:space="preserve"> (par rapport à </w:t>
      </w:r>
      <w:r w:rsidRPr="00537143">
        <w:rPr>
          <w:i/>
          <w:szCs w:val="24"/>
        </w:rPr>
        <w:t>x</w:t>
      </w:r>
      <w:r w:rsidR="002A5694" w:rsidRPr="002A5694">
        <w:rPr>
          <w:i/>
          <w:szCs w:val="24"/>
          <w:vertAlign w:val="subscript"/>
        </w:rPr>
        <w:t>réf</w:t>
      </w:r>
      <w:r w:rsidRPr="00537143">
        <w:rPr>
          <w:rFonts w:ascii="Tms Rmn" w:hAnsi="Tms Rmn"/>
          <w:iCs/>
          <w:szCs w:val="24"/>
        </w:rPr>
        <w:t> </w:t>
      </w:r>
      <w:r w:rsidRPr="00537143">
        <w:rPr>
          <w:szCs w:val="24"/>
        </w:rPr>
        <w:t xml:space="preserve">)» ou «niveau </w:t>
      </w:r>
      <w:r w:rsidRPr="00537143">
        <w:rPr>
          <w:i/>
          <w:szCs w:val="24"/>
        </w:rPr>
        <w:t>x</w:t>
      </w:r>
      <w:r w:rsidRPr="00537143">
        <w:rPr>
          <w:szCs w:val="24"/>
        </w:rPr>
        <w:t xml:space="preserve"> (par rapport à </w:t>
      </w:r>
      <w:r w:rsidRPr="00537143">
        <w:rPr>
          <w:i/>
          <w:szCs w:val="24"/>
        </w:rPr>
        <w:t>x</w:t>
      </w:r>
      <w:r w:rsidR="002A5694" w:rsidRPr="002A5694">
        <w:rPr>
          <w:i/>
          <w:szCs w:val="24"/>
          <w:vertAlign w:val="subscript"/>
        </w:rPr>
        <w:t>réf</w:t>
      </w:r>
      <w:r w:rsidRPr="00537143">
        <w:rPr>
          <w:rFonts w:ascii="Tms Rmn" w:hAnsi="Tms Rmn"/>
          <w:iCs/>
          <w:szCs w:val="24"/>
        </w:rPr>
        <w:t> </w:t>
      </w:r>
      <w:r w:rsidRPr="00537143">
        <w:rPr>
          <w:szCs w:val="24"/>
        </w:rPr>
        <w:t xml:space="preserve">)». En utilisant le symbole littéral généralement adopté pour le niveau, </w:t>
      </w:r>
      <w:r w:rsidRPr="00537143">
        <w:rPr>
          <w:i/>
          <w:szCs w:val="24"/>
        </w:rPr>
        <w:t>L</w:t>
      </w:r>
      <w:r w:rsidRPr="00537143">
        <w:rPr>
          <w:szCs w:val="24"/>
        </w:rPr>
        <w:t xml:space="preserve">, le niveau de la grandeur </w:t>
      </w:r>
      <w:r w:rsidRPr="00537143">
        <w:rPr>
          <w:i/>
          <w:szCs w:val="24"/>
        </w:rPr>
        <w:t>x</w:t>
      </w:r>
      <w:r w:rsidRPr="00537143">
        <w:rPr>
          <w:szCs w:val="24"/>
        </w:rPr>
        <w:t xml:space="preserve"> peut s'écrire </w:t>
      </w:r>
      <w:r w:rsidRPr="00537143">
        <w:rPr>
          <w:i/>
          <w:szCs w:val="24"/>
        </w:rPr>
        <w:t>L</w:t>
      </w:r>
      <w:r w:rsidR="002A5694" w:rsidRPr="002A5694">
        <w:rPr>
          <w:i/>
          <w:szCs w:val="24"/>
          <w:vertAlign w:val="subscript"/>
        </w:rPr>
        <w:t>x</w:t>
      </w:r>
      <w:r w:rsidRPr="00537143">
        <w:rPr>
          <w:szCs w:val="24"/>
        </w:rPr>
        <w:t>.</w:t>
      </w:r>
    </w:p>
    <w:p w:rsidR="0031148D" w:rsidRPr="00537143" w:rsidRDefault="0031148D" w:rsidP="002A5694">
      <w:pPr>
        <w:rPr>
          <w:szCs w:val="24"/>
        </w:rPr>
      </w:pPr>
      <w:r w:rsidRPr="00537143">
        <w:rPr>
          <w:szCs w:val="24"/>
        </w:rPr>
        <w:t>D'autres désignations et d'autres symboles existent et peuvent être utilisés,</w:t>
      </w:r>
      <w:r w:rsidRPr="00537143">
        <w:rPr>
          <w:i/>
          <w:szCs w:val="24"/>
        </w:rPr>
        <w:t xml:space="preserve"> x</w:t>
      </w:r>
      <w:r w:rsidRPr="00537143">
        <w:rPr>
          <w:szCs w:val="24"/>
        </w:rPr>
        <w:t xml:space="preserve"> peut représenter une grandeur «simple», par exemple, une puissance</w:t>
      </w:r>
      <w:r w:rsidRPr="00537143">
        <w:rPr>
          <w:i/>
          <w:szCs w:val="24"/>
        </w:rPr>
        <w:t xml:space="preserve"> P</w:t>
      </w:r>
      <w:r w:rsidRPr="00537143">
        <w:rPr>
          <w:szCs w:val="24"/>
        </w:rPr>
        <w:t xml:space="preserve"> ou un rapport, par exemple,</w:t>
      </w:r>
      <w:r w:rsidRPr="00537143">
        <w:rPr>
          <w:i/>
          <w:szCs w:val="24"/>
        </w:rPr>
        <w:t xml:space="preserve"> P</w:t>
      </w:r>
      <w:r w:rsidRPr="00537143">
        <w:rPr>
          <w:rFonts w:ascii="Tms Rmn" w:hAnsi="Tms Rmn"/>
          <w:i/>
          <w:szCs w:val="24"/>
        </w:rPr>
        <w:t> </w:t>
      </w:r>
      <w:r w:rsidRPr="00537143">
        <w:rPr>
          <w:szCs w:val="24"/>
        </w:rPr>
        <w:t>/</w:t>
      </w:r>
      <w:r w:rsidRPr="00537143">
        <w:rPr>
          <w:rFonts w:ascii="Tms Rmn" w:hAnsi="Tms Rmn"/>
          <w:szCs w:val="24"/>
        </w:rPr>
        <w:t> </w:t>
      </w:r>
      <w:r w:rsidRPr="00537143">
        <w:rPr>
          <w:i/>
          <w:szCs w:val="24"/>
        </w:rPr>
        <w:t>A</w:t>
      </w:r>
      <w:r w:rsidRPr="00537143">
        <w:rPr>
          <w:szCs w:val="24"/>
        </w:rPr>
        <w:t xml:space="preserve"> où</w:t>
      </w:r>
      <w:r w:rsidRPr="00537143">
        <w:rPr>
          <w:i/>
          <w:szCs w:val="24"/>
        </w:rPr>
        <w:t xml:space="preserve"> A</w:t>
      </w:r>
      <w:r w:rsidRPr="00537143">
        <w:rPr>
          <w:szCs w:val="24"/>
        </w:rPr>
        <w:t xml:space="preserve"> représente une aire. On suppose ici que</w:t>
      </w:r>
      <w:r w:rsidRPr="00537143">
        <w:rPr>
          <w:i/>
          <w:szCs w:val="24"/>
        </w:rPr>
        <w:t> x</w:t>
      </w:r>
      <w:r w:rsidR="002A5694" w:rsidRPr="002A5694">
        <w:rPr>
          <w:i/>
          <w:szCs w:val="24"/>
          <w:vertAlign w:val="subscript"/>
        </w:rPr>
        <w:t>réf</w:t>
      </w:r>
      <w:r w:rsidRPr="00537143">
        <w:rPr>
          <w:szCs w:val="24"/>
        </w:rPr>
        <w:t xml:space="preserve">  a une valeur fixe, par exemple, 1 mW, 1 W, 1 </w:t>
      </w:r>
      <w:r w:rsidRPr="00537143">
        <w:rPr>
          <w:rFonts w:ascii="Symbol" w:hAnsi="Symbol"/>
          <w:szCs w:val="24"/>
        </w:rPr>
        <w:t></w:t>
      </w:r>
      <w:r w:rsidRPr="00537143">
        <w:rPr>
          <w:szCs w:val="24"/>
        </w:rPr>
        <w:t>W/m</w:t>
      </w:r>
      <w:r w:rsidR="002A5694" w:rsidRPr="002A5694">
        <w:rPr>
          <w:szCs w:val="24"/>
          <w:vertAlign w:val="superscript"/>
        </w:rPr>
        <w:t>2</w:t>
      </w:r>
      <w:r w:rsidRPr="00537143">
        <w:rPr>
          <w:szCs w:val="24"/>
        </w:rPr>
        <w:t>, 20 </w:t>
      </w:r>
      <w:r w:rsidRPr="00537143">
        <w:rPr>
          <w:rFonts w:ascii="Symbol" w:hAnsi="Symbol"/>
          <w:szCs w:val="24"/>
        </w:rPr>
        <w:t></w:t>
      </w:r>
      <w:r w:rsidRPr="00537143">
        <w:rPr>
          <w:szCs w:val="24"/>
        </w:rPr>
        <w:t>Pa, 1 </w:t>
      </w:r>
      <w:r w:rsidRPr="00537143">
        <w:rPr>
          <w:rFonts w:ascii="Symbol" w:hAnsi="Symbol"/>
          <w:szCs w:val="24"/>
        </w:rPr>
        <w:t></w:t>
      </w:r>
      <w:r w:rsidRPr="00537143">
        <w:rPr>
          <w:szCs w:val="24"/>
        </w:rPr>
        <w:t>V/m.</w:t>
      </w:r>
    </w:p>
    <w:p w:rsidR="0031148D" w:rsidRPr="00537143" w:rsidRDefault="0031148D" w:rsidP="002A5694">
      <w:pPr>
        <w:rPr>
          <w:szCs w:val="24"/>
        </w:rPr>
      </w:pPr>
      <w:r w:rsidRPr="00537143">
        <w:rPr>
          <w:szCs w:val="24"/>
        </w:rPr>
        <w:t>Le niveau qui représente la grandeur</w:t>
      </w:r>
      <w:r w:rsidRPr="00537143">
        <w:rPr>
          <w:i/>
          <w:szCs w:val="24"/>
        </w:rPr>
        <w:t xml:space="preserve"> x</w:t>
      </w:r>
      <w:r w:rsidRPr="00537143">
        <w:rPr>
          <w:szCs w:val="24"/>
        </w:rPr>
        <w:t xml:space="preserve"> avec la grandeur de référence</w:t>
      </w:r>
      <w:r w:rsidRPr="00537143">
        <w:rPr>
          <w:i/>
          <w:szCs w:val="24"/>
        </w:rPr>
        <w:t xml:space="preserve"> x</w:t>
      </w:r>
      <w:r w:rsidR="002A5694" w:rsidRPr="002A5694">
        <w:rPr>
          <w:i/>
          <w:szCs w:val="24"/>
          <w:vertAlign w:val="subscript"/>
        </w:rPr>
        <w:t>réf</w:t>
      </w:r>
      <w:r w:rsidRPr="00537143">
        <w:rPr>
          <w:szCs w:val="24"/>
        </w:rPr>
        <w:t xml:space="preserve"> peut s'exprimer par le symbole:</w:t>
      </w:r>
      <w:r w:rsidRPr="00537143">
        <w:rPr>
          <w:i/>
          <w:szCs w:val="24"/>
        </w:rPr>
        <w:t xml:space="preserve"> L</w:t>
      </w:r>
      <w:r w:rsidR="002A5694" w:rsidRPr="002A5694">
        <w:rPr>
          <w:i/>
          <w:szCs w:val="24"/>
          <w:vertAlign w:val="subscript"/>
        </w:rPr>
        <w:t>x</w:t>
      </w:r>
      <w:r w:rsidRPr="00537143">
        <w:rPr>
          <w:szCs w:val="24"/>
        </w:rPr>
        <w:t> (par rapport à</w:t>
      </w:r>
      <w:r w:rsidRPr="00537143">
        <w:rPr>
          <w:i/>
          <w:szCs w:val="24"/>
        </w:rPr>
        <w:t xml:space="preserve"> x</w:t>
      </w:r>
      <w:r w:rsidR="002A5694" w:rsidRPr="002A5694">
        <w:rPr>
          <w:i/>
          <w:szCs w:val="24"/>
          <w:vertAlign w:val="subscript"/>
        </w:rPr>
        <w:t>réf</w:t>
      </w:r>
      <w:r w:rsidRPr="00537143">
        <w:rPr>
          <w:rFonts w:ascii="Tms Rmn" w:hAnsi="Tms Rmn"/>
          <w:iCs/>
          <w:szCs w:val="24"/>
        </w:rPr>
        <w:t> </w:t>
      </w:r>
      <w:r w:rsidRPr="00537143">
        <w:rPr>
          <w:szCs w:val="24"/>
        </w:rPr>
        <w:t>), et peut s'exprimer en décibels quand la grandeur de référence est une puissance, ou une grandeur liée de façon bien définie à la puissance.</w:t>
      </w:r>
    </w:p>
    <w:p w:rsidR="0031148D" w:rsidRPr="00537143" w:rsidRDefault="0031148D" w:rsidP="0031148D">
      <w:pPr>
        <w:rPr>
          <w:szCs w:val="24"/>
        </w:rPr>
      </w:pPr>
      <w:r w:rsidRPr="00537143">
        <w:rPr>
          <w:szCs w:val="24"/>
        </w:rPr>
        <w:t>Exemple:</w:t>
      </w:r>
    </w:p>
    <w:p w:rsidR="0031148D" w:rsidRPr="00537143" w:rsidRDefault="0031148D" w:rsidP="0031148D">
      <w:pPr>
        <w:rPr>
          <w:position w:val="-2"/>
          <w:szCs w:val="24"/>
        </w:rPr>
      </w:pPr>
      <w:r w:rsidRPr="00537143">
        <w:rPr>
          <w:position w:val="-2"/>
          <w:szCs w:val="24"/>
        </w:rPr>
        <w:t>Le fait que le niveau d'une certaine puissance,</w:t>
      </w:r>
      <w:r w:rsidRPr="00537143">
        <w:rPr>
          <w:i/>
          <w:position w:val="-2"/>
          <w:szCs w:val="24"/>
        </w:rPr>
        <w:t xml:space="preserve"> P</w:t>
      </w:r>
      <w:r w:rsidRPr="00537143">
        <w:rPr>
          <w:position w:val="-2"/>
          <w:szCs w:val="24"/>
        </w:rPr>
        <w:t xml:space="preserve">, est supérieur de </w:t>
      </w:r>
      <w:r>
        <w:rPr>
          <w:position w:val="-2"/>
          <w:szCs w:val="24"/>
        </w:rPr>
        <w:t>15 dB au niveau correspondant à </w:t>
      </w:r>
      <w:r w:rsidRPr="00537143">
        <w:rPr>
          <w:position w:val="-2"/>
          <w:szCs w:val="24"/>
        </w:rPr>
        <w:t>1 W peut s'exprimer par:</w:t>
      </w:r>
    </w:p>
    <w:p w:rsidR="0031148D" w:rsidRPr="00537143" w:rsidRDefault="0031148D" w:rsidP="002A5694">
      <w:pPr>
        <w:pStyle w:val="Equation"/>
        <w:spacing w:before="240"/>
        <w:jc w:val="center"/>
        <w:rPr>
          <w:szCs w:val="24"/>
        </w:rPr>
      </w:pPr>
      <w:r w:rsidRPr="00537143">
        <w:rPr>
          <w:i/>
          <w:szCs w:val="24"/>
        </w:rPr>
        <w:lastRenderedPageBreak/>
        <w:t>L</w:t>
      </w:r>
      <w:r w:rsidR="002A5694" w:rsidRPr="002A5694">
        <w:rPr>
          <w:i/>
          <w:szCs w:val="24"/>
          <w:vertAlign w:val="subscript"/>
        </w:rPr>
        <w:t>P</w:t>
      </w:r>
      <w:r w:rsidRPr="00537143">
        <w:rPr>
          <w:szCs w:val="24"/>
        </w:rPr>
        <w:t> (par rapport à 1 W)  </w:t>
      </w:r>
      <w:r w:rsidRPr="00537143">
        <w:rPr>
          <w:rFonts w:ascii="Symbol" w:hAnsi="Symbol"/>
          <w:szCs w:val="24"/>
        </w:rPr>
        <w:t></w:t>
      </w:r>
      <w:r w:rsidRPr="00537143">
        <w:rPr>
          <w:szCs w:val="24"/>
        </w:rPr>
        <w:t>  15 dB, ce qui signifie 10 lg (</w:t>
      </w:r>
      <w:r w:rsidRPr="00537143">
        <w:rPr>
          <w:i/>
          <w:szCs w:val="24"/>
        </w:rPr>
        <w:t>P</w:t>
      </w:r>
      <w:r w:rsidRPr="00537143">
        <w:rPr>
          <w:rFonts w:ascii="Tms Rmn" w:hAnsi="Tms Rmn"/>
          <w:i/>
          <w:szCs w:val="24"/>
        </w:rPr>
        <w:t> </w:t>
      </w:r>
      <w:r w:rsidRPr="00537143">
        <w:rPr>
          <w:szCs w:val="24"/>
        </w:rPr>
        <w:t>/</w:t>
      </w:r>
      <w:r w:rsidRPr="00537143">
        <w:rPr>
          <w:rFonts w:ascii="Tms Rmn" w:hAnsi="Tms Rmn"/>
          <w:szCs w:val="24"/>
        </w:rPr>
        <w:t> </w:t>
      </w:r>
      <w:r w:rsidRPr="002A5694">
        <w:rPr>
          <w:szCs w:val="24"/>
        </w:rPr>
        <w:t>P</w:t>
      </w:r>
      <w:r w:rsidR="002A5694" w:rsidRPr="002A5694">
        <w:rPr>
          <w:szCs w:val="24"/>
          <w:vertAlign w:val="subscript"/>
        </w:rPr>
        <w:t>0</w:t>
      </w:r>
      <w:r w:rsidRPr="00537143">
        <w:rPr>
          <w:szCs w:val="24"/>
        </w:rPr>
        <w:t>)  </w:t>
      </w:r>
      <w:r w:rsidRPr="00537143">
        <w:rPr>
          <w:rFonts w:ascii="Symbol" w:hAnsi="Symbol"/>
          <w:szCs w:val="24"/>
        </w:rPr>
        <w:t></w:t>
      </w:r>
      <w:r w:rsidRPr="00537143">
        <w:rPr>
          <w:szCs w:val="24"/>
        </w:rPr>
        <w:t xml:space="preserve">  15, avec </w:t>
      </w:r>
      <w:r w:rsidRPr="002A5694">
        <w:rPr>
          <w:szCs w:val="24"/>
        </w:rPr>
        <w:t>P</w:t>
      </w:r>
      <w:r w:rsidR="002A5694" w:rsidRPr="002A5694">
        <w:rPr>
          <w:szCs w:val="24"/>
          <w:vertAlign w:val="subscript"/>
        </w:rPr>
        <w:t>0</w:t>
      </w:r>
      <w:r w:rsidRPr="00537143">
        <w:rPr>
          <w:szCs w:val="24"/>
        </w:rPr>
        <w:t>  </w:t>
      </w:r>
      <w:r w:rsidRPr="00537143">
        <w:rPr>
          <w:rFonts w:ascii="Symbol" w:hAnsi="Symbol"/>
          <w:szCs w:val="24"/>
        </w:rPr>
        <w:t></w:t>
      </w:r>
      <w:r w:rsidRPr="00537143">
        <w:rPr>
          <w:szCs w:val="24"/>
        </w:rPr>
        <w:t>  1 W,</w:t>
      </w:r>
    </w:p>
    <w:p w:rsidR="0031148D" w:rsidRPr="00537143" w:rsidRDefault="0031148D" w:rsidP="0031148D">
      <w:pPr>
        <w:pStyle w:val="Equation"/>
        <w:spacing w:before="0" w:after="20"/>
        <w:jc w:val="center"/>
        <w:rPr>
          <w:i/>
          <w:szCs w:val="24"/>
        </w:rPr>
      </w:pPr>
      <w:r w:rsidRPr="00537143">
        <w:rPr>
          <w:szCs w:val="24"/>
        </w:rPr>
        <w:t xml:space="preserve">ou 10 lg </w:t>
      </w:r>
      <w:r w:rsidRPr="00537143">
        <w:rPr>
          <w:i/>
          <w:szCs w:val="24"/>
        </w:rPr>
        <w:t>P</w:t>
      </w:r>
      <w:r w:rsidRPr="00537143">
        <w:rPr>
          <w:szCs w:val="24"/>
        </w:rPr>
        <w:t xml:space="preserve"> (W)  </w:t>
      </w:r>
      <w:r w:rsidRPr="00537143">
        <w:rPr>
          <w:rFonts w:ascii="Symbol" w:hAnsi="Symbol"/>
          <w:szCs w:val="24"/>
        </w:rPr>
        <w:t></w:t>
      </w:r>
      <w:r w:rsidRPr="00537143">
        <w:rPr>
          <w:szCs w:val="24"/>
        </w:rPr>
        <w:t>  15</w:t>
      </w:r>
    </w:p>
    <w:p w:rsidR="0031148D" w:rsidRPr="00537143" w:rsidRDefault="0031148D" w:rsidP="0031148D">
      <w:pPr>
        <w:rPr>
          <w:position w:val="-2"/>
          <w:szCs w:val="24"/>
        </w:rPr>
      </w:pPr>
      <w:r w:rsidRPr="00537143">
        <w:rPr>
          <w:position w:val="-2"/>
          <w:szCs w:val="24"/>
        </w:rPr>
        <w:t>Dans de nombreux cas, il est commode d'utiliser une notation condensée se rapportant uniquement à l'unité, en l'occurrence ici:</w:t>
      </w:r>
    </w:p>
    <w:p w:rsidR="0031148D" w:rsidRPr="00537143" w:rsidRDefault="0031148D" w:rsidP="0031148D">
      <w:pPr>
        <w:pStyle w:val="Equation"/>
        <w:spacing w:before="0" w:after="20"/>
        <w:jc w:val="center"/>
        <w:rPr>
          <w:i/>
          <w:szCs w:val="24"/>
        </w:rPr>
      </w:pPr>
      <w:r w:rsidRPr="00537143">
        <w:rPr>
          <w:i/>
          <w:szCs w:val="24"/>
        </w:rPr>
        <w:t>L</w:t>
      </w:r>
      <w:r w:rsidRPr="00537143">
        <w:rPr>
          <w:i/>
          <w:iCs/>
          <w:position w:val="-4"/>
          <w:szCs w:val="24"/>
        </w:rPr>
        <w:t>P</w:t>
      </w:r>
      <w:r w:rsidRPr="00537143">
        <w:rPr>
          <w:szCs w:val="24"/>
        </w:rPr>
        <w:t>  </w:t>
      </w:r>
      <w:r w:rsidRPr="00537143">
        <w:rPr>
          <w:rFonts w:ascii="Symbol" w:hAnsi="Symbol"/>
          <w:szCs w:val="24"/>
        </w:rPr>
        <w:t></w:t>
      </w:r>
      <w:r w:rsidRPr="00537143">
        <w:rPr>
          <w:szCs w:val="24"/>
        </w:rPr>
        <w:t>  15 dB(1 W)</w:t>
      </w:r>
    </w:p>
    <w:p w:rsidR="0031148D" w:rsidRPr="00537143" w:rsidRDefault="0031148D" w:rsidP="0031148D">
      <w:pPr>
        <w:rPr>
          <w:szCs w:val="24"/>
        </w:rPr>
      </w:pPr>
      <w:r w:rsidRPr="00537143">
        <w:rPr>
          <w:szCs w:val="24"/>
        </w:rPr>
        <w:t>On peut supprimer le nombre «1» dans l'expression de la grandeur de référence, mais cela n'est pas recommandé dans les cas où il y a un risque de confusion. Autrement dit, lorsqu'aucun autre nombre n'est indiqué, c'est le nombre 1 qui est sous-entendu.</w:t>
      </w:r>
    </w:p>
    <w:p w:rsidR="0031148D" w:rsidRPr="00537143" w:rsidRDefault="0031148D" w:rsidP="0031148D">
      <w:pPr>
        <w:rPr>
          <w:szCs w:val="24"/>
        </w:rPr>
      </w:pPr>
      <w:r w:rsidRPr="00537143">
        <w:rPr>
          <w:szCs w:val="24"/>
        </w:rPr>
        <w:t>Il existe un système de notations abrégées pour des cas part</w:t>
      </w:r>
      <w:r>
        <w:rPr>
          <w:szCs w:val="24"/>
        </w:rPr>
        <w:t>iculiers, par exemple dBW, pour </w:t>
      </w:r>
      <w:r w:rsidRPr="00537143">
        <w:rPr>
          <w:szCs w:val="24"/>
        </w:rPr>
        <w:t>dB(1 W), (voir plus loin au § 8).</w:t>
      </w:r>
    </w:p>
    <w:p w:rsidR="0031148D" w:rsidRPr="00537143" w:rsidRDefault="0031148D" w:rsidP="0031148D">
      <w:pPr>
        <w:pStyle w:val="Heading2"/>
        <w:rPr>
          <w:szCs w:val="24"/>
        </w:rPr>
      </w:pPr>
      <w:bookmarkStart w:id="21" w:name="_Toc122852791"/>
      <w:r w:rsidRPr="00537143">
        <w:rPr>
          <w:szCs w:val="24"/>
        </w:rPr>
        <w:t>6.1</w:t>
      </w:r>
      <w:r w:rsidRPr="00537143">
        <w:rPr>
          <w:szCs w:val="24"/>
        </w:rPr>
        <w:tab/>
        <w:t>Niveau absolu de puissance</w:t>
      </w:r>
      <w:bookmarkEnd w:id="21"/>
    </w:p>
    <w:p w:rsidR="0031148D" w:rsidRPr="00537143" w:rsidRDefault="0031148D" w:rsidP="0031148D">
      <w:pPr>
        <w:rPr>
          <w:szCs w:val="24"/>
        </w:rPr>
      </w:pPr>
      <w:r w:rsidRPr="00537143">
        <w:rPr>
          <w:szCs w:val="24"/>
        </w:rPr>
        <w:t>Le niveau absolu de puissance est le rapport, généralement exprimé en décibels, de la puissance d'un signal en un point d'une voie de transmission, à une puissance de référence spécifiée.</w:t>
      </w:r>
    </w:p>
    <w:p w:rsidR="0031148D" w:rsidRPr="00537143" w:rsidRDefault="0031148D" w:rsidP="0031148D">
      <w:pPr>
        <w:rPr>
          <w:szCs w:val="24"/>
        </w:rPr>
      </w:pPr>
      <w:r w:rsidRPr="00537143">
        <w:rPr>
          <w:szCs w:val="24"/>
        </w:rPr>
        <w:t>Dans chaque cas, il y a lieu de spécifier si la puissance est active ou apparente.</w:t>
      </w:r>
    </w:p>
    <w:p w:rsidR="0031148D" w:rsidRPr="00537143" w:rsidRDefault="0031148D" w:rsidP="0031148D">
      <w:pPr>
        <w:rPr>
          <w:szCs w:val="24"/>
        </w:rPr>
      </w:pPr>
      <w:r w:rsidRPr="00537143">
        <w:rPr>
          <w:szCs w:val="24"/>
        </w:rPr>
        <w:t>Il est nécessaire de préciser par un symbole la puissance de référence:</w:t>
      </w:r>
    </w:p>
    <w:p w:rsidR="0031148D" w:rsidRPr="00537143" w:rsidRDefault="0031148D" w:rsidP="0031148D">
      <w:pPr>
        <w:pStyle w:val="enumlev1"/>
        <w:rPr>
          <w:szCs w:val="24"/>
        </w:rPr>
      </w:pPr>
      <w:r w:rsidRPr="00537143">
        <w:rPr>
          <w:szCs w:val="24"/>
        </w:rPr>
        <w:t>–</w:t>
      </w:r>
      <w:r w:rsidRPr="00537143">
        <w:rPr>
          <w:szCs w:val="24"/>
        </w:rPr>
        <w:tab/>
        <w:t>lorsque la puissance de référence est égale à un watt, le niveau absolu de puissance s'exprime en «décibel par rapport au watt» et on utilise le symbole «dBW»;</w:t>
      </w:r>
    </w:p>
    <w:p w:rsidR="0031148D" w:rsidRPr="00537143" w:rsidRDefault="0031148D" w:rsidP="0031148D">
      <w:pPr>
        <w:pStyle w:val="enumlev1"/>
        <w:rPr>
          <w:szCs w:val="24"/>
        </w:rPr>
      </w:pPr>
      <w:r w:rsidRPr="00537143">
        <w:rPr>
          <w:szCs w:val="24"/>
        </w:rPr>
        <w:t>–</w:t>
      </w:r>
      <w:r w:rsidRPr="00537143">
        <w:rPr>
          <w:szCs w:val="24"/>
        </w:rPr>
        <w:tab/>
        <w:t>lorsque la puissance de référence est égale à un milliwatt, le niveau absolu de puissance s'exprime en «décibel par rapport au milliwatt» et on utilise le symbole «dBm».</w:t>
      </w:r>
    </w:p>
    <w:p w:rsidR="0031148D" w:rsidRPr="00537143" w:rsidRDefault="0031148D" w:rsidP="0031148D">
      <w:pPr>
        <w:pStyle w:val="Heading2"/>
        <w:rPr>
          <w:szCs w:val="24"/>
        </w:rPr>
      </w:pPr>
      <w:bookmarkStart w:id="22" w:name="_Toc122852792"/>
      <w:r w:rsidRPr="00537143">
        <w:rPr>
          <w:szCs w:val="24"/>
        </w:rPr>
        <w:t>6.2</w:t>
      </w:r>
      <w:r w:rsidRPr="00537143">
        <w:rPr>
          <w:szCs w:val="24"/>
        </w:rPr>
        <w:tab/>
        <w:t>Niveau relatif de puissance et notions connexes</w:t>
      </w:r>
      <w:bookmarkEnd w:id="22"/>
    </w:p>
    <w:p w:rsidR="0031148D" w:rsidRPr="00537143" w:rsidRDefault="0031148D" w:rsidP="0031148D">
      <w:pPr>
        <w:pStyle w:val="Heading3"/>
        <w:rPr>
          <w:szCs w:val="24"/>
        </w:rPr>
      </w:pPr>
      <w:bookmarkStart w:id="23" w:name="_Toc122852793"/>
      <w:r w:rsidRPr="00537143">
        <w:rPr>
          <w:szCs w:val="24"/>
        </w:rPr>
        <w:t>6.2.1</w:t>
      </w:r>
      <w:r w:rsidRPr="00537143">
        <w:rPr>
          <w:szCs w:val="24"/>
        </w:rPr>
        <w:tab/>
        <w:t>Définition</w:t>
      </w:r>
      <w:bookmarkEnd w:id="23"/>
    </w:p>
    <w:p w:rsidR="0031148D" w:rsidRPr="00537143" w:rsidRDefault="0031148D" w:rsidP="0031148D">
      <w:pPr>
        <w:rPr>
          <w:szCs w:val="24"/>
        </w:rPr>
      </w:pPr>
      <w:r w:rsidRPr="00537143">
        <w:rPr>
          <w:szCs w:val="24"/>
        </w:rPr>
        <w:t>Le niveau relatif de puissance est le rapport, généralement exprimé en décibels, de la puissance d'un signal en un point d'une voie de transmission, à cette même puissance en un autre point de la voie choisi comme référence, en général l'origine de la voie.</w:t>
      </w:r>
    </w:p>
    <w:p w:rsidR="0031148D" w:rsidRPr="00537143" w:rsidRDefault="0031148D" w:rsidP="0031148D">
      <w:pPr>
        <w:rPr>
          <w:szCs w:val="24"/>
        </w:rPr>
      </w:pPr>
      <w:r w:rsidRPr="00537143">
        <w:rPr>
          <w:szCs w:val="24"/>
        </w:rPr>
        <w:t>Dans chaque cas, il y a lieu de spécifier si la puissance est active ou apparente.</w:t>
      </w:r>
    </w:p>
    <w:p w:rsidR="0031148D" w:rsidRPr="00537143" w:rsidRDefault="0031148D" w:rsidP="0031148D">
      <w:pPr>
        <w:rPr>
          <w:szCs w:val="24"/>
        </w:rPr>
      </w:pPr>
      <w:r w:rsidRPr="00537143">
        <w:rPr>
          <w:szCs w:val="24"/>
        </w:rPr>
        <w:t>Sauf spécification contraire, le niveau relatif de puissance est le rapport de la puissance d'un signal sinusoïdal de mesure (à 800 ou 1</w:t>
      </w:r>
      <w:r w:rsidRPr="00537143">
        <w:rPr>
          <w:rFonts w:ascii="Tms Rmn" w:hAnsi="Tms Rmn"/>
          <w:szCs w:val="24"/>
        </w:rPr>
        <w:t> </w:t>
      </w:r>
      <w:r w:rsidRPr="00537143">
        <w:rPr>
          <w:szCs w:val="24"/>
        </w:rPr>
        <w:t>000 Hz) en un point de la voie à la puissance de ce signal au point de référence pour la transmission.</w:t>
      </w:r>
    </w:p>
    <w:p w:rsidR="0031148D" w:rsidRPr="00537143" w:rsidRDefault="0031148D" w:rsidP="0031148D">
      <w:pPr>
        <w:pStyle w:val="Heading3"/>
        <w:rPr>
          <w:szCs w:val="24"/>
        </w:rPr>
      </w:pPr>
      <w:bookmarkStart w:id="24" w:name="_Toc122852794"/>
      <w:r w:rsidRPr="00537143">
        <w:rPr>
          <w:szCs w:val="24"/>
        </w:rPr>
        <w:t>6.2.2</w:t>
      </w:r>
      <w:r w:rsidRPr="00537143">
        <w:rPr>
          <w:szCs w:val="24"/>
        </w:rPr>
        <w:tab/>
        <w:t>Point de référence pour la transmission (voir la Recommandation UIT-T G.101)</w:t>
      </w:r>
      <w:bookmarkEnd w:id="24"/>
    </w:p>
    <w:p w:rsidR="0031148D" w:rsidRPr="00537143" w:rsidRDefault="0031148D" w:rsidP="0031148D">
      <w:pPr>
        <w:rPr>
          <w:szCs w:val="24"/>
        </w:rPr>
      </w:pPr>
      <w:r w:rsidRPr="00537143">
        <w:rPr>
          <w:szCs w:val="24"/>
        </w:rPr>
        <w:t>Dans l'ancien plan de transmission, l'UIT-T avait défini «le point de niveau relatif zéro» comme étant l'origine à deux fils d'un circuit à grande distance (point O de la Fig. 1).</w:t>
      </w:r>
    </w:p>
    <w:p w:rsidR="0031148D" w:rsidRPr="00537143" w:rsidRDefault="0031148D" w:rsidP="002A0387">
      <w:pPr>
        <w:rPr>
          <w:szCs w:val="24"/>
        </w:rPr>
      </w:pPr>
      <w:r w:rsidRPr="00537143">
        <w:rPr>
          <w:szCs w:val="24"/>
        </w:rPr>
        <w:t xml:space="preserve">Dans le plan de transmission recommandé actuellement, le niveau relatif doit être –3,5 dBr à l'extrémité virtuelle, du côté émission, d'un circuit international à quatre fils (point V de la Fig. 2). Le «point de référence pour la transmission» ou «point de niveau relatif zéro» (point T de la Fig. 2) est un point virtuel à deux fils qui serait relié à V par l'intermédiaire d'un transformateur différentiel ayant un affaiblissement de 3,5 dB. La charge conventionnelle utilisée pour le calcul du bruit sur les systèmes à courants porteurs multivoies correspond à un niveau absolu de puissance moyenne de </w:t>
      </w:r>
      <w:r w:rsidRPr="00537143">
        <w:rPr>
          <w:rFonts w:ascii="Symbol" w:hAnsi="Symbol"/>
          <w:szCs w:val="24"/>
        </w:rPr>
        <w:noBreakHyphen/>
      </w:r>
      <w:r w:rsidRPr="00537143">
        <w:rPr>
          <w:szCs w:val="24"/>
        </w:rPr>
        <w:t>15 dBm au point T.</w:t>
      </w:r>
    </w:p>
    <w:p w:rsidR="0031148D" w:rsidRPr="00537143" w:rsidRDefault="0031148D" w:rsidP="0031148D">
      <w:pPr>
        <w:pStyle w:val="Heading3"/>
        <w:rPr>
          <w:szCs w:val="24"/>
        </w:rPr>
      </w:pPr>
      <w:bookmarkStart w:id="25" w:name="_Toc122852795"/>
      <w:r w:rsidRPr="00537143">
        <w:rPr>
          <w:szCs w:val="24"/>
        </w:rPr>
        <w:lastRenderedPageBreak/>
        <w:t>6.2.3</w:t>
      </w:r>
      <w:r w:rsidRPr="00537143">
        <w:rPr>
          <w:szCs w:val="24"/>
        </w:rPr>
        <w:tab/>
        <w:t>Signification de «dBm0»</w:t>
      </w:r>
      <w:bookmarkEnd w:id="25"/>
    </w:p>
    <w:p w:rsidR="0031148D" w:rsidRPr="00537143" w:rsidRDefault="0031148D" w:rsidP="002A0387">
      <w:pPr>
        <w:rPr>
          <w:szCs w:val="24"/>
        </w:rPr>
      </w:pPr>
      <w:r w:rsidRPr="00537143">
        <w:rPr>
          <w:szCs w:val="24"/>
        </w:rPr>
        <w:t>Si un signal de mesure, ayant un niveau absolu de puissance</w:t>
      </w:r>
      <w:r w:rsidRPr="00537143">
        <w:rPr>
          <w:i/>
          <w:szCs w:val="24"/>
        </w:rPr>
        <w:t xml:space="preserve"> L</w:t>
      </w:r>
      <w:r w:rsidR="002A0387" w:rsidRPr="002A0387">
        <w:rPr>
          <w:i/>
          <w:szCs w:val="24"/>
          <w:vertAlign w:val="subscript"/>
        </w:rPr>
        <w:t>M</w:t>
      </w:r>
      <w:r w:rsidRPr="00537143">
        <w:rPr>
          <w:szCs w:val="24"/>
        </w:rPr>
        <w:t xml:space="preserve"> (dBm), est appliqué au point T, le niveau absolu de puissance du signal qui apparaît au point X, où le niveau relatif est</w:t>
      </w:r>
      <w:r w:rsidRPr="00537143">
        <w:rPr>
          <w:i/>
          <w:szCs w:val="24"/>
        </w:rPr>
        <w:t xml:space="preserve"> </w:t>
      </w:r>
      <w:r w:rsidRPr="00537143">
        <w:rPr>
          <w:i/>
          <w:iCs/>
          <w:szCs w:val="24"/>
        </w:rPr>
        <w:t>L</w:t>
      </w:r>
      <w:r w:rsidR="002A0387" w:rsidRPr="002A0387">
        <w:rPr>
          <w:i/>
          <w:iCs/>
          <w:szCs w:val="24"/>
          <w:vertAlign w:val="subscript"/>
        </w:rPr>
        <w:t>XR</w:t>
      </w:r>
      <w:r w:rsidRPr="00537143">
        <w:rPr>
          <w:szCs w:val="24"/>
        </w:rPr>
        <w:t xml:space="preserve"> (dBr), sera</w:t>
      </w:r>
      <w:r w:rsidRPr="00537143">
        <w:rPr>
          <w:i/>
          <w:szCs w:val="24"/>
        </w:rPr>
        <w:t xml:space="preserve"> L</w:t>
      </w:r>
      <w:r w:rsidR="002A0387">
        <w:rPr>
          <w:i/>
          <w:iCs/>
          <w:szCs w:val="24"/>
          <w:vertAlign w:val="subscript"/>
        </w:rPr>
        <w:t>M</w:t>
      </w:r>
      <w:r w:rsidRPr="00537143">
        <w:rPr>
          <w:szCs w:val="24"/>
        </w:rPr>
        <w:t> </w:t>
      </w:r>
      <w:r w:rsidRPr="00537143">
        <w:rPr>
          <w:rFonts w:ascii="Symbol" w:hAnsi="Symbol"/>
          <w:szCs w:val="24"/>
        </w:rPr>
        <w:t></w:t>
      </w:r>
      <w:r w:rsidRPr="00537143">
        <w:rPr>
          <w:szCs w:val="24"/>
        </w:rPr>
        <w:t> </w:t>
      </w:r>
      <w:r w:rsidRPr="00537143">
        <w:rPr>
          <w:i/>
          <w:iCs/>
          <w:szCs w:val="24"/>
        </w:rPr>
        <w:t>L</w:t>
      </w:r>
      <w:r w:rsidR="002A0387" w:rsidRPr="002A0387">
        <w:rPr>
          <w:i/>
          <w:iCs/>
          <w:szCs w:val="24"/>
          <w:vertAlign w:val="subscript"/>
        </w:rPr>
        <w:t>XR</w:t>
      </w:r>
      <w:r w:rsidRPr="00537143">
        <w:rPr>
          <w:szCs w:val="24"/>
        </w:rPr>
        <w:t xml:space="preserve"> (dBm).</w:t>
      </w:r>
    </w:p>
    <w:p w:rsidR="0031148D" w:rsidRPr="00537143" w:rsidRDefault="0031148D" w:rsidP="002A0387">
      <w:pPr>
        <w:rPr>
          <w:szCs w:val="24"/>
        </w:rPr>
      </w:pPr>
      <w:r w:rsidRPr="00537143">
        <w:rPr>
          <w:szCs w:val="24"/>
        </w:rPr>
        <w:t>Inversement, si un signal en X a un niveau absolu de puissance</w:t>
      </w:r>
      <w:r w:rsidRPr="00537143">
        <w:rPr>
          <w:i/>
          <w:szCs w:val="24"/>
        </w:rPr>
        <w:t xml:space="preserve"> L</w:t>
      </w:r>
      <w:r w:rsidR="002A0387" w:rsidRPr="002A0387">
        <w:rPr>
          <w:i/>
          <w:iCs/>
          <w:szCs w:val="24"/>
          <w:vertAlign w:val="subscript"/>
        </w:rPr>
        <w:t>X</w:t>
      </w:r>
      <w:r w:rsidR="002A0387">
        <w:rPr>
          <w:i/>
          <w:iCs/>
          <w:szCs w:val="24"/>
          <w:vertAlign w:val="subscript"/>
        </w:rPr>
        <w:t>A</w:t>
      </w:r>
      <w:r w:rsidRPr="00537143">
        <w:rPr>
          <w:szCs w:val="24"/>
        </w:rPr>
        <w:t xml:space="preserve"> (dBm), il est souvent commode de le «rapporter en un point de niveau relatif zéro» en calculant</w:t>
      </w:r>
      <w:r w:rsidRPr="00537143">
        <w:rPr>
          <w:i/>
          <w:szCs w:val="24"/>
        </w:rPr>
        <w:t xml:space="preserve"> </w:t>
      </w:r>
      <w:r w:rsidRPr="002A0387">
        <w:rPr>
          <w:iCs/>
          <w:szCs w:val="24"/>
        </w:rPr>
        <w:t>L</w:t>
      </w:r>
      <w:r w:rsidR="002A0387" w:rsidRPr="002A0387">
        <w:rPr>
          <w:iCs/>
          <w:szCs w:val="24"/>
          <w:vertAlign w:val="subscript"/>
        </w:rPr>
        <w:t>0</w:t>
      </w:r>
      <w:r w:rsidRPr="00537143">
        <w:rPr>
          <w:szCs w:val="24"/>
        </w:rPr>
        <w:t xml:space="preserve"> (dBm0) par la formule:</w:t>
      </w:r>
    </w:p>
    <w:p w:rsidR="0031148D" w:rsidRPr="00537143" w:rsidRDefault="002A0387" w:rsidP="0031148D">
      <w:pPr>
        <w:pStyle w:val="Equation"/>
        <w:spacing w:before="100" w:after="20"/>
        <w:jc w:val="center"/>
        <w:rPr>
          <w:szCs w:val="24"/>
        </w:rPr>
      </w:pPr>
      <w:r w:rsidRPr="00E74FCC">
        <w:rPr>
          <w:i/>
          <w:lang w:val="fr-CH"/>
        </w:rPr>
        <w:t>L</w:t>
      </w:r>
      <w:r w:rsidRPr="00E74FCC">
        <w:rPr>
          <w:position w:val="-4"/>
          <w:sz w:val="16"/>
          <w:lang w:val="fr-CH"/>
        </w:rPr>
        <w:t>0</w:t>
      </w:r>
      <w:r w:rsidRPr="00E74FCC">
        <w:rPr>
          <w:lang w:val="fr-CH"/>
        </w:rPr>
        <w:t>  </w:t>
      </w:r>
      <w:r>
        <w:rPr>
          <w:rFonts w:ascii="Symbol" w:hAnsi="Symbol"/>
        </w:rPr>
        <w:t></w:t>
      </w:r>
      <w:r w:rsidRPr="00E74FCC">
        <w:rPr>
          <w:lang w:val="fr-CH"/>
        </w:rPr>
        <w:t>  </w:t>
      </w:r>
      <w:r w:rsidRPr="00E74FCC">
        <w:rPr>
          <w:i/>
          <w:lang w:val="fr-CH"/>
        </w:rPr>
        <w:t>L</w:t>
      </w:r>
      <w:r w:rsidRPr="00E74FCC">
        <w:rPr>
          <w:i/>
          <w:iCs/>
          <w:position w:val="-4"/>
          <w:sz w:val="18"/>
          <w:lang w:val="fr-CH"/>
        </w:rPr>
        <w:t>XA</w:t>
      </w:r>
      <w:r w:rsidRPr="00E74FCC">
        <w:rPr>
          <w:lang w:val="fr-CH"/>
        </w:rPr>
        <w:t xml:space="preserve"> – </w:t>
      </w:r>
      <w:r w:rsidRPr="00E74FCC">
        <w:rPr>
          <w:i/>
          <w:lang w:val="fr-CH"/>
        </w:rPr>
        <w:t>L</w:t>
      </w:r>
      <w:r w:rsidRPr="00E74FCC">
        <w:rPr>
          <w:i/>
          <w:iCs/>
          <w:position w:val="-4"/>
          <w:sz w:val="18"/>
          <w:lang w:val="fr-CH"/>
        </w:rPr>
        <w:t>XR</w:t>
      </w:r>
    </w:p>
    <w:p w:rsidR="0031148D" w:rsidRPr="00537143" w:rsidRDefault="0031148D" w:rsidP="0031148D">
      <w:pPr>
        <w:rPr>
          <w:szCs w:val="24"/>
        </w:rPr>
      </w:pPr>
      <w:r w:rsidRPr="00537143">
        <w:rPr>
          <w:szCs w:val="24"/>
        </w:rPr>
        <w:t>On peut utiliser cette formule, non seulement pour des signaux, mais aussi pour un bruit (pondéré ou non), ce qui aide à calculer le rapport signal sur bruit.</w:t>
      </w:r>
    </w:p>
    <w:p w:rsidR="0031148D" w:rsidRDefault="0031148D" w:rsidP="0031148D">
      <w:pPr>
        <w:pStyle w:val="Figure0"/>
      </w:pPr>
      <w:r>
        <w:object w:dxaOrig="1862" w:dyaOrig="2227">
          <v:shape id="_x0000_i1026" type="#_x0000_t75" style="width:172.5pt;height:206.5pt" o:ole="">
            <v:imagedata r:id="rId14" o:title=""/>
          </v:shape>
          <o:OLEObject Type="Embed" ProgID="CorelDRAW.Graphic.14" ShapeID="_x0000_i1026" DrawAspect="Content" ObjectID="_1532235868" r:id="rId15"/>
        </w:object>
      </w:r>
    </w:p>
    <w:p w:rsidR="0031148D" w:rsidRPr="00537143" w:rsidRDefault="0031148D" w:rsidP="0031148D">
      <w:pPr>
        <w:pStyle w:val="Heading2"/>
        <w:rPr>
          <w:szCs w:val="24"/>
        </w:rPr>
      </w:pPr>
      <w:bookmarkStart w:id="26" w:name="_Toc122852796"/>
      <w:r w:rsidRPr="00537143">
        <w:rPr>
          <w:szCs w:val="24"/>
        </w:rPr>
        <w:t>6.3</w:t>
      </w:r>
      <w:r w:rsidRPr="00537143">
        <w:rPr>
          <w:szCs w:val="24"/>
        </w:rPr>
        <w:tab/>
        <w:t>Densité de puissance</w:t>
      </w:r>
      <w:bookmarkEnd w:id="26"/>
    </w:p>
    <w:p w:rsidR="0031148D" w:rsidRPr="00537143" w:rsidRDefault="0031148D" w:rsidP="0031148D">
      <w:pPr>
        <w:rPr>
          <w:szCs w:val="24"/>
        </w:rPr>
      </w:pPr>
      <w:r w:rsidRPr="00537143">
        <w:rPr>
          <w:i/>
          <w:iCs/>
          <w:szCs w:val="24"/>
        </w:rPr>
        <w:t>Définition</w:t>
      </w:r>
      <w:r w:rsidRPr="00537143">
        <w:rPr>
          <w:szCs w:val="24"/>
        </w:rPr>
        <w:t>:  Quotient d'une puissance par une autre grandeur, par exemple une aire, une largeur de bande, une température.</w:t>
      </w:r>
    </w:p>
    <w:p w:rsidR="0031148D" w:rsidRPr="00537143" w:rsidRDefault="0031148D" w:rsidP="0031148D">
      <w:pPr>
        <w:pStyle w:val="Note"/>
        <w:rPr>
          <w:szCs w:val="24"/>
        </w:rPr>
      </w:pPr>
      <w:r w:rsidRPr="00537143">
        <w:rPr>
          <w:szCs w:val="24"/>
        </w:rPr>
        <w:t>NOTE 1 – Le quotient d'une puissance par une aire est appelé «puissance surfacique» et est habituellement exprimé en «watts par mètre carré» (symbole: W · m</w:t>
      </w:r>
      <w:r w:rsidRPr="008F3B61">
        <w:rPr>
          <w:position w:val="6"/>
          <w:sz w:val="18"/>
          <w:szCs w:val="18"/>
        </w:rPr>
        <w:t>–2</w:t>
      </w:r>
      <w:r w:rsidRPr="00537143">
        <w:rPr>
          <w:szCs w:val="24"/>
        </w:rPr>
        <w:t xml:space="preserve"> ou W/m</w:t>
      </w:r>
      <w:r w:rsidRPr="008F3B61">
        <w:rPr>
          <w:position w:val="6"/>
          <w:sz w:val="18"/>
          <w:szCs w:val="18"/>
        </w:rPr>
        <w:t>2</w:t>
      </w:r>
      <w:r w:rsidRPr="00537143">
        <w:rPr>
          <w:szCs w:val="24"/>
        </w:rPr>
        <w:t>).</w:t>
      </w:r>
    </w:p>
    <w:p w:rsidR="0031148D" w:rsidRPr="00537143" w:rsidRDefault="0031148D" w:rsidP="0031148D">
      <w:pPr>
        <w:rPr>
          <w:szCs w:val="24"/>
        </w:rPr>
      </w:pPr>
      <w:r w:rsidRPr="00537143">
        <w:rPr>
          <w:szCs w:val="24"/>
        </w:rPr>
        <w:t>Le quotient d'une puissance par une largeur de bande de fréquences est appelé «densité spectrale de puissance» ou «puissance spectrique» et peut être exprimé en «watts par hertz» (symbole: W · Hz</w:t>
      </w:r>
      <w:r w:rsidRPr="008F3B61">
        <w:rPr>
          <w:position w:val="6"/>
          <w:sz w:val="18"/>
          <w:szCs w:val="18"/>
        </w:rPr>
        <w:t>–1</w:t>
      </w:r>
      <w:r w:rsidRPr="00537143">
        <w:rPr>
          <w:szCs w:val="24"/>
        </w:rPr>
        <w:t xml:space="preserve"> ou W/Hz). Il peut aussi être exprimé en une unité faisant intervenir une largeur de bande caractéristique de la technique concernée, par exemple 1 kHz ou 4 </w:t>
      </w:r>
      <w:r>
        <w:rPr>
          <w:szCs w:val="24"/>
        </w:rPr>
        <w:t>kHz en téléphonie analogique, 1 </w:t>
      </w:r>
      <w:r w:rsidRPr="00537143">
        <w:rPr>
          <w:szCs w:val="24"/>
        </w:rPr>
        <w:t>MHz en transmission numérique ou en télévision; la densité spectrale de puissance s'exprime alors en «watts par kilohertz» (W/kHz) ou en «watts par 4 kHz» (W/4 kHz) ou encore en «watts par mégahertz» (W/MHz).</w:t>
      </w:r>
    </w:p>
    <w:p w:rsidR="0031148D" w:rsidRPr="00537143" w:rsidRDefault="0031148D" w:rsidP="0031148D">
      <w:pPr>
        <w:rPr>
          <w:szCs w:val="24"/>
        </w:rPr>
      </w:pPr>
      <w:r w:rsidRPr="00537143">
        <w:rPr>
          <w:szCs w:val="24"/>
        </w:rPr>
        <w:t>Le quotient d'une puissance par une température, utilisé en particulier dans le cas des puissances de bruit, n'a pas reçu de nom spécifique. On l'exprime habituellement en «watts par kelvin» (symbole: W · K</w:t>
      </w:r>
      <w:r w:rsidRPr="008F3B61">
        <w:rPr>
          <w:position w:val="6"/>
          <w:sz w:val="18"/>
          <w:szCs w:val="18"/>
        </w:rPr>
        <w:t>–1</w:t>
      </w:r>
      <w:r w:rsidRPr="00537143">
        <w:rPr>
          <w:szCs w:val="24"/>
        </w:rPr>
        <w:t xml:space="preserve"> ou W/K).</w:t>
      </w:r>
    </w:p>
    <w:p w:rsidR="0031148D" w:rsidRPr="00537143" w:rsidRDefault="0031148D" w:rsidP="0031148D">
      <w:pPr>
        <w:pStyle w:val="Note"/>
        <w:rPr>
          <w:szCs w:val="24"/>
        </w:rPr>
      </w:pPr>
      <w:r w:rsidRPr="00537143">
        <w:rPr>
          <w:szCs w:val="24"/>
        </w:rPr>
        <w:t>NOTE 2 – On peut dans certains cas utiliser une combinaison de plusieurs types de densités de puissance, par exemple une «densité spectrale de puissance surfacique», qui s'exprime en «watts par mètre carré et par hertz» (symbole: W · m</w:t>
      </w:r>
      <w:r w:rsidRPr="008F3B61">
        <w:rPr>
          <w:rFonts w:ascii="Symbol" w:hAnsi="Symbol"/>
          <w:position w:val="6"/>
          <w:sz w:val="18"/>
          <w:szCs w:val="18"/>
        </w:rPr>
        <w:noBreakHyphen/>
      </w:r>
      <w:r w:rsidRPr="008F3B61">
        <w:rPr>
          <w:position w:val="6"/>
          <w:sz w:val="18"/>
          <w:szCs w:val="18"/>
        </w:rPr>
        <w:t>2</w:t>
      </w:r>
      <w:r w:rsidRPr="00537143">
        <w:rPr>
          <w:szCs w:val="24"/>
        </w:rPr>
        <w:t> · Hz</w:t>
      </w:r>
      <w:r w:rsidRPr="008F3B61">
        <w:rPr>
          <w:position w:val="6"/>
          <w:sz w:val="18"/>
          <w:szCs w:val="18"/>
        </w:rPr>
        <w:t>–1</w:t>
      </w:r>
      <w:r w:rsidRPr="00537143">
        <w:rPr>
          <w:szCs w:val="24"/>
        </w:rPr>
        <w:t xml:space="preserve"> ou W/(m</w:t>
      </w:r>
      <w:r w:rsidRPr="008F3B61">
        <w:rPr>
          <w:position w:val="6"/>
          <w:sz w:val="18"/>
          <w:szCs w:val="18"/>
        </w:rPr>
        <w:t>2</w:t>
      </w:r>
      <w:r w:rsidRPr="00537143">
        <w:rPr>
          <w:szCs w:val="24"/>
        </w:rPr>
        <w:t xml:space="preserve"> · Hz)).</w:t>
      </w:r>
    </w:p>
    <w:p w:rsidR="0031148D" w:rsidRPr="00537143" w:rsidRDefault="0031148D" w:rsidP="0031148D">
      <w:pPr>
        <w:pStyle w:val="Heading2"/>
        <w:rPr>
          <w:szCs w:val="24"/>
        </w:rPr>
      </w:pPr>
      <w:bookmarkStart w:id="27" w:name="_Toc122852797"/>
      <w:r w:rsidRPr="00537143">
        <w:rPr>
          <w:szCs w:val="24"/>
        </w:rPr>
        <w:lastRenderedPageBreak/>
        <w:t>6.4</w:t>
      </w:r>
      <w:r w:rsidRPr="00537143">
        <w:rPr>
          <w:szCs w:val="24"/>
        </w:rPr>
        <w:tab/>
        <w:t>Niveau absolu de densité de puissance</w:t>
      </w:r>
      <w:bookmarkEnd w:id="27"/>
    </w:p>
    <w:p w:rsidR="0031148D" w:rsidRPr="00537143" w:rsidRDefault="0031148D" w:rsidP="0031148D">
      <w:pPr>
        <w:rPr>
          <w:szCs w:val="24"/>
        </w:rPr>
      </w:pPr>
      <w:r w:rsidRPr="00537143">
        <w:rPr>
          <w:i/>
          <w:szCs w:val="24"/>
        </w:rPr>
        <w:t>Définition</w:t>
      </w:r>
      <w:r w:rsidRPr="00537143">
        <w:rPr>
          <w:szCs w:val="24"/>
        </w:rPr>
        <w:t>:  Expression sous forme logarithmique, le plus souvent en décibels, du rapport entre la densité de puissance en un point considéré et une densité de puissance de référence.</w:t>
      </w:r>
    </w:p>
    <w:p w:rsidR="0031148D" w:rsidRPr="00537143" w:rsidRDefault="0031148D" w:rsidP="0031148D">
      <w:pPr>
        <w:pStyle w:val="Note"/>
        <w:rPr>
          <w:szCs w:val="24"/>
        </w:rPr>
      </w:pPr>
      <w:r w:rsidRPr="00537143">
        <w:rPr>
          <w:szCs w:val="24"/>
        </w:rPr>
        <w:t>NOTE 1 – Par exemple, si on choisit comme puissance surfacique de référence le watt par mètre carré, les niveaux absolus de puissance surfacique sont exprimés en «décibels par rapport au watt par mètre carré» (symbole: dB(W/m</w:t>
      </w:r>
      <w:r w:rsidRPr="008F3B61">
        <w:rPr>
          <w:position w:val="6"/>
          <w:sz w:val="18"/>
          <w:szCs w:val="18"/>
        </w:rPr>
        <w:t>2</w:t>
      </w:r>
      <w:r w:rsidRPr="00537143">
        <w:rPr>
          <w:szCs w:val="24"/>
        </w:rPr>
        <w:t>)).</w:t>
      </w:r>
    </w:p>
    <w:p w:rsidR="0031148D" w:rsidRPr="00537143" w:rsidRDefault="0031148D" w:rsidP="0031148D">
      <w:pPr>
        <w:rPr>
          <w:szCs w:val="24"/>
        </w:rPr>
      </w:pPr>
      <w:r w:rsidRPr="00537143">
        <w:rPr>
          <w:szCs w:val="24"/>
        </w:rPr>
        <w:t>De même, si on choisit comme densité spectrale de puissance de référence le watt par hertz, les niveaux absolus de densité spectrale de puissance sont exprimés en «décibels par rapport au watt par hertz» (symbole: dB(W/Hz)).</w:t>
      </w:r>
    </w:p>
    <w:p w:rsidR="0031148D" w:rsidRPr="00537143" w:rsidRDefault="0031148D" w:rsidP="0031148D">
      <w:pPr>
        <w:rPr>
          <w:szCs w:val="24"/>
        </w:rPr>
      </w:pPr>
      <w:r w:rsidRPr="00537143">
        <w:rPr>
          <w:szCs w:val="24"/>
        </w:rPr>
        <w:t>Si on choisit comme référence de densité de puissance par unité de température le watt par kelvin, les niveaux absolus de densité de puissance par unité de température sont exprimés en «décibels par rapport au watt par kelvin» (symbole: dB(W/K)).</w:t>
      </w:r>
    </w:p>
    <w:p w:rsidR="0031148D" w:rsidRPr="00537143" w:rsidRDefault="0031148D" w:rsidP="0031148D">
      <w:pPr>
        <w:rPr>
          <w:szCs w:val="24"/>
        </w:rPr>
      </w:pPr>
      <w:r w:rsidRPr="00537143">
        <w:rPr>
          <w:szCs w:val="24"/>
        </w:rPr>
        <w:t>On peut facilement étendre cette notation à des densités combinées. Par exemple, les niveaux absolus de densité spectrale de puissance surfacique sont exprimés en «décibels par rapport au watt par mètre carré et par hertz» dont le symbole est: dB(W/(m</w:t>
      </w:r>
      <w:r w:rsidRPr="008F3B61">
        <w:rPr>
          <w:position w:val="6"/>
          <w:sz w:val="18"/>
          <w:szCs w:val="18"/>
        </w:rPr>
        <w:t>2</w:t>
      </w:r>
      <w:r w:rsidRPr="00537143">
        <w:rPr>
          <w:szCs w:val="24"/>
        </w:rPr>
        <w:t xml:space="preserve"> · Hz)). Des exemples d'emploi sont: dB(W/(m</w:t>
      </w:r>
      <w:r w:rsidRPr="008F3B61">
        <w:rPr>
          <w:position w:val="6"/>
          <w:sz w:val="18"/>
          <w:szCs w:val="18"/>
        </w:rPr>
        <w:t>2</w:t>
      </w:r>
      <w:r w:rsidRPr="00537143">
        <w:rPr>
          <w:szCs w:val="24"/>
        </w:rPr>
        <w:t xml:space="preserve"> · MHz)) et dB(W/(m</w:t>
      </w:r>
      <w:r w:rsidRPr="008F3B61">
        <w:rPr>
          <w:position w:val="6"/>
          <w:sz w:val="18"/>
          <w:szCs w:val="18"/>
        </w:rPr>
        <w:t>2</w:t>
      </w:r>
      <w:r w:rsidRPr="00537143">
        <w:rPr>
          <w:szCs w:val="24"/>
        </w:rPr>
        <w:t xml:space="preserve"> · 4 kHz)).</w:t>
      </w:r>
    </w:p>
    <w:p w:rsidR="0031148D" w:rsidRPr="00537143" w:rsidRDefault="0031148D" w:rsidP="0031148D">
      <w:pPr>
        <w:pStyle w:val="Heading2"/>
        <w:rPr>
          <w:szCs w:val="24"/>
        </w:rPr>
      </w:pPr>
      <w:bookmarkStart w:id="28" w:name="_Toc122852798"/>
      <w:r w:rsidRPr="00537143">
        <w:rPr>
          <w:szCs w:val="24"/>
        </w:rPr>
        <w:t>6.5</w:t>
      </w:r>
      <w:r w:rsidRPr="00537143">
        <w:rPr>
          <w:szCs w:val="24"/>
        </w:rPr>
        <w:tab/>
        <w:t>Niveau absolu de tension</w:t>
      </w:r>
      <w:bookmarkEnd w:id="28"/>
    </w:p>
    <w:p w:rsidR="0031148D" w:rsidRPr="00537143" w:rsidRDefault="0031148D" w:rsidP="0031148D">
      <w:pPr>
        <w:rPr>
          <w:szCs w:val="24"/>
        </w:rPr>
      </w:pPr>
      <w:r w:rsidRPr="00537143">
        <w:rPr>
          <w:szCs w:val="24"/>
        </w:rPr>
        <w:t>Le niveau absolu de tension est le rapport, généralement exprimé en décibels, de la tension d'un signal en un point d'une voie de transmision, à une tension de référence spécifiée.</w:t>
      </w:r>
    </w:p>
    <w:p w:rsidR="0031148D" w:rsidRPr="00537143" w:rsidRDefault="0031148D" w:rsidP="0031148D">
      <w:pPr>
        <w:rPr>
          <w:szCs w:val="24"/>
        </w:rPr>
      </w:pPr>
      <w:r w:rsidRPr="00537143">
        <w:rPr>
          <w:szCs w:val="24"/>
        </w:rPr>
        <w:t>Dans chaque cas, il y a lieu de spécifier la nature de la tension considérée, par exemple une valeur efficace.</w:t>
      </w:r>
    </w:p>
    <w:p w:rsidR="0031148D" w:rsidRPr="00537143" w:rsidRDefault="0031148D" w:rsidP="0031148D">
      <w:pPr>
        <w:rPr>
          <w:szCs w:val="24"/>
        </w:rPr>
      </w:pPr>
      <w:r w:rsidRPr="00537143">
        <w:rPr>
          <w:szCs w:val="24"/>
        </w:rPr>
        <w:t>On adopte, en général, une tension de référence de valeur efficace 0,775 volt qui correspond à une puissance de 1 milliwatt dissipée dans une résistance de 600 ohms, car 600 ohms représentent une valeur grossièrement approchée de l'impédance caractéristique de certaines lignes téléphoniques symétriques. Le niveau absolu de tension est alors exprimé en dBu.</w:t>
      </w:r>
    </w:p>
    <w:p w:rsidR="0031148D" w:rsidRPr="00537143" w:rsidRDefault="0031148D" w:rsidP="00B93951">
      <w:pPr>
        <w:rPr>
          <w:szCs w:val="24"/>
        </w:rPr>
      </w:pPr>
      <w:r w:rsidRPr="00537143">
        <w:rPr>
          <w:szCs w:val="24"/>
        </w:rPr>
        <w:t>Si l'impédance aux bornes de laquelle on mesure la tension</w:t>
      </w:r>
      <w:r w:rsidRPr="00537143">
        <w:rPr>
          <w:i/>
          <w:szCs w:val="24"/>
        </w:rPr>
        <w:t xml:space="preserve"> U</w:t>
      </w:r>
      <w:r w:rsidR="00B93951" w:rsidRPr="00B93951">
        <w:rPr>
          <w:iCs/>
          <w:szCs w:val="24"/>
          <w:vertAlign w:val="subscript"/>
        </w:rPr>
        <w:t>1</w:t>
      </w:r>
      <w:r w:rsidRPr="00537143">
        <w:rPr>
          <w:szCs w:val="24"/>
        </w:rPr>
        <w:t xml:space="preserve"> est effectivement égale à 600 ohms, le niveau absolu de tension ainsi défini correspond au niveau abso</w:t>
      </w:r>
      <w:r>
        <w:rPr>
          <w:szCs w:val="24"/>
        </w:rPr>
        <w:t>lu de puissance par rapport à 1 </w:t>
      </w:r>
      <w:r w:rsidRPr="00537143">
        <w:rPr>
          <w:szCs w:val="24"/>
        </w:rPr>
        <w:t xml:space="preserve">milliwatt, et par suite le nombre </w:t>
      </w:r>
      <w:r w:rsidRPr="00537143">
        <w:rPr>
          <w:i/>
          <w:szCs w:val="24"/>
        </w:rPr>
        <w:t>N</w:t>
      </w:r>
      <w:r w:rsidRPr="00537143">
        <w:rPr>
          <w:szCs w:val="24"/>
        </w:rPr>
        <w:t xml:space="preserve"> représente exactement le niv</w:t>
      </w:r>
      <w:r>
        <w:rPr>
          <w:szCs w:val="24"/>
        </w:rPr>
        <w:t>eau en décibels par rapport à 1 </w:t>
      </w:r>
      <w:r w:rsidRPr="00537143">
        <w:rPr>
          <w:szCs w:val="24"/>
        </w:rPr>
        <w:t>milliwatt (dBm).</w:t>
      </w:r>
    </w:p>
    <w:p w:rsidR="0031148D" w:rsidRPr="0031148D" w:rsidRDefault="0031148D" w:rsidP="00B93951">
      <w:pPr>
        <w:pStyle w:val="Equation"/>
        <w:tabs>
          <w:tab w:val="left" w:pos="3629"/>
          <w:tab w:val="left" w:pos="5897"/>
        </w:tabs>
        <w:rPr>
          <w:szCs w:val="24"/>
        </w:rPr>
      </w:pPr>
      <w:r w:rsidRPr="00537143">
        <w:rPr>
          <w:i/>
          <w:iCs/>
          <w:szCs w:val="24"/>
        </w:rPr>
        <w:tab/>
      </w:r>
      <w:r>
        <w:rPr>
          <w:i/>
          <w:iCs/>
          <w:szCs w:val="24"/>
        </w:rPr>
        <w:tab/>
      </w:r>
      <w:r w:rsidR="00B93951" w:rsidRPr="00B93951">
        <w:rPr>
          <w:i/>
          <w:iCs/>
        </w:rPr>
        <w:t>L</w:t>
      </w:r>
      <w:r w:rsidR="00B93951" w:rsidRPr="00B93951">
        <w:rPr>
          <w:i/>
          <w:iCs/>
          <w:position w:val="-4"/>
          <w:sz w:val="18"/>
        </w:rPr>
        <w:t>u</w:t>
      </w:r>
      <w:r w:rsidR="00B93951" w:rsidRPr="00B93951">
        <w:t>  </w:t>
      </w:r>
      <w:r w:rsidR="00B93951">
        <w:rPr>
          <w:rFonts w:ascii="Symbol" w:hAnsi="Symbol"/>
        </w:rPr>
        <w:t></w:t>
      </w:r>
      <w:r w:rsidR="00B93951" w:rsidRPr="00B93951">
        <w:t>  20 lg (</w:t>
      </w:r>
      <w:r w:rsidR="00B93951" w:rsidRPr="00B93951">
        <w:rPr>
          <w:i/>
          <w:iCs/>
        </w:rPr>
        <w:t>U</w:t>
      </w:r>
      <w:r w:rsidR="00B93951" w:rsidRPr="00B93951">
        <w:rPr>
          <w:position w:val="-4"/>
          <w:sz w:val="18"/>
        </w:rPr>
        <w:t>1</w:t>
      </w:r>
      <w:r w:rsidR="00B93951" w:rsidRPr="00B93951">
        <w:rPr>
          <w:sz w:val="6"/>
        </w:rPr>
        <w:t> </w:t>
      </w:r>
      <w:r w:rsidR="00B93951" w:rsidRPr="00B93951">
        <w:t>/</w:t>
      </w:r>
      <w:r w:rsidR="00B93951" w:rsidRPr="00B93951">
        <w:rPr>
          <w:rFonts w:ascii="Tms Rmn" w:hAnsi="Tms Rmn"/>
          <w:sz w:val="6"/>
        </w:rPr>
        <w:t> </w:t>
      </w:r>
      <w:r w:rsidR="00B93951" w:rsidRPr="00B93951">
        <w:rPr>
          <w:i/>
          <w:iCs/>
        </w:rPr>
        <w:t>U</w:t>
      </w:r>
      <w:r w:rsidR="00B93951" w:rsidRPr="00B93951">
        <w:rPr>
          <w:position w:val="-4"/>
          <w:sz w:val="18"/>
        </w:rPr>
        <w:t>2</w:t>
      </w:r>
      <w:r w:rsidR="00B93951" w:rsidRPr="00B93951">
        <w:rPr>
          <w:rFonts w:ascii="Tms Rmn" w:hAnsi="Tms Rmn"/>
          <w:position w:val="-4"/>
          <w:sz w:val="6"/>
        </w:rPr>
        <w:t> </w:t>
      </w:r>
      <w:r w:rsidR="00B93951" w:rsidRPr="00B93951">
        <w:t>)</w:t>
      </w:r>
      <w:r w:rsidRPr="0031148D">
        <w:rPr>
          <w:szCs w:val="24"/>
        </w:rPr>
        <w:tab/>
        <w:t>dBu</w:t>
      </w:r>
    </w:p>
    <w:p w:rsidR="0031148D" w:rsidRPr="0031148D" w:rsidRDefault="0031148D" w:rsidP="00B93951">
      <w:pPr>
        <w:pStyle w:val="Equation"/>
        <w:tabs>
          <w:tab w:val="left" w:pos="3629"/>
          <w:tab w:val="left" w:pos="5897"/>
        </w:tabs>
        <w:rPr>
          <w:szCs w:val="24"/>
        </w:rPr>
      </w:pPr>
      <w:r w:rsidRPr="0031148D">
        <w:rPr>
          <w:i/>
          <w:iCs/>
          <w:szCs w:val="24"/>
        </w:rPr>
        <w:tab/>
      </w:r>
      <w:r w:rsidRPr="0031148D">
        <w:rPr>
          <w:i/>
          <w:iCs/>
          <w:szCs w:val="24"/>
        </w:rPr>
        <w:tab/>
      </w:r>
      <w:r w:rsidR="00B93951" w:rsidRPr="00B93951">
        <w:rPr>
          <w:i/>
          <w:iCs/>
        </w:rPr>
        <w:t>L</w:t>
      </w:r>
      <w:r w:rsidR="00B93951" w:rsidRPr="00B93951">
        <w:rPr>
          <w:i/>
          <w:iCs/>
          <w:position w:val="-4"/>
          <w:sz w:val="18"/>
        </w:rPr>
        <w:t>p</w:t>
      </w:r>
      <w:r w:rsidR="00B93951" w:rsidRPr="00B93951">
        <w:t>  </w:t>
      </w:r>
      <w:r w:rsidR="00B93951">
        <w:rPr>
          <w:rFonts w:ascii="Symbol" w:hAnsi="Symbol"/>
        </w:rPr>
        <w:t></w:t>
      </w:r>
      <w:r w:rsidR="00B93951" w:rsidRPr="00B93951">
        <w:t>  10 lg (</w:t>
      </w:r>
      <w:r w:rsidR="00B93951" w:rsidRPr="00B93951">
        <w:rPr>
          <w:i/>
          <w:iCs/>
        </w:rPr>
        <w:t>P</w:t>
      </w:r>
      <w:r w:rsidR="00B93951" w:rsidRPr="00B93951">
        <w:rPr>
          <w:position w:val="-4"/>
          <w:sz w:val="18"/>
        </w:rPr>
        <w:t>1</w:t>
      </w:r>
      <w:r w:rsidR="00B93951" w:rsidRPr="00B93951">
        <w:rPr>
          <w:sz w:val="6"/>
        </w:rPr>
        <w:t> </w:t>
      </w:r>
      <w:r w:rsidR="00B93951" w:rsidRPr="00B93951">
        <w:t>/</w:t>
      </w:r>
      <w:r w:rsidR="00B93951" w:rsidRPr="00B93951">
        <w:rPr>
          <w:rFonts w:ascii="Tms Rmn" w:hAnsi="Tms Rmn"/>
          <w:sz w:val="6"/>
        </w:rPr>
        <w:t> </w:t>
      </w:r>
      <w:r w:rsidR="00B93951" w:rsidRPr="00B93951">
        <w:rPr>
          <w:i/>
          <w:iCs/>
        </w:rPr>
        <w:t>P</w:t>
      </w:r>
      <w:r w:rsidR="00B93951" w:rsidRPr="00B93951">
        <w:rPr>
          <w:position w:val="-4"/>
          <w:sz w:val="18"/>
        </w:rPr>
        <w:t>2</w:t>
      </w:r>
      <w:r w:rsidR="00B93951" w:rsidRPr="00B93951">
        <w:rPr>
          <w:rFonts w:ascii="Tms Rmn" w:hAnsi="Tms Rmn"/>
          <w:position w:val="-4"/>
          <w:sz w:val="6"/>
        </w:rPr>
        <w:t> </w:t>
      </w:r>
      <w:r w:rsidR="00B93951" w:rsidRPr="00B93951">
        <w:t>)</w:t>
      </w:r>
      <w:r w:rsidRPr="0031148D">
        <w:rPr>
          <w:szCs w:val="24"/>
        </w:rPr>
        <w:tab/>
        <w:t>dBm</w:t>
      </w:r>
    </w:p>
    <w:p w:rsidR="0031148D" w:rsidRPr="00537143" w:rsidRDefault="0031148D" w:rsidP="00B93951">
      <w:pPr>
        <w:rPr>
          <w:szCs w:val="24"/>
        </w:rPr>
      </w:pPr>
      <w:r w:rsidRPr="00537143">
        <w:rPr>
          <w:szCs w:val="24"/>
        </w:rPr>
        <w:t>Si l'impédance aux bornes de laquelle on mesure la tension</w:t>
      </w:r>
      <w:r w:rsidRPr="00537143">
        <w:rPr>
          <w:i/>
          <w:szCs w:val="24"/>
        </w:rPr>
        <w:t xml:space="preserve"> </w:t>
      </w:r>
      <w:r w:rsidRPr="00B93951">
        <w:rPr>
          <w:iCs/>
          <w:szCs w:val="24"/>
        </w:rPr>
        <w:t>U</w:t>
      </w:r>
      <w:r w:rsidR="00B93951" w:rsidRPr="00B93951">
        <w:rPr>
          <w:iCs/>
          <w:szCs w:val="24"/>
          <w:vertAlign w:val="subscript"/>
        </w:rPr>
        <w:t>1</w:t>
      </w:r>
      <w:r w:rsidRPr="00537143">
        <w:rPr>
          <w:szCs w:val="24"/>
        </w:rPr>
        <w:t xml:space="preserve"> est égale à</w:t>
      </w:r>
      <w:r w:rsidRPr="00537143">
        <w:rPr>
          <w:i/>
          <w:szCs w:val="24"/>
        </w:rPr>
        <w:t xml:space="preserve"> R</w:t>
      </w:r>
      <w:r w:rsidRPr="00537143">
        <w:rPr>
          <w:szCs w:val="24"/>
        </w:rPr>
        <w:t xml:space="preserve"> ohms,</w:t>
      </w:r>
      <w:r w:rsidRPr="00537143">
        <w:rPr>
          <w:i/>
          <w:szCs w:val="24"/>
        </w:rPr>
        <w:t xml:space="preserve"> N</w:t>
      </w:r>
      <w:r w:rsidRPr="00537143">
        <w:rPr>
          <w:szCs w:val="24"/>
        </w:rPr>
        <w:t xml:space="preserve"> est égal au nombre de dBm augmenté de la qualité 10 lg (</w:t>
      </w:r>
      <w:r w:rsidRPr="00537143">
        <w:rPr>
          <w:i/>
          <w:szCs w:val="24"/>
        </w:rPr>
        <w:t>R</w:t>
      </w:r>
      <w:r w:rsidRPr="00537143">
        <w:rPr>
          <w:rFonts w:ascii="Tms Rmn" w:hAnsi="Tms Rmn"/>
          <w:i/>
          <w:szCs w:val="24"/>
        </w:rPr>
        <w:t> </w:t>
      </w:r>
      <w:r w:rsidRPr="00537143">
        <w:rPr>
          <w:szCs w:val="24"/>
        </w:rPr>
        <w:t>/</w:t>
      </w:r>
      <w:r w:rsidRPr="00537143">
        <w:rPr>
          <w:rFonts w:ascii="Tms Rmn" w:hAnsi="Tms Rmn"/>
          <w:szCs w:val="24"/>
        </w:rPr>
        <w:t> </w:t>
      </w:r>
      <w:r w:rsidRPr="00537143">
        <w:rPr>
          <w:szCs w:val="24"/>
        </w:rPr>
        <w:t>600).</w:t>
      </w:r>
    </w:p>
    <w:p w:rsidR="0031148D" w:rsidRPr="00537143" w:rsidRDefault="00B93951" w:rsidP="0031148D">
      <w:pPr>
        <w:pStyle w:val="Equation"/>
        <w:jc w:val="center"/>
        <w:rPr>
          <w:szCs w:val="24"/>
        </w:rPr>
      </w:pPr>
      <w:r w:rsidRPr="00E74FCC">
        <w:rPr>
          <w:i/>
          <w:iCs/>
          <w:lang w:val="fr-CH"/>
        </w:rPr>
        <w:t>L</w:t>
      </w:r>
      <w:r w:rsidRPr="00E74FCC">
        <w:rPr>
          <w:i/>
          <w:iCs/>
          <w:position w:val="-4"/>
          <w:sz w:val="18"/>
          <w:lang w:val="fr-CH"/>
        </w:rPr>
        <w:t>u</w:t>
      </w:r>
      <w:r w:rsidRPr="00E74FCC">
        <w:rPr>
          <w:lang w:val="fr-CH"/>
        </w:rPr>
        <w:t>  </w:t>
      </w:r>
      <w:r>
        <w:rPr>
          <w:rFonts w:ascii="Symbol" w:hAnsi="Symbol"/>
        </w:rPr>
        <w:t></w:t>
      </w:r>
      <w:r w:rsidRPr="00E74FCC">
        <w:rPr>
          <w:lang w:val="fr-CH"/>
        </w:rPr>
        <w:t>  </w:t>
      </w:r>
      <w:r w:rsidRPr="00E74FCC">
        <w:rPr>
          <w:i/>
          <w:iCs/>
          <w:lang w:val="fr-CH"/>
        </w:rPr>
        <w:t>L</w:t>
      </w:r>
      <w:r w:rsidRPr="00E74FCC">
        <w:rPr>
          <w:i/>
          <w:iCs/>
          <w:position w:val="-4"/>
          <w:sz w:val="18"/>
          <w:lang w:val="fr-CH"/>
        </w:rPr>
        <w:t>p</w:t>
      </w:r>
      <w:r w:rsidRPr="00E74FCC">
        <w:rPr>
          <w:lang w:val="fr-CH"/>
        </w:rPr>
        <w:t xml:space="preserve"> </w:t>
      </w:r>
      <w:r>
        <w:rPr>
          <w:rFonts w:ascii="Symbol" w:hAnsi="Symbol"/>
        </w:rPr>
        <w:t></w:t>
      </w:r>
      <w:r w:rsidRPr="00E74FCC">
        <w:rPr>
          <w:lang w:val="fr-CH"/>
        </w:rPr>
        <w:t xml:space="preserve"> 10 lg (</w:t>
      </w:r>
      <w:r w:rsidRPr="00E74FCC">
        <w:rPr>
          <w:i/>
          <w:iCs/>
          <w:lang w:val="fr-CH"/>
        </w:rPr>
        <w:t>R</w:t>
      </w:r>
      <w:r w:rsidRPr="00E74FCC">
        <w:rPr>
          <w:rFonts w:ascii="Tms Rmn" w:hAnsi="Tms Rmn"/>
          <w:i/>
          <w:iCs/>
          <w:sz w:val="12"/>
          <w:lang w:val="fr-CH"/>
        </w:rPr>
        <w:t> </w:t>
      </w:r>
      <w:r w:rsidRPr="00E74FCC">
        <w:rPr>
          <w:lang w:val="fr-CH"/>
        </w:rPr>
        <w:t>/</w:t>
      </w:r>
      <w:r w:rsidRPr="00E74FCC">
        <w:rPr>
          <w:rFonts w:ascii="Tms Rmn" w:hAnsi="Tms Rmn"/>
          <w:sz w:val="12"/>
          <w:lang w:val="fr-CH"/>
        </w:rPr>
        <w:t> </w:t>
      </w:r>
      <w:r w:rsidRPr="00E74FCC">
        <w:rPr>
          <w:lang w:val="fr-CH"/>
        </w:rPr>
        <w:t>600)</w:t>
      </w:r>
    </w:p>
    <w:p w:rsidR="0031148D" w:rsidRPr="00537143" w:rsidRDefault="0031148D" w:rsidP="0031148D">
      <w:pPr>
        <w:pStyle w:val="Heading2"/>
        <w:rPr>
          <w:szCs w:val="24"/>
        </w:rPr>
      </w:pPr>
      <w:bookmarkStart w:id="29" w:name="_Toc122852799"/>
      <w:r w:rsidRPr="00537143">
        <w:rPr>
          <w:szCs w:val="24"/>
        </w:rPr>
        <w:t>6.6</w:t>
      </w:r>
      <w:r w:rsidRPr="00537143">
        <w:rPr>
          <w:szCs w:val="24"/>
        </w:rPr>
        <w:tab/>
        <w:t>Cas des audiofréquences</w:t>
      </w:r>
      <w:bookmarkEnd w:id="29"/>
    </w:p>
    <w:p w:rsidR="0031148D" w:rsidRPr="00537143" w:rsidRDefault="0031148D" w:rsidP="0031148D">
      <w:pPr>
        <w:pStyle w:val="Heading3"/>
        <w:rPr>
          <w:szCs w:val="24"/>
        </w:rPr>
      </w:pPr>
      <w:bookmarkStart w:id="30" w:name="_Toc122852800"/>
      <w:r w:rsidRPr="00537143">
        <w:rPr>
          <w:szCs w:val="24"/>
        </w:rPr>
        <w:t>6.6.1</w:t>
      </w:r>
      <w:r w:rsidRPr="00537143">
        <w:rPr>
          <w:szCs w:val="24"/>
        </w:rPr>
        <w:tab/>
        <w:t>Niveau absolu de bruit audiofréquence</w:t>
      </w:r>
      <w:bookmarkEnd w:id="30"/>
      <w:r w:rsidRPr="00537143">
        <w:rPr>
          <w:szCs w:val="24"/>
        </w:rPr>
        <w:t xml:space="preserve"> </w:t>
      </w:r>
    </w:p>
    <w:p w:rsidR="0031148D" w:rsidRPr="00537143" w:rsidRDefault="0031148D" w:rsidP="0031148D">
      <w:pPr>
        <w:rPr>
          <w:szCs w:val="24"/>
        </w:rPr>
      </w:pPr>
      <w:r w:rsidRPr="00537143">
        <w:rPr>
          <w:szCs w:val="24"/>
        </w:rPr>
        <w:t>Pour mesurer le bruit audiofréquence en radiodiffusion, dans l'enregistrement du son ou dans les transmissions radiophoniques, on applique, en se servant normalement d'un réseau de pondération, l</w:t>
      </w:r>
      <w:r w:rsidR="00B93951">
        <w:rPr>
          <w:szCs w:val="24"/>
        </w:rPr>
        <w:t>a méthode décrite dans la Recom</w:t>
      </w:r>
      <w:r w:rsidRPr="00537143">
        <w:rPr>
          <w:szCs w:val="24"/>
        </w:rPr>
        <w:t>mandation UIT-R BS.468 pour la valeur de quasi-crête, en prenant une tension de référence de 0,775 V à 1 kHz et une impédance nominale de 600 ohms. On exprime normalement le résultat de la mesure en dBqp (en dBqps si l'on utilise un réseau de pondération).</w:t>
      </w:r>
    </w:p>
    <w:p w:rsidR="0031148D" w:rsidRPr="00537143" w:rsidRDefault="0031148D" w:rsidP="0031148D">
      <w:pPr>
        <w:pStyle w:val="Note"/>
        <w:rPr>
          <w:szCs w:val="24"/>
        </w:rPr>
      </w:pPr>
      <w:r w:rsidRPr="00537143">
        <w:rPr>
          <w:szCs w:val="24"/>
        </w:rPr>
        <w:lastRenderedPageBreak/>
        <w:t>NOTE 1 – Les notations «dBq» et «dBm» ne doivent pas être employées indifféremment. Dans les transmissions radio</w:t>
      </w:r>
      <w:r w:rsidRPr="00537143">
        <w:rPr>
          <w:szCs w:val="24"/>
        </w:rPr>
        <w:softHyphen/>
        <w:t>phoniques, la notation «dBq» est uniquement valable pour les mesures du niveau de bruit avec une ou plusieurs salves de signal sinusoïdal, tandis que la notation «dBm» ne s'applique qu'aux signaux sinusoïdaux utilisés pour le réglage du circuit.</w:t>
      </w:r>
    </w:p>
    <w:p w:rsidR="0031148D" w:rsidRPr="00537143" w:rsidRDefault="0031148D" w:rsidP="0031148D">
      <w:pPr>
        <w:pStyle w:val="Heading3"/>
        <w:rPr>
          <w:szCs w:val="24"/>
        </w:rPr>
      </w:pPr>
      <w:bookmarkStart w:id="31" w:name="_Toc122852801"/>
      <w:r w:rsidRPr="00537143">
        <w:rPr>
          <w:szCs w:val="24"/>
        </w:rPr>
        <w:t>6.6.2</w:t>
      </w:r>
      <w:r w:rsidRPr="00537143">
        <w:rPr>
          <w:szCs w:val="24"/>
        </w:rPr>
        <w:tab/>
        <w:t>Niveaux relatifs de tension</w:t>
      </w:r>
      <w:bookmarkEnd w:id="31"/>
      <w:r w:rsidRPr="00537143">
        <w:rPr>
          <w:szCs w:val="24"/>
        </w:rPr>
        <w:t xml:space="preserve"> </w:t>
      </w:r>
    </w:p>
    <w:p w:rsidR="0031148D" w:rsidRPr="00537143" w:rsidRDefault="0031148D" w:rsidP="0031148D">
      <w:pPr>
        <w:rPr>
          <w:szCs w:val="24"/>
        </w:rPr>
      </w:pPr>
      <w:r w:rsidRPr="00537143">
        <w:rPr>
          <w:szCs w:val="24"/>
        </w:rPr>
        <w:t>Le niveau relatif de tension en un point d'une chaîne de transmission radiophonique est le rapport, exprimé en dB, du niveau de tension d'un signal au point considéré par rapport au niveau de tension du même signal au point de référence. Le rapport qui vient d'être défini est exprimé en «dBrs», le «r» indiquant le «niveau relatif» et le «s» montrant que le rapport porte sur des niveaux dans un système de transmission «radiophonique» (signaux sonores). Au point de référence (le point de niveau relatif zéro, 0 dBrs), un signal d'essai au niveau d'alignement a un niveau de 0 dBu. On notera que, dans certaines chaînes de radiodiffusion, il peut ne pas y avoir de point de niveau relatif zéro mais que, néanmoins, on peut toujours attribuer à des points de mesure et d'interconnexion un niveau (exprimé en dBrs) par rapport à un point de référence fictif.</w:t>
      </w:r>
    </w:p>
    <w:p w:rsidR="0031148D" w:rsidRPr="00537143" w:rsidRDefault="0031148D" w:rsidP="0031148D">
      <w:pPr>
        <w:pStyle w:val="Heading3"/>
        <w:rPr>
          <w:szCs w:val="24"/>
        </w:rPr>
      </w:pPr>
      <w:bookmarkStart w:id="32" w:name="_Toc122852802"/>
      <w:r w:rsidRPr="00537143">
        <w:rPr>
          <w:szCs w:val="24"/>
        </w:rPr>
        <w:t>6.6.3</w:t>
      </w:r>
      <w:r w:rsidRPr="00537143">
        <w:rPr>
          <w:szCs w:val="24"/>
        </w:rPr>
        <w:tab/>
        <w:t>Emploi du décibel, par extension, pour des rapports de grandeurs non liées à une puissance</w:t>
      </w:r>
      <w:bookmarkEnd w:id="32"/>
    </w:p>
    <w:p w:rsidR="0031148D" w:rsidRPr="00537143" w:rsidRDefault="0031148D" w:rsidP="0031148D">
      <w:pPr>
        <w:pStyle w:val="Heading4"/>
        <w:rPr>
          <w:szCs w:val="24"/>
        </w:rPr>
      </w:pPr>
      <w:r w:rsidRPr="00537143">
        <w:rPr>
          <w:szCs w:val="24"/>
        </w:rPr>
        <w:t>6.6.3.1</w:t>
      </w:r>
      <w:r w:rsidRPr="00537143">
        <w:rPr>
          <w:szCs w:val="24"/>
        </w:rPr>
        <w:tab/>
        <w:t>Rapport de tensions</w:t>
      </w:r>
    </w:p>
    <w:p w:rsidR="0031148D" w:rsidRPr="00537143" w:rsidRDefault="0031148D" w:rsidP="0031148D">
      <w:pPr>
        <w:rPr>
          <w:szCs w:val="24"/>
        </w:rPr>
      </w:pPr>
      <w:r w:rsidRPr="00537143">
        <w:rPr>
          <w:szCs w:val="24"/>
        </w:rPr>
        <w:t>Dans le domaine des audiofréquences, la notion de puissance perd parfois de son intérêt au profit de la notion de tension. C'est, par exemple, le cas lorsqu'on associe en cascade des biportes à faible impédance de sortie et à forte impédance d'entrée: on s'éloigne ainsi volontairement des conditions d'adaptation d'impédance, pour simplifier la mise en œuvre de ces biportes. Dans ces conditions, seuls les rapports de tensions, aux différents points de la chaîne, sont à prendre en considération.</w:t>
      </w:r>
    </w:p>
    <w:p w:rsidR="0031148D" w:rsidRPr="00537143" w:rsidRDefault="0031148D" w:rsidP="0031148D">
      <w:pPr>
        <w:rPr>
          <w:szCs w:val="24"/>
        </w:rPr>
      </w:pPr>
      <w:r w:rsidRPr="00537143">
        <w:rPr>
          <w:szCs w:val="24"/>
        </w:rPr>
        <w:t>Il est alors commode d'exprimer ces rapports de tension dans une échelle logarithmique, par exemple de base 10, en définissant le nombre</w:t>
      </w:r>
      <w:r w:rsidRPr="00537143">
        <w:rPr>
          <w:i/>
          <w:szCs w:val="24"/>
        </w:rPr>
        <w:t xml:space="preserve"> N</w:t>
      </w:r>
      <w:r w:rsidRPr="00537143">
        <w:rPr>
          <w:szCs w:val="24"/>
        </w:rPr>
        <w:t xml:space="preserve"> d'unités correspondantes à l'aide de la relation:</w:t>
      </w:r>
    </w:p>
    <w:p w:rsidR="0031148D" w:rsidRPr="00537143" w:rsidRDefault="00B93951" w:rsidP="0031148D">
      <w:pPr>
        <w:pStyle w:val="Equation"/>
        <w:jc w:val="center"/>
        <w:rPr>
          <w:szCs w:val="24"/>
        </w:rPr>
      </w:pPr>
      <w:r w:rsidRPr="00E74FCC">
        <w:rPr>
          <w:i/>
          <w:lang w:val="fr-CH"/>
        </w:rPr>
        <w:t>N</w:t>
      </w:r>
      <w:r w:rsidRPr="00E74FCC">
        <w:rPr>
          <w:lang w:val="fr-CH"/>
        </w:rPr>
        <w:t>  </w:t>
      </w:r>
      <w:r>
        <w:rPr>
          <w:rFonts w:ascii="Symbol" w:hAnsi="Symbol"/>
        </w:rPr>
        <w:t></w:t>
      </w:r>
      <w:r w:rsidRPr="00E74FCC">
        <w:rPr>
          <w:lang w:val="fr-CH"/>
        </w:rPr>
        <w:t>  </w:t>
      </w:r>
      <w:r w:rsidRPr="00E74FCC">
        <w:rPr>
          <w:i/>
          <w:lang w:val="fr-CH"/>
        </w:rPr>
        <w:t>K</w:t>
      </w:r>
      <w:r w:rsidRPr="00E74FCC">
        <w:rPr>
          <w:iCs/>
          <w:lang w:val="fr-CH"/>
        </w:rPr>
        <w:t xml:space="preserve"> </w:t>
      </w:r>
      <w:r w:rsidRPr="00E74FCC">
        <w:rPr>
          <w:lang w:val="fr-CH"/>
        </w:rPr>
        <w:t>lg (</w:t>
      </w:r>
      <w:r w:rsidRPr="00E74FCC">
        <w:rPr>
          <w:i/>
          <w:lang w:val="fr-CH"/>
        </w:rPr>
        <w:t>U</w:t>
      </w:r>
      <w:r w:rsidRPr="00E74FCC">
        <w:rPr>
          <w:position w:val="-4"/>
          <w:sz w:val="18"/>
          <w:lang w:val="fr-CH"/>
        </w:rPr>
        <w:t>1</w:t>
      </w:r>
      <w:r w:rsidRPr="00E74FCC">
        <w:rPr>
          <w:rFonts w:ascii="Tms Rmn" w:hAnsi="Tms Rmn"/>
          <w:sz w:val="6"/>
          <w:lang w:val="fr-CH"/>
        </w:rPr>
        <w:t> </w:t>
      </w:r>
      <w:r w:rsidRPr="00E74FCC">
        <w:rPr>
          <w:lang w:val="fr-CH"/>
        </w:rPr>
        <w:t>/</w:t>
      </w:r>
      <w:r w:rsidRPr="00E74FCC">
        <w:rPr>
          <w:rFonts w:ascii="Tms Rmn" w:hAnsi="Tms Rmn"/>
          <w:sz w:val="6"/>
          <w:lang w:val="fr-CH"/>
        </w:rPr>
        <w:t> </w:t>
      </w:r>
      <w:r w:rsidRPr="00E74FCC">
        <w:rPr>
          <w:i/>
          <w:lang w:val="fr-CH"/>
        </w:rPr>
        <w:t>U</w:t>
      </w:r>
      <w:r w:rsidRPr="00E74FCC">
        <w:rPr>
          <w:position w:val="-4"/>
          <w:sz w:val="18"/>
          <w:lang w:val="fr-CH"/>
        </w:rPr>
        <w:t>2</w:t>
      </w:r>
      <w:r w:rsidRPr="00E74FCC">
        <w:rPr>
          <w:rFonts w:ascii="Tms Rmn" w:hAnsi="Tms Rmn"/>
          <w:sz w:val="6"/>
          <w:lang w:val="fr-CH"/>
        </w:rPr>
        <w:t> </w:t>
      </w:r>
      <w:r w:rsidRPr="00E74FCC">
        <w:rPr>
          <w:lang w:val="fr-CH"/>
        </w:rPr>
        <w:t>)</w:t>
      </w:r>
    </w:p>
    <w:p w:rsidR="0031148D" w:rsidRPr="00537143" w:rsidRDefault="0031148D" w:rsidP="0031148D">
      <w:pPr>
        <w:rPr>
          <w:szCs w:val="24"/>
        </w:rPr>
      </w:pPr>
      <w:r w:rsidRPr="00537143">
        <w:rPr>
          <w:szCs w:val="24"/>
        </w:rPr>
        <w:t>Dans cette relation, le coefficient</w:t>
      </w:r>
      <w:r w:rsidRPr="00537143">
        <w:rPr>
          <w:i/>
          <w:szCs w:val="24"/>
        </w:rPr>
        <w:t xml:space="preserve"> K</w:t>
      </w:r>
      <w:r w:rsidRPr="00537143">
        <w:rPr>
          <w:szCs w:val="24"/>
        </w:rPr>
        <w:t xml:space="preserve"> est</w:t>
      </w:r>
      <w:r w:rsidRPr="00537143">
        <w:rPr>
          <w:i/>
          <w:szCs w:val="24"/>
        </w:rPr>
        <w:t xml:space="preserve"> a priori</w:t>
      </w:r>
      <w:r w:rsidRPr="00537143">
        <w:rPr>
          <w:szCs w:val="24"/>
        </w:rPr>
        <w:t xml:space="preserve"> arbitraire. Cependant, par analogie avec la relation:</w:t>
      </w:r>
    </w:p>
    <w:p w:rsidR="0031148D" w:rsidRPr="00537143" w:rsidRDefault="00B93951" w:rsidP="0031148D">
      <w:pPr>
        <w:pStyle w:val="Equation"/>
        <w:jc w:val="center"/>
        <w:rPr>
          <w:szCs w:val="24"/>
        </w:rPr>
      </w:pPr>
      <w:r w:rsidRPr="00B93951">
        <w:rPr>
          <w:i/>
          <w:lang w:val="fr-CH"/>
        </w:rPr>
        <w:t>N</w:t>
      </w:r>
      <w:r w:rsidRPr="00B93951">
        <w:rPr>
          <w:lang w:val="fr-CH"/>
        </w:rPr>
        <w:t>  </w:t>
      </w:r>
      <w:r>
        <w:rPr>
          <w:rFonts w:ascii="Symbol" w:hAnsi="Symbol"/>
        </w:rPr>
        <w:t></w:t>
      </w:r>
      <w:r w:rsidRPr="00B93951">
        <w:rPr>
          <w:lang w:val="fr-CH"/>
        </w:rPr>
        <w:t>  20 lg (</w:t>
      </w:r>
      <w:r w:rsidRPr="00B93951">
        <w:rPr>
          <w:i/>
          <w:lang w:val="fr-CH"/>
        </w:rPr>
        <w:t>U</w:t>
      </w:r>
      <w:r w:rsidRPr="00B93951">
        <w:rPr>
          <w:position w:val="-4"/>
          <w:sz w:val="18"/>
          <w:lang w:val="fr-CH"/>
        </w:rPr>
        <w:t>1</w:t>
      </w:r>
      <w:r w:rsidRPr="00B93951">
        <w:rPr>
          <w:rFonts w:ascii="Tms Rmn" w:hAnsi="Tms Rmn"/>
          <w:sz w:val="6"/>
          <w:lang w:val="fr-CH"/>
        </w:rPr>
        <w:t> </w:t>
      </w:r>
      <w:r w:rsidRPr="00B93951">
        <w:rPr>
          <w:lang w:val="fr-CH"/>
        </w:rPr>
        <w:t>/</w:t>
      </w:r>
      <w:r w:rsidRPr="00B93951">
        <w:rPr>
          <w:rFonts w:ascii="Tms Rmn" w:hAnsi="Tms Rmn"/>
          <w:sz w:val="6"/>
          <w:lang w:val="fr-CH"/>
        </w:rPr>
        <w:t> </w:t>
      </w:r>
      <w:r w:rsidRPr="00B93951">
        <w:rPr>
          <w:i/>
          <w:lang w:val="fr-CH"/>
        </w:rPr>
        <w:t>U</w:t>
      </w:r>
      <w:r w:rsidRPr="00B93951">
        <w:rPr>
          <w:position w:val="-4"/>
          <w:sz w:val="18"/>
          <w:lang w:val="fr-CH"/>
        </w:rPr>
        <w:t>2</w:t>
      </w:r>
      <w:r w:rsidRPr="00B93951">
        <w:rPr>
          <w:rFonts w:ascii="Tms Rmn" w:hAnsi="Tms Rmn"/>
          <w:sz w:val="6"/>
          <w:lang w:val="fr-CH"/>
        </w:rPr>
        <w:t> </w:t>
      </w:r>
      <w:r w:rsidRPr="00B93951">
        <w:rPr>
          <w:lang w:val="fr-CH"/>
        </w:rPr>
        <w:t>)</w:t>
      </w:r>
    </w:p>
    <w:p w:rsidR="0031148D" w:rsidRPr="00537143" w:rsidRDefault="0031148D" w:rsidP="00B93951">
      <w:pPr>
        <w:rPr>
          <w:szCs w:val="24"/>
        </w:rPr>
      </w:pPr>
      <w:r w:rsidRPr="00537143">
        <w:rPr>
          <w:szCs w:val="24"/>
        </w:rPr>
        <w:t>qui exprime en décibels le rapport des puissances dissipées dans deux résistances égales aux bornes desquelles sont appliquées respectivement les tensions</w:t>
      </w:r>
      <w:r w:rsidRPr="00537143">
        <w:rPr>
          <w:i/>
          <w:szCs w:val="24"/>
        </w:rPr>
        <w:t xml:space="preserve"> </w:t>
      </w:r>
      <w:r w:rsidR="00B93951" w:rsidRPr="00B93951">
        <w:rPr>
          <w:i/>
          <w:lang w:val="fr-CH"/>
        </w:rPr>
        <w:t>U</w:t>
      </w:r>
      <w:r w:rsidR="00B93951" w:rsidRPr="00B93951">
        <w:rPr>
          <w:position w:val="-4"/>
          <w:sz w:val="16"/>
          <w:lang w:val="fr-CH"/>
        </w:rPr>
        <w:t>1</w:t>
      </w:r>
      <w:r w:rsidR="00B93951" w:rsidRPr="00B93951">
        <w:rPr>
          <w:lang w:val="fr-CH"/>
        </w:rPr>
        <w:t xml:space="preserve"> </w:t>
      </w:r>
      <w:r w:rsidR="00B93951">
        <w:rPr>
          <w:lang w:val="fr-CH"/>
        </w:rPr>
        <w:t>et</w:t>
      </w:r>
      <w:r w:rsidR="00B93951" w:rsidRPr="00B93951">
        <w:rPr>
          <w:i/>
          <w:lang w:val="fr-CH"/>
        </w:rPr>
        <w:t xml:space="preserve"> U</w:t>
      </w:r>
      <w:r w:rsidR="00B93951" w:rsidRPr="00B93951">
        <w:rPr>
          <w:position w:val="-4"/>
          <w:sz w:val="16"/>
          <w:lang w:val="fr-CH"/>
        </w:rPr>
        <w:t>2</w:t>
      </w:r>
      <w:r w:rsidRPr="00537143">
        <w:rPr>
          <w:szCs w:val="24"/>
        </w:rPr>
        <w:t>, on est conduit à adopter la valeur 20 pour le coefficient</w:t>
      </w:r>
      <w:r w:rsidRPr="00537143">
        <w:rPr>
          <w:i/>
          <w:szCs w:val="24"/>
        </w:rPr>
        <w:t xml:space="preserve"> K</w:t>
      </w:r>
      <w:r w:rsidRPr="00537143">
        <w:rPr>
          <w:szCs w:val="24"/>
        </w:rPr>
        <w:t>. Le nombre</w:t>
      </w:r>
      <w:r w:rsidRPr="00537143">
        <w:rPr>
          <w:i/>
          <w:szCs w:val="24"/>
        </w:rPr>
        <w:t> N</w:t>
      </w:r>
      <w:r w:rsidRPr="00537143">
        <w:rPr>
          <w:szCs w:val="24"/>
        </w:rPr>
        <w:t xml:space="preserve"> exprime alors en décibels le rapport des puissances qui correspondrait au rapport des tensions, si celles-ci étaient appliquées à des résistances égales, bien que cela ne soit généralement pas le cas en pratique.</w:t>
      </w:r>
    </w:p>
    <w:p w:rsidR="0031148D" w:rsidRPr="00537143" w:rsidRDefault="0031148D" w:rsidP="0031148D">
      <w:pPr>
        <w:pStyle w:val="Heading4"/>
        <w:rPr>
          <w:szCs w:val="24"/>
        </w:rPr>
      </w:pPr>
      <w:r w:rsidRPr="00537143">
        <w:rPr>
          <w:szCs w:val="24"/>
        </w:rPr>
        <w:t>6.6.3.2</w:t>
      </w:r>
      <w:r w:rsidRPr="00537143">
        <w:rPr>
          <w:szCs w:val="24"/>
        </w:rPr>
        <w:tab/>
        <w:t>Niveau absolu de tension</w:t>
      </w:r>
    </w:p>
    <w:p w:rsidR="0031148D" w:rsidRPr="00537143" w:rsidRDefault="0031148D" w:rsidP="0031148D">
      <w:pPr>
        <w:rPr>
          <w:szCs w:val="24"/>
        </w:rPr>
      </w:pPr>
      <w:r w:rsidRPr="00537143">
        <w:rPr>
          <w:szCs w:val="24"/>
        </w:rPr>
        <w:t>Si l'impédance aux bornes de laquelle on mesure la tension n'est pas précisée, on ne peut pas calculer le niveau de puissance correspondant. Cependant, on peut définir un nombre</w:t>
      </w:r>
      <w:r w:rsidRPr="00537143">
        <w:rPr>
          <w:i/>
          <w:szCs w:val="24"/>
        </w:rPr>
        <w:t xml:space="preserve"> N</w:t>
      </w:r>
      <w:r w:rsidRPr="00537143">
        <w:rPr>
          <w:szCs w:val="24"/>
        </w:rPr>
        <w:t xml:space="preserve"> selon la convention du § 6.6.3.1 par rapport à une tension de référence et l'exprimer en décibels. Pour éviter toute confusion, il faut impérativement préciser qu'il s'agit d'un niveau absolu de tension et il convient d'utiliser le symbole dBu. Il ne semble pas qu'une confusion soit à craindre avec l'emploi défini au § 6.7 comme niveau absolu de champ électromagnétique par rapport au microvolt par mètre. Si toutefois il y a risque de confusion, on doit écrire, au moins la première fois, dB(775 mV).</w:t>
      </w:r>
    </w:p>
    <w:p w:rsidR="0031148D" w:rsidRPr="00537143" w:rsidRDefault="0031148D" w:rsidP="0031148D">
      <w:pPr>
        <w:pStyle w:val="Heading2"/>
        <w:rPr>
          <w:szCs w:val="24"/>
        </w:rPr>
      </w:pPr>
      <w:bookmarkStart w:id="33" w:name="_Toc122852803"/>
      <w:r w:rsidRPr="00537143">
        <w:rPr>
          <w:szCs w:val="24"/>
        </w:rPr>
        <w:t>6.7</w:t>
      </w:r>
      <w:r w:rsidRPr="00537143">
        <w:rPr>
          <w:szCs w:val="24"/>
        </w:rPr>
        <w:tab/>
        <w:t>Niveau absolu de champ électromagnétique</w:t>
      </w:r>
      <w:bookmarkEnd w:id="33"/>
    </w:p>
    <w:p w:rsidR="0031148D" w:rsidRPr="00537143" w:rsidRDefault="0031148D" w:rsidP="00B93951">
      <w:pPr>
        <w:rPr>
          <w:szCs w:val="24"/>
        </w:rPr>
      </w:pPr>
      <w:r w:rsidRPr="00537143">
        <w:rPr>
          <w:szCs w:val="24"/>
        </w:rPr>
        <w:t>Le champ électromagnétique peut s'exprimer par une puissance surfacique (</w:t>
      </w:r>
      <w:r w:rsidRPr="00537143">
        <w:rPr>
          <w:i/>
          <w:szCs w:val="24"/>
        </w:rPr>
        <w:t>P</w:t>
      </w:r>
      <w:r w:rsidRPr="00537143">
        <w:rPr>
          <w:rFonts w:ascii="Tms Rmn" w:hAnsi="Tms Rmn"/>
          <w:i/>
          <w:szCs w:val="24"/>
        </w:rPr>
        <w:t> </w:t>
      </w:r>
      <w:r w:rsidRPr="00537143">
        <w:rPr>
          <w:szCs w:val="24"/>
        </w:rPr>
        <w:t>/</w:t>
      </w:r>
      <w:r w:rsidRPr="00537143">
        <w:rPr>
          <w:rFonts w:ascii="Tms Rmn" w:hAnsi="Tms Rmn"/>
          <w:szCs w:val="24"/>
        </w:rPr>
        <w:t> </w:t>
      </w:r>
      <w:r w:rsidRPr="00537143">
        <w:rPr>
          <w:i/>
          <w:szCs w:val="24"/>
        </w:rPr>
        <w:t>A</w:t>
      </w:r>
      <w:r w:rsidRPr="00537143">
        <w:rPr>
          <w:szCs w:val="24"/>
        </w:rPr>
        <w:t>), par un champ électrique,</w:t>
      </w:r>
      <w:r w:rsidRPr="00537143">
        <w:rPr>
          <w:i/>
          <w:szCs w:val="24"/>
        </w:rPr>
        <w:t xml:space="preserve"> E</w:t>
      </w:r>
      <w:r w:rsidRPr="00537143">
        <w:rPr>
          <w:szCs w:val="24"/>
        </w:rPr>
        <w:t>, ou par un champ magnétique,</w:t>
      </w:r>
      <w:r w:rsidRPr="00537143">
        <w:rPr>
          <w:i/>
          <w:szCs w:val="24"/>
        </w:rPr>
        <w:t xml:space="preserve"> H</w:t>
      </w:r>
      <w:r w:rsidRPr="00537143">
        <w:rPr>
          <w:szCs w:val="24"/>
        </w:rPr>
        <w:t>. Le niveau absolu du champ</w:t>
      </w:r>
      <w:r w:rsidRPr="00537143">
        <w:rPr>
          <w:i/>
          <w:szCs w:val="24"/>
        </w:rPr>
        <w:t xml:space="preserve"> L</w:t>
      </w:r>
      <w:r w:rsidR="00B93951" w:rsidRPr="00B93951">
        <w:rPr>
          <w:i/>
          <w:szCs w:val="24"/>
          <w:vertAlign w:val="subscript"/>
        </w:rPr>
        <w:t>E</w:t>
      </w:r>
      <w:r w:rsidRPr="00537143">
        <w:rPr>
          <w:szCs w:val="24"/>
        </w:rPr>
        <w:t xml:space="preserve"> est le logarithme du </w:t>
      </w:r>
      <w:r w:rsidRPr="00537143">
        <w:rPr>
          <w:szCs w:val="24"/>
        </w:rPr>
        <w:lastRenderedPageBreak/>
        <w:t>rapport de</w:t>
      </w:r>
      <w:r w:rsidRPr="00537143">
        <w:rPr>
          <w:i/>
          <w:szCs w:val="24"/>
        </w:rPr>
        <w:t xml:space="preserve"> E</w:t>
      </w:r>
      <w:r w:rsidRPr="00537143">
        <w:rPr>
          <w:szCs w:val="24"/>
        </w:rPr>
        <w:t xml:space="preserve"> et d'un champ de référence, le plus souvent 1 </w:t>
      </w:r>
      <w:r w:rsidRPr="00537143">
        <w:rPr>
          <w:rFonts w:ascii="Symbol" w:hAnsi="Symbol"/>
          <w:szCs w:val="24"/>
        </w:rPr>
        <w:t></w:t>
      </w:r>
      <w:r w:rsidRPr="00537143">
        <w:rPr>
          <w:szCs w:val="24"/>
        </w:rPr>
        <w:t>V/m. Il est généralement exprimé en décibels.</w:t>
      </w:r>
    </w:p>
    <w:p w:rsidR="0031148D" w:rsidRPr="00537143" w:rsidRDefault="00B93951" w:rsidP="0031148D">
      <w:pPr>
        <w:pStyle w:val="Equation"/>
        <w:jc w:val="center"/>
        <w:rPr>
          <w:szCs w:val="24"/>
          <w:lang w:val="es-ES"/>
        </w:rPr>
      </w:pPr>
      <w:r w:rsidRPr="00AB5E6F">
        <w:rPr>
          <w:i/>
          <w:lang w:val="es-ES"/>
        </w:rPr>
        <w:t>L</w:t>
      </w:r>
      <w:r w:rsidRPr="00AB5E6F">
        <w:rPr>
          <w:i/>
          <w:iCs/>
          <w:position w:val="-4"/>
          <w:sz w:val="18"/>
          <w:lang w:val="es-ES"/>
        </w:rPr>
        <w:t>E</w:t>
      </w:r>
      <w:r w:rsidRPr="00AB5E6F">
        <w:rPr>
          <w:lang w:val="es-ES"/>
        </w:rPr>
        <w:t>  </w:t>
      </w:r>
      <w:r>
        <w:rPr>
          <w:rFonts w:ascii="Symbol" w:hAnsi="Symbol"/>
        </w:rPr>
        <w:t></w:t>
      </w:r>
      <w:r w:rsidRPr="00AB5E6F">
        <w:rPr>
          <w:lang w:val="es-ES"/>
        </w:rPr>
        <w:t>  20 lg (</w:t>
      </w:r>
      <w:r w:rsidRPr="00AB5E6F">
        <w:rPr>
          <w:i/>
          <w:iCs/>
          <w:lang w:val="es-ES"/>
        </w:rPr>
        <w:t>E</w:t>
      </w:r>
      <w:r w:rsidRPr="00AB5E6F">
        <w:rPr>
          <w:rFonts w:ascii="Tms Rmn" w:hAnsi="Tms Rmn"/>
          <w:i/>
          <w:iCs/>
          <w:sz w:val="6"/>
          <w:lang w:val="es-ES"/>
        </w:rPr>
        <w:t> </w:t>
      </w:r>
      <w:r w:rsidRPr="00AB5E6F">
        <w:rPr>
          <w:lang w:val="es-ES"/>
        </w:rPr>
        <w:t>/</w:t>
      </w:r>
      <w:r w:rsidRPr="00AB5E6F">
        <w:rPr>
          <w:rFonts w:ascii="Tms Rmn" w:hAnsi="Tms Rmn"/>
          <w:sz w:val="6"/>
          <w:lang w:val="es-ES"/>
        </w:rPr>
        <w:t> </w:t>
      </w:r>
      <w:r w:rsidRPr="00AB5E6F">
        <w:rPr>
          <w:i/>
          <w:iCs/>
          <w:lang w:val="es-ES"/>
        </w:rPr>
        <w:t>E</w:t>
      </w:r>
      <w:r w:rsidRPr="00AB5E6F">
        <w:rPr>
          <w:position w:val="-4"/>
          <w:sz w:val="18"/>
          <w:lang w:val="es-ES"/>
        </w:rPr>
        <w:t>0</w:t>
      </w:r>
      <w:r w:rsidRPr="00AB5E6F">
        <w:rPr>
          <w:lang w:val="es-ES"/>
        </w:rPr>
        <w:t>)         dB(</w:t>
      </w:r>
      <w:r>
        <w:rPr>
          <w:rFonts w:ascii="Symbol" w:hAnsi="Symbol"/>
        </w:rPr>
        <w:t></w:t>
      </w:r>
      <w:r w:rsidRPr="00AB5E6F">
        <w:rPr>
          <w:lang w:val="es-ES"/>
        </w:rPr>
        <w:t>V/m)</w:t>
      </w:r>
    </w:p>
    <w:p w:rsidR="0031148D" w:rsidRPr="00537143" w:rsidRDefault="0031148D" w:rsidP="0031148D">
      <w:pPr>
        <w:pStyle w:val="Heading2"/>
        <w:rPr>
          <w:szCs w:val="24"/>
        </w:rPr>
      </w:pPr>
      <w:bookmarkStart w:id="34" w:name="_Toc122852804"/>
      <w:r w:rsidRPr="00537143">
        <w:rPr>
          <w:szCs w:val="24"/>
        </w:rPr>
        <w:t>6.8</w:t>
      </w:r>
      <w:r w:rsidRPr="00537143">
        <w:rPr>
          <w:szCs w:val="24"/>
        </w:rPr>
        <w:tab/>
        <w:t>Niveau de pression acoustique</w:t>
      </w:r>
      <w:bookmarkEnd w:id="34"/>
    </w:p>
    <w:p w:rsidR="0031148D" w:rsidRPr="00537143" w:rsidRDefault="0031148D" w:rsidP="0031148D">
      <w:pPr>
        <w:rPr>
          <w:szCs w:val="24"/>
        </w:rPr>
      </w:pPr>
      <w:r w:rsidRPr="00537143">
        <w:rPr>
          <w:szCs w:val="24"/>
        </w:rPr>
        <w:t>C'est le logarithme, généralement exprimé en décibels du rapport d'une pression acoustique et d'une pression de référence, le plus souvent 20 </w:t>
      </w:r>
      <w:r w:rsidRPr="00537143">
        <w:rPr>
          <w:rFonts w:ascii="Symbol" w:hAnsi="Symbol"/>
          <w:szCs w:val="24"/>
        </w:rPr>
        <w:t></w:t>
      </w:r>
      <w:r w:rsidRPr="00537143">
        <w:rPr>
          <w:szCs w:val="24"/>
        </w:rPr>
        <w:t>Pa.</w:t>
      </w:r>
    </w:p>
    <w:p w:rsidR="0031148D" w:rsidRPr="00B93951" w:rsidRDefault="00B93951" w:rsidP="0031148D">
      <w:pPr>
        <w:pStyle w:val="Equation"/>
        <w:spacing w:before="240"/>
        <w:jc w:val="center"/>
        <w:rPr>
          <w:szCs w:val="24"/>
        </w:rPr>
      </w:pPr>
      <w:r w:rsidRPr="00B93951">
        <w:rPr>
          <w:i/>
          <w:iCs/>
        </w:rPr>
        <w:t>L</w:t>
      </w:r>
      <w:r w:rsidRPr="00B93951">
        <w:rPr>
          <w:i/>
          <w:iCs/>
          <w:position w:val="-4"/>
          <w:sz w:val="18"/>
        </w:rPr>
        <w:t>p</w:t>
      </w:r>
      <w:r w:rsidRPr="00B93951">
        <w:t>  </w:t>
      </w:r>
      <w:r>
        <w:rPr>
          <w:rFonts w:ascii="Symbol" w:hAnsi="Symbol"/>
        </w:rPr>
        <w:t></w:t>
      </w:r>
      <w:r w:rsidRPr="00B93951">
        <w:t>  20 lg (</w:t>
      </w:r>
      <w:r w:rsidRPr="00B93951">
        <w:rPr>
          <w:rFonts w:ascii="Tms Rmn" w:hAnsi="Tms Rmn"/>
          <w:sz w:val="16"/>
        </w:rPr>
        <w:t> </w:t>
      </w:r>
      <w:r w:rsidRPr="00B93951">
        <w:rPr>
          <w:i/>
          <w:iCs/>
        </w:rPr>
        <w:t>p</w:t>
      </w:r>
      <w:r w:rsidRPr="00B93951">
        <w:rPr>
          <w:rFonts w:ascii="Tms Rmn" w:hAnsi="Tms Rmn"/>
          <w:sz w:val="6"/>
        </w:rPr>
        <w:t> </w:t>
      </w:r>
      <w:r w:rsidRPr="00B93951">
        <w:t>/</w:t>
      </w:r>
      <w:r w:rsidRPr="00B93951">
        <w:rPr>
          <w:rFonts w:ascii="Tms Rmn" w:hAnsi="Tms Rmn"/>
          <w:sz w:val="6"/>
        </w:rPr>
        <w:t> </w:t>
      </w:r>
      <w:r w:rsidRPr="00B93951">
        <w:rPr>
          <w:i/>
          <w:iCs/>
        </w:rPr>
        <w:t>p</w:t>
      </w:r>
      <w:r w:rsidRPr="00B93951">
        <w:rPr>
          <w:position w:val="-4"/>
          <w:sz w:val="18"/>
        </w:rPr>
        <w:t>0</w:t>
      </w:r>
      <w:r w:rsidRPr="00B93951">
        <w:t xml:space="preserve">)         dB(20 </w:t>
      </w:r>
      <w:r>
        <w:rPr>
          <w:rFonts w:ascii="Symbol" w:hAnsi="Symbol"/>
        </w:rPr>
        <w:t></w:t>
      </w:r>
      <w:r w:rsidRPr="00B93951">
        <w:t>Pa)</w:t>
      </w:r>
    </w:p>
    <w:p w:rsidR="0031148D" w:rsidRPr="00537143" w:rsidRDefault="0031148D" w:rsidP="0031148D">
      <w:pPr>
        <w:pStyle w:val="Heading1"/>
        <w:rPr>
          <w:szCs w:val="24"/>
        </w:rPr>
      </w:pPr>
      <w:bookmarkStart w:id="35" w:name="_Toc122852805"/>
      <w:r w:rsidRPr="00537143">
        <w:rPr>
          <w:szCs w:val="24"/>
        </w:rPr>
        <w:t>7</w:t>
      </w:r>
      <w:r w:rsidRPr="00537143">
        <w:rPr>
          <w:szCs w:val="24"/>
        </w:rPr>
        <w:tab/>
        <w:t>Rapports exprimant une qualité de transmission</w:t>
      </w:r>
      <w:bookmarkEnd w:id="35"/>
    </w:p>
    <w:p w:rsidR="0031148D" w:rsidRPr="00537143" w:rsidRDefault="0031148D" w:rsidP="0031148D">
      <w:pPr>
        <w:pStyle w:val="Heading2"/>
        <w:rPr>
          <w:szCs w:val="24"/>
        </w:rPr>
      </w:pPr>
      <w:bookmarkStart w:id="36" w:name="_Toc122852806"/>
      <w:r w:rsidRPr="00537143">
        <w:rPr>
          <w:szCs w:val="24"/>
        </w:rPr>
        <w:t>7.1</w:t>
      </w:r>
      <w:r w:rsidRPr="00537143">
        <w:rPr>
          <w:szCs w:val="24"/>
        </w:rPr>
        <w:tab/>
        <w:t>Rapport signal à bruit</w:t>
      </w:r>
      <w:bookmarkEnd w:id="36"/>
    </w:p>
    <w:p w:rsidR="0031148D" w:rsidRPr="00537143" w:rsidRDefault="0031148D" w:rsidP="002940F0">
      <w:pPr>
        <w:rPr>
          <w:szCs w:val="24"/>
        </w:rPr>
      </w:pPr>
      <w:r w:rsidRPr="00537143">
        <w:rPr>
          <w:szCs w:val="24"/>
        </w:rPr>
        <w:t>Il s'agit soit du rapport de la puissance du signal (</w:t>
      </w:r>
      <w:r w:rsidRPr="00537143">
        <w:rPr>
          <w:i/>
          <w:szCs w:val="24"/>
        </w:rPr>
        <w:t>P</w:t>
      </w:r>
      <w:r w:rsidR="002940F0" w:rsidRPr="002940F0">
        <w:rPr>
          <w:i/>
          <w:szCs w:val="24"/>
          <w:vertAlign w:val="subscript"/>
        </w:rPr>
        <w:t>s</w:t>
      </w:r>
      <w:r w:rsidRPr="00537143">
        <w:rPr>
          <w:rFonts w:ascii="Tms Rmn" w:hAnsi="Tms Rmn"/>
          <w:iCs/>
          <w:szCs w:val="24"/>
        </w:rPr>
        <w:t> </w:t>
      </w:r>
      <w:r w:rsidRPr="00537143">
        <w:rPr>
          <w:szCs w:val="24"/>
        </w:rPr>
        <w:t>) à la puissance de bruit (</w:t>
      </w:r>
      <w:r w:rsidRPr="00537143">
        <w:rPr>
          <w:i/>
          <w:szCs w:val="24"/>
        </w:rPr>
        <w:t>P</w:t>
      </w:r>
      <w:r w:rsidR="002940F0">
        <w:rPr>
          <w:i/>
          <w:szCs w:val="24"/>
          <w:vertAlign w:val="subscript"/>
        </w:rPr>
        <w:t>n</w:t>
      </w:r>
      <w:r w:rsidRPr="00537143">
        <w:rPr>
          <w:rFonts w:ascii="Tms Rmn" w:hAnsi="Tms Rmn"/>
          <w:iCs/>
          <w:szCs w:val="24"/>
        </w:rPr>
        <w:t> </w:t>
      </w:r>
      <w:r w:rsidRPr="00537143">
        <w:rPr>
          <w:szCs w:val="24"/>
        </w:rPr>
        <w:t>), soit du rapport de la tension du signal (</w:t>
      </w:r>
      <w:r w:rsidRPr="00537143">
        <w:rPr>
          <w:i/>
          <w:szCs w:val="24"/>
        </w:rPr>
        <w:t>U</w:t>
      </w:r>
      <w:r w:rsidR="002940F0" w:rsidRPr="002940F0">
        <w:rPr>
          <w:i/>
          <w:szCs w:val="24"/>
          <w:vertAlign w:val="subscript"/>
        </w:rPr>
        <w:t>s</w:t>
      </w:r>
      <w:r w:rsidRPr="00537143">
        <w:rPr>
          <w:rFonts w:ascii="Tms Rmn" w:hAnsi="Tms Rmn"/>
          <w:iCs/>
          <w:szCs w:val="24"/>
        </w:rPr>
        <w:t> </w:t>
      </w:r>
      <w:r w:rsidRPr="00537143">
        <w:rPr>
          <w:szCs w:val="24"/>
        </w:rPr>
        <w:t>) à la tension efficace du bruit (</w:t>
      </w:r>
      <w:r w:rsidRPr="00537143">
        <w:rPr>
          <w:i/>
          <w:szCs w:val="24"/>
        </w:rPr>
        <w:t>U</w:t>
      </w:r>
      <w:r w:rsidR="002940F0">
        <w:rPr>
          <w:i/>
          <w:szCs w:val="24"/>
          <w:vertAlign w:val="subscript"/>
        </w:rPr>
        <w:t>n</w:t>
      </w:r>
      <w:r w:rsidRPr="00537143">
        <w:rPr>
          <w:rFonts w:ascii="Tms Rmn" w:hAnsi="Tms Rmn"/>
          <w:iCs/>
          <w:szCs w:val="24"/>
        </w:rPr>
        <w:t> </w:t>
      </w:r>
      <w:r w:rsidRPr="00537143">
        <w:rPr>
          <w:szCs w:val="24"/>
        </w:rPr>
        <w:t>), mesurés en un même point dans des conditions spécifiées. Il s'exprime en décibels:</w:t>
      </w:r>
    </w:p>
    <w:p w:rsidR="0031148D" w:rsidRPr="00537143" w:rsidRDefault="002940F0" w:rsidP="002940F0">
      <w:pPr>
        <w:pStyle w:val="Equation"/>
        <w:spacing w:before="240"/>
        <w:jc w:val="center"/>
        <w:rPr>
          <w:i/>
          <w:szCs w:val="24"/>
        </w:rPr>
      </w:pPr>
      <w:r w:rsidRPr="002940F0">
        <w:rPr>
          <w:i/>
          <w:lang w:val="fr-CH"/>
        </w:rPr>
        <w:t>R</w:t>
      </w:r>
      <w:r w:rsidRPr="002940F0">
        <w:rPr>
          <w:lang w:val="fr-CH"/>
        </w:rPr>
        <w:t>  </w:t>
      </w:r>
      <w:r>
        <w:rPr>
          <w:rFonts w:ascii="Symbol" w:hAnsi="Symbol"/>
        </w:rPr>
        <w:t></w:t>
      </w:r>
      <w:r w:rsidRPr="002940F0">
        <w:rPr>
          <w:lang w:val="fr-CH"/>
        </w:rPr>
        <w:t>  10 lg (</w:t>
      </w:r>
      <w:r w:rsidRPr="002940F0">
        <w:rPr>
          <w:i/>
          <w:lang w:val="fr-CH"/>
        </w:rPr>
        <w:t>P</w:t>
      </w:r>
      <w:r w:rsidRPr="002940F0">
        <w:rPr>
          <w:i/>
          <w:iCs/>
          <w:position w:val="-4"/>
          <w:sz w:val="18"/>
          <w:lang w:val="fr-CH"/>
        </w:rPr>
        <w:t>s</w:t>
      </w:r>
      <w:r w:rsidRPr="002940F0">
        <w:rPr>
          <w:rFonts w:ascii="Tms Rmn" w:hAnsi="Tms Rmn"/>
          <w:i/>
          <w:iCs/>
          <w:sz w:val="6"/>
          <w:lang w:val="fr-CH"/>
        </w:rPr>
        <w:t> </w:t>
      </w:r>
      <w:r w:rsidRPr="002940F0">
        <w:rPr>
          <w:lang w:val="fr-CH"/>
        </w:rPr>
        <w:t>/</w:t>
      </w:r>
      <w:r w:rsidRPr="002940F0">
        <w:rPr>
          <w:rFonts w:ascii="Tms Rmn" w:hAnsi="Tms Rmn"/>
          <w:sz w:val="6"/>
          <w:lang w:val="fr-CH"/>
        </w:rPr>
        <w:t> </w:t>
      </w:r>
      <w:r w:rsidRPr="002940F0">
        <w:rPr>
          <w:i/>
          <w:lang w:val="fr-CH"/>
        </w:rPr>
        <w:t>P</w:t>
      </w:r>
      <w:r w:rsidRPr="002940F0">
        <w:rPr>
          <w:i/>
          <w:iCs/>
          <w:position w:val="-4"/>
          <w:sz w:val="18"/>
          <w:lang w:val="fr-CH"/>
        </w:rPr>
        <w:t>n</w:t>
      </w:r>
      <w:r w:rsidRPr="002940F0">
        <w:rPr>
          <w:position w:val="-4"/>
          <w:sz w:val="6"/>
          <w:lang w:val="fr-CH"/>
        </w:rPr>
        <w:t xml:space="preserve"> </w:t>
      </w:r>
      <w:r w:rsidRPr="002940F0">
        <w:rPr>
          <w:lang w:val="fr-CH"/>
        </w:rPr>
        <w:t>)         </w:t>
      </w:r>
      <w:r w:rsidR="0031148D" w:rsidRPr="00537143">
        <w:rPr>
          <w:szCs w:val="24"/>
        </w:rPr>
        <w:t>dB         ou         </w:t>
      </w:r>
      <w:r w:rsidRPr="002940F0">
        <w:rPr>
          <w:i/>
          <w:lang w:val="fr-CH"/>
        </w:rPr>
        <w:t>R</w:t>
      </w:r>
      <w:r w:rsidRPr="002940F0">
        <w:rPr>
          <w:lang w:val="fr-CH"/>
        </w:rPr>
        <w:t>  </w:t>
      </w:r>
      <w:r>
        <w:rPr>
          <w:rFonts w:ascii="Symbol" w:hAnsi="Symbol"/>
        </w:rPr>
        <w:t></w:t>
      </w:r>
      <w:r w:rsidRPr="002940F0">
        <w:rPr>
          <w:lang w:val="fr-CH"/>
        </w:rPr>
        <w:t>  20 lg (</w:t>
      </w:r>
      <w:r w:rsidRPr="002940F0">
        <w:rPr>
          <w:i/>
          <w:lang w:val="fr-CH"/>
        </w:rPr>
        <w:t>U</w:t>
      </w:r>
      <w:r w:rsidRPr="002940F0">
        <w:rPr>
          <w:i/>
          <w:iCs/>
          <w:position w:val="-4"/>
          <w:sz w:val="18"/>
          <w:lang w:val="fr-CH"/>
        </w:rPr>
        <w:t>s</w:t>
      </w:r>
      <w:r w:rsidRPr="002940F0">
        <w:rPr>
          <w:rFonts w:ascii="Tms Rmn" w:hAnsi="Tms Rmn"/>
          <w:i/>
          <w:iCs/>
          <w:sz w:val="6"/>
          <w:lang w:val="fr-CH"/>
        </w:rPr>
        <w:t> </w:t>
      </w:r>
      <w:r w:rsidRPr="002940F0">
        <w:rPr>
          <w:lang w:val="fr-CH"/>
        </w:rPr>
        <w:t>/</w:t>
      </w:r>
      <w:r w:rsidRPr="002940F0">
        <w:rPr>
          <w:rFonts w:ascii="Tms Rmn" w:hAnsi="Tms Rmn"/>
          <w:sz w:val="6"/>
          <w:lang w:val="fr-CH"/>
        </w:rPr>
        <w:t> </w:t>
      </w:r>
      <w:r w:rsidRPr="002940F0">
        <w:rPr>
          <w:i/>
          <w:lang w:val="fr-CH"/>
        </w:rPr>
        <w:t>U</w:t>
      </w:r>
      <w:r w:rsidRPr="002940F0">
        <w:rPr>
          <w:i/>
          <w:iCs/>
          <w:position w:val="-4"/>
          <w:sz w:val="18"/>
          <w:lang w:val="fr-CH"/>
        </w:rPr>
        <w:t>n</w:t>
      </w:r>
      <w:r w:rsidRPr="002940F0">
        <w:rPr>
          <w:rFonts w:ascii="Tms Rmn" w:hAnsi="Tms Rmn"/>
          <w:sz w:val="6"/>
          <w:lang w:val="fr-CH"/>
        </w:rPr>
        <w:t> </w:t>
      </w:r>
      <w:r w:rsidRPr="002940F0">
        <w:rPr>
          <w:lang w:val="fr-CH"/>
        </w:rPr>
        <w:t>)         </w:t>
      </w:r>
      <w:r w:rsidR="0031148D" w:rsidRPr="00537143">
        <w:rPr>
          <w:szCs w:val="24"/>
        </w:rPr>
        <w:t>dB</w:t>
      </w:r>
    </w:p>
    <w:p w:rsidR="0031148D" w:rsidRPr="00537143" w:rsidRDefault="0031148D" w:rsidP="0031148D">
      <w:pPr>
        <w:rPr>
          <w:szCs w:val="24"/>
        </w:rPr>
      </w:pPr>
      <w:r w:rsidRPr="00537143">
        <w:rPr>
          <w:szCs w:val="24"/>
        </w:rPr>
        <w:t>On exprime de la même façon le rapport du signal utile au signal perturbateur.</w:t>
      </w:r>
    </w:p>
    <w:p w:rsidR="0031148D" w:rsidRPr="00537143" w:rsidRDefault="0031148D" w:rsidP="0031148D">
      <w:pPr>
        <w:pStyle w:val="Heading2"/>
        <w:rPr>
          <w:szCs w:val="24"/>
        </w:rPr>
      </w:pPr>
      <w:bookmarkStart w:id="37" w:name="_Toc122852807"/>
      <w:r w:rsidRPr="00537143">
        <w:rPr>
          <w:szCs w:val="24"/>
        </w:rPr>
        <w:t>7.2</w:t>
      </w:r>
      <w:r w:rsidRPr="00537143">
        <w:rPr>
          <w:szCs w:val="24"/>
        </w:rPr>
        <w:tab/>
        <w:t>Rapport de protection</w:t>
      </w:r>
      <w:bookmarkEnd w:id="37"/>
    </w:p>
    <w:p w:rsidR="0031148D" w:rsidRPr="00537143" w:rsidRDefault="0031148D" w:rsidP="003D4517">
      <w:pPr>
        <w:rPr>
          <w:szCs w:val="24"/>
        </w:rPr>
      </w:pPr>
      <w:r w:rsidRPr="00537143">
        <w:rPr>
          <w:szCs w:val="24"/>
        </w:rPr>
        <w:t>Il s'agit soit du rapport de la puissance du signal utile (</w:t>
      </w:r>
      <w:r w:rsidRPr="00537143">
        <w:rPr>
          <w:i/>
          <w:szCs w:val="24"/>
        </w:rPr>
        <w:t>P</w:t>
      </w:r>
      <w:r w:rsidR="002940F0" w:rsidRPr="002940F0">
        <w:rPr>
          <w:i/>
          <w:szCs w:val="24"/>
          <w:vertAlign w:val="subscript"/>
        </w:rPr>
        <w:t>w</w:t>
      </w:r>
      <w:r w:rsidRPr="00537143">
        <w:rPr>
          <w:szCs w:val="24"/>
        </w:rPr>
        <w:t>) à la puissance du signal brouilleur maximal admissible (</w:t>
      </w:r>
      <w:r w:rsidRPr="00537143">
        <w:rPr>
          <w:i/>
          <w:szCs w:val="24"/>
        </w:rPr>
        <w:t>P</w:t>
      </w:r>
      <w:r w:rsidR="002940F0" w:rsidRPr="002940F0">
        <w:rPr>
          <w:i/>
          <w:szCs w:val="24"/>
          <w:vertAlign w:val="subscript"/>
        </w:rPr>
        <w:t>i</w:t>
      </w:r>
      <w:r w:rsidRPr="00537143">
        <w:rPr>
          <w:rFonts w:ascii="Tms Rmn" w:hAnsi="Tms Rmn"/>
          <w:iCs/>
          <w:szCs w:val="24"/>
        </w:rPr>
        <w:t> </w:t>
      </w:r>
      <w:r w:rsidRPr="00537143">
        <w:rPr>
          <w:szCs w:val="24"/>
        </w:rPr>
        <w:t>), soit du rapport du champ du signal utile (</w:t>
      </w:r>
      <w:r w:rsidRPr="00537143">
        <w:rPr>
          <w:i/>
          <w:szCs w:val="24"/>
        </w:rPr>
        <w:t>E</w:t>
      </w:r>
      <w:r w:rsidR="003D4517" w:rsidRPr="003D4517">
        <w:rPr>
          <w:i/>
          <w:szCs w:val="24"/>
          <w:vertAlign w:val="subscript"/>
        </w:rPr>
        <w:t>w</w:t>
      </w:r>
      <w:r w:rsidRPr="00537143">
        <w:rPr>
          <w:szCs w:val="24"/>
        </w:rPr>
        <w:t>) au champ du signal brouilleur maximal admissible (</w:t>
      </w:r>
      <w:r w:rsidRPr="00537143">
        <w:rPr>
          <w:i/>
          <w:szCs w:val="24"/>
        </w:rPr>
        <w:t>E</w:t>
      </w:r>
      <w:r w:rsidR="003D4517" w:rsidRPr="003D4517">
        <w:rPr>
          <w:i/>
          <w:szCs w:val="24"/>
          <w:vertAlign w:val="subscript"/>
        </w:rPr>
        <w:t>i</w:t>
      </w:r>
      <w:r w:rsidRPr="00537143">
        <w:rPr>
          <w:rFonts w:ascii="Tms Rmn" w:hAnsi="Tms Rmn"/>
          <w:iCs/>
          <w:szCs w:val="24"/>
        </w:rPr>
        <w:t> </w:t>
      </w:r>
      <w:r w:rsidRPr="00537143">
        <w:rPr>
          <w:szCs w:val="24"/>
        </w:rPr>
        <w:t>). Il s'exprime en décibels.</w:t>
      </w:r>
    </w:p>
    <w:p w:rsidR="0031148D" w:rsidRPr="00E74FCC" w:rsidRDefault="0031148D" w:rsidP="003D4517">
      <w:pPr>
        <w:pStyle w:val="Equation"/>
        <w:spacing w:before="240"/>
        <w:jc w:val="center"/>
        <w:rPr>
          <w:i/>
          <w:szCs w:val="24"/>
          <w:lang w:val="fr-CH"/>
        </w:rPr>
      </w:pPr>
      <w:r w:rsidRPr="00E74FCC">
        <w:rPr>
          <w:i/>
          <w:szCs w:val="24"/>
          <w:lang w:val="fr-CH"/>
        </w:rPr>
        <w:t>A</w:t>
      </w:r>
      <w:r w:rsidRPr="00E74FCC">
        <w:rPr>
          <w:szCs w:val="24"/>
          <w:lang w:val="fr-CH"/>
        </w:rPr>
        <w:t>  </w:t>
      </w:r>
      <w:r w:rsidRPr="00537143">
        <w:rPr>
          <w:rFonts w:ascii="Symbol" w:hAnsi="Symbol"/>
          <w:szCs w:val="24"/>
        </w:rPr>
        <w:t></w:t>
      </w:r>
      <w:r w:rsidRPr="00E74FCC">
        <w:rPr>
          <w:szCs w:val="24"/>
          <w:lang w:val="fr-CH"/>
        </w:rPr>
        <w:t>  10 lg (</w:t>
      </w:r>
      <w:r w:rsidRPr="00E74FCC">
        <w:rPr>
          <w:i/>
          <w:szCs w:val="24"/>
          <w:lang w:val="fr-CH"/>
        </w:rPr>
        <w:t>P</w:t>
      </w:r>
      <w:r w:rsidR="003D4517" w:rsidRPr="00E74FCC">
        <w:rPr>
          <w:i/>
          <w:szCs w:val="24"/>
          <w:vertAlign w:val="subscript"/>
          <w:lang w:val="fr-CH"/>
        </w:rPr>
        <w:t>w</w:t>
      </w:r>
      <w:r w:rsidRPr="00E74FCC">
        <w:rPr>
          <w:rFonts w:ascii="Tms Rmn" w:hAnsi="Tms Rmn"/>
          <w:i/>
          <w:iCs/>
          <w:szCs w:val="24"/>
          <w:lang w:val="fr-CH"/>
        </w:rPr>
        <w:t> </w:t>
      </w:r>
      <w:r w:rsidRPr="00E74FCC">
        <w:rPr>
          <w:szCs w:val="24"/>
          <w:lang w:val="fr-CH"/>
        </w:rPr>
        <w:t>/</w:t>
      </w:r>
      <w:r w:rsidRPr="00E74FCC">
        <w:rPr>
          <w:rFonts w:ascii="Tms Rmn" w:hAnsi="Tms Rmn"/>
          <w:szCs w:val="24"/>
          <w:lang w:val="fr-CH"/>
        </w:rPr>
        <w:t> </w:t>
      </w:r>
      <w:r w:rsidRPr="00E74FCC">
        <w:rPr>
          <w:i/>
          <w:szCs w:val="24"/>
          <w:lang w:val="fr-CH"/>
        </w:rPr>
        <w:t>P</w:t>
      </w:r>
      <w:r w:rsidR="003D4517" w:rsidRPr="00E74FCC">
        <w:rPr>
          <w:i/>
          <w:szCs w:val="24"/>
          <w:vertAlign w:val="subscript"/>
          <w:lang w:val="fr-CH"/>
        </w:rPr>
        <w:t>i</w:t>
      </w:r>
      <w:r w:rsidRPr="00E74FCC">
        <w:rPr>
          <w:position w:val="-4"/>
          <w:szCs w:val="24"/>
          <w:lang w:val="fr-CH"/>
        </w:rPr>
        <w:t xml:space="preserve"> </w:t>
      </w:r>
      <w:r w:rsidRPr="00E74FCC">
        <w:rPr>
          <w:szCs w:val="24"/>
          <w:lang w:val="fr-CH"/>
        </w:rPr>
        <w:t>)         dB         ou         </w:t>
      </w:r>
      <w:r w:rsidRPr="00E74FCC">
        <w:rPr>
          <w:i/>
          <w:szCs w:val="24"/>
          <w:lang w:val="fr-CH"/>
        </w:rPr>
        <w:t>A</w:t>
      </w:r>
      <w:r w:rsidRPr="00E74FCC">
        <w:rPr>
          <w:szCs w:val="24"/>
          <w:lang w:val="fr-CH"/>
        </w:rPr>
        <w:t>  </w:t>
      </w:r>
      <w:r w:rsidRPr="00537143">
        <w:rPr>
          <w:rFonts w:ascii="Symbol" w:hAnsi="Symbol"/>
          <w:szCs w:val="24"/>
        </w:rPr>
        <w:t></w:t>
      </w:r>
      <w:r w:rsidRPr="00E74FCC">
        <w:rPr>
          <w:szCs w:val="24"/>
          <w:lang w:val="fr-CH"/>
        </w:rPr>
        <w:t>  20 lg (</w:t>
      </w:r>
      <w:r w:rsidRPr="00E74FCC">
        <w:rPr>
          <w:i/>
          <w:szCs w:val="24"/>
          <w:lang w:val="fr-CH"/>
        </w:rPr>
        <w:t>E</w:t>
      </w:r>
      <w:r w:rsidR="003D4517" w:rsidRPr="00E74FCC">
        <w:rPr>
          <w:i/>
          <w:szCs w:val="24"/>
          <w:vertAlign w:val="subscript"/>
          <w:lang w:val="fr-CH"/>
        </w:rPr>
        <w:t>w</w:t>
      </w:r>
      <w:r w:rsidRPr="00E74FCC">
        <w:rPr>
          <w:rFonts w:ascii="Tms Rmn" w:hAnsi="Tms Rmn"/>
          <w:i/>
          <w:iCs/>
          <w:szCs w:val="24"/>
          <w:lang w:val="fr-CH"/>
        </w:rPr>
        <w:t> </w:t>
      </w:r>
      <w:r w:rsidRPr="00E74FCC">
        <w:rPr>
          <w:szCs w:val="24"/>
          <w:lang w:val="fr-CH"/>
        </w:rPr>
        <w:t>/</w:t>
      </w:r>
      <w:r w:rsidRPr="00E74FCC">
        <w:rPr>
          <w:rFonts w:ascii="Tms Rmn" w:hAnsi="Tms Rmn"/>
          <w:szCs w:val="24"/>
          <w:lang w:val="fr-CH"/>
        </w:rPr>
        <w:t> </w:t>
      </w:r>
      <w:r w:rsidRPr="00E74FCC">
        <w:rPr>
          <w:i/>
          <w:szCs w:val="24"/>
          <w:lang w:val="fr-CH"/>
        </w:rPr>
        <w:t>E</w:t>
      </w:r>
      <w:r w:rsidR="003D4517" w:rsidRPr="00E74FCC">
        <w:rPr>
          <w:i/>
          <w:szCs w:val="24"/>
          <w:vertAlign w:val="subscript"/>
          <w:lang w:val="fr-CH"/>
        </w:rPr>
        <w:t>i</w:t>
      </w:r>
      <w:r w:rsidRPr="00E74FCC">
        <w:rPr>
          <w:rFonts w:ascii="Tms Rmn" w:hAnsi="Tms Rmn"/>
          <w:szCs w:val="24"/>
          <w:lang w:val="fr-CH"/>
        </w:rPr>
        <w:t> </w:t>
      </w:r>
      <w:r w:rsidRPr="00E74FCC">
        <w:rPr>
          <w:szCs w:val="24"/>
          <w:lang w:val="fr-CH"/>
        </w:rPr>
        <w:t xml:space="preserve"> )         dB</w:t>
      </w:r>
    </w:p>
    <w:p w:rsidR="0031148D" w:rsidRPr="00537143" w:rsidRDefault="0031148D" w:rsidP="003D4517">
      <w:pPr>
        <w:pStyle w:val="Heading3"/>
        <w:rPr>
          <w:szCs w:val="24"/>
        </w:rPr>
      </w:pPr>
      <w:bookmarkStart w:id="38" w:name="_Toc122852808"/>
      <w:r w:rsidRPr="00537143">
        <w:rPr>
          <w:szCs w:val="24"/>
        </w:rPr>
        <w:t>7.3</w:t>
      </w:r>
      <w:r w:rsidRPr="00537143">
        <w:rPr>
          <w:szCs w:val="24"/>
        </w:rPr>
        <w:tab/>
        <w:t>Rapport «porteuse à densité spectrale de bruit» (</w:t>
      </w:r>
      <w:r w:rsidRPr="00537143">
        <w:rPr>
          <w:i/>
          <w:iCs/>
          <w:szCs w:val="24"/>
        </w:rPr>
        <w:t>C</w:t>
      </w:r>
      <w:r w:rsidRPr="00537143">
        <w:rPr>
          <w:rFonts w:ascii="Tms Rmn" w:hAnsi="Tms Rmn"/>
          <w:i/>
          <w:iCs/>
          <w:szCs w:val="24"/>
        </w:rPr>
        <w:t> </w:t>
      </w:r>
      <w:r w:rsidRPr="00537143">
        <w:rPr>
          <w:szCs w:val="24"/>
        </w:rPr>
        <w:t>/</w:t>
      </w:r>
      <w:r w:rsidRPr="00537143">
        <w:rPr>
          <w:rFonts w:ascii="Tms Rmn" w:hAnsi="Tms Rmn"/>
          <w:szCs w:val="24"/>
        </w:rPr>
        <w:t> </w:t>
      </w:r>
      <w:r w:rsidRPr="003D4517">
        <w:rPr>
          <w:szCs w:val="24"/>
        </w:rPr>
        <w:t>N</w:t>
      </w:r>
      <w:r w:rsidR="003D4517" w:rsidRPr="003D4517">
        <w:rPr>
          <w:szCs w:val="24"/>
          <w:vertAlign w:val="subscript"/>
        </w:rPr>
        <w:t>0</w:t>
      </w:r>
      <w:r w:rsidRPr="00537143">
        <w:rPr>
          <w:szCs w:val="24"/>
        </w:rPr>
        <w:t>)</w:t>
      </w:r>
      <w:bookmarkEnd w:id="38"/>
    </w:p>
    <w:p w:rsidR="0031148D" w:rsidRPr="00537143" w:rsidRDefault="0031148D" w:rsidP="006D0ACA">
      <w:pPr>
        <w:rPr>
          <w:szCs w:val="24"/>
        </w:rPr>
      </w:pPr>
      <w:r w:rsidRPr="00537143">
        <w:rPr>
          <w:szCs w:val="24"/>
        </w:rPr>
        <w:t>Il s'agit du rapport</w:t>
      </w:r>
      <w:r w:rsidRPr="00537143">
        <w:rPr>
          <w:i/>
          <w:szCs w:val="24"/>
        </w:rPr>
        <w:t xml:space="preserve"> </w:t>
      </w:r>
      <w:r w:rsidR="006D0ACA" w:rsidRPr="006D0ACA">
        <w:rPr>
          <w:i/>
          <w:lang w:val="fr-CH"/>
        </w:rPr>
        <w:t>P</w:t>
      </w:r>
      <w:r w:rsidR="006D0ACA" w:rsidRPr="006D0ACA">
        <w:rPr>
          <w:i/>
          <w:position w:val="-4"/>
          <w:sz w:val="16"/>
          <w:lang w:val="fr-CH"/>
        </w:rPr>
        <w:t>c </w:t>
      </w:r>
      <w:r w:rsidR="006D0ACA" w:rsidRPr="006D0ACA">
        <w:rPr>
          <w:lang w:val="fr-CH"/>
        </w:rPr>
        <w:t>/</w:t>
      </w:r>
      <w:r w:rsidR="006D0ACA" w:rsidRPr="006D0ACA">
        <w:rPr>
          <w:rFonts w:ascii="Tms Rmn" w:hAnsi="Tms Rmn"/>
          <w:sz w:val="12"/>
          <w:lang w:val="fr-CH"/>
        </w:rPr>
        <w:t> </w:t>
      </w:r>
      <w:r w:rsidR="006D0ACA" w:rsidRPr="006D0ACA">
        <w:rPr>
          <w:lang w:val="fr-CH"/>
        </w:rPr>
        <w:t>(</w:t>
      </w:r>
      <w:r w:rsidR="006D0ACA" w:rsidRPr="006D0ACA">
        <w:rPr>
          <w:i/>
          <w:lang w:val="fr-CH"/>
        </w:rPr>
        <w:t>P</w:t>
      </w:r>
      <w:r w:rsidR="006D0ACA" w:rsidRPr="006D0ACA">
        <w:rPr>
          <w:i/>
          <w:position w:val="-4"/>
          <w:sz w:val="16"/>
          <w:lang w:val="fr-CH"/>
        </w:rPr>
        <w:t>n</w:t>
      </w:r>
      <w:r w:rsidR="006D0ACA" w:rsidRPr="006D0ACA">
        <w:rPr>
          <w:rFonts w:ascii="Tms Rmn" w:hAnsi="Tms Rmn"/>
          <w:i/>
          <w:position w:val="-4"/>
          <w:sz w:val="12"/>
          <w:lang w:val="fr-CH"/>
        </w:rPr>
        <w:t> </w:t>
      </w:r>
      <w:r w:rsidR="006D0ACA" w:rsidRPr="006D0ACA">
        <w:rPr>
          <w:lang w:val="fr-CH"/>
        </w:rPr>
        <w:t>/</w:t>
      </w:r>
      <w:r w:rsidR="006D0ACA" w:rsidRPr="006D0ACA">
        <w:rPr>
          <w:rFonts w:ascii="Tms Rmn" w:hAnsi="Tms Rmn"/>
          <w:i/>
          <w:position w:val="-4"/>
          <w:sz w:val="6"/>
          <w:lang w:val="fr-CH"/>
        </w:rPr>
        <w:t> </w:t>
      </w:r>
      <w:r w:rsidR="006D0ACA">
        <w:rPr>
          <w:rFonts w:ascii="Symbol" w:hAnsi="Symbol"/>
        </w:rPr>
        <w:t></w:t>
      </w:r>
      <w:r w:rsidR="006D0ACA" w:rsidRPr="006D0ACA">
        <w:rPr>
          <w:rFonts w:ascii="Tms Rmn" w:hAnsi="Tms Rmn"/>
          <w:sz w:val="12"/>
          <w:lang w:val="fr-CH"/>
        </w:rPr>
        <w:t> </w:t>
      </w:r>
      <w:r w:rsidR="006D0ACA" w:rsidRPr="006D0ACA">
        <w:rPr>
          <w:i/>
          <w:iCs/>
          <w:lang w:val="fr-CH"/>
        </w:rPr>
        <w:t>f</w:t>
      </w:r>
      <w:r w:rsidR="006D0ACA" w:rsidRPr="006D0ACA">
        <w:rPr>
          <w:rFonts w:ascii="Tms Rmn" w:hAnsi="Tms Rmn"/>
          <w:sz w:val="16"/>
          <w:lang w:val="fr-CH"/>
        </w:rPr>
        <w:t> </w:t>
      </w:r>
      <w:r w:rsidR="006D0ACA" w:rsidRPr="006D0ACA">
        <w:rPr>
          <w:lang w:val="fr-CH"/>
        </w:rPr>
        <w:t xml:space="preserve">) </w:t>
      </w:r>
      <w:r w:rsidRPr="00537143">
        <w:rPr>
          <w:szCs w:val="24"/>
        </w:rPr>
        <w:t>dans lequel</w:t>
      </w:r>
      <w:r w:rsidRPr="00537143">
        <w:rPr>
          <w:i/>
          <w:szCs w:val="24"/>
        </w:rPr>
        <w:t xml:space="preserve"> P</w:t>
      </w:r>
      <w:r w:rsidR="006D0ACA" w:rsidRPr="006D0ACA">
        <w:rPr>
          <w:i/>
          <w:szCs w:val="24"/>
          <w:vertAlign w:val="subscript"/>
        </w:rPr>
        <w:t>c</w:t>
      </w:r>
      <w:r w:rsidRPr="00537143">
        <w:rPr>
          <w:szCs w:val="24"/>
        </w:rPr>
        <w:t xml:space="preserve"> désigne la puissance d'une porteuse,</w:t>
      </w:r>
      <w:r w:rsidRPr="00537143">
        <w:rPr>
          <w:i/>
          <w:szCs w:val="24"/>
        </w:rPr>
        <w:t xml:space="preserve"> P</w:t>
      </w:r>
      <w:r w:rsidR="006D0ACA" w:rsidRPr="006D0ACA">
        <w:rPr>
          <w:i/>
          <w:szCs w:val="24"/>
          <w:vertAlign w:val="subscript"/>
        </w:rPr>
        <w:t>n</w:t>
      </w:r>
      <w:r w:rsidRPr="00537143">
        <w:rPr>
          <w:szCs w:val="24"/>
        </w:rPr>
        <w:t xml:space="preserve"> la puissance d'un bruit et </w:t>
      </w:r>
      <w:r w:rsidRPr="00537143">
        <w:rPr>
          <w:rFonts w:ascii="Symbol" w:hAnsi="Symbol"/>
          <w:szCs w:val="24"/>
        </w:rPr>
        <w:t></w:t>
      </w:r>
      <w:r w:rsidRPr="00537143">
        <w:rPr>
          <w:rFonts w:ascii="Tms Rmn" w:hAnsi="Tms Rmn"/>
          <w:szCs w:val="24"/>
        </w:rPr>
        <w:t> </w:t>
      </w:r>
      <w:r w:rsidRPr="00537143">
        <w:rPr>
          <w:i/>
          <w:iCs/>
          <w:szCs w:val="24"/>
        </w:rPr>
        <w:t>f</w:t>
      </w:r>
      <w:r w:rsidRPr="00537143">
        <w:rPr>
          <w:szCs w:val="24"/>
        </w:rPr>
        <w:t xml:space="preserve"> </w:t>
      </w:r>
      <w:r w:rsidRPr="00537143">
        <w:rPr>
          <w:rFonts w:ascii="Tms Rmn" w:hAnsi="Tms Rmn"/>
          <w:szCs w:val="24"/>
        </w:rPr>
        <w:t> </w:t>
      </w:r>
      <w:r w:rsidRPr="00537143">
        <w:rPr>
          <w:szCs w:val="24"/>
        </w:rPr>
        <w:t>la largeur de bande correspondante. Ce rapport ayant la dimension d'une fréquence, il ne peut pas s'exprimer sans précaution à l'aide du décibel, car la puissance n'est pas liée à la fréquence de façon bien définie.</w:t>
      </w:r>
    </w:p>
    <w:p w:rsidR="0031148D" w:rsidRPr="00537143" w:rsidRDefault="0031148D" w:rsidP="0031148D">
      <w:pPr>
        <w:rPr>
          <w:szCs w:val="24"/>
        </w:rPr>
      </w:pPr>
      <w:r w:rsidRPr="00537143">
        <w:rPr>
          <w:szCs w:val="24"/>
        </w:rPr>
        <w:t>Il est proposé d'exprimer ce rapport au moyen d'une grandeur de référence, telle que 1 W/(W/Hz) qui indique bien l'origine du résultat obtenu.</w:t>
      </w:r>
    </w:p>
    <w:p w:rsidR="0031148D" w:rsidRPr="00537143" w:rsidRDefault="0031148D" w:rsidP="006D0ACA">
      <w:pPr>
        <w:rPr>
          <w:szCs w:val="24"/>
        </w:rPr>
      </w:pPr>
      <w:r w:rsidRPr="00537143">
        <w:rPr>
          <w:szCs w:val="24"/>
        </w:rPr>
        <w:t xml:space="preserve">Par exemple, si </w:t>
      </w:r>
      <w:r w:rsidRPr="00537143">
        <w:rPr>
          <w:i/>
          <w:szCs w:val="24"/>
        </w:rPr>
        <w:t>P</w:t>
      </w:r>
      <w:r w:rsidR="006D0ACA" w:rsidRPr="006D0ACA">
        <w:rPr>
          <w:i/>
          <w:szCs w:val="24"/>
          <w:vertAlign w:val="subscript"/>
        </w:rPr>
        <w:t>c</w:t>
      </w:r>
      <w:r w:rsidRPr="00537143">
        <w:rPr>
          <w:szCs w:val="24"/>
        </w:rPr>
        <w:t> </w:t>
      </w:r>
      <w:r w:rsidRPr="00537143">
        <w:rPr>
          <w:rFonts w:ascii="Symbol" w:hAnsi="Symbol"/>
          <w:szCs w:val="24"/>
        </w:rPr>
        <w:t></w:t>
      </w:r>
      <w:r w:rsidRPr="00537143">
        <w:rPr>
          <w:szCs w:val="24"/>
        </w:rPr>
        <w:t xml:space="preserve"> 2 W, </w:t>
      </w:r>
      <w:r w:rsidRPr="00537143">
        <w:rPr>
          <w:i/>
          <w:szCs w:val="24"/>
        </w:rPr>
        <w:t>P</w:t>
      </w:r>
      <w:r w:rsidR="006D0ACA" w:rsidRPr="006D0ACA">
        <w:rPr>
          <w:i/>
          <w:szCs w:val="24"/>
          <w:vertAlign w:val="subscript"/>
        </w:rPr>
        <w:t>n</w:t>
      </w:r>
      <w:r w:rsidRPr="00537143">
        <w:rPr>
          <w:szCs w:val="24"/>
        </w:rPr>
        <w:t> </w:t>
      </w:r>
      <w:r w:rsidRPr="00537143">
        <w:rPr>
          <w:rFonts w:ascii="Symbol" w:hAnsi="Symbol"/>
          <w:szCs w:val="24"/>
        </w:rPr>
        <w:t></w:t>
      </w:r>
      <w:r w:rsidRPr="00537143">
        <w:rPr>
          <w:szCs w:val="24"/>
        </w:rPr>
        <w:t xml:space="preserve"> 20 mW et </w:t>
      </w:r>
      <w:r w:rsidRPr="00537143">
        <w:rPr>
          <w:rFonts w:ascii="Symbol" w:hAnsi="Symbol"/>
          <w:szCs w:val="24"/>
        </w:rPr>
        <w:t></w:t>
      </w:r>
      <w:r w:rsidRPr="00537143">
        <w:rPr>
          <w:rFonts w:ascii="Tms Rmn" w:hAnsi="Tms Rmn"/>
          <w:szCs w:val="24"/>
        </w:rPr>
        <w:t> </w:t>
      </w:r>
      <w:r w:rsidRPr="00537143">
        <w:rPr>
          <w:i/>
          <w:iCs/>
          <w:szCs w:val="24"/>
        </w:rPr>
        <w:t>f</w:t>
      </w:r>
      <w:r w:rsidRPr="00537143">
        <w:rPr>
          <w:szCs w:val="24"/>
        </w:rPr>
        <w:t> </w:t>
      </w:r>
      <w:r w:rsidRPr="00537143">
        <w:rPr>
          <w:rFonts w:ascii="Symbol" w:hAnsi="Symbol"/>
          <w:szCs w:val="24"/>
        </w:rPr>
        <w:t></w:t>
      </w:r>
      <w:r w:rsidRPr="00537143">
        <w:rPr>
          <w:szCs w:val="24"/>
        </w:rPr>
        <w:t> 1 MHz, on obtient, pour l'expression logarithmique correspondant à</w:t>
      </w:r>
      <w:r w:rsidRPr="00537143">
        <w:rPr>
          <w:i/>
          <w:szCs w:val="24"/>
        </w:rPr>
        <w:t xml:space="preserve"> C</w:t>
      </w:r>
      <w:r w:rsidRPr="00537143">
        <w:rPr>
          <w:rFonts w:ascii="Tms Rmn" w:hAnsi="Tms Rmn"/>
          <w:i/>
          <w:szCs w:val="24"/>
        </w:rPr>
        <w:t> </w:t>
      </w:r>
      <w:r w:rsidRPr="00537143">
        <w:rPr>
          <w:szCs w:val="24"/>
        </w:rPr>
        <w:t>/</w:t>
      </w:r>
      <w:r w:rsidRPr="00537143">
        <w:rPr>
          <w:rFonts w:ascii="Tms Rmn" w:hAnsi="Tms Rmn"/>
          <w:szCs w:val="24"/>
        </w:rPr>
        <w:t> </w:t>
      </w:r>
      <w:r w:rsidRPr="006D0ACA">
        <w:rPr>
          <w:iCs/>
          <w:szCs w:val="24"/>
        </w:rPr>
        <w:t>N</w:t>
      </w:r>
      <w:r w:rsidR="006D0ACA" w:rsidRPr="006D0ACA">
        <w:rPr>
          <w:iCs/>
          <w:szCs w:val="24"/>
          <w:vertAlign w:val="subscript"/>
        </w:rPr>
        <w:t>0</w:t>
      </w:r>
      <w:r w:rsidRPr="00537143">
        <w:rPr>
          <w:szCs w:val="24"/>
        </w:rPr>
        <w:t>:</w:t>
      </w:r>
    </w:p>
    <w:p w:rsidR="0031148D" w:rsidRPr="00537143" w:rsidRDefault="0031148D" w:rsidP="0031148D">
      <w:pPr>
        <w:pStyle w:val="Equation"/>
        <w:spacing w:before="80"/>
        <w:jc w:val="center"/>
        <w:rPr>
          <w:szCs w:val="24"/>
        </w:rPr>
      </w:pPr>
      <w:r w:rsidRPr="00537143">
        <w:rPr>
          <w:position w:val="-28"/>
          <w:szCs w:val="24"/>
        </w:rPr>
        <w:object w:dxaOrig="3720" w:dyaOrig="639">
          <v:shape id="_x0000_i1027" type="#_x0000_t75" style="width:186pt;height:32pt" o:ole="">
            <v:imagedata r:id="rId16" o:title=""/>
          </v:shape>
          <o:OLEObject Type="Embed" ProgID="Equation.3" ShapeID="_x0000_i1027" DrawAspect="Content" ObjectID="_1532235869" r:id="rId17"/>
        </w:object>
      </w:r>
    </w:p>
    <w:p w:rsidR="0031148D" w:rsidRPr="00537143" w:rsidRDefault="0031148D" w:rsidP="0031148D">
      <w:pPr>
        <w:rPr>
          <w:szCs w:val="24"/>
        </w:rPr>
      </w:pPr>
      <w:r w:rsidRPr="00537143">
        <w:rPr>
          <w:szCs w:val="24"/>
        </w:rPr>
        <w:t>On peut abréger cette expression en 50 dB(kHz), si elle n'entraîne pas de confusion.</w:t>
      </w:r>
    </w:p>
    <w:p w:rsidR="0031148D" w:rsidRPr="00537143" w:rsidRDefault="0031148D" w:rsidP="0031148D">
      <w:pPr>
        <w:pStyle w:val="Heading2"/>
        <w:rPr>
          <w:szCs w:val="24"/>
        </w:rPr>
      </w:pPr>
      <w:bookmarkStart w:id="39" w:name="_Toc122852809"/>
      <w:r w:rsidRPr="00537143">
        <w:rPr>
          <w:szCs w:val="24"/>
        </w:rPr>
        <w:t>7.4</w:t>
      </w:r>
      <w:r w:rsidRPr="00537143">
        <w:rPr>
          <w:szCs w:val="24"/>
        </w:rPr>
        <w:tab/>
        <w:t>Rapport «énergie à densité spectrale de bruit»</w:t>
      </w:r>
      <w:bookmarkEnd w:id="39"/>
    </w:p>
    <w:p w:rsidR="0031148D" w:rsidRPr="00537143" w:rsidRDefault="0031148D" w:rsidP="006D0ACA">
      <w:pPr>
        <w:rPr>
          <w:szCs w:val="24"/>
        </w:rPr>
      </w:pPr>
      <w:r w:rsidRPr="00537143">
        <w:rPr>
          <w:szCs w:val="24"/>
        </w:rPr>
        <w:t xml:space="preserve">Dans le cas du rapport «énergie par élément binaire à densité spectrale de bruit» </w:t>
      </w:r>
      <w:r w:rsidRPr="00537143">
        <w:rPr>
          <w:i/>
          <w:szCs w:val="24"/>
          <w:lang w:val="fr-CH"/>
        </w:rPr>
        <w:t>E</w:t>
      </w:r>
      <w:r w:rsidRPr="00537143">
        <w:rPr>
          <w:i/>
          <w:szCs w:val="24"/>
          <w:vertAlign w:val="subscript"/>
          <w:lang w:val="fr-CH"/>
        </w:rPr>
        <w:t>b</w:t>
      </w:r>
      <w:r w:rsidRPr="00537143">
        <w:rPr>
          <w:rFonts w:ascii="Tms Rmn" w:hAnsi="Tms Rmn"/>
          <w:iCs/>
          <w:szCs w:val="24"/>
          <w:lang w:val="fr-CH"/>
        </w:rPr>
        <w:t> </w:t>
      </w:r>
      <w:r w:rsidRPr="00537143">
        <w:rPr>
          <w:szCs w:val="24"/>
          <w:lang w:val="fr-CH"/>
        </w:rPr>
        <w:t>/</w:t>
      </w:r>
      <w:r w:rsidRPr="00537143">
        <w:rPr>
          <w:rFonts w:ascii="Tms Rmn" w:hAnsi="Tms Rmn"/>
          <w:szCs w:val="24"/>
          <w:lang w:val="fr-CH"/>
        </w:rPr>
        <w:t> </w:t>
      </w:r>
      <w:r w:rsidRPr="006D0ACA">
        <w:rPr>
          <w:iCs/>
          <w:szCs w:val="24"/>
          <w:lang w:val="fr-CH"/>
        </w:rPr>
        <w:t>N</w:t>
      </w:r>
      <w:r w:rsidR="006D0ACA" w:rsidRPr="006D0ACA">
        <w:rPr>
          <w:iCs/>
          <w:szCs w:val="24"/>
          <w:vertAlign w:val="subscript"/>
          <w:lang w:val="fr-CH"/>
        </w:rPr>
        <w:t>0</w:t>
      </w:r>
      <w:r w:rsidRPr="00537143">
        <w:rPr>
          <w:szCs w:val="24"/>
        </w:rPr>
        <w:t xml:space="preserve"> qui intervient dans les trans</w:t>
      </w:r>
      <w:r w:rsidRPr="00537143">
        <w:rPr>
          <w:szCs w:val="24"/>
        </w:rPr>
        <w:softHyphen/>
        <w:t xml:space="preserve">missions numériques, on fait le rapport de deux grandeurs qui sont homogènes, à des densités spectrales de puissance, et ce rapport peut normalement être exprimé en décibels, comme les rapports de puissance (voir le § 7.1). Il convient toutefois de s'assurer que les </w:t>
      </w:r>
      <w:r w:rsidRPr="00537143">
        <w:rPr>
          <w:szCs w:val="24"/>
        </w:rPr>
        <w:lastRenderedPageBreak/>
        <w:t>unités utilisées pour exprimer chacun des termes du rapport sont bien équivalentes, par exemple le joule (J) pour l'énergie et le watt par hertz (W/Hz) pour la densité spectrale de puissance de bruit.</w:t>
      </w:r>
    </w:p>
    <w:p w:rsidR="0031148D" w:rsidRPr="00537143" w:rsidRDefault="0031148D" w:rsidP="0031148D">
      <w:pPr>
        <w:pStyle w:val="Heading2"/>
        <w:rPr>
          <w:szCs w:val="24"/>
        </w:rPr>
      </w:pPr>
      <w:bookmarkStart w:id="40" w:name="_Toc122852810"/>
      <w:r w:rsidRPr="00537143">
        <w:rPr>
          <w:szCs w:val="24"/>
        </w:rPr>
        <w:t>7.5</w:t>
      </w:r>
      <w:r w:rsidRPr="00537143">
        <w:rPr>
          <w:szCs w:val="24"/>
        </w:rPr>
        <w:tab/>
        <w:t>Facteur de qualité (</w:t>
      </w:r>
      <w:r w:rsidRPr="00537143">
        <w:rPr>
          <w:i/>
          <w:iCs/>
          <w:szCs w:val="24"/>
        </w:rPr>
        <w:t>M</w:t>
      </w:r>
      <w:r w:rsidRPr="00537143">
        <w:rPr>
          <w:szCs w:val="24"/>
        </w:rPr>
        <w:t>) (ou facteur de mérite)</w:t>
      </w:r>
      <w:bookmarkEnd w:id="40"/>
    </w:p>
    <w:p w:rsidR="0031148D" w:rsidRPr="00537143" w:rsidRDefault="0031148D" w:rsidP="0031148D">
      <w:pPr>
        <w:rPr>
          <w:szCs w:val="24"/>
        </w:rPr>
      </w:pPr>
      <w:r w:rsidRPr="00537143">
        <w:rPr>
          <w:szCs w:val="24"/>
        </w:rPr>
        <w:t>Le facteur de qualité (</w:t>
      </w:r>
      <w:r w:rsidRPr="00537143">
        <w:rPr>
          <w:i/>
          <w:szCs w:val="24"/>
        </w:rPr>
        <w:t>M</w:t>
      </w:r>
      <w:r w:rsidRPr="00537143">
        <w:rPr>
          <w:rFonts w:ascii="Tms Rmn" w:hAnsi="Tms Rmn"/>
          <w:iCs/>
          <w:szCs w:val="24"/>
        </w:rPr>
        <w:t> </w:t>
      </w:r>
      <w:r w:rsidRPr="00537143">
        <w:rPr>
          <w:szCs w:val="24"/>
        </w:rPr>
        <w:t>) caractérise une station de réception radioélectrique et est une expression logarithmique tenant compte du gain</w:t>
      </w:r>
      <w:r w:rsidRPr="00537143">
        <w:rPr>
          <w:i/>
          <w:szCs w:val="24"/>
        </w:rPr>
        <w:t xml:space="preserve"> G</w:t>
      </w:r>
      <w:r w:rsidRPr="00537143">
        <w:rPr>
          <w:szCs w:val="24"/>
        </w:rPr>
        <w:t xml:space="preserve"> de l'antenne (exprimé en décibels) et de la température de bruit globale</w:t>
      </w:r>
      <w:r w:rsidRPr="00537143">
        <w:rPr>
          <w:i/>
          <w:szCs w:val="24"/>
        </w:rPr>
        <w:t xml:space="preserve"> T</w:t>
      </w:r>
      <w:r w:rsidRPr="00537143">
        <w:rPr>
          <w:szCs w:val="24"/>
        </w:rPr>
        <w:t xml:space="preserve"> (exprimée en kelvins) de la façon suivante:</w:t>
      </w:r>
    </w:p>
    <w:p w:rsidR="0031148D" w:rsidRPr="0031148D" w:rsidRDefault="0031148D" w:rsidP="0031148D">
      <w:pPr>
        <w:pStyle w:val="Equation"/>
        <w:spacing w:before="240"/>
        <w:jc w:val="center"/>
        <w:rPr>
          <w:szCs w:val="24"/>
          <w:lang w:val="de-CH"/>
        </w:rPr>
      </w:pPr>
      <w:r w:rsidRPr="0031148D">
        <w:rPr>
          <w:i/>
          <w:iCs/>
          <w:szCs w:val="24"/>
          <w:lang w:val="de-CH"/>
        </w:rPr>
        <w:t>M</w:t>
      </w:r>
      <w:r w:rsidRPr="0031148D">
        <w:rPr>
          <w:szCs w:val="24"/>
          <w:lang w:val="de-CH"/>
        </w:rPr>
        <w:t>  </w:t>
      </w:r>
      <w:r w:rsidRPr="00537143">
        <w:rPr>
          <w:rFonts w:ascii="Symbol" w:hAnsi="Symbol"/>
          <w:szCs w:val="24"/>
        </w:rPr>
        <w:t></w:t>
      </w:r>
      <w:r w:rsidRPr="0031148D">
        <w:rPr>
          <w:szCs w:val="24"/>
          <w:lang w:val="de-CH"/>
        </w:rPr>
        <w:t>  [</w:t>
      </w:r>
      <w:r w:rsidRPr="0031148D">
        <w:rPr>
          <w:i/>
          <w:iCs/>
          <w:szCs w:val="24"/>
          <w:lang w:val="de-CH"/>
        </w:rPr>
        <w:t>G</w:t>
      </w:r>
      <w:r w:rsidRPr="0031148D">
        <w:rPr>
          <w:szCs w:val="24"/>
          <w:lang w:val="de-CH"/>
        </w:rPr>
        <w:t> – 10 lg (</w:t>
      </w:r>
      <w:r w:rsidRPr="0031148D">
        <w:rPr>
          <w:rFonts w:ascii="Tms Rmn" w:hAnsi="Tms Rmn"/>
          <w:szCs w:val="24"/>
          <w:lang w:val="de-CH"/>
        </w:rPr>
        <w:t> </w:t>
      </w:r>
      <w:r w:rsidRPr="0031148D">
        <w:rPr>
          <w:i/>
          <w:iCs/>
          <w:szCs w:val="24"/>
          <w:lang w:val="de-CH"/>
        </w:rPr>
        <w:t>T</w:t>
      </w:r>
      <w:r w:rsidRPr="0031148D">
        <w:rPr>
          <w:rFonts w:ascii="Tms Rmn" w:hAnsi="Tms Rmn"/>
          <w:szCs w:val="24"/>
          <w:lang w:val="de-CH"/>
        </w:rPr>
        <w:t> </w:t>
      </w:r>
      <w:r w:rsidRPr="0031148D">
        <w:rPr>
          <w:szCs w:val="24"/>
          <w:lang w:val="de-CH"/>
        </w:rPr>
        <w:t>/</w:t>
      </w:r>
      <w:r w:rsidRPr="0031148D">
        <w:rPr>
          <w:rFonts w:ascii="Tms Rmn" w:hAnsi="Tms Rmn"/>
          <w:szCs w:val="24"/>
          <w:lang w:val="de-CH"/>
        </w:rPr>
        <w:t> </w:t>
      </w:r>
      <w:r w:rsidRPr="0031148D">
        <w:rPr>
          <w:szCs w:val="24"/>
          <w:lang w:val="de-CH"/>
        </w:rPr>
        <w:t>1 K)]</w:t>
      </w:r>
      <w:r w:rsidRPr="0031148D">
        <w:rPr>
          <w:rFonts w:ascii="Tms Rmn" w:hAnsi="Tms Rmn"/>
          <w:szCs w:val="24"/>
          <w:lang w:val="de-CH"/>
        </w:rPr>
        <w:t>         </w:t>
      </w:r>
      <w:r w:rsidRPr="0031148D">
        <w:rPr>
          <w:szCs w:val="24"/>
          <w:lang w:val="de-CH"/>
        </w:rPr>
        <w:t>dB(W/(W · K))</w:t>
      </w:r>
    </w:p>
    <w:p w:rsidR="0031148D" w:rsidRPr="00537143" w:rsidRDefault="0031148D" w:rsidP="006D0ACA">
      <w:pPr>
        <w:rPr>
          <w:szCs w:val="24"/>
        </w:rPr>
      </w:pPr>
      <w:r w:rsidRPr="00537143">
        <w:rPr>
          <w:szCs w:val="24"/>
        </w:rPr>
        <w:t>On peut abréger cette notation en dB(</w:t>
      </w:r>
      <w:r w:rsidR="006D0ACA" w:rsidRPr="006D0ACA">
        <w:rPr>
          <w:lang w:val="fr-CH"/>
        </w:rPr>
        <w:t>K</w:t>
      </w:r>
      <w:r w:rsidR="006D0ACA" w:rsidRPr="006D0ACA">
        <w:rPr>
          <w:position w:val="6"/>
          <w:sz w:val="16"/>
          <w:lang w:val="fr-CH"/>
        </w:rPr>
        <w:t>–1</w:t>
      </w:r>
      <w:r w:rsidRPr="00537143">
        <w:rPr>
          <w:szCs w:val="24"/>
        </w:rPr>
        <w:t>) qui est d'ailleurs à éviter si elle entraîne une confusion.</w:t>
      </w:r>
    </w:p>
    <w:p w:rsidR="0031148D" w:rsidRPr="00537143" w:rsidRDefault="0031148D" w:rsidP="0031148D">
      <w:pPr>
        <w:pStyle w:val="Heading1"/>
        <w:spacing w:before="360"/>
        <w:rPr>
          <w:szCs w:val="24"/>
        </w:rPr>
      </w:pPr>
      <w:bookmarkStart w:id="41" w:name="_Toc122852811"/>
      <w:r w:rsidRPr="00537143">
        <w:rPr>
          <w:szCs w:val="24"/>
        </w:rPr>
        <w:t>8</w:t>
      </w:r>
      <w:r w:rsidRPr="00537143">
        <w:rPr>
          <w:szCs w:val="24"/>
        </w:rPr>
        <w:tab/>
        <w:t>Notations particulières</w:t>
      </w:r>
      <w:bookmarkEnd w:id="41"/>
    </w:p>
    <w:p w:rsidR="0031148D" w:rsidRPr="00537143" w:rsidRDefault="0031148D" w:rsidP="0031148D">
      <w:pPr>
        <w:rPr>
          <w:szCs w:val="24"/>
        </w:rPr>
      </w:pPr>
      <w:r w:rsidRPr="00537143">
        <w:rPr>
          <w:szCs w:val="24"/>
        </w:rPr>
        <w:t>On donne ici des exemples de notations particulières, dont l'utilisation peut être maintenue. Elles coexistent souvent avec d'autres notations.</w:t>
      </w:r>
    </w:p>
    <w:p w:rsidR="0031148D" w:rsidRPr="00537143" w:rsidRDefault="0031148D" w:rsidP="0031148D">
      <w:pPr>
        <w:spacing w:before="240"/>
        <w:rPr>
          <w:szCs w:val="24"/>
        </w:rPr>
      </w:pPr>
      <w:r w:rsidRPr="00537143">
        <w:rPr>
          <w:i/>
          <w:szCs w:val="24"/>
        </w:rPr>
        <w:t>Pour le niveau absolu de puissance</w:t>
      </w:r>
      <w:r w:rsidRPr="00537143">
        <w:rPr>
          <w:szCs w:val="24"/>
        </w:rPr>
        <w:t xml:space="preserve"> (voir les § 6.1, 6.2 et 6.6):</w:t>
      </w:r>
    </w:p>
    <w:p w:rsidR="0031148D" w:rsidRPr="00537143" w:rsidRDefault="0031148D" w:rsidP="0031148D">
      <w:pPr>
        <w:pStyle w:val="enumlev1"/>
        <w:tabs>
          <w:tab w:val="left" w:pos="567"/>
        </w:tabs>
        <w:rPr>
          <w:szCs w:val="24"/>
        </w:rPr>
      </w:pPr>
      <w:r w:rsidRPr="00537143">
        <w:rPr>
          <w:szCs w:val="24"/>
        </w:rPr>
        <w:tab/>
        <w:t>dBW:</w:t>
      </w:r>
      <w:r w:rsidRPr="00537143">
        <w:rPr>
          <w:szCs w:val="24"/>
        </w:rPr>
        <w:tab/>
      </w:r>
      <w:r w:rsidR="006D0ACA">
        <w:rPr>
          <w:szCs w:val="24"/>
        </w:rPr>
        <w:tab/>
      </w:r>
      <w:r w:rsidRPr="00537143">
        <w:rPr>
          <w:szCs w:val="24"/>
        </w:rPr>
        <w:t>niveau absolu de puissance par rapport à 1 watt, exprimé en décibels;</w:t>
      </w:r>
    </w:p>
    <w:p w:rsidR="0031148D" w:rsidRPr="00537143" w:rsidRDefault="0031148D" w:rsidP="0031148D">
      <w:pPr>
        <w:pStyle w:val="enumlev1"/>
        <w:tabs>
          <w:tab w:val="left" w:pos="567"/>
        </w:tabs>
        <w:rPr>
          <w:szCs w:val="24"/>
        </w:rPr>
      </w:pPr>
      <w:r w:rsidRPr="00537143">
        <w:rPr>
          <w:szCs w:val="24"/>
        </w:rPr>
        <w:tab/>
        <w:t>dBm:</w:t>
      </w:r>
      <w:r w:rsidRPr="00537143">
        <w:rPr>
          <w:szCs w:val="24"/>
        </w:rPr>
        <w:tab/>
      </w:r>
      <w:r>
        <w:rPr>
          <w:szCs w:val="24"/>
        </w:rPr>
        <w:tab/>
      </w:r>
      <w:r w:rsidRPr="00537143">
        <w:rPr>
          <w:szCs w:val="24"/>
        </w:rPr>
        <w:t>niveau absolu de puissance par rapport à 1 milliwatt, exprimé en décibels;</w:t>
      </w:r>
    </w:p>
    <w:p w:rsidR="0031148D" w:rsidRPr="00537143" w:rsidRDefault="0031148D" w:rsidP="006D0ACA">
      <w:pPr>
        <w:pStyle w:val="enumlev1"/>
        <w:tabs>
          <w:tab w:val="left" w:pos="567"/>
        </w:tabs>
        <w:ind w:left="1588" w:hanging="1588"/>
        <w:rPr>
          <w:szCs w:val="24"/>
        </w:rPr>
      </w:pPr>
      <w:r w:rsidRPr="00537143">
        <w:rPr>
          <w:szCs w:val="24"/>
        </w:rPr>
        <w:tab/>
        <w:t>dBm0:</w:t>
      </w:r>
      <w:r w:rsidRPr="00537143">
        <w:rPr>
          <w:szCs w:val="24"/>
        </w:rPr>
        <w:tab/>
        <w:t>niveau absolu de puissance par rapport à 1 milliwatt, exprimé en décibels, rapporté en un point de niveau relatif zéro;</w:t>
      </w:r>
    </w:p>
    <w:p w:rsidR="0031148D" w:rsidRPr="00537143" w:rsidRDefault="0031148D" w:rsidP="006D0ACA">
      <w:pPr>
        <w:pStyle w:val="enumlev1"/>
        <w:tabs>
          <w:tab w:val="left" w:pos="567"/>
        </w:tabs>
        <w:ind w:left="1588" w:hanging="1588"/>
        <w:rPr>
          <w:szCs w:val="24"/>
        </w:rPr>
      </w:pPr>
      <w:r w:rsidRPr="00537143">
        <w:rPr>
          <w:szCs w:val="24"/>
        </w:rPr>
        <w:tab/>
        <w:t>dBm0p:</w:t>
      </w:r>
      <w:r w:rsidRPr="00537143">
        <w:rPr>
          <w:szCs w:val="24"/>
        </w:rPr>
        <w:tab/>
        <w:t>niveau absolu de puissance psophométrique (pondération pour la téléphonie) par rapport à 1 milliwatt, exprimé en décibels, rapporté en un point de niveau relatif zéro;</w:t>
      </w:r>
    </w:p>
    <w:p w:rsidR="0031148D" w:rsidRPr="00537143" w:rsidRDefault="0031148D" w:rsidP="006D0ACA">
      <w:pPr>
        <w:pStyle w:val="enumlev1"/>
        <w:tabs>
          <w:tab w:val="left" w:pos="567"/>
        </w:tabs>
        <w:ind w:left="1588" w:hanging="1588"/>
        <w:rPr>
          <w:szCs w:val="24"/>
        </w:rPr>
      </w:pPr>
      <w:r w:rsidRPr="00537143">
        <w:rPr>
          <w:szCs w:val="24"/>
        </w:rPr>
        <w:tab/>
        <w:t>dBm0s:</w:t>
      </w:r>
      <w:r w:rsidRPr="00537143">
        <w:rPr>
          <w:szCs w:val="24"/>
        </w:rPr>
        <w:tab/>
        <w:t>niveau absolu de puissance par rapport à 1 milliwatt, exprimé en décibels, rapporté en un point de niveau relatif zéro pour une transmission radiophonique;</w:t>
      </w:r>
    </w:p>
    <w:p w:rsidR="0031148D" w:rsidRPr="00537143" w:rsidRDefault="0031148D" w:rsidP="006D0ACA">
      <w:pPr>
        <w:pStyle w:val="enumlev1"/>
        <w:tabs>
          <w:tab w:val="left" w:pos="567"/>
        </w:tabs>
        <w:ind w:left="1588" w:hanging="1588"/>
        <w:rPr>
          <w:szCs w:val="24"/>
        </w:rPr>
      </w:pPr>
      <w:r w:rsidRPr="00537143">
        <w:rPr>
          <w:szCs w:val="24"/>
        </w:rPr>
        <w:tab/>
        <w:t>dBm0ps:</w:t>
      </w:r>
      <w:r w:rsidRPr="00537143">
        <w:rPr>
          <w:szCs w:val="24"/>
        </w:rPr>
        <w:tab/>
        <w:t>niveau absolu de puissance psophométrique (pondération pour une transmission radiophonique) par rapport à 1 milliwatt, exprimé en décibels, rapporté en un point de niveau relatif zéro pour une trans</w:t>
      </w:r>
      <w:r w:rsidRPr="00537143">
        <w:rPr>
          <w:szCs w:val="24"/>
        </w:rPr>
        <w:softHyphen/>
        <w:t>mission radiophonique.</w:t>
      </w:r>
    </w:p>
    <w:p w:rsidR="0031148D" w:rsidRPr="00537143" w:rsidRDefault="0031148D" w:rsidP="0031148D">
      <w:pPr>
        <w:spacing w:before="240"/>
        <w:rPr>
          <w:szCs w:val="24"/>
        </w:rPr>
      </w:pPr>
      <w:r w:rsidRPr="00537143">
        <w:rPr>
          <w:i/>
          <w:szCs w:val="24"/>
        </w:rPr>
        <w:t>Pour le niveau absolu de champ électromagnétique</w:t>
      </w:r>
      <w:r w:rsidRPr="00537143">
        <w:rPr>
          <w:szCs w:val="24"/>
        </w:rPr>
        <w:t xml:space="preserve"> (voir le § 6.7):</w:t>
      </w:r>
    </w:p>
    <w:p w:rsidR="0031148D" w:rsidRPr="00537143" w:rsidRDefault="0031148D" w:rsidP="0031148D">
      <w:pPr>
        <w:pStyle w:val="enumlev1"/>
        <w:tabs>
          <w:tab w:val="left" w:pos="567"/>
        </w:tabs>
        <w:ind w:left="1871" w:hanging="1871"/>
        <w:rPr>
          <w:szCs w:val="24"/>
        </w:rPr>
      </w:pPr>
      <w:r w:rsidRPr="00537143">
        <w:rPr>
          <w:szCs w:val="24"/>
        </w:rPr>
        <w:tab/>
        <w:t>dB</w:t>
      </w:r>
      <w:r w:rsidRPr="00537143">
        <w:rPr>
          <w:rFonts w:ascii="Symbol" w:hAnsi="Symbol"/>
          <w:szCs w:val="24"/>
        </w:rPr>
        <w:t></w:t>
      </w:r>
      <w:r w:rsidRPr="00537143">
        <w:rPr>
          <w:szCs w:val="24"/>
        </w:rPr>
        <w:t xml:space="preserve"> ou dBu:</w:t>
      </w:r>
      <w:r w:rsidRPr="00537143">
        <w:rPr>
          <w:szCs w:val="24"/>
        </w:rPr>
        <w:tab/>
        <w:t xml:space="preserve">niveau absolu de champ électromagnétique par rapport à 1 </w:t>
      </w:r>
      <w:r w:rsidRPr="00537143">
        <w:rPr>
          <w:rFonts w:ascii="Symbol" w:hAnsi="Symbol"/>
          <w:szCs w:val="24"/>
        </w:rPr>
        <w:t></w:t>
      </w:r>
      <w:r w:rsidRPr="00537143">
        <w:rPr>
          <w:szCs w:val="24"/>
        </w:rPr>
        <w:t>V/m, exprimé en décibels.</w:t>
      </w:r>
    </w:p>
    <w:p w:rsidR="0031148D" w:rsidRPr="00537143" w:rsidRDefault="0031148D" w:rsidP="0031148D">
      <w:pPr>
        <w:spacing w:before="240"/>
        <w:rPr>
          <w:szCs w:val="24"/>
        </w:rPr>
      </w:pPr>
      <w:r w:rsidRPr="00537143">
        <w:rPr>
          <w:i/>
          <w:szCs w:val="24"/>
        </w:rPr>
        <w:t>Pour le niveau absolu de tension, y compris le niveau de bruit en audiofréquence</w:t>
      </w:r>
      <w:r w:rsidRPr="00537143">
        <w:rPr>
          <w:szCs w:val="24"/>
        </w:rPr>
        <w:t xml:space="preserve"> (voir le § 6.6):</w:t>
      </w:r>
    </w:p>
    <w:p w:rsidR="0031148D" w:rsidRPr="00537143" w:rsidRDefault="0031148D" w:rsidP="0031148D">
      <w:pPr>
        <w:pStyle w:val="enumlev1"/>
        <w:tabs>
          <w:tab w:val="left" w:pos="567"/>
        </w:tabs>
        <w:rPr>
          <w:szCs w:val="24"/>
        </w:rPr>
      </w:pPr>
      <w:r w:rsidRPr="00537143">
        <w:rPr>
          <w:szCs w:val="24"/>
        </w:rPr>
        <w:tab/>
        <w:t>dBu:</w:t>
      </w:r>
      <w:r w:rsidRPr="00537143">
        <w:rPr>
          <w:szCs w:val="24"/>
        </w:rPr>
        <w:tab/>
      </w:r>
      <w:r>
        <w:rPr>
          <w:szCs w:val="24"/>
        </w:rPr>
        <w:tab/>
      </w:r>
      <w:r w:rsidRPr="00537143">
        <w:rPr>
          <w:szCs w:val="24"/>
        </w:rPr>
        <w:t>niveau absolu de tension par rapport à 0,775 V.</w:t>
      </w:r>
    </w:p>
    <w:p w:rsidR="0031148D" w:rsidRPr="00537143" w:rsidRDefault="0031148D" w:rsidP="0031148D">
      <w:pPr>
        <w:pStyle w:val="enumlev1"/>
        <w:tabs>
          <w:tab w:val="left" w:pos="567"/>
        </w:tabs>
        <w:ind w:left="1871" w:hanging="1871"/>
        <w:rPr>
          <w:szCs w:val="24"/>
        </w:rPr>
      </w:pPr>
      <w:r w:rsidRPr="00537143">
        <w:rPr>
          <w:szCs w:val="24"/>
        </w:rPr>
        <w:tab/>
        <w:t>dBu0:</w:t>
      </w:r>
      <w:r w:rsidRPr="00537143">
        <w:rPr>
          <w:szCs w:val="24"/>
        </w:rPr>
        <w:tab/>
      </w:r>
      <w:r w:rsidR="006D0ACA">
        <w:rPr>
          <w:szCs w:val="24"/>
        </w:rPr>
        <w:tab/>
      </w:r>
      <w:r w:rsidRPr="00537143">
        <w:rPr>
          <w:szCs w:val="24"/>
        </w:rPr>
        <w:t>niveau absolu de tension par rapport à 0,775 V, rapporté en un point de niveau relatif zéro.</w:t>
      </w:r>
    </w:p>
    <w:p w:rsidR="0031148D" w:rsidRPr="00537143" w:rsidRDefault="0031148D" w:rsidP="006D0ACA">
      <w:pPr>
        <w:pStyle w:val="enumlev1"/>
        <w:tabs>
          <w:tab w:val="left" w:pos="567"/>
        </w:tabs>
        <w:ind w:left="1588" w:hanging="1588"/>
        <w:rPr>
          <w:szCs w:val="24"/>
        </w:rPr>
      </w:pPr>
      <w:r w:rsidRPr="00537143">
        <w:rPr>
          <w:szCs w:val="24"/>
        </w:rPr>
        <w:tab/>
        <w:t>dBu0s:</w:t>
      </w:r>
      <w:r w:rsidRPr="00537143">
        <w:rPr>
          <w:szCs w:val="24"/>
        </w:rPr>
        <w:tab/>
        <w:t>niveau absolu de tension par rapport à 0,775 V rapporté en un point</w:t>
      </w:r>
      <w:r w:rsidR="006D0ACA">
        <w:rPr>
          <w:szCs w:val="24"/>
        </w:rPr>
        <w:t xml:space="preserve"> de niveau zéro, dans une trans</w:t>
      </w:r>
      <w:r w:rsidRPr="00537143">
        <w:rPr>
          <w:szCs w:val="24"/>
        </w:rPr>
        <w:t>mission radiophonique.</w:t>
      </w:r>
    </w:p>
    <w:p w:rsidR="0031148D" w:rsidRPr="00537143" w:rsidRDefault="0031148D" w:rsidP="006D0ACA">
      <w:pPr>
        <w:pStyle w:val="enumlev1"/>
        <w:tabs>
          <w:tab w:val="left" w:pos="567"/>
        </w:tabs>
        <w:ind w:left="1588" w:hanging="1588"/>
        <w:rPr>
          <w:szCs w:val="24"/>
        </w:rPr>
      </w:pPr>
      <w:r w:rsidRPr="00537143">
        <w:rPr>
          <w:szCs w:val="24"/>
        </w:rPr>
        <w:tab/>
        <w:t>dBq:</w:t>
      </w:r>
      <w:r w:rsidRPr="00537143">
        <w:rPr>
          <w:szCs w:val="24"/>
        </w:rPr>
        <w:tab/>
      </w:r>
      <w:r>
        <w:rPr>
          <w:szCs w:val="24"/>
        </w:rPr>
        <w:tab/>
      </w:r>
      <w:r w:rsidRPr="00537143">
        <w:rPr>
          <w:szCs w:val="24"/>
        </w:rPr>
        <w:t>niveau absolu de tension de bruit par rapport à 0,775 V.</w:t>
      </w:r>
    </w:p>
    <w:p w:rsidR="0031148D" w:rsidRPr="00537143" w:rsidRDefault="0031148D" w:rsidP="006D0ACA">
      <w:pPr>
        <w:pStyle w:val="enumlev1"/>
        <w:tabs>
          <w:tab w:val="left" w:pos="567"/>
        </w:tabs>
        <w:ind w:left="1588" w:hanging="1588"/>
        <w:rPr>
          <w:szCs w:val="24"/>
        </w:rPr>
      </w:pPr>
      <w:r w:rsidRPr="00537143">
        <w:rPr>
          <w:szCs w:val="24"/>
        </w:rPr>
        <w:tab/>
        <w:t>dBqps:</w:t>
      </w:r>
      <w:r w:rsidRPr="00537143">
        <w:rPr>
          <w:szCs w:val="24"/>
        </w:rPr>
        <w:tab/>
        <w:t>niveau absolu de tension pondérée dans une transmission radiophonique.</w:t>
      </w:r>
    </w:p>
    <w:p w:rsidR="0031148D" w:rsidRPr="00537143" w:rsidRDefault="0031148D" w:rsidP="006D0ACA">
      <w:pPr>
        <w:pStyle w:val="enumlev1"/>
        <w:tabs>
          <w:tab w:val="left" w:pos="567"/>
        </w:tabs>
        <w:ind w:left="1588" w:hanging="1588"/>
        <w:rPr>
          <w:szCs w:val="24"/>
        </w:rPr>
      </w:pPr>
      <w:r w:rsidRPr="00537143">
        <w:rPr>
          <w:szCs w:val="24"/>
        </w:rPr>
        <w:tab/>
        <w:t>dBq0ps:</w:t>
      </w:r>
      <w:r w:rsidRPr="00537143">
        <w:rPr>
          <w:szCs w:val="24"/>
        </w:rPr>
        <w:tab/>
        <w:t>niveau absolu de tension pondérée par rapport à 0,0775 V et rapporté en un point de niveau relatif zéro, dans une transmission radiophonique.</w:t>
      </w:r>
    </w:p>
    <w:p w:rsidR="0031148D" w:rsidRPr="00537143" w:rsidRDefault="0031148D" w:rsidP="006D0ACA">
      <w:pPr>
        <w:pStyle w:val="enumlev1"/>
        <w:tabs>
          <w:tab w:val="left" w:pos="567"/>
        </w:tabs>
        <w:ind w:left="1588" w:hanging="1588"/>
        <w:rPr>
          <w:szCs w:val="24"/>
        </w:rPr>
      </w:pPr>
      <w:r w:rsidRPr="00537143">
        <w:rPr>
          <w:szCs w:val="24"/>
        </w:rPr>
        <w:tab/>
        <w:t>dBq0s:</w:t>
      </w:r>
      <w:r w:rsidRPr="00537143">
        <w:rPr>
          <w:szCs w:val="24"/>
        </w:rPr>
        <w:tab/>
        <w:t>niveau absolu de tension non pondérée par rapport à 0,775 V et rapporté en un point de niveau relatif zéro dans une transmission radiophonique.</w:t>
      </w:r>
    </w:p>
    <w:p w:rsidR="0031148D" w:rsidRPr="00537143" w:rsidRDefault="0031148D" w:rsidP="0031148D">
      <w:pPr>
        <w:spacing w:before="240"/>
        <w:rPr>
          <w:szCs w:val="24"/>
        </w:rPr>
      </w:pPr>
      <w:r w:rsidRPr="00537143">
        <w:rPr>
          <w:i/>
          <w:szCs w:val="24"/>
        </w:rPr>
        <w:lastRenderedPageBreak/>
        <w:t>Pour le niveau relatif de puissance</w:t>
      </w:r>
      <w:r w:rsidRPr="00537143">
        <w:rPr>
          <w:szCs w:val="24"/>
        </w:rPr>
        <w:t xml:space="preserve"> (voir le § 6.2):</w:t>
      </w:r>
    </w:p>
    <w:p w:rsidR="0031148D" w:rsidRPr="00537143" w:rsidRDefault="0031148D" w:rsidP="0031148D">
      <w:pPr>
        <w:pStyle w:val="enumlev1"/>
        <w:tabs>
          <w:tab w:val="left" w:pos="567"/>
        </w:tabs>
        <w:rPr>
          <w:szCs w:val="24"/>
        </w:rPr>
      </w:pPr>
      <w:r w:rsidRPr="00537143">
        <w:rPr>
          <w:szCs w:val="24"/>
        </w:rPr>
        <w:tab/>
        <w:t>dBr.</w:t>
      </w:r>
    </w:p>
    <w:p w:rsidR="0031148D" w:rsidRPr="00537143" w:rsidRDefault="0031148D" w:rsidP="0031148D">
      <w:pPr>
        <w:spacing w:before="240"/>
        <w:rPr>
          <w:szCs w:val="24"/>
        </w:rPr>
      </w:pPr>
      <w:r w:rsidRPr="00537143">
        <w:rPr>
          <w:i/>
          <w:szCs w:val="24"/>
        </w:rPr>
        <w:t xml:space="preserve">Pour le niveau relatif de tension en radiofréquence </w:t>
      </w:r>
      <w:r w:rsidRPr="00537143">
        <w:rPr>
          <w:szCs w:val="24"/>
        </w:rPr>
        <w:t>(voir le § 6.6):</w:t>
      </w:r>
    </w:p>
    <w:p w:rsidR="0031148D" w:rsidRPr="00537143" w:rsidRDefault="0031148D" w:rsidP="006D0ACA">
      <w:pPr>
        <w:pStyle w:val="enumlev1"/>
        <w:tabs>
          <w:tab w:val="left" w:pos="567"/>
        </w:tabs>
        <w:ind w:left="1588" w:hanging="1588"/>
        <w:rPr>
          <w:szCs w:val="24"/>
        </w:rPr>
      </w:pPr>
      <w:r w:rsidRPr="00537143">
        <w:rPr>
          <w:szCs w:val="24"/>
        </w:rPr>
        <w:tab/>
        <w:t>dBrs:</w:t>
      </w:r>
      <w:r w:rsidRPr="00537143">
        <w:rPr>
          <w:szCs w:val="24"/>
        </w:rPr>
        <w:tab/>
      </w:r>
      <w:r w:rsidR="006D0ACA">
        <w:rPr>
          <w:szCs w:val="24"/>
        </w:rPr>
        <w:tab/>
      </w:r>
      <w:r w:rsidRPr="00537143">
        <w:rPr>
          <w:szCs w:val="24"/>
        </w:rPr>
        <w:t>niveau relatif de tension exprimé en décibels rapporté en un autre point pour une transmission radiophonique.</w:t>
      </w:r>
    </w:p>
    <w:p w:rsidR="0031148D" w:rsidRPr="00537143" w:rsidRDefault="0031148D" w:rsidP="0031148D">
      <w:pPr>
        <w:spacing w:before="240"/>
        <w:rPr>
          <w:szCs w:val="24"/>
        </w:rPr>
      </w:pPr>
      <w:r w:rsidRPr="00537143">
        <w:rPr>
          <w:i/>
          <w:szCs w:val="24"/>
        </w:rPr>
        <w:t xml:space="preserve">Pour le niveau absolu de pression acoustique </w:t>
      </w:r>
      <w:r w:rsidRPr="00537143">
        <w:rPr>
          <w:iCs/>
          <w:szCs w:val="24"/>
        </w:rPr>
        <w:t>(voir le § 6.8):</w:t>
      </w:r>
    </w:p>
    <w:p w:rsidR="0031148D" w:rsidRPr="00537143" w:rsidRDefault="0031148D" w:rsidP="0031148D">
      <w:pPr>
        <w:pStyle w:val="enumlev1"/>
        <w:tabs>
          <w:tab w:val="left" w:pos="567"/>
        </w:tabs>
        <w:ind w:left="2608" w:hanging="2608"/>
        <w:rPr>
          <w:szCs w:val="24"/>
        </w:rPr>
      </w:pPr>
      <w:r w:rsidRPr="00537143">
        <w:rPr>
          <w:szCs w:val="24"/>
        </w:rPr>
        <w:tab/>
        <w:t>dBA, dBB ou dBC:</w:t>
      </w:r>
      <w:r w:rsidRPr="00537143">
        <w:rPr>
          <w:szCs w:val="24"/>
        </w:rPr>
        <w:tab/>
        <w:t>niveau de pression acoustique pondérée, par référence au niveau 20 </w:t>
      </w:r>
      <w:r w:rsidRPr="00537143">
        <w:rPr>
          <w:rFonts w:ascii="Symbol" w:hAnsi="Symbol"/>
          <w:szCs w:val="24"/>
        </w:rPr>
        <w:t></w:t>
      </w:r>
      <w:r w:rsidRPr="00537143">
        <w:rPr>
          <w:szCs w:val="24"/>
        </w:rPr>
        <w:t>Pa, avec indication de la courbe de pondération utilisée (courbes A, B ou C, voir la Norme internationale CEI 61672).</w:t>
      </w:r>
    </w:p>
    <w:p w:rsidR="0031148D" w:rsidRPr="00537143" w:rsidRDefault="0031148D" w:rsidP="0031148D">
      <w:pPr>
        <w:spacing w:before="240"/>
        <w:rPr>
          <w:szCs w:val="24"/>
        </w:rPr>
      </w:pPr>
      <w:r w:rsidRPr="00537143">
        <w:rPr>
          <w:i/>
          <w:szCs w:val="24"/>
        </w:rPr>
        <w:t xml:space="preserve">Pour le gain d'antenne </w:t>
      </w:r>
      <w:r w:rsidRPr="00537143">
        <w:rPr>
          <w:iCs/>
          <w:szCs w:val="24"/>
        </w:rPr>
        <w:t>(voir le § 5.2):</w:t>
      </w:r>
    </w:p>
    <w:p w:rsidR="0031148D" w:rsidRPr="00537143" w:rsidRDefault="0031148D" w:rsidP="0031148D">
      <w:pPr>
        <w:pStyle w:val="enumlev1"/>
        <w:tabs>
          <w:tab w:val="left" w:pos="567"/>
        </w:tabs>
        <w:rPr>
          <w:szCs w:val="24"/>
        </w:rPr>
      </w:pPr>
      <w:r w:rsidRPr="00537143">
        <w:rPr>
          <w:szCs w:val="24"/>
        </w:rPr>
        <w:tab/>
        <w:t>dBi:</w:t>
      </w:r>
      <w:r w:rsidRPr="00537143">
        <w:rPr>
          <w:szCs w:val="24"/>
        </w:rPr>
        <w:tab/>
      </w:r>
      <w:r>
        <w:rPr>
          <w:szCs w:val="24"/>
        </w:rPr>
        <w:tab/>
      </w:r>
      <w:r w:rsidRPr="00537143">
        <w:rPr>
          <w:szCs w:val="24"/>
        </w:rPr>
        <w:t>gain par rapport à l'antenne isotrope.</w:t>
      </w:r>
    </w:p>
    <w:p w:rsidR="0031148D" w:rsidRPr="00537143" w:rsidRDefault="0031148D" w:rsidP="0031148D">
      <w:pPr>
        <w:pStyle w:val="enumlev1"/>
        <w:tabs>
          <w:tab w:val="left" w:pos="567"/>
        </w:tabs>
        <w:rPr>
          <w:szCs w:val="24"/>
        </w:rPr>
      </w:pPr>
      <w:r w:rsidRPr="00537143">
        <w:rPr>
          <w:szCs w:val="24"/>
        </w:rPr>
        <w:tab/>
        <w:t>dBd:</w:t>
      </w:r>
      <w:r w:rsidRPr="00537143">
        <w:rPr>
          <w:szCs w:val="24"/>
        </w:rPr>
        <w:tab/>
      </w:r>
      <w:r>
        <w:rPr>
          <w:szCs w:val="24"/>
        </w:rPr>
        <w:tab/>
      </w:r>
      <w:r w:rsidRPr="00537143">
        <w:rPr>
          <w:szCs w:val="24"/>
        </w:rPr>
        <w:t xml:space="preserve">gain </w:t>
      </w:r>
      <w:r w:rsidRPr="00537143">
        <w:rPr>
          <w:iCs/>
          <w:szCs w:val="24"/>
        </w:rPr>
        <w:t>par rapport à un doublet demi-onde.</w:t>
      </w:r>
    </w:p>
    <w:p w:rsidR="0031148D" w:rsidRPr="00537143" w:rsidRDefault="0031148D" w:rsidP="0031148D">
      <w:r w:rsidRPr="00537143">
        <w:t>On trouvera dans la Pièce jointe 1 le principe de la notation recommandée par la CEI pour exprimer le niveau d'une grandeur par rapport à une référence spécifiée. Les notations utilisées dans la présente Recommandation constituent une application de ce principe.</w:t>
      </w:r>
    </w:p>
    <w:p w:rsidR="0031148D" w:rsidRDefault="0031148D" w:rsidP="0031148D">
      <w:pPr>
        <w:pStyle w:val="Appendix"/>
        <w:spacing w:before="360"/>
        <w:rPr>
          <w:szCs w:val="24"/>
        </w:rPr>
      </w:pPr>
      <w:bookmarkStart w:id="42" w:name="_Toc122852812"/>
      <w:r>
        <w:rPr>
          <w:szCs w:val="24"/>
        </w:rPr>
        <w:br w:type="page"/>
      </w:r>
    </w:p>
    <w:p w:rsidR="0031148D" w:rsidRPr="00A94833" w:rsidRDefault="0031148D" w:rsidP="0031148D">
      <w:pPr>
        <w:pStyle w:val="Annextitle"/>
        <w:spacing w:after="120"/>
        <w:rPr>
          <w:szCs w:val="28"/>
        </w:rPr>
      </w:pPr>
      <w:r w:rsidRPr="00537143">
        <w:lastRenderedPageBreak/>
        <w:t>Pièce jointe 1</w:t>
      </w:r>
      <w:bookmarkStart w:id="43" w:name="_Toc122852813"/>
      <w:bookmarkEnd w:id="42"/>
      <w:r>
        <w:br/>
      </w:r>
      <w:r>
        <w:br/>
      </w:r>
      <w:r w:rsidRPr="00A94833">
        <w:rPr>
          <w:szCs w:val="28"/>
        </w:rPr>
        <w:t>Notation pour exprimer la référence d'un niveau</w:t>
      </w:r>
      <w:bookmarkEnd w:id="43"/>
    </w:p>
    <w:p w:rsidR="0031148D" w:rsidRPr="00537143" w:rsidRDefault="0031148D" w:rsidP="0031148D">
      <w:pPr>
        <w:pStyle w:val="AppendixRef0"/>
        <w:rPr>
          <w:szCs w:val="24"/>
        </w:rPr>
      </w:pPr>
      <w:r w:rsidRPr="00537143">
        <w:rPr>
          <w:szCs w:val="24"/>
        </w:rPr>
        <w:t>(Partie 5 de la Norme internationale CEI 60027-3)</w:t>
      </w:r>
    </w:p>
    <w:p w:rsidR="0031148D" w:rsidRPr="00537143" w:rsidRDefault="0031148D" w:rsidP="00ED5A4B">
      <w:pPr>
        <w:pStyle w:val="Normalaftertitle0"/>
        <w:spacing w:before="360"/>
        <w:rPr>
          <w:position w:val="-2"/>
          <w:szCs w:val="24"/>
        </w:rPr>
      </w:pPr>
      <w:r w:rsidRPr="00537143">
        <w:rPr>
          <w:szCs w:val="24"/>
        </w:rPr>
        <w:t>Un niveau représentant la grandeur</w:t>
      </w:r>
      <w:r w:rsidRPr="00537143">
        <w:rPr>
          <w:i/>
          <w:szCs w:val="24"/>
        </w:rPr>
        <w:t xml:space="preserve"> x</w:t>
      </w:r>
      <w:r w:rsidRPr="00537143">
        <w:rPr>
          <w:szCs w:val="24"/>
        </w:rPr>
        <w:t xml:space="preserve"> avec la grandeur de référence</w:t>
      </w:r>
      <w:r w:rsidRPr="00537143">
        <w:rPr>
          <w:i/>
          <w:szCs w:val="24"/>
        </w:rPr>
        <w:t xml:space="preserve"> </w:t>
      </w:r>
      <w:r w:rsidR="00ED5A4B">
        <w:rPr>
          <w:i/>
        </w:rPr>
        <w:t>x</w:t>
      </w:r>
      <w:r w:rsidR="00ED5A4B">
        <w:rPr>
          <w:i/>
          <w:position w:val="-4"/>
          <w:sz w:val="16"/>
        </w:rPr>
        <w:t>réf</w:t>
      </w:r>
      <w:r w:rsidR="00ED5A4B">
        <w:rPr>
          <w:position w:val="-2"/>
        </w:rPr>
        <w:t xml:space="preserve"> </w:t>
      </w:r>
      <w:r w:rsidRPr="00537143">
        <w:rPr>
          <w:rFonts w:ascii="Tms Rmn" w:hAnsi="Tms Rmn"/>
          <w:iCs/>
          <w:szCs w:val="24"/>
        </w:rPr>
        <w:t> </w:t>
      </w:r>
      <w:r w:rsidRPr="00537143">
        <w:rPr>
          <w:position w:val="-2"/>
          <w:szCs w:val="24"/>
        </w:rPr>
        <w:t>peut être indiqué par:</w:t>
      </w:r>
    </w:p>
    <w:p w:rsidR="0031148D" w:rsidRPr="00537143" w:rsidRDefault="0031148D" w:rsidP="00ED5A4B">
      <w:pPr>
        <w:pStyle w:val="enumlev1"/>
        <w:jc w:val="center"/>
        <w:rPr>
          <w:iCs/>
          <w:position w:val="-2"/>
          <w:szCs w:val="24"/>
        </w:rPr>
      </w:pPr>
      <w:r w:rsidRPr="00537143">
        <w:rPr>
          <w:i/>
          <w:szCs w:val="24"/>
        </w:rPr>
        <w:t>L</w:t>
      </w:r>
      <w:r w:rsidR="00ED5A4B" w:rsidRPr="00ED5A4B">
        <w:rPr>
          <w:i/>
          <w:szCs w:val="24"/>
          <w:vertAlign w:val="subscript"/>
        </w:rPr>
        <w:t>x</w:t>
      </w:r>
      <w:r w:rsidRPr="00537143">
        <w:rPr>
          <w:szCs w:val="24"/>
        </w:rPr>
        <w:t xml:space="preserve"> (par rapport à</w:t>
      </w:r>
      <w:r w:rsidRPr="00537143">
        <w:rPr>
          <w:i/>
          <w:szCs w:val="24"/>
        </w:rPr>
        <w:t xml:space="preserve"> x</w:t>
      </w:r>
      <w:r w:rsidR="00ED5A4B">
        <w:rPr>
          <w:i/>
          <w:position w:val="-4"/>
          <w:sz w:val="16"/>
        </w:rPr>
        <w:t>réf</w:t>
      </w:r>
      <w:r w:rsidRPr="00537143">
        <w:rPr>
          <w:rFonts w:ascii="Tms Rmn" w:hAnsi="Tms Rmn"/>
          <w:iCs/>
          <w:szCs w:val="24"/>
        </w:rPr>
        <w:t>  </w:t>
      </w:r>
      <w:r w:rsidRPr="00537143">
        <w:rPr>
          <w:position w:val="-2"/>
          <w:szCs w:val="24"/>
        </w:rPr>
        <w:t>) ou par</w:t>
      </w:r>
      <w:r w:rsidRPr="00537143">
        <w:rPr>
          <w:i/>
          <w:position w:val="-2"/>
          <w:szCs w:val="24"/>
        </w:rPr>
        <w:t xml:space="preserve"> </w:t>
      </w:r>
      <w:r w:rsidRPr="00537143">
        <w:rPr>
          <w:i/>
          <w:szCs w:val="24"/>
        </w:rPr>
        <w:t>L</w:t>
      </w:r>
      <w:r w:rsidR="00ED5A4B" w:rsidRPr="00ED5A4B">
        <w:rPr>
          <w:i/>
          <w:szCs w:val="24"/>
          <w:vertAlign w:val="subscript"/>
        </w:rPr>
        <w:t>x</w:t>
      </w:r>
      <w:r w:rsidRPr="00537143">
        <w:rPr>
          <w:rFonts w:ascii="Tms Rmn" w:hAnsi="Tms Rmn"/>
          <w:iCs/>
          <w:szCs w:val="24"/>
        </w:rPr>
        <w:t> </w:t>
      </w:r>
      <w:r w:rsidRPr="00537143">
        <w:rPr>
          <w:szCs w:val="24"/>
        </w:rPr>
        <w:t>/</w:t>
      </w:r>
      <w:r w:rsidRPr="00537143">
        <w:rPr>
          <w:rFonts w:ascii="Tms Rmn" w:hAnsi="Tms Rmn"/>
          <w:szCs w:val="24"/>
        </w:rPr>
        <w:t> </w:t>
      </w:r>
      <w:r w:rsidRPr="00537143">
        <w:rPr>
          <w:i/>
          <w:szCs w:val="24"/>
        </w:rPr>
        <w:t>x</w:t>
      </w:r>
      <w:r w:rsidR="00ED5A4B">
        <w:rPr>
          <w:i/>
          <w:position w:val="-4"/>
          <w:sz w:val="16"/>
        </w:rPr>
        <w:t>réf</w:t>
      </w:r>
    </w:p>
    <w:p w:rsidR="0031148D" w:rsidRPr="00537143" w:rsidRDefault="0031148D" w:rsidP="0031148D">
      <w:pPr>
        <w:rPr>
          <w:szCs w:val="24"/>
        </w:rPr>
      </w:pPr>
      <w:r w:rsidRPr="00537143">
        <w:rPr>
          <w:szCs w:val="24"/>
        </w:rPr>
        <w:t>Exemples:</w:t>
      </w:r>
    </w:p>
    <w:p w:rsidR="0031148D" w:rsidRPr="00537143" w:rsidRDefault="0031148D" w:rsidP="0031148D">
      <w:pPr>
        <w:rPr>
          <w:position w:val="-2"/>
          <w:szCs w:val="24"/>
        </w:rPr>
      </w:pPr>
      <w:r w:rsidRPr="00537143">
        <w:rPr>
          <w:position w:val="-2"/>
          <w:szCs w:val="24"/>
        </w:rPr>
        <w:t xml:space="preserve">Pour exprimer qu'un certain niveau de pression acoustique est de 15 dB au-dessus du niveau correspondant à la pression de référence de 20 </w:t>
      </w:r>
      <w:r w:rsidRPr="00537143">
        <w:rPr>
          <w:rFonts w:ascii="Symbol" w:hAnsi="Symbol"/>
          <w:position w:val="-2"/>
          <w:szCs w:val="24"/>
        </w:rPr>
        <w:t></w:t>
      </w:r>
      <w:r w:rsidRPr="00537143">
        <w:rPr>
          <w:position w:val="-2"/>
          <w:szCs w:val="24"/>
        </w:rPr>
        <w:t>Pa, on peut écrire:</w:t>
      </w:r>
    </w:p>
    <w:p w:rsidR="0031148D" w:rsidRPr="00537143" w:rsidRDefault="00ED5A4B" w:rsidP="00ED5A4B">
      <w:pPr>
        <w:pStyle w:val="Equation"/>
        <w:spacing w:before="240"/>
        <w:jc w:val="center"/>
        <w:rPr>
          <w:szCs w:val="24"/>
        </w:rPr>
      </w:pPr>
      <w:r w:rsidRPr="00ED5A4B">
        <w:rPr>
          <w:i/>
        </w:rPr>
        <w:t>L</w:t>
      </w:r>
      <w:r w:rsidRPr="00ED5A4B">
        <w:rPr>
          <w:i/>
          <w:iCs/>
          <w:position w:val="-4"/>
          <w:sz w:val="18"/>
        </w:rPr>
        <w:t>p</w:t>
      </w:r>
      <w:r w:rsidRPr="00ED5A4B">
        <w:t xml:space="preserve"> (re 20 </w:t>
      </w:r>
      <w:r>
        <w:rPr>
          <w:rFonts w:ascii="Symbol" w:hAnsi="Symbol"/>
        </w:rPr>
        <w:t></w:t>
      </w:r>
      <w:r w:rsidRPr="00ED5A4B">
        <w:t>Pa)</w:t>
      </w:r>
      <w:r w:rsidR="0031148D" w:rsidRPr="00537143">
        <w:rPr>
          <w:szCs w:val="24"/>
        </w:rPr>
        <w:t>  </w:t>
      </w:r>
      <w:r w:rsidR="0031148D" w:rsidRPr="00537143">
        <w:rPr>
          <w:rFonts w:ascii="Symbol" w:hAnsi="Symbol"/>
          <w:szCs w:val="24"/>
        </w:rPr>
        <w:t></w:t>
      </w:r>
      <w:r w:rsidR="0031148D" w:rsidRPr="00537143">
        <w:rPr>
          <w:szCs w:val="24"/>
        </w:rPr>
        <w:t>  15 dB         ou         </w:t>
      </w:r>
      <w:r w:rsidRPr="00ED5A4B">
        <w:rPr>
          <w:i/>
        </w:rPr>
        <w:t>L</w:t>
      </w:r>
      <w:r w:rsidRPr="00ED5A4B">
        <w:rPr>
          <w:i/>
          <w:iCs/>
          <w:position w:val="-4"/>
          <w:sz w:val="18"/>
        </w:rPr>
        <w:t>p</w:t>
      </w:r>
      <w:r w:rsidRPr="00ED5A4B">
        <w:rPr>
          <w:rFonts w:ascii="Tms Rmn" w:hAnsi="Tms Rmn"/>
          <w:position w:val="-4"/>
          <w:sz w:val="4"/>
        </w:rPr>
        <w:t> </w:t>
      </w:r>
      <w:r w:rsidRPr="00ED5A4B">
        <w:rPr>
          <w:position w:val="-4"/>
          <w:sz w:val="18"/>
        </w:rPr>
        <w:t>/</w:t>
      </w:r>
      <w:r w:rsidRPr="00ED5A4B">
        <w:rPr>
          <w:rFonts w:ascii="Tms Rmn" w:hAnsi="Tms Rmn"/>
          <w:position w:val="-4"/>
          <w:sz w:val="4"/>
        </w:rPr>
        <w:t> </w:t>
      </w:r>
      <w:r w:rsidRPr="00ED5A4B">
        <w:rPr>
          <w:position w:val="-4"/>
          <w:sz w:val="18"/>
        </w:rPr>
        <w:t xml:space="preserve">20 </w:t>
      </w:r>
      <w:r>
        <w:rPr>
          <w:rFonts w:ascii="Symbol" w:hAnsi="Symbol"/>
          <w:position w:val="-4"/>
          <w:sz w:val="18"/>
        </w:rPr>
        <w:t></w:t>
      </w:r>
      <w:r w:rsidRPr="00ED5A4B">
        <w:rPr>
          <w:position w:val="-4"/>
          <w:sz w:val="18"/>
        </w:rPr>
        <w:t>Pa</w:t>
      </w:r>
      <w:r w:rsidRPr="00ED5A4B">
        <w:t>  </w:t>
      </w:r>
      <w:r w:rsidRPr="00537143">
        <w:rPr>
          <w:rFonts w:ascii="Symbol" w:hAnsi="Symbol"/>
          <w:szCs w:val="24"/>
        </w:rPr>
        <w:t></w:t>
      </w:r>
      <w:r w:rsidR="0031148D" w:rsidRPr="00537143">
        <w:rPr>
          <w:rFonts w:ascii="Symbol" w:hAnsi="Symbol"/>
          <w:szCs w:val="24"/>
        </w:rPr>
        <w:t></w:t>
      </w:r>
      <w:r w:rsidR="0031148D" w:rsidRPr="00537143">
        <w:rPr>
          <w:szCs w:val="24"/>
        </w:rPr>
        <w:t>  15 dB</w:t>
      </w:r>
    </w:p>
    <w:p w:rsidR="0031148D" w:rsidRPr="00537143" w:rsidRDefault="0031148D" w:rsidP="0031148D">
      <w:pPr>
        <w:rPr>
          <w:position w:val="-2"/>
          <w:szCs w:val="24"/>
        </w:rPr>
      </w:pPr>
      <w:r w:rsidRPr="00537143">
        <w:rPr>
          <w:position w:val="-2"/>
          <w:szCs w:val="24"/>
        </w:rPr>
        <w:t>Pour exprimer qu'un niveau de courant est de 10 Np au-dessous d'un ampère, on peut écrire:</w:t>
      </w:r>
    </w:p>
    <w:p w:rsidR="0031148D" w:rsidRPr="00537143" w:rsidRDefault="0031148D" w:rsidP="00ED5A4B">
      <w:pPr>
        <w:pStyle w:val="enumlev1"/>
        <w:spacing w:before="240"/>
        <w:ind w:left="0" w:firstLine="0"/>
        <w:jc w:val="center"/>
        <w:rPr>
          <w:szCs w:val="24"/>
        </w:rPr>
      </w:pPr>
      <w:r w:rsidRPr="00537143">
        <w:rPr>
          <w:i/>
          <w:szCs w:val="24"/>
        </w:rPr>
        <w:t>L</w:t>
      </w:r>
      <w:r w:rsidR="00ED5A4B" w:rsidRPr="00ED5A4B">
        <w:rPr>
          <w:i/>
          <w:szCs w:val="24"/>
          <w:vertAlign w:val="subscript"/>
        </w:rPr>
        <w:t>I</w:t>
      </w:r>
      <w:r w:rsidRPr="00537143">
        <w:rPr>
          <w:szCs w:val="24"/>
        </w:rPr>
        <w:t xml:space="preserve"> (par rapport à 1 A) </w:t>
      </w:r>
      <w:r w:rsidRPr="00537143">
        <w:rPr>
          <w:rFonts w:ascii="Symbol" w:hAnsi="Symbol"/>
          <w:szCs w:val="24"/>
        </w:rPr>
        <w:t></w:t>
      </w:r>
      <w:r w:rsidRPr="00537143">
        <w:rPr>
          <w:szCs w:val="24"/>
        </w:rPr>
        <w:t xml:space="preserve"> –10 Np.</w:t>
      </w:r>
    </w:p>
    <w:p w:rsidR="0031148D" w:rsidRPr="00537143" w:rsidRDefault="0031148D" w:rsidP="0031148D">
      <w:pPr>
        <w:rPr>
          <w:szCs w:val="24"/>
        </w:rPr>
      </w:pPr>
      <w:r w:rsidRPr="00537143">
        <w:rPr>
          <w:szCs w:val="24"/>
        </w:rPr>
        <w:t>Pour exprimer qu'un certain niveau de puissance est de 7 dB au-dessus d'un milliwatt, on peut écrire:</w:t>
      </w:r>
    </w:p>
    <w:p w:rsidR="0031148D" w:rsidRPr="00537143" w:rsidRDefault="0031148D" w:rsidP="00ED5A4B">
      <w:pPr>
        <w:pStyle w:val="enumlev1"/>
        <w:spacing w:before="240"/>
        <w:ind w:left="0" w:firstLine="0"/>
        <w:jc w:val="center"/>
        <w:rPr>
          <w:szCs w:val="24"/>
        </w:rPr>
      </w:pPr>
      <w:r w:rsidRPr="00537143">
        <w:rPr>
          <w:i/>
          <w:szCs w:val="24"/>
        </w:rPr>
        <w:t>L</w:t>
      </w:r>
      <w:r w:rsidR="00ED5A4B">
        <w:rPr>
          <w:i/>
          <w:szCs w:val="24"/>
          <w:vertAlign w:val="subscript"/>
        </w:rPr>
        <w:t>P</w:t>
      </w:r>
      <w:r w:rsidRPr="00537143">
        <w:rPr>
          <w:szCs w:val="24"/>
        </w:rPr>
        <w:t xml:space="preserve"> (par rapport à 1 mW) </w:t>
      </w:r>
      <w:r w:rsidRPr="00537143">
        <w:rPr>
          <w:rFonts w:ascii="Symbol" w:hAnsi="Symbol"/>
          <w:szCs w:val="24"/>
        </w:rPr>
        <w:t></w:t>
      </w:r>
      <w:r w:rsidRPr="00537143">
        <w:rPr>
          <w:szCs w:val="24"/>
        </w:rPr>
        <w:t xml:space="preserve"> 7 dB.</w:t>
      </w:r>
    </w:p>
    <w:p w:rsidR="0031148D" w:rsidRPr="00537143" w:rsidRDefault="0031148D" w:rsidP="0031148D">
      <w:pPr>
        <w:rPr>
          <w:szCs w:val="24"/>
        </w:rPr>
      </w:pPr>
      <w:r w:rsidRPr="00537143">
        <w:rPr>
          <w:szCs w:val="24"/>
        </w:rPr>
        <w:t>Pour exprimer qu'un certain champ électrique est de 50 dB au-dessus d'un microvolt par mètre, on peut écrire:</w:t>
      </w:r>
    </w:p>
    <w:p w:rsidR="0031148D" w:rsidRPr="00537143" w:rsidRDefault="0031148D" w:rsidP="00ED5A4B">
      <w:pPr>
        <w:pStyle w:val="enumlev1"/>
        <w:spacing w:before="240"/>
        <w:ind w:left="0" w:firstLine="0"/>
        <w:jc w:val="center"/>
        <w:rPr>
          <w:szCs w:val="24"/>
        </w:rPr>
      </w:pPr>
      <w:r w:rsidRPr="00537143">
        <w:rPr>
          <w:i/>
          <w:szCs w:val="24"/>
        </w:rPr>
        <w:t>L</w:t>
      </w:r>
      <w:r w:rsidR="00ED5A4B">
        <w:rPr>
          <w:i/>
          <w:szCs w:val="24"/>
          <w:vertAlign w:val="subscript"/>
        </w:rPr>
        <w:t>E</w:t>
      </w:r>
      <w:r w:rsidRPr="00537143">
        <w:rPr>
          <w:szCs w:val="24"/>
        </w:rPr>
        <w:t xml:space="preserve"> (par rapport à 1 </w:t>
      </w:r>
      <w:r w:rsidRPr="00537143">
        <w:rPr>
          <w:rFonts w:ascii="Symbol" w:hAnsi="Symbol"/>
          <w:szCs w:val="24"/>
        </w:rPr>
        <w:t></w:t>
      </w:r>
      <w:r w:rsidRPr="00537143">
        <w:rPr>
          <w:szCs w:val="24"/>
        </w:rPr>
        <w:t xml:space="preserve">V/m) </w:t>
      </w:r>
      <w:r w:rsidRPr="00537143">
        <w:rPr>
          <w:rFonts w:ascii="Symbol" w:hAnsi="Symbol"/>
          <w:szCs w:val="24"/>
        </w:rPr>
        <w:t></w:t>
      </w:r>
      <w:r w:rsidRPr="00537143">
        <w:rPr>
          <w:szCs w:val="24"/>
        </w:rPr>
        <w:t xml:space="preserve"> 50 dB.</w:t>
      </w:r>
    </w:p>
    <w:p w:rsidR="0031148D" w:rsidRPr="00537143" w:rsidRDefault="0031148D" w:rsidP="0031148D">
      <w:pPr>
        <w:rPr>
          <w:szCs w:val="24"/>
        </w:rPr>
      </w:pPr>
      <w:r w:rsidRPr="00537143">
        <w:rPr>
          <w:szCs w:val="24"/>
        </w:rPr>
        <w:t>Dans les présentations de données, particulièrement sous la forme de tableaux, ou dans les symboles graphiques, une notation condensée est souvent nécessaire pour identifier la valeur de référence. La forme condensée suivante, illustrée par son application aux exemples ci-dessus, peut alors être employée:</w:t>
      </w:r>
    </w:p>
    <w:p w:rsidR="0031148D" w:rsidRPr="00537143" w:rsidRDefault="0031148D" w:rsidP="00ED5A4B">
      <w:pPr>
        <w:pStyle w:val="enumlev1"/>
        <w:jc w:val="left"/>
        <w:rPr>
          <w:szCs w:val="24"/>
          <w:lang w:val="en-US"/>
        </w:rPr>
      </w:pPr>
      <w:r w:rsidRPr="00537143">
        <w:rPr>
          <w:szCs w:val="24"/>
        </w:rPr>
        <w:tab/>
      </w:r>
      <w:r w:rsidRPr="00537143">
        <w:rPr>
          <w:szCs w:val="24"/>
        </w:rPr>
        <w:t> </w:t>
      </w:r>
      <w:r w:rsidRPr="00537143">
        <w:rPr>
          <w:rFonts w:ascii="Tms Rmn" w:hAnsi="Tms Rmn"/>
          <w:szCs w:val="24"/>
          <w:lang w:val="en-US"/>
        </w:rPr>
        <w:t> </w:t>
      </w:r>
      <w:r w:rsidRPr="00537143">
        <w:rPr>
          <w:szCs w:val="24"/>
          <w:lang w:val="en-US"/>
        </w:rPr>
        <w:t xml:space="preserve">15 dB(20 </w:t>
      </w:r>
      <w:r w:rsidRPr="00537143">
        <w:rPr>
          <w:rFonts w:ascii="Symbol" w:hAnsi="Symbol"/>
          <w:szCs w:val="24"/>
        </w:rPr>
        <w:t></w:t>
      </w:r>
      <w:r w:rsidRPr="00537143">
        <w:rPr>
          <w:szCs w:val="24"/>
          <w:lang w:val="en-US"/>
        </w:rPr>
        <w:t>Pa)</w:t>
      </w:r>
      <w:r w:rsidRPr="00537143">
        <w:rPr>
          <w:szCs w:val="24"/>
          <w:lang w:val="en-US"/>
        </w:rPr>
        <w:br/>
        <w:t>– 10 Np(1 A)</w:t>
      </w:r>
      <w:r w:rsidRPr="00537143">
        <w:rPr>
          <w:szCs w:val="24"/>
          <w:lang w:val="en-US"/>
        </w:rPr>
        <w:br/>
      </w:r>
      <w:r w:rsidRPr="00537143">
        <w:rPr>
          <w:szCs w:val="24"/>
        </w:rPr>
        <w:t> </w:t>
      </w:r>
      <w:r w:rsidRPr="00537143">
        <w:rPr>
          <w:rFonts w:ascii="Tms Rmn" w:hAnsi="Tms Rmn"/>
          <w:szCs w:val="24"/>
          <w:lang w:val="en-US"/>
        </w:rPr>
        <w:t> </w:t>
      </w:r>
      <w:r w:rsidRPr="00537143">
        <w:rPr>
          <w:szCs w:val="24"/>
          <w:lang w:val="en-US"/>
        </w:rPr>
        <w:t>7 dB(1 mW)</w:t>
      </w:r>
      <w:r w:rsidRPr="00537143">
        <w:rPr>
          <w:szCs w:val="24"/>
          <w:lang w:val="en-US"/>
        </w:rPr>
        <w:br/>
      </w:r>
      <w:r w:rsidRPr="00537143">
        <w:rPr>
          <w:szCs w:val="24"/>
        </w:rPr>
        <w:t> </w:t>
      </w:r>
      <w:r w:rsidRPr="00537143">
        <w:rPr>
          <w:rFonts w:ascii="Tms Rmn" w:hAnsi="Tms Rmn"/>
          <w:szCs w:val="24"/>
          <w:lang w:val="en-US"/>
        </w:rPr>
        <w:t> </w:t>
      </w:r>
      <w:r w:rsidRPr="00537143">
        <w:rPr>
          <w:szCs w:val="24"/>
          <w:lang w:val="en-US"/>
        </w:rPr>
        <w:t xml:space="preserve">50 dB(1 </w:t>
      </w:r>
      <w:r w:rsidRPr="00537143">
        <w:rPr>
          <w:rFonts w:ascii="Symbol" w:hAnsi="Symbol"/>
          <w:szCs w:val="24"/>
        </w:rPr>
        <w:t></w:t>
      </w:r>
      <w:r w:rsidRPr="00537143">
        <w:rPr>
          <w:szCs w:val="24"/>
          <w:lang w:val="en-US"/>
        </w:rPr>
        <w:t>V/m)</w:t>
      </w:r>
    </w:p>
    <w:p w:rsidR="0031148D" w:rsidRPr="00537143" w:rsidRDefault="0031148D" w:rsidP="0031148D">
      <w:pPr>
        <w:rPr>
          <w:szCs w:val="24"/>
        </w:rPr>
      </w:pPr>
      <w:r w:rsidRPr="00537143">
        <w:rPr>
          <w:szCs w:val="24"/>
        </w:rPr>
        <w:t>Le nombre 1 est parfois omis dans l'expression de la grandeur de référence. Cette pratique n'est pas recommandée dans les cas où il y a un risque de confusion.</w:t>
      </w:r>
    </w:p>
    <w:p w:rsidR="0031148D" w:rsidRDefault="0031148D" w:rsidP="0031148D">
      <w:pPr>
        <w:rPr>
          <w:szCs w:val="24"/>
        </w:rPr>
      </w:pPr>
      <w:r w:rsidRPr="00537143">
        <w:rPr>
          <w:szCs w:val="24"/>
        </w:rPr>
        <w:t>Quand on utilise de façon répétée un niveau de référence constant dans un contexte donné, où ce niveau est explicité, on peut l'omettre</w:t>
      </w:r>
      <w:r>
        <w:rPr>
          <w:rStyle w:val="FootnoteReference"/>
          <w:szCs w:val="24"/>
        </w:rPr>
        <w:footnoteReference w:id="3"/>
      </w:r>
      <w:r w:rsidRPr="00537143">
        <w:rPr>
          <w:szCs w:val="24"/>
        </w:rPr>
        <w:t>.</w:t>
      </w:r>
    </w:p>
    <w:p w:rsidR="0031148D" w:rsidRDefault="0031148D" w:rsidP="0031148D">
      <w:pPr>
        <w:rPr>
          <w:szCs w:val="24"/>
        </w:rPr>
      </w:pPr>
    </w:p>
    <w:p w:rsidR="0031148D" w:rsidRDefault="0031148D" w:rsidP="0031148D">
      <w:pPr>
        <w:pStyle w:val="Reasons"/>
      </w:pPr>
    </w:p>
    <w:p w:rsidR="0031148D" w:rsidRPr="00E74FCC" w:rsidRDefault="0031148D" w:rsidP="0031148D">
      <w:pPr>
        <w:pStyle w:val="Line"/>
        <w:rPr>
          <w:lang w:val="fr-CH"/>
        </w:rPr>
      </w:pPr>
    </w:p>
    <w:sectPr w:rsidR="0031148D" w:rsidRPr="00E74FCC" w:rsidSect="00E74FCC">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48D" w:rsidRDefault="0031148D">
      <w:r>
        <w:separator/>
      </w:r>
    </w:p>
  </w:endnote>
  <w:endnote w:type="continuationSeparator" w:id="0">
    <w:p w:rsidR="0031148D" w:rsidRDefault="0031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48D" w:rsidRDefault="0031148D">
      <w:r>
        <w:separator/>
      </w:r>
    </w:p>
  </w:footnote>
  <w:footnote w:type="continuationSeparator" w:id="0">
    <w:p w:rsidR="0031148D" w:rsidRDefault="0031148D">
      <w:r>
        <w:continuationSeparator/>
      </w:r>
    </w:p>
  </w:footnote>
  <w:footnote w:id="1">
    <w:p w:rsidR="0031148D" w:rsidRDefault="0031148D" w:rsidP="0031148D">
      <w:pPr>
        <w:pStyle w:val="FootnoteText"/>
        <w:ind w:left="313" w:hanging="313"/>
      </w:pPr>
      <w:r>
        <w:rPr>
          <w:rStyle w:val="FootnoteReference"/>
        </w:rPr>
        <w:t>*</w:t>
      </w:r>
      <w:r>
        <w:tab/>
      </w:r>
      <w:r w:rsidRPr="00A310BC">
        <w:t>La présente Recommandation doit être portée à l'attention de l'UIT-T</w:t>
      </w:r>
      <w:r>
        <w:t>.</w:t>
      </w:r>
    </w:p>
  </w:footnote>
  <w:footnote w:id="2">
    <w:p w:rsidR="0031148D" w:rsidRDefault="0031148D" w:rsidP="0031148D">
      <w:pPr>
        <w:pStyle w:val="FootnoteText"/>
      </w:pPr>
      <w:r>
        <w:rPr>
          <w:rStyle w:val="FootnoteReference"/>
        </w:rPr>
        <w:t>**</w:t>
      </w:r>
      <w:r>
        <w:tab/>
        <w:t>Dans la présente Recommandation, la notation lg est utilisée pour le logarithme décimal conformément aux Normes internationales ISO </w:t>
      </w:r>
      <w:r w:rsidRPr="00B72C07">
        <w:rPr>
          <w:lang w:val="fr-CH"/>
        </w:rPr>
        <w:t xml:space="preserve">80000-2 </w:t>
      </w:r>
      <w:r>
        <w:t>et CEI 60027-3. La notation log</w:t>
      </w:r>
      <w:r>
        <w:rPr>
          <w:position w:val="-4"/>
          <w:sz w:val="14"/>
        </w:rPr>
        <w:t>10</w:t>
      </w:r>
      <w:r>
        <w:t xml:space="preserve"> est également utilisée. La notation log peut être utilisée s'il n'y a pas d'ambiguïté.</w:t>
      </w:r>
    </w:p>
  </w:footnote>
  <w:footnote w:id="3">
    <w:p w:rsidR="0031148D" w:rsidRPr="00A94833" w:rsidRDefault="0031148D" w:rsidP="0031148D">
      <w:pPr>
        <w:pStyle w:val="FootnoteText"/>
      </w:pPr>
      <w:r>
        <w:rPr>
          <w:rStyle w:val="FootnoteReference"/>
        </w:rPr>
        <w:footnoteRef/>
      </w:r>
      <w:r>
        <w:t xml:space="preserve"> </w:t>
      </w:r>
      <w:r>
        <w:tab/>
      </w:r>
      <w:r w:rsidRPr="00B72C07">
        <w:rPr>
          <w:lang w:val="fr-CH"/>
        </w:rPr>
        <w:t>L'omission du niveau de référence, permise par la CEI, n'est pas permise dans les textes de l'UIT</w:t>
      </w:r>
      <w:r w:rsidRPr="00B72C07">
        <w:rPr>
          <w:lang w:val="fr-CH"/>
        </w:rPr>
        <w:noBreakHyphen/>
        <w:t>R et de l'UIT-T.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8D" w:rsidRDefault="0031148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8D" w:rsidRDefault="0031148D" w:rsidP="00C668C8">
    <w:pPr>
      <w:pStyle w:val="Header"/>
      <w:ind w:right="360" w:firstLine="360"/>
    </w:pPr>
    <w:r>
      <w:rPr>
        <w:noProof/>
        <w:lang w:val="en-US" w:eastAsia="zh-CN"/>
      </w:rPr>
      <w:drawing>
        <wp:anchor distT="0" distB="0" distL="114300" distR="114300" simplePos="0" relativeHeight="251659264" behindDoc="1" locked="0" layoutInCell="1" allowOverlap="1" wp14:anchorId="7C142155" wp14:editId="2B4FA5E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8D" w:rsidRPr="00837CB5" w:rsidRDefault="0031148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02175">
      <w:rPr>
        <w:rStyle w:val="PageNumber"/>
        <w:b/>
        <w:bCs/>
        <w:noProof/>
      </w:rPr>
      <w:t>ii</w:t>
    </w:r>
    <w:r>
      <w:rPr>
        <w:rStyle w:val="PageNumber"/>
        <w:b/>
        <w:bCs/>
      </w:rPr>
      <w:fldChar w:fldCharType="end"/>
    </w:r>
    <w:r w:rsidRPr="00837CB5">
      <w:tab/>
    </w:r>
    <w:fldSimple w:instr=" DOCPROPERTY &quot;Header&quot; \* MERGEFORMAT ">
      <w:r w:rsidR="00A02175" w:rsidRPr="00A0217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02175">
      <w:rPr>
        <w:b/>
        <w:bCs/>
        <w:noProof/>
      </w:rPr>
      <w:t>UIT-R  V.574-5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48D" w:rsidRDefault="0031148D">
    <w:pPr>
      <w:pStyle w:val="Header"/>
    </w:pPr>
    <w:r>
      <w:tab/>
    </w:r>
    <w:fldSimple w:instr=" DOCPROPERTY &quot;Header&quot; \* MERGEFORMAT ">
      <w:r w:rsidR="00A02175" w:rsidRPr="00A021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02175">
      <w:rPr>
        <w:b/>
        <w:bCs/>
        <w:noProof/>
      </w:rPr>
      <w:t>UIT-R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02175">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02175" w:rsidRPr="00A0217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02175">
      <w:rPr>
        <w:b/>
        <w:bCs/>
        <w:noProof/>
      </w:rPr>
      <w:t>UIT-R  V.574-5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A02175" w:rsidRPr="00A0217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02175">
      <w:rPr>
        <w:b/>
        <w:bCs/>
        <w:noProof/>
      </w:rPr>
      <w:t>UIT-R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2175">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48D"/>
    <w:rsid w:val="00217EBF"/>
    <w:rsid w:val="00242AEE"/>
    <w:rsid w:val="002940F0"/>
    <w:rsid w:val="002A0387"/>
    <w:rsid w:val="002A5694"/>
    <w:rsid w:val="002D76C4"/>
    <w:rsid w:val="0031148D"/>
    <w:rsid w:val="00384EB6"/>
    <w:rsid w:val="003D4517"/>
    <w:rsid w:val="0052529D"/>
    <w:rsid w:val="00607D68"/>
    <w:rsid w:val="006D0ACA"/>
    <w:rsid w:val="00727811"/>
    <w:rsid w:val="007468DA"/>
    <w:rsid w:val="008535D1"/>
    <w:rsid w:val="009E00A8"/>
    <w:rsid w:val="00A02175"/>
    <w:rsid w:val="00A6617B"/>
    <w:rsid w:val="00AB0DC8"/>
    <w:rsid w:val="00B44E24"/>
    <w:rsid w:val="00B93951"/>
    <w:rsid w:val="00DF4176"/>
    <w:rsid w:val="00E12174"/>
    <w:rsid w:val="00E74FCC"/>
    <w:rsid w:val="00ED5A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E3AB1CDF-F50D-4663-928C-BD515E6DA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48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1148D"/>
    <w:rPr>
      <w:b/>
      <w:sz w:val="24"/>
      <w:lang w:val="fr-FR" w:eastAsia="en-US"/>
    </w:rPr>
  </w:style>
  <w:style w:type="character" w:customStyle="1" w:styleId="HeaderChar">
    <w:name w:val="Header Char"/>
    <w:basedOn w:val="DefaultParagraphFont"/>
    <w:link w:val="Header"/>
    <w:rsid w:val="0031148D"/>
    <w:rPr>
      <w:sz w:val="24"/>
      <w:lang w:val="fr-FR" w:eastAsia="en-US"/>
    </w:rPr>
  </w:style>
  <w:style w:type="character" w:styleId="Hyperlink">
    <w:name w:val="Hyperlink"/>
    <w:basedOn w:val="DefaultParagraphFont"/>
    <w:rsid w:val="0031148D"/>
    <w:rPr>
      <w:color w:val="0000FF"/>
      <w:u w:val="single"/>
    </w:rPr>
  </w:style>
  <w:style w:type="character" w:customStyle="1" w:styleId="FootnoteTextChar">
    <w:name w:val="Footnote Text Char"/>
    <w:basedOn w:val="DefaultParagraphFont"/>
    <w:link w:val="FootnoteText"/>
    <w:rsid w:val="0031148D"/>
    <w:rPr>
      <w:sz w:val="22"/>
      <w:lang w:val="fr-FR" w:eastAsia="en-US"/>
    </w:rPr>
  </w:style>
  <w:style w:type="paragraph" w:customStyle="1" w:styleId="Normalaftertitle0">
    <w:name w:val="Normal after title"/>
    <w:basedOn w:val="Normal"/>
    <w:next w:val="Normal"/>
    <w:rsid w:val="0031148D"/>
    <w:pPr>
      <w:tabs>
        <w:tab w:val="clear" w:pos="794"/>
        <w:tab w:val="clear" w:pos="1191"/>
        <w:tab w:val="clear" w:pos="1588"/>
        <w:tab w:val="clear" w:pos="1985"/>
        <w:tab w:val="left" w:pos="1134"/>
        <w:tab w:val="left" w:pos="1871"/>
        <w:tab w:val="left" w:pos="2268"/>
      </w:tabs>
      <w:spacing w:before="280"/>
      <w:jc w:val="left"/>
    </w:pPr>
  </w:style>
  <w:style w:type="paragraph" w:customStyle="1" w:styleId="Annextitle">
    <w:name w:val="Annex_title"/>
    <w:basedOn w:val="Normal"/>
    <w:next w:val="Normal"/>
    <w:rsid w:val="0031148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headfoot">
    <w:name w:val="head_foot"/>
    <w:basedOn w:val="Normal"/>
    <w:next w:val="Normalaftertitle0"/>
    <w:rsid w:val="0031148D"/>
    <w:pPr>
      <w:tabs>
        <w:tab w:val="clear" w:pos="794"/>
        <w:tab w:val="clear" w:pos="1191"/>
        <w:tab w:val="clear" w:pos="1588"/>
        <w:tab w:val="clear" w:pos="1985"/>
        <w:tab w:val="left" w:pos="1134"/>
        <w:tab w:val="left" w:pos="1871"/>
        <w:tab w:val="left" w:pos="2268"/>
      </w:tabs>
      <w:spacing w:before="0"/>
      <w:jc w:val="left"/>
    </w:pPr>
    <w:rPr>
      <w:b/>
      <w:color w:val="FFFFFF"/>
      <w:sz w:val="8"/>
    </w:rPr>
  </w:style>
  <w:style w:type="paragraph" w:customStyle="1" w:styleId="Appendix">
    <w:name w:val="Appendix_#"/>
    <w:basedOn w:val="Normal"/>
    <w:next w:val="AppendixRef0"/>
    <w:rsid w:val="0031148D"/>
    <w:pPr>
      <w:tabs>
        <w:tab w:val="clear" w:pos="794"/>
        <w:tab w:val="clear" w:pos="1191"/>
        <w:tab w:val="clear" w:pos="1588"/>
        <w:tab w:val="clear" w:pos="1985"/>
        <w:tab w:val="left" w:pos="1134"/>
        <w:tab w:val="left" w:pos="1871"/>
        <w:tab w:val="left" w:pos="2268"/>
        <w:tab w:val="center" w:pos="4849"/>
        <w:tab w:val="right" w:pos="9696"/>
      </w:tabs>
      <w:spacing w:before="720" w:after="68"/>
      <w:jc w:val="center"/>
    </w:pPr>
  </w:style>
  <w:style w:type="paragraph" w:customStyle="1" w:styleId="AppendixRef0">
    <w:name w:val="Appendix_Ref"/>
    <w:basedOn w:val="Normal"/>
    <w:next w:val="Normal"/>
    <w:rsid w:val="0031148D"/>
    <w:pPr>
      <w:tabs>
        <w:tab w:val="clear" w:pos="794"/>
        <w:tab w:val="clear" w:pos="1191"/>
        <w:tab w:val="clear" w:pos="1588"/>
        <w:tab w:val="clear" w:pos="1985"/>
        <w:tab w:val="left" w:pos="1134"/>
        <w:tab w:val="left" w:pos="1871"/>
        <w:tab w:val="left" w:pos="2268"/>
        <w:tab w:val="center" w:pos="4849"/>
        <w:tab w:val="right" w:pos="9696"/>
      </w:tabs>
      <w:spacing w:before="0"/>
      <w:jc w:val="center"/>
    </w:pPr>
  </w:style>
  <w:style w:type="paragraph" w:customStyle="1" w:styleId="Figure0">
    <w:name w:val="Figure_#"/>
    <w:basedOn w:val="Normal"/>
    <w:next w:val="Normal"/>
    <w:rsid w:val="0031148D"/>
    <w:pPr>
      <w:keepNext/>
      <w:tabs>
        <w:tab w:val="clear" w:pos="794"/>
        <w:tab w:val="clear" w:pos="1191"/>
        <w:tab w:val="clear" w:pos="1588"/>
        <w:tab w:val="clear" w:pos="1985"/>
        <w:tab w:val="left" w:pos="1134"/>
        <w:tab w:val="left" w:pos="1871"/>
        <w:tab w:val="left" w:pos="2268"/>
      </w:tabs>
      <w:spacing w:before="567" w:after="113"/>
      <w:jc w:val="center"/>
    </w:pPr>
    <w:rPr>
      <w:sz w:val="18"/>
    </w:rPr>
  </w:style>
  <w:style w:type="paragraph" w:customStyle="1" w:styleId="RecTitleDate">
    <w:name w:val="Rec_Title/Date"/>
    <w:basedOn w:val="Normal"/>
    <w:next w:val="headfoot"/>
    <w:rsid w:val="0031148D"/>
    <w:pPr>
      <w:keepNext/>
      <w:keepLines/>
      <w:tabs>
        <w:tab w:val="clear" w:pos="794"/>
        <w:tab w:val="clear" w:pos="1191"/>
        <w:tab w:val="clear" w:pos="1588"/>
        <w:tab w:val="clear" w:pos="1985"/>
        <w:tab w:val="left" w:pos="1134"/>
        <w:tab w:val="left" w:pos="1871"/>
        <w:tab w:val="left" w:pos="2268"/>
        <w:tab w:val="right" w:pos="9696"/>
      </w:tabs>
      <w:spacing w:before="136"/>
      <w:jc w:val="right"/>
    </w:pPr>
  </w:style>
  <w:style w:type="paragraph" w:customStyle="1" w:styleId="Reasons">
    <w:name w:val="Reasons"/>
    <w:basedOn w:val="Normal"/>
    <w:qFormat/>
    <w:rsid w:val="0031148D"/>
    <w:pPr>
      <w:tabs>
        <w:tab w:val="clear" w:pos="794"/>
        <w:tab w:val="clear" w:pos="1191"/>
        <w:tab w:val="left" w:pos="1134"/>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14</Pages>
  <Words>4899</Words>
  <Characters>27195</Characters>
  <Application>Microsoft Office Word</Application>
  <DocSecurity>0</DocSecurity>
  <Lines>877</Lines>
  <Paragraphs>50</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Template BR_Rec_2005.dot</vt:lpstr>
      <vt:lpstr>Politique en matière de droits de propriété intellectuelle (IPR)</vt:lpstr>
      <vt:lpstr>1	Définition du décibel</vt:lpstr>
      <vt:lpstr>2	Définition du néper</vt:lpstr>
      <vt:lpstr>3	Emplois respectifs du décibel et du néper</vt:lpstr>
      <vt:lpstr>4	Règles d'emploi des symboles comprenant le symbole dB</vt:lpstr>
      <vt:lpstr>    4.1	Symbole dB sans indication supplémentaire</vt:lpstr>
      <vt:lpstr>    4.2	Symbole dB suivi d'une information supplémentaire entre parenthèses</vt:lpstr>
      <vt:lpstr>    4.3	Symbole dB suivi d'informations supplémentaires sans parenthèses</vt:lpstr>
      <vt:lpstr/>
      <vt:lpstr>5	Affaiblissement et gain</vt:lpstr>
      <vt:lpstr>    5.1	Affaiblissement de transmission </vt:lpstr>
      <vt:lpstr>    5.2	Gain d'une antenne</vt:lpstr>
      <vt:lpstr>6	Niveaux</vt:lpstr>
      <vt:lpstr>    6.1	Niveau absolu de puissance</vt:lpstr>
      <vt:lpstr>    6.2	Niveau relatif de puissance et notions connexes</vt:lpstr>
      <vt:lpstr>        6.2.1	Définition</vt:lpstr>
      <vt:lpstr>        6.2.2	Point de référence pour la transmission (voir la Recommandation UIT-T G.10</vt:lpstr>
      <vt:lpstr>        6.2.3	Signification de «dBm0»</vt:lpstr>
      <vt:lpstr>    6.3	Densité de puissance</vt:lpstr>
      <vt:lpstr>    6.4	Niveau absolu de densité de puissance</vt:lpstr>
      <vt:lpstr>    6.5	Niveau absolu de tension</vt:lpstr>
      <vt:lpstr>    6.6	Cas des audiofréquences</vt:lpstr>
      <vt:lpstr>        6.6.1	Niveau absolu de bruit audiofréquence </vt:lpstr>
      <vt:lpstr>        6.6.2	Niveaux relatifs de tension </vt:lpstr>
      <vt:lpstr>        6.6.3	Emploi du décibel, par extension, pour des rapports de grandeurs non liées</vt:lpstr>
      <vt:lpstr>    6.7	Niveau absolu de champ électromagnétique</vt:lpstr>
      <vt:lpstr>    6.8	Niveau de pression acoustique</vt:lpstr>
      <vt:lpstr>7	Rapports exprimant une qualité de transmission</vt:lpstr>
      <vt:lpstr>    7.1	Rapport signal à bruit</vt:lpstr>
      <vt:lpstr>    7.2	Rapport de protection</vt:lpstr>
      <vt:lpstr>        7.3	Rapport «porteuse à densité spectrale de bruit» (C / N0)</vt:lpstr>
      <vt:lpstr>    7.4	Rapport «énergie à densité spectrale de bruit»</vt:lpstr>
      <vt:lpstr>    7.5	Facteur de qualité (M) (ou facteur de mérite)</vt:lpstr>
      <vt:lpstr>8	Notations particulières</vt:lpstr>
    </vt:vector>
  </TitlesOfParts>
  <Manager/>
  <Company>ITU</Company>
  <LinksUpToDate>false</LinksUpToDate>
  <CharactersWithSpaces>32044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2016-08-09T06:15:00Z</cp:lastPrinted>
  <dcterms:created xsi:type="dcterms:W3CDTF">2016-08-09T05:55:00Z</dcterms:created>
  <dcterms:modified xsi:type="dcterms:W3CDTF">2016-08-09T06:15:00Z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