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BA4E" w14:textId="77777777" w:rsidR="00FE79FE" w:rsidRDefault="00FE79FE"/>
    <w:p w14:paraId="390F33E4" w14:textId="77777777" w:rsidR="00013002" w:rsidRDefault="00013002" w:rsidP="00DE5556">
      <w:pPr>
        <w:tabs>
          <w:tab w:val="clear" w:pos="794"/>
          <w:tab w:val="clear" w:pos="1191"/>
          <w:tab w:val="clear" w:pos="1588"/>
          <w:tab w:val="clear" w:pos="1985"/>
        </w:tabs>
      </w:pPr>
    </w:p>
    <w:p w14:paraId="1746830E" w14:textId="47C275FE" w:rsidR="004A6FEB" w:rsidRPr="009C732C" w:rsidRDefault="004A6FEB" w:rsidP="0036627C">
      <w:pPr>
        <w:pStyle w:val="CoverNumber"/>
        <w:rPr>
          <w:lang w:val="en-GB"/>
        </w:rPr>
      </w:pPr>
      <w:r w:rsidRPr="009C732C">
        <w:rPr>
          <w:lang w:val="en-GB"/>
        </w:rPr>
        <w:t xml:space="preserve">Recommendation ITU-R </w:t>
      </w:r>
      <w:r w:rsidR="00155D51" w:rsidRPr="009C732C">
        <w:rPr>
          <w:lang w:val="en-GB"/>
        </w:rPr>
        <w:t>V</w:t>
      </w:r>
      <w:r w:rsidR="0036627C" w:rsidRPr="009C732C">
        <w:rPr>
          <w:lang w:val="en-GB"/>
        </w:rPr>
        <w:t>.</w:t>
      </w:r>
      <w:r w:rsidR="00290183" w:rsidRPr="009C732C">
        <w:rPr>
          <w:lang w:val="en-GB"/>
        </w:rPr>
        <w:t>431-</w:t>
      </w:r>
      <w:r w:rsidR="008A0983" w:rsidRPr="009C732C">
        <w:rPr>
          <w:lang w:val="en-GB"/>
        </w:rPr>
        <w:t>9</w:t>
      </w:r>
    </w:p>
    <w:p w14:paraId="071E5FAB" w14:textId="61442269" w:rsidR="004A6FEB" w:rsidRPr="009C732C" w:rsidRDefault="004A6FEB" w:rsidP="0036627C">
      <w:pPr>
        <w:pStyle w:val="CoverDate"/>
        <w:rPr>
          <w:lang w:val="en-GB"/>
        </w:rPr>
      </w:pPr>
      <w:r w:rsidRPr="009C732C">
        <w:rPr>
          <w:lang w:val="en-GB"/>
        </w:rPr>
        <w:t>(</w:t>
      </w:r>
      <w:r w:rsidR="00290183" w:rsidRPr="009C732C">
        <w:rPr>
          <w:lang w:val="en-GB"/>
        </w:rPr>
        <w:t>10</w:t>
      </w:r>
      <w:r w:rsidRPr="009C732C">
        <w:rPr>
          <w:lang w:val="en-GB"/>
        </w:rPr>
        <w:t>/</w:t>
      </w:r>
      <w:r w:rsidR="00290183" w:rsidRPr="009C732C">
        <w:rPr>
          <w:lang w:val="en-GB"/>
        </w:rPr>
        <w:t>2025</w:t>
      </w:r>
      <w:r w:rsidRPr="009C732C">
        <w:rPr>
          <w:lang w:val="en-GB"/>
        </w:rPr>
        <w:t>)</w:t>
      </w:r>
    </w:p>
    <w:p w14:paraId="3348E3B6" w14:textId="2D2DCF38" w:rsidR="004A6FEB" w:rsidRPr="004A6FEB" w:rsidRDefault="00155D51" w:rsidP="0036627C">
      <w:pPr>
        <w:pStyle w:val="CoverSeries"/>
      </w:pPr>
      <w:r>
        <w:t>V</w:t>
      </w:r>
      <w:r w:rsidR="004A6FEB" w:rsidRPr="00A86DD2">
        <w:t xml:space="preserve"> </w:t>
      </w:r>
      <w:r w:rsidR="004A6FEB" w:rsidRPr="004A6FEB">
        <w:t>Series:</w:t>
      </w:r>
      <w:r w:rsidR="004A6FEB" w:rsidRPr="00A86DD2">
        <w:t xml:space="preserve"> </w:t>
      </w:r>
      <w:r w:rsidRPr="00155D51">
        <w:rPr>
          <w:bCs w:val="0"/>
          <w:iCs/>
          <w:lang w:val="en-GB"/>
        </w:rPr>
        <w:t>Vocabulary and related subjects</w:t>
      </w:r>
    </w:p>
    <w:p w14:paraId="0E5486A0" w14:textId="301B46B4" w:rsidR="004A6FEB" w:rsidRPr="004A6FEB" w:rsidRDefault="008969D6" w:rsidP="0036627C">
      <w:pPr>
        <w:pStyle w:val="CoverTitle"/>
      </w:pPr>
      <w:r w:rsidRPr="00A96C61">
        <w:rPr>
          <w:lang w:eastAsia="zh-CN"/>
        </w:rPr>
        <w:t>Nomenclature of the frequency and wavelength bands</w:t>
      </w:r>
      <w:r>
        <w:rPr>
          <w:lang w:eastAsia="zh-CN"/>
        </w:rPr>
        <w:t xml:space="preserve"> </w:t>
      </w:r>
      <w:r w:rsidRPr="00A96C61">
        <w:rPr>
          <w:lang w:eastAsia="zh-CN"/>
        </w:rPr>
        <w:t>used in telecommunications</w:t>
      </w:r>
    </w:p>
    <w:p w14:paraId="5BBD62DE" w14:textId="77777777" w:rsidR="00FE79FE" w:rsidRPr="005373E0" w:rsidRDefault="00FE79FE" w:rsidP="005373E0">
      <w:pPr>
        <w:rPr>
          <w:lang w:val="en-US"/>
        </w:rPr>
      </w:pPr>
    </w:p>
    <w:p w14:paraId="0B86C813" w14:textId="77777777" w:rsidR="00A71FE5" w:rsidRPr="005373E0" w:rsidRDefault="00A71FE5" w:rsidP="005373E0"/>
    <w:p w14:paraId="4CB64A2F" w14:textId="77777777" w:rsidR="00EE47C4" w:rsidRPr="005373E0" w:rsidRDefault="00EE47C4" w:rsidP="005373E0">
      <w:pPr>
        <w:sectPr w:rsidR="00EE47C4"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0848B948"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68F8A837" w14:textId="77777777" w:rsidR="00586EF8" w:rsidRDefault="00586EF8" w:rsidP="00586EF8">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265A3480"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6D9CE944" w14:textId="77777777" w:rsidR="00B714F3" w:rsidRPr="00B714F3" w:rsidRDefault="00B714F3" w:rsidP="002F5199">
      <w:pPr>
        <w:pStyle w:val="Heading1"/>
        <w:spacing w:before="680"/>
        <w:jc w:val="center"/>
        <w:rPr>
          <w:szCs w:val="24"/>
          <w:lang w:val="en-US"/>
        </w:rPr>
      </w:pPr>
      <w:r w:rsidRPr="00B714F3">
        <w:rPr>
          <w:szCs w:val="24"/>
          <w:lang w:val="en-US"/>
        </w:rPr>
        <w:t>Policy on Intellectual Property Right (IPR)</w:t>
      </w:r>
    </w:p>
    <w:p w14:paraId="37ADBC95" w14:textId="52DBC3D7" w:rsidR="00B714F3" w:rsidRPr="00B714F3" w:rsidRDefault="00B714F3" w:rsidP="00C84DB7">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sidR="00EA306D">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00330E3E"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R/ISO/IEC and the ITU-R patent information database can also be found.</w:t>
      </w:r>
    </w:p>
    <w:p w14:paraId="1F2862BE" w14:textId="77777777" w:rsidR="00586EF8" w:rsidRDefault="00586EF8" w:rsidP="00586EF8">
      <w:pPr>
        <w:jc w:val="center"/>
        <w:rPr>
          <w:sz w:val="22"/>
          <w:lang w:val="en-US"/>
        </w:rPr>
      </w:pPr>
    </w:p>
    <w:p w14:paraId="6B60D8DB" w14:textId="77777777" w:rsidR="00A971A1" w:rsidRDefault="00A971A1" w:rsidP="00586EF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576D47" w14:paraId="4DB0BDB9" w14:textId="77777777" w:rsidTr="00330E3E">
        <w:tc>
          <w:tcPr>
            <w:tcW w:w="9360" w:type="dxa"/>
            <w:gridSpan w:val="2"/>
          </w:tcPr>
          <w:p w14:paraId="7D6C2E7C"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3A403EA9"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3ED77829" w14:textId="77777777" w:rsidTr="00330E3E">
        <w:tc>
          <w:tcPr>
            <w:tcW w:w="1140" w:type="dxa"/>
            <w:tcBorders>
              <w:bottom w:val="nil"/>
            </w:tcBorders>
            <w:vAlign w:val="bottom"/>
          </w:tcPr>
          <w:p w14:paraId="106B445E"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E2A7BAC"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113A5EE2" w14:textId="77777777" w:rsidTr="00155D51">
        <w:tc>
          <w:tcPr>
            <w:tcW w:w="1140" w:type="dxa"/>
            <w:tcBorders>
              <w:top w:val="nil"/>
              <w:bottom w:val="nil"/>
            </w:tcBorders>
            <w:shd w:val="clear" w:color="auto" w:fill="FFFFFF" w:themeFill="background1"/>
          </w:tcPr>
          <w:p w14:paraId="6B298E57" w14:textId="77777777" w:rsidR="00A31928" w:rsidRPr="00155D51" w:rsidRDefault="00A31928" w:rsidP="006B1D2B">
            <w:pPr>
              <w:spacing w:before="30" w:after="30"/>
              <w:ind w:left="57"/>
              <w:jc w:val="left"/>
              <w:rPr>
                <w:rFonts w:hAnsi="Times New Roman Bold"/>
                <w:b/>
                <w:color w:val="000080"/>
                <w:sz w:val="20"/>
                <w:lang w:val="en-US"/>
              </w:rPr>
            </w:pPr>
            <w:r w:rsidRPr="00155D51">
              <w:rPr>
                <w:rFonts w:hAnsi="Times New Roman Bold"/>
                <w:b/>
                <w:sz w:val="20"/>
                <w:lang w:val="en-US"/>
              </w:rPr>
              <w:t>BO</w:t>
            </w:r>
          </w:p>
        </w:tc>
        <w:tc>
          <w:tcPr>
            <w:tcW w:w="8220" w:type="dxa"/>
            <w:tcBorders>
              <w:top w:val="nil"/>
              <w:bottom w:val="nil"/>
            </w:tcBorders>
            <w:shd w:val="clear" w:color="auto" w:fill="FFFFFF" w:themeFill="background1"/>
          </w:tcPr>
          <w:p w14:paraId="34468A74" w14:textId="77777777" w:rsidR="00A31928" w:rsidRPr="00155D51"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bCs/>
                <w:color w:val="000080"/>
                <w:sz w:val="20"/>
                <w:lang w:val="en-US"/>
              </w:rPr>
            </w:pPr>
            <w:r w:rsidRPr="00155D51">
              <w:rPr>
                <w:b w:val="0"/>
                <w:sz w:val="20"/>
                <w:lang w:val="en-US"/>
              </w:rPr>
              <w:t>Satellite delivery</w:t>
            </w:r>
          </w:p>
        </w:tc>
      </w:tr>
      <w:tr w:rsidR="00A31928" w:rsidRPr="00576D47" w14:paraId="2731EBF0" w14:textId="77777777" w:rsidTr="00330E3E">
        <w:tc>
          <w:tcPr>
            <w:tcW w:w="1140" w:type="dxa"/>
            <w:tcBorders>
              <w:top w:val="nil"/>
            </w:tcBorders>
          </w:tcPr>
          <w:p w14:paraId="0756B64F" w14:textId="77777777" w:rsidR="00A31928" w:rsidRPr="00036EE3" w:rsidRDefault="00A31928" w:rsidP="006B1D2B">
            <w:pPr>
              <w:spacing w:before="30" w:after="30"/>
              <w:ind w:left="57"/>
              <w:jc w:val="left"/>
              <w:rPr>
                <w:b/>
                <w:bCs/>
                <w:sz w:val="20"/>
                <w:lang w:val="en-US"/>
              </w:rPr>
            </w:pPr>
            <w:r w:rsidRPr="00036EE3">
              <w:rPr>
                <w:b/>
                <w:bCs/>
                <w:sz w:val="20"/>
                <w:lang w:val="en-US"/>
              </w:rPr>
              <w:t>BR</w:t>
            </w:r>
          </w:p>
        </w:tc>
        <w:tc>
          <w:tcPr>
            <w:tcW w:w="8220" w:type="dxa"/>
            <w:tcBorders>
              <w:top w:val="nil"/>
            </w:tcBorders>
          </w:tcPr>
          <w:p w14:paraId="249C9CA3"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A31928" w:rsidRPr="00036EE3" w14:paraId="6342279C" w14:textId="77777777" w:rsidTr="00330E3E">
        <w:tc>
          <w:tcPr>
            <w:tcW w:w="1140" w:type="dxa"/>
          </w:tcPr>
          <w:p w14:paraId="41351E0B"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2DCE6D41"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56C1D603" w14:textId="77777777" w:rsidTr="00330E3E">
        <w:tc>
          <w:tcPr>
            <w:tcW w:w="1140" w:type="dxa"/>
          </w:tcPr>
          <w:p w14:paraId="7BF67312"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tcPr>
          <w:p w14:paraId="38A96CDB"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08A7C18E" w14:textId="77777777" w:rsidTr="00330E3E">
        <w:tc>
          <w:tcPr>
            <w:tcW w:w="1140" w:type="dxa"/>
          </w:tcPr>
          <w:p w14:paraId="653C23BA"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tcPr>
          <w:p w14:paraId="4F339353"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A31928" w:rsidRPr="00036EE3" w14:paraId="25F55D60" w14:textId="77777777" w:rsidTr="00330E3E">
        <w:tc>
          <w:tcPr>
            <w:tcW w:w="1140" w:type="dxa"/>
          </w:tcPr>
          <w:p w14:paraId="26B9155E" w14:textId="77777777" w:rsidR="00A31928" w:rsidRPr="00906589" w:rsidRDefault="00A31928" w:rsidP="006B1D2B">
            <w:pPr>
              <w:spacing w:before="30" w:after="30"/>
              <w:ind w:left="57"/>
              <w:jc w:val="left"/>
              <w:rPr>
                <w:b/>
                <w:bCs/>
                <w:sz w:val="20"/>
                <w:lang w:val="en-US"/>
              </w:rPr>
            </w:pPr>
            <w:r w:rsidRPr="00906589">
              <w:rPr>
                <w:b/>
                <w:bCs/>
                <w:sz w:val="20"/>
                <w:lang w:val="en-US"/>
              </w:rPr>
              <w:t>M</w:t>
            </w:r>
          </w:p>
        </w:tc>
        <w:tc>
          <w:tcPr>
            <w:tcW w:w="8220" w:type="dxa"/>
          </w:tcPr>
          <w:p w14:paraId="25757424" w14:textId="77777777" w:rsidR="00A31928" w:rsidRPr="0090658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A31928" w:rsidRPr="00036EE3" w14:paraId="60E1932F" w14:textId="77777777" w:rsidTr="00330E3E">
        <w:tc>
          <w:tcPr>
            <w:tcW w:w="1140" w:type="dxa"/>
          </w:tcPr>
          <w:p w14:paraId="510BEC9D" w14:textId="77777777" w:rsidR="00A31928" w:rsidRPr="00036EE3" w:rsidRDefault="00A31928" w:rsidP="006B1D2B">
            <w:pPr>
              <w:spacing w:before="30" w:after="30"/>
              <w:ind w:left="57"/>
              <w:jc w:val="left"/>
              <w:rPr>
                <w:b/>
                <w:bCs/>
                <w:sz w:val="20"/>
                <w:lang w:val="fr-CH"/>
              </w:rPr>
            </w:pPr>
            <w:r w:rsidRPr="00036EE3">
              <w:rPr>
                <w:b/>
                <w:bCs/>
                <w:sz w:val="20"/>
                <w:lang w:val="fr-CH"/>
              </w:rPr>
              <w:t>P</w:t>
            </w:r>
          </w:p>
        </w:tc>
        <w:tc>
          <w:tcPr>
            <w:tcW w:w="8220" w:type="dxa"/>
          </w:tcPr>
          <w:p w14:paraId="51811A7A" w14:textId="02D97E7F" w:rsidR="00A31928" w:rsidRPr="00036EE3" w:rsidRDefault="00A31928" w:rsidP="006B1D2B">
            <w:pPr>
              <w:spacing w:before="30" w:after="30"/>
              <w:jc w:val="left"/>
              <w:rPr>
                <w:sz w:val="20"/>
                <w:lang w:val="fr-CH"/>
              </w:rPr>
            </w:pPr>
            <w:r w:rsidRPr="00036EE3">
              <w:rPr>
                <w:sz w:val="20"/>
                <w:lang w:val="fr-CH"/>
              </w:rPr>
              <w:t>Radio</w:t>
            </w:r>
            <w:r w:rsidR="00DC7F16">
              <w:rPr>
                <w:sz w:val="20"/>
                <w:lang w:val="fr-CH"/>
              </w:rPr>
              <w:t>-</w:t>
            </w:r>
            <w:proofErr w:type="spellStart"/>
            <w:r w:rsidRPr="00036EE3">
              <w:rPr>
                <w:sz w:val="20"/>
                <w:lang w:val="fr-CH"/>
              </w:rPr>
              <w:t>wave</w:t>
            </w:r>
            <w:proofErr w:type="spellEnd"/>
            <w:r w:rsidRPr="00036EE3">
              <w:rPr>
                <w:sz w:val="20"/>
                <w:lang w:val="fr-CH"/>
              </w:rPr>
              <w:t xml:space="preserve"> propagation</w:t>
            </w:r>
          </w:p>
        </w:tc>
      </w:tr>
      <w:tr w:rsidR="00A31928" w:rsidRPr="00036EE3" w14:paraId="554015C4" w14:textId="77777777" w:rsidTr="00330E3E">
        <w:tc>
          <w:tcPr>
            <w:tcW w:w="1140" w:type="dxa"/>
          </w:tcPr>
          <w:p w14:paraId="48D85C3F"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2F57C57D"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4F7B0E3E" w14:textId="77777777" w:rsidTr="00330E3E">
        <w:tc>
          <w:tcPr>
            <w:tcW w:w="1140" w:type="dxa"/>
          </w:tcPr>
          <w:p w14:paraId="168FD360"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26ACD52E"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3795A284" w14:textId="77777777" w:rsidTr="00330E3E">
        <w:tc>
          <w:tcPr>
            <w:tcW w:w="1140" w:type="dxa"/>
          </w:tcPr>
          <w:p w14:paraId="3EDE33C5"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6D74DED6"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1749B33B" w14:textId="77777777" w:rsidTr="00330E3E">
        <w:tc>
          <w:tcPr>
            <w:tcW w:w="1140" w:type="dxa"/>
          </w:tcPr>
          <w:p w14:paraId="028875A7"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48163706"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2D49320C" w14:textId="77777777" w:rsidTr="00330E3E">
        <w:tc>
          <w:tcPr>
            <w:tcW w:w="1140" w:type="dxa"/>
            <w:tcBorders>
              <w:bottom w:val="nil"/>
            </w:tcBorders>
          </w:tcPr>
          <w:p w14:paraId="016DA4F2"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665D8877"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39DCD15F" w14:textId="77777777" w:rsidTr="00330E3E">
        <w:tc>
          <w:tcPr>
            <w:tcW w:w="1140" w:type="dxa"/>
            <w:tcBorders>
              <w:top w:val="nil"/>
              <w:bottom w:val="nil"/>
            </w:tcBorders>
          </w:tcPr>
          <w:p w14:paraId="6C11BC1E"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7F6AA8DB"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1E3A2798" w14:textId="77777777" w:rsidTr="00330E3E">
        <w:tc>
          <w:tcPr>
            <w:tcW w:w="1140" w:type="dxa"/>
            <w:tcBorders>
              <w:top w:val="nil"/>
            </w:tcBorders>
          </w:tcPr>
          <w:p w14:paraId="6758EE12"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59B20A18"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38F3EDE6" w14:textId="77777777" w:rsidTr="00330E3E">
        <w:tc>
          <w:tcPr>
            <w:tcW w:w="1140" w:type="dxa"/>
          </w:tcPr>
          <w:p w14:paraId="380DA2C6"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7E2A5460"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6DA1B539" w14:textId="77777777" w:rsidTr="00155D51">
        <w:tc>
          <w:tcPr>
            <w:tcW w:w="1140" w:type="dxa"/>
            <w:shd w:val="clear" w:color="auto" w:fill="F3F3F3"/>
          </w:tcPr>
          <w:p w14:paraId="00FA5053" w14:textId="77777777" w:rsidR="00A31928" w:rsidRPr="00155D51" w:rsidRDefault="00A31928" w:rsidP="006B1D2B">
            <w:pPr>
              <w:spacing w:before="30" w:after="30"/>
              <w:ind w:left="57"/>
              <w:jc w:val="left"/>
              <w:rPr>
                <w:rFonts w:hAnsi="Times New Roman Bold"/>
                <w:b/>
                <w:color w:val="000080"/>
                <w:sz w:val="20"/>
                <w:lang w:val="en-US"/>
              </w:rPr>
            </w:pPr>
            <w:r w:rsidRPr="00155D51">
              <w:rPr>
                <w:rFonts w:hAnsi="Times New Roman Bold"/>
                <w:b/>
                <w:color w:val="000080"/>
                <w:sz w:val="20"/>
                <w:lang w:val="en-US"/>
              </w:rPr>
              <w:t>V</w:t>
            </w:r>
          </w:p>
        </w:tc>
        <w:tc>
          <w:tcPr>
            <w:tcW w:w="8220" w:type="dxa"/>
            <w:shd w:val="clear" w:color="auto" w:fill="F3F3F3"/>
          </w:tcPr>
          <w:p w14:paraId="1DE8235F" w14:textId="77777777" w:rsidR="00A31928" w:rsidRPr="00155D51" w:rsidRDefault="00A31928" w:rsidP="00906589">
            <w:pPr>
              <w:spacing w:before="30" w:after="180"/>
              <w:jc w:val="left"/>
              <w:rPr>
                <w:rFonts w:hAnsi="Times New Roman Bold"/>
                <w:b/>
                <w:color w:val="000080"/>
                <w:sz w:val="20"/>
                <w:lang w:val="en-US"/>
              </w:rPr>
            </w:pPr>
            <w:r w:rsidRPr="00155D51">
              <w:rPr>
                <w:rFonts w:hAnsi="Times New Roman Bold"/>
                <w:b/>
                <w:color w:val="000080"/>
                <w:sz w:val="20"/>
                <w:lang w:val="en-US"/>
              </w:rPr>
              <w:t>Vocabulary and related subjects</w:t>
            </w:r>
          </w:p>
        </w:tc>
      </w:tr>
    </w:tbl>
    <w:p w14:paraId="6FB23C82" w14:textId="77777777" w:rsidR="00036EE3" w:rsidRPr="00036EE3" w:rsidRDefault="00036EE3" w:rsidP="007B1357">
      <w:pPr>
        <w:spacing w:before="30" w:after="30"/>
        <w:jc w:val="center"/>
        <w:rPr>
          <w:sz w:val="20"/>
          <w:lang w:val="en-US"/>
        </w:rPr>
      </w:pPr>
    </w:p>
    <w:p w14:paraId="23C845EF"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1E65724D" w14:textId="77777777" w:rsidTr="00AA0D99">
        <w:tc>
          <w:tcPr>
            <w:tcW w:w="9360" w:type="dxa"/>
          </w:tcPr>
          <w:p w14:paraId="552F9B4B" w14:textId="77777777" w:rsidR="00036EE3" w:rsidRPr="002F5199" w:rsidRDefault="00036EE3" w:rsidP="002F5199">
            <w:pPr>
              <w:spacing w:after="120"/>
              <w:jc w:val="center"/>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4DEB696" w14:textId="77777777" w:rsidR="00B714F3" w:rsidRDefault="00B714F3" w:rsidP="002F5199">
      <w:pPr>
        <w:spacing w:before="0"/>
        <w:jc w:val="center"/>
        <w:rPr>
          <w:sz w:val="22"/>
          <w:lang w:val="en-US"/>
        </w:rPr>
      </w:pPr>
    </w:p>
    <w:p w14:paraId="5F0F5E53" w14:textId="77777777" w:rsidR="00B714F3" w:rsidRDefault="00B714F3" w:rsidP="002F5199">
      <w:pPr>
        <w:spacing w:before="0"/>
        <w:jc w:val="center"/>
        <w:rPr>
          <w:sz w:val="22"/>
          <w:lang w:val="en-US"/>
        </w:rPr>
      </w:pPr>
    </w:p>
    <w:p w14:paraId="6BA27B14"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5358A1CE" w14:textId="77777777" w:rsidR="002F5199" w:rsidRPr="002F5199" w:rsidRDefault="002F5199" w:rsidP="000B1B2B">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sidR="005E69F0">
        <w:rPr>
          <w:sz w:val="20"/>
          <w:lang w:val="en-US"/>
        </w:rPr>
        <w:t>2</w:t>
      </w:r>
      <w:r w:rsidR="00330E3E">
        <w:rPr>
          <w:sz w:val="20"/>
          <w:lang w:val="en-US"/>
        </w:rPr>
        <w:t>5</w:t>
      </w:r>
    </w:p>
    <w:p w14:paraId="0A443946" w14:textId="77777777" w:rsidR="00470E28" w:rsidRDefault="00470E28" w:rsidP="00906589">
      <w:pPr>
        <w:jc w:val="center"/>
        <w:rPr>
          <w:sz w:val="22"/>
          <w:lang w:val="en-US"/>
        </w:rPr>
      </w:pPr>
    </w:p>
    <w:p w14:paraId="7655F94F" w14:textId="77777777"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w:t>
      </w:r>
      <w:r w:rsidR="00330E3E">
        <w:rPr>
          <w:sz w:val="20"/>
          <w:lang w:val="en-US"/>
        </w:rPr>
        <w:t>5</w:t>
      </w:r>
    </w:p>
    <w:p w14:paraId="5B4A4575"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4B5779C9" w14:textId="77777777" w:rsidR="007565CC" w:rsidRDefault="007565CC" w:rsidP="00A971A1">
      <w:pPr>
        <w:spacing w:before="160"/>
        <w:rPr>
          <w:i/>
          <w:sz w:val="20"/>
          <w:lang w:val="en-US"/>
        </w:rPr>
        <w:sectPr w:rsidR="007565CC"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7F9B6AE3" w14:textId="331847F0" w:rsidR="004C67F9" w:rsidRDefault="004C67F9" w:rsidP="00443893">
      <w:pPr>
        <w:pStyle w:val="RecNo"/>
        <w:spacing w:before="0"/>
      </w:pPr>
      <w:bookmarkStart w:id="2" w:name="irecnoe"/>
      <w:bookmarkEnd w:id="2"/>
      <w:r w:rsidRPr="004C67F9">
        <w:lastRenderedPageBreak/>
        <w:t xml:space="preserve">RECOMMENDATION  </w:t>
      </w:r>
      <w:r w:rsidRPr="004C67F9">
        <w:rPr>
          <w:rStyle w:val="href"/>
        </w:rPr>
        <w:t>ITU-R  V.431-</w:t>
      </w:r>
      <w:r w:rsidR="00B226A5">
        <w:rPr>
          <w:rStyle w:val="href"/>
        </w:rPr>
        <w:t>9</w:t>
      </w:r>
    </w:p>
    <w:p w14:paraId="3F523E16" w14:textId="2A96B878" w:rsidR="008A0983" w:rsidRDefault="008A0983" w:rsidP="004C67F9">
      <w:pPr>
        <w:pStyle w:val="Rectitle"/>
        <w:rPr>
          <w:lang w:val="en-US" w:eastAsia="zh-CN"/>
        </w:rPr>
      </w:pPr>
      <w:r w:rsidRPr="00A96C61">
        <w:rPr>
          <w:lang w:val="en-US" w:eastAsia="zh-CN"/>
        </w:rPr>
        <w:t>Nomenclature of the frequency and wavelength bands</w:t>
      </w:r>
      <w:r w:rsidR="00B82FE0">
        <w:rPr>
          <w:lang w:val="en-US" w:eastAsia="zh-CN"/>
        </w:rPr>
        <w:t xml:space="preserve"> </w:t>
      </w:r>
      <w:r w:rsidRPr="00A96C61">
        <w:rPr>
          <w:lang w:val="en-US" w:eastAsia="zh-CN"/>
        </w:rPr>
        <w:t>used</w:t>
      </w:r>
      <w:r w:rsidR="00B82FE0">
        <w:rPr>
          <w:lang w:val="en-US" w:eastAsia="zh-CN"/>
        </w:rPr>
        <w:t> </w:t>
      </w:r>
      <w:r w:rsidRPr="00A96C61">
        <w:rPr>
          <w:lang w:val="en-US" w:eastAsia="zh-CN"/>
        </w:rPr>
        <w:t>in</w:t>
      </w:r>
      <w:r w:rsidR="00B82FE0">
        <w:rPr>
          <w:lang w:val="en-US" w:eastAsia="zh-CN"/>
        </w:rPr>
        <w:t> </w:t>
      </w:r>
      <w:r w:rsidRPr="00A96C61">
        <w:rPr>
          <w:lang w:val="en-US" w:eastAsia="zh-CN"/>
        </w:rPr>
        <w:t>telecommunications</w:t>
      </w:r>
    </w:p>
    <w:p w14:paraId="4163104D" w14:textId="58971E7C" w:rsidR="00FC5B63" w:rsidRDefault="000A7BD3" w:rsidP="00FC5B63">
      <w:pPr>
        <w:pStyle w:val="Recdate"/>
        <w:rPr>
          <w:lang w:val="en-US"/>
        </w:rPr>
      </w:pPr>
      <w:r w:rsidRPr="00C34204">
        <w:rPr>
          <w:lang w:val="en-US"/>
        </w:rPr>
        <w:t>(1953-1956-1959-1963-1966-1974-1978-1982-1986-1993-2000-2015</w:t>
      </w:r>
      <w:r>
        <w:rPr>
          <w:lang w:val="en-US"/>
        </w:rPr>
        <w:t>-2025)</w:t>
      </w:r>
    </w:p>
    <w:p w14:paraId="4347080B" w14:textId="77777777" w:rsidR="006A60A7" w:rsidRPr="00DC7F16" w:rsidRDefault="006A60A7" w:rsidP="00F262A5">
      <w:pPr>
        <w:pStyle w:val="HeadingSum"/>
        <w:rPr>
          <w:lang w:val="en-GB"/>
        </w:rPr>
      </w:pPr>
      <w:bookmarkStart w:id="3" w:name="_Hlk212800381"/>
      <w:r w:rsidRPr="00DC7F16">
        <w:rPr>
          <w:lang w:val="en-GB"/>
        </w:rPr>
        <w:t>Scope</w:t>
      </w:r>
    </w:p>
    <w:p w14:paraId="170C660A" w14:textId="77777777" w:rsidR="006A60A7" w:rsidRPr="00DC7F16" w:rsidRDefault="006A60A7" w:rsidP="00F262A5">
      <w:pPr>
        <w:pStyle w:val="Summary"/>
        <w:rPr>
          <w:lang w:val="en-GB"/>
        </w:rPr>
      </w:pPr>
      <w:r w:rsidRPr="00DC7F16">
        <w:rPr>
          <w:lang w:val="en-GB"/>
        </w:rPr>
        <w:t>This text recommends the use of the hertz (Hz) as the unit of frequency, and the nomenclature to be used for the description of frequency and wavelength bands. It also provides extended information on nomenclature used in some applications.</w:t>
      </w:r>
    </w:p>
    <w:bookmarkEnd w:id="3"/>
    <w:p w14:paraId="3AC1D664" w14:textId="77777777" w:rsidR="00424A5D" w:rsidRPr="00424A5D" w:rsidRDefault="00424A5D" w:rsidP="00F262A5">
      <w:pPr>
        <w:pStyle w:val="Headingb"/>
        <w:rPr>
          <w:lang w:val="en-US"/>
        </w:rPr>
      </w:pPr>
      <w:r w:rsidRPr="00424A5D">
        <w:rPr>
          <w:lang w:val="en-US"/>
        </w:rPr>
        <w:t>Keywords</w:t>
      </w:r>
    </w:p>
    <w:p w14:paraId="16FD1786" w14:textId="2FF89870" w:rsidR="00651296" w:rsidRPr="00424A5D" w:rsidRDefault="00B82FE0" w:rsidP="00F262A5">
      <w:pPr>
        <w:rPr>
          <w:lang w:val="en-US" w:eastAsia="ja-JP"/>
        </w:rPr>
      </w:pPr>
      <w:r w:rsidRPr="00424A5D">
        <w:rPr>
          <w:lang w:val="en-US" w:eastAsia="ja-JP"/>
        </w:rPr>
        <w:t xml:space="preserve">Frequency </w:t>
      </w:r>
      <w:r w:rsidR="00651296" w:rsidRPr="00424A5D">
        <w:rPr>
          <w:lang w:val="en-US" w:eastAsia="ja-JP"/>
        </w:rPr>
        <w:t>bands, hertz, wavelength bands</w:t>
      </w:r>
    </w:p>
    <w:p w14:paraId="1D0744CA" w14:textId="77777777" w:rsidR="005B33BF" w:rsidRPr="005B33BF" w:rsidRDefault="005B33BF" w:rsidP="00F262A5">
      <w:pPr>
        <w:pStyle w:val="Headingb"/>
        <w:rPr>
          <w:lang w:val="en-US" w:eastAsia="zh-CN"/>
        </w:rPr>
      </w:pPr>
      <w:r w:rsidRPr="005B33BF">
        <w:rPr>
          <w:lang w:val="en-US" w:eastAsia="zh-CN"/>
        </w:rPr>
        <w:t>Related ITU-R Recommendations</w:t>
      </w:r>
    </w:p>
    <w:p w14:paraId="3AE6AB10" w14:textId="4815E0B2" w:rsidR="005B33BF" w:rsidRPr="005B33BF" w:rsidRDefault="005B33BF" w:rsidP="00B82FE0">
      <w:pPr>
        <w:pStyle w:val="Reftext"/>
        <w:rPr>
          <w:lang w:val="en-US"/>
        </w:rPr>
      </w:pPr>
      <w:r w:rsidRPr="005B33BF">
        <w:rPr>
          <w:lang w:val="en-US"/>
        </w:rPr>
        <w:t xml:space="preserve">Recommendation </w:t>
      </w:r>
      <w:hyperlink r:id="rId14" w:history="1">
        <w:r w:rsidRPr="005B33BF">
          <w:rPr>
            <w:lang w:val="en-US"/>
          </w:rPr>
          <w:t>ITU-R V.430</w:t>
        </w:r>
      </w:hyperlink>
      <w:r w:rsidR="00B82FE0">
        <w:rPr>
          <w:lang w:val="en-US"/>
        </w:rPr>
        <w:t xml:space="preserve"> </w:t>
      </w:r>
      <w:r w:rsidR="00B82FE0" w:rsidRPr="00B82FE0">
        <w:rPr>
          <w:lang w:val="en-US"/>
        </w:rPr>
        <w:t>–</w:t>
      </w:r>
      <w:r w:rsidR="00B82FE0">
        <w:rPr>
          <w:lang w:val="en-US"/>
        </w:rPr>
        <w:t xml:space="preserve"> </w:t>
      </w:r>
      <w:r w:rsidRPr="005B33BF">
        <w:rPr>
          <w:lang w:val="en-US"/>
        </w:rPr>
        <w:t>Use of the international system of units (SI)</w:t>
      </w:r>
    </w:p>
    <w:p w14:paraId="3E3D48B3" w14:textId="2E96BDA8" w:rsidR="005B33BF" w:rsidRPr="005B33BF" w:rsidRDefault="005B33BF" w:rsidP="00B82FE0">
      <w:pPr>
        <w:pStyle w:val="Reftext"/>
        <w:rPr>
          <w:lang w:val="fr-CH"/>
        </w:rPr>
      </w:pPr>
      <w:proofErr w:type="spellStart"/>
      <w:r w:rsidRPr="005B33BF">
        <w:rPr>
          <w:lang w:val="fr-CH"/>
        </w:rPr>
        <w:t>Recommendation</w:t>
      </w:r>
      <w:proofErr w:type="spellEnd"/>
      <w:r w:rsidRPr="005B33BF">
        <w:rPr>
          <w:lang w:val="fr-CH"/>
        </w:rPr>
        <w:t xml:space="preserve"> </w:t>
      </w:r>
      <w:hyperlink r:id="rId15" w:history="1">
        <w:r w:rsidRPr="005B33BF">
          <w:rPr>
            <w:lang w:val="fr-CH"/>
          </w:rPr>
          <w:t>ITU-R V.573</w:t>
        </w:r>
      </w:hyperlink>
      <w:r w:rsidR="00B82FE0" w:rsidRPr="00DC7F16">
        <w:rPr>
          <w:lang w:val="fr-CH"/>
        </w:rPr>
        <w:t xml:space="preserve"> – </w:t>
      </w:r>
      <w:r w:rsidRPr="005B33BF">
        <w:rPr>
          <w:lang w:val="fr-FR"/>
        </w:rPr>
        <w:t xml:space="preserve">Radiocommunication </w:t>
      </w:r>
      <w:proofErr w:type="spellStart"/>
      <w:r w:rsidRPr="005B33BF">
        <w:rPr>
          <w:lang w:val="fr-FR"/>
        </w:rPr>
        <w:t>vocabulary</w:t>
      </w:r>
      <w:proofErr w:type="spellEnd"/>
    </w:p>
    <w:p w14:paraId="295E4A04" w14:textId="77777777" w:rsidR="00C027AD" w:rsidRPr="00C027AD" w:rsidRDefault="00C027AD" w:rsidP="00F262A5">
      <w:pPr>
        <w:pStyle w:val="Normalaftertitle"/>
      </w:pPr>
      <w:r w:rsidRPr="00C027AD">
        <w:t>The ITU Radiocommunication Assembly,</w:t>
      </w:r>
    </w:p>
    <w:p w14:paraId="214A4F26" w14:textId="77777777" w:rsidR="00C027AD" w:rsidRPr="00C027AD" w:rsidRDefault="00C027AD" w:rsidP="00F262A5">
      <w:pPr>
        <w:pStyle w:val="Call"/>
        <w:rPr>
          <w:lang w:val="en-US"/>
        </w:rPr>
      </w:pPr>
      <w:r w:rsidRPr="00C027AD">
        <w:rPr>
          <w:lang w:val="en-US"/>
        </w:rPr>
        <w:t>considering</w:t>
      </w:r>
    </w:p>
    <w:p w14:paraId="3ACB3A86" w14:textId="77777777" w:rsidR="00C027AD" w:rsidRPr="00C027AD" w:rsidRDefault="00C027AD" w:rsidP="004C6872">
      <w:pPr>
        <w:rPr>
          <w:lang w:val="en-US"/>
        </w:rPr>
      </w:pPr>
      <w:r w:rsidRPr="00C027AD">
        <w:rPr>
          <w:i/>
          <w:iCs/>
          <w:lang w:val="en-US"/>
        </w:rPr>
        <w:t>a)</w:t>
      </w:r>
      <w:r w:rsidRPr="00C027AD">
        <w:rPr>
          <w:lang w:val="en-US"/>
        </w:rPr>
        <w:tab/>
        <w:t xml:space="preserve">that the merits of Heinrich Hertz (1857-1897) as a research worker on the basic phenomena of radio waves, are universally recognized, as was confirmed at the centenary of his birth; and that as early as 1937 the International Electrotechnical Commission (IEC) adopted the hertz (symbol: Hz) as a name for the unit of frequency (see </w:t>
      </w:r>
      <w:r w:rsidRPr="00C027AD">
        <w:rPr>
          <w:i/>
          <w:lang w:val="en-US"/>
        </w:rPr>
        <w:t>inter alia</w:t>
      </w:r>
      <w:r w:rsidRPr="00C027AD">
        <w:rPr>
          <w:lang w:val="en-US"/>
        </w:rPr>
        <w:t xml:space="preserve">, </w:t>
      </w:r>
      <w:r w:rsidRPr="00C027AD">
        <w:rPr>
          <w:iCs/>
          <w:lang w:val="en-US"/>
        </w:rPr>
        <w:t xml:space="preserve">International Standard </w:t>
      </w:r>
      <w:hyperlink r:id="rId16" w:history="1">
        <w:r w:rsidRPr="00C027AD">
          <w:rPr>
            <w:lang w:val="en-US"/>
          </w:rPr>
          <w:t>IEC 60027</w:t>
        </w:r>
      </w:hyperlink>
      <w:r w:rsidRPr="00C027AD">
        <w:rPr>
          <w:lang w:val="en-US"/>
        </w:rPr>
        <w:t>);</w:t>
      </w:r>
    </w:p>
    <w:p w14:paraId="2190F8BA" w14:textId="77777777" w:rsidR="00C027AD" w:rsidRPr="00C027AD" w:rsidRDefault="00C027AD" w:rsidP="00C027AD">
      <w:pPr>
        <w:rPr>
          <w:szCs w:val="24"/>
          <w:lang w:val="en-US"/>
        </w:rPr>
      </w:pPr>
      <w:r w:rsidRPr="00C027AD">
        <w:rPr>
          <w:i/>
          <w:iCs/>
          <w:szCs w:val="24"/>
          <w:lang w:val="en-US"/>
        </w:rPr>
        <w:t>b)</w:t>
      </w:r>
      <w:r w:rsidRPr="00C027AD">
        <w:rPr>
          <w:szCs w:val="24"/>
          <w:lang w:val="en-US"/>
        </w:rPr>
        <w:tab/>
        <w:t>that the nomenclature in this Recommendation should be as synoptic as possible and that the designation of frequency bands should be as concise as possible;</w:t>
      </w:r>
    </w:p>
    <w:p w14:paraId="51A2CD70" w14:textId="77777777" w:rsidR="00C027AD" w:rsidRPr="00C027AD" w:rsidRDefault="00C027AD" w:rsidP="00C027AD">
      <w:pPr>
        <w:rPr>
          <w:szCs w:val="24"/>
          <w:lang w:val="en-US"/>
        </w:rPr>
      </w:pPr>
      <w:r w:rsidRPr="00C027AD">
        <w:rPr>
          <w:i/>
          <w:szCs w:val="24"/>
          <w:lang w:val="en-US"/>
        </w:rPr>
        <w:t>c)</w:t>
      </w:r>
      <w:r w:rsidRPr="00C027AD">
        <w:rPr>
          <w:szCs w:val="24"/>
          <w:lang w:val="en-US"/>
        </w:rPr>
        <w:tab/>
        <w:t>the need for units and prefixes to be consistent with those defined in the International System of Units (</w:t>
      </w:r>
      <w:hyperlink r:id="rId17" w:history="1">
        <w:r w:rsidRPr="00C027AD">
          <w:rPr>
            <w:szCs w:val="24"/>
            <w:lang w:val="en-US"/>
          </w:rPr>
          <w:t>SI</w:t>
        </w:r>
      </w:hyperlink>
      <w:r w:rsidRPr="00C027AD">
        <w:rPr>
          <w:szCs w:val="24"/>
          <w:lang w:val="en-US"/>
        </w:rPr>
        <w:t>),</w:t>
      </w:r>
    </w:p>
    <w:p w14:paraId="6DB021AB" w14:textId="77777777" w:rsidR="00C027AD" w:rsidRPr="00C027AD" w:rsidRDefault="00C027AD" w:rsidP="004C6872">
      <w:pPr>
        <w:pStyle w:val="Call"/>
        <w:rPr>
          <w:lang w:val="en-US"/>
        </w:rPr>
      </w:pPr>
      <w:proofErr w:type="gramStart"/>
      <w:r w:rsidRPr="00C027AD">
        <w:rPr>
          <w:lang w:val="en-US"/>
        </w:rPr>
        <w:t>recommends</w:t>
      </w:r>
      <w:proofErr w:type="gramEnd"/>
    </w:p>
    <w:p w14:paraId="1908911D" w14:textId="0D6AF663" w:rsidR="00C027AD" w:rsidRPr="00C027AD" w:rsidRDefault="00C027AD" w:rsidP="004C6872">
      <w:pPr>
        <w:rPr>
          <w:lang w:val="en-US"/>
        </w:rPr>
      </w:pPr>
      <w:r w:rsidRPr="00C027AD">
        <w:rPr>
          <w:bCs/>
          <w:lang w:val="en-US"/>
        </w:rPr>
        <w:t>1</w:t>
      </w:r>
      <w:r w:rsidRPr="00C027AD">
        <w:rPr>
          <w:lang w:val="en-US"/>
        </w:rPr>
        <w:tab/>
        <w:t xml:space="preserve">that the hertz (Hz) be accepted for use in publications of the ITU, as the name for the unit of frequency in accordance with Recommendation </w:t>
      </w:r>
      <w:hyperlink r:id="rId18" w:history="1">
        <w:r w:rsidR="001250BB" w:rsidRPr="005B33BF">
          <w:rPr>
            <w:lang w:val="en-US"/>
          </w:rPr>
          <w:t>ITU-R V.430</w:t>
        </w:r>
      </w:hyperlink>
      <w:r w:rsidRPr="00C027AD">
        <w:rPr>
          <w:lang w:val="en-US"/>
        </w:rPr>
        <w:t xml:space="preserve"> on the use of the International System of Units;</w:t>
      </w:r>
    </w:p>
    <w:p w14:paraId="78B3BFE7" w14:textId="77777777" w:rsidR="00C027AD" w:rsidRDefault="00C027AD" w:rsidP="004C6872">
      <w:pPr>
        <w:rPr>
          <w:lang w:val="en-US"/>
        </w:rPr>
      </w:pPr>
      <w:r w:rsidRPr="00C027AD">
        <w:rPr>
          <w:bCs/>
          <w:lang w:val="en-US"/>
        </w:rPr>
        <w:t>2</w:t>
      </w:r>
      <w:r w:rsidRPr="00C027AD">
        <w:rPr>
          <w:lang w:val="en-US"/>
        </w:rPr>
        <w:tab/>
        <w:t xml:space="preserve">that administrations should use the nomenclature of the frequency and wavelength bands given in Table 1 and Notes 1 and 2, which take account of No. </w:t>
      </w:r>
      <w:r w:rsidRPr="00C027AD">
        <w:rPr>
          <w:b/>
          <w:bCs/>
          <w:lang w:val="en-US"/>
        </w:rPr>
        <w:t>2.1</w:t>
      </w:r>
      <w:r w:rsidRPr="00C027AD">
        <w:rPr>
          <w:lang w:val="en-US"/>
        </w:rPr>
        <w:t xml:space="preserve"> of the Radio Regulations.</w:t>
      </w:r>
    </w:p>
    <w:p w14:paraId="04131553" w14:textId="77777777" w:rsidR="00C027AD" w:rsidRPr="00C027AD" w:rsidRDefault="00C027AD" w:rsidP="0024688E">
      <w:pPr>
        <w:pStyle w:val="TableNo"/>
        <w:rPr>
          <w:lang w:val="fr-FR"/>
        </w:rPr>
      </w:pPr>
      <w:r w:rsidRPr="00C027AD">
        <w:rPr>
          <w:lang w:val="fr-FR"/>
        </w:rPr>
        <w:lastRenderedPageBreak/>
        <w:t>TABLE 1</w:t>
      </w:r>
    </w:p>
    <w:tbl>
      <w:tblPr>
        <w:tblW w:w="9639" w:type="dxa"/>
        <w:jc w:val="center"/>
        <w:tblLook w:val="0020" w:firstRow="1" w:lastRow="0" w:firstColumn="0" w:lastColumn="0" w:noHBand="0" w:noVBand="0"/>
      </w:tblPr>
      <w:tblGrid>
        <w:gridCol w:w="1108"/>
        <w:gridCol w:w="1011"/>
        <w:gridCol w:w="2861"/>
        <w:gridCol w:w="2121"/>
        <w:gridCol w:w="2538"/>
      </w:tblGrid>
      <w:tr w:rsidR="00BD7E27" w:rsidRPr="00C027AD" w14:paraId="33D82018" w14:textId="77777777" w:rsidTr="008008AC">
        <w:trPr>
          <w:cantSplit/>
          <w:jc w:val="center"/>
        </w:trPr>
        <w:tc>
          <w:tcPr>
            <w:tcW w:w="580" w:type="pct"/>
            <w:tcBorders>
              <w:top w:val="single" w:sz="6" w:space="0" w:color="auto"/>
              <w:left w:val="single" w:sz="6" w:space="0" w:color="auto"/>
              <w:bottom w:val="single" w:sz="6" w:space="0" w:color="auto"/>
              <w:right w:val="single" w:sz="6" w:space="0" w:color="auto"/>
            </w:tcBorders>
            <w:vAlign w:val="center"/>
          </w:tcPr>
          <w:p w14:paraId="6B25C30D" w14:textId="77777777" w:rsidR="00BD7E27" w:rsidRPr="00C027AD" w:rsidRDefault="00BD7E27" w:rsidP="008008AC">
            <w:pPr>
              <w:pStyle w:val="Tablehead"/>
              <w:keepLines/>
              <w:rPr>
                <w:lang w:val="fr-FR"/>
              </w:rPr>
            </w:pPr>
            <w:r w:rsidRPr="00C027AD">
              <w:rPr>
                <w:lang w:val="fr-FR"/>
              </w:rPr>
              <w:t>Band</w:t>
            </w:r>
            <w:r w:rsidRPr="00C027AD">
              <w:rPr>
                <w:lang w:val="fr-FR"/>
              </w:rPr>
              <w:br/>
            </w:r>
            <w:proofErr w:type="spellStart"/>
            <w:r w:rsidRPr="00C027AD">
              <w:rPr>
                <w:lang w:val="fr-FR"/>
              </w:rPr>
              <w:t>number</w:t>
            </w:r>
            <w:proofErr w:type="spellEnd"/>
          </w:p>
        </w:tc>
        <w:tc>
          <w:tcPr>
            <w:tcW w:w="505" w:type="pct"/>
            <w:tcBorders>
              <w:top w:val="single" w:sz="6" w:space="0" w:color="auto"/>
              <w:left w:val="single" w:sz="6" w:space="0" w:color="auto"/>
              <w:bottom w:val="single" w:sz="6" w:space="0" w:color="auto"/>
              <w:right w:val="single" w:sz="6" w:space="0" w:color="auto"/>
            </w:tcBorders>
            <w:vAlign w:val="center"/>
          </w:tcPr>
          <w:p w14:paraId="22B8C8E1" w14:textId="77777777" w:rsidR="00BD7E27" w:rsidRPr="00C027AD" w:rsidRDefault="00BD7E27" w:rsidP="008008AC">
            <w:pPr>
              <w:pStyle w:val="Tablehead"/>
              <w:keepLines/>
              <w:rPr>
                <w:lang w:val="fr-FR"/>
              </w:rPr>
            </w:pPr>
            <w:proofErr w:type="spellStart"/>
            <w:r w:rsidRPr="00C027AD">
              <w:rPr>
                <w:lang w:val="fr-FR"/>
              </w:rPr>
              <w:t>Symbols</w:t>
            </w:r>
            <w:proofErr w:type="spellEnd"/>
          </w:p>
        </w:tc>
        <w:tc>
          <w:tcPr>
            <w:tcW w:w="1489" w:type="pct"/>
            <w:tcBorders>
              <w:top w:val="single" w:sz="6" w:space="0" w:color="auto"/>
              <w:left w:val="single" w:sz="6" w:space="0" w:color="auto"/>
              <w:bottom w:val="single" w:sz="6" w:space="0" w:color="auto"/>
              <w:right w:val="single" w:sz="6" w:space="0" w:color="auto"/>
            </w:tcBorders>
            <w:vAlign w:val="center"/>
          </w:tcPr>
          <w:p w14:paraId="25FF1CA8" w14:textId="77777777" w:rsidR="00BD7E27" w:rsidRPr="00C027AD" w:rsidRDefault="00BD7E27" w:rsidP="008008AC">
            <w:pPr>
              <w:pStyle w:val="Tablehead"/>
              <w:keepLines/>
              <w:rPr>
                <w:lang w:val="fr-FR"/>
              </w:rPr>
            </w:pPr>
            <w:proofErr w:type="spellStart"/>
            <w:r w:rsidRPr="00C027AD">
              <w:rPr>
                <w:lang w:val="fr-FR"/>
              </w:rPr>
              <w:t>Designations</w:t>
            </w:r>
            <w:proofErr w:type="spellEnd"/>
          </w:p>
        </w:tc>
        <w:tc>
          <w:tcPr>
            <w:tcW w:w="1105" w:type="pct"/>
            <w:tcBorders>
              <w:top w:val="single" w:sz="6" w:space="0" w:color="auto"/>
              <w:left w:val="single" w:sz="6" w:space="0" w:color="auto"/>
              <w:bottom w:val="single" w:sz="6" w:space="0" w:color="auto"/>
              <w:right w:val="single" w:sz="6" w:space="0" w:color="auto"/>
            </w:tcBorders>
            <w:vAlign w:val="center"/>
          </w:tcPr>
          <w:p w14:paraId="46FB265B" w14:textId="77777777" w:rsidR="00BD7E27" w:rsidRPr="00C027AD" w:rsidRDefault="00BD7E27" w:rsidP="008008AC">
            <w:pPr>
              <w:pStyle w:val="Tablehead"/>
              <w:keepLines/>
            </w:pPr>
            <w:r w:rsidRPr="00C027AD">
              <w:t>Frequency range</w:t>
            </w:r>
            <w:r w:rsidRPr="00C027AD">
              <w:br/>
              <w:t>(lower limit exclusive,</w:t>
            </w:r>
            <w:r w:rsidRPr="00C027AD">
              <w:br/>
              <w:t>upper limit inclusive)</w:t>
            </w:r>
          </w:p>
        </w:tc>
        <w:tc>
          <w:tcPr>
            <w:tcW w:w="1321" w:type="pct"/>
            <w:tcBorders>
              <w:top w:val="single" w:sz="6" w:space="0" w:color="auto"/>
              <w:left w:val="single" w:sz="6" w:space="0" w:color="auto"/>
              <w:bottom w:val="single" w:sz="6" w:space="0" w:color="auto"/>
              <w:right w:val="single" w:sz="6" w:space="0" w:color="auto"/>
            </w:tcBorders>
            <w:vAlign w:val="center"/>
          </w:tcPr>
          <w:p w14:paraId="2BFB5C48" w14:textId="77777777" w:rsidR="00BD7E27" w:rsidRPr="00C027AD" w:rsidRDefault="00BD7E27" w:rsidP="008008AC">
            <w:pPr>
              <w:pStyle w:val="Tablehead"/>
              <w:keepLines/>
              <w:rPr>
                <w:lang w:val="fr-FR"/>
              </w:rPr>
            </w:pPr>
            <w:proofErr w:type="spellStart"/>
            <w:r w:rsidRPr="00C027AD">
              <w:rPr>
                <w:lang w:val="fr-FR"/>
              </w:rPr>
              <w:t>Corresponding</w:t>
            </w:r>
            <w:proofErr w:type="spellEnd"/>
            <w:r w:rsidRPr="00C027AD">
              <w:rPr>
                <w:lang w:val="fr-FR"/>
              </w:rPr>
              <w:t xml:space="preserve"> </w:t>
            </w:r>
            <w:proofErr w:type="spellStart"/>
            <w:r w:rsidRPr="00C027AD">
              <w:rPr>
                <w:lang w:val="fr-FR"/>
              </w:rPr>
              <w:t>metric</w:t>
            </w:r>
            <w:proofErr w:type="spellEnd"/>
            <w:r w:rsidRPr="00C027AD">
              <w:rPr>
                <w:lang w:val="fr-FR"/>
              </w:rPr>
              <w:t xml:space="preserve"> subdivision</w:t>
            </w:r>
          </w:p>
        </w:tc>
      </w:tr>
      <w:tr w:rsidR="00BD7E27" w:rsidRPr="000F7769" w14:paraId="75DDC546" w14:textId="77777777" w:rsidTr="008008AC">
        <w:trPr>
          <w:cantSplit/>
          <w:jc w:val="center"/>
        </w:trPr>
        <w:tc>
          <w:tcPr>
            <w:tcW w:w="580" w:type="pct"/>
            <w:tcBorders>
              <w:top w:val="single" w:sz="6" w:space="0" w:color="auto"/>
              <w:left w:val="single" w:sz="6" w:space="0" w:color="auto"/>
              <w:right w:val="single" w:sz="6" w:space="0" w:color="auto"/>
            </w:tcBorders>
            <w:tcMar>
              <w:top w:w="0" w:type="dxa"/>
              <w:bottom w:w="0" w:type="dxa"/>
            </w:tcMar>
          </w:tcPr>
          <w:p w14:paraId="05541123" w14:textId="77777777" w:rsidR="00BD7E27" w:rsidRPr="00C027AD" w:rsidRDefault="00BD7E27" w:rsidP="008008AC">
            <w:pPr>
              <w:pStyle w:val="Tabletext"/>
              <w:keepNext/>
              <w:keepLines/>
              <w:jc w:val="center"/>
            </w:pPr>
            <w:r w:rsidRPr="00C027AD">
              <w:t>3</w:t>
            </w:r>
          </w:p>
        </w:tc>
        <w:tc>
          <w:tcPr>
            <w:tcW w:w="505" w:type="pct"/>
            <w:tcBorders>
              <w:top w:val="single" w:sz="6" w:space="0" w:color="auto"/>
              <w:left w:val="single" w:sz="6" w:space="0" w:color="auto"/>
              <w:right w:val="single" w:sz="6" w:space="0" w:color="auto"/>
            </w:tcBorders>
            <w:tcMar>
              <w:top w:w="0" w:type="dxa"/>
              <w:bottom w:w="0" w:type="dxa"/>
            </w:tcMar>
          </w:tcPr>
          <w:p w14:paraId="05222C15" w14:textId="77777777" w:rsidR="00BD7E27" w:rsidRPr="00C027AD" w:rsidRDefault="00BD7E27" w:rsidP="008008AC">
            <w:pPr>
              <w:pStyle w:val="Tabletext"/>
              <w:keepNext/>
              <w:keepLines/>
              <w:jc w:val="center"/>
            </w:pPr>
            <w:r w:rsidRPr="00C027AD">
              <w:t>ULF</w:t>
            </w:r>
          </w:p>
        </w:tc>
        <w:tc>
          <w:tcPr>
            <w:tcW w:w="1489" w:type="pct"/>
            <w:tcBorders>
              <w:top w:val="single" w:sz="6" w:space="0" w:color="auto"/>
              <w:left w:val="single" w:sz="6" w:space="0" w:color="auto"/>
              <w:right w:val="single" w:sz="6" w:space="0" w:color="auto"/>
            </w:tcBorders>
            <w:tcMar>
              <w:top w:w="0" w:type="dxa"/>
              <w:bottom w:w="0" w:type="dxa"/>
            </w:tcMar>
          </w:tcPr>
          <w:p w14:paraId="0B01D63B" w14:textId="77777777" w:rsidR="00BD7E27" w:rsidRPr="00C027AD" w:rsidRDefault="00BD7E27" w:rsidP="008008AC">
            <w:pPr>
              <w:pStyle w:val="Tabletext"/>
              <w:keepNext/>
              <w:keepLines/>
              <w:jc w:val="center"/>
            </w:pPr>
            <w:proofErr w:type="spellStart"/>
            <w:r w:rsidRPr="00C027AD">
              <w:t>Ultra low</w:t>
            </w:r>
            <w:proofErr w:type="spellEnd"/>
            <w:r w:rsidRPr="00C027AD">
              <w:t xml:space="preserve"> frequency</w:t>
            </w:r>
          </w:p>
        </w:tc>
        <w:tc>
          <w:tcPr>
            <w:tcW w:w="1105" w:type="pct"/>
            <w:tcBorders>
              <w:top w:val="single" w:sz="6" w:space="0" w:color="auto"/>
              <w:left w:val="single" w:sz="6" w:space="0" w:color="auto"/>
              <w:right w:val="single" w:sz="6" w:space="0" w:color="auto"/>
            </w:tcBorders>
            <w:tcMar>
              <w:top w:w="0" w:type="dxa"/>
              <w:bottom w:w="0" w:type="dxa"/>
            </w:tcMar>
          </w:tcPr>
          <w:p w14:paraId="60845C8A" w14:textId="77777777" w:rsidR="00BD7E27" w:rsidRPr="00C027AD" w:rsidRDefault="00BD7E27" w:rsidP="008008AC">
            <w:pPr>
              <w:pStyle w:val="Tabletext"/>
              <w:keepNext/>
              <w:keepLines/>
              <w:jc w:val="center"/>
            </w:pPr>
            <w:r w:rsidRPr="00C027AD">
              <w:t>300-3 000 Hz</w:t>
            </w:r>
          </w:p>
        </w:tc>
        <w:tc>
          <w:tcPr>
            <w:tcW w:w="1321" w:type="pct"/>
            <w:tcBorders>
              <w:top w:val="single" w:sz="6" w:space="0" w:color="auto"/>
              <w:left w:val="single" w:sz="6" w:space="0" w:color="auto"/>
              <w:right w:val="single" w:sz="6" w:space="0" w:color="auto"/>
            </w:tcBorders>
            <w:tcMar>
              <w:top w:w="0" w:type="dxa"/>
              <w:bottom w:w="0" w:type="dxa"/>
            </w:tcMar>
          </w:tcPr>
          <w:p w14:paraId="50DF026F" w14:textId="77777777" w:rsidR="00BD7E27" w:rsidRPr="00C027AD" w:rsidRDefault="00BD7E27" w:rsidP="008008AC">
            <w:pPr>
              <w:pStyle w:val="Tabletext"/>
              <w:keepNext/>
              <w:keepLines/>
              <w:jc w:val="center"/>
            </w:pPr>
            <w:r w:rsidRPr="00C027AD">
              <w:t>sub-</w:t>
            </w:r>
            <w:proofErr w:type="spellStart"/>
            <w:r w:rsidRPr="00C027AD">
              <w:t>megametric</w:t>
            </w:r>
            <w:proofErr w:type="spellEnd"/>
            <w:r w:rsidRPr="00C027AD">
              <w:t xml:space="preserve"> waves</w:t>
            </w:r>
          </w:p>
        </w:tc>
      </w:tr>
      <w:tr w:rsidR="00BD7E27" w:rsidRPr="000F7769" w14:paraId="4465B7EB" w14:textId="77777777" w:rsidTr="008008AC">
        <w:trPr>
          <w:cantSplit/>
          <w:jc w:val="center"/>
        </w:trPr>
        <w:tc>
          <w:tcPr>
            <w:tcW w:w="580" w:type="pct"/>
            <w:tcBorders>
              <w:left w:val="single" w:sz="6" w:space="0" w:color="auto"/>
              <w:right w:val="single" w:sz="6" w:space="0" w:color="auto"/>
            </w:tcBorders>
            <w:tcMar>
              <w:top w:w="0" w:type="dxa"/>
              <w:bottom w:w="0" w:type="dxa"/>
            </w:tcMar>
          </w:tcPr>
          <w:p w14:paraId="57E5FE99" w14:textId="77777777" w:rsidR="00BD7E27" w:rsidRPr="00C027AD" w:rsidRDefault="00BD7E27" w:rsidP="008008AC">
            <w:pPr>
              <w:pStyle w:val="Tabletext"/>
              <w:keepNext/>
              <w:keepLines/>
              <w:jc w:val="center"/>
            </w:pPr>
            <w:r w:rsidRPr="00C027AD">
              <w:t>4</w:t>
            </w:r>
          </w:p>
        </w:tc>
        <w:tc>
          <w:tcPr>
            <w:tcW w:w="505" w:type="pct"/>
            <w:tcBorders>
              <w:left w:val="single" w:sz="6" w:space="0" w:color="auto"/>
              <w:right w:val="single" w:sz="6" w:space="0" w:color="auto"/>
            </w:tcBorders>
            <w:tcMar>
              <w:top w:w="0" w:type="dxa"/>
              <w:bottom w:w="0" w:type="dxa"/>
            </w:tcMar>
          </w:tcPr>
          <w:p w14:paraId="2D650A47" w14:textId="77777777" w:rsidR="00BD7E27" w:rsidRPr="00C027AD" w:rsidRDefault="00BD7E27" w:rsidP="008008AC">
            <w:pPr>
              <w:pStyle w:val="Tabletext"/>
              <w:keepNext/>
              <w:keepLines/>
              <w:jc w:val="center"/>
            </w:pPr>
            <w:r w:rsidRPr="00C027AD">
              <w:t>VLF</w:t>
            </w:r>
          </w:p>
        </w:tc>
        <w:tc>
          <w:tcPr>
            <w:tcW w:w="1489" w:type="pct"/>
            <w:tcBorders>
              <w:left w:val="single" w:sz="6" w:space="0" w:color="auto"/>
              <w:right w:val="single" w:sz="6" w:space="0" w:color="auto"/>
            </w:tcBorders>
            <w:tcMar>
              <w:top w:w="0" w:type="dxa"/>
              <w:bottom w:w="0" w:type="dxa"/>
            </w:tcMar>
          </w:tcPr>
          <w:p w14:paraId="1847FF57" w14:textId="77777777" w:rsidR="00BD7E27" w:rsidRPr="00C027AD" w:rsidRDefault="00BD7E27" w:rsidP="008008AC">
            <w:pPr>
              <w:pStyle w:val="Tabletext"/>
              <w:keepNext/>
              <w:keepLines/>
              <w:jc w:val="center"/>
            </w:pPr>
            <w:r w:rsidRPr="00C027AD">
              <w:t>Very low frequency</w:t>
            </w:r>
          </w:p>
        </w:tc>
        <w:tc>
          <w:tcPr>
            <w:tcW w:w="1105" w:type="pct"/>
            <w:tcBorders>
              <w:left w:val="single" w:sz="6" w:space="0" w:color="auto"/>
              <w:right w:val="single" w:sz="6" w:space="0" w:color="auto"/>
            </w:tcBorders>
            <w:tcMar>
              <w:top w:w="0" w:type="dxa"/>
              <w:bottom w:w="0" w:type="dxa"/>
            </w:tcMar>
          </w:tcPr>
          <w:p w14:paraId="1D1B7344" w14:textId="77777777" w:rsidR="00BD7E27" w:rsidRPr="00C027AD" w:rsidRDefault="00BD7E27" w:rsidP="008008AC">
            <w:pPr>
              <w:pStyle w:val="Tabletext"/>
              <w:keepNext/>
              <w:keepLines/>
              <w:jc w:val="center"/>
            </w:pPr>
            <w:r w:rsidRPr="00C027AD">
              <w:t>3-30 kHz</w:t>
            </w:r>
          </w:p>
        </w:tc>
        <w:tc>
          <w:tcPr>
            <w:tcW w:w="1321" w:type="pct"/>
            <w:tcBorders>
              <w:left w:val="single" w:sz="6" w:space="0" w:color="auto"/>
              <w:right w:val="single" w:sz="6" w:space="0" w:color="auto"/>
            </w:tcBorders>
            <w:tcMar>
              <w:top w:w="0" w:type="dxa"/>
              <w:bottom w:w="0" w:type="dxa"/>
            </w:tcMar>
          </w:tcPr>
          <w:p w14:paraId="4121B632" w14:textId="77777777" w:rsidR="00BD7E27" w:rsidRPr="00C027AD" w:rsidRDefault="00BD7E27" w:rsidP="008008AC">
            <w:pPr>
              <w:pStyle w:val="Tabletext"/>
              <w:keepNext/>
              <w:keepLines/>
              <w:jc w:val="center"/>
            </w:pPr>
            <w:r w:rsidRPr="00C027AD">
              <w:t>super-kilometric waves</w:t>
            </w:r>
          </w:p>
        </w:tc>
      </w:tr>
      <w:tr w:rsidR="00BD7E27" w:rsidRPr="000F7769" w14:paraId="7D755E1D" w14:textId="77777777" w:rsidTr="008008AC">
        <w:trPr>
          <w:cantSplit/>
          <w:jc w:val="center"/>
        </w:trPr>
        <w:tc>
          <w:tcPr>
            <w:tcW w:w="580" w:type="pct"/>
            <w:tcBorders>
              <w:left w:val="single" w:sz="6" w:space="0" w:color="auto"/>
              <w:right w:val="single" w:sz="6" w:space="0" w:color="auto"/>
            </w:tcBorders>
            <w:tcMar>
              <w:top w:w="0" w:type="dxa"/>
              <w:bottom w:w="0" w:type="dxa"/>
            </w:tcMar>
          </w:tcPr>
          <w:p w14:paraId="0D4D914F" w14:textId="77777777" w:rsidR="00BD7E27" w:rsidRPr="00C027AD" w:rsidRDefault="00BD7E27" w:rsidP="008008AC">
            <w:pPr>
              <w:pStyle w:val="Tabletext"/>
              <w:keepNext/>
              <w:keepLines/>
              <w:jc w:val="center"/>
            </w:pPr>
            <w:r w:rsidRPr="00C027AD">
              <w:t>5</w:t>
            </w:r>
          </w:p>
        </w:tc>
        <w:tc>
          <w:tcPr>
            <w:tcW w:w="505" w:type="pct"/>
            <w:tcBorders>
              <w:left w:val="single" w:sz="6" w:space="0" w:color="auto"/>
              <w:right w:val="single" w:sz="6" w:space="0" w:color="auto"/>
            </w:tcBorders>
            <w:tcMar>
              <w:top w:w="0" w:type="dxa"/>
              <w:bottom w:w="0" w:type="dxa"/>
            </w:tcMar>
          </w:tcPr>
          <w:p w14:paraId="73CC3C7E" w14:textId="77777777" w:rsidR="00BD7E27" w:rsidRPr="00C027AD" w:rsidRDefault="00BD7E27" w:rsidP="008008AC">
            <w:pPr>
              <w:pStyle w:val="Tabletext"/>
              <w:keepNext/>
              <w:keepLines/>
              <w:jc w:val="center"/>
            </w:pPr>
            <w:r w:rsidRPr="00C027AD">
              <w:t>LF</w:t>
            </w:r>
          </w:p>
        </w:tc>
        <w:tc>
          <w:tcPr>
            <w:tcW w:w="1489" w:type="pct"/>
            <w:tcBorders>
              <w:left w:val="single" w:sz="6" w:space="0" w:color="auto"/>
              <w:right w:val="single" w:sz="6" w:space="0" w:color="auto"/>
            </w:tcBorders>
            <w:tcMar>
              <w:top w:w="0" w:type="dxa"/>
              <w:bottom w:w="0" w:type="dxa"/>
            </w:tcMar>
          </w:tcPr>
          <w:p w14:paraId="7D39A1D5" w14:textId="77777777" w:rsidR="00BD7E27" w:rsidRPr="00C027AD" w:rsidRDefault="00BD7E27" w:rsidP="008008AC">
            <w:pPr>
              <w:pStyle w:val="Tabletext"/>
              <w:keepNext/>
              <w:keepLines/>
              <w:jc w:val="center"/>
            </w:pPr>
            <w:r w:rsidRPr="00C027AD">
              <w:t>Low frequency</w:t>
            </w:r>
          </w:p>
        </w:tc>
        <w:tc>
          <w:tcPr>
            <w:tcW w:w="1105" w:type="pct"/>
            <w:tcBorders>
              <w:left w:val="single" w:sz="6" w:space="0" w:color="auto"/>
              <w:right w:val="single" w:sz="6" w:space="0" w:color="auto"/>
            </w:tcBorders>
            <w:tcMar>
              <w:top w:w="0" w:type="dxa"/>
              <w:bottom w:w="0" w:type="dxa"/>
            </w:tcMar>
          </w:tcPr>
          <w:p w14:paraId="27027685" w14:textId="77777777" w:rsidR="00BD7E27" w:rsidRPr="00C027AD" w:rsidRDefault="00BD7E27" w:rsidP="008008AC">
            <w:pPr>
              <w:pStyle w:val="Tabletext"/>
              <w:keepNext/>
              <w:keepLines/>
              <w:jc w:val="center"/>
            </w:pPr>
            <w:r w:rsidRPr="00C027AD">
              <w:t>30-300 kHz</w:t>
            </w:r>
          </w:p>
        </w:tc>
        <w:tc>
          <w:tcPr>
            <w:tcW w:w="1321" w:type="pct"/>
            <w:tcBorders>
              <w:left w:val="single" w:sz="6" w:space="0" w:color="auto"/>
              <w:right w:val="single" w:sz="6" w:space="0" w:color="auto"/>
            </w:tcBorders>
            <w:tcMar>
              <w:top w:w="0" w:type="dxa"/>
              <w:bottom w:w="0" w:type="dxa"/>
            </w:tcMar>
          </w:tcPr>
          <w:p w14:paraId="248995D3" w14:textId="77777777" w:rsidR="00BD7E27" w:rsidRPr="00C027AD" w:rsidRDefault="00BD7E27" w:rsidP="008008AC">
            <w:pPr>
              <w:pStyle w:val="Tabletext"/>
              <w:keepNext/>
              <w:keepLines/>
              <w:jc w:val="center"/>
            </w:pPr>
            <w:r w:rsidRPr="00C027AD">
              <w:t>kilometric waves</w:t>
            </w:r>
          </w:p>
        </w:tc>
      </w:tr>
      <w:tr w:rsidR="00BD7E27" w:rsidRPr="000F7769" w14:paraId="71549C61" w14:textId="77777777" w:rsidTr="008008AC">
        <w:trPr>
          <w:cantSplit/>
          <w:jc w:val="center"/>
        </w:trPr>
        <w:tc>
          <w:tcPr>
            <w:tcW w:w="580" w:type="pct"/>
            <w:tcBorders>
              <w:left w:val="single" w:sz="6" w:space="0" w:color="auto"/>
              <w:right w:val="single" w:sz="6" w:space="0" w:color="auto"/>
            </w:tcBorders>
            <w:tcMar>
              <w:top w:w="0" w:type="dxa"/>
              <w:bottom w:w="0" w:type="dxa"/>
            </w:tcMar>
          </w:tcPr>
          <w:p w14:paraId="1AA86E2E" w14:textId="77777777" w:rsidR="00BD7E27" w:rsidRPr="00C027AD" w:rsidRDefault="00BD7E27" w:rsidP="003F3B2E">
            <w:pPr>
              <w:pStyle w:val="Tabletext"/>
              <w:jc w:val="center"/>
            </w:pPr>
            <w:r w:rsidRPr="00C027AD">
              <w:t>6</w:t>
            </w:r>
          </w:p>
        </w:tc>
        <w:tc>
          <w:tcPr>
            <w:tcW w:w="505" w:type="pct"/>
            <w:tcBorders>
              <w:left w:val="single" w:sz="6" w:space="0" w:color="auto"/>
              <w:right w:val="single" w:sz="6" w:space="0" w:color="auto"/>
            </w:tcBorders>
            <w:tcMar>
              <w:top w:w="0" w:type="dxa"/>
              <w:bottom w:w="0" w:type="dxa"/>
            </w:tcMar>
          </w:tcPr>
          <w:p w14:paraId="4A97A710" w14:textId="77777777" w:rsidR="00BD7E27" w:rsidRPr="00C027AD" w:rsidRDefault="00BD7E27" w:rsidP="003F3B2E">
            <w:pPr>
              <w:pStyle w:val="Tabletext"/>
              <w:jc w:val="center"/>
            </w:pPr>
            <w:r w:rsidRPr="00C027AD">
              <w:t>MF</w:t>
            </w:r>
          </w:p>
        </w:tc>
        <w:tc>
          <w:tcPr>
            <w:tcW w:w="1489" w:type="pct"/>
            <w:tcBorders>
              <w:left w:val="single" w:sz="6" w:space="0" w:color="auto"/>
              <w:right w:val="single" w:sz="6" w:space="0" w:color="auto"/>
            </w:tcBorders>
            <w:tcMar>
              <w:top w:w="0" w:type="dxa"/>
              <w:bottom w:w="0" w:type="dxa"/>
            </w:tcMar>
          </w:tcPr>
          <w:p w14:paraId="36F0EE2D" w14:textId="77777777" w:rsidR="00BD7E27" w:rsidRPr="00C027AD" w:rsidRDefault="00BD7E27" w:rsidP="003F3B2E">
            <w:pPr>
              <w:pStyle w:val="Tabletext"/>
              <w:jc w:val="center"/>
            </w:pPr>
            <w:r w:rsidRPr="00C027AD">
              <w:t>Medium frequency</w:t>
            </w:r>
          </w:p>
        </w:tc>
        <w:tc>
          <w:tcPr>
            <w:tcW w:w="1105" w:type="pct"/>
            <w:tcBorders>
              <w:left w:val="single" w:sz="6" w:space="0" w:color="auto"/>
              <w:right w:val="single" w:sz="6" w:space="0" w:color="auto"/>
            </w:tcBorders>
            <w:tcMar>
              <w:top w:w="0" w:type="dxa"/>
              <w:bottom w:w="0" w:type="dxa"/>
            </w:tcMar>
          </w:tcPr>
          <w:p w14:paraId="53EDF443" w14:textId="77777777" w:rsidR="00BD7E27" w:rsidRPr="00C027AD" w:rsidRDefault="00BD7E27" w:rsidP="003F3B2E">
            <w:pPr>
              <w:pStyle w:val="Tabletext"/>
              <w:jc w:val="center"/>
            </w:pPr>
            <w:r w:rsidRPr="00C027AD">
              <w:t>300-3 000 kHz</w:t>
            </w:r>
          </w:p>
        </w:tc>
        <w:tc>
          <w:tcPr>
            <w:tcW w:w="1321" w:type="pct"/>
            <w:tcBorders>
              <w:left w:val="single" w:sz="6" w:space="0" w:color="auto"/>
              <w:right w:val="single" w:sz="6" w:space="0" w:color="auto"/>
            </w:tcBorders>
            <w:tcMar>
              <w:top w:w="0" w:type="dxa"/>
              <w:bottom w:w="0" w:type="dxa"/>
            </w:tcMar>
          </w:tcPr>
          <w:p w14:paraId="6AC085DB" w14:textId="77777777" w:rsidR="00BD7E27" w:rsidRPr="00C027AD" w:rsidRDefault="00BD7E27" w:rsidP="003F3B2E">
            <w:pPr>
              <w:pStyle w:val="Tabletext"/>
              <w:jc w:val="center"/>
            </w:pPr>
            <w:proofErr w:type="spellStart"/>
            <w:r w:rsidRPr="00C027AD">
              <w:t>hectometric</w:t>
            </w:r>
            <w:proofErr w:type="spellEnd"/>
            <w:r w:rsidRPr="00C027AD">
              <w:t xml:space="preserve"> waves</w:t>
            </w:r>
          </w:p>
        </w:tc>
      </w:tr>
      <w:tr w:rsidR="00BD7E27" w:rsidRPr="000F7769" w14:paraId="2EB16D74" w14:textId="77777777" w:rsidTr="008008AC">
        <w:trPr>
          <w:cantSplit/>
          <w:jc w:val="center"/>
        </w:trPr>
        <w:tc>
          <w:tcPr>
            <w:tcW w:w="580" w:type="pct"/>
            <w:tcBorders>
              <w:left w:val="single" w:sz="6" w:space="0" w:color="auto"/>
              <w:right w:val="single" w:sz="6" w:space="0" w:color="auto"/>
            </w:tcBorders>
            <w:tcMar>
              <w:top w:w="0" w:type="dxa"/>
              <w:bottom w:w="0" w:type="dxa"/>
            </w:tcMar>
          </w:tcPr>
          <w:p w14:paraId="56001E5D" w14:textId="77777777" w:rsidR="00BD7E27" w:rsidRPr="00C027AD" w:rsidRDefault="00BD7E27" w:rsidP="003F3B2E">
            <w:pPr>
              <w:pStyle w:val="Tabletext"/>
              <w:jc w:val="center"/>
            </w:pPr>
            <w:r w:rsidRPr="00C027AD">
              <w:t>7</w:t>
            </w:r>
          </w:p>
        </w:tc>
        <w:tc>
          <w:tcPr>
            <w:tcW w:w="505" w:type="pct"/>
            <w:tcBorders>
              <w:left w:val="single" w:sz="6" w:space="0" w:color="auto"/>
              <w:right w:val="single" w:sz="6" w:space="0" w:color="auto"/>
            </w:tcBorders>
            <w:tcMar>
              <w:top w:w="0" w:type="dxa"/>
              <w:bottom w:w="0" w:type="dxa"/>
            </w:tcMar>
          </w:tcPr>
          <w:p w14:paraId="5D99A9A1" w14:textId="77777777" w:rsidR="00BD7E27" w:rsidRPr="00C027AD" w:rsidRDefault="00BD7E27" w:rsidP="003F3B2E">
            <w:pPr>
              <w:pStyle w:val="Tabletext"/>
              <w:jc w:val="center"/>
            </w:pPr>
            <w:r w:rsidRPr="00C027AD">
              <w:t>HF</w:t>
            </w:r>
          </w:p>
        </w:tc>
        <w:tc>
          <w:tcPr>
            <w:tcW w:w="1489" w:type="pct"/>
            <w:tcBorders>
              <w:left w:val="single" w:sz="6" w:space="0" w:color="auto"/>
              <w:right w:val="single" w:sz="6" w:space="0" w:color="auto"/>
            </w:tcBorders>
            <w:tcMar>
              <w:top w:w="0" w:type="dxa"/>
              <w:bottom w:w="0" w:type="dxa"/>
            </w:tcMar>
          </w:tcPr>
          <w:p w14:paraId="6B0D6924" w14:textId="77777777" w:rsidR="00BD7E27" w:rsidRPr="00C027AD" w:rsidRDefault="00BD7E27" w:rsidP="003F3B2E">
            <w:pPr>
              <w:pStyle w:val="Tabletext"/>
              <w:jc w:val="center"/>
            </w:pPr>
            <w:r w:rsidRPr="00C027AD">
              <w:t>High frequency</w:t>
            </w:r>
          </w:p>
        </w:tc>
        <w:tc>
          <w:tcPr>
            <w:tcW w:w="1105" w:type="pct"/>
            <w:tcBorders>
              <w:left w:val="single" w:sz="6" w:space="0" w:color="auto"/>
              <w:right w:val="single" w:sz="6" w:space="0" w:color="auto"/>
            </w:tcBorders>
            <w:tcMar>
              <w:top w:w="0" w:type="dxa"/>
              <w:bottom w:w="0" w:type="dxa"/>
            </w:tcMar>
          </w:tcPr>
          <w:p w14:paraId="7C877A3E" w14:textId="77777777" w:rsidR="00BD7E27" w:rsidRPr="00C027AD" w:rsidRDefault="00BD7E27" w:rsidP="003F3B2E">
            <w:pPr>
              <w:pStyle w:val="Tabletext"/>
              <w:jc w:val="center"/>
            </w:pPr>
            <w:r w:rsidRPr="00C027AD">
              <w:t>3-30 MHz</w:t>
            </w:r>
          </w:p>
        </w:tc>
        <w:tc>
          <w:tcPr>
            <w:tcW w:w="1321" w:type="pct"/>
            <w:tcBorders>
              <w:left w:val="single" w:sz="6" w:space="0" w:color="auto"/>
              <w:right w:val="single" w:sz="6" w:space="0" w:color="auto"/>
            </w:tcBorders>
            <w:tcMar>
              <w:top w:w="0" w:type="dxa"/>
              <w:bottom w:w="0" w:type="dxa"/>
            </w:tcMar>
          </w:tcPr>
          <w:p w14:paraId="74699993" w14:textId="77777777" w:rsidR="00BD7E27" w:rsidRPr="00C027AD" w:rsidRDefault="00BD7E27" w:rsidP="003F3B2E">
            <w:pPr>
              <w:pStyle w:val="Tabletext"/>
              <w:jc w:val="center"/>
            </w:pPr>
            <w:r w:rsidRPr="00C027AD">
              <w:t>decametric waves</w:t>
            </w:r>
          </w:p>
        </w:tc>
      </w:tr>
      <w:tr w:rsidR="00BD7E27" w:rsidRPr="000F7769" w14:paraId="6D99523F" w14:textId="77777777" w:rsidTr="008008AC">
        <w:trPr>
          <w:cantSplit/>
          <w:jc w:val="center"/>
        </w:trPr>
        <w:tc>
          <w:tcPr>
            <w:tcW w:w="580" w:type="pct"/>
            <w:tcBorders>
              <w:left w:val="single" w:sz="6" w:space="0" w:color="auto"/>
              <w:right w:val="single" w:sz="6" w:space="0" w:color="auto"/>
            </w:tcBorders>
            <w:tcMar>
              <w:top w:w="0" w:type="dxa"/>
              <w:bottom w:w="0" w:type="dxa"/>
            </w:tcMar>
          </w:tcPr>
          <w:p w14:paraId="67C0BC7A" w14:textId="77777777" w:rsidR="00BD7E27" w:rsidRPr="00C027AD" w:rsidRDefault="00BD7E27" w:rsidP="003F3B2E">
            <w:pPr>
              <w:pStyle w:val="Tabletext"/>
              <w:jc w:val="center"/>
            </w:pPr>
            <w:r w:rsidRPr="00C027AD">
              <w:t>8</w:t>
            </w:r>
          </w:p>
        </w:tc>
        <w:tc>
          <w:tcPr>
            <w:tcW w:w="505" w:type="pct"/>
            <w:tcBorders>
              <w:right w:val="single" w:sz="6" w:space="0" w:color="auto"/>
            </w:tcBorders>
            <w:tcMar>
              <w:top w:w="0" w:type="dxa"/>
              <w:bottom w:w="0" w:type="dxa"/>
            </w:tcMar>
          </w:tcPr>
          <w:p w14:paraId="680B7D25" w14:textId="77777777" w:rsidR="00BD7E27" w:rsidRPr="00C027AD" w:rsidRDefault="00BD7E27" w:rsidP="003F3B2E">
            <w:pPr>
              <w:pStyle w:val="Tabletext"/>
              <w:jc w:val="center"/>
            </w:pPr>
            <w:r w:rsidRPr="00C027AD">
              <w:t>VHF</w:t>
            </w:r>
          </w:p>
        </w:tc>
        <w:tc>
          <w:tcPr>
            <w:tcW w:w="1489" w:type="pct"/>
            <w:tcMar>
              <w:top w:w="0" w:type="dxa"/>
              <w:bottom w:w="0" w:type="dxa"/>
            </w:tcMar>
          </w:tcPr>
          <w:p w14:paraId="1BCCD2B4" w14:textId="77777777" w:rsidR="00BD7E27" w:rsidRPr="00C027AD" w:rsidRDefault="00BD7E27" w:rsidP="003F3B2E">
            <w:pPr>
              <w:pStyle w:val="Tabletext"/>
              <w:jc w:val="center"/>
            </w:pPr>
            <w:r w:rsidRPr="00C027AD">
              <w:t>Very high frequency</w:t>
            </w:r>
          </w:p>
        </w:tc>
        <w:tc>
          <w:tcPr>
            <w:tcW w:w="1105" w:type="pct"/>
            <w:tcBorders>
              <w:left w:val="single" w:sz="6" w:space="0" w:color="auto"/>
              <w:right w:val="single" w:sz="6" w:space="0" w:color="auto"/>
            </w:tcBorders>
            <w:tcMar>
              <w:top w:w="0" w:type="dxa"/>
              <w:bottom w:w="0" w:type="dxa"/>
            </w:tcMar>
          </w:tcPr>
          <w:p w14:paraId="1BBC0A33" w14:textId="77777777" w:rsidR="00BD7E27" w:rsidRPr="00C027AD" w:rsidRDefault="00BD7E27" w:rsidP="003F3B2E">
            <w:pPr>
              <w:pStyle w:val="Tabletext"/>
              <w:jc w:val="center"/>
            </w:pPr>
            <w:r w:rsidRPr="00C027AD">
              <w:t>30-300 MHz</w:t>
            </w:r>
          </w:p>
        </w:tc>
        <w:tc>
          <w:tcPr>
            <w:tcW w:w="1321" w:type="pct"/>
            <w:tcBorders>
              <w:right w:val="single" w:sz="6" w:space="0" w:color="auto"/>
            </w:tcBorders>
            <w:tcMar>
              <w:top w:w="0" w:type="dxa"/>
              <w:bottom w:w="0" w:type="dxa"/>
            </w:tcMar>
          </w:tcPr>
          <w:p w14:paraId="17E012F5" w14:textId="77777777" w:rsidR="00BD7E27" w:rsidRPr="00C027AD" w:rsidRDefault="00BD7E27" w:rsidP="003F3B2E">
            <w:pPr>
              <w:pStyle w:val="Tabletext"/>
              <w:jc w:val="center"/>
            </w:pPr>
            <w:r w:rsidRPr="00C027AD">
              <w:t>metric waves</w:t>
            </w:r>
          </w:p>
        </w:tc>
      </w:tr>
      <w:tr w:rsidR="00BD7E27" w:rsidRPr="000F7769" w14:paraId="38063C62" w14:textId="77777777" w:rsidTr="008008AC">
        <w:trPr>
          <w:cantSplit/>
          <w:jc w:val="center"/>
        </w:trPr>
        <w:tc>
          <w:tcPr>
            <w:tcW w:w="580" w:type="pct"/>
            <w:tcBorders>
              <w:left w:val="single" w:sz="6" w:space="0" w:color="auto"/>
              <w:right w:val="single" w:sz="6" w:space="0" w:color="auto"/>
            </w:tcBorders>
            <w:tcMar>
              <w:top w:w="0" w:type="dxa"/>
              <w:bottom w:w="0" w:type="dxa"/>
            </w:tcMar>
          </w:tcPr>
          <w:p w14:paraId="2DF53924" w14:textId="77777777" w:rsidR="00BD7E27" w:rsidRPr="00C027AD" w:rsidRDefault="00BD7E27" w:rsidP="003F3B2E">
            <w:pPr>
              <w:pStyle w:val="Tabletext"/>
              <w:jc w:val="center"/>
            </w:pPr>
            <w:r w:rsidRPr="00C027AD">
              <w:t>9</w:t>
            </w:r>
          </w:p>
        </w:tc>
        <w:tc>
          <w:tcPr>
            <w:tcW w:w="505" w:type="pct"/>
            <w:tcBorders>
              <w:right w:val="single" w:sz="6" w:space="0" w:color="auto"/>
            </w:tcBorders>
            <w:tcMar>
              <w:top w:w="0" w:type="dxa"/>
              <w:bottom w:w="0" w:type="dxa"/>
            </w:tcMar>
          </w:tcPr>
          <w:p w14:paraId="339DF677" w14:textId="77777777" w:rsidR="00BD7E27" w:rsidRPr="00C027AD" w:rsidRDefault="00BD7E27" w:rsidP="003F3B2E">
            <w:pPr>
              <w:pStyle w:val="Tabletext"/>
              <w:jc w:val="center"/>
            </w:pPr>
            <w:r w:rsidRPr="00C027AD">
              <w:t>UHF</w:t>
            </w:r>
          </w:p>
        </w:tc>
        <w:tc>
          <w:tcPr>
            <w:tcW w:w="1489" w:type="pct"/>
            <w:tcMar>
              <w:top w:w="0" w:type="dxa"/>
              <w:bottom w:w="0" w:type="dxa"/>
            </w:tcMar>
          </w:tcPr>
          <w:p w14:paraId="4E050BA5" w14:textId="77777777" w:rsidR="00BD7E27" w:rsidRPr="00C027AD" w:rsidRDefault="00BD7E27" w:rsidP="003F3B2E">
            <w:pPr>
              <w:pStyle w:val="Tabletext"/>
              <w:jc w:val="center"/>
            </w:pPr>
            <w:proofErr w:type="spellStart"/>
            <w:r w:rsidRPr="00C027AD">
              <w:t>Ultra high</w:t>
            </w:r>
            <w:proofErr w:type="spellEnd"/>
            <w:r w:rsidRPr="00C027AD">
              <w:t xml:space="preserve"> frequency</w:t>
            </w:r>
          </w:p>
        </w:tc>
        <w:tc>
          <w:tcPr>
            <w:tcW w:w="1105" w:type="pct"/>
            <w:tcBorders>
              <w:left w:val="single" w:sz="6" w:space="0" w:color="auto"/>
              <w:right w:val="single" w:sz="6" w:space="0" w:color="auto"/>
            </w:tcBorders>
            <w:tcMar>
              <w:top w:w="0" w:type="dxa"/>
              <w:bottom w:w="0" w:type="dxa"/>
            </w:tcMar>
          </w:tcPr>
          <w:p w14:paraId="329C9FAB" w14:textId="77777777" w:rsidR="00BD7E27" w:rsidRPr="00C027AD" w:rsidRDefault="00BD7E27" w:rsidP="003F3B2E">
            <w:pPr>
              <w:pStyle w:val="Tabletext"/>
              <w:jc w:val="center"/>
            </w:pPr>
            <w:r w:rsidRPr="00C027AD">
              <w:t>300-3 000 MHz</w:t>
            </w:r>
          </w:p>
        </w:tc>
        <w:tc>
          <w:tcPr>
            <w:tcW w:w="1321" w:type="pct"/>
            <w:tcBorders>
              <w:right w:val="single" w:sz="6" w:space="0" w:color="auto"/>
            </w:tcBorders>
            <w:tcMar>
              <w:top w:w="0" w:type="dxa"/>
              <w:bottom w:w="0" w:type="dxa"/>
            </w:tcMar>
          </w:tcPr>
          <w:p w14:paraId="3DA63E16" w14:textId="77777777" w:rsidR="00BD7E27" w:rsidRPr="00C027AD" w:rsidRDefault="00BD7E27" w:rsidP="003F3B2E">
            <w:pPr>
              <w:pStyle w:val="Tabletext"/>
              <w:jc w:val="center"/>
            </w:pPr>
            <w:proofErr w:type="spellStart"/>
            <w:r w:rsidRPr="00C027AD">
              <w:t>decimetric</w:t>
            </w:r>
            <w:proofErr w:type="spellEnd"/>
            <w:r w:rsidRPr="00C027AD">
              <w:t xml:space="preserve"> waves</w:t>
            </w:r>
          </w:p>
        </w:tc>
      </w:tr>
      <w:tr w:rsidR="00BD7E27" w:rsidRPr="000F7769" w14:paraId="336F2413" w14:textId="77777777" w:rsidTr="008008AC">
        <w:trPr>
          <w:cantSplit/>
          <w:jc w:val="center"/>
        </w:trPr>
        <w:tc>
          <w:tcPr>
            <w:tcW w:w="580" w:type="pct"/>
            <w:tcBorders>
              <w:left w:val="single" w:sz="6" w:space="0" w:color="auto"/>
              <w:right w:val="single" w:sz="6" w:space="0" w:color="auto"/>
            </w:tcBorders>
            <w:tcMar>
              <w:top w:w="0" w:type="dxa"/>
              <w:bottom w:w="0" w:type="dxa"/>
            </w:tcMar>
          </w:tcPr>
          <w:p w14:paraId="62474F72" w14:textId="77777777" w:rsidR="00BD7E27" w:rsidRPr="00C027AD" w:rsidRDefault="00BD7E27" w:rsidP="003F3B2E">
            <w:pPr>
              <w:pStyle w:val="Tabletext"/>
              <w:jc w:val="center"/>
            </w:pPr>
            <w:r w:rsidRPr="00C027AD">
              <w:t>10</w:t>
            </w:r>
          </w:p>
        </w:tc>
        <w:tc>
          <w:tcPr>
            <w:tcW w:w="505" w:type="pct"/>
            <w:tcBorders>
              <w:right w:val="single" w:sz="6" w:space="0" w:color="auto"/>
            </w:tcBorders>
            <w:tcMar>
              <w:top w:w="0" w:type="dxa"/>
              <w:bottom w:w="0" w:type="dxa"/>
            </w:tcMar>
          </w:tcPr>
          <w:p w14:paraId="64BFAC11" w14:textId="77777777" w:rsidR="00BD7E27" w:rsidRPr="00C027AD" w:rsidRDefault="00BD7E27" w:rsidP="003F3B2E">
            <w:pPr>
              <w:pStyle w:val="Tabletext"/>
              <w:jc w:val="center"/>
            </w:pPr>
            <w:r w:rsidRPr="00C027AD">
              <w:t>SHF</w:t>
            </w:r>
          </w:p>
        </w:tc>
        <w:tc>
          <w:tcPr>
            <w:tcW w:w="1489" w:type="pct"/>
            <w:tcMar>
              <w:top w:w="0" w:type="dxa"/>
              <w:bottom w:w="0" w:type="dxa"/>
            </w:tcMar>
          </w:tcPr>
          <w:p w14:paraId="2838F858" w14:textId="77777777" w:rsidR="00BD7E27" w:rsidRPr="00C027AD" w:rsidRDefault="00BD7E27" w:rsidP="003F3B2E">
            <w:pPr>
              <w:pStyle w:val="Tabletext"/>
              <w:jc w:val="center"/>
            </w:pPr>
            <w:r w:rsidRPr="00C027AD">
              <w:t>Super high frequency</w:t>
            </w:r>
          </w:p>
        </w:tc>
        <w:tc>
          <w:tcPr>
            <w:tcW w:w="1105" w:type="pct"/>
            <w:tcBorders>
              <w:left w:val="single" w:sz="6" w:space="0" w:color="auto"/>
              <w:right w:val="single" w:sz="6" w:space="0" w:color="auto"/>
            </w:tcBorders>
            <w:tcMar>
              <w:top w:w="0" w:type="dxa"/>
              <w:bottom w:w="0" w:type="dxa"/>
            </w:tcMar>
          </w:tcPr>
          <w:p w14:paraId="2C9C1E96" w14:textId="77777777" w:rsidR="00BD7E27" w:rsidRPr="00C027AD" w:rsidRDefault="00BD7E27" w:rsidP="003F3B2E">
            <w:pPr>
              <w:pStyle w:val="Tabletext"/>
              <w:jc w:val="center"/>
            </w:pPr>
            <w:r w:rsidRPr="00C027AD">
              <w:t>3-30 GHz</w:t>
            </w:r>
          </w:p>
        </w:tc>
        <w:tc>
          <w:tcPr>
            <w:tcW w:w="1321" w:type="pct"/>
            <w:tcBorders>
              <w:right w:val="single" w:sz="6" w:space="0" w:color="auto"/>
            </w:tcBorders>
            <w:tcMar>
              <w:top w:w="0" w:type="dxa"/>
              <w:bottom w:w="0" w:type="dxa"/>
            </w:tcMar>
          </w:tcPr>
          <w:p w14:paraId="7C4E396E" w14:textId="77777777" w:rsidR="00BD7E27" w:rsidRPr="00C027AD" w:rsidRDefault="00BD7E27" w:rsidP="003F3B2E">
            <w:pPr>
              <w:pStyle w:val="Tabletext"/>
              <w:jc w:val="center"/>
            </w:pPr>
            <w:r w:rsidRPr="00C027AD">
              <w:t>centimetric waves</w:t>
            </w:r>
          </w:p>
        </w:tc>
      </w:tr>
      <w:tr w:rsidR="00BD7E27" w:rsidRPr="000F7769" w14:paraId="692C0C52" w14:textId="77777777" w:rsidTr="008008AC">
        <w:trPr>
          <w:cantSplit/>
          <w:jc w:val="center"/>
        </w:trPr>
        <w:tc>
          <w:tcPr>
            <w:tcW w:w="580" w:type="pct"/>
            <w:tcBorders>
              <w:left w:val="single" w:sz="6" w:space="0" w:color="auto"/>
              <w:right w:val="single" w:sz="6" w:space="0" w:color="auto"/>
            </w:tcBorders>
            <w:tcMar>
              <w:top w:w="0" w:type="dxa"/>
              <w:bottom w:w="0" w:type="dxa"/>
            </w:tcMar>
          </w:tcPr>
          <w:p w14:paraId="49C7C491" w14:textId="77777777" w:rsidR="00BD7E27" w:rsidRPr="00C027AD" w:rsidRDefault="00BD7E27" w:rsidP="003F3B2E">
            <w:pPr>
              <w:pStyle w:val="Tabletext"/>
              <w:jc w:val="center"/>
            </w:pPr>
            <w:r w:rsidRPr="00C027AD">
              <w:t>11</w:t>
            </w:r>
          </w:p>
        </w:tc>
        <w:tc>
          <w:tcPr>
            <w:tcW w:w="505" w:type="pct"/>
            <w:tcBorders>
              <w:right w:val="single" w:sz="6" w:space="0" w:color="auto"/>
            </w:tcBorders>
            <w:tcMar>
              <w:top w:w="0" w:type="dxa"/>
              <w:bottom w:w="0" w:type="dxa"/>
            </w:tcMar>
          </w:tcPr>
          <w:p w14:paraId="0FCCDC73" w14:textId="77777777" w:rsidR="00BD7E27" w:rsidRPr="00C027AD" w:rsidRDefault="00BD7E27" w:rsidP="003F3B2E">
            <w:pPr>
              <w:pStyle w:val="Tabletext"/>
              <w:jc w:val="center"/>
            </w:pPr>
            <w:r w:rsidRPr="00C027AD">
              <w:t>EHF</w:t>
            </w:r>
          </w:p>
        </w:tc>
        <w:tc>
          <w:tcPr>
            <w:tcW w:w="1489" w:type="pct"/>
            <w:tcMar>
              <w:top w:w="0" w:type="dxa"/>
              <w:bottom w:w="0" w:type="dxa"/>
            </w:tcMar>
          </w:tcPr>
          <w:p w14:paraId="4131DF39" w14:textId="77777777" w:rsidR="00BD7E27" w:rsidRPr="00C027AD" w:rsidRDefault="00BD7E27" w:rsidP="003F3B2E">
            <w:pPr>
              <w:pStyle w:val="Tabletext"/>
              <w:jc w:val="center"/>
            </w:pPr>
            <w:r w:rsidRPr="00C027AD">
              <w:t>Extremely high frequency</w:t>
            </w:r>
          </w:p>
        </w:tc>
        <w:tc>
          <w:tcPr>
            <w:tcW w:w="1105" w:type="pct"/>
            <w:tcBorders>
              <w:left w:val="single" w:sz="6" w:space="0" w:color="auto"/>
              <w:right w:val="single" w:sz="6" w:space="0" w:color="auto"/>
            </w:tcBorders>
            <w:tcMar>
              <w:top w:w="0" w:type="dxa"/>
              <w:bottom w:w="0" w:type="dxa"/>
            </w:tcMar>
          </w:tcPr>
          <w:p w14:paraId="314D776F" w14:textId="77777777" w:rsidR="00BD7E27" w:rsidRPr="00C027AD" w:rsidRDefault="00BD7E27" w:rsidP="003F3B2E">
            <w:pPr>
              <w:pStyle w:val="Tabletext"/>
              <w:jc w:val="center"/>
            </w:pPr>
            <w:r w:rsidRPr="00C027AD">
              <w:t>30-300 GHz</w:t>
            </w:r>
          </w:p>
        </w:tc>
        <w:tc>
          <w:tcPr>
            <w:tcW w:w="1321" w:type="pct"/>
            <w:tcBorders>
              <w:right w:val="single" w:sz="6" w:space="0" w:color="auto"/>
            </w:tcBorders>
            <w:tcMar>
              <w:top w:w="0" w:type="dxa"/>
              <w:bottom w:w="0" w:type="dxa"/>
            </w:tcMar>
          </w:tcPr>
          <w:p w14:paraId="03EB9C1E" w14:textId="77777777" w:rsidR="00BD7E27" w:rsidRPr="00C027AD" w:rsidRDefault="00BD7E27" w:rsidP="003F3B2E">
            <w:pPr>
              <w:pStyle w:val="Tabletext"/>
              <w:jc w:val="center"/>
            </w:pPr>
            <w:r w:rsidRPr="00C027AD">
              <w:t>millimetric waves</w:t>
            </w:r>
          </w:p>
        </w:tc>
      </w:tr>
      <w:tr w:rsidR="00BD7E27" w:rsidRPr="000F7769" w14:paraId="5970593F" w14:textId="77777777" w:rsidTr="008008AC">
        <w:trPr>
          <w:cantSplit/>
          <w:jc w:val="center"/>
        </w:trPr>
        <w:tc>
          <w:tcPr>
            <w:tcW w:w="580" w:type="pct"/>
            <w:tcBorders>
              <w:left w:val="single" w:sz="6" w:space="0" w:color="auto"/>
              <w:right w:val="single" w:sz="6" w:space="0" w:color="auto"/>
            </w:tcBorders>
            <w:tcMar>
              <w:top w:w="0" w:type="dxa"/>
              <w:bottom w:w="0" w:type="dxa"/>
            </w:tcMar>
          </w:tcPr>
          <w:p w14:paraId="59E18639" w14:textId="77777777" w:rsidR="00BD7E27" w:rsidRPr="00C027AD" w:rsidRDefault="00BD7E27" w:rsidP="003F3B2E">
            <w:pPr>
              <w:pStyle w:val="Tabletext"/>
              <w:jc w:val="center"/>
            </w:pPr>
            <w:r w:rsidRPr="00C027AD">
              <w:t>12</w:t>
            </w:r>
          </w:p>
        </w:tc>
        <w:tc>
          <w:tcPr>
            <w:tcW w:w="505" w:type="pct"/>
            <w:tcBorders>
              <w:right w:val="single" w:sz="6" w:space="0" w:color="auto"/>
            </w:tcBorders>
            <w:tcMar>
              <w:top w:w="0" w:type="dxa"/>
              <w:bottom w:w="0" w:type="dxa"/>
            </w:tcMar>
          </w:tcPr>
          <w:p w14:paraId="3BE7153E" w14:textId="77777777" w:rsidR="00BD7E27" w:rsidRPr="00C027AD" w:rsidRDefault="00BD7E27" w:rsidP="003F3B2E">
            <w:pPr>
              <w:pStyle w:val="Tabletext"/>
              <w:jc w:val="center"/>
            </w:pPr>
            <w:r w:rsidRPr="00C027AD">
              <w:t>THF</w:t>
            </w:r>
          </w:p>
        </w:tc>
        <w:tc>
          <w:tcPr>
            <w:tcW w:w="1489" w:type="pct"/>
            <w:tcMar>
              <w:top w:w="0" w:type="dxa"/>
              <w:bottom w:w="0" w:type="dxa"/>
            </w:tcMar>
          </w:tcPr>
          <w:p w14:paraId="2B26D1E1" w14:textId="77777777" w:rsidR="00BD7E27" w:rsidRPr="00C027AD" w:rsidRDefault="00BD7E27" w:rsidP="003F3B2E">
            <w:pPr>
              <w:pStyle w:val="Tabletext"/>
              <w:jc w:val="center"/>
            </w:pPr>
            <w:r w:rsidRPr="00C027AD">
              <w:t>Tremendously high frequency</w:t>
            </w:r>
          </w:p>
        </w:tc>
        <w:tc>
          <w:tcPr>
            <w:tcW w:w="1105" w:type="pct"/>
            <w:tcBorders>
              <w:left w:val="single" w:sz="6" w:space="0" w:color="auto"/>
              <w:right w:val="single" w:sz="6" w:space="0" w:color="auto"/>
            </w:tcBorders>
            <w:tcMar>
              <w:top w:w="0" w:type="dxa"/>
              <w:bottom w:w="0" w:type="dxa"/>
            </w:tcMar>
          </w:tcPr>
          <w:p w14:paraId="0B4E5CDD" w14:textId="77777777" w:rsidR="00BD7E27" w:rsidRPr="00C027AD" w:rsidRDefault="00BD7E27" w:rsidP="003F3B2E">
            <w:pPr>
              <w:pStyle w:val="Tabletext"/>
              <w:jc w:val="center"/>
            </w:pPr>
            <w:r w:rsidRPr="00C027AD">
              <w:t>300-3 000 GHz</w:t>
            </w:r>
          </w:p>
        </w:tc>
        <w:tc>
          <w:tcPr>
            <w:tcW w:w="1321" w:type="pct"/>
            <w:tcBorders>
              <w:right w:val="single" w:sz="6" w:space="0" w:color="auto"/>
            </w:tcBorders>
            <w:tcMar>
              <w:top w:w="0" w:type="dxa"/>
              <w:bottom w:w="0" w:type="dxa"/>
            </w:tcMar>
          </w:tcPr>
          <w:p w14:paraId="584D3FA2" w14:textId="77777777" w:rsidR="00BD7E27" w:rsidRPr="00C027AD" w:rsidRDefault="00BD7E27" w:rsidP="003F3B2E">
            <w:pPr>
              <w:pStyle w:val="Tabletext"/>
              <w:jc w:val="center"/>
            </w:pPr>
            <w:r w:rsidRPr="00C027AD">
              <w:t>sub-millimetric waves</w:t>
            </w:r>
          </w:p>
        </w:tc>
      </w:tr>
      <w:tr w:rsidR="00BD7E27" w:rsidRPr="000F7769" w14:paraId="0D993CC8" w14:textId="77777777" w:rsidTr="008008AC">
        <w:trPr>
          <w:cantSplit/>
          <w:jc w:val="center"/>
        </w:trPr>
        <w:tc>
          <w:tcPr>
            <w:tcW w:w="580" w:type="pct"/>
            <w:tcBorders>
              <w:left w:val="single" w:sz="6" w:space="0" w:color="auto"/>
              <w:right w:val="single" w:sz="6" w:space="0" w:color="auto"/>
            </w:tcBorders>
            <w:tcMar>
              <w:top w:w="0" w:type="dxa"/>
              <w:bottom w:w="0" w:type="dxa"/>
            </w:tcMar>
          </w:tcPr>
          <w:p w14:paraId="461C9D7A" w14:textId="77777777" w:rsidR="00BD7E27" w:rsidRPr="00C027AD" w:rsidRDefault="00BD7E27" w:rsidP="003F3B2E">
            <w:pPr>
              <w:pStyle w:val="Tabletext"/>
              <w:jc w:val="center"/>
            </w:pPr>
            <w:r w:rsidRPr="00C027AD">
              <w:t>13</w:t>
            </w:r>
          </w:p>
        </w:tc>
        <w:tc>
          <w:tcPr>
            <w:tcW w:w="505" w:type="pct"/>
            <w:tcBorders>
              <w:right w:val="single" w:sz="6" w:space="0" w:color="auto"/>
            </w:tcBorders>
            <w:tcMar>
              <w:top w:w="0" w:type="dxa"/>
              <w:bottom w:w="0" w:type="dxa"/>
            </w:tcMar>
          </w:tcPr>
          <w:p w14:paraId="52D2381F" w14:textId="77777777" w:rsidR="00BD7E27" w:rsidRPr="00C027AD" w:rsidRDefault="00BD7E27" w:rsidP="003F3B2E">
            <w:pPr>
              <w:pStyle w:val="Tabletext"/>
              <w:jc w:val="center"/>
            </w:pPr>
          </w:p>
        </w:tc>
        <w:tc>
          <w:tcPr>
            <w:tcW w:w="1489" w:type="pct"/>
            <w:tcMar>
              <w:top w:w="0" w:type="dxa"/>
              <w:bottom w:w="0" w:type="dxa"/>
            </w:tcMar>
          </w:tcPr>
          <w:p w14:paraId="65BFDF31" w14:textId="77777777" w:rsidR="00BD7E27" w:rsidRPr="00C027AD" w:rsidRDefault="00BD7E27" w:rsidP="003F3B2E">
            <w:pPr>
              <w:pStyle w:val="Tabletext"/>
              <w:jc w:val="center"/>
            </w:pPr>
          </w:p>
        </w:tc>
        <w:tc>
          <w:tcPr>
            <w:tcW w:w="1105" w:type="pct"/>
            <w:tcBorders>
              <w:left w:val="single" w:sz="6" w:space="0" w:color="auto"/>
              <w:right w:val="single" w:sz="6" w:space="0" w:color="auto"/>
            </w:tcBorders>
            <w:tcMar>
              <w:top w:w="0" w:type="dxa"/>
              <w:bottom w:w="0" w:type="dxa"/>
            </w:tcMar>
          </w:tcPr>
          <w:p w14:paraId="0CE24427" w14:textId="77777777" w:rsidR="00BD7E27" w:rsidRPr="00C027AD" w:rsidRDefault="00BD7E27" w:rsidP="003F3B2E">
            <w:pPr>
              <w:pStyle w:val="Tabletext"/>
              <w:jc w:val="center"/>
            </w:pPr>
            <w:r w:rsidRPr="00C027AD">
              <w:t>3-30 THz</w:t>
            </w:r>
          </w:p>
        </w:tc>
        <w:tc>
          <w:tcPr>
            <w:tcW w:w="1321" w:type="pct"/>
            <w:tcBorders>
              <w:right w:val="single" w:sz="6" w:space="0" w:color="auto"/>
            </w:tcBorders>
            <w:tcMar>
              <w:top w:w="0" w:type="dxa"/>
              <w:bottom w:w="0" w:type="dxa"/>
            </w:tcMar>
          </w:tcPr>
          <w:p w14:paraId="5F5D4E7A" w14:textId="77777777" w:rsidR="00BD7E27" w:rsidRPr="00C027AD" w:rsidRDefault="00BD7E27" w:rsidP="003F3B2E">
            <w:pPr>
              <w:pStyle w:val="Tabletext"/>
              <w:jc w:val="center"/>
            </w:pPr>
            <w:r w:rsidRPr="00C027AD">
              <w:t>super-micrometric waves</w:t>
            </w:r>
          </w:p>
        </w:tc>
      </w:tr>
      <w:tr w:rsidR="00BD7E27" w:rsidRPr="000F7769" w14:paraId="0D4D461E" w14:textId="77777777" w:rsidTr="008008AC">
        <w:trPr>
          <w:cantSplit/>
          <w:jc w:val="center"/>
        </w:trPr>
        <w:tc>
          <w:tcPr>
            <w:tcW w:w="580" w:type="pct"/>
            <w:tcBorders>
              <w:left w:val="single" w:sz="6" w:space="0" w:color="auto"/>
              <w:right w:val="single" w:sz="6" w:space="0" w:color="auto"/>
            </w:tcBorders>
            <w:tcMar>
              <w:top w:w="0" w:type="dxa"/>
              <w:bottom w:w="0" w:type="dxa"/>
            </w:tcMar>
          </w:tcPr>
          <w:p w14:paraId="4ABD69F8" w14:textId="77777777" w:rsidR="00BD7E27" w:rsidRPr="00C027AD" w:rsidRDefault="00BD7E27" w:rsidP="003F3B2E">
            <w:pPr>
              <w:pStyle w:val="Tabletext"/>
              <w:jc w:val="center"/>
            </w:pPr>
            <w:r w:rsidRPr="00C027AD">
              <w:t>14</w:t>
            </w:r>
          </w:p>
        </w:tc>
        <w:tc>
          <w:tcPr>
            <w:tcW w:w="505" w:type="pct"/>
            <w:tcBorders>
              <w:right w:val="single" w:sz="6" w:space="0" w:color="auto"/>
            </w:tcBorders>
            <w:tcMar>
              <w:top w:w="0" w:type="dxa"/>
              <w:bottom w:w="0" w:type="dxa"/>
            </w:tcMar>
          </w:tcPr>
          <w:p w14:paraId="5F973A77" w14:textId="77777777" w:rsidR="00BD7E27" w:rsidRPr="00C027AD" w:rsidRDefault="00BD7E27" w:rsidP="003F3B2E">
            <w:pPr>
              <w:pStyle w:val="Tabletext"/>
              <w:jc w:val="center"/>
            </w:pPr>
          </w:p>
        </w:tc>
        <w:tc>
          <w:tcPr>
            <w:tcW w:w="1489" w:type="pct"/>
            <w:tcMar>
              <w:top w:w="0" w:type="dxa"/>
              <w:bottom w:w="0" w:type="dxa"/>
            </w:tcMar>
          </w:tcPr>
          <w:p w14:paraId="47AACC3C" w14:textId="77777777" w:rsidR="00BD7E27" w:rsidRPr="00C027AD" w:rsidRDefault="00BD7E27" w:rsidP="003F3B2E">
            <w:pPr>
              <w:pStyle w:val="Tabletext"/>
              <w:jc w:val="center"/>
            </w:pPr>
          </w:p>
        </w:tc>
        <w:tc>
          <w:tcPr>
            <w:tcW w:w="1105" w:type="pct"/>
            <w:tcBorders>
              <w:left w:val="single" w:sz="6" w:space="0" w:color="auto"/>
              <w:right w:val="single" w:sz="6" w:space="0" w:color="auto"/>
            </w:tcBorders>
            <w:tcMar>
              <w:top w:w="0" w:type="dxa"/>
              <w:bottom w:w="0" w:type="dxa"/>
            </w:tcMar>
          </w:tcPr>
          <w:p w14:paraId="7E69EDF0" w14:textId="77777777" w:rsidR="00BD7E27" w:rsidRPr="00C027AD" w:rsidRDefault="00BD7E27" w:rsidP="003F3B2E">
            <w:pPr>
              <w:pStyle w:val="Tabletext"/>
              <w:jc w:val="center"/>
            </w:pPr>
            <w:r w:rsidRPr="00C027AD">
              <w:t>30-300 THz</w:t>
            </w:r>
          </w:p>
        </w:tc>
        <w:tc>
          <w:tcPr>
            <w:tcW w:w="1321" w:type="pct"/>
            <w:tcBorders>
              <w:right w:val="single" w:sz="6" w:space="0" w:color="auto"/>
            </w:tcBorders>
            <w:tcMar>
              <w:top w:w="0" w:type="dxa"/>
              <w:bottom w:w="0" w:type="dxa"/>
            </w:tcMar>
          </w:tcPr>
          <w:p w14:paraId="40DA0FB7" w14:textId="77777777" w:rsidR="00BD7E27" w:rsidRPr="00C027AD" w:rsidRDefault="00BD7E27" w:rsidP="003F3B2E">
            <w:pPr>
              <w:pStyle w:val="Tabletext"/>
              <w:jc w:val="center"/>
            </w:pPr>
            <w:r w:rsidRPr="00C027AD">
              <w:t>micrometric waves</w:t>
            </w:r>
          </w:p>
        </w:tc>
      </w:tr>
      <w:tr w:rsidR="00BD7E27" w:rsidRPr="000F7769" w14:paraId="039F50D3" w14:textId="77777777" w:rsidTr="008008AC">
        <w:trPr>
          <w:cantSplit/>
          <w:jc w:val="center"/>
        </w:trPr>
        <w:tc>
          <w:tcPr>
            <w:tcW w:w="580" w:type="pct"/>
            <w:tcBorders>
              <w:left w:val="single" w:sz="6" w:space="0" w:color="auto"/>
              <w:bottom w:val="single" w:sz="6" w:space="0" w:color="auto"/>
              <w:right w:val="single" w:sz="6" w:space="0" w:color="auto"/>
            </w:tcBorders>
            <w:tcMar>
              <w:top w:w="0" w:type="dxa"/>
              <w:bottom w:w="0" w:type="dxa"/>
            </w:tcMar>
          </w:tcPr>
          <w:p w14:paraId="6887AF82" w14:textId="77777777" w:rsidR="00BD7E27" w:rsidRPr="00C027AD" w:rsidRDefault="00BD7E27" w:rsidP="003F3B2E">
            <w:pPr>
              <w:pStyle w:val="Tabletext"/>
              <w:jc w:val="center"/>
            </w:pPr>
            <w:r w:rsidRPr="00C027AD">
              <w:t>15</w:t>
            </w:r>
          </w:p>
        </w:tc>
        <w:tc>
          <w:tcPr>
            <w:tcW w:w="505" w:type="pct"/>
            <w:tcBorders>
              <w:left w:val="single" w:sz="6" w:space="0" w:color="auto"/>
              <w:bottom w:val="single" w:sz="6" w:space="0" w:color="auto"/>
              <w:right w:val="single" w:sz="6" w:space="0" w:color="auto"/>
            </w:tcBorders>
            <w:tcMar>
              <w:top w:w="0" w:type="dxa"/>
              <w:bottom w:w="0" w:type="dxa"/>
            </w:tcMar>
          </w:tcPr>
          <w:p w14:paraId="3864FA6C" w14:textId="77777777" w:rsidR="00BD7E27" w:rsidRPr="00C027AD" w:rsidRDefault="00BD7E27" w:rsidP="003F3B2E">
            <w:pPr>
              <w:pStyle w:val="Tabletext"/>
              <w:jc w:val="center"/>
            </w:pPr>
          </w:p>
        </w:tc>
        <w:tc>
          <w:tcPr>
            <w:tcW w:w="1489" w:type="pct"/>
            <w:tcBorders>
              <w:left w:val="single" w:sz="6" w:space="0" w:color="auto"/>
              <w:bottom w:val="single" w:sz="6" w:space="0" w:color="auto"/>
              <w:right w:val="single" w:sz="6" w:space="0" w:color="auto"/>
            </w:tcBorders>
            <w:tcMar>
              <w:top w:w="0" w:type="dxa"/>
              <w:bottom w:w="0" w:type="dxa"/>
            </w:tcMar>
          </w:tcPr>
          <w:p w14:paraId="14E7E62A" w14:textId="77777777" w:rsidR="00BD7E27" w:rsidRPr="00C027AD" w:rsidRDefault="00BD7E27" w:rsidP="003F3B2E">
            <w:pPr>
              <w:pStyle w:val="Tabletext"/>
              <w:jc w:val="center"/>
            </w:pPr>
          </w:p>
        </w:tc>
        <w:tc>
          <w:tcPr>
            <w:tcW w:w="1105" w:type="pct"/>
            <w:tcBorders>
              <w:left w:val="single" w:sz="6" w:space="0" w:color="auto"/>
              <w:bottom w:val="single" w:sz="6" w:space="0" w:color="auto"/>
              <w:right w:val="single" w:sz="6" w:space="0" w:color="auto"/>
            </w:tcBorders>
            <w:tcMar>
              <w:top w:w="0" w:type="dxa"/>
              <w:bottom w:w="0" w:type="dxa"/>
            </w:tcMar>
          </w:tcPr>
          <w:p w14:paraId="1F75A670" w14:textId="77777777" w:rsidR="00BD7E27" w:rsidRPr="00C027AD" w:rsidRDefault="00BD7E27" w:rsidP="003F3B2E">
            <w:pPr>
              <w:pStyle w:val="Tabletext"/>
              <w:jc w:val="center"/>
            </w:pPr>
            <w:r w:rsidRPr="00C027AD">
              <w:t>300-3</w:t>
            </w:r>
            <w:r w:rsidRPr="00C027AD">
              <w:rPr>
                <w:rFonts w:ascii="Tms Rmn" w:hAnsi="Tms Rmn"/>
              </w:rPr>
              <w:t> 000 THz</w:t>
            </w:r>
          </w:p>
        </w:tc>
        <w:tc>
          <w:tcPr>
            <w:tcW w:w="1321" w:type="pct"/>
            <w:tcBorders>
              <w:left w:val="single" w:sz="6" w:space="0" w:color="auto"/>
              <w:bottom w:val="single" w:sz="6" w:space="0" w:color="auto"/>
              <w:right w:val="single" w:sz="6" w:space="0" w:color="auto"/>
            </w:tcBorders>
            <w:tcMar>
              <w:top w:w="0" w:type="dxa"/>
              <w:bottom w:w="0" w:type="dxa"/>
            </w:tcMar>
          </w:tcPr>
          <w:p w14:paraId="7F7ECD9B" w14:textId="77777777" w:rsidR="00BD7E27" w:rsidRPr="00C027AD" w:rsidRDefault="00BD7E27" w:rsidP="003F3B2E">
            <w:pPr>
              <w:pStyle w:val="Tabletext"/>
              <w:jc w:val="center"/>
            </w:pPr>
            <w:r w:rsidRPr="00C027AD">
              <w:t>sub-micrometric waves</w:t>
            </w:r>
          </w:p>
        </w:tc>
      </w:tr>
    </w:tbl>
    <w:p w14:paraId="11EC67C0" w14:textId="77777777" w:rsidR="00C027AD" w:rsidRPr="00C027AD" w:rsidRDefault="00C027AD" w:rsidP="00C027AD">
      <w:pPr>
        <w:spacing w:before="0"/>
        <w:rPr>
          <w:sz w:val="2"/>
          <w:szCs w:val="2"/>
        </w:rPr>
      </w:pPr>
    </w:p>
    <w:p w14:paraId="3554F3F6" w14:textId="77777777" w:rsidR="00C027AD" w:rsidRPr="00C027AD" w:rsidRDefault="00C027AD" w:rsidP="008008AC">
      <w:pPr>
        <w:pStyle w:val="Tablefin"/>
        <w:rPr>
          <w:lang w:eastAsia="zh-CN"/>
        </w:rPr>
      </w:pPr>
    </w:p>
    <w:p w14:paraId="171FFB96" w14:textId="77777777" w:rsidR="00C027AD" w:rsidRPr="00C027AD" w:rsidRDefault="00C027AD" w:rsidP="008008AC">
      <w:pPr>
        <w:pStyle w:val="Note"/>
        <w:jc w:val="left"/>
        <w:rPr>
          <w:lang w:val="en-US"/>
        </w:rPr>
      </w:pPr>
      <w:r w:rsidRPr="00C027AD">
        <w:rPr>
          <w:lang w:val="en-US"/>
        </w:rPr>
        <w:t xml:space="preserve">NOTE 1 – “Band number N” extends from 0.3 </w:t>
      </w:r>
      <w:r w:rsidRPr="00C027AD">
        <w:rPr>
          <w:rFonts w:ascii="Symbol" w:hAnsi="Symbol"/>
        </w:rPr>
        <w:t></w:t>
      </w:r>
      <w:r w:rsidRPr="00C027AD">
        <w:rPr>
          <w:lang w:val="en-US"/>
        </w:rPr>
        <w:t xml:space="preserve"> 10</w:t>
      </w:r>
      <w:r w:rsidRPr="00C027AD">
        <w:rPr>
          <w:position w:val="6"/>
          <w:sz w:val="16"/>
          <w:lang w:val="en-US"/>
        </w:rPr>
        <w:t>N</w:t>
      </w:r>
      <w:r w:rsidRPr="00C027AD">
        <w:rPr>
          <w:lang w:val="en-US"/>
        </w:rPr>
        <w:t xml:space="preserve"> to 3 </w:t>
      </w:r>
      <w:r w:rsidRPr="00C027AD">
        <w:rPr>
          <w:rFonts w:ascii="Symbol" w:hAnsi="Symbol"/>
        </w:rPr>
        <w:t></w:t>
      </w:r>
      <w:r w:rsidRPr="00C027AD">
        <w:rPr>
          <w:lang w:val="en-US"/>
        </w:rPr>
        <w:t xml:space="preserve"> 10</w:t>
      </w:r>
      <w:r w:rsidRPr="00C027AD">
        <w:rPr>
          <w:position w:val="6"/>
          <w:sz w:val="16"/>
          <w:lang w:val="en-US"/>
        </w:rPr>
        <w:t>N</w:t>
      </w:r>
      <w:r w:rsidRPr="00C027AD">
        <w:rPr>
          <w:lang w:val="en-US"/>
        </w:rPr>
        <w:t xml:space="preserve"> Hz.</w:t>
      </w:r>
    </w:p>
    <w:p w14:paraId="41036D74" w14:textId="51146223" w:rsidR="00C027AD" w:rsidRPr="00DC7F16" w:rsidRDefault="00C027AD" w:rsidP="008008AC">
      <w:pPr>
        <w:pStyle w:val="Note"/>
        <w:jc w:val="left"/>
        <w:rPr>
          <w:lang w:val="en-US"/>
        </w:rPr>
      </w:pPr>
      <w:r w:rsidRPr="00DC7F16">
        <w:rPr>
          <w:lang w:val="en-US"/>
        </w:rPr>
        <w:t xml:space="preserve">NOTE 2 – Symbols: </w:t>
      </w:r>
      <w:r w:rsidRPr="00DC7F16">
        <w:rPr>
          <w:lang w:val="en-US"/>
        </w:rPr>
        <w:tab/>
        <w:t>Hz: hertz</w:t>
      </w:r>
      <w:r w:rsidR="00C75E30" w:rsidRPr="00DC7F16">
        <w:rPr>
          <w:lang w:val="en-US"/>
        </w:rPr>
        <w:t xml:space="preserve"> </w:t>
      </w:r>
      <w:r w:rsidRPr="00DC7F16">
        <w:rPr>
          <w:lang w:val="en-US"/>
        </w:rPr>
        <w:br/>
      </w:r>
      <w:r w:rsidR="008008AC" w:rsidRPr="00DC7F16">
        <w:rPr>
          <w:lang w:val="en-US"/>
        </w:rPr>
        <w:tab/>
      </w:r>
      <w:r w:rsidR="00B82FE0" w:rsidRPr="00DC7F16">
        <w:rPr>
          <w:lang w:val="en-US"/>
        </w:rPr>
        <w:tab/>
      </w:r>
      <w:r w:rsidR="00B82FE0" w:rsidRPr="00DC7F16">
        <w:rPr>
          <w:lang w:val="en-US"/>
        </w:rPr>
        <w:tab/>
      </w:r>
      <w:r w:rsidRPr="00DC7F16">
        <w:rPr>
          <w:lang w:val="en-US"/>
        </w:rPr>
        <w:t>k: kilo (10</w:t>
      </w:r>
      <w:r w:rsidRPr="00DC7F16">
        <w:rPr>
          <w:position w:val="6"/>
          <w:sz w:val="16"/>
          <w:lang w:val="en-US"/>
        </w:rPr>
        <w:t>3</w:t>
      </w:r>
      <w:r w:rsidRPr="00DC7F16">
        <w:rPr>
          <w:lang w:val="en-US"/>
        </w:rPr>
        <w:t>), M: mega (10</w:t>
      </w:r>
      <w:r w:rsidRPr="00DC7F16">
        <w:rPr>
          <w:position w:val="6"/>
          <w:sz w:val="16"/>
          <w:lang w:val="en-US"/>
        </w:rPr>
        <w:t>6</w:t>
      </w:r>
      <w:r w:rsidRPr="00DC7F16">
        <w:rPr>
          <w:lang w:val="en-US"/>
        </w:rPr>
        <w:t>), G: giga (10</w:t>
      </w:r>
      <w:r w:rsidRPr="00DC7F16">
        <w:rPr>
          <w:position w:val="6"/>
          <w:sz w:val="16"/>
          <w:lang w:val="en-US"/>
        </w:rPr>
        <w:t>9</w:t>
      </w:r>
      <w:r w:rsidRPr="00DC7F16">
        <w:rPr>
          <w:lang w:val="en-US"/>
        </w:rPr>
        <w:t>), T: tera (10</w:t>
      </w:r>
      <w:r w:rsidRPr="00DC7F16">
        <w:rPr>
          <w:position w:val="6"/>
          <w:sz w:val="16"/>
          <w:lang w:val="en-US"/>
        </w:rPr>
        <w:t>12</w:t>
      </w:r>
      <w:r w:rsidRPr="00DC7F16">
        <w:rPr>
          <w:lang w:val="en-US"/>
        </w:rPr>
        <w:t>)</w:t>
      </w:r>
      <w:r w:rsidRPr="00DC7F16">
        <w:rPr>
          <w:lang w:val="en-US"/>
        </w:rPr>
        <w:br/>
      </w:r>
      <w:r w:rsidR="008008AC">
        <w:rPr>
          <w:rFonts w:ascii="Symbol" w:hAnsi="Symbol"/>
        </w:rPr>
        <w:tab/>
      </w:r>
      <w:r w:rsidR="00B82FE0">
        <w:rPr>
          <w:rFonts w:ascii="Symbol" w:hAnsi="Symbol"/>
        </w:rPr>
        <w:tab/>
      </w:r>
      <w:r w:rsidR="00B82FE0">
        <w:rPr>
          <w:rFonts w:ascii="Symbol" w:hAnsi="Symbol"/>
        </w:rPr>
        <w:tab/>
      </w:r>
      <w:r w:rsidRPr="00C027AD">
        <w:rPr>
          <w:rFonts w:ascii="Symbol" w:hAnsi="Symbol"/>
        </w:rPr>
        <w:t></w:t>
      </w:r>
      <w:r w:rsidRPr="00DC7F16">
        <w:rPr>
          <w:lang w:val="en-US"/>
        </w:rPr>
        <w:t>: micro (10</w:t>
      </w:r>
      <w:r w:rsidR="00B82FE0" w:rsidRPr="00DC7F16">
        <w:rPr>
          <w:position w:val="6"/>
          <w:sz w:val="16"/>
          <w:lang w:val="en-US"/>
        </w:rPr>
        <w:t>−</w:t>
      </w:r>
      <w:r w:rsidRPr="00DC7F16">
        <w:rPr>
          <w:position w:val="6"/>
          <w:sz w:val="16"/>
          <w:lang w:val="en-US"/>
        </w:rPr>
        <w:t>6</w:t>
      </w:r>
      <w:r w:rsidRPr="00DC7F16">
        <w:rPr>
          <w:lang w:val="en-US"/>
        </w:rPr>
        <w:t>), m: milli (10</w:t>
      </w:r>
      <w:r w:rsidR="00B82FE0" w:rsidRPr="00DC7F16">
        <w:rPr>
          <w:position w:val="6"/>
          <w:sz w:val="16"/>
          <w:lang w:val="en-US"/>
        </w:rPr>
        <w:t>−</w:t>
      </w:r>
      <w:r w:rsidRPr="00DC7F16">
        <w:rPr>
          <w:position w:val="6"/>
          <w:sz w:val="16"/>
          <w:lang w:val="en-US"/>
        </w:rPr>
        <w:t>3</w:t>
      </w:r>
      <w:r w:rsidRPr="00DC7F16">
        <w:rPr>
          <w:lang w:val="en-US"/>
        </w:rPr>
        <w:t xml:space="preserve">), c: </w:t>
      </w:r>
      <w:proofErr w:type="spellStart"/>
      <w:r w:rsidRPr="00DC7F16">
        <w:rPr>
          <w:lang w:val="en-US"/>
        </w:rPr>
        <w:t>centi</w:t>
      </w:r>
      <w:proofErr w:type="spellEnd"/>
      <w:r w:rsidRPr="00DC7F16">
        <w:rPr>
          <w:lang w:val="en-US"/>
        </w:rPr>
        <w:t xml:space="preserve"> (10</w:t>
      </w:r>
      <w:r w:rsidR="00B82FE0" w:rsidRPr="00DC7F16">
        <w:rPr>
          <w:position w:val="6"/>
          <w:sz w:val="16"/>
          <w:lang w:val="en-US"/>
        </w:rPr>
        <w:t>−</w:t>
      </w:r>
      <w:r w:rsidRPr="00DC7F16">
        <w:rPr>
          <w:position w:val="6"/>
          <w:sz w:val="16"/>
          <w:lang w:val="en-US"/>
        </w:rPr>
        <w:t>2</w:t>
      </w:r>
      <w:r w:rsidRPr="00DC7F16">
        <w:rPr>
          <w:lang w:val="en-US"/>
        </w:rPr>
        <w:t xml:space="preserve">), d: </w:t>
      </w:r>
      <w:proofErr w:type="spellStart"/>
      <w:r w:rsidRPr="00DC7F16">
        <w:rPr>
          <w:lang w:val="en-US"/>
        </w:rPr>
        <w:t>deci</w:t>
      </w:r>
      <w:proofErr w:type="spellEnd"/>
      <w:r w:rsidRPr="00DC7F16">
        <w:rPr>
          <w:lang w:val="en-US"/>
        </w:rPr>
        <w:t xml:space="preserve"> (10</w:t>
      </w:r>
      <w:r w:rsidR="00B82FE0" w:rsidRPr="00DC7F16">
        <w:rPr>
          <w:position w:val="6"/>
          <w:sz w:val="16"/>
          <w:lang w:val="en-US"/>
        </w:rPr>
        <w:t>−</w:t>
      </w:r>
      <w:r w:rsidRPr="00DC7F16">
        <w:rPr>
          <w:position w:val="6"/>
          <w:sz w:val="16"/>
          <w:lang w:val="en-US"/>
        </w:rPr>
        <w:t>1</w:t>
      </w:r>
      <w:r w:rsidRPr="00DC7F16">
        <w:rPr>
          <w:lang w:val="en-US"/>
        </w:rPr>
        <w:t>)</w:t>
      </w:r>
      <w:r w:rsidRPr="00DC7F16">
        <w:rPr>
          <w:lang w:val="en-US"/>
        </w:rPr>
        <w:br/>
      </w:r>
      <w:r w:rsidR="008008AC" w:rsidRPr="00DC7F16">
        <w:rPr>
          <w:lang w:val="en-US"/>
        </w:rPr>
        <w:tab/>
      </w:r>
      <w:r w:rsidR="00B82FE0" w:rsidRPr="00DC7F16">
        <w:rPr>
          <w:lang w:val="en-US"/>
        </w:rPr>
        <w:tab/>
      </w:r>
      <w:r w:rsidR="00B82FE0" w:rsidRPr="00DC7F16">
        <w:rPr>
          <w:lang w:val="en-US"/>
        </w:rPr>
        <w:tab/>
      </w:r>
      <w:r w:rsidRPr="00DC7F16">
        <w:rPr>
          <w:lang w:val="en-US"/>
        </w:rPr>
        <w:t xml:space="preserve">da: </w:t>
      </w:r>
      <w:proofErr w:type="spellStart"/>
      <w:r w:rsidRPr="00DC7F16">
        <w:rPr>
          <w:lang w:val="en-US"/>
        </w:rPr>
        <w:t>deca</w:t>
      </w:r>
      <w:proofErr w:type="spellEnd"/>
      <w:r w:rsidRPr="00DC7F16">
        <w:rPr>
          <w:lang w:val="en-US"/>
        </w:rPr>
        <w:t xml:space="preserve"> (10), h: </w:t>
      </w:r>
      <w:proofErr w:type="spellStart"/>
      <w:r w:rsidRPr="00DC7F16">
        <w:rPr>
          <w:lang w:val="en-US"/>
        </w:rPr>
        <w:t>hecto</w:t>
      </w:r>
      <w:proofErr w:type="spellEnd"/>
      <w:r w:rsidRPr="00DC7F16">
        <w:rPr>
          <w:lang w:val="en-US"/>
        </w:rPr>
        <w:t xml:space="preserve"> (10</w:t>
      </w:r>
      <w:r w:rsidRPr="00DC7F16">
        <w:rPr>
          <w:position w:val="6"/>
          <w:sz w:val="16"/>
          <w:lang w:val="en-US"/>
        </w:rPr>
        <w:t>2</w:t>
      </w:r>
      <w:r w:rsidRPr="00DC7F16">
        <w:rPr>
          <w:lang w:val="en-US"/>
        </w:rPr>
        <w:t>).</w:t>
      </w:r>
    </w:p>
    <w:p w14:paraId="3B8ACB51" w14:textId="77777777" w:rsidR="00C027AD" w:rsidRPr="00C027AD" w:rsidRDefault="00C027AD" w:rsidP="008008AC">
      <w:pPr>
        <w:pStyle w:val="Note"/>
      </w:pPr>
      <w:r w:rsidRPr="00C027AD">
        <w:t>NOTE 3 – This nomenclature, used for designating frequencies in the field of telecommunications, may be extended to cover the ranges shown below (see Table 2).</w:t>
      </w:r>
    </w:p>
    <w:p w14:paraId="56A6A38A" w14:textId="77777777" w:rsidR="00C027AD" w:rsidRDefault="00C027AD" w:rsidP="0024688E">
      <w:pPr>
        <w:pStyle w:val="TableNo"/>
      </w:pPr>
      <w:r w:rsidRPr="00C027AD">
        <w:t>TABLE 2</w:t>
      </w:r>
    </w:p>
    <w:tbl>
      <w:tblPr>
        <w:tblW w:w="9639" w:type="dxa"/>
        <w:jc w:val="center"/>
        <w:tblLook w:val="0000" w:firstRow="0" w:lastRow="0" w:firstColumn="0" w:lastColumn="0" w:noHBand="0" w:noVBand="0"/>
      </w:tblPr>
      <w:tblGrid>
        <w:gridCol w:w="1108"/>
        <w:gridCol w:w="1011"/>
        <w:gridCol w:w="2861"/>
        <w:gridCol w:w="2121"/>
        <w:gridCol w:w="2538"/>
      </w:tblGrid>
      <w:tr w:rsidR="00CE2BC9" w:rsidRPr="00C027AD" w14:paraId="3E9D768A" w14:textId="77777777" w:rsidTr="008008AC">
        <w:trPr>
          <w:cantSplit/>
          <w:jc w:val="center"/>
        </w:trPr>
        <w:tc>
          <w:tcPr>
            <w:tcW w:w="580" w:type="pct"/>
            <w:tcBorders>
              <w:top w:val="single" w:sz="6" w:space="0" w:color="auto"/>
              <w:left w:val="single" w:sz="6" w:space="0" w:color="auto"/>
              <w:bottom w:val="single" w:sz="6" w:space="0" w:color="auto"/>
              <w:right w:val="single" w:sz="6" w:space="0" w:color="auto"/>
            </w:tcBorders>
            <w:vAlign w:val="center"/>
          </w:tcPr>
          <w:p w14:paraId="6D5E163B" w14:textId="77777777" w:rsidR="00A357A1" w:rsidRPr="00C027AD" w:rsidRDefault="00A357A1" w:rsidP="008008AC">
            <w:pPr>
              <w:pStyle w:val="Tablehead"/>
              <w:rPr>
                <w:lang w:val="fr-FR"/>
              </w:rPr>
            </w:pPr>
            <w:r w:rsidRPr="00C027AD">
              <w:rPr>
                <w:lang w:val="fr-FR"/>
              </w:rPr>
              <w:t>Band</w:t>
            </w:r>
            <w:r w:rsidRPr="00C027AD">
              <w:rPr>
                <w:lang w:val="fr-FR"/>
              </w:rPr>
              <w:br/>
            </w:r>
            <w:proofErr w:type="spellStart"/>
            <w:r w:rsidRPr="00C027AD">
              <w:rPr>
                <w:lang w:val="fr-FR"/>
              </w:rPr>
              <w:t>number</w:t>
            </w:r>
            <w:proofErr w:type="spellEnd"/>
          </w:p>
        </w:tc>
        <w:tc>
          <w:tcPr>
            <w:tcW w:w="505" w:type="pct"/>
            <w:tcBorders>
              <w:top w:val="single" w:sz="6" w:space="0" w:color="auto"/>
              <w:left w:val="single" w:sz="6" w:space="0" w:color="auto"/>
              <w:bottom w:val="single" w:sz="6" w:space="0" w:color="auto"/>
              <w:right w:val="single" w:sz="6" w:space="0" w:color="auto"/>
            </w:tcBorders>
            <w:vAlign w:val="center"/>
          </w:tcPr>
          <w:p w14:paraId="4D87C839" w14:textId="77777777" w:rsidR="00A357A1" w:rsidRPr="00C027AD" w:rsidRDefault="00A357A1" w:rsidP="008008AC">
            <w:pPr>
              <w:pStyle w:val="Tablehead"/>
              <w:rPr>
                <w:lang w:val="fr-FR"/>
              </w:rPr>
            </w:pPr>
            <w:proofErr w:type="spellStart"/>
            <w:r w:rsidRPr="00C027AD">
              <w:rPr>
                <w:lang w:val="fr-FR"/>
              </w:rPr>
              <w:t>Symbols</w:t>
            </w:r>
            <w:proofErr w:type="spellEnd"/>
          </w:p>
        </w:tc>
        <w:tc>
          <w:tcPr>
            <w:tcW w:w="1489" w:type="pct"/>
            <w:tcBorders>
              <w:top w:val="single" w:sz="6" w:space="0" w:color="auto"/>
              <w:left w:val="single" w:sz="6" w:space="0" w:color="auto"/>
              <w:bottom w:val="single" w:sz="6" w:space="0" w:color="auto"/>
              <w:right w:val="single" w:sz="6" w:space="0" w:color="auto"/>
            </w:tcBorders>
            <w:vAlign w:val="center"/>
          </w:tcPr>
          <w:p w14:paraId="6D191709" w14:textId="77777777" w:rsidR="00A357A1" w:rsidRPr="00C027AD" w:rsidRDefault="00A357A1" w:rsidP="008008AC">
            <w:pPr>
              <w:pStyle w:val="Tablehead"/>
              <w:rPr>
                <w:lang w:val="fr-FR"/>
              </w:rPr>
            </w:pPr>
            <w:proofErr w:type="spellStart"/>
            <w:r w:rsidRPr="00C027AD">
              <w:rPr>
                <w:lang w:val="fr-FR"/>
              </w:rPr>
              <w:t>Designations</w:t>
            </w:r>
            <w:proofErr w:type="spellEnd"/>
          </w:p>
        </w:tc>
        <w:tc>
          <w:tcPr>
            <w:tcW w:w="1105" w:type="pct"/>
            <w:tcBorders>
              <w:top w:val="single" w:sz="6" w:space="0" w:color="auto"/>
              <w:left w:val="single" w:sz="6" w:space="0" w:color="auto"/>
              <w:bottom w:val="single" w:sz="6" w:space="0" w:color="auto"/>
              <w:right w:val="single" w:sz="6" w:space="0" w:color="auto"/>
            </w:tcBorders>
            <w:vAlign w:val="center"/>
          </w:tcPr>
          <w:p w14:paraId="7695966C" w14:textId="77777777" w:rsidR="00A357A1" w:rsidRPr="00C027AD" w:rsidRDefault="00A357A1" w:rsidP="008008AC">
            <w:pPr>
              <w:pStyle w:val="Tablehead"/>
            </w:pPr>
            <w:r w:rsidRPr="00C027AD">
              <w:t>Frequency range</w:t>
            </w:r>
            <w:r w:rsidRPr="00C027AD">
              <w:br/>
              <w:t>(lower limit exclusive,</w:t>
            </w:r>
            <w:r w:rsidRPr="00C027AD">
              <w:br/>
              <w:t>upper limit inclusive)</w:t>
            </w:r>
          </w:p>
        </w:tc>
        <w:tc>
          <w:tcPr>
            <w:tcW w:w="1321" w:type="pct"/>
            <w:tcBorders>
              <w:top w:val="single" w:sz="6" w:space="0" w:color="auto"/>
              <w:left w:val="single" w:sz="6" w:space="0" w:color="auto"/>
              <w:bottom w:val="single" w:sz="6" w:space="0" w:color="auto"/>
              <w:right w:val="single" w:sz="6" w:space="0" w:color="auto"/>
            </w:tcBorders>
            <w:vAlign w:val="center"/>
          </w:tcPr>
          <w:p w14:paraId="63B8ABA3" w14:textId="77777777" w:rsidR="00A357A1" w:rsidRPr="00C027AD" w:rsidRDefault="00A357A1" w:rsidP="008008AC">
            <w:pPr>
              <w:pStyle w:val="Tablehead"/>
              <w:rPr>
                <w:lang w:val="fr-FR"/>
              </w:rPr>
            </w:pPr>
            <w:proofErr w:type="spellStart"/>
            <w:r w:rsidRPr="00C027AD">
              <w:rPr>
                <w:lang w:val="fr-FR"/>
              </w:rPr>
              <w:t>Corresponding</w:t>
            </w:r>
            <w:proofErr w:type="spellEnd"/>
            <w:r w:rsidRPr="00C027AD">
              <w:rPr>
                <w:lang w:val="fr-FR"/>
              </w:rPr>
              <w:t xml:space="preserve"> </w:t>
            </w:r>
            <w:proofErr w:type="spellStart"/>
            <w:r w:rsidRPr="00C027AD">
              <w:rPr>
                <w:lang w:val="fr-FR"/>
              </w:rPr>
              <w:t>metric</w:t>
            </w:r>
            <w:proofErr w:type="spellEnd"/>
            <w:r w:rsidRPr="00C027AD">
              <w:rPr>
                <w:lang w:val="fr-FR"/>
              </w:rPr>
              <w:t xml:space="preserve"> subdivision</w:t>
            </w:r>
          </w:p>
        </w:tc>
      </w:tr>
      <w:tr w:rsidR="00CE2BC9" w:rsidRPr="00D568F7" w14:paraId="1F388198" w14:textId="77777777" w:rsidTr="008008AC">
        <w:trPr>
          <w:cantSplit/>
          <w:jc w:val="center"/>
        </w:trPr>
        <w:tc>
          <w:tcPr>
            <w:tcW w:w="580" w:type="pct"/>
            <w:tcBorders>
              <w:top w:val="single" w:sz="6" w:space="0" w:color="auto"/>
              <w:left w:val="single" w:sz="6" w:space="0" w:color="auto"/>
              <w:right w:val="single" w:sz="6" w:space="0" w:color="auto"/>
            </w:tcBorders>
            <w:tcMar>
              <w:top w:w="0" w:type="dxa"/>
              <w:bottom w:w="0" w:type="dxa"/>
            </w:tcMar>
          </w:tcPr>
          <w:p w14:paraId="39D95C4F" w14:textId="31BA713E" w:rsidR="00CE2BC9" w:rsidRPr="00C027AD" w:rsidRDefault="00B82FE0" w:rsidP="00E21FFE">
            <w:pPr>
              <w:pStyle w:val="Tabletext"/>
              <w:jc w:val="center"/>
            </w:pPr>
            <w:r w:rsidRPr="00B82FE0">
              <w:t>−</w:t>
            </w:r>
            <w:r w:rsidR="00CE2BC9" w:rsidRPr="00C027AD">
              <w:t>1</w:t>
            </w:r>
          </w:p>
        </w:tc>
        <w:tc>
          <w:tcPr>
            <w:tcW w:w="505" w:type="pct"/>
            <w:tcBorders>
              <w:top w:val="single" w:sz="6" w:space="0" w:color="auto"/>
              <w:left w:val="single" w:sz="6" w:space="0" w:color="auto"/>
              <w:right w:val="single" w:sz="6" w:space="0" w:color="auto"/>
            </w:tcBorders>
            <w:tcMar>
              <w:top w:w="0" w:type="dxa"/>
              <w:bottom w:w="0" w:type="dxa"/>
            </w:tcMar>
          </w:tcPr>
          <w:p w14:paraId="62B703CF" w14:textId="03B9F7EF" w:rsidR="00CE2BC9" w:rsidRPr="00C027AD" w:rsidRDefault="00CE2BC9" w:rsidP="00E21FFE">
            <w:pPr>
              <w:pStyle w:val="Tabletext"/>
              <w:jc w:val="center"/>
            </w:pPr>
          </w:p>
        </w:tc>
        <w:tc>
          <w:tcPr>
            <w:tcW w:w="1489" w:type="pct"/>
            <w:tcBorders>
              <w:top w:val="single" w:sz="6" w:space="0" w:color="auto"/>
              <w:left w:val="single" w:sz="6" w:space="0" w:color="auto"/>
              <w:right w:val="single" w:sz="6" w:space="0" w:color="auto"/>
            </w:tcBorders>
            <w:tcMar>
              <w:top w:w="0" w:type="dxa"/>
              <w:bottom w:w="0" w:type="dxa"/>
            </w:tcMar>
          </w:tcPr>
          <w:p w14:paraId="221A167C" w14:textId="2F30F1D3" w:rsidR="00CE2BC9" w:rsidRPr="00C027AD" w:rsidRDefault="00CE2BC9" w:rsidP="00E21FFE">
            <w:pPr>
              <w:pStyle w:val="Tabletext"/>
              <w:jc w:val="center"/>
            </w:pPr>
          </w:p>
        </w:tc>
        <w:tc>
          <w:tcPr>
            <w:tcW w:w="1105" w:type="pct"/>
            <w:tcBorders>
              <w:top w:val="single" w:sz="6" w:space="0" w:color="auto"/>
              <w:left w:val="single" w:sz="6" w:space="0" w:color="auto"/>
              <w:right w:val="single" w:sz="6" w:space="0" w:color="auto"/>
            </w:tcBorders>
            <w:tcMar>
              <w:top w:w="0" w:type="dxa"/>
              <w:bottom w:w="0" w:type="dxa"/>
            </w:tcMar>
          </w:tcPr>
          <w:p w14:paraId="5DDD574E" w14:textId="21DC56E0" w:rsidR="00CE2BC9" w:rsidRPr="00C027AD" w:rsidRDefault="00CE2BC9" w:rsidP="00E21FFE">
            <w:pPr>
              <w:pStyle w:val="Tabletext"/>
              <w:jc w:val="center"/>
            </w:pPr>
            <w:r w:rsidRPr="00C027AD">
              <w:t>0.03-0.3 Hz</w:t>
            </w:r>
          </w:p>
        </w:tc>
        <w:tc>
          <w:tcPr>
            <w:tcW w:w="1321" w:type="pct"/>
            <w:tcBorders>
              <w:top w:val="single" w:sz="6" w:space="0" w:color="auto"/>
              <w:left w:val="single" w:sz="6" w:space="0" w:color="auto"/>
              <w:right w:val="single" w:sz="6" w:space="0" w:color="auto"/>
            </w:tcBorders>
            <w:tcMar>
              <w:top w:w="0" w:type="dxa"/>
              <w:bottom w:w="0" w:type="dxa"/>
            </w:tcMar>
          </w:tcPr>
          <w:p w14:paraId="0F6B3763" w14:textId="1CFD827B" w:rsidR="00CE2BC9" w:rsidRPr="00C027AD" w:rsidRDefault="00CE2BC9" w:rsidP="00E21FFE">
            <w:pPr>
              <w:pStyle w:val="Tabletext"/>
              <w:jc w:val="center"/>
            </w:pPr>
            <w:proofErr w:type="spellStart"/>
            <w:r w:rsidRPr="00C027AD">
              <w:t>gigametric</w:t>
            </w:r>
            <w:proofErr w:type="spellEnd"/>
            <w:r w:rsidRPr="00C027AD">
              <w:t xml:space="preserve"> waves</w:t>
            </w:r>
          </w:p>
        </w:tc>
      </w:tr>
      <w:tr w:rsidR="00CE2BC9" w:rsidRPr="00D568F7" w14:paraId="5CB88CA7" w14:textId="77777777" w:rsidTr="008008AC">
        <w:trPr>
          <w:cantSplit/>
          <w:jc w:val="center"/>
        </w:trPr>
        <w:tc>
          <w:tcPr>
            <w:tcW w:w="580" w:type="pct"/>
            <w:tcBorders>
              <w:left w:val="single" w:sz="6" w:space="0" w:color="auto"/>
              <w:right w:val="single" w:sz="6" w:space="0" w:color="auto"/>
            </w:tcBorders>
            <w:tcMar>
              <w:top w:w="0" w:type="dxa"/>
              <w:bottom w:w="0" w:type="dxa"/>
            </w:tcMar>
          </w:tcPr>
          <w:p w14:paraId="3E93D9E9" w14:textId="44835784" w:rsidR="00CE2BC9" w:rsidRPr="00D568F7" w:rsidRDefault="00CE2BC9" w:rsidP="00E21FFE">
            <w:pPr>
              <w:pStyle w:val="Tabletext"/>
              <w:jc w:val="center"/>
            </w:pPr>
            <w:r w:rsidRPr="00C027AD">
              <w:t>0</w:t>
            </w:r>
          </w:p>
        </w:tc>
        <w:tc>
          <w:tcPr>
            <w:tcW w:w="505" w:type="pct"/>
            <w:tcBorders>
              <w:left w:val="single" w:sz="6" w:space="0" w:color="auto"/>
              <w:right w:val="single" w:sz="6" w:space="0" w:color="auto"/>
            </w:tcBorders>
            <w:tcMar>
              <w:top w:w="0" w:type="dxa"/>
              <w:bottom w:w="0" w:type="dxa"/>
            </w:tcMar>
          </w:tcPr>
          <w:p w14:paraId="491B907E" w14:textId="7DC12A95" w:rsidR="00CE2BC9" w:rsidRPr="00D568F7" w:rsidRDefault="00CE2BC9" w:rsidP="00E21FFE">
            <w:pPr>
              <w:pStyle w:val="Tabletext"/>
              <w:jc w:val="center"/>
            </w:pPr>
            <w:r w:rsidRPr="00C027AD">
              <w:t>TLF</w:t>
            </w:r>
          </w:p>
        </w:tc>
        <w:tc>
          <w:tcPr>
            <w:tcW w:w="1489" w:type="pct"/>
            <w:tcBorders>
              <w:left w:val="single" w:sz="6" w:space="0" w:color="auto"/>
              <w:right w:val="single" w:sz="6" w:space="0" w:color="auto"/>
            </w:tcBorders>
            <w:tcMar>
              <w:top w:w="0" w:type="dxa"/>
              <w:bottom w:w="0" w:type="dxa"/>
            </w:tcMar>
          </w:tcPr>
          <w:p w14:paraId="41830B3D" w14:textId="768B88D7" w:rsidR="00CE2BC9" w:rsidRPr="00D568F7" w:rsidRDefault="00CE2BC9" w:rsidP="00E21FFE">
            <w:pPr>
              <w:pStyle w:val="Tabletext"/>
              <w:jc w:val="center"/>
            </w:pPr>
            <w:r w:rsidRPr="00C027AD">
              <w:t>Tremendously low frequency</w:t>
            </w:r>
          </w:p>
        </w:tc>
        <w:tc>
          <w:tcPr>
            <w:tcW w:w="1105" w:type="pct"/>
            <w:tcBorders>
              <w:left w:val="single" w:sz="6" w:space="0" w:color="auto"/>
              <w:right w:val="single" w:sz="6" w:space="0" w:color="auto"/>
            </w:tcBorders>
            <w:tcMar>
              <w:top w:w="0" w:type="dxa"/>
              <w:bottom w:w="0" w:type="dxa"/>
            </w:tcMar>
          </w:tcPr>
          <w:p w14:paraId="5B52F85A" w14:textId="620DA3E7" w:rsidR="00CE2BC9" w:rsidRPr="00D568F7" w:rsidRDefault="00CE2BC9" w:rsidP="00E21FFE">
            <w:pPr>
              <w:pStyle w:val="Tabletext"/>
              <w:jc w:val="center"/>
            </w:pPr>
            <w:r w:rsidRPr="00C027AD">
              <w:t>0.3-3 Hz</w:t>
            </w:r>
          </w:p>
        </w:tc>
        <w:tc>
          <w:tcPr>
            <w:tcW w:w="1321" w:type="pct"/>
            <w:tcBorders>
              <w:left w:val="single" w:sz="6" w:space="0" w:color="auto"/>
              <w:right w:val="single" w:sz="6" w:space="0" w:color="auto"/>
            </w:tcBorders>
            <w:tcMar>
              <w:top w:w="0" w:type="dxa"/>
              <w:bottom w:w="0" w:type="dxa"/>
            </w:tcMar>
          </w:tcPr>
          <w:p w14:paraId="190E82B1" w14:textId="4055C23D" w:rsidR="00CE2BC9" w:rsidRPr="00D568F7" w:rsidRDefault="00CE2BC9" w:rsidP="00E21FFE">
            <w:pPr>
              <w:pStyle w:val="Tabletext"/>
              <w:jc w:val="center"/>
            </w:pPr>
            <w:r w:rsidRPr="00C027AD">
              <w:t>sub-</w:t>
            </w:r>
            <w:proofErr w:type="spellStart"/>
            <w:r w:rsidRPr="00C027AD">
              <w:t>gigametric</w:t>
            </w:r>
            <w:proofErr w:type="spellEnd"/>
            <w:r w:rsidRPr="00C027AD">
              <w:t xml:space="preserve"> waves</w:t>
            </w:r>
          </w:p>
        </w:tc>
      </w:tr>
      <w:tr w:rsidR="00CE2BC9" w:rsidRPr="00D568F7" w14:paraId="230C14EF" w14:textId="77777777" w:rsidTr="008008AC">
        <w:trPr>
          <w:cantSplit/>
          <w:jc w:val="center"/>
        </w:trPr>
        <w:tc>
          <w:tcPr>
            <w:tcW w:w="580" w:type="pct"/>
            <w:tcBorders>
              <w:left w:val="single" w:sz="6" w:space="0" w:color="auto"/>
              <w:right w:val="single" w:sz="6" w:space="0" w:color="auto"/>
            </w:tcBorders>
            <w:tcMar>
              <w:top w:w="0" w:type="dxa"/>
              <w:bottom w:w="0" w:type="dxa"/>
            </w:tcMar>
          </w:tcPr>
          <w:p w14:paraId="3066EDB4" w14:textId="35097886" w:rsidR="00CE2BC9" w:rsidRPr="00D568F7" w:rsidRDefault="00CE2BC9" w:rsidP="00E21FFE">
            <w:pPr>
              <w:pStyle w:val="Tabletext"/>
              <w:jc w:val="center"/>
            </w:pPr>
            <w:r w:rsidRPr="00C027AD">
              <w:t>1</w:t>
            </w:r>
          </w:p>
        </w:tc>
        <w:tc>
          <w:tcPr>
            <w:tcW w:w="505" w:type="pct"/>
            <w:tcBorders>
              <w:left w:val="single" w:sz="6" w:space="0" w:color="auto"/>
              <w:right w:val="single" w:sz="6" w:space="0" w:color="auto"/>
            </w:tcBorders>
            <w:tcMar>
              <w:top w:w="0" w:type="dxa"/>
              <w:bottom w:w="0" w:type="dxa"/>
            </w:tcMar>
          </w:tcPr>
          <w:p w14:paraId="77B9EEB3" w14:textId="476188C4" w:rsidR="00CE2BC9" w:rsidRPr="00D568F7" w:rsidRDefault="00CE2BC9" w:rsidP="00E21FFE">
            <w:pPr>
              <w:pStyle w:val="Tabletext"/>
              <w:jc w:val="center"/>
            </w:pPr>
            <w:r w:rsidRPr="00C027AD">
              <w:t>ELF</w:t>
            </w:r>
          </w:p>
        </w:tc>
        <w:tc>
          <w:tcPr>
            <w:tcW w:w="1489" w:type="pct"/>
            <w:tcBorders>
              <w:left w:val="single" w:sz="6" w:space="0" w:color="auto"/>
              <w:right w:val="single" w:sz="6" w:space="0" w:color="auto"/>
            </w:tcBorders>
            <w:tcMar>
              <w:top w:w="0" w:type="dxa"/>
              <w:bottom w:w="0" w:type="dxa"/>
            </w:tcMar>
          </w:tcPr>
          <w:p w14:paraId="330740D7" w14:textId="03C8AA1D" w:rsidR="00CE2BC9" w:rsidRPr="00D568F7" w:rsidRDefault="00CE2BC9" w:rsidP="00E21FFE">
            <w:pPr>
              <w:pStyle w:val="Tabletext"/>
              <w:jc w:val="center"/>
            </w:pPr>
            <w:r w:rsidRPr="00C027AD">
              <w:t>Extremely low frequency</w:t>
            </w:r>
          </w:p>
        </w:tc>
        <w:tc>
          <w:tcPr>
            <w:tcW w:w="1105" w:type="pct"/>
            <w:tcBorders>
              <w:left w:val="single" w:sz="6" w:space="0" w:color="auto"/>
              <w:right w:val="single" w:sz="6" w:space="0" w:color="auto"/>
            </w:tcBorders>
            <w:tcMar>
              <w:top w:w="0" w:type="dxa"/>
              <w:bottom w:w="0" w:type="dxa"/>
            </w:tcMar>
          </w:tcPr>
          <w:p w14:paraId="384F3CAA" w14:textId="4432C505" w:rsidR="00CE2BC9" w:rsidRPr="00D568F7" w:rsidRDefault="00CE2BC9" w:rsidP="00E21FFE">
            <w:pPr>
              <w:pStyle w:val="Tabletext"/>
              <w:jc w:val="center"/>
            </w:pPr>
            <w:r w:rsidRPr="00C027AD">
              <w:t>3-30 Hz</w:t>
            </w:r>
          </w:p>
        </w:tc>
        <w:tc>
          <w:tcPr>
            <w:tcW w:w="1321" w:type="pct"/>
            <w:tcBorders>
              <w:left w:val="single" w:sz="6" w:space="0" w:color="auto"/>
              <w:right w:val="single" w:sz="6" w:space="0" w:color="auto"/>
            </w:tcBorders>
            <w:tcMar>
              <w:top w:w="0" w:type="dxa"/>
              <w:bottom w:w="0" w:type="dxa"/>
            </w:tcMar>
          </w:tcPr>
          <w:p w14:paraId="52D72750" w14:textId="6ABD2A47" w:rsidR="00CE2BC9" w:rsidRPr="00D568F7" w:rsidRDefault="00CE2BC9" w:rsidP="00E21FFE">
            <w:pPr>
              <w:pStyle w:val="Tabletext"/>
              <w:jc w:val="center"/>
            </w:pPr>
            <w:r w:rsidRPr="00C027AD">
              <w:t>super-</w:t>
            </w:r>
            <w:proofErr w:type="spellStart"/>
            <w:r w:rsidRPr="00C027AD">
              <w:t>megametric</w:t>
            </w:r>
            <w:proofErr w:type="spellEnd"/>
            <w:r w:rsidRPr="00C027AD">
              <w:t xml:space="preserve"> waves</w:t>
            </w:r>
          </w:p>
        </w:tc>
      </w:tr>
      <w:tr w:rsidR="00A638C5" w:rsidRPr="00D568F7" w14:paraId="39944169" w14:textId="77777777" w:rsidTr="008008AC">
        <w:trPr>
          <w:cantSplit/>
          <w:jc w:val="center"/>
        </w:trPr>
        <w:tc>
          <w:tcPr>
            <w:tcW w:w="580" w:type="pct"/>
            <w:tcBorders>
              <w:left w:val="single" w:sz="6" w:space="0" w:color="auto"/>
              <w:bottom w:val="single" w:sz="4" w:space="0" w:color="auto"/>
              <w:right w:val="single" w:sz="6" w:space="0" w:color="auto"/>
            </w:tcBorders>
            <w:tcMar>
              <w:top w:w="0" w:type="dxa"/>
              <w:bottom w:w="0" w:type="dxa"/>
            </w:tcMar>
          </w:tcPr>
          <w:p w14:paraId="55D079A3" w14:textId="760BE159" w:rsidR="00CE2BC9" w:rsidRPr="00C027AD" w:rsidRDefault="00CE2BC9" w:rsidP="00E21FFE">
            <w:pPr>
              <w:pStyle w:val="Tabletext"/>
              <w:jc w:val="center"/>
            </w:pPr>
            <w:r w:rsidRPr="00C027AD">
              <w:t>2</w:t>
            </w:r>
          </w:p>
        </w:tc>
        <w:tc>
          <w:tcPr>
            <w:tcW w:w="505" w:type="pct"/>
            <w:tcBorders>
              <w:left w:val="single" w:sz="6" w:space="0" w:color="auto"/>
              <w:bottom w:val="single" w:sz="4" w:space="0" w:color="auto"/>
              <w:right w:val="single" w:sz="6" w:space="0" w:color="auto"/>
            </w:tcBorders>
            <w:tcMar>
              <w:top w:w="0" w:type="dxa"/>
              <w:bottom w:w="0" w:type="dxa"/>
            </w:tcMar>
          </w:tcPr>
          <w:p w14:paraId="39D73EC1" w14:textId="40D10154" w:rsidR="00CE2BC9" w:rsidRPr="00C027AD" w:rsidRDefault="00CE2BC9" w:rsidP="00E21FFE">
            <w:pPr>
              <w:pStyle w:val="Tabletext"/>
              <w:jc w:val="center"/>
            </w:pPr>
            <w:r w:rsidRPr="00C027AD">
              <w:t>SLF</w:t>
            </w:r>
          </w:p>
        </w:tc>
        <w:tc>
          <w:tcPr>
            <w:tcW w:w="1489" w:type="pct"/>
            <w:tcBorders>
              <w:left w:val="single" w:sz="6" w:space="0" w:color="auto"/>
              <w:bottom w:val="single" w:sz="4" w:space="0" w:color="auto"/>
              <w:right w:val="single" w:sz="6" w:space="0" w:color="auto"/>
            </w:tcBorders>
            <w:tcMar>
              <w:top w:w="0" w:type="dxa"/>
              <w:bottom w:w="0" w:type="dxa"/>
            </w:tcMar>
          </w:tcPr>
          <w:p w14:paraId="118F321B" w14:textId="2D2CBFDE" w:rsidR="00CE2BC9" w:rsidRPr="00C027AD" w:rsidRDefault="00CE2BC9" w:rsidP="00E21FFE">
            <w:pPr>
              <w:pStyle w:val="Tabletext"/>
              <w:jc w:val="center"/>
            </w:pPr>
            <w:r w:rsidRPr="00C027AD">
              <w:t>Super low frequency</w:t>
            </w:r>
          </w:p>
        </w:tc>
        <w:tc>
          <w:tcPr>
            <w:tcW w:w="1105" w:type="pct"/>
            <w:tcBorders>
              <w:left w:val="single" w:sz="6" w:space="0" w:color="auto"/>
              <w:bottom w:val="single" w:sz="4" w:space="0" w:color="auto"/>
              <w:right w:val="single" w:sz="6" w:space="0" w:color="auto"/>
            </w:tcBorders>
            <w:tcMar>
              <w:top w:w="0" w:type="dxa"/>
              <w:bottom w:w="0" w:type="dxa"/>
            </w:tcMar>
          </w:tcPr>
          <w:p w14:paraId="3D81EDEE" w14:textId="28C98503" w:rsidR="00CE2BC9" w:rsidRPr="00C027AD" w:rsidRDefault="00CE2BC9" w:rsidP="00E21FFE">
            <w:pPr>
              <w:pStyle w:val="Tabletext"/>
              <w:jc w:val="center"/>
            </w:pPr>
            <w:r w:rsidRPr="00C027AD">
              <w:t>30-300 Hz</w:t>
            </w:r>
          </w:p>
        </w:tc>
        <w:tc>
          <w:tcPr>
            <w:tcW w:w="1321" w:type="pct"/>
            <w:tcBorders>
              <w:left w:val="single" w:sz="6" w:space="0" w:color="auto"/>
              <w:bottom w:val="single" w:sz="4" w:space="0" w:color="auto"/>
              <w:right w:val="single" w:sz="6" w:space="0" w:color="auto"/>
            </w:tcBorders>
            <w:tcMar>
              <w:top w:w="0" w:type="dxa"/>
              <w:bottom w:w="0" w:type="dxa"/>
            </w:tcMar>
          </w:tcPr>
          <w:p w14:paraId="3C919F2C" w14:textId="56008401" w:rsidR="00CE2BC9" w:rsidRPr="00C027AD" w:rsidRDefault="00CE2BC9" w:rsidP="00E21FFE">
            <w:pPr>
              <w:pStyle w:val="Tabletext"/>
              <w:jc w:val="center"/>
            </w:pPr>
            <w:proofErr w:type="spellStart"/>
            <w:r w:rsidRPr="00C027AD">
              <w:t>megametric</w:t>
            </w:r>
            <w:proofErr w:type="spellEnd"/>
            <w:r w:rsidRPr="00C027AD">
              <w:t xml:space="preserve"> waves</w:t>
            </w:r>
          </w:p>
        </w:tc>
      </w:tr>
    </w:tbl>
    <w:p w14:paraId="2D09C07E" w14:textId="77777777" w:rsidR="00C027AD" w:rsidRPr="00C027AD" w:rsidRDefault="00C027AD" w:rsidP="008008AC">
      <w:pPr>
        <w:pStyle w:val="Tablefin"/>
        <w:rPr>
          <w:lang w:eastAsia="zh-CN"/>
        </w:rPr>
      </w:pPr>
    </w:p>
    <w:p w14:paraId="6A2A61D6" w14:textId="77777777" w:rsidR="00C027AD" w:rsidRPr="00C027AD" w:rsidRDefault="00C027AD" w:rsidP="008008AC">
      <w:pPr>
        <w:pStyle w:val="Note"/>
        <w:rPr>
          <w:lang w:val="en-US"/>
        </w:rPr>
      </w:pPr>
      <w:r w:rsidRPr="00C027AD">
        <w:rPr>
          <w:lang w:val="en-US"/>
        </w:rPr>
        <w:t xml:space="preserve">NOTE 4 – Table 3 provides </w:t>
      </w:r>
      <w:r w:rsidRPr="00C027AD">
        <w:rPr>
          <w:lang w:eastAsia="zh-CN"/>
        </w:rPr>
        <w:t xml:space="preserve">designations of some frequency bands allocated to the broadcasting service. </w:t>
      </w:r>
      <w:r w:rsidRPr="00C027AD">
        <w:rPr>
          <w:lang w:val="en-US"/>
        </w:rPr>
        <w:t>It should be noted that these ranges are, in some cases, not exclusive to the broadcasting service.</w:t>
      </w:r>
    </w:p>
    <w:p w14:paraId="76F83431" w14:textId="77777777" w:rsidR="00C027AD" w:rsidRPr="00C027AD" w:rsidRDefault="00C027AD" w:rsidP="006F2D48">
      <w:pPr>
        <w:pStyle w:val="TableNo"/>
      </w:pPr>
      <w:r w:rsidRPr="00C027AD">
        <w:lastRenderedPageBreak/>
        <w:t>TABLE 3</w:t>
      </w:r>
    </w:p>
    <w:tbl>
      <w:tblPr>
        <w:tblW w:w="9639" w:type="dxa"/>
        <w:jc w:val="center"/>
        <w:tblLayout w:type="fixed"/>
        <w:tblLook w:val="0000" w:firstRow="0" w:lastRow="0" w:firstColumn="0" w:lastColumn="0" w:noHBand="0" w:noVBand="0"/>
      </w:tblPr>
      <w:tblGrid>
        <w:gridCol w:w="2409"/>
        <w:gridCol w:w="2410"/>
        <w:gridCol w:w="2410"/>
        <w:gridCol w:w="2410"/>
      </w:tblGrid>
      <w:tr w:rsidR="00C027AD" w:rsidRPr="00C027AD" w14:paraId="76C0DDCF" w14:textId="77777777" w:rsidTr="00B82FE0">
        <w:trPr>
          <w:cantSplit/>
          <w:jc w:val="center"/>
        </w:trPr>
        <w:tc>
          <w:tcPr>
            <w:tcW w:w="1701" w:type="dxa"/>
            <w:vMerge w:val="restart"/>
            <w:tcBorders>
              <w:top w:val="single" w:sz="6" w:space="0" w:color="auto"/>
              <w:left w:val="single" w:sz="6" w:space="0" w:color="auto"/>
              <w:right w:val="single" w:sz="6" w:space="0" w:color="auto"/>
            </w:tcBorders>
            <w:vAlign w:val="center"/>
          </w:tcPr>
          <w:p w14:paraId="2AF739C2" w14:textId="77777777" w:rsidR="00C027AD" w:rsidRPr="00C027AD" w:rsidRDefault="00C027AD" w:rsidP="000B27FF">
            <w:pPr>
              <w:pStyle w:val="Tablehead"/>
            </w:pPr>
            <w:r w:rsidRPr="00C027AD">
              <w:t>Designation</w:t>
            </w:r>
          </w:p>
        </w:tc>
        <w:tc>
          <w:tcPr>
            <w:tcW w:w="5103" w:type="dxa"/>
            <w:gridSpan w:val="3"/>
            <w:tcBorders>
              <w:top w:val="single" w:sz="6" w:space="0" w:color="auto"/>
              <w:left w:val="single" w:sz="6" w:space="0" w:color="auto"/>
              <w:bottom w:val="single" w:sz="6" w:space="0" w:color="auto"/>
              <w:right w:val="single" w:sz="6" w:space="0" w:color="auto"/>
            </w:tcBorders>
            <w:vAlign w:val="center"/>
          </w:tcPr>
          <w:p w14:paraId="696F87FD" w14:textId="77777777" w:rsidR="00C027AD" w:rsidRPr="00C027AD" w:rsidRDefault="00C027AD" w:rsidP="000B27FF">
            <w:pPr>
              <w:pStyle w:val="Tablehead"/>
            </w:pPr>
            <w:r w:rsidRPr="00C027AD">
              <w:t>Frequency range (MHz)</w:t>
            </w:r>
          </w:p>
        </w:tc>
      </w:tr>
      <w:tr w:rsidR="00C027AD" w:rsidRPr="00C027AD" w14:paraId="07C74C29" w14:textId="77777777" w:rsidTr="00B82FE0">
        <w:trPr>
          <w:cantSplit/>
          <w:jc w:val="center"/>
        </w:trPr>
        <w:tc>
          <w:tcPr>
            <w:tcW w:w="1701" w:type="dxa"/>
            <w:vMerge/>
            <w:tcBorders>
              <w:left w:val="single" w:sz="6" w:space="0" w:color="auto"/>
              <w:right w:val="single" w:sz="6" w:space="0" w:color="auto"/>
            </w:tcBorders>
            <w:vAlign w:val="center"/>
          </w:tcPr>
          <w:p w14:paraId="600A336D" w14:textId="77777777" w:rsidR="00C027AD" w:rsidRPr="00C027AD" w:rsidRDefault="00C027AD" w:rsidP="000B27FF">
            <w:pPr>
              <w:pStyle w:val="Tablehead"/>
            </w:pPr>
          </w:p>
        </w:tc>
        <w:tc>
          <w:tcPr>
            <w:tcW w:w="1701" w:type="dxa"/>
            <w:tcBorders>
              <w:top w:val="single" w:sz="6" w:space="0" w:color="auto"/>
              <w:left w:val="single" w:sz="6" w:space="0" w:color="auto"/>
              <w:right w:val="single" w:sz="6" w:space="0" w:color="auto"/>
            </w:tcBorders>
            <w:vAlign w:val="center"/>
          </w:tcPr>
          <w:p w14:paraId="0263C5BA" w14:textId="77777777" w:rsidR="00C027AD" w:rsidRPr="00C027AD" w:rsidRDefault="00C027AD" w:rsidP="000B27FF">
            <w:pPr>
              <w:pStyle w:val="Tablehead"/>
            </w:pPr>
            <w:r w:rsidRPr="00C027AD">
              <w:t>Region 1</w:t>
            </w:r>
          </w:p>
        </w:tc>
        <w:tc>
          <w:tcPr>
            <w:tcW w:w="1701" w:type="dxa"/>
            <w:tcBorders>
              <w:top w:val="single" w:sz="6" w:space="0" w:color="auto"/>
              <w:left w:val="single" w:sz="6" w:space="0" w:color="auto"/>
              <w:right w:val="single" w:sz="6" w:space="0" w:color="auto"/>
            </w:tcBorders>
            <w:vAlign w:val="center"/>
          </w:tcPr>
          <w:p w14:paraId="48A51DFA" w14:textId="77777777" w:rsidR="00C027AD" w:rsidRPr="00C027AD" w:rsidRDefault="00C027AD" w:rsidP="000B27FF">
            <w:pPr>
              <w:pStyle w:val="Tablehead"/>
            </w:pPr>
            <w:r w:rsidRPr="00C027AD">
              <w:t>Region 2</w:t>
            </w:r>
          </w:p>
        </w:tc>
        <w:tc>
          <w:tcPr>
            <w:tcW w:w="1701" w:type="dxa"/>
            <w:tcBorders>
              <w:top w:val="single" w:sz="6" w:space="0" w:color="auto"/>
              <w:left w:val="single" w:sz="6" w:space="0" w:color="auto"/>
              <w:right w:val="single" w:sz="6" w:space="0" w:color="auto"/>
            </w:tcBorders>
            <w:vAlign w:val="center"/>
          </w:tcPr>
          <w:p w14:paraId="017BDC83" w14:textId="77777777" w:rsidR="00C027AD" w:rsidRPr="00C027AD" w:rsidRDefault="00C027AD" w:rsidP="000B27FF">
            <w:pPr>
              <w:pStyle w:val="Tablehead"/>
            </w:pPr>
            <w:r w:rsidRPr="00C027AD">
              <w:t>Region 3</w:t>
            </w:r>
          </w:p>
        </w:tc>
      </w:tr>
      <w:tr w:rsidR="00C027AD" w:rsidRPr="00C027AD" w14:paraId="048A7323" w14:textId="77777777" w:rsidTr="00B82FE0">
        <w:trPr>
          <w:cantSplit/>
          <w:jc w:val="center"/>
        </w:trPr>
        <w:tc>
          <w:tcPr>
            <w:tcW w:w="1701" w:type="dxa"/>
            <w:tcBorders>
              <w:top w:val="single" w:sz="6" w:space="0" w:color="auto"/>
              <w:left w:val="single" w:sz="6" w:space="0" w:color="auto"/>
              <w:bottom w:val="single" w:sz="6" w:space="0" w:color="auto"/>
              <w:right w:val="single" w:sz="6" w:space="0" w:color="auto"/>
            </w:tcBorders>
          </w:tcPr>
          <w:p w14:paraId="03C167B6" w14:textId="77777777" w:rsidR="00C027AD" w:rsidRPr="00C027AD" w:rsidRDefault="00C027AD" w:rsidP="006F2D48">
            <w:pPr>
              <w:pStyle w:val="Tabletext"/>
              <w:jc w:val="center"/>
              <w:rPr>
                <w:rFonts w:eastAsiaTheme="minorEastAsia"/>
              </w:rPr>
            </w:pPr>
            <w:r w:rsidRPr="00C027AD">
              <w:rPr>
                <w:rFonts w:eastAsiaTheme="minorEastAsia"/>
              </w:rPr>
              <w:t>I</w:t>
            </w:r>
          </w:p>
        </w:tc>
        <w:tc>
          <w:tcPr>
            <w:tcW w:w="1701" w:type="dxa"/>
            <w:tcBorders>
              <w:top w:val="single" w:sz="6" w:space="0" w:color="auto"/>
              <w:left w:val="single" w:sz="6" w:space="0" w:color="auto"/>
              <w:bottom w:val="single" w:sz="6" w:space="0" w:color="auto"/>
              <w:right w:val="single" w:sz="6" w:space="0" w:color="auto"/>
            </w:tcBorders>
          </w:tcPr>
          <w:p w14:paraId="2DB4738B" w14:textId="77777777" w:rsidR="00C027AD" w:rsidRPr="00C027AD" w:rsidRDefault="00C027AD" w:rsidP="006F2D48">
            <w:pPr>
              <w:pStyle w:val="Tabletext"/>
              <w:jc w:val="center"/>
              <w:rPr>
                <w:rFonts w:eastAsiaTheme="minorEastAsia"/>
              </w:rPr>
            </w:pPr>
            <w:r w:rsidRPr="00C027AD">
              <w:rPr>
                <w:rFonts w:eastAsiaTheme="minorEastAsia"/>
              </w:rPr>
              <w:t>47-68</w:t>
            </w:r>
          </w:p>
        </w:tc>
        <w:tc>
          <w:tcPr>
            <w:tcW w:w="1701" w:type="dxa"/>
            <w:tcBorders>
              <w:top w:val="single" w:sz="6" w:space="0" w:color="auto"/>
              <w:left w:val="single" w:sz="6" w:space="0" w:color="auto"/>
              <w:bottom w:val="single" w:sz="6" w:space="0" w:color="auto"/>
              <w:right w:val="single" w:sz="6" w:space="0" w:color="auto"/>
            </w:tcBorders>
          </w:tcPr>
          <w:p w14:paraId="7EC16316" w14:textId="77777777" w:rsidR="00C027AD" w:rsidRPr="00C027AD" w:rsidRDefault="00C027AD" w:rsidP="006F2D48">
            <w:pPr>
              <w:pStyle w:val="Tabletext"/>
              <w:jc w:val="center"/>
              <w:rPr>
                <w:rFonts w:eastAsiaTheme="minorEastAsia"/>
              </w:rPr>
            </w:pPr>
            <w:r w:rsidRPr="00C027AD">
              <w:rPr>
                <w:rFonts w:eastAsiaTheme="minorEastAsia"/>
              </w:rPr>
              <w:t>54-68</w:t>
            </w:r>
          </w:p>
        </w:tc>
        <w:tc>
          <w:tcPr>
            <w:tcW w:w="1701" w:type="dxa"/>
            <w:tcBorders>
              <w:top w:val="single" w:sz="6" w:space="0" w:color="auto"/>
              <w:left w:val="single" w:sz="6" w:space="0" w:color="auto"/>
              <w:bottom w:val="single" w:sz="6" w:space="0" w:color="auto"/>
              <w:right w:val="single" w:sz="6" w:space="0" w:color="auto"/>
            </w:tcBorders>
          </w:tcPr>
          <w:p w14:paraId="5C034567" w14:textId="77777777" w:rsidR="00C027AD" w:rsidRPr="00C027AD" w:rsidRDefault="00C027AD" w:rsidP="006F2D48">
            <w:pPr>
              <w:pStyle w:val="Tabletext"/>
              <w:jc w:val="center"/>
              <w:rPr>
                <w:rFonts w:eastAsiaTheme="minorEastAsia"/>
              </w:rPr>
            </w:pPr>
            <w:r w:rsidRPr="00C027AD">
              <w:rPr>
                <w:rFonts w:eastAsiaTheme="minorEastAsia"/>
              </w:rPr>
              <w:t>47-68</w:t>
            </w:r>
          </w:p>
        </w:tc>
      </w:tr>
      <w:tr w:rsidR="00C027AD" w:rsidRPr="00C027AD" w14:paraId="2B34C10C" w14:textId="77777777" w:rsidTr="00B82FE0">
        <w:trPr>
          <w:cantSplit/>
          <w:jc w:val="center"/>
        </w:trPr>
        <w:tc>
          <w:tcPr>
            <w:tcW w:w="1701" w:type="dxa"/>
            <w:tcBorders>
              <w:top w:val="single" w:sz="6" w:space="0" w:color="auto"/>
              <w:left w:val="single" w:sz="6" w:space="0" w:color="auto"/>
              <w:bottom w:val="single" w:sz="6" w:space="0" w:color="auto"/>
              <w:right w:val="single" w:sz="6" w:space="0" w:color="auto"/>
            </w:tcBorders>
          </w:tcPr>
          <w:p w14:paraId="4E6FBCB6" w14:textId="77777777" w:rsidR="00C027AD" w:rsidRPr="00C027AD" w:rsidRDefault="00C027AD" w:rsidP="006F2D48">
            <w:pPr>
              <w:pStyle w:val="Tabletext"/>
              <w:jc w:val="center"/>
              <w:rPr>
                <w:rFonts w:eastAsiaTheme="minorEastAsia"/>
              </w:rPr>
            </w:pPr>
            <w:r w:rsidRPr="00C027AD">
              <w:rPr>
                <w:rFonts w:eastAsiaTheme="minorEastAsia"/>
              </w:rPr>
              <w:t>II</w:t>
            </w:r>
          </w:p>
        </w:tc>
        <w:tc>
          <w:tcPr>
            <w:tcW w:w="1701" w:type="dxa"/>
            <w:tcBorders>
              <w:top w:val="single" w:sz="6" w:space="0" w:color="auto"/>
              <w:left w:val="single" w:sz="6" w:space="0" w:color="auto"/>
              <w:bottom w:val="single" w:sz="6" w:space="0" w:color="auto"/>
              <w:right w:val="single" w:sz="6" w:space="0" w:color="auto"/>
            </w:tcBorders>
          </w:tcPr>
          <w:p w14:paraId="2FA77865" w14:textId="77777777" w:rsidR="00C027AD" w:rsidRPr="00C027AD" w:rsidRDefault="00C027AD" w:rsidP="006F2D48">
            <w:pPr>
              <w:pStyle w:val="Tabletext"/>
              <w:jc w:val="center"/>
              <w:rPr>
                <w:rFonts w:eastAsiaTheme="minorEastAsia"/>
              </w:rPr>
            </w:pPr>
            <w:r w:rsidRPr="00C027AD">
              <w:rPr>
                <w:rFonts w:eastAsiaTheme="minorEastAsia"/>
              </w:rPr>
              <w:t>87.5-108</w:t>
            </w:r>
          </w:p>
        </w:tc>
        <w:tc>
          <w:tcPr>
            <w:tcW w:w="1701" w:type="dxa"/>
            <w:tcBorders>
              <w:top w:val="single" w:sz="6" w:space="0" w:color="auto"/>
              <w:left w:val="single" w:sz="6" w:space="0" w:color="auto"/>
              <w:bottom w:val="single" w:sz="6" w:space="0" w:color="auto"/>
              <w:right w:val="single" w:sz="6" w:space="0" w:color="auto"/>
            </w:tcBorders>
          </w:tcPr>
          <w:p w14:paraId="46C29235" w14:textId="77777777" w:rsidR="00C027AD" w:rsidRPr="00C027AD" w:rsidRDefault="00C027AD" w:rsidP="006F2D48">
            <w:pPr>
              <w:pStyle w:val="Tabletext"/>
              <w:jc w:val="center"/>
              <w:rPr>
                <w:rFonts w:eastAsiaTheme="minorEastAsia"/>
              </w:rPr>
            </w:pPr>
            <w:r w:rsidRPr="00C027AD">
              <w:rPr>
                <w:rFonts w:eastAsiaTheme="minorEastAsia"/>
              </w:rPr>
              <w:t>88-108</w:t>
            </w:r>
          </w:p>
        </w:tc>
        <w:tc>
          <w:tcPr>
            <w:tcW w:w="1701" w:type="dxa"/>
            <w:tcBorders>
              <w:top w:val="single" w:sz="6" w:space="0" w:color="auto"/>
              <w:left w:val="single" w:sz="6" w:space="0" w:color="auto"/>
              <w:bottom w:val="single" w:sz="6" w:space="0" w:color="auto"/>
              <w:right w:val="single" w:sz="6" w:space="0" w:color="auto"/>
            </w:tcBorders>
          </w:tcPr>
          <w:p w14:paraId="316FDB17" w14:textId="77777777" w:rsidR="00C027AD" w:rsidRPr="00C027AD" w:rsidRDefault="00C027AD" w:rsidP="006F2D48">
            <w:pPr>
              <w:pStyle w:val="Tabletext"/>
              <w:jc w:val="center"/>
              <w:rPr>
                <w:rFonts w:eastAsiaTheme="minorEastAsia"/>
              </w:rPr>
            </w:pPr>
            <w:r w:rsidRPr="00C027AD">
              <w:rPr>
                <w:rFonts w:eastAsiaTheme="minorEastAsia"/>
              </w:rPr>
              <w:t>87-108</w:t>
            </w:r>
          </w:p>
        </w:tc>
      </w:tr>
      <w:tr w:rsidR="00C027AD" w:rsidRPr="00C027AD" w14:paraId="28D943E5" w14:textId="77777777" w:rsidTr="00B82FE0">
        <w:trPr>
          <w:cantSplit/>
          <w:jc w:val="center"/>
        </w:trPr>
        <w:tc>
          <w:tcPr>
            <w:tcW w:w="1701" w:type="dxa"/>
            <w:tcBorders>
              <w:top w:val="single" w:sz="6" w:space="0" w:color="auto"/>
              <w:left w:val="single" w:sz="6" w:space="0" w:color="auto"/>
              <w:bottom w:val="single" w:sz="6" w:space="0" w:color="auto"/>
              <w:right w:val="single" w:sz="6" w:space="0" w:color="auto"/>
            </w:tcBorders>
          </w:tcPr>
          <w:p w14:paraId="21DEABF9" w14:textId="77777777" w:rsidR="00C027AD" w:rsidRPr="00C027AD" w:rsidRDefault="00C027AD" w:rsidP="006F2D48">
            <w:pPr>
              <w:pStyle w:val="Tabletext"/>
              <w:jc w:val="center"/>
              <w:rPr>
                <w:rFonts w:eastAsiaTheme="minorEastAsia"/>
              </w:rPr>
            </w:pPr>
            <w:r w:rsidRPr="00C027AD">
              <w:rPr>
                <w:rFonts w:eastAsiaTheme="minorEastAsia"/>
              </w:rPr>
              <w:t>III</w:t>
            </w:r>
          </w:p>
        </w:tc>
        <w:tc>
          <w:tcPr>
            <w:tcW w:w="1701" w:type="dxa"/>
            <w:tcBorders>
              <w:top w:val="single" w:sz="6" w:space="0" w:color="auto"/>
              <w:left w:val="single" w:sz="6" w:space="0" w:color="auto"/>
              <w:bottom w:val="single" w:sz="6" w:space="0" w:color="auto"/>
              <w:right w:val="single" w:sz="6" w:space="0" w:color="auto"/>
            </w:tcBorders>
          </w:tcPr>
          <w:p w14:paraId="7678354A" w14:textId="77777777" w:rsidR="00C027AD" w:rsidRPr="00C027AD" w:rsidRDefault="00C027AD" w:rsidP="006F2D48">
            <w:pPr>
              <w:pStyle w:val="Tabletext"/>
              <w:jc w:val="center"/>
              <w:rPr>
                <w:rFonts w:eastAsiaTheme="minorEastAsia"/>
              </w:rPr>
            </w:pPr>
            <w:r w:rsidRPr="00C027AD">
              <w:rPr>
                <w:rFonts w:eastAsiaTheme="minorEastAsia"/>
              </w:rPr>
              <w:t>174-230</w:t>
            </w:r>
          </w:p>
        </w:tc>
        <w:tc>
          <w:tcPr>
            <w:tcW w:w="1701" w:type="dxa"/>
            <w:tcBorders>
              <w:top w:val="single" w:sz="6" w:space="0" w:color="auto"/>
              <w:left w:val="single" w:sz="6" w:space="0" w:color="auto"/>
              <w:bottom w:val="single" w:sz="6" w:space="0" w:color="auto"/>
              <w:right w:val="single" w:sz="6" w:space="0" w:color="auto"/>
            </w:tcBorders>
          </w:tcPr>
          <w:p w14:paraId="7CA13CCF" w14:textId="77777777" w:rsidR="00C027AD" w:rsidRPr="00C027AD" w:rsidRDefault="00C027AD" w:rsidP="006F2D48">
            <w:pPr>
              <w:pStyle w:val="Tabletext"/>
              <w:jc w:val="center"/>
              <w:rPr>
                <w:rFonts w:eastAsiaTheme="minorEastAsia"/>
              </w:rPr>
            </w:pPr>
            <w:r w:rsidRPr="00C027AD">
              <w:rPr>
                <w:rFonts w:eastAsiaTheme="minorEastAsia"/>
              </w:rPr>
              <w:t>174-216</w:t>
            </w:r>
          </w:p>
        </w:tc>
        <w:tc>
          <w:tcPr>
            <w:tcW w:w="1701" w:type="dxa"/>
            <w:tcBorders>
              <w:top w:val="single" w:sz="6" w:space="0" w:color="auto"/>
              <w:left w:val="single" w:sz="6" w:space="0" w:color="auto"/>
              <w:bottom w:val="single" w:sz="6" w:space="0" w:color="auto"/>
              <w:right w:val="single" w:sz="6" w:space="0" w:color="auto"/>
            </w:tcBorders>
          </w:tcPr>
          <w:p w14:paraId="50A6C4D0" w14:textId="77777777" w:rsidR="00C027AD" w:rsidRPr="00C027AD" w:rsidRDefault="00C027AD" w:rsidP="006F2D48">
            <w:pPr>
              <w:pStyle w:val="Tabletext"/>
              <w:jc w:val="center"/>
              <w:rPr>
                <w:rFonts w:eastAsiaTheme="minorEastAsia"/>
              </w:rPr>
            </w:pPr>
            <w:r w:rsidRPr="00C027AD">
              <w:rPr>
                <w:rFonts w:eastAsiaTheme="minorEastAsia"/>
              </w:rPr>
              <w:t>174-230</w:t>
            </w:r>
          </w:p>
        </w:tc>
      </w:tr>
      <w:tr w:rsidR="00C027AD" w:rsidRPr="00C027AD" w14:paraId="778C5442" w14:textId="77777777" w:rsidTr="00B82FE0">
        <w:trPr>
          <w:cantSplit/>
          <w:jc w:val="center"/>
        </w:trPr>
        <w:tc>
          <w:tcPr>
            <w:tcW w:w="1701" w:type="dxa"/>
            <w:tcBorders>
              <w:top w:val="single" w:sz="6" w:space="0" w:color="auto"/>
              <w:left w:val="single" w:sz="6" w:space="0" w:color="auto"/>
              <w:bottom w:val="single" w:sz="6" w:space="0" w:color="auto"/>
              <w:right w:val="single" w:sz="6" w:space="0" w:color="auto"/>
            </w:tcBorders>
          </w:tcPr>
          <w:p w14:paraId="320E63FC" w14:textId="77777777" w:rsidR="00C027AD" w:rsidRPr="00C027AD" w:rsidRDefault="00C027AD" w:rsidP="006F2D48">
            <w:pPr>
              <w:pStyle w:val="Tabletext"/>
              <w:jc w:val="center"/>
              <w:rPr>
                <w:rFonts w:eastAsiaTheme="minorEastAsia"/>
              </w:rPr>
            </w:pPr>
            <w:r w:rsidRPr="00C027AD">
              <w:rPr>
                <w:rFonts w:eastAsiaTheme="minorEastAsia"/>
              </w:rPr>
              <w:t>IV</w:t>
            </w:r>
          </w:p>
        </w:tc>
        <w:tc>
          <w:tcPr>
            <w:tcW w:w="1701" w:type="dxa"/>
            <w:tcBorders>
              <w:top w:val="single" w:sz="6" w:space="0" w:color="auto"/>
              <w:left w:val="single" w:sz="6" w:space="0" w:color="auto"/>
              <w:bottom w:val="single" w:sz="6" w:space="0" w:color="auto"/>
              <w:right w:val="single" w:sz="6" w:space="0" w:color="auto"/>
            </w:tcBorders>
          </w:tcPr>
          <w:p w14:paraId="6D1E926F" w14:textId="77777777" w:rsidR="00C027AD" w:rsidRPr="00C027AD" w:rsidRDefault="00C027AD" w:rsidP="006F2D48">
            <w:pPr>
              <w:pStyle w:val="Tabletext"/>
              <w:jc w:val="center"/>
              <w:rPr>
                <w:rFonts w:eastAsiaTheme="minorEastAsia"/>
              </w:rPr>
            </w:pPr>
            <w:r w:rsidRPr="00C027AD">
              <w:rPr>
                <w:rFonts w:eastAsiaTheme="minorEastAsia"/>
              </w:rPr>
              <w:t>470-582</w:t>
            </w:r>
          </w:p>
        </w:tc>
        <w:tc>
          <w:tcPr>
            <w:tcW w:w="1701" w:type="dxa"/>
            <w:tcBorders>
              <w:top w:val="single" w:sz="6" w:space="0" w:color="auto"/>
              <w:left w:val="single" w:sz="6" w:space="0" w:color="auto"/>
              <w:bottom w:val="single" w:sz="6" w:space="0" w:color="auto"/>
              <w:right w:val="single" w:sz="6" w:space="0" w:color="auto"/>
            </w:tcBorders>
          </w:tcPr>
          <w:p w14:paraId="48E4AF00" w14:textId="77777777" w:rsidR="00C027AD" w:rsidRPr="00C027AD" w:rsidRDefault="00C027AD" w:rsidP="006F2D48">
            <w:pPr>
              <w:pStyle w:val="Tabletext"/>
              <w:jc w:val="center"/>
              <w:rPr>
                <w:rFonts w:eastAsiaTheme="minorEastAsia"/>
              </w:rPr>
            </w:pPr>
            <w:r w:rsidRPr="00C027AD">
              <w:rPr>
                <w:rFonts w:eastAsiaTheme="minorEastAsia"/>
              </w:rPr>
              <w:t>470-582</w:t>
            </w:r>
          </w:p>
        </w:tc>
        <w:tc>
          <w:tcPr>
            <w:tcW w:w="1701" w:type="dxa"/>
            <w:tcBorders>
              <w:top w:val="single" w:sz="6" w:space="0" w:color="auto"/>
              <w:left w:val="single" w:sz="6" w:space="0" w:color="auto"/>
              <w:bottom w:val="single" w:sz="6" w:space="0" w:color="auto"/>
              <w:right w:val="single" w:sz="6" w:space="0" w:color="auto"/>
            </w:tcBorders>
          </w:tcPr>
          <w:p w14:paraId="081A6473" w14:textId="77777777" w:rsidR="00C027AD" w:rsidRPr="00C027AD" w:rsidRDefault="00C027AD" w:rsidP="006F2D48">
            <w:pPr>
              <w:pStyle w:val="Tabletext"/>
              <w:jc w:val="center"/>
              <w:rPr>
                <w:rFonts w:eastAsiaTheme="minorEastAsia"/>
              </w:rPr>
            </w:pPr>
            <w:r w:rsidRPr="00C027AD">
              <w:rPr>
                <w:rFonts w:eastAsiaTheme="minorEastAsia"/>
              </w:rPr>
              <w:t>470-582</w:t>
            </w:r>
          </w:p>
        </w:tc>
      </w:tr>
      <w:tr w:rsidR="00C027AD" w:rsidRPr="00C027AD" w14:paraId="78C19824" w14:textId="77777777" w:rsidTr="00B82FE0">
        <w:trPr>
          <w:cantSplit/>
          <w:jc w:val="center"/>
        </w:trPr>
        <w:tc>
          <w:tcPr>
            <w:tcW w:w="1701" w:type="dxa"/>
            <w:tcBorders>
              <w:top w:val="single" w:sz="6" w:space="0" w:color="auto"/>
              <w:left w:val="single" w:sz="6" w:space="0" w:color="auto"/>
              <w:bottom w:val="single" w:sz="6" w:space="0" w:color="auto"/>
              <w:right w:val="single" w:sz="6" w:space="0" w:color="auto"/>
            </w:tcBorders>
          </w:tcPr>
          <w:p w14:paraId="5D8968ED" w14:textId="77777777" w:rsidR="00C027AD" w:rsidRPr="00C027AD" w:rsidRDefault="00C027AD" w:rsidP="006F2D48">
            <w:pPr>
              <w:pStyle w:val="Tabletext"/>
              <w:jc w:val="center"/>
              <w:rPr>
                <w:rFonts w:eastAsiaTheme="minorEastAsia"/>
              </w:rPr>
            </w:pPr>
            <w:r w:rsidRPr="00C027AD">
              <w:rPr>
                <w:rFonts w:eastAsiaTheme="minorEastAsia"/>
              </w:rPr>
              <w:t>V</w:t>
            </w:r>
          </w:p>
        </w:tc>
        <w:tc>
          <w:tcPr>
            <w:tcW w:w="1701" w:type="dxa"/>
            <w:tcBorders>
              <w:top w:val="single" w:sz="6" w:space="0" w:color="auto"/>
              <w:left w:val="single" w:sz="6" w:space="0" w:color="auto"/>
              <w:bottom w:val="single" w:sz="6" w:space="0" w:color="auto"/>
              <w:right w:val="single" w:sz="6" w:space="0" w:color="auto"/>
            </w:tcBorders>
          </w:tcPr>
          <w:p w14:paraId="7B8B3D29" w14:textId="77777777" w:rsidR="00C027AD" w:rsidRPr="00C027AD" w:rsidRDefault="00C027AD" w:rsidP="006F2D48">
            <w:pPr>
              <w:pStyle w:val="Tabletext"/>
              <w:jc w:val="center"/>
              <w:rPr>
                <w:rFonts w:eastAsiaTheme="minorEastAsia"/>
              </w:rPr>
            </w:pPr>
            <w:r w:rsidRPr="00C027AD">
              <w:rPr>
                <w:rFonts w:eastAsiaTheme="minorEastAsia"/>
              </w:rPr>
              <w:t>582-960</w:t>
            </w:r>
          </w:p>
        </w:tc>
        <w:tc>
          <w:tcPr>
            <w:tcW w:w="1701" w:type="dxa"/>
            <w:tcBorders>
              <w:top w:val="single" w:sz="6" w:space="0" w:color="auto"/>
              <w:left w:val="single" w:sz="6" w:space="0" w:color="auto"/>
              <w:bottom w:val="single" w:sz="6" w:space="0" w:color="auto"/>
              <w:right w:val="single" w:sz="6" w:space="0" w:color="auto"/>
            </w:tcBorders>
          </w:tcPr>
          <w:p w14:paraId="27B651C5" w14:textId="77777777" w:rsidR="00C027AD" w:rsidRPr="00C027AD" w:rsidRDefault="00C027AD" w:rsidP="006F2D48">
            <w:pPr>
              <w:pStyle w:val="Tabletext"/>
              <w:jc w:val="center"/>
              <w:rPr>
                <w:rFonts w:eastAsiaTheme="minorEastAsia"/>
              </w:rPr>
            </w:pPr>
            <w:r w:rsidRPr="00C027AD">
              <w:rPr>
                <w:rFonts w:eastAsiaTheme="minorEastAsia"/>
              </w:rPr>
              <w:t>582-890</w:t>
            </w:r>
          </w:p>
        </w:tc>
        <w:tc>
          <w:tcPr>
            <w:tcW w:w="1701" w:type="dxa"/>
            <w:tcBorders>
              <w:top w:val="single" w:sz="6" w:space="0" w:color="auto"/>
              <w:left w:val="single" w:sz="6" w:space="0" w:color="auto"/>
              <w:bottom w:val="single" w:sz="6" w:space="0" w:color="auto"/>
              <w:right w:val="single" w:sz="6" w:space="0" w:color="auto"/>
            </w:tcBorders>
          </w:tcPr>
          <w:p w14:paraId="186BC06B" w14:textId="77777777" w:rsidR="00C027AD" w:rsidRPr="00C027AD" w:rsidRDefault="00C027AD" w:rsidP="006F2D48">
            <w:pPr>
              <w:pStyle w:val="Tabletext"/>
              <w:jc w:val="center"/>
              <w:rPr>
                <w:rFonts w:eastAsiaTheme="minorEastAsia"/>
              </w:rPr>
            </w:pPr>
            <w:r w:rsidRPr="00C027AD">
              <w:rPr>
                <w:rFonts w:eastAsiaTheme="minorEastAsia"/>
              </w:rPr>
              <w:t>582-960</w:t>
            </w:r>
          </w:p>
        </w:tc>
      </w:tr>
    </w:tbl>
    <w:p w14:paraId="3598DCBD" w14:textId="77777777" w:rsidR="000A2D6E" w:rsidRDefault="000A2D6E" w:rsidP="008008AC">
      <w:pPr>
        <w:pStyle w:val="Tablefin"/>
        <w:rPr>
          <w:lang w:val="en-US"/>
        </w:rPr>
      </w:pPr>
    </w:p>
    <w:p w14:paraId="35F6A406" w14:textId="76D07156" w:rsidR="00C027AD" w:rsidRPr="00C027AD" w:rsidRDefault="00C027AD" w:rsidP="008008AC">
      <w:pPr>
        <w:pStyle w:val="Note"/>
        <w:rPr>
          <w:lang w:val="en-US"/>
        </w:rPr>
      </w:pPr>
      <w:r w:rsidRPr="00C027AD">
        <w:rPr>
          <w:iCs/>
          <w:lang w:val="en-US"/>
        </w:rPr>
        <w:t>NOTE 5</w:t>
      </w:r>
      <w:r w:rsidRPr="00C027AD">
        <w:rPr>
          <w:lang w:val="en-US"/>
        </w:rPr>
        <w:t> – Certain frequency bands are sometimes designated by letter other than the symbols and abbreviations recommended in Tables 1 and 2. The symbols in question consist of capital letters which may be accompanied by an index (usually a small letter). There is at present no standard correspondence between the letters and the frequency bands concerned, and the same letter may be used to designate a number of different bands. It is not advisable to use these symbols in ITU publications. If, however, a letter symbol is used, reference should be made to the corresponding frequency band limits or at least to a frequency in the band, if that information is sufficient in itself, the first time the symbol appears in the text. For information, letter designations used by some international organizations, mainly in the field of radar and space radiocommunications, are indicated in Table 4.</w:t>
      </w:r>
    </w:p>
    <w:p w14:paraId="51FF5943" w14:textId="77777777" w:rsidR="00C027AD" w:rsidRPr="00C027AD" w:rsidRDefault="00C027AD" w:rsidP="006F2D48">
      <w:pPr>
        <w:pStyle w:val="TableNo"/>
      </w:pPr>
      <w:r w:rsidRPr="00C027AD">
        <w:t>TABLE 4</w:t>
      </w:r>
    </w:p>
    <w:tbl>
      <w:tblPr>
        <w:tblW w:w="9639" w:type="dxa"/>
        <w:jc w:val="center"/>
        <w:tblLayout w:type="fixed"/>
        <w:tblLook w:val="0000" w:firstRow="0" w:lastRow="0" w:firstColumn="0" w:lastColumn="0" w:noHBand="0" w:noVBand="0"/>
      </w:tblPr>
      <w:tblGrid>
        <w:gridCol w:w="1408"/>
        <w:gridCol w:w="1859"/>
        <w:gridCol w:w="1859"/>
        <w:gridCol w:w="2253"/>
        <w:gridCol w:w="2252"/>
        <w:gridCol w:w="8"/>
      </w:tblGrid>
      <w:tr w:rsidR="00C027AD" w:rsidRPr="00C027AD" w14:paraId="17B0CD9D" w14:textId="77777777" w:rsidTr="00F83AD8">
        <w:trPr>
          <w:cantSplit/>
          <w:jc w:val="center"/>
        </w:trPr>
        <w:tc>
          <w:tcPr>
            <w:tcW w:w="1418" w:type="dxa"/>
            <w:vMerge w:val="restart"/>
            <w:tcBorders>
              <w:top w:val="single" w:sz="6" w:space="0" w:color="auto"/>
              <w:left w:val="single" w:sz="6" w:space="0" w:color="auto"/>
              <w:right w:val="single" w:sz="6" w:space="0" w:color="auto"/>
            </w:tcBorders>
            <w:vAlign w:val="center"/>
          </w:tcPr>
          <w:p w14:paraId="4C104C6F" w14:textId="77777777" w:rsidR="00C027AD" w:rsidRPr="00C027AD" w:rsidRDefault="00C027AD" w:rsidP="006F2D48">
            <w:pPr>
              <w:pStyle w:val="Tablehead"/>
            </w:pPr>
            <w:r w:rsidRPr="00C027AD">
              <w:t>Letter symbols</w:t>
            </w:r>
          </w:p>
        </w:tc>
        <w:tc>
          <w:tcPr>
            <w:tcW w:w="3742" w:type="dxa"/>
            <w:gridSpan w:val="2"/>
            <w:tcBorders>
              <w:top w:val="single" w:sz="6" w:space="0" w:color="auto"/>
              <w:left w:val="single" w:sz="6" w:space="0" w:color="auto"/>
              <w:right w:val="single" w:sz="6" w:space="0" w:color="auto"/>
            </w:tcBorders>
            <w:vAlign w:val="center"/>
          </w:tcPr>
          <w:p w14:paraId="28512A26" w14:textId="77777777" w:rsidR="00C027AD" w:rsidRPr="00C027AD" w:rsidRDefault="00C027AD" w:rsidP="006F2D48">
            <w:pPr>
              <w:pStyle w:val="Tablehead"/>
            </w:pPr>
            <w:r w:rsidRPr="00C027AD">
              <w:t>Radar</w:t>
            </w:r>
          </w:p>
        </w:tc>
        <w:tc>
          <w:tcPr>
            <w:tcW w:w="4536" w:type="dxa"/>
            <w:gridSpan w:val="3"/>
            <w:tcBorders>
              <w:top w:val="single" w:sz="6" w:space="0" w:color="auto"/>
              <w:left w:val="single" w:sz="6" w:space="0" w:color="auto"/>
              <w:right w:val="single" w:sz="6" w:space="0" w:color="auto"/>
            </w:tcBorders>
            <w:vAlign w:val="center"/>
          </w:tcPr>
          <w:p w14:paraId="4CCAB5E4" w14:textId="77777777" w:rsidR="00C027AD" w:rsidRPr="00C027AD" w:rsidRDefault="00C027AD" w:rsidP="006F2D48">
            <w:pPr>
              <w:pStyle w:val="Tablehead"/>
            </w:pPr>
            <w:r w:rsidRPr="00C027AD">
              <w:t>Space radiocommunications</w:t>
            </w:r>
          </w:p>
        </w:tc>
      </w:tr>
      <w:tr w:rsidR="00C027AD" w:rsidRPr="00C027AD" w14:paraId="7AB29068" w14:textId="77777777" w:rsidTr="00F83AD8">
        <w:trPr>
          <w:cantSplit/>
          <w:jc w:val="center"/>
        </w:trPr>
        <w:tc>
          <w:tcPr>
            <w:tcW w:w="1418" w:type="dxa"/>
            <w:vMerge/>
            <w:tcBorders>
              <w:left w:val="single" w:sz="6" w:space="0" w:color="auto"/>
              <w:bottom w:val="single" w:sz="6" w:space="0" w:color="auto"/>
              <w:right w:val="single" w:sz="6" w:space="0" w:color="auto"/>
            </w:tcBorders>
            <w:vAlign w:val="center"/>
          </w:tcPr>
          <w:p w14:paraId="74CCB515" w14:textId="77777777" w:rsidR="00C027AD" w:rsidRPr="00C027AD" w:rsidRDefault="00C027AD" w:rsidP="006F2D48">
            <w:pPr>
              <w:pStyle w:val="Tablehead"/>
            </w:pPr>
          </w:p>
        </w:tc>
        <w:tc>
          <w:tcPr>
            <w:tcW w:w="1871" w:type="dxa"/>
            <w:tcBorders>
              <w:top w:val="single" w:sz="6" w:space="0" w:color="auto"/>
              <w:left w:val="single" w:sz="6" w:space="0" w:color="auto"/>
              <w:bottom w:val="single" w:sz="6" w:space="0" w:color="auto"/>
              <w:right w:val="single" w:sz="6" w:space="0" w:color="auto"/>
            </w:tcBorders>
            <w:vAlign w:val="center"/>
          </w:tcPr>
          <w:p w14:paraId="6C4BD78B" w14:textId="30CD04A5" w:rsidR="00C027AD" w:rsidRPr="00C027AD" w:rsidRDefault="00C027AD" w:rsidP="006F2D48">
            <w:pPr>
              <w:pStyle w:val="Tablehead"/>
            </w:pPr>
            <w:r w:rsidRPr="00C027AD">
              <w:t>Frequency ranges (GHz)</w:t>
            </w:r>
          </w:p>
        </w:tc>
        <w:tc>
          <w:tcPr>
            <w:tcW w:w="1871" w:type="dxa"/>
            <w:tcBorders>
              <w:top w:val="single" w:sz="6" w:space="0" w:color="auto"/>
              <w:left w:val="single" w:sz="6" w:space="0" w:color="auto"/>
              <w:bottom w:val="single" w:sz="6" w:space="0" w:color="auto"/>
              <w:right w:val="single" w:sz="6" w:space="0" w:color="auto"/>
            </w:tcBorders>
            <w:vAlign w:val="center"/>
          </w:tcPr>
          <w:p w14:paraId="3498E582" w14:textId="77777777" w:rsidR="00C027AD" w:rsidRPr="00C027AD" w:rsidRDefault="00C027AD" w:rsidP="006F2D48">
            <w:pPr>
              <w:pStyle w:val="Tablehead"/>
            </w:pPr>
            <w:r w:rsidRPr="00C027AD">
              <w:t xml:space="preserve">Examples </w:t>
            </w:r>
            <w:r w:rsidRPr="00C027AD">
              <w:rPr>
                <w:bCs/>
              </w:rPr>
              <w:t xml:space="preserve">of </w:t>
            </w:r>
            <w:r w:rsidRPr="00C027AD">
              <w:t>frequency ranges (GHz)</w:t>
            </w:r>
          </w:p>
        </w:tc>
        <w:tc>
          <w:tcPr>
            <w:tcW w:w="2268" w:type="dxa"/>
            <w:tcBorders>
              <w:top w:val="single" w:sz="6" w:space="0" w:color="auto"/>
              <w:left w:val="single" w:sz="6" w:space="0" w:color="auto"/>
              <w:bottom w:val="single" w:sz="6" w:space="0" w:color="auto"/>
              <w:right w:val="single" w:sz="6" w:space="0" w:color="auto"/>
            </w:tcBorders>
            <w:vAlign w:val="center"/>
          </w:tcPr>
          <w:p w14:paraId="68A9895C" w14:textId="77777777" w:rsidR="00C027AD" w:rsidRPr="00C027AD" w:rsidRDefault="00C027AD" w:rsidP="006F2D48">
            <w:pPr>
              <w:pStyle w:val="Tablehead"/>
            </w:pPr>
            <w:r w:rsidRPr="00C027AD">
              <w:t>Nominal designations of frequency bands/</w:t>
            </w:r>
            <w:r w:rsidRPr="00C027AD">
              <w:rPr>
                <w:bCs/>
              </w:rPr>
              <w:t xml:space="preserve"> ranges</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4B078628" w14:textId="1997B0BE" w:rsidR="00C027AD" w:rsidRPr="00C027AD" w:rsidRDefault="00C027AD" w:rsidP="006F2D48">
            <w:pPr>
              <w:pStyle w:val="Tablehead"/>
            </w:pPr>
            <w:r w:rsidRPr="00C027AD">
              <w:t xml:space="preserve">Examples </w:t>
            </w:r>
            <w:r w:rsidRPr="00C027AD">
              <w:rPr>
                <w:bCs/>
              </w:rPr>
              <w:t xml:space="preserve">of </w:t>
            </w:r>
            <w:r w:rsidR="00035A58">
              <w:rPr>
                <w:bCs/>
              </w:rPr>
              <w:br/>
            </w:r>
            <w:r w:rsidRPr="00C027AD">
              <w:t>frequency ranges</w:t>
            </w:r>
            <w:r w:rsidRPr="00C027AD">
              <w:br/>
              <w:t>(GHz)</w:t>
            </w:r>
          </w:p>
        </w:tc>
      </w:tr>
      <w:tr w:rsidR="00C027AD" w:rsidRPr="00C027AD" w14:paraId="24A6EC39"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2F5AEADB" w14:textId="77777777" w:rsidR="00C027AD" w:rsidRPr="00C027AD" w:rsidRDefault="00C027AD" w:rsidP="00A14F0A">
            <w:pPr>
              <w:pStyle w:val="Tabletext"/>
              <w:jc w:val="center"/>
              <w:rPr>
                <w:rFonts w:eastAsiaTheme="minorEastAsia"/>
              </w:rPr>
            </w:pPr>
            <w:r w:rsidRPr="00C027AD">
              <w:rPr>
                <w:rFonts w:eastAsiaTheme="minorEastAsia"/>
              </w:rPr>
              <w:t>L</w:t>
            </w:r>
          </w:p>
        </w:tc>
        <w:tc>
          <w:tcPr>
            <w:tcW w:w="1871" w:type="dxa"/>
            <w:tcBorders>
              <w:top w:val="single" w:sz="6" w:space="0" w:color="auto"/>
              <w:left w:val="single" w:sz="6" w:space="0" w:color="auto"/>
              <w:bottom w:val="single" w:sz="6" w:space="0" w:color="auto"/>
              <w:right w:val="single" w:sz="6" w:space="0" w:color="auto"/>
            </w:tcBorders>
          </w:tcPr>
          <w:p w14:paraId="4DF09DD0" w14:textId="77777777" w:rsidR="00C027AD" w:rsidRPr="00C027AD" w:rsidRDefault="00C027AD" w:rsidP="00A14F0A">
            <w:pPr>
              <w:pStyle w:val="Tabletext"/>
              <w:jc w:val="center"/>
              <w:rPr>
                <w:rFonts w:eastAsiaTheme="minorEastAsia"/>
              </w:rPr>
            </w:pPr>
            <w:r w:rsidRPr="00C027AD">
              <w:rPr>
                <w:rFonts w:eastAsiaTheme="minorEastAsia"/>
              </w:rPr>
              <w:t>1-2</w:t>
            </w:r>
          </w:p>
        </w:tc>
        <w:tc>
          <w:tcPr>
            <w:tcW w:w="1871" w:type="dxa"/>
            <w:tcBorders>
              <w:top w:val="single" w:sz="6" w:space="0" w:color="auto"/>
              <w:left w:val="single" w:sz="6" w:space="0" w:color="auto"/>
              <w:bottom w:val="single" w:sz="6" w:space="0" w:color="auto"/>
              <w:right w:val="single" w:sz="6" w:space="0" w:color="auto"/>
            </w:tcBorders>
          </w:tcPr>
          <w:p w14:paraId="22E30EA1" w14:textId="77777777" w:rsidR="00C027AD" w:rsidRPr="00C027AD" w:rsidRDefault="00C027AD" w:rsidP="00A14F0A">
            <w:pPr>
              <w:pStyle w:val="Tabletext"/>
              <w:jc w:val="center"/>
              <w:rPr>
                <w:rFonts w:eastAsiaTheme="minorEastAsia"/>
              </w:rPr>
            </w:pPr>
            <w:r w:rsidRPr="00C027AD">
              <w:rPr>
                <w:rFonts w:eastAsiaTheme="minorEastAsia"/>
              </w:rPr>
              <w:t>1.215-1.4</w:t>
            </w:r>
          </w:p>
        </w:tc>
        <w:tc>
          <w:tcPr>
            <w:tcW w:w="2268" w:type="dxa"/>
            <w:tcBorders>
              <w:top w:val="single" w:sz="6" w:space="0" w:color="auto"/>
              <w:left w:val="single" w:sz="6" w:space="0" w:color="auto"/>
              <w:bottom w:val="single" w:sz="6" w:space="0" w:color="auto"/>
              <w:right w:val="single" w:sz="6" w:space="0" w:color="auto"/>
            </w:tcBorders>
          </w:tcPr>
          <w:p w14:paraId="7BB4F6B3" w14:textId="77777777" w:rsidR="00C027AD" w:rsidRPr="00C027AD" w:rsidRDefault="00C027AD" w:rsidP="00A14F0A">
            <w:pPr>
              <w:pStyle w:val="Tabletext"/>
              <w:jc w:val="center"/>
              <w:rPr>
                <w:rFonts w:eastAsiaTheme="minorEastAsia"/>
              </w:rPr>
            </w:pPr>
            <w:r w:rsidRPr="00C027AD">
              <w:rPr>
                <w:rFonts w:eastAsiaTheme="minorEastAsia"/>
              </w:rPr>
              <w:t>1.5 GHz band</w:t>
            </w:r>
          </w:p>
        </w:tc>
        <w:tc>
          <w:tcPr>
            <w:tcW w:w="2268" w:type="dxa"/>
            <w:gridSpan w:val="2"/>
            <w:tcBorders>
              <w:top w:val="single" w:sz="6" w:space="0" w:color="auto"/>
              <w:left w:val="single" w:sz="6" w:space="0" w:color="auto"/>
              <w:bottom w:val="single" w:sz="6" w:space="0" w:color="auto"/>
              <w:right w:val="single" w:sz="6" w:space="0" w:color="auto"/>
            </w:tcBorders>
          </w:tcPr>
          <w:p w14:paraId="6869246A" w14:textId="77777777" w:rsidR="00C027AD" w:rsidRPr="00C027AD" w:rsidRDefault="00C027AD" w:rsidP="00A14F0A">
            <w:pPr>
              <w:pStyle w:val="Tabletext"/>
              <w:jc w:val="center"/>
              <w:rPr>
                <w:rFonts w:eastAsiaTheme="minorEastAsia"/>
              </w:rPr>
            </w:pPr>
            <w:r w:rsidRPr="00C027AD">
              <w:rPr>
                <w:rFonts w:eastAsiaTheme="minorEastAsia"/>
              </w:rPr>
              <w:t>1.525-1.710</w:t>
            </w:r>
          </w:p>
        </w:tc>
      </w:tr>
      <w:tr w:rsidR="00C027AD" w:rsidRPr="00C027AD" w14:paraId="4DC9EA65"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32C107E5" w14:textId="77777777" w:rsidR="00C027AD" w:rsidRPr="00C027AD" w:rsidRDefault="00C027AD" w:rsidP="00A14F0A">
            <w:pPr>
              <w:pStyle w:val="Tabletext"/>
              <w:jc w:val="center"/>
              <w:rPr>
                <w:rFonts w:eastAsiaTheme="minorEastAsia"/>
              </w:rPr>
            </w:pPr>
            <w:r w:rsidRPr="00C027AD">
              <w:rPr>
                <w:rFonts w:eastAsiaTheme="minorEastAsia"/>
              </w:rPr>
              <w:t>S</w:t>
            </w:r>
          </w:p>
        </w:tc>
        <w:tc>
          <w:tcPr>
            <w:tcW w:w="1871" w:type="dxa"/>
            <w:tcBorders>
              <w:top w:val="single" w:sz="6" w:space="0" w:color="auto"/>
              <w:left w:val="single" w:sz="6" w:space="0" w:color="auto"/>
              <w:bottom w:val="single" w:sz="6" w:space="0" w:color="auto"/>
              <w:right w:val="single" w:sz="6" w:space="0" w:color="auto"/>
            </w:tcBorders>
          </w:tcPr>
          <w:p w14:paraId="3258B715" w14:textId="77777777" w:rsidR="00C027AD" w:rsidRPr="00C027AD" w:rsidRDefault="00C027AD" w:rsidP="00A14F0A">
            <w:pPr>
              <w:pStyle w:val="Tabletext"/>
              <w:jc w:val="center"/>
              <w:rPr>
                <w:rFonts w:eastAsiaTheme="minorEastAsia"/>
              </w:rPr>
            </w:pPr>
            <w:r w:rsidRPr="00C027AD">
              <w:rPr>
                <w:rFonts w:eastAsiaTheme="minorEastAsia"/>
              </w:rPr>
              <w:t>2-4</w:t>
            </w:r>
          </w:p>
        </w:tc>
        <w:tc>
          <w:tcPr>
            <w:tcW w:w="1871" w:type="dxa"/>
            <w:tcBorders>
              <w:top w:val="single" w:sz="6" w:space="0" w:color="auto"/>
              <w:left w:val="single" w:sz="6" w:space="0" w:color="auto"/>
              <w:bottom w:val="single" w:sz="6" w:space="0" w:color="auto"/>
              <w:right w:val="single" w:sz="6" w:space="0" w:color="auto"/>
            </w:tcBorders>
          </w:tcPr>
          <w:p w14:paraId="107460C5" w14:textId="77777777" w:rsidR="00C027AD" w:rsidRPr="00C027AD" w:rsidRDefault="00C027AD" w:rsidP="00A14F0A">
            <w:pPr>
              <w:pStyle w:val="Tabletext"/>
              <w:jc w:val="center"/>
              <w:rPr>
                <w:rFonts w:eastAsiaTheme="minorEastAsia"/>
              </w:rPr>
            </w:pPr>
            <w:r w:rsidRPr="00C027AD">
              <w:rPr>
                <w:rFonts w:eastAsiaTheme="minorEastAsia"/>
              </w:rPr>
              <w:t>2.3-2.5</w:t>
            </w:r>
            <w:r w:rsidRPr="00C027AD">
              <w:rPr>
                <w:rFonts w:eastAsiaTheme="minorEastAsia"/>
              </w:rPr>
              <w:br/>
              <w:t>2.7-3.4</w:t>
            </w:r>
          </w:p>
        </w:tc>
        <w:tc>
          <w:tcPr>
            <w:tcW w:w="2268" w:type="dxa"/>
            <w:tcBorders>
              <w:top w:val="single" w:sz="6" w:space="0" w:color="auto"/>
              <w:left w:val="single" w:sz="6" w:space="0" w:color="auto"/>
              <w:bottom w:val="single" w:sz="6" w:space="0" w:color="auto"/>
              <w:right w:val="single" w:sz="6" w:space="0" w:color="auto"/>
            </w:tcBorders>
          </w:tcPr>
          <w:p w14:paraId="5BB12B9F" w14:textId="77777777" w:rsidR="00C027AD" w:rsidRPr="00C027AD" w:rsidRDefault="00C027AD" w:rsidP="00A14F0A">
            <w:pPr>
              <w:pStyle w:val="Tabletext"/>
              <w:jc w:val="center"/>
              <w:rPr>
                <w:rFonts w:eastAsiaTheme="minorEastAsia"/>
              </w:rPr>
            </w:pPr>
            <w:r w:rsidRPr="00C027AD">
              <w:rPr>
                <w:rFonts w:eastAsiaTheme="minorEastAsia"/>
              </w:rPr>
              <w:t>2.5 GHz band</w:t>
            </w:r>
          </w:p>
        </w:tc>
        <w:tc>
          <w:tcPr>
            <w:tcW w:w="2268" w:type="dxa"/>
            <w:gridSpan w:val="2"/>
            <w:tcBorders>
              <w:top w:val="single" w:sz="6" w:space="0" w:color="auto"/>
              <w:left w:val="single" w:sz="6" w:space="0" w:color="auto"/>
              <w:bottom w:val="single" w:sz="6" w:space="0" w:color="auto"/>
              <w:right w:val="single" w:sz="6" w:space="0" w:color="auto"/>
            </w:tcBorders>
          </w:tcPr>
          <w:p w14:paraId="36E36C99" w14:textId="77777777" w:rsidR="00C027AD" w:rsidRPr="00C027AD" w:rsidRDefault="00C027AD" w:rsidP="00A14F0A">
            <w:pPr>
              <w:pStyle w:val="Tabletext"/>
              <w:jc w:val="center"/>
              <w:rPr>
                <w:rFonts w:eastAsiaTheme="minorEastAsia"/>
              </w:rPr>
            </w:pPr>
            <w:r w:rsidRPr="00C027AD">
              <w:rPr>
                <w:rFonts w:eastAsiaTheme="minorEastAsia"/>
              </w:rPr>
              <w:t>2.5-2.690</w:t>
            </w:r>
          </w:p>
        </w:tc>
      </w:tr>
      <w:tr w:rsidR="00C027AD" w:rsidRPr="00C027AD" w14:paraId="295E6A35"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5632031A" w14:textId="77777777" w:rsidR="00C027AD" w:rsidRPr="00C027AD" w:rsidRDefault="00C027AD" w:rsidP="00A14F0A">
            <w:pPr>
              <w:pStyle w:val="Tabletext"/>
              <w:jc w:val="center"/>
              <w:rPr>
                <w:rFonts w:eastAsiaTheme="minorEastAsia"/>
              </w:rPr>
            </w:pPr>
            <w:r w:rsidRPr="00C027AD">
              <w:rPr>
                <w:rFonts w:eastAsiaTheme="minorEastAsia"/>
              </w:rPr>
              <w:t>C</w:t>
            </w:r>
          </w:p>
        </w:tc>
        <w:tc>
          <w:tcPr>
            <w:tcW w:w="1871" w:type="dxa"/>
            <w:tcBorders>
              <w:top w:val="single" w:sz="6" w:space="0" w:color="auto"/>
              <w:left w:val="single" w:sz="6" w:space="0" w:color="auto"/>
              <w:bottom w:val="single" w:sz="6" w:space="0" w:color="auto"/>
              <w:right w:val="single" w:sz="6" w:space="0" w:color="auto"/>
            </w:tcBorders>
          </w:tcPr>
          <w:p w14:paraId="57ADD130" w14:textId="77777777" w:rsidR="00C027AD" w:rsidRPr="00C027AD" w:rsidRDefault="00C027AD" w:rsidP="00A14F0A">
            <w:pPr>
              <w:pStyle w:val="Tabletext"/>
              <w:jc w:val="center"/>
              <w:rPr>
                <w:rFonts w:eastAsiaTheme="minorEastAsia"/>
              </w:rPr>
            </w:pPr>
            <w:r w:rsidRPr="00C027AD">
              <w:rPr>
                <w:rFonts w:eastAsiaTheme="minorEastAsia"/>
              </w:rPr>
              <w:t>4-8</w:t>
            </w:r>
          </w:p>
        </w:tc>
        <w:tc>
          <w:tcPr>
            <w:tcW w:w="1871" w:type="dxa"/>
            <w:tcBorders>
              <w:top w:val="single" w:sz="6" w:space="0" w:color="auto"/>
              <w:left w:val="single" w:sz="6" w:space="0" w:color="auto"/>
              <w:bottom w:val="single" w:sz="6" w:space="0" w:color="auto"/>
              <w:right w:val="single" w:sz="6" w:space="0" w:color="auto"/>
            </w:tcBorders>
          </w:tcPr>
          <w:p w14:paraId="423F08FC" w14:textId="77777777" w:rsidR="00C027AD" w:rsidRPr="00C027AD" w:rsidRDefault="00C027AD" w:rsidP="00A14F0A">
            <w:pPr>
              <w:pStyle w:val="Tabletext"/>
              <w:jc w:val="center"/>
              <w:rPr>
                <w:rFonts w:eastAsiaTheme="minorEastAsia"/>
              </w:rPr>
            </w:pPr>
            <w:r w:rsidRPr="00C027AD">
              <w:rPr>
                <w:rFonts w:eastAsiaTheme="minorEastAsia"/>
              </w:rPr>
              <w:t>5.25-5.85</w:t>
            </w:r>
          </w:p>
        </w:tc>
        <w:tc>
          <w:tcPr>
            <w:tcW w:w="2268" w:type="dxa"/>
            <w:tcBorders>
              <w:top w:val="single" w:sz="6" w:space="0" w:color="auto"/>
              <w:left w:val="single" w:sz="6" w:space="0" w:color="auto"/>
              <w:bottom w:val="single" w:sz="6" w:space="0" w:color="auto"/>
              <w:right w:val="single" w:sz="6" w:space="0" w:color="auto"/>
            </w:tcBorders>
          </w:tcPr>
          <w:p w14:paraId="074890A1" w14:textId="77777777" w:rsidR="00C027AD" w:rsidRPr="00C027AD" w:rsidRDefault="00C027AD" w:rsidP="00A14F0A">
            <w:pPr>
              <w:pStyle w:val="Tabletext"/>
              <w:jc w:val="center"/>
              <w:rPr>
                <w:rFonts w:eastAsiaTheme="minorEastAsia"/>
              </w:rPr>
            </w:pPr>
            <w:r w:rsidRPr="00C027AD">
              <w:rPr>
                <w:rFonts w:eastAsiaTheme="minorEastAsia"/>
              </w:rPr>
              <w:t>4/6 GHz band</w:t>
            </w:r>
          </w:p>
        </w:tc>
        <w:tc>
          <w:tcPr>
            <w:tcW w:w="2268" w:type="dxa"/>
            <w:gridSpan w:val="2"/>
            <w:tcBorders>
              <w:top w:val="single" w:sz="6" w:space="0" w:color="auto"/>
              <w:left w:val="single" w:sz="6" w:space="0" w:color="auto"/>
              <w:bottom w:val="single" w:sz="6" w:space="0" w:color="auto"/>
              <w:right w:val="single" w:sz="6" w:space="0" w:color="auto"/>
            </w:tcBorders>
          </w:tcPr>
          <w:p w14:paraId="05E1253E" w14:textId="77777777" w:rsidR="00C027AD" w:rsidRPr="00C027AD" w:rsidRDefault="00C027AD" w:rsidP="00A14F0A">
            <w:pPr>
              <w:pStyle w:val="Tabletext"/>
              <w:jc w:val="center"/>
              <w:rPr>
                <w:rFonts w:eastAsiaTheme="minorEastAsia"/>
              </w:rPr>
            </w:pPr>
            <w:r w:rsidRPr="00C027AD">
              <w:rPr>
                <w:rFonts w:eastAsiaTheme="minorEastAsia"/>
              </w:rPr>
              <w:t>3.4-4.2</w:t>
            </w:r>
            <w:r w:rsidRPr="00C027AD">
              <w:rPr>
                <w:rFonts w:eastAsiaTheme="minorEastAsia"/>
              </w:rPr>
              <w:br/>
              <w:t>4.5-4.8</w:t>
            </w:r>
            <w:r w:rsidRPr="00C027AD">
              <w:rPr>
                <w:rFonts w:eastAsiaTheme="minorEastAsia"/>
              </w:rPr>
              <w:br/>
              <w:t>5.85-7.075</w:t>
            </w:r>
          </w:p>
        </w:tc>
      </w:tr>
      <w:tr w:rsidR="00C027AD" w:rsidRPr="00C027AD" w14:paraId="560BD55C"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261D2CF3" w14:textId="77777777" w:rsidR="00C027AD" w:rsidRPr="00C027AD" w:rsidRDefault="00C027AD" w:rsidP="00A14F0A">
            <w:pPr>
              <w:pStyle w:val="Tabletext"/>
              <w:jc w:val="center"/>
              <w:rPr>
                <w:rFonts w:eastAsiaTheme="minorEastAsia"/>
              </w:rPr>
            </w:pPr>
            <w:r w:rsidRPr="00C027AD">
              <w:rPr>
                <w:rFonts w:eastAsiaTheme="minorEastAsia"/>
              </w:rPr>
              <w:t>X</w:t>
            </w:r>
          </w:p>
        </w:tc>
        <w:tc>
          <w:tcPr>
            <w:tcW w:w="1871" w:type="dxa"/>
            <w:tcBorders>
              <w:top w:val="single" w:sz="6" w:space="0" w:color="auto"/>
              <w:left w:val="single" w:sz="6" w:space="0" w:color="auto"/>
              <w:bottom w:val="single" w:sz="6" w:space="0" w:color="auto"/>
              <w:right w:val="single" w:sz="6" w:space="0" w:color="auto"/>
            </w:tcBorders>
          </w:tcPr>
          <w:p w14:paraId="48523ADF" w14:textId="77777777" w:rsidR="00C027AD" w:rsidRPr="00C027AD" w:rsidRDefault="00C027AD" w:rsidP="00A14F0A">
            <w:pPr>
              <w:pStyle w:val="Tabletext"/>
              <w:jc w:val="center"/>
              <w:rPr>
                <w:rFonts w:eastAsiaTheme="minorEastAsia"/>
              </w:rPr>
            </w:pPr>
            <w:r w:rsidRPr="00C027AD">
              <w:rPr>
                <w:rFonts w:eastAsiaTheme="minorEastAsia"/>
              </w:rPr>
              <w:t>8-12</w:t>
            </w:r>
          </w:p>
        </w:tc>
        <w:tc>
          <w:tcPr>
            <w:tcW w:w="1871" w:type="dxa"/>
            <w:tcBorders>
              <w:top w:val="single" w:sz="6" w:space="0" w:color="auto"/>
              <w:left w:val="single" w:sz="6" w:space="0" w:color="auto"/>
              <w:bottom w:val="single" w:sz="6" w:space="0" w:color="auto"/>
              <w:right w:val="single" w:sz="6" w:space="0" w:color="auto"/>
            </w:tcBorders>
          </w:tcPr>
          <w:p w14:paraId="15A959A0" w14:textId="77777777" w:rsidR="00C027AD" w:rsidRPr="00C027AD" w:rsidRDefault="00C027AD" w:rsidP="00A14F0A">
            <w:pPr>
              <w:pStyle w:val="Tabletext"/>
              <w:jc w:val="center"/>
              <w:rPr>
                <w:rFonts w:eastAsiaTheme="minorEastAsia"/>
              </w:rPr>
            </w:pPr>
            <w:r w:rsidRPr="00C027AD">
              <w:rPr>
                <w:rFonts w:eastAsiaTheme="minorEastAsia"/>
              </w:rPr>
              <w:t>8.5-10.5</w:t>
            </w:r>
          </w:p>
        </w:tc>
        <w:tc>
          <w:tcPr>
            <w:tcW w:w="2268" w:type="dxa"/>
            <w:tcBorders>
              <w:top w:val="single" w:sz="6" w:space="0" w:color="auto"/>
              <w:left w:val="single" w:sz="6" w:space="0" w:color="auto"/>
              <w:bottom w:val="single" w:sz="6" w:space="0" w:color="auto"/>
              <w:right w:val="single" w:sz="6" w:space="0" w:color="auto"/>
            </w:tcBorders>
          </w:tcPr>
          <w:p w14:paraId="1CE01616" w14:textId="77777777" w:rsidR="00C027AD" w:rsidRPr="00C027AD" w:rsidRDefault="00C027AD" w:rsidP="00A14F0A">
            <w:pPr>
              <w:pStyle w:val="Tabletext"/>
              <w:jc w:val="center"/>
              <w:rPr>
                <w:rFonts w:eastAsiaTheme="minorEastAsia"/>
              </w:rPr>
            </w:pPr>
            <w:r w:rsidRPr="00C027AD">
              <w:rPr>
                <w:rFonts w:eastAsiaTheme="minorEastAsia"/>
              </w:rPr>
              <w:t>–</w:t>
            </w:r>
          </w:p>
        </w:tc>
        <w:tc>
          <w:tcPr>
            <w:tcW w:w="2268" w:type="dxa"/>
            <w:gridSpan w:val="2"/>
            <w:tcBorders>
              <w:top w:val="single" w:sz="6" w:space="0" w:color="auto"/>
              <w:left w:val="single" w:sz="6" w:space="0" w:color="auto"/>
              <w:bottom w:val="single" w:sz="6" w:space="0" w:color="auto"/>
              <w:right w:val="single" w:sz="6" w:space="0" w:color="auto"/>
            </w:tcBorders>
          </w:tcPr>
          <w:p w14:paraId="5BBBFDFE" w14:textId="77777777" w:rsidR="00C027AD" w:rsidRPr="00C027AD" w:rsidRDefault="00C027AD" w:rsidP="00A14F0A">
            <w:pPr>
              <w:pStyle w:val="Tabletext"/>
              <w:jc w:val="center"/>
              <w:rPr>
                <w:rFonts w:eastAsiaTheme="minorEastAsia"/>
              </w:rPr>
            </w:pPr>
            <w:r w:rsidRPr="00C027AD">
              <w:rPr>
                <w:rFonts w:eastAsiaTheme="minorEastAsia"/>
              </w:rPr>
              <w:t>–</w:t>
            </w:r>
          </w:p>
        </w:tc>
      </w:tr>
      <w:tr w:rsidR="00C027AD" w:rsidRPr="00C027AD" w14:paraId="6501C636"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1F050D54" w14:textId="77777777" w:rsidR="00C027AD" w:rsidRPr="00C027AD" w:rsidRDefault="00C027AD" w:rsidP="00A14F0A">
            <w:pPr>
              <w:pStyle w:val="Tabletext"/>
              <w:jc w:val="center"/>
              <w:rPr>
                <w:rFonts w:eastAsiaTheme="minorEastAsia"/>
              </w:rPr>
            </w:pPr>
            <w:r w:rsidRPr="00C027AD">
              <w:rPr>
                <w:rFonts w:eastAsiaTheme="minorEastAsia"/>
              </w:rPr>
              <w:t>Ku</w:t>
            </w:r>
          </w:p>
        </w:tc>
        <w:tc>
          <w:tcPr>
            <w:tcW w:w="1871" w:type="dxa"/>
            <w:tcBorders>
              <w:top w:val="single" w:sz="6" w:space="0" w:color="auto"/>
              <w:bottom w:val="single" w:sz="6" w:space="0" w:color="auto"/>
              <w:right w:val="single" w:sz="6" w:space="0" w:color="auto"/>
            </w:tcBorders>
          </w:tcPr>
          <w:p w14:paraId="1FDD205E" w14:textId="77777777" w:rsidR="00C027AD" w:rsidRPr="00C027AD" w:rsidRDefault="00C027AD" w:rsidP="00A14F0A">
            <w:pPr>
              <w:pStyle w:val="Tabletext"/>
              <w:jc w:val="center"/>
              <w:rPr>
                <w:rFonts w:eastAsiaTheme="minorEastAsia"/>
              </w:rPr>
            </w:pPr>
            <w:r w:rsidRPr="00C027AD">
              <w:rPr>
                <w:rFonts w:eastAsiaTheme="minorEastAsia"/>
              </w:rPr>
              <w:t>12-18</w:t>
            </w:r>
          </w:p>
        </w:tc>
        <w:tc>
          <w:tcPr>
            <w:tcW w:w="1871" w:type="dxa"/>
            <w:tcBorders>
              <w:top w:val="single" w:sz="6" w:space="0" w:color="auto"/>
              <w:bottom w:val="single" w:sz="6" w:space="0" w:color="auto"/>
              <w:right w:val="single" w:sz="6" w:space="0" w:color="auto"/>
            </w:tcBorders>
          </w:tcPr>
          <w:p w14:paraId="012F6941" w14:textId="77777777" w:rsidR="00C027AD" w:rsidRPr="00C027AD" w:rsidRDefault="00C027AD" w:rsidP="00A14F0A">
            <w:pPr>
              <w:pStyle w:val="Tabletext"/>
              <w:jc w:val="center"/>
              <w:rPr>
                <w:rFonts w:eastAsiaTheme="minorEastAsia"/>
              </w:rPr>
            </w:pPr>
            <w:r w:rsidRPr="00C027AD">
              <w:rPr>
                <w:rFonts w:eastAsiaTheme="minorEastAsia"/>
              </w:rPr>
              <w:t>13.4-14.0</w:t>
            </w:r>
            <w:r w:rsidRPr="00C027AD">
              <w:rPr>
                <w:rFonts w:eastAsiaTheme="minorEastAsia"/>
              </w:rPr>
              <w:br/>
              <w:t>15.3-17.3</w:t>
            </w:r>
          </w:p>
        </w:tc>
        <w:tc>
          <w:tcPr>
            <w:tcW w:w="2268" w:type="dxa"/>
            <w:tcBorders>
              <w:top w:val="single" w:sz="6" w:space="0" w:color="auto"/>
              <w:bottom w:val="single" w:sz="6" w:space="0" w:color="auto"/>
              <w:right w:val="single" w:sz="6" w:space="0" w:color="auto"/>
            </w:tcBorders>
          </w:tcPr>
          <w:p w14:paraId="12E59172" w14:textId="77777777" w:rsidR="00C027AD" w:rsidRPr="00C027AD" w:rsidRDefault="00C027AD" w:rsidP="00A14F0A">
            <w:pPr>
              <w:pStyle w:val="Tabletext"/>
              <w:jc w:val="center"/>
              <w:rPr>
                <w:rFonts w:eastAsiaTheme="minorEastAsia"/>
              </w:rPr>
            </w:pPr>
            <w:r w:rsidRPr="00C027AD">
              <w:rPr>
                <w:rFonts w:eastAsiaTheme="minorEastAsia"/>
              </w:rPr>
              <w:t>11/14 GHz band</w:t>
            </w:r>
            <w:r w:rsidRPr="00C027AD">
              <w:rPr>
                <w:rFonts w:eastAsiaTheme="minorEastAsia"/>
              </w:rPr>
              <w:br/>
              <w:t>12/14 GHz band</w:t>
            </w:r>
          </w:p>
        </w:tc>
        <w:tc>
          <w:tcPr>
            <w:tcW w:w="2268" w:type="dxa"/>
            <w:gridSpan w:val="2"/>
            <w:tcBorders>
              <w:top w:val="single" w:sz="6" w:space="0" w:color="auto"/>
              <w:bottom w:val="single" w:sz="6" w:space="0" w:color="auto"/>
              <w:right w:val="single" w:sz="6" w:space="0" w:color="auto"/>
            </w:tcBorders>
          </w:tcPr>
          <w:p w14:paraId="0C098A0D" w14:textId="77777777" w:rsidR="00C027AD" w:rsidRPr="00C027AD" w:rsidRDefault="00C027AD" w:rsidP="00A14F0A">
            <w:pPr>
              <w:pStyle w:val="Tabletext"/>
              <w:jc w:val="center"/>
              <w:rPr>
                <w:rFonts w:eastAsiaTheme="minorEastAsia"/>
              </w:rPr>
            </w:pPr>
            <w:r w:rsidRPr="00C027AD">
              <w:rPr>
                <w:rFonts w:eastAsiaTheme="minorEastAsia"/>
              </w:rPr>
              <w:t>10.7-13.25</w:t>
            </w:r>
            <w:r w:rsidRPr="00C027AD">
              <w:rPr>
                <w:rFonts w:eastAsiaTheme="minorEastAsia"/>
              </w:rPr>
              <w:br/>
              <w:t>14.0-14.5</w:t>
            </w:r>
          </w:p>
        </w:tc>
      </w:tr>
      <w:tr w:rsidR="00C027AD" w:rsidRPr="00C027AD" w14:paraId="6131CC73"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101DF1A1" w14:textId="3A4664F4" w:rsidR="00C027AD" w:rsidRPr="00C027AD" w:rsidRDefault="00C027AD" w:rsidP="00A14F0A">
            <w:pPr>
              <w:pStyle w:val="Tabletext"/>
              <w:jc w:val="center"/>
              <w:rPr>
                <w:rFonts w:eastAsiaTheme="minorEastAsia"/>
              </w:rPr>
            </w:pPr>
            <w:r w:rsidRPr="00C027AD">
              <w:rPr>
                <w:rFonts w:eastAsiaTheme="minorEastAsia"/>
              </w:rPr>
              <w:t>K</w:t>
            </w:r>
            <w:r w:rsidR="0071568E">
              <w:rPr>
                <w:rFonts w:eastAsiaTheme="minorEastAsia"/>
              </w:rPr>
              <w:t xml:space="preserve"> </w:t>
            </w:r>
            <w:r w:rsidR="006C1FF6" w:rsidRPr="006C1FF6">
              <w:rPr>
                <w:rFonts w:eastAsiaTheme="minorEastAsia"/>
                <w:vertAlign w:val="superscript"/>
              </w:rPr>
              <w:t>(1)</w:t>
            </w:r>
          </w:p>
        </w:tc>
        <w:tc>
          <w:tcPr>
            <w:tcW w:w="1871" w:type="dxa"/>
            <w:tcBorders>
              <w:top w:val="single" w:sz="6" w:space="0" w:color="auto"/>
              <w:bottom w:val="single" w:sz="6" w:space="0" w:color="auto"/>
              <w:right w:val="single" w:sz="6" w:space="0" w:color="auto"/>
            </w:tcBorders>
          </w:tcPr>
          <w:p w14:paraId="67CB6DC6" w14:textId="77777777" w:rsidR="00C027AD" w:rsidRPr="00C027AD" w:rsidRDefault="00C027AD" w:rsidP="00A14F0A">
            <w:pPr>
              <w:pStyle w:val="Tabletext"/>
              <w:jc w:val="center"/>
              <w:rPr>
                <w:rFonts w:eastAsiaTheme="minorEastAsia"/>
              </w:rPr>
            </w:pPr>
            <w:r w:rsidRPr="00C027AD">
              <w:rPr>
                <w:rFonts w:eastAsiaTheme="minorEastAsia"/>
              </w:rPr>
              <w:t>18-27</w:t>
            </w:r>
          </w:p>
        </w:tc>
        <w:tc>
          <w:tcPr>
            <w:tcW w:w="1871" w:type="dxa"/>
            <w:tcBorders>
              <w:top w:val="single" w:sz="6" w:space="0" w:color="auto"/>
              <w:bottom w:val="single" w:sz="6" w:space="0" w:color="auto"/>
              <w:right w:val="single" w:sz="6" w:space="0" w:color="auto"/>
            </w:tcBorders>
          </w:tcPr>
          <w:p w14:paraId="023F3F4B" w14:textId="77777777" w:rsidR="00C027AD" w:rsidRPr="00C027AD" w:rsidRDefault="00C027AD" w:rsidP="00A14F0A">
            <w:pPr>
              <w:pStyle w:val="Tabletext"/>
              <w:jc w:val="center"/>
              <w:rPr>
                <w:rFonts w:eastAsiaTheme="minorEastAsia"/>
              </w:rPr>
            </w:pPr>
            <w:r w:rsidRPr="00C027AD">
              <w:rPr>
                <w:rFonts w:eastAsiaTheme="minorEastAsia"/>
              </w:rPr>
              <w:t>24.05-24.25</w:t>
            </w:r>
          </w:p>
        </w:tc>
        <w:tc>
          <w:tcPr>
            <w:tcW w:w="2268" w:type="dxa"/>
            <w:tcBorders>
              <w:top w:val="single" w:sz="6" w:space="0" w:color="auto"/>
              <w:bottom w:val="single" w:sz="6" w:space="0" w:color="auto"/>
              <w:right w:val="single" w:sz="6" w:space="0" w:color="auto"/>
            </w:tcBorders>
          </w:tcPr>
          <w:p w14:paraId="4F6BC51C" w14:textId="77777777" w:rsidR="00C027AD" w:rsidRPr="00C027AD" w:rsidRDefault="00C027AD" w:rsidP="00A14F0A">
            <w:pPr>
              <w:pStyle w:val="Tabletext"/>
              <w:jc w:val="center"/>
              <w:rPr>
                <w:rFonts w:eastAsiaTheme="minorEastAsia"/>
              </w:rPr>
            </w:pPr>
            <w:r w:rsidRPr="00C027AD">
              <w:rPr>
                <w:rFonts w:eastAsiaTheme="minorEastAsia"/>
              </w:rPr>
              <w:t>20 GHz band</w:t>
            </w:r>
          </w:p>
        </w:tc>
        <w:tc>
          <w:tcPr>
            <w:tcW w:w="2268" w:type="dxa"/>
            <w:gridSpan w:val="2"/>
            <w:tcBorders>
              <w:top w:val="single" w:sz="6" w:space="0" w:color="auto"/>
              <w:bottom w:val="single" w:sz="6" w:space="0" w:color="auto"/>
              <w:right w:val="single" w:sz="6" w:space="0" w:color="auto"/>
            </w:tcBorders>
          </w:tcPr>
          <w:p w14:paraId="7475AB19" w14:textId="77777777" w:rsidR="00C027AD" w:rsidRPr="00C027AD" w:rsidRDefault="00C027AD" w:rsidP="00A14F0A">
            <w:pPr>
              <w:pStyle w:val="Tabletext"/>
              <w:jc w:val="center"/>
              <w:rPr>
                <w:rFonts w:eastAsiaTheme="minorEastAsia"/>
              </w:rPr>
            </w:pPr>
            <w:r w:rsidRPr="00C027AD">
              <w:rPr>
                <w:rFonts w:eastAsiaTheme="minorEastAsia"/>
              </w:rPr>
              <w:t>17.7-20.2</w:t>
            </w:r>
          </w:p>
        </w:tc>
      </w:tr>
      <w:tr w:rsidR="00C027AD" w:rsidRPr="00C027AD" w14:paraId="3155AB85"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4E7D470C" w14:textId="07FC7559" w:rsidR="00C027AD" w:rsidRPr="00C027AD" w:rsidRDefault="00C027AD" w:rsidP="00A14F0A">
            <w:pPr>
              <w:pStyle w:val="Tabletext"/>
              <w:jc w:val="center"/>
              <w:rPr>
                <w:rFonts w:eastAsiaTheme="minorEastAsia"/>
              </w:rPr>
            </w:pPr>
            <w:r w:rsidRPr="00C027AD">
              <w:rPr>
                <w:rFonts w:eastAsiaTheme="minorEastAsia"/>
              </w:rPr>
              <w:t>K</w:t>
            </w:r>
            <w:r w:rsidRPr="00C027AD">
              <w:rPr>
                <w:rFonts w:eastAsiaTheme="minorEastAsia"/>
                <w:sz w:val="24"/>
                <w:szCs w:val="24"/>
                <w:vertAlign w:val="subscript"/>
              </w:rPr>
              <w:t>a</w:t>
            </w:r>
            <w:r w:rsidR="004B7FD7">
              <w:rPr>
                <w:rFonts w:eastAsiaTheme="minorEastAsia"/>
                <w:szCs w:val="24"/>
              </w:rPr>
              <w:t xml:space="preserve"> </w:t>
            </w:r>
            <w:r w:rsidR="006C1FF6" w:rsidRPr="006C1FF6">
              <w:rPr>
                <w:rFonts w:eastAsiaTheme="minorEastAsia"/>
                <w:vertAlign w:val="superscript"/>
              </w:rPr>
              <w:t>(1)</w:t>
            </w:r>
          </w:p>
        </w:tc>
        <w:tc>
          <w:tcPr>
            <w:tcW w:w="1871" w:type="dxa"/>
            <w:tcBorders>
              <w:top w:val="single" w:sz="6" w:space="0" w:color="auto"/>
              <w:bottom w:val="single" w:sz="6" w:space="0" w:color="auto"/>
              <w:right w:val="single" w:sz="6" w:space="0" w:color="auto"/>
            </w:tcBorders>
          </w:tcPr>
          <w:p w14:paraId="371B6715" w14:textId="77777777" w:rsidR="00C027AD" w:rsidRPr="00C027AD" w:rsidRDefault="00C027AD" w:rsidP="00A14F0A">
            <w:pPr>
              <w:pStyle w:val="Tabletext"/>
              <w:jc w:val="center"/>
              <w:rPr>
                <w:rFonts w:eastAsiaTheme="minorEastAsia"/>
              </w:rPr>
            </w:pPr>
            <w:r w:rsidRPr="00C027AD">
              <w:rPr>
                <w:rFonts w:eastAsiaTheme="minorEastAsia"/>
              </w:rPr>
              <w:t>27-40</w:t>
            </w:r>
          </w:p>
        </w:tc>
        <w:tc>
          <w:tcPr>
            <w:tcW w:w="1871" w:type="dxa"/>
            <w:tcBorders>
              <w:top w:val="single" w:sz="6" w:space="0" w:color="auto"/>
              <w:bottom w:val="single" w:sz="6" w:space="0" w:color="auto"/>
              <w:right w:val="single" w:sz="6" w:space="0" w:color="auto"/>
            </w:tcBorders>
          </w:tcPr>
          <w:p w14:paraId="314E74A9" w14:textId="77777777" w:rsidR="00C027AD" w:rsidRPr="00C027AD" w:rsidRDefault="00C027AD" w:rsidP="00A14F0A">
            <w:pPr>
              <w:pStyle w:val="Tabletext"/>
              <w:jc w:val="center"/>
              <w:rPr>
                <w:rFonts w:eastAsiaTheme="minorEastAsia"/>
              </w:rPr>
            </w:pPr>
            <w:r w:rsidRPr="00C027AD">
              <w:rPr>
                <w:rFonts w:eastAsiaTheme="minorEastAsia"/>
              </w:rPr>
              <w:t>33.4-36.0</w:t>
            </w:r>
          </w:p>
        </w:tc>
        <w:tc>
          <w:tcPr>
            <w:tcW w:w="2268" w:type="dxa"/>
            <w:tcBorders>
              <w:top w:val="single" w:sz="6" w:space="0" w:color="auto"/>
              <w:bottom w:val="single" w:sz="6" w:space="0" w:color="auto"/>
              <w:right w:val="single" w:sz="6" w:space="0" w:color="auto"/>
            </w:tcBorders>
          </w:tcPr>
          <w:p w14:paraId="29DE3DAE" w14:textId="77777777" w:rsidR="00C027AD" w:rsidRPr="00C027AD" w:rsidRDefault="00C027AD" w:rsidP="00A14F0A">
            <w:pPr>
              <w:pStyle w:val="Tabletext"/>
              <w:jc w:val="center"/>
              <w:rPr>
                <w:rFonts w:eastAsiaTheme="minorEastAsia"/>
              </w:rPr>
            </w:pPr>
            <w:r w:rsidRPr="00C027AD">
              <w:rPr>
                <w:rFonts w:eastAsiaTheme="minorEastAsia"/>
              </w:rPr>
              <w:t>30 GHz band</w:t>
            </w:r>
          </w:p>
        </w:tc>
        <w:tc>
          <w:tcPr>
            <w:tcW w:w="2268" w:type="dxa"/>
            <w:gridSpan w:val="2"/>
            <w:tcBorders>
              <w:top w:val="single" w:sz="6" w:space="0" w:color="auto"/>
              <w:bottom w:val="single" w:sz="6" w:space="0" w:color="auto"/>
              <w:right w:val="single" w:sz="6" w:space="0" w:color="auto"/>
            </w:tcBorders>
          </w:tcPr>
          <w:p w14:paraId="4DF0FE39" w14:textId="77777777" w:rsidR="00C027AD" w:rsidRPr="00C027AD" w:rsidRDefault="00C027AD" w:rsidP="00A14F0A">
            <w:pPr>
              <w:pStyle w:val="Tabletext"/>
              <w:jc w:val="center"/>
              <w:rPr>
                <w:rFonts w:eastAsiaTheme="minorEastAsia"/>
              </w:rPr>
            </w:pPr>
            <w:r w:rsidRPr="00C027AD">
              <w:rPr>
                <w:rFonts w:eastAsiaTheme="minorEastAsia"/>
              </w:rPr>
              <w:t>27.5-30.0</w:t>
            </w:r>
          </w:p>
        </w:tc>
      </w:tr>
      <w:tr w:rsidR="00C027AD" w:rsidRPr="00C027AD" w14:paraId="028C3201" w14:textId="77777777" w:rsidTr="00F83AD8">
        <w:trPr>
          <w:cantSplit/>
          <w:jc w:val="center"/>
        </w:trPr>
        <w:tc>
          <w:tcPr>
            <w:tcW w:w="1418" w:type="dxa"/>
            <w:tcBorders>
              <w:top w:val="single" w:sz="6" w:space="0" w:color="auto"/>
              <w:left w:val="single" w:sz="6" w:space="0" w:color="auto"/>
              <w:bottom w:val="single" w:sz="6" w:space="0" w:color="auto"/>
              <w:right w:val="single" w:sz="6" w:space="0" w:color="auto"/>
            </w:tcBorders>
          </w:tcPr>
          <w:p w14:paraId="3EA1ECDA" w14:textId="77777777" w:rsidR="00C027AD" w:rsidRPr="00C027AD" w:rsidRDefault="00C027AD" w:rsidP="00A14F0A">
            <w:pPr>
              <w:pStyle w:val="Tabletext"/>
              <w:jc w:val="center"/>
              <w:rPr>
                <w:rFonts w:eastAsiaTheme="minorEastAsia"/>
              </w:rPr>
            </w:pPr>
            <w:r w:rsidRPr="00C027AD">
              <w:rPr>
                <w:rFonts w:eastAsiaTheme="minorEastAsia"/>
              </w:rPr>
              <w:t>V</w:t>
            </w:r>
          </w:p>
        </w:tc>
        <w:tc>
          <w:tcPr>
            <w:tcW w:w="1871" w:type="dxa"/>
            <w:tcBorders>
              <w:top w:val="single" w:sz="6" w:space="0" w:color="auto"/>
              <w:bottom w:val="single" w:sz="6" w:space="0" w:color="auto"/>
              <w:right w:val="single" w:sz="6" w:space="0" w:color="auto"/>
            </w:tcBorders>
          </w:tcPr>
          <w:p w14:paraId="6508315F" w14:textId="77777777" w:rsidR="00C027AD" w:rsidRPr="00C027AD" w:rsidRDefault="00C027AD" w:rsidP="00A14F0A">
            <w:pPr>
              <w:pStyle w:val="Tabletext"/>
              <w:jc w:val="center"/>
              <w:rPr>
                <w:rFonts w:eastAsiaTheme="minorEastAsia"/>
              </w:rPr>
            </w:pPr>
            <w:r w:rsidRPr="00C027AD">
              <w:rPr>
                <w:rFonts w:eastAsiaTheme="minorEastAsia"/>
              </w:rPr>
              <w:t>–</w:t>
            </w:r>
          </w:p>
        </w:tc>
        <w:tc>
          <w:tcPr>
            <w:tcW w:w="1871" w:type="dxa"/>
            <w:tcBorders>
              <w:top w:val="single" w:sz="6" w:space="0" w:color="auto"/>
              <w:bottom w:val="single" w:sz="6" w:space="0" w:color="auto"/>
              <w:right w:val="single" w:sz="6" w:space="0" w:color="auto"/>
            </w:tcBorders>
          </w:tcPr>
          <w:p w14:paraId="065B02F9" w14:textId="77777777" w:rsidR="00C027AD" w:rsidRPr="00C027AD" w:rsidRDefault="00C027AD" w:rsidP="00A14F0A">
            <w:pPr>
              <w:pStyle w:val="Tabletext"/>
              <w:jc w:val="center"/>
              <w:rPr>
                <w:rFonts w:eastAsiaTheme="minorEastAsia"/>
              </w:rPr>
            </w:pPr>
            <w:r w:rsidRPr="00C027AD">
              <w:rPr>
                <w:rFonts w:eastAsiaTheme="minorEastAsia"/>
              </w:rPr>
              <w:t>–</w:t>
            </w:r>
          </w:p>
        </w:tc>
        <w:tc>
          <w:tcPr>
            <w:tcW w:w="2268" w:type="dxa"/>
            <w:tcBorders>
              <w:top w:val="single" w:sz="6" w:space="0" w:color="auto"/>
              <w:bottom w:val="single" w:sz="6" w:space="0" w:color="auto"/>
              <w:right w:val="single" w:sz="6" w:space="0" w:color="auto"/>
            </w:tcBorders>
          </w:tcPr>
          <w:p w14:paraId="6C8DCECA" w14:textId="77777777" w:rsidR="00C027AD" w:rsidRPr="00C027AD" w:rsidRDefault="00C027AD" w:rsidP="00A14F0A">
            <w:pPr>
              <w:pStyle w:val="Tabletext"/>
              <w:jc w:val="center"/>
              <w:rPr>
                <w:rFonts w:eastAsiaTheme="minorEastAsia"/>
              </w:rPr>
            </w:pPr>
            <w:r w:rsidRPr="00C027AD">
              <w:rPr>
                <w:rFonts w:eastAsiaTheme="minorEastAsia"/>
              </w:rPr>
              <w:t>40 GHz band</w:t>
            </w:r>
          </w:p>
        </w:tc>
        <w:tc>
          <w:tcPr>
            <w:tcW w:w="2268" w:type="dxa"/>
            <w:gridSpan w:val="2"/>
            <w:tcBorders>
              <w:top w:val="single" w:sz="6" w:space="0" w:color="auto"/>
              <w:bottom w:val="single" w:sz="6" w:space="0" w:color="auto"/>
              <w:right w:val="single" w:sz="6" w:space="0" w:color="auto"/>
            </w:tcBorders>
          </w:tcPr>
          <w:p w14:paraId="17430E67" w14:textId="77777777" w:rsidR="00C027AD" w:rsidRPr="00C027AD" w:rsidRDefault="00C027AD" w:rsidP="00A14F0A">
            <w:pPr>
              <w:pStyle w:val="Tabletext"/>
              <w:jc w:val="center"/>
              <w:rPr>
                <w:rFonts w:eastAsiaTheme="minorEastAsia"/>
              </w:rPr>
            </w:pPr>
            <w:r w:rsidRPr="00C027AD">
              <w:rPr>
                <w:rFonts w:eastAsiaTheme="minorEastAsia"/>
              </w:rPr>
              <w:t>37.5-42.5</w:t>
            </w:r>
            <w:r w:rsidRPr="00C027AD">
              <w:rPr>
                <w:rFonts w:eastAsiaTheme="minorEastAsia"/>
              </w:rPr>
              <w:br/>
              <w:t>47.2-50.2</w:t>
            </w:r>
          </w:p>
        </w:tc>
      </w:tr>
      <w:tr w:rsidR="00C027AD" w:rsidRPr="00C027AD" w14:paraId="267B3BBD" w14:textId="77777777" w:rsidTr="00F83AD8">
        <w:trPr>
          <w:gridAfter w:val="1"/>
          <w:wAfter w:w="8" w:type="dxa"/>
          <w:cantSplit/>
          <w:jc w:val="center"/>
        </w:trPr>
        <w:tc>
          <w:tcPr>
            <w:tcW w:w="9696" w:type="dxa"/>
            <w:gridSpan w:val="5"/>
          </w:tcPr>
          <w:p w14:paraId="576706C3" w14:textId="753509A9" w:rsidR="00C027AD" w:rsidRPr="00C027AD" w:rsidRDefault="006C1FF6" w:rsidP="00A14F0A">
            <w:pPr>
              <w:pStyle w:val="TableLegendNote"/>
            </w:pPr>
            <w:r w:rsidRPr="006C1FF6">
              <w:rPr>
                <w:rFonts w:eastAsiaTheme="minorEastAsia"/>
                <w:vertAlign w:val="superscript"/>
              </w:rPr>
              <w:t>(1)</w:t>
            </w:r>
            <w:r w:rsidR="00C027AD" w:rsidRPr="00C027AD">
              <w:tab/>
              <w:t>For space radiocommunications</w:t>
            </w:r>
            <w:r w:rsidR="00187D31">
              <w:t>,</w:t>
            </w:r>
            <w:r w:rsidR="00C027AD" w:rsidRPr="00C027AD">
              <w:t xml:space="preserve"> K and Ka bands are often designated by the single symbol K</w:t>
            </w:r>
            <w:r w:rsidR="00C027AD" w:rsidRPr="00C027AD">
              <w:rPr>
                <w:position w:val="-4"/>
              </w:rPr>
              <w:t>a</w:t>
            </w:r>
            <w:r w:rsidR="00C027AD" w:rsidRPr="00C027AD">
              <w:t>.</w:t>
            </w:r>
          </w:p>
        </w:tc>
      </w:tr>
    </w:tbl>
    <w:p w14:paraId="65CEBD24" w14:textId="77777777" w:rsidR="007E40E2" w:rsidRPr="00C027AD" w:rsidRDefault="007E40E2" w:rsidP="00F83AD8">
      <w:pPr>
        <w:pStyle w:val="Tablefin"/>
        <w:rPr>
          <w:lang w:eastAsia="zh-CN"/>
        </w:rPr>
      </w:pPr>
    </w:p>
    <w:p w14:paraId="54774178" w14:textId="77777777" w:rsidR="00B874C6" w:rsidRPr="00C027AD" w:rsidRDefault="00B874C6" w:rsidP="00B874C6">
      <w:pPr>
        <w:pStyle w:val="Line"/>
      </w:pPr>
    </w:p>
    <w:sectPr w:rsidR="00B874C6" w:rsidRPr="00C027AD" w:rsidSect="007565CC">
      <w:footerReference w:type="default" r:id="rId19"/>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B8DE" w14:textId="77777777" w:rsidR="003222A2" w:rsidRDefault="003222A2">
      <w:r>
        <w:separator/>
      </w:r>
    </w:p>
  </w:endnote>
  <w:endnote w:type="continuationSeparator" w:id="0">
    <w:p w14:paraId="33D63EE3" w14:textId="77777777" w:rsidR="003222A2" w:rsidRDefault="003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434F" w14:textId="77777777" w:rsidR="00301DB3" w:rsidRDefault="00301DB3">
    <w:pPr>
      <w:pStyle w:val="Footer"/>
    </w:pPr>
    <w:r>
      <w:drawing>
        <wp:anchor distT="0" distB="0" distL="0" distR="0" simplePos="0" relativeHeight="251656192" behindDoc="0" locked="0" layoutInCell="1" allowOverlap="1" wp14:anchorId="65B715CE" wp14:editId="3BCC6B22">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CC96"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EBA6" w14:textId="77777777" w:rsidR="003222A2" w:rsidRDefault="003222A2">
      <w:r>
        <w:separator/>
      </w:r>
    </w:p>
  </w:footnote>
  <w:footnote w:type="continuationSeparator" w:id="0">
    <w:p w14:paraId="5A7FF8E5" w14:textId="77777777" w:rsidR="003222A2" w:rsidRDefault="0032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5C43"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4B1AC092" w14:textId="77777777" w:rsidTr="0019307B">
      <w:tc>
        <w:tcPr>
          <w:tcW w:w="4634" w:type="dxa"/>
          <w:vAlign w:val="center"/>
        </w:tcPr>
        <w:p w14:paraId="1CB05995"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4696A2B"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67338C07" w14:textId="77777777" w:rsidTr="0019307B">
      <w:tc>
        <w:tcPr>
          <w:tcW w:w="4634" w:type="dxa"/>
          <w:vAlign w:val="center"/>
        </w:tcPr>
        <w:p w14:paraId="5C5A8FC8"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194AD755"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3F8FD291"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6CF473D7" wp14:editId="790CECB9">
          <wp:simplePos x="0" y="0"/>
          <wp:positionH relativeFrom="column">
            <wp:posOffset>-358302</wp:posOffset>
          </wp:positionH>
          <wp:positionV relativeFrom="paragraph">
            <wp:posOffset>-534670</wp:posOffset>
          </wp:positionV>
          <wp:extent cx="1945758" cy="414616"/>
          <wp:effectExtent l="0" t="0" r="0" b="0"/>
          <wp:wrapNone/>
          <wp:docPr id="5" name="Picture 5" descr="ITUPublic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FE26B84" wp14:editId="2C439FF7">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119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B8DDF58"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395C87B2" wp14:editId="2DCE7DA6">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AAE86"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5599" w14:textId="3831374C"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8232AC">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DC7F16">
      <w:rPr>
        <w:b/>
        <w:bCs/>
        <w:noProof/>
        <w:lang w:val="en-US"/>
      </w:rPr>
      <w:t>ITU-R  V.431-9</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AEBB" w14:textId="0A337A34"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8232AC">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DC7F16">
      <w:rPr>
        <w:b/>
        <w:bCs/>
        <w:noProof/>
      </w:rPr>
      <w:t>ITU-R  V.431-9</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AC"/>
    <w:rsid w:val="00013002"/>
    <w:rsid w:val="00035A58"/>
    <w:rsid w:val="00036EE3"/>
    <w:rsid w:val="000513A9"/>
    <w:rsid w:val="00072484"/>
    <w:rsid w:val="00095530"/>
    <w:rsid w:val="00096612"/>
    <w:rsid w:val="000A2D6E"/>
    <w:rsid w:val="000A7BD3"/>
    <w:rsid w:val="000B1B2B"/>
    <w:rsid w:val="000B27FF"/>
    <w:rsid w:val="000B7683"/>
    <w:rsid w:val="000D0677"/>
    <w:rsid w:val="000E0548"/>
    <w:rsid w:val="000E6A6E"/>
    <w:rsid w:val="000F7769"/>
    <w:rsid w:val="00102934"/>
    <w:rsid w:val="001158A4"/>
    <w:rsid w:val="001250BB"/>
    <w:rsid w:val="00147110"/>
    <w:rsid w:val="001511A6"/>
    <w:rsid w:val="00155D51"/>
    <w:rsid w:val="00171C4D"/>
    <w:rsid w:val="00187D31"/>
    <w:rsid w:val="0019307B"/>
    <w:rsid w:val="001B0927"/>
    <w:rsid w:val="001B164E"/>
    <w:rsid w:val="001B36DB"/>
    <w:rsid w:val="001B7886"/>
    <w:rsid w:val="001D49F2"/>
    <w:rsid w:val="001F38BB"/>
    <w:rsid w:val="002058CE"/>
    <w:rsid w:val="002165F1"/>
    <w:rsid w:val="002266BC"/>
    <w:rsid w:val="00233211"/>
    <w:rsid w:val="0024688E"/>
    <w:rsid w:val="00260B24"/>
    <w:rsid w:val="0027411A"/>
    <w:rsid w:val="00276D21"/>
    <w:rsid w:val="002836DF"/>
    <w:rsid w:val="002851D7"/>
    <w:rsid w:val="0028595F"/>
    <w:rsid w:val="00290183"/>
    <w:rsid w:val="00296D7F"/>
    <w:rsid w:val="002A5D45"/>
    <w:rsid w:val="002B3CF6"/>
    <w:rsid w:val="002C768A"/>
    <w:rsid w:val="002D0BD7"/>
    <w:rsid w:val="002D76C4"/>
    <w:rsid w:val="002F5199"/>
    <w:rsid w:val="00301DB3"/>
    <w:rsid w:val="00305119"/>
    <w:rsid w:val="003157F1"/>
    <w:rsid w:val="003222A2"/>
    <w:rsid w:val="0032578E"/>
    <w:rsid w:val="00330E3E"/>
    <w:rsid w:val="0034595D"/>
    <w:rsid w:val="00356B5D"/>
    <w:rsid w:val="00357707"/>
    <w:rsid w:val="0036486D"/>
    <w:rsid w:val="0036528E"/>
    <w:rsid w:val="0036627C"/>
    <w:rsid w:val="0036743B"/>
    <w:rsid w:val="003E5516"/>
    <w:rsid w:val="003F3B2E"/>
    <w:rsid w:val="003F4B75"/>
    <w:rsid w:val="00407D06"/>
    <w:rsid w:val="00420DFD"/>
    <w:rsid w:val="00424A5D"/>
    <w:rsid w:val="00425BC7"/>
    <w:rsid w:val="00437A76"/>
    <w:rsid w:val="00443893"/>
    <w:rsid w:val="004604B2"/>
    <w:rsid w:val="00470E28"/>
    <w:rsid w:val="0047379B"/>
    <w:rsid w:val="004842E2"/>
    <w:rsid w:val="00486EB3"/>
    <w:rsid w:val="004934C5"/>
    <w:rsid w:val="004A6FEB"/>
    <w:rsid w:val="004B7FD7"/>
    <w:rsid w:val="004C67F9"/>
    <w:rsid w:val="004C6872"/>
    <w:rsid w:val="004D6AF2"/>
    <w:rsid w:val="004E61FF"/>
    <w:rsid w:val="004F2C28"/>
    <w:rsid w:val="005373E0"/>
    <w:rsid w:val="00556548"/>
    <w:rsid w:val="00564218"/>
    <w:rsid w:val="00571B1C"/>
    <w:rsid w:val="00576D47"/>
    <w:rsid w:val="00586EF8"/>
    <w:rsid w:val="005B0371"/>
    <w:rsid w:val="005B33BF"/>
    <w:rsid w:val="005B49AB"/>
    <w:rsid w:val="005B50E7"/>
    <w:rsid w:val="005C4BAB"/>
    <w:rsid w:val="005E12A5"/>
    <w:rsid w:val="005E69F0"/>
    <w:rsid w:val="005E7B4F"/>
    <w:rsid w:val="005F003B"/>
    <w:rsid w:val="00601882"/>
    <w:rsid w:val="00607D68"/>
    <w:rsid w:val="00613212"/>
    <w:rsid w:val="006149B1"/>
    <w:rsid w:val="006214E0"/>
    <w:rsid w:val="00640332"/>
    <w:rsid w:val="00651296"/>
    <w:rsid w:val="00680D2B"/>
    <w:rsid w:val="00681B32"/>
    <w:rsid w:val="00697887"/>
    <w:rsid w:val="006A60A7"/>
    <w:rsid w:val="006B1D2B"/>
    <w:rsid w:val="006B72C3"/>
    <w:rsid w:val="006C1FF6"/>
    <w:rsid w:val="006C37D5"/>
    <w:rsid w:val="006E1131"/>
    <w:rsid w:val="006E2037"/>
    <w:rsid w:val="006E6199"/>
    <w:rsid w:val="006F2D48"/>
    <w:rsid w:val="00712870"/>
    <w:rsid w:val="00714AC0"/>
    <w:rsid w:val="0071568E"/>
    <w:rsid w:val="0074147D"/>
    <w:rsid w:val="00743D85"/>
    <w:rsid w:val="00744F8B"/>
    <w:rsid w:val="00753CF4"/>
    <w:rsid w:val="007565CC"/>
    <w:rsid w:val="00763B9A"/>
    <w:rsid w:val="007A6AA8"/>
    <w:rsid w:val="007B1357"/>
    <w:rsid w:val="007D7A29"/>
    <w:rsid w:val="007E40E2"/>
    <w:rsid w:val="008008AC"/>
    <w:rsid w:val="008232AC"/>
    <w:rsid w:val="0082639D"/>
    <w:rsid w:val="008310C9"/>
    <w:rsid w:val="008335F0"/>
    <w:rsid w:val="00853CC5"/>
    <w:rsid w:val="00877E6E"/>
    <w:rsid w:val="008969D6"/>
    <w:rsid w:val="008A0983"/>
    <w:rsid w:val="008B083A"/>
    <w:rsid w:val="008C7848"/>
    <w:rsid w:val="008D7F46"/>
    <w:rsid w:val="00906589"/>
    <w:rsid w:val="00906AD6"/>
    <w:rsid w:val="00917AF2"/>
    <w:rsid w:val="0092418A"/>
    <w:rsid w:val="00934ED7"/>
    <w:rsid w:val="009543C3"/>
    <w:rsid w:val="00960BDC"/>
    <w:rsid w:val="00966E1B"/>
    <w:rsid w:val="00972F51"/>
    <w:rsid w:val="00984A02"/>
    <w:rsid w:val="009928AD"/>
    <w:rsid w:val="009947C0"/>
    <w:rsid w:val="009A4039"/>
    <w:rsid w:val="009A41F9"/>
    <w:rsid w:val="009C732C"/>
    <w:rsid w:val="009F2D2C"/>
    <w:rsid w:val="009F5580"/>
    <w:rsid w:val="00A14F0A"/>
    <w:rsid w:val="00A239D1"/>
    <w:rsid w:val="00A31928"/>
    <w:rsid w:val="00A357A1"/>
    <w:rsid w:val="00A507D4"/>
    <w:rsid w:val="00A62A14"/>
    <w:rsid w:val="00A638C5"/>
    <w:rsid w:val="00A6506D"/>
    <w:rsid w:val="00A6617B"/>
    <w:rsid w:val="00A71FE5"/>
    <w:rsid w:val="00A7534B"/>
    <w:rsid w:val="00A86DD2"/>
    <w:rsid w:val="00A936CB"/>
    <w:rsid w:val="00A971A1"/>
    <w:rsid w:val="00AA0D99"/>
    <w:rsid w:val="00AA3AD8"/>
    <w:rsid w:val="00AB0DC8"/>
    <w:rsid w:val="00AB405C"/>
    <w:rsid w:val="00AC015D"/>
    <w:rsid w:val="00AF5326"/>
    <w:rsid w:val="00B019A2"/>
    <w:rsid w:val="00B0286E"/>
    <w:rsid w:val="00B033C8"/>
    <w:rsid w:val="00B14534"/>
    <w:rsid w:val="00B226A5"/>
    <w:rsid w:val="00B33425"/>
    <w:rsid w:val="00B42334"/>
    <w:rsid w:val="00B44E24"/>
    <w:rsid w:val="00B54ECC"/>
    <w:rsid w:val="00B60AC0"/>
    <w:rsid w:val="00B63EDE"/>
    <w:rsid w:val="00B714F3"/>
    <w:rsid w:val="00B75A52"/>
    <w:rsid w:val="00B82FE0"/>
    <w:rsid w:val="00B874C6"/>
    <w:rsid w:val="00B87B6B"/>
    <w:rsid w:val="00B9169E"/>
    <w:rsid w:val="00BB73AA"/>
    <w:rsid w:val="00BC5D77"/>
    <w:rsid w:val="00BD7E27"/>
    <w:rsid w:val="00BE6572"/>
    <w:rsid w:val="00BF487A"/>
    <w:rsid w:val="00BF5544"/>
    <w:rsid w:val="00C027AD"/>
    <w:rsid w:val="00C15F3E"/>
    <w:rsid w:val="00C46BD9"/>
    <w:rsid w:val="00C55258"/>
    <w:rsid w:val="00C73560"/>
    <w:rsid w:val="00C75E30"/>
    <w:rsid w:val="00C84DB7"/>
    <w:rsid w:val="00C87A35"/>
    <w:rsid w:val="00CB0F14"/>
    <w:rsid w:val="00CD659B"/>
    <w:rsid w:val="00CE0A43"/>
    <w:rsid w:val="00CE2BC9"/>
    <w:rsid w:val="00CF0495"/>
    <w:rsid w:val="00D00118"/>
    <w:rsid w:val="00D16749"/>
    <w:rsid w:val="00D568F7"/>
    <w:rsid w:val="00D61746"/>
    <w:rsid w:val="00D61962"/>
    <w:rsid w:val="00D72623"/>
    <w:rsid w:val="00D83556"/>
    <w:rsid w:val="00DC7F16"/>
    <w:rsid w:val="00DE5556"/>
    <w:rsid w:val="00DF4176"/>
    <w:rsid w:val="00E0095C"/>
    <w:rsid w:val="00E17240"/>
    <w:rsid w:val="00E21FFE"/>
    <w:rsid w:val="00E73F44"/>
    <w:rsid w:val="00E74595"/>
    <w:rsid w:val="00E757F6"/>
    <w:rsid w:val="00E77485"/>
    <w:rsid w:val="00EA306D"/>
    <w:rsid w:val="00EB1CB6"/>
    <w:rsid w:val="00EB7C57"/>
    <w:rsid w:val="00ED2695"/>
    <w:rsid w:val="00ED4DE7"/>
    <w:rsid w:val="00EE04BA"/>
    <w:rsid w:val="00EE47C4"/>
    <w:rsid w:val="00F1439D"/>
    <w:rsid w:val="00F262A5"/>
    <w:rsid w:val="00F30C9B"/>
    <w:rsid w:val="00F354B1"/>
    <w:rsid w:val="00F354D7"/>
    <w:rsid w:val="00F6343F"/>
    <w:rsid w:val="00F72776"/>
    <w:rsid w:val="00F83AD8"/>
    <w:rsid w:val="00F92A40"/>
    <w:rsid w:val="00FB0E4E"/>
    <w:rsid w:val="00FC5B63"/>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d62a47,#f8f8f8"/>
    </o:shapedefaults>
    <o:shapelayout v:ext="edit">
      <o:idmap v:ext="edit" data="2"/>
    </o:shapelayout>
  </w:shapeDefaults>
  <w:decimalSymbol w:val="."/>
  <w:listSeparator w:val=";"/>
  <w14:docId w14:val="4EA50F3B"/>
  <w15:docId w15:val="{BCE2979F-579C-42EA-990D-34F37CCD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2A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F262A5"/>
    <w:pPr>
      <w:keepNext/>
      <w:keepLines/>
      <w:spacing w:before="480"/>
      <w:ind w:left="794" w:hanging="794"/>
      <w:outlineLvl w:val="0"/>
    </w:pPr>
    <w:rPr>
      <w:b/>
    </w:rPr>
  </w:style>
  <w:style w:type="paragraph" w:styleId="Heading2">
    <w:name w:val="heading 2"/>
    <w:basedOn w:val="Heading1"/>
    <w:next w:val="Normal"/>
    <w:qFormat/>
    <w:rsid w:val="00F262A5"/>
    <w:pPr>
      <w:spacing w:before="320"/>
      <w:outlineLvl w:val="1"/>
    </w:pPr>
  </w:style>
  <w:style w:type="paragraph" w:styleId="Heading3">
    <w:name w:val="heading 3"/>
    <w:basedOn w:val="Heading1"/>
    <w:next w:val="Normal"/>
    <w:qFormat/>
    <w:rsid w:val="00F262A5"/>
    <w:pPr>
      <w:spacing w:before="200"/>
      <w:outlineLvl w:val="2"/>
    </w:pPr>
  </w:style>
  <w:style w:type="paragraph" w:styleId="Heading4">
    <w:name w:val="heading 4"/>
    <w:basedOn w:val="Heading3"/>
    <w:next w:val="Normal"/>
    <w:qFormat/>
    <w:rsid w:val="00F262A5"/>
    <w:pPr>
      <w:tabs>
        <w:tab w:val="clear" w:pos="794"/>
        <w:tab w:val="left" w:pos="992"/>
      </w:tabs>
      <w:ind w:left="992" w:hanging="992"/>
      <w:outlineLvl w:val="3"/>
    </w:pPr>
  </w:style>
  <w:style w:type="paragraph" w:styleId="Heading5">
    <w:name w:val="heading 5"/>
    <w:basedOn w:val="Heading4"/>
    <w:next w:val="Normal"/>
    <w:qFormat/>
    <w:rsid w:val="00F262A5"/>
    <w:pPr>
      <w:outlineLvl w:val="4"/>
    </w:pPr>
  </w:style>
  <w:style w:type="paragraph" w:styleId="Heading6">
    <w:name w:val="heading 6"/>
    <w:basedOn w:val="Heading4"/>
    <w:next w:val="Normal"/>
    <w:qFormat/>
    <w:rsid w:val="00F262A5"/>
    <w:pPr>
      <w:tabs>
        <w:tab w:val="clear" w:pos="992"/>
        <w:tab w:val="clear" w:pos="1191"/>
      </w:tabs>
      <w:ind w:left="1588" w:hanging="1588"/>
      <w:outlineLvl w:val="5"/>
    </w:pPr>
  </w:style>
  <w:style w:type="paragraph" w:styleId="Heading7">
    <w:name w:val="heading 7"/>
    <w:basedOn w:val="Heading6"/>
    <w:next w:val="Normal"/>
    <w:qFormat/>
    <w:rsid w:val="00F262A5"/>
    <w:pPr>
      <w:outlineLvl w:val="6"/>
    </w:pPr>
  </w:style>
  <w:style w:type="paragraph" w:styleId="Heading8">
    <w:name w:val="heading 8"/>
    <w:basedOn w:val="Heading6"/>
    <w:next w:val="Normal"/>
    <w:qFormat/>
    <w:rsid w:val="00F262A5"/>
    <w:pPr>
      <w:outlineLvl w:val="7"/>
    </w:pPr>
  </w:style>
  <w:style w:type="paragraph" w:styleId="Heading9">
    <w:name w:val="heading 9"/>
    <w:basedOn w:val="Heading6"/>
    <w:next w:val="Normal"/>
    <w:qFormat/>
    <w:rsid w:val="00F262A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62A5"/>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F262A5"/>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F262A5"/>
  </w:style>
  <w:style w:type="paragraph" w:customStyle="1" w:styleId="Headingb">
    <w:name w:val="Heading_b"/>
    <w:basedOn w:val="Heading3"/>
    <w:next w:val="Normal"/>
    <w:rsid w:val="00F262A5"/>
    <w:pPr>
      <w:spacing w:before="160"/>
      <w:ind w:left="0" w:firstLine="0"/>
      <w:outlineLvl w:val="9"/>
    </w:pPr>
  </w:style>
  <w:style w:type="paragraph" w:customStyle="1" w:styleId="Headingi">
    <w:name w:val="Heading_i"/>
    <w:basedOn w:val="Heading3"/>
    <w:next w:val="Normal"/>
    <w:rsid w:val="00F262A5"/>
    <w:pPr>
      <w:spacing w:before="160"/>
      <w:ind w:left="0" w:firstLine="0"/>
    </w:pPr>
    <w:rPr>
      <w:b w:val="0"/>
      <w:i/>
    </w:rPr>
  </w:style>
  <w:style w:type="character" w:customStyle="1" w:styleId="href">
    <w:name w:val="href"/>
    <w:basedOn w:val="DefaultParagraphFont"/>
    <w:rsid w:val="00F262A5"/>
  </w:style>
  <w:style w:type="paragraph" w:customStyle="1" w:styleId="AnnexNoTitle">
    <w:name w:val="Annex_NoTitle"/>
    <w:basedOn w:val="Normal"/>
    <w:next w:val="Normalaftertitle"/>
    <w:rsid w:val="00F262A5"/>
    <w:pPr>
      <w:keepNext/>
      <w:keepLines/>
      <w:spacing w:before="480" w:after="80"/>
      <w:jc w:val="center"/>
    </w:pPr>
    <w:rPr>
      <w:b/>
      <w:sz w:val="28"/>
    </w:rPr>
  </w:style>
  <w:style w:type="paragraph" w:customStyle="1" w:styleId="Normalaftertitle">
    <w:name w:val="Normal_after_title"/>
    <w:basedOn w:val="Normal"/>
    <w:next w:val="Normal"/>
    <w:rsid w:val="00F262A5"/>
    <w:pPr>
      <w:spacing w:before="320"/>
    </w:pPr>
  </w:style>
  <w:style w:type="paragraph" w:customStyle="1" w:styleId="enumlev2">
    <w:name w:val="enumlev2"/>
    <w:basedOn w:val="enumlev1"/>
    <w:rsid w:val="00F262A5"/>
    <w:pPr>
      <w:ind w:left="1191" w:hanging="397"/>
    </w:pPr>
  </w:style>
  <w:style w:type="paragraph" w:customStyle="1" w:styleId="enumlev1">
    <w:name w:val="enumlev1"/>
    <w:basedOn w:val="Normal"/>
    <w:rsid w:val="00F262A5"/>
    <w:pPr>
      <w:spacing w:before="80"/>
      <w:ind w:left="794" w:hanging="794"/>
    </w:pPr>
  </w:style>
  <w:style w:type="paragraph" w:customStyle="1" w:styleId="enumlev3">
    <w:name w:val="enumlev3"/>
    <w:basedOn w:val="enumlev2"/>
    <w:rsid w:val="00F262A5"/>
    <w:pPr>
      <w:ind w:left="1588"/>
    </w:pPr>
  </w:style>
  <w:style w:type="paragraph" w:customStyle="1" w:styleId="Note">
    <w:name w:val="Note"/>
    <w:basedOn w:val="Normal"/>
    <w:rsid w:val="00F262A5"/>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F262A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F262A5"/>
    <w:pPr>
      <w:keepNext/>
      <w:keepLines/>
      <w:spacing w:before="240"/>
      <w:jc w:val="center"/>
    </w:pPr>
    <w:rPr>
      <w:b/>
      <w:sz w:val="28"/>
    </w:rPr>
  </w:style>
  <w:style w:type="paragraph" w:customStyle="1" w:styleId="Recref">
    <w:name w:val="Rec_ref"/>
    <w:basedOn w:val="Normal"/>
    <w:next w:val="Recdate"/>
    <w:rsid w:val="00F262A5"/>
    <w:pPr>
      <w:jc w:val="center"/>
    </w:pPr>
  </w:style>
  <w:style w:type="paragraph" w:customStyle="1" w:styleId="Recdate">
    <w:name w:val="Rec_date"/>
    <w:basedOn w:val="Recref"/>
    <w:next w:val="Normalaftertitle"/>
    <w:rsid w:val="00F262A5"/>
    <w:pPr>
      <w:jc w:val="right"/>
    </w:pPr>
  </w:style>
  <w:style w:type="paragraph" w:customStyle="1" w:styleId="HeadingSum">
    <w:name w:val="Heading_Sum"/>
    <w:basedOn w:val="Headingb"/>
    <w:next w:val="Normal"/>
    <w:autoRedefine/>
    <w:rsid w:val="00F262A5"/>
    <w:pPr>
      <w:spacing w:before="240"/>
    </w:pPr>
    <w:rPr>
      <w:sz w:val="22"/>
      <w:lang w:val="es-ES_tradnl"/>
    </w:rPr>
  </w:style>
  <w:style w:type="paragraph" w:customStyle="1" w:styleId="AppendixNoTitle">
    <w:name w:val="Appendix_NoTitle"/>
    <w:basedOn w:val="AnnexNoTitle"/>
    <w:next w:val="Normal"/>
    <w:rsid w:val="00F262A5"/>
  </w:style>
  <w:style w:type="paragraph" w:customStyle="1" w:styleId="Tablefin">
    <w:name w:val="Table_fin"/>
    <w:basedOn w:val="Normal"/>
    <w:next w:val="Normal"/>
    <w:rsid w:val="00F262A5"/>
    <w:pPr>
      <w:spacing w:before="0"/>
    </w:pPr>
    <w:rPr>
      <w:sz w:val="20"/>
    </w:rPr>
  </w:style>
  <w:style w:type="paragraph" w:customStyle="1" w:styleId="Tablehead">
    <w:name w:val="Table_head"/>
    <w:basedOn w:val="Normal"/>
    <w:next w:val="Normal"/>
    <w:rsid w:val="00F262A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F262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F262A5"/>
    <w:pPr>
      <w:keepNext/>
      <w:spacing w:before="360" w:after="120"/>
      <w:jc w:val="center"/>
    </w:pPr>
  </w:style>
  <w:style w:type="paragraph" w:customStyle="1" w:styleId="Tabletext">
    <w:name w:val="Table_text"/>
    <w:basedOn w:val="Normal"/>
    <w:rsid w:val="00F262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F262A5"/>
    <w:pPr>
      <w:tabs>
        <w:tab w:val="clear" w:pos="1191"/>
        <w:tab w:val="clear" w:pos="1588"/>
        <w:tab w:val="clear" w:pos="1985"/>
        <w:tab w:val="center" w:pos="4820"/>
        <w:tab w:val="right" w:pos="9639"/>
      </w:tabs>
    </w:pPr>
  </w:style>
  <w:style w:type="paragraph" w:customStyle="1" w:styleId="Equationlegend">
    <w:name w:val="Equation_legend"/>
    <w:basedOn w:val="NormalIndent"/>
    <w:rsid w:val="00F262A5"/>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F262A5"/>
    <w:pPr>
      <w:ind w:left="794"/>
    </w:pPr>
  </w:style>
  <w:style w:type="paragraph" w:customStyle="1" w:styleId="Figurelegend">
    <w:name w:val="Figure_legend"/>
    <w:basedOn w:val="Normal"/>
    <w:rsid w:val="00F262A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F262A5"/>
    <w:pPr>
      <w:keepNext/>
      <w:keepLines/>
      <w:spacing w:before="480" w:after="80"/>
      <w:jc w:val="center"/>
    </w:pPr>
    <w:rPr>
      <w:caps/>
      <w:sz w:val="18"/>
    </w:rPr>
  </w:style>
  <w:style w:type="paragraph" w:customStyle="1" w:styleId="Figuretitle">
    <w:name w:val="Figure_title"/>
    <w:basedOn w:val="Normal"/>
    <w:next w:val="Figure"/>
    <w:rsid w:val="00F262A5"/>
    <w:pPr>
      <w:keepNext/>
      <w:spacing w:before="0" w:after="120"/>
      <w:jc w:val="center"/>
    </w:pPr>
    <w:rPr>
      <w:rFonts w:ascii="Times New Roman Bold" w:hAnsi="Times New Roman Bold"/>
      <w:b/>
      <w:sz w:val="18"/>
    </w:rPr>
  </w:style>
  <w:style w:type="paragraph" w:customStyle="1" w:styleId="Figure">
    <w:name w:val="Figure"/>
    <w:basedOn w:val="FigureNo"/>
    <w:next w:val="Normal"/>
    <w:rsid w:val="00F262A5"/>
    <w:pPr>
      <w:keepNext w:val="0"/>
      <w:spacing w:before="0" w:after="240"/>
    </w:pPr>
  </w:style>
  <w:style w:type="paragraph" w:customStyle="1" w:styleId="tocpart">
    <w:name w:val="tocpart"/>
    <w:basedOn w:val="Normal"/>
    <w:rsid w:val="00F262A5"/>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F262A5"/>
    <w:pPr>
      <w:keepNext/>
      <w:keepLines/>
      <w:spacing w:before="480"/>
      <w:jc w:val="center"/>
    </w:pPr>
    <w:rPr>
      <w:sz w:val="28"/>
    </w:rPr>
  </w:style>
  <w:style w:type="paragraph" w:customStyle="1" w:styleId="Arttitle">
    <w:name w:val="Art_title"/>
    <w:basedOn w:val="Normal"/>
    <w:next w:val="Normalaftertitle"/>
    <w:rsid w:val="00F262A5"/>
    <w:pPr>
      <w:keepNext/>
      <w:keepLines/>
      <w:spacing w:before="240"/>
      <w:jc w:val="center"/>
    </w:pPr>
    <w:rPr>
      <w:b/>
      <w:sz w:val="28"/>
    </w:rPr>
  </w:style>
  <w:style w:type="paragraph" w:customStyle="1" w:styleId="Blanc">
    <w:name w:val="Blanc"/>
    <w:basedOn w:val="Normal"/>
    <w:next w:val="Tabletext"/>
    <w:rsid w:val="00F262A5"/>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F262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F262A5"/>
    <w:pPr>
      <w:keepNext/>
      <w:keepLines/>
      <w:spacing w:before="160"/>
      <w:ind w:left="794"/>
    </w:pPr>
    <w:rPr>
      <w:i/>
    </w:rPr>
  </w:style>
  <w:style w:type="paragraph" w:customStyle="1" w:styleId="ChapNo">
    <w:name w:val="Chap_No"/>
    <w:basedOn w:val="ArtNo"/>
    <w:next w:val="Chaptitle"/>
    <w:rsid w:val="00F262A5"/>
    <w:rPr>
      <w:b/>
    </w:rPr>
  </w:style>
  <w:style w:type="paragraph" w:customStyle="1" w:styleId="Chaptitle">
    <w:name w:val="Chap_title"/>
    <w:basedOn w:val="Arttitle"/>
    <w:next w:val="Normalaftertitle"/>
    <w:rsid w:val="00F262A5"/>
  </w:style>
  <w:style w:type="character" w:styleId="FootnoteReference">
    <w:name w:val="footnote reference"/>
    <w:basedOn w:val="DefaultParagraphFont"/>
    <w:semiHidden/>
    <w:rsid w:val="00F262A5"/>
    <w:rPr>
      <w:position w:val="6"/>
      <w:sz w:val="18"/>
    </w:rPr>
  </w:style>
  <w:style w:type="paragraph" w:styleId="FootnoteText">
    <w:name w:val="footnote text"/>
    <w:basedOn w:val="Normal"/>
    <w:semiHidden/>
    <w:rsid w:val="00F262A5"/>
    <w:pPr>
      <w:keepLines/>
      <w:tabs>
        <w:tab w:val="left" w:pos="255"/>
      </w:tabs>
      <w:ind w:left="255" w:hanging="255"/>
    </w:pPr>
    <w:rPr>
      <w:sz w:val="22"/>
    </w:rPr>
  </w:style>
  <w:style w:type="paragraph" w:styleId="Index1">
    <w:name w:val="index 1"/>
    <w:basedOn w:val="Normal"/>
    <w:next w:val="Normal"/>
    <w:semiHidden/>
    <w:rsid w:val="00F262A5"/>
  </w:style>
  <w:style w:type="paragraph" w:styleId="Index2">
    <w:name w:val="index 2"/>
    <w:basedOn w:val="Normal"/>
    <w:next w:val="Normal"/>
    <w:semiHidden/>
    <w:rsid w:val="00F262A5"/>
    <w:pPr>
      <w:ind w:left="283"/>
    </w:pPr>
  </w:style>
  <w:style w:type="paragraph" w:styleId="Index3">
    <w:name w:val="index 3"/>
    <w:basedOn w:val="Normal"/>
    <w:next w:val="Normal"/>
    <w:semiHidden/>
    <w:rsid w:val="00F262A5"/>
    <w:pPr>
      <w:ind w:left="566"/>
    </w:pPr>
  </w:style>
  <w:style w:type="paragraph" w:styleId="IndexHeading">
    <w:name w:val="index heading"/>
    <w:basedOn w:val="Normal"/>
    <w:next w:val="Index1"/>
    <w:semiHidden/>
    <w:rsid w:val="00F262A5"/>
  </w:style>
  <w:style w:type="paragraph" w:customStyle="1" w:styleId="Line">
    <w:name w:val="Line"/>
    <w:basedOn w:val="Normal"/>
    <w:next w:val="Normal"/>
    <w:rsid w:val="00F262A5"/>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F262A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F262A5"/>
  </w:style>
  <w:style w:type="paragraph" w:customStyle="1" w:styleId="Partref">
    <w:name w:val="Part_ref"/>
    <w:basedOn w:val="Normal"/>
    <w:next w:val="Normal"/>
    <w:rsid w:val="00F262A5"/>
    <w:pPr>
      <w:keepNext/>
      <w:keepLines/>
      <w:spacing w:after="280"/>
      <w:jc w:val="center"/>
    </w:pPr>
  </w:style>
  <w:style w:type="paragraph" w:customStyle="1" w:styleId="Parttitle">
    <w:name w:val="Part_title"/>
    <w:basedOn w:val="Normal"/>
    <w:next w:val="Normalaftertitle"/>
    <w:rsid w:val="00F262A5"/>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F262A5"/>
  </w:style>
  <w:style w:type="paragraph" w:customStyle="1" w:styleId="QuestionNo">
    <w:name w:val="Question_No"/>
    <w:basedOn w:val="RecNo"/>
    <w:next w:val="Normal"/>
    <w:rsid w:val="00F262A5"/>
  </w:style>
  <w:style w:type="paragraph" w:customStyle="1" w:styleId="Questionref">
    <w:name w:val="Question_ref"/>
    <w:basedOn w:val="Recref"/>
    <w:next w:val="Questiondate"/>
    <w:rsid w:val="00F262A5"/>
  </w:style>
  <w:style w:type="paragraph" w:customStyle="1" w:styleId="Questiontitle">
    <w:name w:val="Question_title"/>
    <w:basedOn w:val="Normal"/>
    <w:next w:val="Questionref"/>
    <w:rsid w:val="00F262A5"/>
  </w:style>
  <w:style w:type="paragraph" w:customStyle="1" w:styleId="Reftext">
    <w:name w:val="Ref_text"/>
    <w:basedOn w:val="Normal"/>
    <w:rsid w:val="00F262A5"/>
    <w:pPr>
      <w:ind w:left="794" w:hanging="794"/>
    </w:pPr>
    <w:rPr>
      <w:sz w:val="22"/>
    </w:rPr>
  </w:style>
  <w:style w:type="paragraph" w:customStyle="1" w:styleId="Reftitle">
    <w:name w:val="Ref_title"/>
    <w:basedOn w:val="Normal"/>
    <w:next w:val="Reftext"/>
    <w:rsid w:val="00F262A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F262A5"/>
  </w:style>
  <w:style w:type="paragraph" w:customStyle="1" w:styleId="RepNo">
    <w:name w:val="Rep_No"/>
    <w:basedOn w:val="RecNo"/>
    <w:next w:val="Reptitle"/>
    <w:rsid w:val="00F262A5"/>
  </w:style>
  <w:style w:type="paragraph" w:customStyle="1" w:styleId="Reptitle">
    <w:name w:val="Rep_title"/>
    <w:basedOn w:val="Rectitle"/>
    <w:next w:val="Repref"/>
    <w:rsid w:val="00F262A5"/>
  </w:style>
  <w:style w:type="paragraph" w:customStyle="1" w:styleId="Repref">
    <w:name w:val="Rep_ref"/>
    <w:basedOn w:val="Recref"/>
    <w:next w:val="Repdate"/>
    <w:rsid w:val="00F262A5"/>
  </w:style>
  <w:style w:type="paragraph" w:customStyle="1" w:styleId="Resdate">
    <w:name w:val="Res_date"/>
    <w:basedOn w:val="Recdate"/>
    <w:next w:val="Normalaftertitle"/>
    <w:rsid w:val="00F262A5"/>
  </w:style>
  <w:style w:type="paragraph" w:customStyle="1" w:styleId="ResNo">
    <w:name w:val="Res_No"/>
    <w:basedOn w:val="RecNo"/>
    <w:next w:val="Restitle"/>
    <w:rsid w:val="00F262A5"/>
  </w:style>
  <w:style w:type="paragraph" w:customStyle="1" w:styleId="Restitle">
    <w:name w:val="Res_title"/>
    <w:basedOn w:val="Normal"/>
    <w:next w:val="Resref"/>
    <w:rsid w:val="00F262A5"/>
    <w:pPr>
      <w:spacing w:before="240"/>
      <w:jc w:val="center"/>
    </w:pPr>
    <w:rPr>
      <w:b/>
      <w:sz w:val="28"/>
    </w:rPr>
  </w:style>
  <w:style w:type="paragraph" w:customStyle="1" w:styleId="Resref">
    <w:name w:val="Res_ref"/>
    <w:basedOn w:val="Recref"/>
    <w:next w:val="Resdate"/>
    <w:rsid w:val="00F262A5"/>
  </w:style>
  <w:style w:type="paragraph" w:customStyle="1" w:styleId="SectionNo">
    <w:name w:val="Section_No"/>
    <w:basedOn w:val="Normal"/>
    <w:next w:val="Normal"/>
    <w:rsid w:val="00F262A5"/>
  </w:style>
  <w:style w:type="paragraph" w:customStyle="1" w:styleId="Sectiontitle">
    <w:name w:val="Section_title"/>
    <w:basedOn w:val="Normal"/>
    <w:next w:val="Normalaftertitle"/>
    <w:rsid w:val="00F262A5"/>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F262A5"/>
    <w:pPr>
      <w:tabs>
        <w:tab w:val="clear" w:pos="794"/>
        <w:tab w:val="clear" w:pos="1191"/>
        <w:tab w:val="clear" w:pos="1588"/>
        <w:tab w:val="clear" w:pos="1985"/>
        <w:tab w:val="right" w:pos="9611"/>
      </w:tabs>
    </w:pPr>
    <w:rPr>
      <w:i/>
    </w:rPr>
  </w:style>
  <w:style w:type="paragraph" w:styleId="TOC1">
    <w:name w:val="toc 1"/>
    <w:basedOn w:val="Normal"/>
    <w:semiHidden/>
    <w:rsid w:val="00F262A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F262A5"/>
    <w:pPr>
      <w:tabs>
        <w:tab w:val="clear" w:pos="567"/>
        <w:tab w:val="left" w:pos="1276"/>
      </w:tabs>
      <w:spacing w:before="160"/>
      <w:ind w:left="1276" w:hanging="709"/>
    </w:pPr>
  </w:style>
  <w:style w:type="paragraph" w:styleId="TOC3">
    <w:name w:val="toc 3"/>
    <w:basedOn w:val="TOC2"/>
    <w:semiHidden/>
    <w:rsid w:val="00F262A5"/>
    <w:pPr>
      <w:tabs>
        <w:tab w:val="clear" w:pos="1276"/>
        <w:tab w:val="left" w:pos="2155"/>
      </w:tabs>
      <w:ind w:left="2155" w:hanging="879"/>
    </w:pPr>
  </w:style>
  <w:style w:type="paragraph" w:styleId="TOC4">
    <w:name w:val="toc 4"/>
    <w:basedOn w:val="TOC3"/>
    <w:semiHidden/>
    <w:rsid w:val="00F262A5"/>
    <w:pPr>
      <w:tabs>
        <w:tab w:val="left" w:pos="3261"/>
      </w:tabs>
      <w:spacing w:before="80"/>
      <w:ind w:left="3261" w:hanging="993"/>
    </w:pPr>
  </w:style>
  <w:style w:type="paragraph" w:styleId="TOC5">
    <w:name w:val="toc 5"/>
    <w:basedOn w:val="TOC4"/>
    <w:semiHidden/>
    <w:rsid w:val="00F262A5"/>
  </w:style>
  <w:style w:type="paragraph" w:styleId="TOC6">
    <w:name w:val="toc 6"/>
    <w:basedOn w:val="TOC4"/>
    <w:semiHidden/>
    <w:rsid w:val="00F262A5"/>
  </w:style>
  <w:style w:type="paragraph" w:styleId="TOC7">
    <w:name w:val="toc 7"/>
    <w:basedOn w:val="TOC4"/>
    <w:semiHidden/>
    <w:rsid w:val="00F262A5"/>
  </w:style>
  <w:style w:type="paragraph" w:styleId="TOC8">
    <w:name w:val="toc 8"/>
    <w:basedOn w:val="TOC4"/>
    <w:semiHidden/>
    <w:rsid w:val="00F262A5"/>
  </w:style>
  <w:style w:type="paragraph" w:customStyle="1" w:styleId="Annexref">
    <w:name w:val="Annex_ref"/>
    <w:basedOn w:val="Normal"/>
    <w:next w:val="Normalaftertitle"/>
    <w:rsid w:val="00F262A5"/>
    <w:pPr>
      <w:keepNext/>
      <w:keepLines/>
      <w:spacing w:after="280"/>
      <w:jc w:val="center"/>
    </w:pPr>
  </w:style>
  <w:style w:type="paragraph" w:customStyle="1" w:styleId="Appendixref">
    <w:name w:val="Appendix_ref"/>
    <w:basedOn w:val="Annexref"/>
    <w:next w:val="Normalaftertitle"/>
    <w:rsid w:val="00F262A5"/>
  </w:style>
  <w:style w:type="paragraph" w:customStyle="1" w:styleId="Tabletitle">
    <w:name w:val="Table_title"/>
    <w:basedOn w:val="Normal"/>
    <w:next w:val="Tablehead"/>
    <w:rsid w:val="00F262A5"/>
    <w:pPr>
      <w:keepNext/>
      <w:spacing w:before="0" w:after="120"/>
      <w:jc w:val="center"/>
    </w:pPr>
    <w:rPr>
      <w:b/>
    </w:rPr>
  </w:style>
  <w:style w:type="paragraph" w:customStyle="1" w:styleId="Summary">
    <w:name w:val="Summary"/>
    <w:basedOn w:val="Normal"/>
    <w:next w:val="Normalaftertitle"/>
    <w:autoRedefine/>
    <w:rsid w:val="00F262A5"/>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F262A5"/>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rec/R-REC-V.430/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iec.ch/si" TargetMode="External"/><Relationship Id="rId2" Type="http://schemas.openxmlformats.org/officeDocument/2006/relationships/styles" Target="styles.xml"/><Relationship Id="rId16" Type="http://schemas.openxmlformats.org/officeDocument/2006/relationships/hyperlink" Target="https://webstore.iec.ch/en/publication/3063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n" TargetMode="External"/><Relationship Id="rId5" Type="http://schemas.openxmlformats.org/officeDocument/2006/relationships/footnotes" Target="footnotes.xml"/><Relationship Id="rId15" Type="http://schemas.openxmlformats.org/officeDocument/2006/relationships/hyperlink" Target="https://www.itu.int/rec/R-REC-V.573/en" TargetMode="External"/><Relationship Id="rId10" Type="http://schemas.openxmlformats.org/officeDocument/2006/relationships/hyperlink" Target="https://www.itu.int/ITU-R/go/patents/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V.430/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V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2025-ITU-R_REC_V_E.docx</Template>
  <TotalTime>39</TotalTime>
  <Pages>5</Pages>
  <Words>1112</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Recommendation ITU-R V.431-9 (10/2025) - Nomenclature of the frequency and wavelength bands used in telecommunications</vt:lpstr>
    </vt:vector>
  </TitlesOfParts>
  <Manager/>
  <Company>ITU</Company>
  <LinksUpToDate>false</LinksUpToDate>
  <CharactersWithSpaces>7842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V.431-9 (10/2025) - Nomenclature of the frequency and wavelength bands used in telecommunications</dc:title>
  <dc:subject>V Series: Vocabulary and related subjects</dc:subject>
  <dc:creator>Gachet, Christelle</dc:creator>
  <cp:keywords>Frequency bands, hertz, wavelength bands</cp:keywords>
  <dc:description/>
  <cp:lastModifiedBy>Gachet, Christelle</cp:lastModifiedBy>
  <cp:revision>9</cp:revision>
  <cp:lastPrinted>2009-07-08T06:55:00Z</cp:lastPrinted>
  <dcterms:created xsi:type="dcterms:W3CDTF">2025-08-29T12:31:00Z</dcterms:created>
  <dcterms:modified xsi:type="dcterms:W3CDTF">2025-10-31T09:53:00Z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