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CE3" w:rsidRDefault="00C57CE3" w:rsidP="00C57CE3">
      <w:bookmarkStart w:id="0" w:name="_GoBack"/>
      <w:bookmarkEnd w:id="0"/>
    </w:p>
    <w:p w:rsidR="00C57CE3" w:rsidRDefault="00C57CE3" w:rsidP="00C57CE3"/>
    <w:p w:rsidR="00C57CE3" w:rsidRDefault="00C57CE3" w:rsidP="00C57CE3"/>
    <w:p w:rsidR="00C57CE3" w:rsidRDefault="00C57CE3" w:rsidP="00C57CE3"/>
    <w:p w:rsidR="00C57CE3" w:rsidRDefault="00C57CE3" w:rsidP="00C57CE3"/>
    <w:p w:rsidR="00C57CE3" w:rsidRDefault="00C57CE3" w:rsidP="00C57CE3"/>
    <w:p w:rsidR="00C57CE3" w:rsidRDefault="00C57CE3" w:rsidP="00C57CE3"/>
    <w:p w:rsidR="00C57CE3" w:rsidRDefault="00C57CE3" w:rsidP="00C57CE3"/>
    <w:p w:rsidR="00C57CE3" w:rsidRDefault="00C57CE3" w:rsidP="00C57CE3"/>
    <w:p w:rsidR="00C57CE3" w:rsidRDefault="00C57CE3" w:rsidP="00C57CE3"/>
    <w:p w:rsidR="00C57CE3" w:rsidRDefault="00C57CE3" w:rsidP="00C57CE3"/>
    <w:p w:rsidR="00C57CE3" w:rsidRDefault="00C57CE3" w:rsidP="00C57CE3"/>
    <w:tbl>
      <w:tblPr>
        <w:tblW w:w="10089" w:type="dxa"/>
        <w:tblLook w:val="01E0" w:firstRow="1" w:lastRow="1" w:firstColumn="1" w:lastColumn="1" w:noHBand="0" w:noVBand="0"/>
      </w:tblPr>
      <w:tblGrid>
        <w:gridCol w:w="10089"/>
      </w:tblGrid>
      <w:tr w:rsidR="00C57CE3" w:rsidRPr="00A443C2" w:rsidTr="00AC302C">
        <w:tc>
          <w:tcPr>
            <w:tcW w:w="10089" w:type="dxa"/>
          </w:tcPr>
          <w:p w:rsidR="00C57CE3" w:rsidRPr="00B033C8" w:rsidRDefault="00C57CE3" w:rsidP="00AC302C">
            <w:pPr>
              <w:spacing w:before="380" w:line="280" w:lineRule="exact"/>
              <w:jc w:val="right"/>
              <w:rPr>
                <w:rFonts w:ascii="Tahoma" w:hAnsi="Tahoma" w:cs="Tahoma"/>
                <w:b/>
                <w:bCs/>
                <w:iCs/>
                <w:color w:val="243285"/>
                <w:sz w:val="32"/>
                <w:szCs w:val="32"/>
                <w:lang w:val="en-US"/>
              </w:rPr>
            </w:pPr>
          </w:p>
          <w:p w:rsidR="00C57CE3" w:rsidRPr="00A443C2" w:rsidRDefault="00C57CE3" w:rsidP="0059500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V</w:t>
            </w:r>
            <w:r w:rsidRPr="00A443C2">
              <w:rPr>
                <w:rFonts w:ascii="Tahoma" w:hAnsi="Tahoma" w:cs="Tahoma"/>
                <w:b/>
                <w:bCs/>
                <w:iCs/>
                <w:color w:val="243285"/>
                <w:sz w:val="36"/>
                <w:szCs w:val="36"/>
              </w:rPr>
              <w:t>.</w:t>
            </w:r>
            <w:r w:rsidR="00595009">
              <w:rPr>
                <w:rFonts w:ascii="Tahoma" w:hAnsi="Tahoma" w:cs="Tahoma"/>
                <w:b/>
                <w:bCs/>
                <w:iCs/>
                <w:color w:val="243285"/>
                <w:sz w:val="36"/>
                <w:szCs w:val="36"/>
              </w:rPr>
              <w:t>431-8</w:t>
            </w:r>
          </w:p>
          <w:p w:rsidR="00C57CE3" w:rsidRPr="00A443C2" w:rsidRDefault="00C57CE3" w:rsidP="0059500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595009">
              <w:rPr>
                <w:rFonts w:ascii="Tahoma" w:hAnsi="Tahoma" w:cs="Tahoma"/>
                <w:b/>
                <w:bCs/>
                <w:iCs/>
                <w:color w:val="243285"/>
                <w:szCs w:val="24"/>
              </w:rPr>
              <w:t>8</w:t>
            </w:r>
            <w:r w:rsidRPr="00A443C2">
              <w:rPr>
                <w:rFonts w:ascii="Tahoma" w:hAnsi="Tahoma" w:cs="Tahoma"/>
                <w:b/>
                <w:bCs/>
                <w:iCs/>
                <w:color w:val="243285"/>
                <w:szCs w:val="24"/>
              </w:rPr>
              <w:t>/</w:t>
            </w:r>
            <w:r w:rsidR="00595009">
              <w:rPr>
                <w:rFonts w:ascii="Tahoma" w:hAnsi="Tahoma" w:cs="Tahoma"/>
                <w:b/>
                <w:bCs/>
                <w:iCs/>
                <w:color w:val="243285"/>
                <w:szCs w:val="24"/>
              </w:rPr>
              <w:t>2015</w:t>
            </w:r>
            <w:r w:rsidRPr="00A443C2">
              <w:rPr>
                <w:rFonts w:ascii="Tahoma" w:hAnsi="Tahoma" w:cs="Tahoma"/>
                <w:b/>
                <w:bCs/>
                <w:iCs/>
                <w:color w:val="243285"/>
                <w:szCs w:val="24"/>
              </w:rPr>
              <w:t>)</w:t>
            </w:r>
          </w:p>
        </w:tc>
      </w:tr>
      <w:tr w:rsidR="00C57CE3" w:rsidRPr="00F54FBD" w:rsidTr="00AC302C">
        <w:tc>
          <w:tcPr>
            <w:tcW w:w="10089" w:type="dxa"/>
          </w:tcPr>
          <w:p w:rsidR="00C57CE3" w:rsidRDefault="00C57CE3" w:rsidP="00AC302C">
            <w:pPr>
              <w:spacing w:before="80" w:line="500" w:lineRule="exact"/>
              <w:jc w:val="right"/>
              <w:rPr>
                <w:rFonts w:ascii="Tahoma" w:hAnsi="Tahoma" w:cs="Tahoma"/>
                <w:b/>
                <w:bCs/>
                <w:iCs/>
                <w:color w:val="243285"/>
                <w:sz w:val="44"/>
                <w:szCs w:val="44"/>
              </w:rPr>
            </w:pPr>
          </w:p>
          <w:p w:rsidR="00C57CE3" w:rsidRDefault="00595009" w:rsidP="00595009">
            <w:pPr>
              <w:spacing w:before="80" w:line="500" w:lineRule="exact"/>
              <w:jc w:val="right"/>
              <w:rPr>
                <w:rFonts w:ascii="Tahoma" w:hAnsi="Tahoma" w:cs="Tahoma"/>
                <w:b/>
                <w:bCs/>
                <w:iCs/>
                <w:color w:val="243285"/>
                <w:sz w:val="44"/>
                <w:szCs w:val="44"/>
              </w:rPr>
            </w:pPr>
            <w:r w:rsidRPr="00595009">
              <w:rPr>
                <w:rFonts w:ascii="Tahoma" w:hAnsi="Tahoma" w:cs="Tahoma"/>
                <w:b/>
                <w:bCs/>
                <w:iCs/>
                <w:color w:val="243285"/>
                <w:sz w:val="44"/>
                <w:szCs w:val="44"/>
              </w:rPr>
              <w:t>Nomenclature des bandes de fréquences et de longueurs d'onde</w:t>
            </w:r>
            <w:r>
              <w:rPr>
                <w:rFonts w:ascii="Tahoma" w:hAnsi="Tahoma" w:cs="Tahoma"/>
                <w:b/>
                <w:bCs/>
                <w:iCs/>
                <w:color w:val="243285"/>
                <w:sz w:val="44"/>
                <w:szCs w:val="44"/>
              </w:rPr>
              <w:t xml:space="preserve"> </w:t>
            </w:r>
            <w:r w:rsidRPr="00595009">
              <w:rPr>
                <w:rFonts w:ascii="Tahoma" w:hAnsi="Tahoma" w:cs="Tahoma"/>
                <w:b/>
                <w:bCs/>
                <w:iCs/>
                <w:color w:val="243285"/>
                <w:sz w:val="44"/>
                <w:szCs w:val="44"/>
              </w:rPr>
              <w:t>employées en télécommunication</w:t>
            </w:r>
          </w:p>
          <w:p w:rsidR="00C57CE3" w:rsidRPr="00F54FBD" w:rsidRDefault="00C57CE3" w:rsidP="00AC302C">
            <w:pPr>
              <w:spacing w:before="80" w:line="500" w:lineRule="exact"/>
              <w:jc w:val="right"/>
              <w:rPr>
                <w:rFonts w:ascii="Tahoma" w:hAnsi="Tahoma" w:cs="Tahoma"/>
                <w:b/>
                <w:bCs/>
                <w:iCs/>
                <w:color w:val="243285"/>
                <w:sz w:val="44"/>
                <w:szCs w:val="44"/>
              </w:rPr>
            </w:pPr>
          </w:p>
        </w:tc>
      </w:tr>
      <w:tr w:rsidR="00C57CE3" w:rsidRPr="00F54FBD" w:rsidTr="00AC302C">
        <w:tc>
          <w:tcPr>
            <w:tcW w:w="10089" w:type="dxa"/>
          </w:tcPr>
          <w:p w:rsidR="00C57CE3" w:rsidRPr="00F54FBD" w:rsidRDefault="00C57CE3" w:rsidP="00AC302C">
            <w:pPr>
              <w:spacing w:before="80" w:line="280" w:lineRule="exact"/>
              <w:ind w:right="640"/>
              <w:rPr>
                <w:rFonts w:ascii="Tahoma" w:hAnsi="Tahoma" w:cs="Tahoma"/>
                <w:b/>
                <w:bCs/>
                <w:iCs/>
                <w:color w:val="243285"/>
                <w:sz w:val="32"/>
                <w:szCs w:val="32"/>
              </w:rPr>
            </w:pPr>
          </w:p>
          <w:p w:rsidR="00C57CE3" w:rsidRPr="00F54FBD" w:rsidRDefault="00C57CE3" w:rsidP="00AC302C">
            <w:pPr>
              <w:spacing w:before="80" w:line="280" w:lineRule="exact"/>
              <w:ind w:right="640"/>
              <w:rPr>
                <w:rFonts w:ascii="Tahoma" w:hAnsi="Tahoma" w:cs="Tahoma"/>
                <w:b/>
                <w:bCs/>
                <w:iCs/>
                <w:color w:val="243285"/>
                <w:sz w:val="32"/>
                <w:szCs w:val="32"/>
              </w:rPr>
            </w:pPr>
          </w:p>
          <w:p w:rsidR="00C57CE3" w:rsidRPr="00F54FBD" w:rsidRDefault="00C57CE3" w:rsidP="00AC302C">
            <w:pPr>
              <w:spacing w:before="80" w:after="180" w:line="360" w:lineRule="exact"/>
              <w:ind w:right="720"/>
              <w:rPr>
                <w:rFonts w:ascii="Tahoma" w:hAnsi="Tahoma" w:cs="Tahoma"/>
                <w:b/>
                <w:bCs/>
                <w:iCs/>
                <w:color w:val="243285"/>
                <w:sz w:val="36"/>
                <w:szCs w:val="36"/>
              </w:rPr>
            </w:pPr>
          </w:p>
          <w:p w:rsidR="00C57CE3" w:rsidRPr="00F54FBD" w:rsidRDefault="00C57CE3" w:rsidP="00AC30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V</w:t>
            </w:r>
          </w:p>
          <w:p w:rsidR="00C57CE3" w:rsidRPr="00F54FBD" w:rsidRDefault="00C57CE3" w:rsidP="00AC302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Vocabulaire et sujets associés</w:t>
            </w:r>
          </w:p>
        </w:tc>
      </w:tr>
    </w:tbl>
    <w:p w:rsidR="00C57CE3" w:rsidRPr="00F54FBD" w:rsidRDefault="00C57CE3" w:rsidP="00C57CE3">
      <w:pPr>
        <w:spacing w:before="80"/>
        <w:rPr>
          <w:i/>
          <w:sz w:val="22"/>
        </w:rPr>
      </w:pPr>
    </w:p>
    <w:p w:rsidR="00C57CE3" w:rsidRPr="00F54FBD" w:rsidRDefault="00C57CE3" w:rsidP="00C57CE3">
      <w:pPr>
        <w:spacing w:before="80"/>
        <w:rPr>
          <w:i/>
          <w:sz w:val="22"/>
        </w:rPr>
      </w:pPr>
    </w:p>
    <w:p w:rsidR="00C57CE3" w:rsidRPr="00F54FBD" w:rsidRDefault="00C57CE3" w:rsidP="00C57CE3">
      <w:pPr>
        <w:spacing w:before="80"/>
        <w:rPr>
          <w:i/>
          <w:sz w:val="22"/>
        </w:rPr>
      </w:pPr>
    </w:p>
    <w:p w:rsidR="00C57CE3" w:rsidRPr="00F54FBD" w:rsidRDefault="00C57CE3" w:rsidP="00C57CE3">
      <w:pPr>
        <w:spacing w:before="80"/>
        <w:rPr>
          <w:i/>
          <w:sz w:val="22"/>
        </w:rPr>
      </w:pPr>
    </w:p>
    <w:p w:rsidR="00C57CE3" w:rsidRPr="00F54FBD" w:rsidRDefault="00C57CE3" w:rsidP="00C57CE3">
      <w:pPr>
        <w:spacing w:before="80"/>
        <w:rPr>
          <w:i/>
          <w:sz w:val="22"/>
        </w:rPr>
      </w:pPr>
    </w:p>
    <w:p w:rsidR="00C57CE3" w:rsidRPr="00F54FBD" w:rsidRDefault="00C57CE3" w:rsidP="00C57CE3">
      <w:pPr>
        <w:spacing w:before="80"/>
        <w:rPr>
          <w:i/>
          <w:sz w:val="22"/>
        </w:rPr>
      </w:pPr>
    </w:p>
    <w:p w:rsidR="00C57CE3" w:rsidRPr="00F54FBD" w:rsidRDefault="00C57CE3" w:rsidP="00C57CE3">
      <w:pPr>
        <w:pStyle w:val="Equation"/>
        <w:tabs>
          <w:tab w:val="clear" w:pos="4820"/>
          <w:tab w:val="clear" w:pos="9639"/>
          <w:tab w:val="left" w:pos="1191"/>
          <w:tab w:val="left" w:pos="1588"/>
          <w:tab w:val="left" w:pos="1985"/>
        </w:tabs>
        <w:rPr>
          <w:rFonts w:ascii="Palatino Linotype" w:hAnsi="Palatino Linotype"/>
        </w:rPr>
        <w:sectPr w:rsidR="00C57CE3" w:rsidRPr="00F54FBD">
          <w:headerReference w:type="even" r:id="rId6"/>
          <w:headerReference w:type="default" r:id="rId7"/>
          <w:pgSz w:w="11907" w:h="16840" w:code="9"/>
          <w:pgMar w:top="1089" w:right="1089" w:bottom="284" w:left="1089" w:header="567" w:footer="284" w:gutter="0"/>
          <w:pgNumType w:start="1"/>
          <w:cols w:space="720"/>
        </w:sectPr>
      </w:pPr>
    </w:p>
    <w:p w:rsidR="00C57CE3" w:rsidRPr="00F54FBD" w:rsidRDefault="00C57CE3" w:rsidP="00C57C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57CE3" w:rsidRPr="00F54FBD" w:rsidRDefault="00C57CE3" w:rsidP="00C57CE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57CE3" w:rsidRPr="00F54FBD" w:rsidRDefault="00C57CE3" w:rsidP="00C57CE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57CE3" w:rsidRPr="00E44CBB" w:rsidRDefault="00C57CE3" w:rsidP="00C57CE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57CE3" w:rsidRPr="00E44CBB" w:rsidRDefault="00C57CE3" w:rsidP="00C57CE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57CE3" w:rsidRPr="00444E7C" w:rsidRDefault="00C57CE3" w:rsidP="00C57CE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57CE3" w:rsidRPr="009454F8" w:rsidTr="00AC302C">
        <w:tc>
          <w:tcPr>
            <w:tcW w:w="9360" w:type="dxa"/>
            <w:gridSpan w:val="2"/>
          </w:tcPr>
          <w:p w:rsidR="00C57CE3" w:rsidRPr="009454F8" w:rsidRDefault="00C57CE3" w:rsidP="00AC30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57CE3" w:rsidRPr="009454F8" w:rsidRDefault="00C57CE3"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C57CE3" w:rsidRPr="00036EE3" w:rsidTr="00AC302C">
        <w:tc>
          <w:tcPr>
            <w:tcW w:w="1140" w:type="dxa"/>
            <w:tcBorders>
              <w:bottom w:val="nil"/>
            </w:tcBorders>
          </w:tcPr>
          <w:p w:rsidR="00C57CE3" w:rsidRPr="00614CC6" w:rsidRDefault="00C57CE3" w:rsidP="00AC302C">
            <w:pPr>
              <w:spacing w:before="90" w:after="100"/>
              <w:ind w:left="57"/>
              <w:rPr>
                <w:b/>
                <w:bCs/>
                <w:sz w:val="20"/>
                <w:lang w:val="en-US"/>
              </w:rPr>
            </w:pPr>
            <w:r w:rsidRPr="00614CC6">
              <w:rPr>
                <w:b/>
                <w:bCs/>
                <w:sz w:val="20"/>
                <w:lang w:val="en-US"/>
              </w:rPr>
              <w:t>Séries</w:t>
            </w:r>
          </w:p>
        </w:tc>
        <w:tc>
          <w:tcPr>
            <w:tcW w:w="8220" w:type="dxa"/>
            <w:tcBorders>
              <w:bottom w:val="nil"/>
            </w:tcBorders>
          </w:tcPr>
          <w:p w:rsidR="00C57CE3" w:rsidRPr="00614CC6" w:rsidRDefault="00C57CE3"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57CE3" w:rsidRPr="005E427C" w:rsidTr="00AC302C">
        <w:tc>
          <w:tcPr>
            <w:tcW w:w="1140" w:type="dxa"/>
            <w:tcBorders>
              <w:top w:val="nil"/>
              <w:bottom w:val="nil"/>
            </w:tcBorders>
            <w:shd w:val="clear" w:color="auto" w:fill="auto"/>
          </w:tcPr>
          <w:p w:rsidR="00C57CE3" w:rsidRPr="005E427C" w:rsidRDefault="00C57CE3" w:rsidP="00AC302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C57CE3" w:rsidRPr="005E427C" w:rsidRDefault="00C57CE3"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C57CE3" w:rsidRPr="009454F8" w:rsidTr="00AC302C">
        <w:tc>
          <w:tcPr>
            <w:tcW w:w="1140" w:type="dxa"/>
            <w:tcBorders>
              <w:top w:val="nil"/>
              <w:bottom w:val="nil"/>
            </w:tcBorders>
          </w:tcPr>
          <w:p w:rsidR="00C57CE3" w:rsidRPr="00614CC6" w:rsidRDefault="00C57CE3" w:rsidP="00AC302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C57CE3" w:rsidRPr="00614CC6" w:rsidRDefault="00C57CE3"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57CE3" w:rsidRPr="00E80F1D" w:rsidTr="00AC302C">
        <w:tc>
          <w:tcPr>
            <w:tcW w:w="1140" w:type="dxa"/>
            <w:tcBorders>
              <w:top w:val="nil"/>
              <w:bottom w:val="nil"/>
            </w:tcBorders>
            <w:shd w:val="clear" w:color="auto" w:fill="auto"/>
          </w:tcPr>
          <w:p w:rsidR="00C57CE3" w:rsidRPr="00E80F1D" w:rsidRDefault="00C57CE3" w:rsidP="00AC302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C57CE3" w:rsidRPr="00E80F1D" w:rsidRDefault="00C57CE3"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C57CE3" w:rsidRPr="00ED2695" w:rsidTr="00AC302C">
        <w:tc>
          <w:tcPr>
            <w:tcW w:w="1140" w:type="dxa"/>
            <w:tcBorders>
              <w:top w:val="nil"/>
              <w:bottom w:val="nil"/>
            </w:tcBorders>
            <w:shd w:val="clear" w:color="auto" w:fill="auto"/>
          </w:tcPr>
          <w:p w:rsidR="00C57CE3" w:rsidRPr="00614CC6" w:rsidRDefault="00C57CE3" w:rsidP="00AC302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C57CE3" w:rsidRPr="00614CC6" w:rsidRDefault="00C57CE3"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57CE3" w:rsidRPr="00DE5EA2" w:rsidTr="00AC302C">
        <w:tc>
          <w:tcPr>
            <w:tcW w:w="1140" w:type="dxa"/>
            <w:tcBorders>
              <w:top w:val="nil"/>
              <w:bottom w:val="nil"/>
            </w:tcBorders>
            <w:shd w:val="clear" w:color="auto" w:fill="auto"/>
          </w:tcPr>
          <w:p w:rsidR="00C57CE3" w:rsidRPr="00DE5EA2" w:rsidRDefault="00C57CE3" w:rsidP="00AC302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C57CE3" w:rsidRPr="00DE5EA2" w:rsidRDefault="00C57CE3" w:rsidP="00AC30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C57CE3" w:rsidRPr="00B21066" w:rsidTr="00AC302C">
        <w:tc>
          <w:tcPr>
            <w:tcW w:w="1140" w:type="dxa"/>
            <w:tcBorders>
              <w:top w:val="nil"/>
              <w:bottom w:val="nil"/>
            </w:tcBorders>
            <w:shd w:val="clear" w:color="auto" w:fill="auto"/>
          </w:tcPr>
          <w:p w:rsidR="00C57CE3" w:rsidRPr="00B21066" w:rsidRDefault="00C57CE3" w:rsidP="00AC302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C57CE3" w:rsidRPr="00B21066" w:rsidRDefault="00C57CE3" w:rsidP="00AC30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C57CE3" w:rsidRPr="00EC361D" w:rsidTr="00AC302C">
        <w:tc>
          <w:tcPr>
            <w:tcW w:w="1140" w:type="dxa"/>
            <w:tcBorders>
              <w:top w:val="nil"/>
              <w:bottom w:val="nil"/>
            </w:tcBorders>
            <w:shd w:val="clear" w:color="auto" w:fill="auto"/>
          </w:tcPr>
          <w:p w:rsidR="00C57CE3" w:rsidRPr="00EC361D" w:rsidRDefault="00C57CE3" w:rsidP="00AC302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C57CE3" w:rsidRPr="00EC361D" w:rsidRDefault="00C57CE3" w:rsidP="00AC302C">
            <w:pPr>
              <w:spacing w:before="30" w:after="30"/>
              <w:jc w:val="left"/>
              <w:rPr>
                <w:sz w:val="20"/>
                <w:lang w:val="fr-CH"/>
              </w:rPr>
            </w:pPr>
            <w:r w:rsidRPr="00EC361D">
              <w:rPr>
                <w:sz w:val="20"/>
              </w:rPr>
              <w:t>Propagation des ondes radioélectriques</w:t>
            </w:r>
          </w:p>
        </w:tc>
      </w:tr>
      <w:tr w:rsidR="00C57CE3" w:rsidRPr="004822EF" w:rsidTr="00AC302C">
        <w:tc>
          <w:tcPr>
            <w:tcW w:w="1140" w:type="dxa"/>
            <w:tcBorders>
              <w:top w:val="nil"/>
              <w:bottom w:val="nil"/>
            </w:tcBorders>
            <w:shd w:val="clear" w:color="auto" w:fill="auto"/>
          </w:tcPr>
          <w:p w:rsidR="00C57CE3" w:rsidRPr="004822EF" w:rsidRDefault="00C57CE3" w:rsidP="00AC302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C57CE3" w:rsidRPr="004822EF" w:rsidRDefault="00C57CE3" w:rsidP="00AC30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C57CE3" w:rsidRPr="00326525" w:rsidTr="00AC302C">
        <w:tc>
          <w:tcPr>
            <w:tcW w:w="1140" w:type="dxa"/>
            <w:tcBorders>
              <w:top w:val="nil"/>
              <w:bottom w:val="nil"/>
            </w:tcBorders>
            <w:shd w:val="clear" w:color="auto" w:fill="auto"/>
          </w:tcPr>
          <w:p w:rsidR="00C57CE3" w:rsidRPr="00326525" w:rsidRDefault="00C57CE3" w:rsidP="00AC302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C57CE3" w:rsidRPr="00326525" w:rsidRDefault="00C57CE3" w:rsidP="00AC30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C57CE3" w:rsidRPr="00C40D3E" w:rsidTr="00AC302C">
        <w:tc>
          <w:tcPr>
            <w:tcW w:w="1140" w:type="dxa"/>
            <w:tcBorders>
              <w:top w:val="nil"/>
              <w:bottom w:val="nil"/>
            </w:tcBorders>
            <w:shd w:val="clear" w:color="auto" w:fill="auto"/>
          </w:tcPr>
          <w:p w:rsidR="00C57CE3" w:rsidRPr="00C40D3E" w:rsidRDefault="00C57CE3" w:rsidP="00AC302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C57CE3" w:rsidRPr="00C40D3E" w:rsidRDefault="00C57CE3" w:rsidP="00AC302C">
            <w:pPr>
              <w:spacing w:before="30" w:after="30"/>
              <w:jc w:val="left"/>
              <w:rPr>
                <w:sz w:val="20"/>
                <w:lang w:val="en-US"/>
              </w:rPr>
            </w:pPr>
            <w:r w:rsidRPr="00C40D3E">
              <w:rPr>
                <w:sz w:val="20"/>
              </w:rPr>
              <w:t>Service fixe par satellite</w:t>
            </w:r>
          </w:p>
        </w:tc>
      </w:tr>
      <w:tr w:rsidR="00C57CE3" w:rsidRPr="00595D3D" w:rsidTr="00AC302C">
        <w:tc>
          <w:tcPr>
            <w:tcW w:w="1140" w:type="dxa"/>
            <w:tcBorders>
              <w:top w:val="nil"/>
              <w:bottom w:val="nil"/>
            </w:tcBorders>
            <w:shd w:val="clear" w:color="auto" w:fill="auto"/>
          </w:tcPr>
          <w:p w:rsidR="00C57CE3" w:rsidRPr="00595D3D" w:rsidRDefault="00C57CE3" w:rsidP="00AC302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C57CE3" w:rsidRPr="00595D3D" w:rsidRDefault="00C57CE3" w:rsidP="00AC302C">
            <w:pPr>
              <w:spacing w:before="30" w:after="30"/>
              <w:jc w:val="left"/>
              <w:rPr>
                <w:sz w:val="20"/>
                <w:lang w:val="en-US"/>
              </w:rPr>
            </w:pPr>
            <w:r w:rsidRPr="00595D3D">
              <w:rPr>
                <w:sz w:val="20"/>
              </w:rPr>
              <w:t>Applications spatiales et météorologie</w:t>
            </w:r>
          </w:p>
        </w:tc>
      </w:tr>
      <w:tr w:rsidR="00C57CE3" w:rsidRPr="009B5564" w:rsidTr="00AC302C">
        <w:tc>
          <w:tcPr>
            <w:tcW w:w="1140" w:type="dxa"/>
            <w:tcBorders>
              <w:top w:val="nil"/>
              <w:bottom w:val="nil"/>
            </w:tcBorders>
            <w:shd w:val="clear" w:color="auto" w:fill="auto"/>
          </w:tcPr>
          <w:p w:rsidR="00C57CE3" w:rsidRPr="009B5564" w:rsidRDefault="00C57CE3" w:rsidP="00AC302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C57CE3" w:rsidRPr="009B5564" w:rsidRDefault="00C57CE3" w:rsidP="00AC302C">
            <w:pPr>
              <w:spacing w:before="30" w:after="30"/>
              <w:jc w:val="left"/>
              <w:rPr>
                <w:bCs/>
                <w:sz w:val="20"/>
              </w:rPr>
            </w:pPr>
            <w:r w:rsidRPr="009B5564">
              <w:rPr>
                <w:bCs/>
                <w:sz w:val="20"/>
              </w:rPr>
              <w:t>Partage des fréquences et coordination entre les systèmes du service fixe par satellite et du service fixe</w:t>
            </w:r>
          </w:p>
        </w:tc>
      </w:tr>
      <w:tr w:rsidR="00C57CE3" w:rsidRPr="009B5564" w:rsidTr="00AC302C">
        <w:tc>
          <w:tcPr>
            <w:tcW w:w="1140" w:type="dxa"/>
            <w:tcBorders>
              <w:top w:val="nil"/>
              <w:bottom w:val="nil"/>
            </w:tcBorders>
            <w:shd w:val="clear" w:color="auto" w:fill="auto"/>
          </w:tcPr>
          <w:p w:rsidR="00C57CE3" w:rsidRPr="001B1BA9" w:rsidRDefault="00C57CE3" w:rsidP="00AC302C">
            <w:pPr>
              <w:spacing w:before="30" w:after="30"/>
              <w:ind w:left="57"/>
              <w:jc w:val="left"/>
              <w:rPr>
                <w:b/>
                <w:sz w:val="20"/>
                <w:lang w:val="en-US"/>
              </w:rPr>
            </w:pPr>
            <w:r w:rsidRPr="001B1BA9">
              <w:rPr>
                <w:b/>
                <w:sz w:val="20"/>
                <w:lang w:val="en-US"/>
              </w:rPr>
              <w:t>SM</w:t>
            </w:r>
          </w:p>
        </w:tc>
        <w:tc>
          <w:tcPr>
            <w:tcW w:w="8220" w:type="dxa"/>
            <w:tcBorders>
              <w:top w:val="nil"/>
              <w:bottom w:val="nil"/>
            </w:tcBorders>
            <w:shd w:val="clear" w:color="auto" w:fill="auto"/>
          </w:tcPr>
          <w:p w:rsidR="00C57CE3" w:rsidRPr="001B1BA9" w:rsidRDefault="00C57CE3" w:rsidP="00AC302C">
            <w:pPr>
              <w:spacing w:before="30" w:after="30"/>
              <w:jc w:val="left"/>
              <w:rPr>
                <w:bCs/>
                <w:sz w:val="20"/>
                <w:lang w:val="en-US"/>
              </w:rPr>
            </w:pPr>
            <w:r w:rsidRPr="001B1BA9">
              <w:rPr>
                <w:bCs/>
                <w:sz w:val="20"/>
              </w:rPr>
              <w:t>Gestion du spectre</w:t>
            </w:r>
          </w:p>
        </w:tc>
      </w:tr>
      <w:tr w:rsidR="00C57CE3" w:rsidRPr="00DD5F95" w:rsidTr="00AC302C">
        <w:tc>
          <w:tcPr>
            <w:tcW w:w="1140" w:type="dxa"/>
            <w:tcBorders>
              <w:top w:val="nil"/>
              <w:bottom w:val="nil"/>
            </w:tcBorders>
            <w:shd w:val="clear" w:color="auto" w:fill="auto"/>
          </w:tcPr>
          <w:p w:rsidR="00C57CE3" w:rsidRPr="00DD5F95" w:rsidRDefault="00C57CE3" w:rsidP="00AC302C">
            <w:pPr>
              <w:spacing w:before="30" w:after="30"/>
              <w:ind w:left="57"/>
              <w:jc w:val="left"/>
              <w:rPr>
                <w:b/>
                <w:bCs/>
                <w:sz w:val="20"/>
                <w:lang w:val="en-US"/>
              </w:rPr>
            </w:pPr>
            <w:r w:rsidRPr="00DD5F95">
              <w:rPr>
                <w:b/>
                <w:bCs/>
                <w:sz w:val="20"/>
                <w:lang w:val="en-US"/>
              </w:rPr>
              <w:t>SNG</w:t>
            </w:r>
          </w:p>
        </w:tc>
        <w:tc>
          <w:tcPr>
            <w:tcW w:w="8220" w:type="dxa"/>
            <w:tcBorders>
              <w:top w:val="nil"/>
              <w:bottom w:val="nil"/>
            </w:tcBorders>
            <w:shd w:val="clear" w:color="auto" w:fill="auto"/>
          </w:tcPr>
          <w:p w:rsidR="00C57CE3" w:rsidRPr="00DD5F95" w:rsidRDefault="00C57CE3" w:rsidP="00AC302C">
            <w:pPr>
              <w:spacing w:before="30" w:after="30"/>
              <w:jc w:val="left"/>
              <w:rPr>
                <w:sz w:val="20"/>
                <w:lang w:val="en-US"/>
              </w:rPr>
            </w:pPr>
            <w:r w:rsidRPr="00DD5F95">
              <w:rPr>
                <w:sz w:val="20"/>
              </w:rPr>
              <w:t>Reportage d'actualités par satellite</w:t>
            </w:r>
          </w:p>
        </w:tc>
      </w:tr>
      <w:tr w:rsidR="00C57CE3" w:rsidRPr="00540102" w:rsidTr="00AC302C">
        <w:tc>
          <w:tcPr>
            <w:tcW w:w="1140" w:type="dxa"/>
            <w:tcBorders>
              <w:top w:val="nil"/>
              <w:bottom w:val="nil"/>
            </w:tcBorders>
            <w:shd w:val="clear" w:color="auto" w:fill="auto"/>
          </w:tcPr>
          <w:p w:rsidR="00C57CE3" w:rsidRPr="00540102" w:rsidRDefault="00C57CE3" w:rsidP="00AC302C">
            <w:pPr>
              <w:spacing w:before="30" w:after="30"/>
              <w:ind w:left="57"/>
              <w:jc w:val="left"/>
              <w:rPr>
                <w:b/>
                <w:bCs/>
                <w:sz w:val="20"/>
                <w:lang w:val="en-US"/>
              </w:rPr>
            </w:pPr>
            <w:r w:rsidRPr="00540102">
              <w:rPr>
                <w:b/>
                <w:bCs/>
                <w:sz w:val="20"/>
                <w:lang w:val="en-US"/>
              </w:rPr>
              <w:t>TF</w:t>
            </w:r>
          </w:p>
        </w:tc>
        <w:tc>
          <w:tcPr>
            <w:tcW w:w="8220" w:type="dxa"/>
            <w:tcBorders>
              <w:top w:val="nil"/>
              <w:bottom w:val="nil"/>
            </w:tcBorders>
            <w:shd w:val="clear" w:color="auto" w:fill="auto"/>
          </w:tcPr>
          <w:p w:rsidR="00C57CE3" w:rsidRPr="00540102" w:rsidRDefault="00C57CE3" w:rsidP="00AC302C">
            <w:pPr>
              <w:spacing w:before="30" w:after="30"/>
              <w:jc w:val="left"/>
              <w:rPr>
                <w:sz w:val="20"/>
              </w:rPr>
            </w:pPr>
            <w:r w:rsidRPr="00540102">
              <w:rPr>
                <w:sz w:val="20"/>
              </w:rPr>
              <w:t>Emissions de fréquences étalon et de signaux horaires</w:t>
            </w:r>
          </w:p>
        </w:tc>
      </w:tr>
      <w:tr w:rsidR="00C57CE3" w:rsidRPr="00540102" w:rsidTr="00AC302C">
        <w:tc>
          <w:tcPr>
            <w:tcW w:w="1140" w:type="dxa"/>
            <w:tcBorders>
              <w:top w:val="nil"/>
              <w:bottom w:val="single" w:sz="12" w:space="0" w:color="000080"/>
            </w:tcBorders>
            <w:shd w:val="clear" w:color="auto" w:fill="F3F3F3"/>
          </w:tcPr>
          <w:p w:rsidR="00C57CE3" w:rsidRPr="00540102" w:rsidRDefault="00C57CE3" w:rsidP="00AC302C">
            <w:pPr>
              <w:spacing w:before="30" w:after="30"/>
              <w:ind w:left="57"/>
              <w:jc w:val="left"/>
              <w:rPr>
                <w:b/>
                <w:bCs/>
                <w:color w:val="000080"/>
                <w:sz w:val="20"/>
                <w:lang w:val="en-US"/>
              </w:rPr>
            </w:pPr>
            <w:r w:rsidRPr="00540102">
              <w:rPr>
                <w:b/>
                <w:bCs/>
                <w:color w:val="000080"/>
                <w:sz w:val="20"/>
                <w:lang w:val="en-US"/>
              </w:rPr>
              <w:t>V</w:t>
            </w:r>
          </w:p>
        </w:tc>
        <w:tc>
          <w:tcPr>
            <w:tcW w:w="8220" w:type="dxa"/>
            <w:tcBorders>
              <w:top w:val="nil"/>
              <w:bottom w:val="single" w:sz="12" w:space="0" w:color="000080"/>
            </w:tcBorders>
            <w:shd w:val="clear" w:color="auto" w:fill="F3F3F3"/>
          </w:tcPr>
          <w:p w:rsidR="00C57CE3" w:rsidRPr="00540102" w:rsidRDefault="00C57CE3" w:rsidP="00AC302C">
            <w:pPr>
              <w:spacing w:before="30" w:after="140"/>
              <w:jc w:val="left"/>
              <w:rPr>
                <w:b/>
                <w:bCs/>
                <w:color w:val="000080"/>
                <w:sz w:val="20"/>
                <w:lang w:val="en-US"/>
              </w:rPr>
            </w:pPr>
            <w:r w:rsidRPr="00540102">
              <w:rPr>
                <w:b/>
                <w:bCs/>
                <w:color w:val="000080"/>
                <w:sz w:val="20"/>
              </w:rPr>
              <w:t>Vocabulaire et sujets associés</w:t>
            </w:r>
          </w:p>
        </w:tc>
      </w:tr>
    </w:tbl>
    <w:p w:rsidR="00C57CE3" w:rsidRPr="00036EE3" w:rsidRDefault="00C57CE3" w:rsidP="00C57CE3">
      <w:pPr>
        <w:spacing w:before="0"/>
        <w:jc w:val="center"/>
        <w:rPr>
          <w:sz w:val="20"/>
          <w:lang w:val="en-US"/>
        </w:rPr>
      </w:pPr>
    </w:p>
    <w:p w:rsidR="00C57CE3" w:rsidRPr="00036EE3" w:rsidRDefault="00C57CE3" w:rsidP="00C57CE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57CE3" w:rsidRPr="00756B4D" w:rsidTr="00AC302C">
        <w:tc>
          <w:tcPr>
            <w:tcW w:w="9360" w:type="dxa"/>
          </w:tcPr>
          <w:p w:rsidR="00C57CE3" w:rsidRPr="00756B4D" w:rsidRDefault="00C57CE3" w:rsidP="00AC302C">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57CE3" w:rsidRPr="00756B4D" w:rsidRDefault="00C57CE3" w:rsidP="00C57CE3">
      <w:pPr>
        <w:spacing w:before="0"/>
        <w:jc w:val="center"/>
        <w:rPr>
          <w:sz w:val="22"/>
        </w:rPr>
      </w:pPr>
    </w:p>
    <w:p w:rsidR="00C57CE3" w:rsidRPr="00614CC6" w:rsidRDefault="00C57CE3" w:rsidP="00C57CE3">
      <w:pPr>
        <w:spacing w:before="100"/>
        <w:jc w:val="right"/>
        <w:rPr>
          <w:i/>
          <w:iCs/>
          <w:sz w:val="20"/>
        </w:rPr>
      </w:pPr>
      <w:r w:rsidRPr="00614CC6">
        <w:rPr>
          <w:i/>
          <w:iCs/>
          <w:sz w:val="20"/>
        </w:rPr>
        <w:t>Publication électronique</w:t>
      </w:r>
    </w:p>
    <w:p w:rsidR="00C57CE3" w:rsidRPr="00614CC6" w:rsidRDefault="00C57CE3" w:rsidP="00C57CE3">
      <w:pPr>
        <w:spacing w:before="0"/>
        <w:jc w:val="right"/>
        <w:rPr>
          <w:sz w:val="20"/>
        </w:rPr>
      </w:pPr>
      <w:r w:rsidRPr="00614CC6">
        <w:rPr>
          <w:sz w:val="20"/>
        </w:rPr>
        <w:t>Genève, 20</w:t>
      </w:r>
      <w:r>
        <w:rPr>
          <w:sz w:val="20"/>
        </w:rPr>
        <w:t>16</w:t>
      </w:r>
    </w:p>
    <w:p w:rsidR="00C57CE3" w:rsidRPr="00614CC6" w:rsidRDefault="00C57CE3" w:rsidP="00C57CE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rsidR="00C57CE3" w:rsidRPr="00614CC6" w:rsidRDefault="00C57CE3" w:rsidP="00C57CE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57CE3" w:rsidRPr="00614CC6" w:rsidRDefault="00C57CE3" w:rsidP="00C57CE3">
      <w:pPr>
        <w:spacing w:before="160"/>
        <w:rPr>
          <w:i/>
          <w:sz w:val="20"/>
          <w:highlight w:val="yellow"/>
        </w:rPr>
        <w:sectPr w:rsidR="00C57CE3"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C57CE3" w:rsidRPr="00756B4D" w:rsidRDefault="00C57CE3" w:rsidP="00C57CE3">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V</w:t>
      </w:r>
      <w:r w:rsidRPr="00756B4D">
        <w:rPr>
          <w:rStyle w:val="href"/>
        </w:rPr>
        <w:t>.</w:t>
      </w:r>
      <w:r>
        <w:rPr>
          <w:rStyle w:val="href"/>
        </w:rPr>
        <w:t>431-8</w:t>
      </w:r>
    </w:p>
    <w:p w:rsidR="00C57CE3" w:rsidRDefault="00C57CE3" w:rsidP="00C57CE3">
      <w:pPr>
        <w:pStyle w:val="Rectitle"/>
      </w:pPr>
      <w:r>
        <w:t>Nomenclature des bandes de fréquences et de longueurs d'onde</w:t>
      </w:r>
      <w:r>
        <w:br/>
        <w:t>employées en télécommunication</w:t>
      </w:r>
    </w:p>
    <w:p w:rsidR="00C57CE3" w:rsidRDefault="00C57CE3" w:rsidP="00C57CE3">
      <w:pPr>
        <w:pStyle w:val="RecTitleDate"/>
      </w:pPr>
      <w:r>
        <w:t>(1953-1956-1959-1963-1966-1974-1978-1982-1986-1993-2000-2015</w:t>
      </w:r>
    </w:p>
    <w:p w:rsidR="00C57CE3" w:rsidRPr="00016972" w:rsidRDefault="00C57CE3" w:rsidP="00C57CE3">
      <w:pPr>
        <w:pStyle w:val="HeadingSum"/>
        <w:rPr>
          <w:szCs w:val="22"/>
          <w:lang w:val="fr-FR"/>
        </w:rPr>
      </w:pPr>
      <w:r w:rsidRPr="00016972">
        <w:rPr>
          <w:szCs w:val="22"/>
          <w:lang w:val="fr-FR"/>
        </w:rPr>
        <w:t>Champ d'application</w:t>
      </w:r>
    </w:p>
    <w:p w:rsidR="00C57CE3" w:rsidRPr="00016972" w:rsidRDefault="00C57CE3" w:rsidP="00C57CE3">
      <w:pPr>
        <w:pStyle w:val="Summary"/>
        <w:spacing w:after="0"/>
        <w:rPr>
          <w:szCs w:val="22"/>
          <w:lang w:val="fr-FR"/>
        </w:rPr>
      </w:pPr>
      <w:r w:rsidRPr="00016972">
        <w:rPr>
          <w:szCs w:val="22"/>
          <w:lang w:val="fr-FR"/>
        </w:rPr>
        <w:t>Ce texte recommande l'utilisation du hertz (Hz) pour désigner une unité de fréquence et la nomenclature doit être utilisée pour la description de bandes de fréquence et de longueurs d'onde. Il donne également plus d'informations sur la nomenclature utilisée dans certaines applications.</w:t>
      </w:r>
    </w:p>
    <w:p w:rsidR="00C57CE3" w:rsidRPr="004A66C8" w:rsidRDefault="00C57CE3" w:rsidP="00C57CE3">
      <w:pPr>
        <w:pStyle w:val="Headingb"/>
        <w:rPr>
          <w:lang w:val="fr-CH"/>
        </w:rPr>
      </w:pPr>
      <w:r w:rsidRPr="004A66C8">
        <w:rPr>
          <w:lang w:val="fr-CH"/>
        </w:rPr>
        <w:t>Mots clés</w:t>
      </w:r>
    </w:p>
    <w:p w:rsidR="00C57CE3" w:rsidRPr="004A66C8" w:rsidRDefault="00C57CE3" w:rsidP="00C57CE3">
      <w:pPr>
        <w:rPr>
          <w:szCs w:val="24"/>
          <w:lang w:val="fr-CH" w:eastAsia="ja-JP"/>
        </w:rPr>
      </w:pPr>
      <w:r w:rsidRPr="004A66C8">
        <w:rPr>
          <w:szCs w:val="24"/>
          <w:lang w:val="fr-CH" w:eastAsia="ja-JP"/>
        </w:rPr>
        <w:t>Hertz, bandes de fréquences, bandes de longueurs d'onde</w:t>
      </w:r>
    </w:p>
    <w:p w:rsidR="00C57CE3" w:rsidRPr="004A66C8" w:rsidRDefault="00C57CE3" w:rsidP="00C57CE3">
      <w:pPr>
        <w:pStyle w:val="Headingb"/>
        <w:rPr>
          <w:szCs w:val="24"/>
          <w:lang w:val="fr-CH"/>
        </w:rPr>
      </w:pPr>
      <w:bookmarkStart w:id="4" w:name="_Toc368428505"/>
      <w:bookmarkStart w:id="5" w:name="_Toc368428583"/>
      <w:bookmarkStart w:id="6" w:name="_Toc368430174"/>
      <w:bookmarkStart w:id="7" w:name="_Toc369007123"/>
      <w:r w:rsidRPr="004A66C8">
        <w:rPr>
          <w:szCs w:val="24"/>
          <w:lang w:val="fr-CH"/>
        </w:rPr>
        <w:t>Recommandations de l'UIT connexes</w:t>
      </w:r>
      <w:bookmarkEnd w:id="4"/>
      <w:bookmarkEnd w:id="5"/>
      <w:bookmarkEnd w:id="6"/>
      <w:bookmarkEnd w:id="7"/>
    </w:p>
    <w:p w:rsidR="00C57CE3" w:rsidRPr="004A66C8" w:rsidRDefault="00C57CE3" w:rsidP="00C57CE3">
      <w:pPr>
        <w:pStyle w:val="enumlev1"/>
        <w:spacing w:before="120"/>
        <w:rPr>
          <w:lang w:val="fr-CH"/>
        </w:rPr>
      </w:pPr>
      <w:r w:rsidRPr="004A66C8">
        <w:rPr>
          <w:lang w:val="fr-CH"/>
        </w:rPr>
        <w:t>Recommandation UIT-R V.430-4</w:t>
      </w:r>
      <w:r w:rsidRPr="004A66C8">
        <w:rPr>
          <w:lang w:val="fr-CH"/>
        </w:rPr>
        <w:tab/>
      </w:r>
      <w:r>
        <w:rPr>
          <w:lang w:val="fr-CH"/>
        </w:rPr>
        <w:tab/>
      </w:r>
      <w:r w:rsidRPr="004A66C8">
        <w:rPr>
          <w:lang w:val="fr-CH"/>
        </w:rPr>
        <w:t>Emploi du Système international d'unités (SI)</w:t>
      </w:r>
    </w:p>
    <w:p w:rsidR="00C57CE3" w:rsidRPr="004A66C8" w:rsidRDefault="00C57CE3" w:rsidP="00C57CE3">
      <w:pPr>
        <w:pStyle w:val="enumlev1"/>
        <w:spacing w:before="120"/>
        <w:rPr>
          <w:lang w:val="fr-CH"/>
        </w:rPr>
      </w:pPr>
      <w:r w:rsidRPr="004A66C8">
        <w:rPr>
          <w:lang w:val="fr-CH"/>
        </w:rPr>
        <w:t>Recommandation UIT-R V.573-6</w:t>
      </w:r>
      <w:r w:rsidRPr="004A66C8">
        <w:rPr>
          <w:lang w:val="fr-CH"/>
        </w:rPr>
        <w:tab/>
      </w:r>
      <w:r>
        <w:rPr>
          <w:lang w:val="fr-CH"/>
        </w:rPr>
        <w:tab/>
      </w:r>
      <w:r w:rsidRPr="004A66C8">
        <w:rPr>
          <w:lang w:val="fr-CH"/>
        </w:rPr>
        <w:t>Vocabulaire des radiocommunications</w:t>
      </w:r>
    </w:p>
    <w:p w:rsidR="00C57CE3" w:rsidRPr="004A66C8" w:rsidRDefault="00C57CE3" w:rsidP="00AD0B26">
      <w:pPr>
        <w:pStyle w:val="enumlev1"/>
        <w:spacing w:before="120"/>
        <w:ind w:left="4320" w:hanging="4320"/>
        <w:rPr>
          <w:lang w:val="fr-CH"/>
        </w:rPr>
      </w:pPr>
      <w:r w:rsidRPr="004A66C8">
        <w:rPr>
          <w:lang w:val="fr-CH"/>
        </w:rPr>
        <w:t>Recommandation UIT-R V.574-5</w:t>
      </w:r>
      <w:r w:rsidRPr="004A66C8">
        <w:rPr>
          <w:lang w:val="fr-CH"/>
        </w:rPr>
        <w:tab/>
        <w:t>«Emploi du décibel et du néper dans les télécommunications»</w:t>
      </w:r>
    </w:p>
    <w:p w:rsidR="00C57CE3" w:rsidRPr="004A66C8" w:rsidRDefault="00C57CE3" w:rsidP="00C57CE3">
      <w:pPr>
        <w:pStyle w:val="enumlev1"/>
        <w:spacing w:before="120"/>
        <w:rPr>
          <w:lang w:val="fr-CH"/>
        </w:rPr>
      </w:pPr>
      <w:r w:rsidRPr="004A66C8">
        <w:rPr>
          <w:lang w:val="fr-CH"/>
        </w:rPr>
        <w:t>Recommendation UIT-R V.665-</w:t>
      </w:r>
      <w:r>
        <w:rPr>
          <w:lang w:val="fr-CH"/>
        </w:rPr>
        <w:t>3</w:t>
      </w:r>
      <w:r>
        <w:rPr>
          <w:lang w:val="fr-CH"/>
        </w:rPr>
        <w:tab/>
      </w:r>
      <w:r>
        <w:rPr>
          <w:lang w:val="fr-CH"/>
        </w:rPr>
        <w:tab/>
      </w:r>
      <w:r w:rsidRPr="004A66C8">
        <w:rPr>
          <w:lang w:val="fr-CH"/>
        </w:rPr>
        <w:t>«Unité d'intensité du trafic»</w:t>
      </w:r>
    </w:p>
    <w:p w:rsidR="00C57CE3" w:rsidRPr="004A66C8" w:rsidRDefault="00C57CE3" w:rsidP="00C57CE3">
      <w:pPr>
        <w:pStyle w:val="headfoot"/>
        <w:rPr>
          <w:sz w:val="24"/>
          <w:szCs w:val="24"/>
        </w:rPr>
      </w:pPr>
      <w:r w:rsidRPr="004A66C8">
        <w:rPr>
          <w:sz w:val="24"/>
          <w:szCs w:val="24"/>
        </w:rPr>
        <w:t>Rec. UIT-R V.431-7</w:t>
      </w:r>
    </w:p>
    <w:p w:rsidR="00C57CE3" w:rsidRPr="004A66C8" w:rsidRDefault="00C57CE3" w:rsidP="00C57CE3">
      <w:pPr>
        <w:pStyle w:val="Normalaftertitle0"/>
        <w:spacing w:before="240"/>
        <w:rPr>
          <w:szCs w:val="24"/>
        </w:rPr>
      </w:pPr>
      <w:r w:rsidRPr="004A66C8">
        <w:rPr>
          <w:szCs w:val="24"/>
        </w:rPr>
        <w:t>L'Assemblée des radiocommunications de l'UIT,</w:t>
      </w:r>
    </w:p>
    <w:p w:rsidR="00C57CE3" w:rsidRPr="004A66C8" w:rsidRDefault="00C57CE3" w:rsidP="00C57CE3">
      <w:pPr>
        <w:pStyle w:val="Call"/>
        <w:rPr>
          <w:szCs w:val="24"/>
        </w:rPr>
      </w:pPr>
      <w:r w:rsidRPr="004A66C8">
        <w:rPr>
          <w:szCs w:val="24"/>
        </w:rPr>
        <w:t>considérant</w:t>
      </w:r>
    </w:p>
    <w:p w:rsidR="00C57CE3" w:rsidRPr="004A66C8" w:rsidRDefault="00C57CE3" w:rsidP="00C57CE3">
      <w:pPr>
        <w:rPr>
          <w:szCs w:val="24"/>
        </w:rPr>
      </w:pPr>
      <w:r w:rsidRPr="00016972">
        <w:rPr>
          <w:i/>
          <w:iCs/>
          <w:szCs w:val="24"/>
        </w:rPr>
        <w:t>a)</w:t>
      </w:r>
      <w:r w:rsidRPr="004A66C8">
        <w:rPr>
          <w:szCs w:val="24"/>
        </w:rPr>
        <w:tab/>
        <w:t>que les mérites de Heinrich Hertz (1857-1897) dans le domaine de la recherche des phénomènes fondamentaux des ondes radioélectriques sont universellement reconnus, ainsi qu'on a pu encore le constater lors du 100ème anniversaire de sa naissance, et que la Commission électrotechnique internationale (CEI), dès 1937, a adopté le hertz (symbole: Hz) pour désigner une unité de fréquence (voir notamment la Norme internationale CEI</w:t>
      </w:r>
      <w:r w:rsidRPr="00016972">
        <w:rPr>
          <w:szCs w:val="24"/>
          <w:lang w:val="fr-CH"/>
        </w:rPr>
        <w:t> 60027</w:t>
      </w:r>
      <w:r w:rsidRPr="004A66C8">
        <w:rPr>
          <w:szCs w:val="24"/>
        </w:rPr>
        <w:t>);</w:t>
      </w:r>
    </w:p>
    <w:p w:rsidR="00C57CE3" w:rsidRPr="004A66C8" w:rsidRDefault="00C57CE3" w:rsidP="00C57CE3">
      <w:pPr>
        <w:rPr>
          <w:szCs w:val="24"/>
        </w:rPr>
      </w:pPr>
      <w:r w:rsidRPr="00016972">
        <w:rPr>
          <w:i/>
          <w:iCs/>
          <w:szCs w:val="24"/>
        </w:rPr>
        <w:t>b)</w:t>
      </w:r>
      <w:r w:rsidRPr="004A66C8">
        <w:rPr>
          <w:szCs w:val="24"/>
        </w:rPr>
        <w:tab/>
        <w:t>que, dans la présente Recommandation, la nomenclature doit être présentée de façon aussi synoptique que possible et que la désignation des bandes de fréquences doit être aussi concise que possible,</w:t>
      </w:r>
    </w:p>
    <w:p w:rsidR="00C57CE3" w:rsidRPr="004A66C8" w:rsidRDefault="00C57CE3" w:rsidP="00C57CE3">
      <w:pPr>
        <w:pStyle w:val="Call"/>
        <w:rPr>
          <w:szCs w:val="24"/>
        </w:rPr>
      </w:pPr>
      <w:r w:rsidRPr="004A66C8">
        <w:rPr>
          <w:szCs w:val="24"/>
        </w:rPr>
        <w:t>recommande</w:t>
      </w:r>
    </w:p>
    <w:p w:rsidR="00C57CE3" w:rsidRPr="004A66C8" w:rsidRDefault="00C57CE3" w:rsidP="00C57CE3">
      <w:pPr>
        <w:rPr>
          <w:szCs w:val="24"/>
        </w:rPr>
      </w:pPr>
      <w:r w:rsidRPr="004A66C8">
        <w:rPr>
          <w:b/>
          <w:szCs w:val="24"/>
        </w:rPr>
        <w:t>1</w:t>
      </w:r>
      <w:r w:rsidRPr="004A66C8">
        <w:rPr>
          <w:szCs w:val="24"/>
        </w:rPr>
        <w:tab/>
        <w:t>que l'on utilise, pour désigner l'unité de fréquence dans les publications de l'UIT, le terme hertz (Hz) conformément à la Recommandation UIT-R V.430 relative à l'emploi du Système international d'unités (SI);</w:t>
      </w:r>
    </w:p>
    <w:p w:rsidR="00C57CE3" w:rsidRPr="004A66C8" w:rsidRDefault="00C57CE3" w:rsidP="00C57CE3">
      <w:pPr>
        <w:rPr>
          <w:szCs w:val="24"/>
        </w:rPr>
      </w:pPr>
      <w:r w:rsidRPr="004A66C8">
        <w:rPr>
          <w:b/>
          <w:szCs w:val="24"/>
        </w:rPr>
        <w:t>2</w:t>
      </w:r>
      <w:r w:rsidRPr="004A66C8">
        <w:rPr>
          <w:szCs w:val="24"/>
        </w:rPr>
        <w:tab/>
        <w:t>que les administrations fassent usage, en toutes circonstances, de la nomenclature des bandes de fréquences et de longueurs d'onde figurant dans le Tableau 1 et les Notes 1 et 2 qui tiennent compte du numéro 2.1 du Règlement des radiocommunications (RR).</w:t>
      </w:r>
    </w:p>
    <w:p w:rsidR="00C57CE3" w:rsidRPr="00396EED" w:rsidRDefault="00C57CE3" w:rsidP="008644E6">
      <w:pPr>
        <w:pStyle w:val="TableNo"/>
        <w:keepLines/>
        <w:rPr>
          <w:szCs w:val="24"/>
        </w:rPr>
      </w:pPr>
      <w:r w:rsidRPr="00396EED">
        <w:rPr>
          <w:szCs w:val="24"/>
        </w:rPr>
        <w:lastRenderedPageBreak/>
        <w:t>TABLEAU  1</w:t>
      </w:r>
    </w:p>
    <w:tbl>
      <w:tblPr>
        <w:tblW w:w="9641" w:type="dxa"/>
        <w:jc w:val="center"/>
        <w:tblLayout w:type="fixed"/>
        <w:tblLook w:val="0000" w:firstRow="0" w:lastRow="0" w:firstColumn="0" w:lastColumn="0" w:noHBand="0" w:noVBand="0"/>
      </w:tblPr>
      <w:tblGrid>
        <w:gridCol w:w="1418"/>
        <w:gridCol w:w="1360"/>
        <w:gridCol w:w="2604"/>
        <w:gridCol w:w="2575"/>
        <w:gridCol w:w="1684"/>
      </w:tblGrid>
      <w:tr w:rsidR="00C57CE3" w:rsidRPr="00016972" w:rsidTr="00AC302C">
        <w:trPr>
          <w:cantSplit/>
          <w:jc w:val="center"/>
        </w:trPr>
        <w:tc>
          <w:tcPr>
            <w:tcW w:w="1418"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8644E6">
            <w:pPr>
              <w:pStyle w:val="Tablehead"/>
              <w:keepLines/>
              <w:rPr>
                <w:rFonts w:asciiTheme="majorBidi" w:hAnsiTheme="majorBidi" w:cstheme="majorBidi"/>
              </w:rPr>
            </w:pPr>
            <w:r w:rsidRPr="00396EED">
              <w:rPr>
                <w:rFonts w:asciiTheme="majorBidi" w:hAnsiTheme="majorBidi" w:cstheme="majorBidi"/>
              </w:rPr>
              <w:t>Numéro de</w:t>
            </w:r>
            <w:r w:rsidRPr="00396EED">
              <w:rPr>
                <w:rFonts w:asciiTheme="majorBidi" w:hAnsiTheme="majorBidi" w:cstheme="majorBidi"/>
              </w:rPr>
              <w:br/>
              <w:t>la bande</w:t>
            </w:r>
          </w:p>
        </w:tc>
        <w:tc>
          <w:tcPr>
            <w:tcW w:w="1360"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8644E6">
            <w:pPr>
              <w:pStyle w:val="Tablehead"/>
              <w:keepLines/>
              <w:rPr>
                <w:rFonts w:asciiTheme="majorBidi" w:hAnsiTheme="majorBidi" w:cstheme="majorBidi"/>
              </w:rPr>
            </w:pPr>
            <w:r w:rsidRPr="00396EED">
              <w:rPr>
                <w:rFonts w:asciiTheme="majorBidi" w:hAnsiTheme="majorBidi" w:cstheme="majorBidi"/>
              </w:rPr>
              <w:t>Symboles</w:t>
            </w:r>
            <w:r w:rsidRPr="00396EED">
              <w:rPr>
                <w:rFonts w:asciiTheme="majorBidi" w:hAnsiTheme="majorBidi" w:cstheme="majorBidi"/>
              </w:rPr>
              <w:br/>
              <w:t>(en anglais)</w:t>
            </w:r>
          </w:p>
        </w:tc>
        <w:tc>
          <w:tcPr>
            <w:tcW w:w="2604"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8644E6">
            <w:pPr>
              <w:pStyle w:val="Tablehead"/>
              <w:keepLines/>
              <w:rPr>
                <w:rFonts w:asciiTheme="majorBidi" w:hAnsiTheme="majorBidi" w:cstheme="majorBidi"/>
              </w:rPr>
            </w:pPr>
            <w:r w:rsidRPr="00396EED">
              <w:rPr>
                <w:rFonts w:asciiTheme="majorBidi" w:hAnsiTheme="majorBidi" w:cstheme="majorBidi"/>
              </w:rPr>
              <w:t>Gamme de fréquences</w:t>
            </w:r>
            <w:r w:rsidRPr="00396EED">
              <w:rPr>
                <w:rFonts w:asciiTheme="majorBidi" w:hAnsiTheme="majorBidi" w:cstheme="majorBidi"/>
              </w:rPr>
              <w:br/>
              <w:t>(limite inférieure exclue,</w:t>
            </w:r>
            <w:r w:rsidRPr="00396EED">
              <w:rPr>
                <w:rFonts w:asciiTheme="majorBidi" w:hAnsiTheme="majorBidi" w:cstheme="majorBidi"/>
              </w:rPr>
              <w:br/>
              <w:t>limite supérieure incluse)</w:t>
            </w:r>
          </w:p>
        </w:tc>
        <w:tc>
          <w:tcPr>
            <w:tcW w:w="2575"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8644E6">
            <w:pPr>
              <w:pStyle w:val="Tablehead"/>
              <w:keepLines/>
              <w:rPr>
                <w:rFonts w:asciiTheme="majorBidi" w:hAnsiTheme="majorBidi" w:cstheme="majorBidi"/>
              </w:rPr>
            </w:pPr>
            <w:r w:rsidRPr="00396EED">
              <w:rPr>
                <w:rFonts w:asciiTheme="majorBidi" w:hAnsiTheme="majorBidi" w:cstheme="majorBidi"/>
              </w:rPr>
              <w:t>Subdivision métrique correspondante</w:t>
            </w:r>
          </w:p>
        </w:tc>
        <w:tc>
          <w:tcPr>
            <w:tcW w:w="1684"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8644E6">
            <w:pPr>
              <w:pStyle w:val="Tablehead"/>
              <w:keepLines/>
              <w:rPr>
                <w:rFonts w:asciiTheme="majorBidi" w:hAnsiTheme="majorBidi" w:cstheme="majorBidi"/>
              </w:rPr>
            </w:pPr>
            <w:r w:rsidRPr="00396EED">
              <w:rPr>
                <w:rFonts w:asciiTheme="majorBidi" w:hAnsiTheme="majorBidi" w:cstheme="majorBidi"/>
              </w:rPr>
              <w:t>Abréviations métriques pour les bandes</w:t>
            </w:r>
          </w:p>
        </w:tc>
      </w:tr>
      <w:tr w:rsidR="00C57CE3" w:rsidRPr="004A66C8" w:rsidTr="00AC302C">
        <w:trPr>
          <w:cantSplit/>
          <w:jc w:val="center"/>
        </w:trPr>
        <w:tc>
          <w:tcPr>
            <w:tcW w:w="1418" w:type="dxa"/>
            <w:tcBorders>
              <w:top w:val="single" w:sz="6" w:space="0" w:color="auto"/>
              <w:left w:val="single" w:sz="6" w:space="0" w:color="auto"/>
              <w:right w:val="single" w:sz="6" w:space="0" w:color="auto"/>
            </w:tcBorders>
          </w:tcPr>
          <w:p w:rsidR="00C57CE3" w:rsidRPr="00396EED" w:rsidRDefault="00C57CE3" w:rsidP="008644E6">
            <w:pPr>
              <w:pStyle w:val="Tabletext"/>
              <w:keepNext/>
              <w:keepLines/>
              <w:jc w:val="center"/>
              <w:rPr>
                <w:rFonts w:asciiTheme="majorBidi" w:hAnsiTheme="majorBidi" w:cstheme="majorBidi"/>
              </w:rPr>
            </w:pPr>
            <w:r w:rsidRPr="00396EED">
              <w:rPr>
                <w:rFonts w:asciiTheme="majorBidi" w:hAnsiTheme="majorBidi" w:cstheme="majorBidi"/>
              </w:rPr>
              <w:t>3</w:t>
            </w:r>
          </w:p>
        </w:tc>
        <w:tc>
          <w:tcPr>
            <w:tcW w:w="1360" w:type="dxa"/>
            <w:tcBorders>
              <w:top w:val="single" w:sz="6" w:space="0" w:color="auto"/>
              <w:left w:val="single" w:sz="6" w:space="0" w:color="auto"/>
              <w:right w:val="single" w:sz="6" w:space="0" w:color="auto"/>
            </w:tcBorders>
          </w:tcPr>
          <w:p w:rsidR="00C57CE3" w:rsidRPr="00396EED" w:rsidRDefault="00C57CE3" w:rsidP="008644E6">
            <w:pPr>
              <w:pStyle w:val="Tabletext"/>
              <w:keepNext/>
              <w:keepLines/>
              <w:rPr>
                <w:rFonts w:asciiTheme="majorBidi" w:hAnsiTheme="majorBidi" w:cstheme="majorBidi"/>
              </w:rPr>
            </w:pPr>
            <w:r w:rsidRPr="00396EED">
              <w:rPr>
                <w:rFonts w:asciiTheme="majorBidi" w:hAnsiTheme="majorBidi" w:cstheme="majorBidi"/>
              </w:rPr>
              <w:t>ULF</w:t>
            </w:r>
          </w:p>
        </w:tc>
        <w:tc>
          <w:tcPr>
            <w:tcW w:w="2604" w:type="dxa"/>
            <w:tcBorders>
              <w:top w:val="single" w:sz="6" w:space="0" w:color="auto"/>
              <w:left w:val="single" w:sz="6" w:space="0" w:color="auto"/>
              <w:right w:val="single" w:sz="6" w:space="0" w:color="auto"/>
            </w:tcBorders>
          </w:tcPr>
          <w:p w:rsidR="00C57CE3" w:rsidRPr="00396EED" w:rsidRDefault="00C57CE3" w:rsidP="008644E6">
            <w:pPr>
              <w:pStyle w:val="Tabletext"/>
              <w:keepNext/>
              <w:keepLines/>
              <w:rPr>
                <w:rFonts w:asciiTheme="majorBidi" w:hAnsiTheme="majorBidi" w:cstheme="majorBidi"/>
              </w:rPr>
            </w:pPr>
            <w:r w:rsidRPr="00396EED">
              <w:rPr>
                <w:rFonts w:asciiTheme="majorBidi" w:hAnsiTheme="majorBidi" w:cstheme="majorBidi"/>
              </w:rPr>
              <w:t>300-3 000 Hz</w:t>
            </w:r>
          </w:p>
        </w:tc>
        <w:tc>
          <w:tcPr>
            <w:tcW w:w="2575" w:type="dxa"/>
            <w:tcBorders>
              <w:top w:val="single" w:sz="6" w:space="0" w:color="auto"/>
              <w:left w:val="single" w:sz="6" w:space="0" w:color="auto"/>
              <w:right w:val="single" w:sz="6" w:space="0" w:color="auto"/>
            </w:tcBorders>
          </w:tcPr>
          <w:p w:rsidR="00C57CE3" w:rsidRPr="00396EED" w:rsidRDefault="00C57CE3" w:rsidP="008644E6">
            <w:pPr>
              <w:pStyle w:val="Tabletext"/>
              <w:keepNext/>
              <w:keepLines/>
              <w:rPr>
                <w:rFonts w:asciiTheme="majorBidi" w:hAnsiTheme="majorBidi" w:cstheme="majorBidi"/>
              </w:rPr>
            </w:pPr>
            <w:r w:rsidRPr="00396EED">
              <w:rPr>
                <w:rFonts w:asciiTheme="majorBidi" w:hAnsiTheme="majorBidi" w:cstheme="majorBidi"/>
              </w:rPr>
              <w:t>Ondes hectokilométriques</w:t>
            </w:r>
          </w:p>
        </w:tc>
        <w:tc>
          <w:tcPr>
            <w:tcW w:w="1684" w:type="dxa"/>
            <w:tcBorders>
              <w:top w:val="single" w:sz="6" w:space="0" w:color="auto"/>
              <w:left w:val="single" w:sz="6" w:space="0" w:color="auto"/>
              <w:right w:val="single" w:sz="6" w:space="0" w:color="auto"/>
            </w:tcBorders>
          </w:tcPr>
          <w:p w:rsidR="00C57CE3" w:rsidRPr="00396EED" w:rsidRDefault="00C57CE3" w:rsidP="008644E6">
            <w:pPr>
              <w:pStyle w:val="Tabletext"/>
              <w:keepNext/>
              <w:keepLines/>
              <w:rPr>
                <w:rFonts w:asciiTheme="majorBidi" w:hAnsiTheme="majorBidi" w:cstheme="majorBidi"/>
              </w:rPr>
            </w:pPr>
            <w:r w:rsidRPr="00396EED">
              <w:rPr>
                <w:rFonts w:asciiTheme="majorBidi" w:hAnsiTheme="majorBidi" w:cstheme="majorBidi"/>
              </w:rPr>
              <w:t>B.hkm</w:t>
            </w:r>
          </w:p>
        </w:tc>
      </w:tr>
      <w:tr w:rsidR="00C57CE3" w:rsidRPr="004A66C8" w:rsidTr="00AC302C">
        <w:trPr>
          <w:cantSplit/>
          <w:jc w:val="center"/>
        </w:trPr>
        <w:tc>
          <w:tcPr>
            <w:tcW w:w="1418" w:type="dxa"/>
            <w:tcBorders>
              <w:left w:val="single" w:sz="6" w:space="0" w:color="auto"/>
              <w:right w:val="single" w:sz="6" w:space="0" w:color="auto"/>
            </w:tcBorders>
          </w:tcPr>
          <w:p w:rsidR="00C57CE3" w:rsidRPr="00396EED" w:rsidRDefault="00C57CE3" w:rsidP="008644E6">
            <w:pPr>
              <w:pStyle w:val="Tabletext"/>
              <w:keepNext/>
              <w:keepLines/>
              <w:jc w:val="center"/>
              <w:rPr>
                <w:rFonts w:asciiTheme="majorBidi" w:hAnsiTheme="majorBidi" w:cstheme="majorBidi"/>
              </w:rPr>
            </w:pPr>
            <w:r w:rsidRPr="00396EED">
              <w:rPr>
                <w:rFonts w:asciiTheme="majorBidi" w:hAnsiTheme="majorBidi" w:cstheme="majorBidi"/>
              </w:rPr>
              <w:t>4</w:t>
            </w:r>
          </w:p>
        </w:tc>
        <w:tc>
          <w:tcPr>
            <w:tcW w:w="1360" w:type="dxa"/>
            <w:tcBorders>
              <w:left w:val="single" w:sz="6" w:space="0" w:color="auto"/>
              <w:right w:val="single" w:sz="6" w:space="0" w:color="auto"/>
            </w:tcBorders>
          </w:tcPr>
          <w:p w:rsidR="00C57CE3" w:rsidRPr="00396EED" w:rsidRDefault="00C57CE3" w:rsidP="008644E6">
            <w:pPr>
              <w:pStyle w:val="Tabletext"/>
              <w:keepNext/>
              <w:keepLines/>
              <w:rPr>
                <w:rFonts w:asciiTheme="majorBidi" w:hAnsiTheme="majorBidi" w:cstheme="majorBidi"/>
              </w:rPr>
            </w:pPr>
            <w:r w:rsidRPr="00396EED">
              <w:rPr>
                <w:rFonts w:asciiTheme="majorBidi" w:hAnsiTheme="majorBidi" w:cstheme="majorBidi"/>
              </w:rPr>
              <w:t>VLF</w:t>
            </w:r>
          </w:p>
        </w:tc>
        <w:tc>
          <w:tcPr>
            <w:tcW w:w="2604" w:type="dxa"/>
            <w:tcBorders>
              <w:left w:val="single" w:sz="6" w:space="0" w:color="auto"/>
              <w:right w:val="single" w:sz="6" w:space="0" w:color="auto"/>
            </w:tcBorders>
          </w:tcPr>
          <w:p w:rsidR="00C57CE3" w:rsidRPr="00396EED" w:rsidRDefault="00C57CE3" w:rsidP="008644E6">
            <w:pPr>
              <w:pStyle w:val="Tabletext"/>
              <w:keepNext/>
              <w:keepLines/>
              <w:rPr>
                <w:rFonts w:asciiTheme="majorBidi" w:hAnsiTheme="majorBidi" w:cstheme="majorBidi"/>
              </w:rPr>
            </w:pPr>
            <w:r w:rsidRPr="00396EED">
              <w:rPr>
                <w:rFonts w:asciiTheme="majorBidi" w:hAnsiTheme="majorBidi" w:cstheme="majorBidi"/>
              </w:rPr>
              <w:t>3-30 kHz</w:t>
            </w:r>
          </w:p>
        </w:tc>
        <w:tc>
          <w:tcPr>
            <w:tcW w:w="2575" w:type="dxa"/>
            <w:tcBorders>
              <w:left w:val="single" w:sz="6" w:space="0" w:color="auto"/>
              <w:right w:val="single" w:sz="6" w:space="0" w:color="auto"/>
            </w:tcBorders>
          </w:tcPr>
          <w:p w:rsidR="00C57CE3" w:rsidRPr="00396EED" w:rsidRDefault="00C57CE3" w:rsidP="008644E6">
            <w:pPr>
              <w:pStyle w:val="Tabletext"/>
              <w:keepNext/>
              <w:keepLines/>
              <w:rPr>
                <w:rFonts w:asciiTheme="majorBidi" w:hAnsiTheme="majorBidi" w:cstheme="majorBidi"/>
              </w:rPr>
            </w:pPr>
            <w:r w:rsidRPr="00396EED">
              <w:rPr>
                <w:rFonts w:asciiTheme="majorBidi" w:hAnsiTheme="majorBidi" w:cstheme="majorBidi"/>
              </w:rPr>
              <w:t>Ondes myriamétriques</w:t>
            </w:r>
          </w:p>
        </w:tc>
        <w:tc>
          <w:tcPr>
            <w:tcW w:w="1684" w:type="dxa"/>
            <w:tcBorders>
              <w:left w:val="single" w:sz="6" w:space="0" w:color="auto"/>
              <w:right w:val="single" w:sz="6" w:space="0" w:color="auto"/>
            </w:tcBorders>
          </w:tcPr>
          <w:p w:rsidR="00C57CE3" w:rsidRPr="00396EED" w:rsidRDefault="00C57CE3" w:rsidP="008644E6">
            <w:pPr>
              <w:pStyle w:val="Tabletext"/>
              <w:keepNext/>
              <w:keepLines/>
              <w:rPr>
                <w:rFonts w:asciiTheme="majorBidi" w:hAnsiTheme="majorBidi" w:cstheme="majorBidi"/>
              </w:rPr>
            </w:pPr>
            <w:r w:rsidRPr="00396EED">
              <w:rPr>
                <w:rFonts w:asciiTheme="majorBidi" w:hAnsiTheme="majorBidi" w:cstheme="majorBidi"/>
              </w:rPr>
              <w:t>B.Mam</w:t>
            </w:r>
          </w:p>
        </w:tc>
      </w:tr>
      <w:tr w:rsidR="00C57CE3" w:rsidRPr="004A66C8" w:rsidTr="00AC302C">
        <w:trPr>
          <w:cantSplit/>
          <w:jc w:val="center"/>
        </w:trPr>
        <w:tc>
          <w:tcPr>
            <w:tcW w:w="1418" w:type="dxa"/>
            <w:tcBorders>
              <w:left w:val="single" w:sz="6" w:space="0" w:color="auto"/>
              <w:right w:val="single" w:sz="6" w:space="0" w:color="auto"/>
            </w:tcBorders>
          </w:tcPr>
          <w:p w:rsidR="00C57CE3" w:rsidRPr="00396EED" w:rsidRDefault="00C57CE3" w:rsidP="00AC302C">
            <w:pPr>
              <w:pStyle w:val="Tabletext"/>
              <w:jc w:val="center"/>
              <w:rPr>
                <w:rFonts w:asciiTheme="majorBidi" w:hAnsiTheme="majorBidi" w:cstheme="majorBidi"/>
              </w:rPr>
            </w:pPr>
            <w:r w:rsidRPr="00396EED">
              <w:rPr>
                <w:rFonts w:asciiTheme="majorBidi" w:hAnsiTheme="majorBidi" w:cstheme="majorBidi"/>
              </w:rPr>
              <w:t>5</w:t>
            </w:r>
          </w:p>
        </w:tc>
        <w:tc>
          <w:tcPr>
            <w:tcW w:w="1360" w:type="dxa"/>
            <w:tcBorders>
              <w:left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LF</w:t>
            </w:r>
          </w:p>
        </w:tc>
        <w:tc>
          <w:tcPr>
            <w:tcW w:w="2604" w:type="dxa"/>
            <w:tcBorders>
              <w:left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30-300 kHz</w:t>
            </w:r>
          </w:p>
        </w:tc>
        <w:tc>
          <w:tcPr>
            <w:tcW w:w="2575" w:type="dxa"/>
            <w:tcBorders>
              <w:left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Ondes kilométriques</w:t>
            </w:r>
          </w:p>
        </w:tc>
        <w:tc>
          <w:tcPr>
            <w:tcW w:w="1684" w:type="dxa"/>
            <w:tcBorders>
              <w:left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B.km</w:t>
            </w:r>
          </w:p>
        </w:tc>
      </w:tr>
      <w:tr w:rsidR="00C57CE3" w:rsidRPr="004A66C8" w:rsidTr="00AC302C">
        <w:trPr>
          <w:cantSplit/>
          <w:jc w:val="center"/>
        </w:trPr>
        <w:tc>
          <w:tcPr>
            <w:tcW w:w="1418" w:type="dxa"/>
            <w:tcBorders>
              <w:left w:val="single" w:sz="6" w:space="0" w:color="auto"/>
              <w:right w:val="single" w:sz="6" w:space="0" w:color="auto"/>
            </w:tcBorders>
          </w:tcPr>
          <w:p w:rsidR="00C57CE3" w:rsidRPr="00396EED" w:rsidRDefault="00C57CE3" w:rsidP="00AC302C">
            <w:pPr>
              <w:pStyle w:val="Tabletext"/>
              <w:jc w:val="center"/>
              <w:rPr>
                <w:rFonts w:asciiTheme="majorBidi" w:hAnsiTheme="majorBidi" w:cstheme="majorBidi"/>
              </w:rPr>
            </w:pPr>
            <w:r w:rsidRPr="00396EED">
              <w:rPr>
                <w:rFonts w:asciiTheme="majorBidi" w:hAnsiTheme="majorBidi" w:cstheme="majorBidi"/>
              </w:rPr>
              <w:t>6</w:t>
            </w:r>
          </w:p>
        </w:tc>
        <w:tc>
          <w:tcPr>
            <w:tcW w:w="1360" w:type="dxa"/>
            <w:tcBorders>
              <w:left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MF</w:t>
            </w:r>
          </w:p>
        </w:tc>
        <w:tc>
          <w:tcPr>
            <w:tcW w:w="2604" w:type="dxa"/>
            <w:tcBorders>
              <w:left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300-3 000 kHz</w:t>
            </w:r>
          </w:p>
        </w:tc>
        <w:tc>
          <w:tcPr>
            <w:tcW w:w="2575" w:type="dxa"/>
            <w:tcBorders>
              <w:left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Ondes hectométriques</w:t>
            </w:r>
          </w:p>
        </w:tc>
        <w:tc>
          <w:tcPr>
            <w:tcW w:w="1684" w:type="dxa"/>
            <w:tcBorders>
              <w:left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B.hm</w:t>
            </w:r>
          </w:p>
        </w:tc>
      </w:tr>
      <w:tr w:rsidR="00C57CE3" w:rsidRPr="004A66C8" w:rsidTr="00AC302C">
        <w:trPr>
          <w:cantSplit/>
          <w:jc w:val="center"/>
        </w:trPr>
        <w:tc>
          <w:tcPr>
            <w:tcW w:w="1418" w:type="dxa"/>
            <w:tcBorders>
              <w:left w:val="single" w:sz="6" w:space="0" w:color="auto"/>
              <w:right w:val="single" w:sz="6" w:space="0" w:color="auto"/>
            </w:tcBorders>
          </w:tcPr>
          <w:p w:rsidR="00C57CE3" w:rsidRPr="00396EED" w:rsidRDefault="00C57CE3" w:rsidP="00AC302C">
            <w:pPr>
              <w:pStyle w:val="Tabletext"/>
              <w:jc w:val="center"/>
              <w:rPr>
                <w:rFonts w:asciiTheme="majorBidi" w:hAnsiTheme="majorBidi" w:cstheme="majorBidi"/>
              </w:rPr>
            </w:pPr>
            <w:r w:rsidRPr="00396EED">
              <w:rPr>
                <w:rFonts w:asciiTheme="majorBidi" w:hAnsiTheme="majorBidi" w:cstheme="majorBidi"/>
              </w:rPr>
              <w:t>7</w:t>
            </w:r>
          </w:p>
        </w:tc>
        <w:tc>
          <w:tcPr>
            <w:tcW w:w="1360" w:type="dxa"/>
            <w:tcBorders>
              <w:left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HF</w:t>
            </w:r>
          </w:p>
        </w:tc>
        <w:tc>
          <w:tcPr>
            <w:tcW w:w="2604" w:type="dxa"/>
            <w:tcBorders>
              <w:left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3-30 MHz</w:t>
            </w:r>
          </w:p>
        </w:tc>
        <w:tc>
          <w:tcPr>
            <w:tcW w:w="2575" w:type="dxa"/>
            <w:tcBorders>
              <w:left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Ondes décamétriques</w:t>
            </w:r>
          </w:p>
        </w:tc>
        <w:tc>
          <w:tcPr>
            <w:tcW w:w="1684" w:type="dxa"/>
            <w:tcBorders>
              <w:left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B.dam</w:t>
            </w:r>
          </w:p>
        </w:tc>
      </w:tr>
      <w:tr w:rsidR="00C57CE3" w:rsidRPr="004A66C8" w:rsidTr="00AC302C">
        <w:trPr>
          <w:cantSplit/>
          <w:jc w:val="center"/>
        </w:trPr>
        <w:tc>
          <w:tcPr>
            <w:tcW w:w="1418" w:type="dxa"/>
            <w:tcBorders>
              <w:left w:val="single" w:sz="6" w:space="0" w:color="auto"/>
              <w:right w:val="single" w:sz="6" w:space="0" w:color="auto"/>
            </w:tcBorders>
          </w:tcPr>
          <w:p w:rsidR="00C57CE3" w:rsidRPr="00396EED" w:rsidRDefault="00C57CE3" w:rsidP="00AC302C">
            <w:pPr>
              <w:pStyle w:val="Tabletext"/>
              <w:jc w:val="center"/>
              <w:rPr>
                <w:rFonts w:asciiTheme="majorBidi" w:hAnsiTheme="majorBidi" w:cstheme="majorBidi"/>
              </w:rPr>
            </w:pPr>
            <w:r w:rsidRPr="00396EED">
              <w:rPr>
                <w:rFonts w:asciiTheme="majorBidi" w:hAnsiTheme="majorBidi" w:cstheme="majorBidi"/>
              </w:rPr>
              <w:t>8</w:t>
            </w:r>
          </w:p>
        </w:tc>
        <w:tc>
          <w:tcPr>
            <w:tcW w:w="1360"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VHF</w:t>
            </w:r>
          </w:p>
        </w:tc>
        <w:tc>
          <w:tcPr>
            <w:tcW w:w="260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30-300 MHz</w:t>
            </w:r>
          </w:p>
        </w:tc>
        <w:tc>
          <w:tcPr>
            <w:tcW w:w="2575"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Ondes métriques</w:t>
            </w:r>
          </w:p>
        </w:tc>
        <w:tc>
          <w:tcPr>
            <w:tcW w:w="168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B.m</w:t>
            </w:r>
          </w:p>
        </w:tc>
      </w:tr>
      <w:tr w:rsidR="00C57CE3" w:rsidRPr="004A66C8" w:rsidTr="00AC302C">
        <w:trPr>
          <w:cantSplit/>
          <w:jc w:val="center"/>
        </w:trPr>
        <w:tc>
          <w:tcPr>
            <w:tcW w:w="1418" w:type="dxa"/>
            <w:tcBorders>
              <w:left w:val="single" w:sz="6" w:space="0" w:color="auto"/>
              <w:right w:val="single" w:sz="6" w:space="0" w:color="auto"/>
            </w:tcBorders>
          </w:tcPr>
          <w:p w:rsidR="00C57CE3" w:rsidRPr="00396EED" w:rsidRDefault="00C57CE3" w:rsidP="00AC302C">
            <w:pPr>
              <w:pStyle w:val="Tabletext"/>
              <w:jc w:val="center"/>
              <w:rPr>
                <w:rFonts w:asciiTheme="majorBidi" w:hAnsiTheme="majorBidi" w:cstheme="majorBidi"/>
              </w:rPr>
            </w:pPr>
            <w:r w:rsidRPr="00396EED">
              <w:rPr>
                <w:rFonts w:asciiTheme="majorBidi" w:hAnsiTheme="majorBidi" w:cstheme="majorBidi"/>
              </w:rPr>
              <w:t>9</w:t>
            </w:r>
          </w:p>
        </w:tc>
        <w:tc>
          <w:tcPr>
            <w:tcW w:w="1360"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UHF</w:t>
            </w:r>
          </w:p>
        </w:tc>
        <w:tc>
          <w:tcPr>
            <w:tcW w:w="260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300-3 000 MHz</w:t>
            </w:r>
          </w:p>
        </w:tc>
        <w:tc>
          <w:tcPr>
            <w:tcW w:w="2575"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Ondes décimétriques</w:t>
            </w:r>
          </w:p>
        </w:tc>
        <w:tc>
          <w:tcPr>
            <w:tcW w:w="168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B.dm</w:t>
            </w:r>
          </w:p>
        </w:tc>
      </w:tr>
      <w:tr w:rsidR="00C57CE3" w:rsidRPr="004A66C8" w:rsidTr="00AC302C">
        <w:trPr>
          <w:cantSplit/>
          <w:jc w:val="center"/>
        </w:trPr>
        <w:tc>
          <w:tcPr>
            <w:tcW w:w="1418" w:type="dxa"/>
            <w:tcBorders>
              <w:left w:val="single" w:sz="6" w:space="0" w:color="auto"/>
              <w:right w:val="single" w:sz="6" w:space="0" w:color="auto"/>
            </w:tcBorders>
          </w:tcPr>
          <w:p w:rsidR="00C57CE3" w:rsidRPr="00396EED" w:rsidRDefault="00C57CE3" w:rsidP="00AC302C">
            <w:pPr>
              <w:pStyle w:val="Tabletext"/>
              <w:jc w:val="center"/>
              <w:rPr>
                <w:rFonts w:asciiTheme="majorBidi" w:hAnsiTheme="majorBidi" w:cstheme="majorBidi"/>
              </w:rPr>
            </w:pPr>
            <w:r w:rsidRPr="00396EED">
              <w:rPr>
                <w:rFonts w:asciiTheme="majorBidi" w:hAnsiTheme="majorBidi" w:cstheme="majorBidi"/>
              </w:rPr>
              <w:t>10</w:t>
            </w:r>
          </w:p>
        </w:tc>
        <w:tc>
          <w:tcPr>
            <w:tcW w:w="1360"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SHF</w:t>
            </w:r>
          </w:p>
        </w:tc>
        <w:tc>
          <w:tcPr>
            <w:tcW w:w="260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3-30 GHz</w:t>
            </w:r>
          </w:p>
        </w:tc>
        <w:tc>
          <w:tcPr>
            <w:tcW w:w="2575"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Ondes centimétriques</w:t>
            </w:r>
          </w:p>
        </w:tc>
        <w:tc>
          <w:tcPr>
            <w:tcW w:w="168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B.cm</w:t>
            </w:r>
          </w:p>
        </w:tc>
      </w:tr>
      <w:tr w:rsidR="00C57CE3" w:rsidRPr="004A66C8" w:rsidTr="00AC302C">
        <w:trPr>
          <w:cantSplit/>
          <w:jc w:val="center"/>
        </w:trPr>
        <w:tc>
          <w:tcPr>
            <w:tcW w:w="1418" w:type="dxa"/>
            <w:tcBorders>
              <w:left w:val="single" w:sz="6" w:space="0" w:color="auto"/>
              <w:right w:val="single" w:sz="6" w:space="0" w:color="auto"/>
            </w:tcBorders>
          </w:tcPr>
          <w:p w:rsidR="00C57CE3" w:rsidRPr="00396EED" w:rsidRDefault="00C57CE3" w:rsidP="00AC302C">
            <w:pPr>
              <w:pStyle w:val="Tabletext"/>
              <w:jc w:val="center"/>
              <w:rPr>
                <w:rFonts w:asciiTheme="majorBidi" w:hAnsiTheme="majorBidi" w:cstheme="majorBidi"/>
              </w:rPr>
            </w:pPr>
            <w:r w:rsidRPr="00396EED">
              <w:rPr>
                <w:rFonts w:asciiTheme="majorBidi" w:hAnsiTheme="majorBidi" w:cstheme="majorBidi"/>
              </w:rPr>
              <w:t>11</w:t>
            </w:r>
          </w:p>
        </w:tc>
        <w:tc>
          <w:tcPr>
            <w:tcW w:w="1360"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EHF</w:t>
            </w:r>
          </w:p>
        </w:tc>
        <w:tc>
          <w:tcPr>
            <w:tcW w:w="260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30-300 GHz</w:t>
            </w:r>
          </w:p>
        </w:tc>
        <w:tc>
          <w:tcPr>
            <w:tcW w:w="2575"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Ondes millimétriques</w:t>
            </w:r>
          </w:p>
        </w:tc>
        <w:tc>
          <w:tcPr>
            <w:tcW w:w="168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B.mm</w:t>
            </w:r>
          </w:p>
        </w:tc>
      </w:tr>
      <w:tr w:rsidR="00C57CE3" w:rsidRPr="004A66C8" w:rsidTr="00AC302C">
        <w:trPr>
          <w:cantSplit/>
          <w:jc w:val="center"/>
        </w:trPr>
        <w:tc>
          <w:tcPr>
            <w:tcW w:w="1418" w:type="dxa"/>
            <w:tcBorders>
              <w:left w:val="single" w:sz="6" w:space="0" w:color="auto"/>
              <w:right w:val="single" w:sz="6" w:space="0" w:color="auto"/>
            </w:tcBorders>
          </w:tcPr>
          <w:p w:rsidR="00C57CE3" w:rsidRPr="00396EED" w:rsidRDefault="00C57CE3" w:rsidP="00AC302C">
            <w:pPr>
              <w:pStyle w:val="Tabletext"/>
              <w:jc w:val="center"/>
              <w:rPr>
                <w:rFonts w:asciiTheme="majorBidi" w:hAnsiTheme="majorBidi" w:cstheme="majorBidi"/>
              </w:rPr>
            </w:pPr>
            <w:r w:rsidRPr="00396EED">
              <w:rPr>
                <w:rFonts w:asciiTheme="majorBidi" w:hAnsiTheme="majorBidi" w:cstheme="majorBidi"/>
              </w:rPr>
              <w:t>12</w:t>
            </w:r>
          </w:p>
        </w:tc>
        <w:tc>
          <w:tcPr>
            <w:tcW w:w="1360" w:type="dxa"/>
            <w:tcBorders>
              <w:right w:val="single" w:sz="6" w:space="0" w:color="auto"/>
            </w:tcBorders>
          </w:tcPr>
          <w:p w:rsidR="00C57CE3" w:rsidRPr="00396EED" w:rsidRDefault="00C57CE3" w:rsidP="00AC302C">
            <w:pPr>
              <w:pStyle w:val="Tabletext"/>
              <w:rPr>
                <w:rFonts w:asciiTheme="majorBidi" w:hAnsiTheme="majorBidi" w:cstheme="majorBidi"/>
              </w:rPr>
            </w:pPr>
          </w:p>
        </w:tc>
        <w:tc>
          <w:tcPr>
            <w:tcW w:w="260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300-3 000 GHz</w:t>
            </w:r>
          </w:p>
        </w:tc>
        <w:tc>
          <w:tcPr>
            <w:tcW w:w="2575"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Ondes décimillimétriques</w:t>
            </w:r>
          </w:p>
        </w:tc>
        <w:tc>
          <w:tcPr>
            <w:tcW w:w="168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B.dmm</w:t>
            </w:r>
          </w:p>
        </w:tc>
      </w:tr>
      <w:tr w:rsidR="00C57CE3" w:rsidRPr="004A66C8" w:rsidTr="00AC302C">
        <w:trPr>
          <w:cantSplit/>
          <w:jc w:val="center"/>
        </w:trPr>
        <w:tc>
          <w:tcPr>
            <w:tcW w:w="1418" w:type="dxa"/>
            <w:tcBorders>
              <w:left w:val="single" w:sz="6" w:space="0" w:color="auto"/>
              <w:right w:val="single" w:sz="6" w:space="0" w:color="auto"/>
            </w:tcBorders>
          </w:tcPr>
          <w:p w:rsidR="00C57CE3" w:rsidRPr="00396EED" w:rsidRDefault="00C57CE3" w:rsidP="00AC302C">
            <w:pPr>
              <w:pStyle w:val="Tabletext"/>
              <w:jc w:val="center"/>
              <w:rPr>
                <w:rFonts w:asciiTheme="majorBidi" w:hAnsiTheme="majorBidi" w:cstheme="majorBidi"/>
              </w:rPr>
            </w:pPr>
            <w:r w:rsidRPr="00396EED">
              <w:rPr>
                <w:rFonts w:asciiTheme="majorBidi" w:hAnsiTheme="majorBidi" w:cstheme="majorBidi"/>
              </w:rPr>
              <w:t>13</w:t>
            </w:r>
          </w:p>
        </w:tc>
        <w:tc>
          <w:tcPr>
            <w:tcW w:w="1360" w:type="dxa"/>
            <w:tcBorders>
              <w:right w:val="single" w:sz="6" w:space="0" w:color="auto"/>
            </w:tcBorders>
          </w:tcPr>
          <w:p w:rsidR="00C57CE3" w:rsidRPr="00396EED" w:rsidRDefault="00C57CE3" w:rsidP="00AC302C">
            <w:pPr>
              <w:pStyle w:val="Tabletext"/>
              <w:rPr>
                <w:rFonts w:asciiTheme="majorBidi" w:hAnsiTheme="majorBidi" w:cstheme="majorBidi"/>
              </w:rPr>
            </w:pPr>
          </w:p>
        </w:tc>
        <w:tc>
          <w:tcPr>
            <w:tcW w:w="260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3-30 THz</w:t>
            </w:r>
          </w:p>
        </w:tc>
        <w:tc>
          <w:tcPr>
            <w:tcW w:w="2575"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Ondes centimillimétriques</w:t>
            </w:r>
          </w:p>
        </w:tc>
        <w:tc>
          <w:tcPr>
            <w:tcW w:w="168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B.cmm</w:t>
            </w:r>
          </w:p>
        </w:tc>
      </w:tr>
      <w:tr w:rsidR="00C57CE3" w:rsidRPr="004A66C8" w:rsidTr="00AC302C">
        <w:trPr>
          <w:cantSplit/>
          <w:jc w:val="center"/>
        </w:trPr>
        <w:tc>
          <w:tcPr>
            <w:tcW w:w="1418" w:type="dxa"/>
            <w:tcBorders>
              <w:left w:val="single" w:sz="6" w:space="0" w:color="auto"/>
              <w:right w:val="single" w:sz="6" w:space="0" w:color="auto"/>
            </w:tcBorders>
          </w:tcPr>
          <w:p w:rsidR="00C57CE3" w:rsidRPr="00396EED" w:rsidRDefault="00C57CE3" w:rsidP="00AC302C">
            <w:pPr>
              <w:pStyle w:val="Tabletext"/>
              <w:jc w:val="center"/>
              <w:rPr>
                <w:rFonts w:asciiTheme="majorBidi" w:hAnsiTheme="majorBidi" w:cstheme="majorBidi"/>
              </w:rPr>
            </w:pPr>
            <w:r w:rsidRPr="00396EED">
              <w:rPr>
                <w:rFonts w:asciiTheme="majorBidi" w:hAnsiTheme="majorBidi" w:cstheme="majorBidi"/>
              </w:rPr>
              <w:t>14</w:t>
            </w:r>
          </w:p>
        </w:tc>
        <w:tc>
          <w:tcPr>
            <w:tcW w:w="1360" w:type="dxa"/>
            <w:tcBorders>
              <w:right w:val="single" w:sz="6" w:space="0" w:color="auto"/>
            </w:tcBorders>
          </w:tcPr>
          <w:p w:rsidR="00C57CE3" w:rsidRPr="00396EED" w:rsidRDefault="00C57CE3" w:rsidP="00AC302C">
            <w:pPr>
              <w:pStyle w:val="Tabletext"/>
              <w:rPr>
                <w:rFonts w:asciiTheme="majorBidi" w:hAnsiTheme="majorBidi" w:cstheme="majorBidi"/>
              </w:rPr>
            </w:pPr>
          </w:p>
        </w:tc>
        <w:tc>
          <w:tcPr>
            <w:tcW w:w="260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30-300 THz</w:t>
            </w:r>
          </w:p>
        </w:tc>
        <w:tc>
          <w:tcPr>
            <w:tcW w:w="2575"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Ondes micrométiques</w:t>
            </w:r>
          </w:p>
        </w:tc>
        <w:tc>
          <w:tcPr>
            <w:tcW w:w="1684" w:type="dxa"/>
            <w:tcBorders>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B.</w:t>
            </w:r>
            <w:r w:rsidRPr="00396EED">
              <w:rPr>
                <w:rFonts w:asciiTheme="majorBidi" w:hAnsiTheme="majorBidi" w:cstheme="majorBidi"/>
              </w:rPr>
              <w:t>m</w:t>
            </w:r>
          </w:p>
        </w:tc>
      </w:tr>
      <w:tr w:rsidR="00C57CE3" w:rsidRPr="004A66C8" w:rsidTr="00AC302C">
        <w:trPr>
          <w:cantSplit/>
          <w:jc w:val="center"/>
        </w:trPr>
        <w:tc>
          <w:tcPr>
            <w:tcW w:w="1418" w:type="dxa"/>
            <w:tcBorders>
              <w:left w:val="single" w:sz="6" w:space="0" w:color="auto"/>
              <w:bottom w:val="single" w:sz="6" w:space="0" w:color="auto"/>
              <w:right w:val="single" w:sz="6" w:space="0" w:color="auto"/>
            </w:tcBorders>
          </w:tcPr>
          <w:p w:rsidR="00C57CE3" w:rsidRPr="00396EED" w:rsidRDefault="00C57CE3" w:rsidP="00AC302C">
            <w:pPr>
              <w:pStyle w:val="Tabletext"/>
              <w:jc w:val="center"/>
              <w:rPr>
                <w:rFonts w:asciiTheme="majorBidi" w:hAnsiTheme="majorBidi" w:cstheme="majorBidi"/>
              </w:rPr>
            </w:pPr>
            <w:r w:rsidRPr="00396EED">
              <w:rPr>
                <w:rFonts w:asciiTheme="majorBidi" w:hAnsiTheme="majorBidi" w:cstheme="majorBidi"/>
              </w:rPr>
              <w:t>15</w:t>
            </w:r>
          </w:p>
        </w:tc>
        <w:tc>
          <w:tcPr>
            <w:tcW w:w="1360" w:type="dxa"/>
            <w:tcBorders>
              <w:left w:val="single" w:sz="6" w:space="0" w:color="auto"/>
              <w:bottom w:val="single" w:sz="6" w:space="0" w:color="auto"/>
              <w:right w:val="single" w:sz="6" w:space="0" w:color="auto"/>
            </w:tcBorders>
          </w:tcPr>
          <w:p w:rsidR="00C57CE3" w:rsidRPr="00396EED" w:rsidRDefault="00C57CE3" w:rsidP="00AC302C">
            <w:pPr>
              <w:pStyle w:val="Tabletext"/>
              <w:rPr>
                <w:rFonts w:asciiTheme="majorBidi" w:hAnsiTheme="majorBidi" w:cstheme="majorBidi"/>
              </w:rPr>
            </w:pPr>
          </w:p>
        </w:tc>
        <w:tc>
          <w:tcPr>
            <w:tcW w:w="2604" w:type="dxa"/>
            <w:tcBorders>
              <w:left w:val="single" w:sz="6" w:space="0" w:color="auto"/>
              <w:bottom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300-3 000 THz</w:t>
            </w:r>
          </w:p>
        </w:tc>
        <w:tc>
          <w:tcPr>
            <w:tcW w:w="2575" w:type="dxa"/>
            <w:tcBorders>
              <w:left w:val="single" w:sz="6" w:space="0" w:color="auto"/>
              <w:bottom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Ondes décimicrométriques</w:t>
            </w:r>
          </w:p>
        </w:tc>
        <w:tc>
          <w:tcPr>
            <w:tcW w:w="1684" w:type="dxa"/>
            <w:tcBorders>
              <w:left w:val="single" w:sz="6" w:space="0" w:color="auto"/>
              <w:bottom w:val="single" w:sz="6" w:space="0" w:color="auto"/>
              <w:right w:val="single" w:sz="6" w:space="0" w:color="auto"/>
            </w:tcBorders>
          </w:tcPr>
          <w:p w:rsidR="00C57CE3" w:rsidRPr="00396EED" w:rsidRDefault="00C57CE3" w:rsidP="00AC302C">
            <w:pPr>
              <w:pStyle w:val="Tabletext"/>
              <w:rPr>
                <w:rFonts w:asciiTheme="majorBidi" w:hAnsiTheme="majorBidi" w:cstheme="majorBidi"/>
              </w:rPr>
            </w:pPr>
            <w:r w:rsidRPr="00396EED">
              <w:rPr>
                <w:rFonts w:asciiTheme="majorBidi" w:hAnsiTheme="majorBidi" w:cstheme="majorBidi"/>
              </w:rPr>
              <w:t>B.d</w:t>
            </w:r>
            <w:r w:rsidRPr="00396EED">
              <w:rPr>
                <w:rFonts w:asciiTheme="majorBidi" w:hAnsiTheme="majorBidi" w:cstheme="majorBidi"/>
              </w:rPr>
              <w:t>m</w:t>
            </w:r>
          </w:p>
        </w:tc>
      </w:tr>
    </w:tbl>
    <w:p w:rsidR="00C57CE3" w:rsidRPr="004A66C8" w:rsidRDefault="00C57CE3" w:rsidP="008644E6">
      <w:pPr>
        <w:pStyle w:val="Note"/>
        <w:spacing w:before="240"/>
        <w:rPr>
          <w:szCs w:val="24"/>
        </w:rPr>
      </w:pPr>
      <w:r w:rsidRPr="004A66C8">
        <w:rPr>
          <w:szCs w:val="24"/>
        </w:rPr>
        <w:t xml:space="preserve">NOTE 1 – La «bande N» s'étend de 0,3 </w:t>
      </w:r>
      <w:r w:rsidRPr="004A66C8">
        <w:rPr>
          <w:rFonts w:ascii="Symbol" w:hAnsi="Symbol"/>
          <w:szCs w:val="24"/>
        </w:rPr>
        <w:t></w:t>
      </w:r>
      <w:r w:rsidRPr="004A66C8">
        <w:rPr>
          <w:szCs w:val="24"/>
        </w:rPr>
        <w:t xml:space="preserve"> </w:t>
      </w:r>
      <w:r w:rsidR="008644E6" w:rsidRPr="008644E6">
        <w:rPr>
          <w:lang w:val="fr-CH"/>
        </w:rPr>
        <w:t>10</w:t>
      </w:r>
      <w:r w:rsidR="008644E6" w:rsidRPr="008644E6">
        <w:rPr>
          <w:position w:val="6"/>
          <w:sz w:val="16"/>
          <w:lang w:val="fr-CH"/>
        </w:rPr>
        <w:t>N</w:t>
      </w:r>
      <w:r w:rsidRPr="004A66C8">
        <w:rPr>
          <w:szCs w:val="24"/>
        </w:rPr>
        <w:t xml:space="preserve"> à 3 </w:t>
      </w:r>
      <w:r w:rsidRPr="004A66C8">
        <w:rPr>
          <w:rFonts w:ascii="Symbol" w:hAnsi="Symbol"/>
          <w:szCs w:val="24"/>
        </w:rPr>
        <w:t></w:t>
      </w:r>
      <w:r w:rsidRPr="004A66C8">
        <w:rPr>
          <w:szCs w:val="24"/>
        </w:rPr>
        <w:t xml:space="preserve"> </w:t>
      </w:r>
      <w:r w:rsidR="008644E6" w:rsidRPr="008644E6">
        <w:rPr>
          <w:lang w:val="fr-CH"/>
        </w:rPr>
        <w:t>10</w:t>
      </w:r>
      <w:r w:rsidR="008644E6" w:rsidRPr="008644E6">
        <w:rPr>
          <w:position w:val="6"/>
          <w:sz w:val="16"/>
          <w:lang w:val="fr-CH"/>
        </w:rPr>
        <w:t>N</w:t>
      </w:r>
      <w:r w:rsidRPr="004A66C8">
        <w:rPr>
          <w:szCs w:val="24"/>
        </w:rPr>
        <w:t xml:space="preserve"> Hz.</w:t>
      </w:r>
    </w:p>
    <w:p w:rsidR="00C57CE3" w:rsidRPr="004A66C8" w:rsidRDefault="00C57CE3" w:rsidP="008644E6">
      <w:pPr>
        <w:pStyle w:val="Note"/>
        <w:tabs>
          <w:tab w:val="left" w:pos="1985"/>
          <w:tab w:val="left" w:pos="2552"/>
        </w:tabs>
        <w:ind w:left="1985" w:hanging="1985"/>
        <w:rPr>
          <w:szCs w:val="24"/>
        </w:rPr>
      </w:pPr>
      <w:r w:rsidRPr="004A66C8">
        <w:rPr>
          <w:szCs w:val="24"/>
        </w:rPr>
        <w:t>NOTE 2 – Symboles:</w:t>
      </w:r>
      <w:r w:rsidRPr="004A66C8">
        <w:rPr>
          <w:szCs w:val="24"/>
        </w:rPr>
        <w:tab/>
        <w:t>Hz:</w:t>
      </w:r>
      <w:r w:rsidRPr="004A66C8">
        <w:rPr>
          <w:szCs w:val="24"/>
        </w:rPr>
        <w:tab/>
        <w:t>hertz</w:t>
      </w:r>
      <w:r w:rsidRPr="004A66C8">
        <w:rPr>
          <w:szCs w:val="24"/>
        </w:rPr>
        <w:br/>
      </w:r>
      <w:r>
        <w:rPr>
          <w:szCs w:val="24"/>
        </w:rPr>
        <w:tab/>
      </w:r>
      <w:r w:rsidRPr="004A66C8">
        <w:rPr>
          <w:szCs w:val="24"/>
        </w:rPr>
        <w:t>k:</w:t>
      </w:r>
      <w:r w:rsidRPr="004A66C8">
        <w:rPr>
          <w:szCs w:val="24"/>
        </w:rPr>
        <w:tab/>
        <w:t>kilo (</w:t>
      </w:r>
      <w:r w:rsidR="008644E6" w:rsidRPr="008644E6">
        <w:t>10</w:t>
      </w:r>
      <w:r w:rsidR="008644E6" w:rsidRPr="008644E6">
        <w:rPr>
          <w:position w:val="6"/>
          <w:sz w:val="16"/>
        </w:rPr>
        <w:t>3</w:t>
      </w:r>
      <w:r w:rsidRPr="004A66C8">
        <w:rPr>
          <w:szCs w:val="24"/>
        </w:rPr>
        <w:t>), M: méga (</w:t>
      </w:r>
      <w:r w:rsidR="008644E6" w:rsidRPr="008644E6">
        <w:t>10</w:t>
      </w:r>
      <w:r w:rsidR="008644E6">
        <w:rPr>
          <w:position w:val="6"/>
          <w:sz w:val="16"/>
        </w:rPr>
        <w:t>6</w:t>
      </w:r>
      <w:r w:rsidRPr="004A66C8">
        <w:rPr>
          <w:szCs w:val="24"/>
        </w:rPr>
        <w:t>), G: giga (</w:t>
      </w:r>
      <w:r w:rsidR="008644E6" w:rsidRPr="008644E6">
        <w:t>10</w:t>
      </w:r>
      <w:r w:rsidR="008644E6">
        <w:rPr>
          <w:position w:val="6"/>
          <w:sz w:val="16"/>
        </w:rPr>
        <w:t>9</w:t>
      </w:r>
      <w:r w:rsidRPr="004A66C8">
        <w:rPr>
          <w:szCs w:val="24"/>
        </w:rPr>
        <w:t>), T: téra (</w:t>
      </w:r>
      <w:r w:rsidR="008644E6" w:rsidRPr="008644E6">
        <w:t>10</w:t>
      </w:r>
      <w:r w:rsidR="008644E6">
        <w:rPr>
          <w:position w:val="6"/>
          <w:sz w:val="16"/>
        </w:rPr>
        <w:t>12</w:t>
      </w:r>
      <w:r w:rsidRPr="004A66C8">
        <w:rPr>
          <w:szCs w:val="24"/>
        </w:rPr>
        <w:t>)</w:t>
      </w:r>
      <w:r w:rsidRPr="004A66C8">
        <w:rPr>
          <w:szCs w:val="24"/>
        </w:rPr>
        <w:br/>
      </w:r>
      <w:r>
        <w:rPr>
          <w:rFonts w:ascii="Symbol" w:hAnsi="Symbol"/>
          <w:szCs w:val="24"/>
        </w:rPr>
        <w:tab/>
      </w:r>
      <w:r w:rsidRPr="004A66C8">
        <w:rPr>
          <w:rFonts w:ascii="Symbol" w:hAnsi="Symbol"/>
          <w:szCs w:val="24"/>
        </w:rPr>
        <w:t></w:t>
      </w:r>
      <w:r w:rsidRPr="004A66C8">
        <w:rPr>
          <w:szCs w:val="24"/>
        </w:rPr>
        <w:t>:</w:t>
      </w:r>
      <w:r w:rsidRPr="004A66C8">
        <w:rPr>
          <w:szCs w:val="24"/>
        </w:rPr>
        <w:tab/>
        <w:t>micro (</w:t>
      </w:r>
      <w:r w:rsidR="008644E6" w:rsidRPr="008644E6">
        <w:t>10</w:t>
      </w:r>
      <w:r w:rsidR="008644E6" w:rsidRPr="008644E6">
        <w:rPr>
          <w:position w:val="6"/>
          <w:sz w:val="16"/>
        </w:rPr>
        <w:t>–6</w:t>
      </w:r>
      <w:r w:rsidRPr="004A66C8">
        <w:rPr>
          <w:szCs w:val="24"/>
        </w:rPr>
        <w:t>), m: milli (</w:t>
      </w:r>
      <w:r w:rsidR="008644E6" w:rsidRPr="008644E6">
        <w:t>10</w:t>
      </w:r>
      <w:r w:rsidR="008644E6" w:rsidRPr="008644E6">
        <w:rPr>
          <w:position w:val="6"/>
          <w:sz w:val="16"/>
        </w:rPr>
        <w:t>–</w:t>
      </w:r>
      <w:r w:rsidR="008644E6">
        <w:rPr>
          <w:position w:val="6"/>
          <w:sz w:val="16"/>
        </w:rPr>
        <w:t>3</w:t>
      </w:r>
      <w:r w:rsidRPr="004A66C8">
        <w:rPr>
          <w:szCs w:val="24"/>
        </w:rPr>
        <w:t>), c: centi (</w:t>
      </w:r>
      <w:r w:rsidR="008644E6" w:rsidRPr="008644E6">
        <w:t>10</w:t>
      </w:r>
      <w:r w:rsidR="008644E6" w:rsidRPr="008644E6">
        <w:rPr>
          <w:position w:val="6"/>
          <w:sz w:val="16"/>
        </w:rPr>
        <w:t>–</w:t>
      </w:r>
      <w:r w:rsidR="008644E6">
        <w:rPr>
          <w:position w:val="6"/>
          <w:sz w:val="16"/>
        </w:rPr>
        <w:t>2</w:t>
      </w:r>
      <w:r w:rsidRPr="004A66C8">
        <w:rPr>
          <w:szCs w:val="24"/>
        </w:rPr>
        <w:t>), d: déci (</w:t>
      </w:r>
      <w:r w:rsidR="008644E6" w:rsidRPr="008644E6">
        <w:t>10</w:t>
      </w:r>
      <w:r w:rsidR="008644E6" w:rsidRPr="008644E6">
        <w:rPr>
          <w:position w:val="6"/>
          <w:sz w:val="16"/>
        </w:rPr>
        <w:t>–</w:t>
      </w:r>
      <w:r w:rsidR="008644E6">
        <w:rPr>
          <w:position w:val="6"/>
          <w:sz w:val="16"/>
        </w:rPr>
        <w:t>1</w:t>
      </w:r>
      <w:r w:rsidRPr="004A66C8">
        <w:rPr>
          <w:szCs w:val="24"/>
        </w:rPr>
        <w:t>)</w:t>
      </w:r>
      <w:r w:rsidRPr="004A66C8">
        <w:rPr>
          <w:szCs w:val="24"/>
        </w:rPr>
        <w:br/>
      </w:r>
      <w:r>
        <w:rPr>
          <w:szCs w:val="24"/>
        </w:rPr>
        <w:tab/>
      </w:r>
      <w:r w:rsidRPr="004A66C8">
        <w:rPr>
          <w:szCs w:val="24"/>
        </w:rPr>
        <w:t>da:</w:t>
      </w:r>
      <w:r w:rsidRPr="004A66C8">
        <w:rPr>
          <w:szCs w:val="24"/>
        </w:rPr>
        <w:tab/>
        <w:t>déca (10), h: hecto (</w:t>
      </w:r>
      <w:r w:rsidR="008644E6" w:rsidRPr="008644E6">
        <w:t>10</w:t>
      </w:r>
      <w:r w:rsidR="008644E6">
        <w:rPr>
          <w:position w:val="6"/>
          <w:sz w:val="16"/>
        </w:rPr>
        <w:t>2</w:t>
      </w:r>
      <w:r w:rsidRPr="004A66C8">
        <w:rPr>
          <w:szCs w:val="24"/>
        </w:rPr>
        <w:t>), Ma: myria (</w:t>
      </w:r>
      <w:r w:rsidR="008644E6" w:rsidRPr="008644E6">
        <w:t>10</w:t>
      </w:r>
      <w:r w:rsidR="008644E6">
        <w:rPr>
          <w:position w:val="6"/>
          <w:sz w:val="16"/>
        </w:rPr>
        <w:t>4</w:t>
      </w:r>
      <w:r w:rsidRPr="004A66C8">
        <w:rPr>
          <w:szCs w:val="24"/>
        </w:rPr>
        <w:t>).</w:t>
      </w:r>
    </w:p>
    <w:p w:rsidR="00C57CE3" w:rsidRPr="004A66C8" w:rsidRDefault="00C57CE3" w:rsidP="00C57CE3">
      <w:pPr>
        <w:pStyle w:val="Note"/>
        <w:rPr>
          <w:szCs w:val="24"/>
        </w:rPr>
      </w:pPr>
      <w:r w:rsidRPr="004A66C8">
        <w:rPr>
          <w:szCs w:val="24"/>
        </w:rPr>
        <w:t>NOTE 3 – Cette nomenclature, utilisée pour désigner les fréquences dans le domaine des télécommunications, peut être étendue aux gammes ci-dessous comme le propose l'Union radioscientifique internationale (URSI) (voir le Tableau 2).</w:t>
      </w:r>
    </w:p>
    <w:p w:rsidR="00C57CE3" w:rsidRPr="00396EED" w:rsidRDefault="00C57CE3" w:rsidP="00C57CE3">
      <w:pPr>
        <w:pStyle w:val="TableNo"/>
        <w:rPr>
          <w:szCs w:val="24"/>
        </w:rPr>
      </w:pPr>
      <w:r w:rsidRPr="00396EED">
        <w:rPr>
          <w:szCs w:val="24"/>
        </w:rPr>
        <w:t>TABLEAU  2</w:t>
      </w:r>
    </w:p>
    <w:tbl>
      <w:tblPr>
        <w:tblW w:w="9698" w:type="dxa"/>
        <w:jc w:val="center"/>
        <w:tblLayout w:type="fixed"/>
        <w:tblLook w:val="0000" w:firstRow="0" w:lastRow="0" w:firstColumn="0" w:lastColumn="0" w:noHBand="0" w:noVBand="0"/>
      </w:tblPr>
      <w:tblGrid>
        <w:gridCol w:w="1418"/>
        <w:gridCol w:w="1588"/>
        <w:gridCol w:w="2552"/>
        <w:gridCol w:w="2552"/>
        <w:gridCol w:w="1588"/>
      </w:tblGrid>
      <w:tr w:rsidR="00C57CE3" w:rsidRPr="00396EED" w:rsidTr="00AC302C">
        <w:trPr>
          <w:cantSplit/>
          <w:jc w:val="center"/>
        </w:trPr>
        <w:tc>
          <w:tcPr>
            <w:tcW w:w="1418"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AC302C">
            <w:pPr>
              <w:pStyle w:val="Tablehead"/>
            </w:pPr>
            <w:r w:rsidRPr="00396EED">
              <w:t>Numéro de</w:t>
            </w:r>
            <w:r w:rsidRPr="00396EED">
              <w:br/>
              <w:t>la bande</w:t>
            </w:r>
          </w:p>
        </w:tc>
        <w:tc>
          <w:tcPr>
            <w:tcW w:w="1588"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AC302C">
            <w:pPr>
              <w:pStyle w:val="Tablehead"/>
            </w:pPr>
            <w:r w:rsidRPr="00396EED">
              <w:t>Symboles</w:t>
            </w:r>
            <w:r w:rsidRPr="00396EED">
              <w:br/>
              <w:t>(en anglais)</w:t>
            </w:r>
            <w:r w:rsidRPr="00396EED">
              <w:rPr>
                <w:b w:val="0"/>
                <w:bCs/>
                <w:vertAlign w:val="superscript"/>
              </w:rPr>
              <w:t>(1)</w:t>
            </w:r>
          </w:p>
        </w:tc>
        <w:tc>
          <w:tcPr>
            <w:tcW w:w="2552"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AC302C">
            <w:pPr>
              <w:pStyle w:val="Tablehead"/>
            </w:pPr>
            <w:r w:rsidRPr="00396EED">
              <w:t>Gamme de fréquences</w:t>
            </w:r>
            <w:r w:rsidRPr="00396EED">
              <w:br/>
              <w:t>(limite inférieure exclue,</w:t>
            </w:r>
            <w:r w:rsidRPr="00396EED">
              <w:br/>
              <w:t>limite supérieure incluse)</w:t>
            </w:r>
          </w:p>
        </w:tc>
        <w:tc>
          <w:tcPr>
            <w:tcW w:w="2552"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AC302C">
            <w:pPr>
              <w:pStyle w:val="Tablehead"/>
            </w:pPr>
            <w:r w:rsidRPr="00396EED">
              <w:t>Subdivision métrique correspondante</w:t>
            </w:r>
          </w:p>
        </w:tc>
        <w:tc>
          <w:tcPr>
            <w:tcW w:w="1588"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AC302C">
            <w:pPr>
              <w:pStyle w:val="Tablehead"/>
            </w:pPr>
            <w:r w:rsidRPr="00396EED">
              <w:t>Abréviations métriques pour les bandes</w:t>
            </w:r>
          </w:p>
        </w:tc>
      </w:tr>
      <w:tr w:rsidR="00C57CE3" w:rsidRPr="00396EED" w:rsidTr="00AC302C">
        <w:trPr>
          <w:cantSplit/>
          <w:jc w:val="center"/>
        </w:trPr>
        <w:tc>
          <w:tcPr>
            <w:tcW w:w="1418" w:type="dxa"/>
            <w:tcBorders>
              <w:top w:val="single" w:sz="6" w:space="0" w:color="auto"/>
              <w:left w:val="single" w:sz="6" w:space="0" w:color="auto"/>
              <w:right w:val="single" w:sz="6" w:space="0" w:color="auto"/>
            </w:tcBorders>
          </w:tcPr>
          <w:p w:rsidR="00C57CE3" w:rsidRPr="00396EED" w:rsidRDefault="00C57CE3" w:rsidP="00AC302C">
            <w:pPr>
              <w:pStyle w:val="Tabletext"/>
              <w:jc w:val="center"/>
            </w:pPr>
            <w:r w:rsidRPr="00396EED">
              <w:t>–1</w:t>
            </w:r>
          </w:p>
        </w:tc>
        <w:tc>
          <w:tcPr>
            <w:tcW w:w="1588" w:type="dxa"/>
            <w:tcBorders>
              <w:top w:val="single" w:sz="6" w:space="0" w:color="auto"/>
              <w:left w:val="single" w:sz="6" w:space="0" w:color="auto"/>
              <w:right w:val="single" w:sz="6" w:space="0" w:color="auto"/>
            </w:tcBorders>
          </w:tcPr>
          <w:p w:rsidR="00C57CE3" w:rsidRPr="00396EED" w:rsidRDefault="00C57CE3" w:rsidP="00AC302C">
            <w:pPr>
              <w:pStyle w:val="Tabletext"/>
              <w:jc w:val="center"/>
            </w:pPr>
          </w:p>
        </w:tc>
        <w:tc>
          <w:tcPr>
            <w:tcW w:w="2552" w:type="dxa"/>
            <w:tcBorders>
              <w:top w:val="single" w:sz="6" w:space="0" w:color="auto"/>
              <w:left w:val="single" w:sz="6" w:space="0" w:color="auto"/>
              <w:right w:val="single" w:sz="6" w:space="0" w:color="auto"/>
            </w:tcBorders>
          </w:tcPr>
          <w:p w:rsidR="00C57CE3" w:rsidRPr="00396EED" w:rsidRDefault="00C57CE3" w:rsidP="00AC302C">
            <w:pPr>
              <w:pStyle w:val="Tabletext"/>
              <w:jc w:val="center"/>
            </w:pPr>
            <w:r w:rsidRPr="00396EED">
              <w:t>0,03-0,3 Hz</w:t>
            </w:r>
          </w:p>
        </w:tc>
        <w:tc>
          <w:tcPr>
            <w:tcW w:w="2552" w:type="dxa"/>
            <w:tcBorders>
              <w:top w:val="single" w:sz="6" w:space="0" w:color="auto"/>
              <w:left w:val="single" w:sz="6" w:space="0" w:color="auto"/>
              <w:right w:val="single" w:sz="6" w:space="0" w:color="auto"/>
            </w:tcBorders>
          </w:tcPr>
          <w:p w:rsidR="00C57CE3" w:rsidRPr="00396EED" w:rsidRDefault="00C57CE3" w:rsidP="00AC302C">
            <w:pPr>
              <w:pStyle w:val="Tabletext"/>
              <w:jc w:val="center"/>
            </w:pPr>
            <w:r w:rsidRPr="00396EED">
              <w:t>Ondes gigamétriques</w:t>
            </w:r>
          </w:p>
        </w:tc>
        <w:tc>
          <w:tcPr>
            <w:tcW w:w="1588" w:type="dxa"/>
            <w:tcBorders>
              <w:top w:val="single" w:sz="6" w:space="0" w:color="auto"/>
              <w:left w:val="single" w:sz="6" w:space="0" w:color="auto"/>
              <w:right w:val="single" w:sz="6" w:space="0" w:color="auto"/>
            </w:tcBorders>
          </w:tcPr>
          <w:p w:rsidR="00C57CE3" w:rsidRPr="00396EED" w:rsidRDefault="00C57CE3" w:rsidP="00AC302C">
            <w:pPr>
              <w:pStyle w:val="Tabletext"/>
              <w:jc w:val="center"/>
            </w:pPr>
            <w:r w:rsidRPr="00396EED">
              <w:t>B.Gm</w:t>
            </w:r>
          </w:p>
        </w:tc>
      </w:tr>
      <w:tr w:rsidR="00C57CE3" w:rsidRPr="00396EED" w:rsidTr="00AC302C">
        <w:trPr>
          <w:cantSplit/>
          <w:jc w:val="center"/>
        </w:trPr>
        <w:tc>
          <w:tcPr>
            <w:tcW w:w="1418" w:type="dxa"/>
            <w:tcBorders>
              <w:left w:val="single" w:sz="6" w:space="0" w:color="auto"/>
              <w:right w:val="single" w:sz="6" w:space="0" w:color="auto"/>
            </w:tcBorders>
          </w:tcPr>
          <w:p w:rsidR="00C57CE3" w:rsidRPr="00396EED" w:rsidRDefault="00C57CE3" w:rsidP="00AC302C">
            <w:pPr>
              <w:pStyle w:val="Tabletext"/>
              <w:jc w:val="center"/>
            </w:pPr>
            <w:r w:rsidRPr="00396EED">
              <w:t>0</w:t>
            </w:r>
          </w:p>
        </w:tc>
        <w:tc>
          <w:tcPr>
            <w:tcW w:w="1588" w:type="dxa"/>
            <w:tcBorders>
              <w:left w:val="single" w:sz="6" w:space="0" w:color="auto"/>
              <w:right w:val="single" w:sz="6" w:space="0" w:color="auto"/>
            </w:tcBorders>
          </w:tcPr>
          <w:p w:rsidR="00C57CE3" w:rsidRPr="00396EED" w:rsidRDefault="00C57CE3" w:rsidP="00AC302C">
            <w:pPr>
              <w:pStyle w:val="Tabletext"/>
              <w:jc w:val="center"/>
            </w:pPr>
            <w:r w:rsidRPr="00396EED">
              <w:t>ELF</w:t>
            </w:r>
          </w:p>
        </w:tc>
        <w:tc>
          <w:tcPr>
            <w:tcW w:w="2552" w:type="dxa"/>
            <w:tcBorders>
              <w:left w:val="single" w:sz="6" w:space="0" w:color="auto"/>
              <w:right w:val="single" w:sz="6" w:space="0" w:color="auto"/>
            </w:tcBorders>
          </w:tcPr>
          <w:p w:rsidR="00C57CE3" w:rsidRPr="00396EED" w:rsidRDefault="00C57CE3" w:rsidP="00AC302C">
            <w:pPr>
              <w:pStyle w:val="Tabletext"/>
              <w:jc w:val="center"/>
            </w:pPr>
            <w:r w:rsidRPr="00396EED">
              <w:t>0,3-3 Hz</w:t>
            </w:r>
          </w:p>
        </w:tc>
        <w:tc>
          <w:tcPr>
            <w:tcW w:w="2552" w:type="dxa"/>
            <w:tcBorders>
              <w:left w:val="single" w:sz="6" w:space="0" w:color="auto"/>
              <w:right w:val="single" w:sz="6" w:space="0" w:color="auto"/>
            </w:tcBorders>
          </w:tcPr>
          <w:p w:rsidR="00C57CE3" w:rsidRPr="00396EED" w:rsidRDefault="00C57CE3" w:rsidP="00AC302C">
            <w:pPr>
              <w:pStyle w:val="Tabletext"/>
              <w:jc w:val="center"/>
            </w:pPr>
            <w:r w:rsidRPr="00396EED">
              <w:t>Ondes hectomégamétriques</w:t>
            </w:r>
          </w:p>
        </w:tc>
        <w:tc>
          <w:tcPr>
            <w:tcW w:w="1588" w:type="dxa"/>
            <w:tcBorders>
              <w:left w:val="single" w:sz="6" w:space="0" w:color="auto"/>
              <w:right w:val="single" w:sz="6" w:space="0" w:color="auto"/>
            </w:tcBorders>
          </w:tcPr>
          <w:p w:rsidR="00C57CE3" w:rsidRPr="00396EED" w:rsidRDefault="00C57CE3" w:rsidP="00AC302C">
            <w:pPr>
              <w:pStyle w:val="Tabletext"/>
              <w:jc w:val="center"/>
            </w:pPr>
            <w:r w:rsidRPr="00396EED">
              <w:t>B.hMm</w:t>
            </w:r>
          </w:p>
        </w:tc>
      </w:tr>
      <w:tr w:rsidR="00C57CE3" w:rsidRPr="00396EED" w:rsidTr="00AC302C">
        <w:trPr>
          <w:cantSplit/>
          <w:jc w:val="center"/>
        </w:trPr>
        <w:tc>
          <w:tcPr>
            <w:tcW w:w="1418" w:type="dxa"/>
            <w:tcBorders>
              <w:left w:val="single" w:sz="6" w:space="0" w:color="auto"/>
              <w:right w:val="single" w:sz="6" w:space="0" w:color="auto"/>
            </w:tcBorders>
          </w:tcPr>
          <w:p w:rsidR="00C57CE3" w:rsidRPr="00396EED" w:rsidRDefault="00C57CE3" w:rsidP="00AC302C">
            <w:pPr>
              <w:pStyle w:val="Tabletext"/>
              <w:jc w:val="center"/>
            </w:pPr>
            <w:r w:rsidRPr="00396EED">
              <w:t>1</w:t>
            </w:r>
          </w:p>
        </w:tc>
        <w:tc>
          <w:tcPr>
            <w:tcW w:w="1588" w:type="dxa"/>
            <w:tcBorders>
              <w:left w:val="single" w:sz="6" w:space="0" w:color="auto"/>
              <w:right w:val="single" w:sz="6" w:space="0" w:color="auto"/>
            </w:tcBorders>
          </w:tcPr>
          <w:p w:rsidR="00C57CE3" w:rsidRPr="00396EED" w:rsidRDefault="00C57CE3" w:rsidP="00AC302C">
            <w:pPr>
              <w:pStyle w:val="Tabletext"/>
              <w:jc w:val="center"/>
            </w:pPr>
          </w:p>
        </w:tc>
        <w:tc>
          <w:tcPr>
            <w:tcW w:w="2552" w:type="dxa"/>
            <w:tcBorders>
              <w:left w:val="single" w:sz="6" w:space="0" w:color="auto"/>
              <w:right w:val="single" w:sz="6" w:space="0" w:color="auto"/>
            </w:tcBorders>
          </w:tcPr>
          <w:p w:rsidR="00C57CE3" w:rsidRPr="00396EED" w:rsidRDefault="00C57CE3" w:rsidP="00AC302C">
            <w:pPr>
              <w:pStyle w:val="Tabletext"/>
              <w:jc w:val="center"/>
            </w:pPr>
            <w:r w:rsidRPr="00396EED">
              <w:t>3-30 Hz</w:t>
            </w:r>
          </w:p>
        </w:tc>
        <w:tc>
          <w:tcPr>
            <w:tcW w:w="2552" w:type="dxa"/>
            <w:tcBorders>
              <w:left w:val="single" w:sz="6" w:space="0" w:color="auto"/>
              <w:right w:val="single" w:sz="6" w:space="0" w:color="auto"/>
            </w:tcBorders>
          </w:tcPr>
          <w:p w:rsidR="00C57CE3" w:rsidRPr="00396EED" w:rsidRDefault="00C57CE3" w:rsidP="00AC302C">
            <w:pPr>
              <w:pStyle w:val="Tabletext"/>
              <w:jc w:val="center"/>
            </w:pPr>
            <w:r w:rsidRPr="00396EED">
              <w:t>Ondes décamégamétriques</w:t>
            </w:r>
          </w:p>
        </w:tc>
        <w:tc>
          <w:tcPr>
            <w:tcW w:w="1588" w:type="dxa"/>
            <w:tcBorders>
              <w:left w:val="single" w:sz="6" w:space="0" w:color="auto"/>
              <w:right w:val="single" w:sz="6" w:space="0" w:color="auto"/>
            </w:tcBorders>
          </w:tcPr>
          <w:p w:rsidR="00C57CE3" w:rsidRPr="00396EED" w:rsidRDefault="00C57CE3" w:rsidP="00AC302C">
            <w:pPr>
              <w:pStyle w:val="Tabletext"/>
              <w:jc w:val="center"/>
            </w:pPr>
            <w:r w:rsidRPr="00396EED">
              <w:t>B.daMm</w:t>
            </w:r>
          </w:p>
        </w:tc>
      </w:tr>
      <w:tr w:rsidR="00C57CE3" w:rsidRPr="00396EED" w:rsidTr="00AC302C">
        <w:trPr>
          <w:cantSplit/>
          <w:jc w:val="center"/>
        </w:trPr>
        <w:tc>
          <w:tcPr>
            <w:tcW w:w="1418" w:type="dxa"/>
            <w:tcBorders>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2</w:t>
            </w:r>
          </w:p>
        </w:tc>
        <w:tc>
          <w:tcPr>
            <w:tcW w:w="1588" w:type="dxa"/>
            <w:tcBorders>
              <w:left w:val="single" w:sz="6" w:space="0" w:color="auto"/>
              <w:bottom w:val="single" w:sz="6" w:space="0" w:color="auto"/>
              <w:right w:val="single" w:sz="6" w:space="0" w:color="auto"/>
            </w:tcBorders>
          </w:tcPr>
          <w:p w:rsidR="00C57CE3" w:rsidRPr="00396EED" w:rsidRDefault="00C57CE3" w:rsidP="00AC302C">
            <w:pPr>
              <w:pStyle w:val="Tabletext"/>
              <w:jc w:val="center"/>
            </w:pPr>
          </w:p>
        </w:tc>
        <w:tc>
          <w:tcPr>
            <w:tcW w:w="2552" w:type="dxa"/>
            <w:tcBorders>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30-300 Hz</w:t>
            </w:r>
          </w:p>
        </w:tc>
        <w:tc>
          <w:tcPr>
            <w:tcW w:w="2552" w:type="dxa"/>
            <w:tcBorders>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Ondes mégamétriques</w:t>
            </w:r>
          </w:p>
        </w:tc>
        <w:tc>
          <w:tcPr>
            <w:tcW w:w="1588" w:type="dxa"/>
            <w:tcBorders>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B.Mm</w:t>
            </w:r>
          </w:p>
        </w:tc>
      </w:tr>
      <w:tr w:rsidR="00C57CE3" w:rsidRPr="004A66C8" w:rsidTr="00AC302C">
        <w:trPr>
          <w:cantSplit/>
          <w:jc w:val="center"/>
        </w:trPr>
        <w:tc>
          <w:tcPr>
            <w:tcW w:w="9698" w:type="dxa"/>
            <w:gridSpan w:val="5"/>
          </w:tcPr>
          <w:p w:rsidR="00C57CE3" w:rsidRPr="004A66C8" w:rsidRDefault="00C57CE3" w:rsidP="00AC302C">
            <w:pPr>
              <w:pStyle w:val="TableLegend0"/>
              <w:tabs>
                <w:tab w:val="left" w:pos="284"/>
              </w:tabs>
              <w:rPr>
                <w:sz w:val="24"/>
                <w:szCs w:val="24"/>
              </w:rPr>
            </w:pPr>
            <w:r w:rsidRPr="00016972">
              <w:rPr>
                <w:position w:val="6"/>
                <w:sz w:val="24"/>
                <w:szCs w:val="24"/>
                <w:vertAlign w:val="superscript"/>
              </w:rPr>
              <w:t>(</w:t>
            </w:r>
            <w:r w:rsidRPr="00016972">
              <w:rPr>
                <w:position w:val="6"/>
                <w:sz w:val="22"/>
                <w:szCs w:val="22"/>
                <w:vertAlign w:val="superscript"/>
              </w:rPr>
              <w:t>1)</w:t>
            </w:r>
            <w:r w:rsidRPr="00016972">
              <w:rPr>
                <w:position w:val="6"/>
                <w:sz w:val="22"/>
                <w:szCs w:val="22"/>
              </w:rPr>
              <w:tab/>
            </w:r>
            <w:r w:rsidRPr="00396EED">
              <w:rPr>
                <w:sz w:val="20"/>
              </w:rPr>
              <w:t>Le symbole EBF est employé en français.</w:t>
            </w:r>
          </w:p>
        </w:tc>
      </w:tr>
    </w:tbl>
    <w:p w:rsidR="00C57CE3" w:rsidRPr="004A66C8" w:rsidRDefault="00C57CE3" w:rsidP="00C57CE3">
      <w:pPr>
        <w:pStyle w:val="Note"/>
        <w:spacing w:before="240"/>
        <w:rPr>
          <w:szCs w:val="24"/>
        </w:rPr>
      </w:pPr>
      <w:r w:rsidRPr="004A66C8">
        <w:rPr>
          <w:szCs w:val="24"/>
        </w:rPr>
        <w:t xml:space="preserve">NOTE 4 – Dans la plupart des pays, les gammes de fréquences utilisées pour la radiodiffusion sonore à modulation de fréquence et pour la télévision sont désignées </w:t>
      </w:r>
      <w:r>
        <w:rPr>
          <w:szCs w:val="24"/>
        </w:rPr>
        <w:t>par les chiffres romains de I à </w:t>
      </w:r>
      <w:r w:rsidRPr="004A66C8">
        <w:rPr>
          <w:szCs w:val="24"/>
        </w:rPr>
        <w:t>V. Toutefois, ces gammes ne sont pas toujours réservées entièrement au service de radiodiffusion. Leurs limites sont indiquées au Tableau 3.</w:t>
      </w:r>
    </w:p>
    <w:p w:rsidR="00C57CE3" w:rsidRPr="00396EED" w:rsidRDefault="00C57CE3" w:rsidP="00C57CE3">
      <w:pPr>
        <w:pStyle w:val="TableNo"/>
        <w:rPr>
          <w:szCs w:val="24"/>
        </w:rPr>
      </w:pPr>
      <w:r w:rsidRPr="00396EED">
        <w:rPr>
          <w:szCs w:val="24"/>
        </w:rPr>
        <w:lastRenderedPageBreak/>
        <w:t>TABLEAU 3</w:t>
      </w:r>
    </w:p>
    <w:tbl>
      <w:tblPr>
        <w:tblW w:w="0" w:type="auto"/>
        <w:jc w:val="center"/>
        <w:tblLayout w:type="fixed"/>
        <w:tblLook w:val="0000" w:firstRow="0" w:lastRow="0" w:firstColumn="0" w:lastColumn="0" w:noHBand="0" w:noVBand="0"/>
      </w:tblPr>
      <w:tblGrid>
        <w:gridCol w:w="1701"/>
        <w:gridCol w:w="1701"/>
        <w:gridCol w:w="1701"/>
        <w:gridCol w:w="1701"/>
      </w:tblGrid>
      <w:tr w:rsidR="00C57CE3" w:rsidRPr="00396EED" w:rsidTr="00AC302C">
        <w:trPr>
          <w:cantSplit/>
          <w:jc w:val="center"/>
        </w:trPr>
        <w:tc>
          <w:tcPr>
            <w:tcW w:w="1701" w:type="dxa"/>
            <w:vMerge w:val="restart"/>
            <w:tcBorders>
              <w:top w:val="single" w:sz="6" w:space="0" w:color="auto"/>
              <w:left w:val="single" w:sz="6" w:space="0" w:color="auto"/>
              <w:right w:val="single" w:sz="6" w:space="0" w:color="auto"/>
            </w:tcBorders>
            <w:vAlign w:val="center"/>
          </w:tcPr>
          <w:p w:rsidR="00C57CE3" w:rsidRPr="00396EED" w:rsidRDefault="00C57CE3" w:rsidP="00AC302C">
            <w:pPr>
              <w:pStyle w:val="Tablehead"/>
            </w:pPr>
            <w:r w:rsidRPr="00396EED">
              <w:t>Désignation</w:t>
            </w:r>
          </w:p>
        </w:tc>
        <w:tc>
          <w:tcPr>
            <w:tcW w:w="5103" w:type="dxa"/>
            <w:gridSpan w:val="3"/>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head"/>
            </w:pPr>
            <w:r w:rsidRPr="00396EED">
              <w:t>Gammes de fréquences</w:t>
            </w:r>
            <w:r w:rsidRPr="00396EED">
              <w:br/>
              <w:t>(MHz)</w:t>
            </w:r>
          </w:p>
        </w:tc>
      </w:tr>
      <w:tr w:rsidR="00C57CE3" w:rsidRPr="00396EED" w:rsidTr="00AC302C">
        <w:trPr>
          <w:cantSplit/>
          <w:jc w:val="center"/>
        </w:trPr>
        <w:tc>
          <w:tcPr>
            <w:tcW w:w="1701" w:type="dxa"/>
            <w:vMerge/>
            <w:tcBorders>
              <w:left w:val="single" w:sz="6" w:space="0" w:color="auto"/>
              <w:right w:val="single" w:sz="6" w:space="0" w:color="auto"/>
            </w:tcBorders>
          </w:tcPr>
          <w:p w:rsidR="00C57CE3" w:rsidRPr="00396EED" w:rsidRDefault="00C57CE3" w:rsidP="00AC302C">
            <w:pPr>
              <w:pStyle w:val="Tablehead"/>
            </w:pPr>
          </w:p>
        </w:tc>
        <w:tc>
          <w:tcPr>
            <w:tcW w:w="1701" w:type="dxa"/>
            <w:tcBorders>
              <w:top w:val="single" w:sz="6" w:space="0" w:color="auto"/>
              <w:left w:val="single" w:sz="6" w:space="0" w:color="auto"/>
              <w:right w:val="single" w:sz="6" w:space="0" w:color="auto"/>
            </w:tcBorders>
          </w:tcPr>
          <w:p w:rsidR="00C57CE3" w:rsidRPr="00396EED" w:rsidRDefault="00C57CE3" w:rsidP="00AC302C">
            <w:pPr>
              <w:pStyle w:val="Tablehead"/>
            </w:pPr>
            <w:r w:rsidRPr="00396EED">
              <w:t>Région 1</w:t>
            </w:r>
          </w:p>
        </w:tc>
        <w:tc>
          <w:tcPr>
            <w:tcW w:w="1701" w:type="dxa"/>
            <w:tcBorders>
              <w:top w:val="single" w:sz="6" w:space="0" w:color="auto"/>
              <w:left w:val="single" w:sz="6" w:space="0" w:color="auto"/>
              <w:right w:val="single" w:sz="6" w:space="0" w:color="auto"/>
            </w:tcBorders>
          </w:tcPr>
          <w:p w:rsidR="00C57CE3" w:rsidRPr="00396EED" w:rsidRDefault="00C57CE3" w:rsidP="00AC302C">
            <w:pPr>
              <w:pStyle w:val="Tablehead"/>
            </w:pPr>
            <w:r w:rsidRPr="00396EED">
              <w:t>Région 2</w:t>
            </w:r>
          </w:p>
        </w:tc>
        <w:tc>
          <w:tcPr>
            <w:tcW w:w="1701" w:type="dxa"/>
            <w:tcBorders>
              <w:top w:val="single" w:sz="6" w:space="0" w:color="auto"/>
              <w:left w:val="single" w:sz="6" w:space="0" w:color="auto"/>
              <w:right w:val="single" w:sz="6" w:space="0" w:color="auto"/>
            </w:tcBorders>
          </w:tcPr>
          <w:p w:rsidR="00C57CE3" w:rsidRPr="00396EED" w:rsidRDefault="00C57CE3" w:rsidP="00AC302C">
            <w:pPr>
              <w:pStyle w:val="Tablehead"/>
            </w:pPr>
            <w:r w:rsidRPr="00396EED">
              <w:t>Région 3</w:t>
            </w:r>
          </w:p>
        </w:tc>
      </w:tr>
      <w:tr w:rsidR="00C57CE3" w:rsidRPr="00396EED" w:rsidTr="00AC302C">
        <w:trPr>
          <w:cantSplit/>
          <w:jc w:val="center"/>
        </w:trPr>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I</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47-68</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54-68</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47-68</w:t>
            </w:r>
          </w:p>
        </w:tc>
      </w:tr>
      <w:tr w:rsidR="00C57CE3" w:rsidRPr="00396EED" w:rsidTr="00AC302C">
        <w:trPr>
          <w:cantSplit/>
          <w:jc w:val="center"/>
        </w:trPr>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II</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87,5-108</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88-108</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87-108</w:t>
            </w:r>
          </w:p>
        </w:tc>
      </w:tr>
      <w:tr w:rsidR="00C57CE3" w:rsidRPr="00396EED" w:rsidTr="00AC302C">
        <w:trPr>
          <w:cantSplit/>
          <w:jc w:val="center"/>
        </w:trPr>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III</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174-230</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174-216</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174-230</w:t>
            </w:r>
          </w:p>
        </w:tc>
      </w:tr>
      <w:tr w:rsidR="00C57CE3" w:rsidRPr="00396EED" w:rsidTr="00AC302C">
        <w:trPr>
          <w:cantSplit/>
          <w:jc w:val="center"/>
        </w:trPr>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IV</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470-582</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470-582</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470-582</w:t>
            </w:r>
          </w:p>
        </w:tc>
      </w:tr>
      <w:tr w:rsidR="00C57CE3" w:rsidRPr="00396EED" w:rsidTr="00AC302C">
        <w:trPr>
          <w:cantSplit/>
          <w:jc w:val="center"/>
        </w:trPr>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V</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582-960</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582-890</w:t>
            </w:r>
          </w:p>
        </w:tc>
        <w:tc>
          <w:tcPr>
            <w:tcW w:w="1701"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582-960</w:t>
            </w:r>
          </w:p>
        </w:tc>
      </w:tr>
    </w:tbl>
    <w:p w:rsidR="00C57CE3" w:rsidRPr="004A66C8" w:rsidRDefault="00C57CE3" w:rsidP="00C57CE3">
      <w:pPr>
        <w:pStyle w:val="Note"/>
        <w:spacing w:before="240"/>
        <w:rPr>
          <w:szCs w:val="24"/>
        </w:rPr>
      </w:pPr>
      <w:r w:rsidRPr="004A66C8">
        <w:rPr>
          <w:szCs w:val="24"/>
        </w:rPr>
        <w:t>NOTE 5 – Certaines bandes de fréquences sont parfois désignées par des symboles littéraux autres que les symboles et abréviations recommandés dans les Tableaux 1 et 2. Ces symboles sont des lettres majuscules, parfois accompagnés d'un indice (généralement une lettre minuscule). Il n'existe pas actuellement de correspondance normalisée entre les lettres et les bandes de fréquences, la même lettre pouvant désigner plusieurs bandes différentes. L'emploi de ces symboles est déconseillé dans les publications de l'UIT. Si toutefois un tel symbole littéral est utilisé, il convient de préciser, la première fois qu'on l'utilise dans un texte donné, les limites de la bande de fréquences correspondante, ou au moins une fréquence de la bande si cette indication est suffisante. A titre d'information, les désignations les plus courantes utilisées par certains auteurs, principalement dans les domaines du radar et des radiocommunications spatiales, sont indiqués dans le Tableau 4.</w:t>
      </w:r>
    </w:p>
    <w:p w:rsidR="00C57CE3" w:rsidRPr="00396EED" w:rsidRDefault="00C57CE3" w:rsidP="00C57CE3">
      <w:pPr>
        <w:pStyle w:val="TableNo"/>
        <w:rPr>
          <w:szCs w:val="24"/>
        </w:rPr>
      </w:pPr>
      <w:r w:rsidRPr="00396EED">
        <w:rPr>
          <w:szCs w:val="24"/>
        </w:rPr>
        <w:t>TABLEAU 4</w:t>
      </w:r>
    </w:p>
    <w:tbl>
      <w:tblPr>
        <w:tblW w:w="9696" w:type="dxa"/>
        <w:jc w:val="center"/>
        <w:tblLayout w:type="fixed"/>
        <w:tblLook w:val="0000" w:firstRow="0" w:lastRow="0" w:firstColumn="0" w:lastColumn="0" w:noHBand="0" w:noVBand="0"/>
      </w:tblPr>
      <w:tblGrid>
        <w:gridCol w:w="1418"/>
        <w:gridCol w:w="1654"/>
        <w:gridCol w:w="1934"/>
        <w:gridCol w:w="2345"/>
        <w:gridCol w:w="2345"/>
      </w:tblGrid>
      <w:tr w:rsidR="00C57CE3" w:rsidRPr="00396EED" w:rsidTr="00AC302C">
        <w:trPr>
          <w:cantSplit/>
          <w:jc w:val="center"/>
        </w:trPr>
        <w:tc>
          <w:tcPr>
            <w:tcW w:w="1418" w:type="dxa"/>
            <w:vMerge w:val="restart"/>
            <w:tcBorders>
              <w:top w:val="single" w:sz="6" w:space="0" w:color="auto"/>
              <w:left w:val="single" w:sz="6" w:space="0" w:color="auto"/>
              <w:right w:val="single" w:sz="6" w:space="0" w:color="auto"/>
            </w:tcBorders>
            <w:vAlign w:val="center"/>
          </w:tcPr>
          <w:p w:rsidR="00C57CE3" w:rsidRPr="00396EED" w:rsidRDefault="00C57CE3" w:rsidP="00AC302C">
            <w:pPr>
              <w:pStyle w:val="Tablehead"/>
            </w:pPr>
            <w:r w:rsidRPr="00396EED">
              <w:t>Symbole littéral</w:t>
            </w:r>
          </w:p>
        </w:tc>
        <w:tc>
          <w:tcPr>
            <w:tcW w:w="3588" w:type="dxa"/>
            <w:gridSpan w:val="2"/>
            <w:tcBorders>
              <w:top w:val="single" w:sz="6" w:space="0" w:color="auto"/>
              <w:left w:val="single" w:sz="6" w:space="0" w:color="auto"/>
              <w:right w:val="single" w:sz="6" w:space="0" w:color="auto"/>
            </w:tcBorders>
            <w:vAlign w:val="center"/>
          </w:tcPr>
          <w:p w:rsidR="00C57CE3" w:rsidRPr="00396EED" w:rsidRDefault="00C57CE3" w:rsidP="00AC302C">
            <w:pPr>
              <w:pStyle w:val="Tablehead"/>
            </w:pPr>
            <w:r w:rsidRPr="00396EED">
              <w:t>Utilisation pour radar</w:t>
            </w:r>
            <w:r w:rsidRPr="00396EED">
              <w:br/>
              <w:t>(GHz)</w:t>
            </w:r>
          </w:p>
        </w:tc>
        <w:tc>
          <w:tcPr>
            <w:tcW w:w="4690" w:type="dxa"/>
            <w:gridSpan w:val="2"/>
            <w:tcBorders>
              <w:top w:val="single" w:sz="6" w:space="0" w:color="auto"/>
              <w:left w:val="single" w:sz="6" w:space="0" w:color="auto"/>
              <w:right w:val="single" w:sz="6" w:space="0" w:color="auto"/>
            </w:tcBorders>
            <w:vAlign w:val="center"/>
          </w:tcPr>
          <w:p w:rsidR="00C57CE3" w:rsidRPr="00396EED" w:rsidRDefault="00C57CE3" w:rsidP="00AC302C">
            <w:pPr>
              <w:pStyle w:val="Tablehead"/>
            </w:pPr>
            <w:r w:rsidRPr="00396EED">
              <w:t>Radiocommunications spatiales</w:t>
            </w:r>
          </w:p>
        </w:tc>
      </w:tr>
      <w:tr w:rsidR="00C57CE3" w:rsidRPr="00396EED" w:rsidTr="00AC302C">
        <w:trPr>
          <w:cantSplit/>
          <w:jc w:val="center"/>
        </w:trPr>
        <w:tc>
          <w:tcPr>
            <w:tcW w:w="1418" w:type="dxa"/>
            <w:vMerge/>
            <w:tcBorders>
              <w:left w:val="single" w:sz="6" w:space="0" w:color="auto"/>
              <w:bottom w:val="single" w:sz="6" w:space="0" w:color="auto"/>
              <w:right w:val="single" w:sz="6" w:space="0" w:color="auto"/>
            </w:tcBorders>
          </w:tcPr>
          <w:p w:rsidR="00C57CE3" w:rsidRPr="00396EED" w:rsidRDefault="00C57CE3" w:rsidP="00AC302C">
            <w:pPr>
              <w:pStyle w:val="Tablehead"/>
            </w:pPr>
          </w:p>
        </w:tc>
        <w:tc>
          <w:tcPr>
            <w:tcW w:w="1654"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AC302C">
            <w:pPr>
              <w:pStyle w:val="Tablehead"/>
            </w:pPr>
            <w:r w:rsidRPr="00396EED">
              <w:t>Régions du spectre</w:t>
            </w:r>
          </w:p>
        </w:tc>
        <w:tc>
          <w:tcPr>
            <w:tcW w:w="1934"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AC302C">
            <w:pPr>
              <w:pStyle w:val="Tablehead"/>
            </w:pPr>
            <w:r w:rsidRPr="00396EED">
              <w:t>Exemples</w:t>
            </w:r>
          </w:p>
        </w:tc>
        <w:tc>
          <w:tcPr>
            <w:tcW w:w="2345"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AC302C">
            <w:pPr>
              <w:pStyle w:val="Tablehead"/>
            </w:pPr>
            <w:r w:rsidRPr="00396EED">
              <w:t>Désignation nominale</w:t>
            </w:r>
          </w:p>
        </w:tc>
        <w:tc>
          <w:tcPr>
            <w:tcW w:w="2345" w:type="dxa"/>
            <w:tcBorders>
              <w:top w:val="single" w:sz="6" w:space="0" w:color="auto"/>
              <w:left w:val="single" w:sz="6" w:space="0" w:color="auto"/>
              <w:bottom w:val="single" w:sz="6" w:space="0" w:color="auto"/>
              <w:right w:val="single" w:sz="6" w:space="0" w:color="auto"/>
            </w:tcBorders>
            <w:vAlign w:val="center"/>
          </w:tcPr>
          <w:p w:rsidR="00C57CE3" w:rsidRPr="00396EED" w:rsidRDefault="00C57CE3" w:rsidP="00AC302C">
            <w:pPr>
              <w:pStyle w:val="Tablehead"/>
            </w:pPr>
            <w:r w:rsidRPr="00396EED">
              <w:t>Exemples</w:t>
            </w:r>
            <w:r w:rsidRPr="00396EED">
              <w:br/>
              <w:t>(GHz)</w:t>
            </w:r>
          </w:p>
        </w:tc>
      </w:tr>
      <w:tr w:rsidR="00C57CE3" w:rsidRPr="00396EED" w:rsidTr="00AC302C">
        <w:trPr>
          <w:cantSplit/>
          <w:jc w:val="center"/>
        </w:trPr>
        <w:tc>
          <w:tcPr>
            <w:tcW w:w="1418"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L</w:t>
            </w:r>
          </w:p>
        </w:tc>
        <w:tc>
          <w:tcPr>
            <w:tcW w:w="1654"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1-2</w:t>
            </w:r>
          </w:p>
        </w:tc>
        <w:tc>
          <w:tcPr>
            <w:tcW w:w="1934"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1,215-1,4</w:t>
            </w:r>
          </w:p>
        </w:tc>
        <w:tc>
          <w:tcPr>
            <w:tcW w:w="2345"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Bande des 1,5 GHz</w:t>
            </w:r>
          </w:p>
        </w:tc>
        <w:tc>
          <w:tcPr>
            <w:tcW w:w="2345"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1,525-1,710</w:t>
            </w:r>
          </w:p>
        </w:tc>
      </w:tr>
      <w:tr w:rsidR="00C57CE3" w:rsidRPr="00396EED" w:rsidTr="00AC302C">
        <w:trPr>
          <w:cantSplit/>
          <w:jc w:val="center"/>
        </w:trPr>
        <w:tc>
          <w:tcPr>
            <w:tcW w:w="1418"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S</w:t>
            </w:r>
          </w:p>
        </w:tc>
        <w:tc>
          <w:tcPr>
            <w:tcW w:w="1654"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2-4</w:t>
            </w:r>
          </w:p>
        </w:tc>
        <w:tc>
          <w:tcPr>
            <w:tcW w:w="1934"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2,3-2,5</w:t>
            </w:r>
            <w:r w:rsidRPr="00396EED">
              <w:br/>
              <w:t>2,7-3,4</w:t>
            </w:r>
          </w:p>
        </w:tc>
        <w:tc>
          <w:tcPr>
            <w:tcW w:w="2345"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Bande des 2,5 GHz</w:t>
            </w:r>
          </w:p>
        </w:tc>
        <w:tc>
          <w:tcPr>
            <w:tcW w:w="2345"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2,5-2,690</w:t>
            </w:r>
          </w:p>
        </w:tc>
      </w:tr>
      <w:tr w:rsidR="00C57CE3" w:rsidRPr="00396EED" w:rsidTr="00AC302C">
        <w:trPr>
          <w:cantSplit/>
          <w:jc w:val="center"/>
        </w:trPr>
        <w:tc>
          <w:tcPr>
            <w:tcW w:w="1418"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C</w:t>
            </w:r>
          </w:p>
        </w:tc>
        <w:tc>
          <w:tcPr>
            <w:tcW w:w="1654"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4-8</w:t>
            </w:r>
          </w:p>
        </w:tc>
        <w:tc>
          <w:tcPr>
            <w:tcW w:w="1934"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5,25-5,85</w:t>
            </w:r>
          </w:p>
        </w:tc>
        <w:tc>
          <w:tcPr>
            <w:tcW w:w="2345"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Bande des 4/6 GHz</w:t>
            </w:r>
          </w:p>
        </w:tc>
        <w:tc>
          <w:tcPr>
            <w:tcW w:w="2345"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3,4-4,2</w:t>
            </w:r>
            <w:r w:rsidRPr="00396EED">
              <w:br/>
              <w:t>4,5-4,8</w:t>
            </w:r>
            <w:r w:rsidRPr="00396EED">
              <w:br/>
              <w:t>5,85-7,075</w:t>
            </w:r>
          </w:p>
        </w:tc>
      </w:tr>
      <w:tr w:rsidR="00C57CE3" w:rsidRPr="00396EED" w:rsidTr="00AC302C">
        <w:trPr>
          <w:cantSplit/>
          <w:jc w:val="center"/>
        </w:trPr>
        <w:tc>
          <w:tcPr>
            <w:tcW w:w="1418"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X</w:t>
            </w:r>
          </w:p>
        </w:tc>
        <w:tc>
          <w:tcPr>
            <w:tcW w:w="1654"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8-12</w:t>
            </w:r>
          </w:p>
        </w:tc>
        <w:tc>
          <w:tcPr>
            <w:tcW w:w="1934"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8,5-10,5</w:t>
            </w:r>
          </w:p>
        </w:tc>
        <w:tc>
          <w:tcPr>
            <w:tcW w:w="2345"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w:t>
            </w:r>
          </w:p>
        </w:tc>
        <w:tc>
          <w:tcPr>
            <w:tcW w:w="2345"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w:t>
            </w:r>
          </w:p>
        </w:tc>
      </w:tr>
      <w:tr w:rsidR="00C57CE3" w:rsidRPr="00396EED" w:rsidTr="00AC302C">
        <w:trPr>
          <w:cantSplit/>
          <w:jc w:val="center"/>
        </w:trPr>
        <w:tc>
          <w:tcPr>
            <w:tcW w:w="1418"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Ku</w:t>
            </w:r>
          </w:p>
        </w:tc>
        <w:tc>
          <w:tcPr>
            <w:tcW w:w="1654"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12-18</w:t>
            </w:r>
          </w:p>
        </w:tc>
        <w:tc>
          <w:tcPr>
            <w:tcW w:w="1934"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13,4-14,0</w:t>
            </w:r>
            <w:r w:rsidRPr="00396EED">
              <w:br/>
              <w:t>15,3-17,3</w:t>
            </w:r>
          </w:p>
        </w:tc>
        <w:tc>
          <w:tcPr>
            <w:tcW w:w="2345"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Bande des 11/14 GHz</w:t>
            </w:r>
            <w:r w:rsidRPr="00396EED">
              <w:br/>
              <w:t>Bande des 12/14 GHz</w:t>
            </w:r>
          </w:p>
        </w:tc>
        <w:tc>
          <w:tcPr>
            <w:tcW w:w="2345"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10,7-13,25</w:t>
            </w:r>
            <w:r w:rsidRPr="00396EED">
              <w:br/>
              <w:t>14,0-14,5</w:t>
            </w:r>
          </w:p>
        </w:tc>
      </w:tr>
      <w:tr w:rsidR="00C57CE3" w:rsidRPr="00396EED" w:rsidTr="00AC302C">
        <w:trPr>
          <w:cantSplit/>
          <w:jc w:val="center"/>
        </w:trPr>
        <w:tc>
          <w:tcPr>
            <w:tcW w:w="1418"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K</w:t>
            </w:r>
            <w:r w:rsidRPr="00396EED">
              <w:rPr>
                <w:vertAlign w:val="superscript"/>
              </w:rPr>
              <w:t>(1)</w:t>
            </w:r>
          </w:p>
        </w:tc>
        <w:tc>
          <w:tcPr>
            <w:tcW w:w="1654"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18-27</w:t>
            </w:r>
          </w:p>
        </w:tc>
        <w:tc>
          <w:tcPr>
            <w:tcW w:w="1934"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24,05-24,25</w:t>
            </w:r>
          </w:p>
        </w:tc>
        <w:tc>
          <w:tcPr>
            <w:tcW w:w="2345"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Bande des 20 GHz</w:t>
            </w:r>
          </w:p>
        </w:tc>
        <w:tc>
          <w:tcPr>
            <w:tcW w:w="2345"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17,7-20,2</w:t>
            </w:r>
          </w:p>
        </w:tc>
      </w:tr>
      <w:tr w:rsidR="00C57CE3" w:rsidRPr="00396EED" w:rsidTr="00AC302C">
        <w:trPr>
          <w:cantSplit/>
          <w:jc w:val="center"/>
        </w:trPr>
        <w:tc>
          <w:tcPr>
            <w:tcW w:w="1418"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Ka</w:t>
            </w:r>
            <w:r w:rsidRPr="00396EED">
              <w:rPr>
                <w:vertAlign w:val="superscript"/>
              </w:rPr>
              <w:t>(1)</w:t>
            </w:r>
          </w:p>
        </w:tc>
        <w:tc>
          <w:tcPr>
            <w:tcW w:w="1654"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27-40</w:t>
            </w:r>
          </w:p>
        </w:tc>
        <w:tc>
          <w:tcPr>
            <w:tcW w:w="1934"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33,4-36,0</w:t>
            </w:r>
          </w:p>
        </w:tc>
        <w:tc>
          <w:tcPr>
            <w:tcW w:w="2345"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Bande des 30 GHz</w:t>
            </w:r>
          </w:p>
        </w:tc>
        <w:tc>
          <w:tcPr>
            <w:tcW w:w="2345"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27,5-30,0</w:t>
            </w:r>
          </w:p>
        </w:tc>
      </w:tr>
      <w:tr w:rsidR="00C57CE3" w:rsidRPr="00396EED" w:rsidTr="00AC302C">
        <w:trPr>
          <w:cantSplit/>
          <w:jc w:val="center"/>
        </w:trPr>
        <w:tc>
          <w:tcPr>
            <w:tcW w:w="1418" w:type="dxa"/>
            <w:tcBorders>
              <w:top w:val="single" w:sz="6" w:space="0" w:color="auto"/>
              <w:left w:val="single" w:sz="6" w:space="0" w:color="auto"/>
              <w:bottom w:val="single" w:sz="6" w:space="0" w:color="auto"/>
              <w:right w:val="single" w:sz="6" w:space="0" w:color="auto"/>
            </w:tcBorders>
          </w:tcPr>
          <w:p w:rsidR="00C57CE3" w:rsidRPr="00396EED" w:rsidRDefault="00C57CE3" w:rsidP="00AC302C">
            <w:pPr>
              <w:pStyle w:val="Tabletext"/>
              <w:jc w:val="center"/>
            </w:pPr>
            <w:r w:rsidRPr="00396EED">
              <w:t>V</w:t>
            </w:r>
          </w:p>
        </w:tc>
        <w:tc>
          <w:tcPr>
            <w:tcW w:w="1654"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w:t>
            </w:r>
          </w:p>
        </w:tc>
        <w:tc>
          <w:tcPr>
            <w:tcW w:w="1934"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w:t>
            </w:r>
          </w:p>
        </w:tc>
        <w:tc>
          <w:tcPr>
            <w:tcW w:w="2345" w:type="dxa"/>
            <w:tcBorders>
              <w:top w:val="single" w:sz="6" w:space="0" w:color="auto"/>
              <w:bottom w:val="single" w:sz="6" w:space="0" w:color="auto"/>
              <w:right w:val="single" w:sz="6" w:space="0" w:color="auto"/>
            </w:tcBorders>
          </w:tcPr>
          <w:p w:rsidR="00C57CE3" w:rsidRPr="00396EED" w:rsidRDefault="00C57CE3" w:rsidP="00AC302C">
            <w:pPr>
              <w:pStyle w:val="Tabletext"/>
              <w:ind w:left="284" w:right="142"/>
            </w:pPr>
            <w:r w:rsidRPr="00396EED">
              <w:t>Bande des 40 GHz</w:t>
            </w:r>
          </w:p>
        </w:tc>
        <w:tc>
          <w:tcPr>
            <w:tcW w:w="2345" w:type="dxa"/>
            <w:tcBorders>
              <w:top w:val="single" w:sz="6" w:space="0" w:color="auto"/>
              <w:bottom w:val="single" w:sz="6" w:space="0" w:color="auto"/>
              <w:right w:val="single" w:sz="6" w:space="0" w:color="auto"/>
            </w:tcBorders>
          </w:tcPr>
          <w:p w:rsidR="00C57CE3" w:rsidRPr="00396EED" w:rsidRDefault="00C57CE3" w:rsidP="00AC302C">
            <w:pPr>
              <w:pStyle w:val="Tabletext"/>
              <w:jc w:val="center"/>
            </w:pPr>
            <w:r w:rsidRPr="00396EED">
              <w:t>37,5-42,5</w:t>
            </w:r>
            <w:r w:rsidRPr="00396EED">
              <w:br/>
              <w:t>47,2-50,2</w:t>
            </w:r>
          </w:p>
        </w:tc>
      </w:tr>
      <w:tr w:rsidR="00C57CE3" w:rsidRPr="00396EED" w:rsidTr="00AC302C">
        <w:trPr>
          <w:cantSplit/>
          <w:jc w:val="center"/>
        </w:trPr>
        <w:tc>
          <w:tcPr>
            <w:tcW w:w="9696" w:type="dxa"/>
            <w:gridSpan w:val="5"/>
          </w:tcPr>
          <w:p w:rsidR="00C57CE3" w:rsidRPr="00396EED" w:rsidRDefault="00C57CE3" w:rsidP="008644E6">
            <w:pPr>
              <w:pStyle w:val="TableLegend0"/>
              <w:tabs>
                <w:tab w:val="left" w:pos="284"/>
              </w:tabs>
              <w:spacing w:after="40"/>
              <w:ind w:left="284" w:hanging="284"/>
              <w:rPr>
                <w:sz w:val="20"/>
              </w:rPr>
            </w:pPr>
            <w:r w:rsidRPr="00396EED">
              <w:rPr>
                <w:position w:val="6"/>
                <w:sz w:val="20"/>
                <w:vertAlign w:val="superscript"/>
              </w:rPr>
              <w:t>(1)</w:t>
            </w:r>
            <w:r w:rsidRPr="00396EED">
              <w:rPr>
                <w:sz w:val="20"/>
                <w:vertAlign w:val="superscript"/>
              </w:rPr>
              <w:tab/>
            </w:r>
            <w:r w:rsidRPr="00396EED">
              <w:rPr>
                <w:sz w:val="20"/>
              </w:rPr>
              <w:t>Dans les radiocommunications spatiales, les bandes K et Ka sont souvent désignées par le seul symbole K</w:t>
            </w:r>
            <w:r w:rsidR="008644E6" w:rsidRPr="008644E6">
              <w:rPr>
                <w:sz w:val="20"/>
                <w:vertAlign w:val="subscript"/>
              </w:rPr>
              <w:t>a</w:t>
            </w:r>
            <w:r w:rsidRPr="00396EED">
              <w:rPr>
                <w:sz w:val="20"/>
              </w:rPr>
              <w:t>.</w:t>
            </w:r>
          </w:p>
        </w:tc>
      </w:tr>
    </w:tbl>
    <w:p w:rsidR="00C57CE3" w:rsidRPr="008644E6" w:rsidRDefault="00C57CE3" w:rsidP="00C57CE3">
      <w:pPr>
        <w:pStyle w:val="Line"/>
        <w:rPr>
          <w:lang w:val="fr-CH"/>
        </w:rPr>
      </w:pPr>
    </w:p>
    <w:sectPr w:rsidR="00C57CE3" w:rsidRPr="008644E6" w:rsidSect="00595009">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CE3" w:rsidRDefault="00C57CE3">
      <w:r>
        <w:separator/>
      </w:r>
    </w:p>
  </w:endnote>
  <w:endnote w:type="continuationSeparator" w:id="0">
    <w:p w:rsidR="00C57CE3" w:rsidRDefault="00C5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CE3" w:rsidRDefault="00C57CE3">
      <w:r>
        <w:separator/>
      </w:r>
    </w:p>
  </w:footnote>
  <w:footnote w:type="continuationSeparator" w:id="0">
    <w:p w:rsidR="00C57CE3" w:rsidRDefault="00C57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CE3" w:rsidRDefault="00C57CE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CE3" w:rsidRDefault="00C57CE3" w:rsidP="00C668C8">
    <w:pPr>
      <w:pStyle w:val="Header"/>
      <w:ind w:right="360" w:firstLine="360"/>
    </w:pPr>
    <w:r>
      <w:rPr>
        <w:noProof/>
        <w:lang w:val="en-US" w:eastAsia="zh-CN"/>
      </w:rPr>
      <w:drawing>
        <wp:anchor distT="0" distB="0" distL="114300" distR="114300" simplePos="0" relativeHeight="251659264" behindDoc="1" locked="0" layoutInCell="1" allowOverlap="1" wp14:anchorId="5D081DC5" wp14:editId="1B6B094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CE3" w:rsidRPr="00837CB5" w:rsidRDefault="00C57CE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A67F3">
      <w:rPr>
        <w:rStyle w:val="PageNumber"/>
        <w:b/>
        <w:bCs/>
        <w:noProof/>
      </w:rPr>
      <w:t>ii</w:t>
    </w:r>
    <w:r>
      <w:rPr>
        <w:rStyle w:val="PageNumber"/>
        <w:b/>
        <w:bCs/>
      </w:rPr>
      <w:fldChar w:fldCharType="end"/>
    </w:r>
    <w:r w:rsidRPr="00837CB5">
      <w:tab/>
    </w:r>
    <w:fldSimple w:instr=" DOCPROPERTY &quot;Header&quot; \* MERGEFORMAT ">
      <w:r w:rsidR="008A67F3" w:rsidRPr="008A67F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8A67F3">
      <w:rPr>
        <w:b/>
        <w:bCs/>
        <w:noProof/>
      </w:rPr>
      <w:t>UIT-R  V.431-8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CE3" w:rsidRDefault="00C57CE3">
    <w:pPr>
      <w:pStyle w:val="Header"/>
    </w:pPr>
    <w:r>
      <w:tab/>
    </w:r>
    <w:fldSimple w:instr=" DOCPROPERTY &quot;Header&quot; \* MERGEFORMAT ">
      <w:r w:rsidR="008A67F3" w:rsidRPr="008A67F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A67F3">
      <w:rPr>
        <w:b/>
        <w:bCs/>
        <w:noProof/>
      </w:rPr>
      <w:t>UIT-R  V.431-8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67F3">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A67F3" w:rsidRPr="008A67F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A67F3">
      <w:rPr>
        <w:b/>
        <w:bCs/>
        <w:noProof/>
      </w:rPr>
      <w:t>UIT-R  V.431-8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8A67F3" w:rsidRPr="008A67F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A67F3">
      <w:rPr>
        <w:b/>
        <w:bCs/>
        <w:noProof/>
      </w:rPr>
      <w:t>UIT-R  V.431-8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A67F3">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CE3"/>
    <w:rsid w:val="00217EBF"/>
    <w:rsid w:val="00242AEE"/>
    <w:rsid w:val="002D76C4"/>
    <w:rsid w:val="0052529D"/>
    <w:rsid w:val="00595009"/>
    <w:rsid w:val="00607D68"/>
    <w:rsid w:val="007468DA"/>
    <w:rsid w:val="00763BF2"/>
    <w:rsid w:val="008644E6"/>
    <w:rsid w:val="008A67F3"/>
    <w:rsid w:val="009E00A8"/>
    <w:rsid w:val="00A6617B"/>
    <w:rsid w:val="00AB0DC8"/>
    <w:rsid w:val="00AD0B26"/>
    <w:rsid w:val="00B44E24"/>
    <w:rsid w:val="00C57CE3"/>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747E916-CEB8-4673-A51E-6E4C26406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C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57CE3"/>
    <w:rPr>
      <w:b/>
      <w:sz w:val="24"/>
      <w:lang w:val="fr-FR" w:eastAsia="en-US"/>
    </w:rPr>
  </w:style>
  <w:style w:type="character" w:customStyle="1" w:styleId="HeaderChar">
    <w:name w:val="Header Char"/>
    <w:basedOn w:val="DefaultParagraphFont"/>
    <w:link w:val="Header"/>
    <w:rsid w:val="00C57CE3"/>
    <w:rPr>
      <w:sz w:val="24"/>
      <w:lang w:val="fr-FR" w:eastAsia="en-US"/>
    </w:rPr>
  </w:style>
  <w:style w:type="character" w:styleId="Hyperlink">
    <w:name w:val="Hyperlink"/>
    <w:basedOn w:val="DefaultParagraphFont"/>
    <w:rsid w:val="00C57CE3"/>
    <w:rPr>
      <w:color w:val="0000FF"/>
      <w:u w:val="single"/>
    </w:rPr>
  </w:style>
  <w:style w:type="paragraph" w:customStyle="1" w:styleId="Normalaftertitle0">
    <w:name w:val="Normal after title"/>
    <w:basedOn w:val="Normal"/>
    <w:next w:val="Normal"/>
    <w:rsid w:val="00C57CE3"/>
    <w:pPr>
      <w:tabs>
        <w:tab w:val="clear" w:pos="794"/>
        <w:tab w:val="clear" w:pos="1191"/>
        <w:tab w:val="clear" w:pos="1588"/>
        <w:tab w:val="clear" w:pos="1985"/>
        <w:tab w:val="left" w:pos="1134"/>
        <w:tab w:val="left" w:pos="1871"/>
        <w:tab w:val="left" w:pos="2268"/>
      </w:tabs>
      <w:spacing w:before="280"/>
      <w:jc w:val="left"/>
    </w:pPr>
  </w:style>
  <w:style w:type="paragraph" w:customStyle="1" w:styleId="headfoot">
    <w:name w:val="head_foot"/>
    <w:basedOn w:val="Normal"/>
    <w:next w:val="Normalaftertitle0"/>
    <w:rsid w:val="00C57CE3"/>
    <w:pPr>
      <w:tabs>
        <w:tab w:val="clear" w:pos="794"/>
        <w:tab w:val="clear" w:pos="1191"/>
        <w:tab w:val="clear" w:pos="1588"/>
        <w:tab w:val="clear" w:pos="1985"/>
        <w:tab w:val="left" w:pos="1134"/>
        <w:tab w:val="left" w:pos="1871"/>
        <w:tab w:val="left" w:pos="2268"/>
      </w:tabs>
      <w:spacing w:before="0"/>
      <w:jc w:val="left"/>
    </w:pPr>
    <w:rPr>
      <w:b/>
      <w:color w:val="FFFFFF"/>
      <w:sz w:val="8"/>
    </w:rPr>
  </w:style>
  <w:style w:type="paragraph" w:customStyle="1" w:styleId="TableLegend0">
    <w:name w:val="Table_Legend"/>
    <w:basedOn w:val="Normal"/>
    <w:next w:val="Normal"/>
    <w:rsid w:val="00C57CE3"/>
    <w:pPr>
      <w:keepNext/>
      <w:tabs>
        <w:tab w:val="clear" w:pos="794"/>
        <w:tab w:val="clear" w:pos="1191"/>
        <w:tab w:val="clear" w:pos="1588"/>
        <w:tab w:val="clear" w:pos="1985"/>
        <w:tab w:val="left" w:pos="1134"/>
        <w:tab w:val="left" w:pos="1871"/>
        <w:tab w:val="left" w:pos="2268"/>
      </w:tabs>
      <w:spacing w:before="86" w:line="199" w:lineRule="exact"/>
      <w:ind w:left="-85" w:right="-85"/>
      <w:jc w:val="left"/>
    </w:pPr>
    <w:rPr>
      <w:sz w:val="18"/>
    </w:rPr>
  </w:style>
  <w:style w:type="paragraph" w:customStyle="1" w:styleId="RecTitleDate">
    <w:name w:val="Rec_Title/Date"/>
    <w:basedOn w:val="Normal"/>
    <w:next w:val="headfoot"/>
    <w:rsid w:val="00C57CE3"/>
    <w:pPr>
      <w:keepNext/>
      <w:keepLines/>
      <w:tabs>
        <w:tab w:val="clear" w:pos="794"/>
        <w:tab w:val="clear" w:pos="1191"/>
        <w:tab w:val="clear" w:pos="1588"/>
        <w:tab w:val="clear" w:pos="1985"/>
        <w:tab w:val="left" w:pos="1134"/>
        <w:tab w:val="left" w:pos="1871"/>
        <w:tab w:val="left" w:pos="2268"/>
        <w:tab w:val="right" w:pos="9696"/>
      </w:tabs>
      <w:spacing w:before="136"/>
      <w:jc w:val="right"/>
    </w:pPr>
  </w:style>
  <w:style w:type="character" w:customStyle="1" w:styleId="HeadingbChar">
    <w:name w:val="Heading_b Char"/>
    <w:link w:val="Headingb"/>
    <w:locked/>
    <w:rsid w:val="00C57CE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TotalTime>
  <Pages>1</Pages>
  <Words>1260</Words>
  <Characters>7565</Characters>
  <Application>Microsoft Office Word</Application>
  <DocSecurity>0</DocSecurity>
  <Lines>420</Lines>
  <Paragraphs>238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Politique en matière de droits de propriété intellectuelle (IPR)</vt:lpstr>
    </vt:vector>
  </TitlesOfParts>
  <Manager/>
  <Company>ITU</Company>
  <LinksUpToDate>false</LinksUpToDate>
  <CharactersWithSpaces>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6</cp:revision>
  <cp:lastPrinted>2016-08-09T06:29:00Z</cp:lastPrinted>
  <dcterms:created xsi:type="dcterms:W3CDTF">2016-08-09T06:19:00Z</dcterms:created>
  <dcterms:modified xsi:type="dcterms:W3CDTF">2016-08-09T06:30:00Z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