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AAD" w:rsidRDefault="00347AAD" w:rsidP="00347AAD"/>
    <w:p w:rsidR="00347AAD" w:rsidRDefault="00347AAD" w:rsidP="00347AAD"/>
    <w:p w:rsidR="00347AAD" w:rsidRDefault="00347AAD" w:rsidP="00347AAD"/>
    <w:p w:rsidR="00347AAD" w:rsidRDefault="00347AAD" w:rsidP="00347AAD"/>
    <w:p w:rsidR="00347AAD" w:rsidRDefault="00347AAD" w:rsidP="00347AAD"/>
    <w:p w:rsidR="00347AAD" w:rsidRDefault="00347AAD" w:rsidP="00347AAD"/>
    <w:p w:rsidR="00347AAD" w:rsidRDefault="00347AAD" w:rsidP="00347AAD"/>
    <w:p w:rsidR="00347AAD" w:rsidRDefault="00347AAD" w:rsidP="00347AAD"/>
    <w:p w:rsidR="00347AAD" w:rsidRDefault="00347AAD" w:rsidP="00347AAD"/>
    <w:p w:rsidR="00347AAD" w:rsidRDefault="00347AAD" w:rsidP="00347AAD"/>
    <w:p w:rsidR="00347AAD" w:rsidRDefault="00347AAD" w:rsidP="00347AAD"/>
    <w:p w:rsidR="00347AAD" w:rsidRDefault="00347AAD" w:rsidP="00347AAD"/>
    <w:tbl>
      <w:tblPr>
        <w:tblW w:w="10089" w:type="dxa"/>
        <w:tblLook w:val="01E0" w:firstRow="1" w:lastRow="1" w:firstColumn="1" w:lastColumn="1" w:noHBand="0" w:noVBand="0"/>
      </w:tblPr>
      <w:tblGrid>
        <w:gridCol w:w="10089"/>
      </w:tblGrid>
      <w:tr w:rsidR="00347AAD" w:rsidRPr="00A443C2" w:rsidTr="001D798F">
        <w:tc>
          <w:tcPr>
            <w:tcW w:w="10089" w:type="dxa"/>
          </w:tcPr>
          <w:p w:rsidR="00347AAD" w:rsidRPr="00B033C8" w:rsidRDefault="00347AAD" w:rsidP="001D798F">
            <w:pPr>
              <w:spacing w:before="380" w:line="280" w:lineRule="exact"/>
              <w:jc w:val="right"/>
              <w:rPr>
                <w:rFonts w:ascii="Tahoma" w:hAnsi="Tahoma" w:cs="Tahoma"/>
                <w:b/>
                <w:bCs/>
                <w:iCs/>
                <w:color w:val="243285"/>
                <w:sz w:val="32"/>
                <w:szCs w:val="32"/>
                <w:lang w:val="en-US"/>
              </w:rPr>
            </w:pPr>
          </w:p>
          <w:p w:rsidR="00347AAD" w:rsidRPr="00A443C2" w:rsidRDefault="00347AAD" w:rsidP="00347AAD">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V</w:t>
            </w:r>
            <w:r w:rsidRPr="00A443C2">
              <w:rPr>
                <w:rFonts w:ascii="Tahoma" w:hAnsi="Tahoma" w:cs="Tahoma"/>
                <w:b/>
                <w:bCs/>
                <w:iCs/>
                <w:color w:val="243285"/>
                <w:sz w:val="36"/>
                <w:szCs w:val="36"/>
              </w:rPr>
              <w:t>.</w:t>
            </w:r>
            <w:r>
              <w:rPr>
                <w:rFonts w:ascii="Tahoma" w:hAnsi="Tahoma" w:cs="Tahoma"/>
                <w:b/>
                <w:bCs/>
                <w:iCs/>
                <w:color w:val="243285"/>
                <w:sz w:val="36"/>
                <w:szCs w:val="36"/>
              </w:rPr>
              <w:t>430-4</w:t>
            </w:r>
          </w:p>
          <w:p w:rsidR="00347AAD" w:rsidRPr="00A443C2" w:rsidRDefault="00347AAD" w:rsidP="00347AAD">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8</w:t>
            </w:r>
            <w:r w:rsidRPr="00A443C2">
              <w:rPr>
                <w:rFonts w:ascii="Tahoma" w:hAnsi="Tahoma" w:cs="Tahoma"/>
                <w:b/>
                <w:bCs/>
                <w:iCs/>
                <w:color w:val="243285"/>
                <w:szCs w:val="24"/>
              </w:rPr>
              <w:t>/</w:t>
            </w:r>
            <w:r>
              <w:rPr>
                <w:rFonts w:ascii="Tahoma" w:hAnsi="Tahoma" w:cs="Tahoma"/>
                <w:b/>
                <w:bCs/>
                <w:iCs/>
                <w:color w:val="243285"/>
                <w:szCs w:val="24"/>
              </w:rPr>
              <w:t>2015</w:t>
            </w:r>
            <w:r w:rsidRPr="00A443C2">
              <w:rPr>
                <w:rFonts w:ascii="Tahoma" w:hAnsi="Tahoma" w:cs="Tahoma"/>
                <w:b/>
                <w:bCs/>
                <w:iCs/>
                <w:color w:val="243285"/>
                <w:szCs w:val="24"/>
              </w:rPr>
              <w:t>)</w:t>
            </w:r>
          </w:p>
        </w:tc>
      </w:tr>
      <w:tr w:rsidR="00347AAD" w:rsidRPr="00F54FBD" w:rsidTr="001D798F">
        <w:tc>
          <w:tcPr>
            <w:tcW w:w="10089" w:type="dxa"/>
          </w:tcPr>
          <w:p w:rsidR="00347AAD" w:rsidRDefault="00347AAD" w:rsidP="001D798F">
            <w:pPr>
              <w:spacing w:before="80" w:line="500" w:lineRule="exact"/>
              <w:jc w:val="right"/>
              <w:rPr>
                <w:rFonts w:ascii="Tahoma" w:hAnsi="Tahoma" w:cs="Tahoma"/>
                <w:b/>
                <w:bCs/>
                <w:iCs/>
                <w:color w:val="243285"/>
                <w:sz w:val="44"/>
                <w:szCs w:val="44"/>
              </w:rPr>
            </w:pPr>
          </w:p>
          <w:p w:rsidR="00347AAD" w:rsidRDefault="00347AAD" w:rsidP="00347AAD">
            <w:pPr>
              <w:spacing w:before="80" w:line="500" w:lineRule="exact"/>
              <w:jc w:val="right"/>
              <w:rPr>
                <w:rFonts w:ascii="Tahoma" w:hAnsi="Tahoma" w:cs="Tahoma"/>
                <w:b/>
                <w:bCs/>
                <w:iCs/>
                <w:color w:val="243285"/>
                <w:sz w:val="44"/>
                <w:szCs w:val="44"/>
              </w:rPr>
            </w:pPr>
            <w:r w:rsidRPr="00347AAD">
              <w:rPr>
                <w:rFonts w:ascii="Tahoma" w:hAnsi="Tahoma" w:cs="Tahoma"/>
                <w:b/>
                <w:bCs/>
                <w:iCs/>
                <w:color w:val="243285"/>
                <w:sz w:val="44"/>
                <w:szCs w:val="44"/>
              </w:rPr>
              <w:t xml:space="preserve">Emploi du système international </w:t>
            </w:r>
            <w:r>
              <w:rPr>
                <w:rFonts w:ascii="Tahoma" w:hAnsi="Tahoma" w:cs="Tahoma"/>
                <w:b/>
                <w:bCs/>
                <w:iCs/>
                <w:color w:val="243285"/>
                <w:sz w:val="44"/>
                <w:szCs w:val="44"/>
              </w:rPr>
              <w:br/>
            </w:r>
            <w:r w:rsidRPr="00347AAD">
              <w:rPr>
                <w:rFonts w:ascii="Tahoma" w:hAnsi="Tahoma" w:cs="Tahoma"/>
                <w:b/>
                <w:bCs/>
                <w:iCs/>
                <w:color w:val="243285"/>
                <w:sz w:val="44"/>
                <w:szCs w:val="44"/>
              </w:rPr>
              <w:t>d'unités (SI)</w:t>
            </w:r>
          </w:p>
          <w:p w:rsidR="00347AAD" w:rsidRPr="00F54FBD" w:rsidRDefault="00347AAD" w:rsidP="001D798F">
            <w:pPr>
              <w:spacing w:before="80" w:line="500" w:lineRule="exact"/>
              <w:jc w:val="right"/>
              <w:rPr>
                <w:rFonts w:ascii="Tahoma" w:hAnsi="Tahoma" w:cs="Tahoma"/>
                <w:b/>
                <w:bCs/>
                <w:iCs/>
                <w:color w:val="243285"/>
                <w:sz w:val="44"/>
                <w:szCs w:val="44"/>
              </w:rPr>
            </w:pPr>
          </w:p>
        </w:tc>
      </w:tr>
      <w:tr w:rsidR="00347AAD" w:rsidRPr="00F54FBD" w:rsidTr="001D798F">
        <w:tc>
          <w:tcPr>
            <w:tcW w:w="10089" w:type="dxa"/>
          </w:tcPr>
          <w:p w:rsidR="00347AAD" w:rsidRPr="00F54FBD" w:rsidRDefault="00347AAD" w:rsidP="001D798F">
            <w:pPr>
              <w:spacing w:before="80" w:line="280" w:lineRule="exact"/>
              <w:ind w:right="640"/>
              <w:rPr>
                <w:rFonts w:ascii="Tahoma" w:hAnsi="Tahoma" w:cs="Tahoma"/>
                <w:b/>
                <w:bCs/>
                <w:iCs/>
                <w:color w:val="243285"/>
                <w:sz w:val="32"/>
                <w:szCs w:val="32"/>
              </w:rPr>
            </w:pPr>
          </w:p>
          <w:p w:rsidR="00347AAD" w:rsidRPr="00F54FBD" w:rsidRDefault="00347AAD" w:rsidP="001D798F">
            <w:pPr>
              <w:spacing w:before="80" w:line="280" w:lineRule="exact"/>
              <w:ind w:right="640"/>
              <w:rPr>
                <w:rFonts w:ascii="Tahoma" w:hAnsi="Tahoma" w:cs="Tahoma"/>
                <w:b/>
                <w:bCs/>
                <w:iCs/>
                <w:color w:val="243285"/>
                <w:sz w:val="32"/>
                <w:szCs w:val="32"/>
              </w:rPr>
            </w:pPr>
          </w:p>
          <w:p w:rsidR="00347AAD" w:rsidRPr="00F54FBD" w:rsidRDefault="00347AAD" w:rsidP="001D798F">
            <w:pPr>
              <w:spacing w:before="80" w:after="180" w:line="360" w:lineRule="exact"/>
              <w:ind w:right="720"/>
              <w:rPr>
                <w:rFonts w:ascii="Tahoma" w:hAnsi="Tahoma" w:cs="Tahoma"/>
                <w:b/>
                <w:bCs/>
                <w:iCs/>
                <w:color w:val="243285"/>
                <w:sz w:val="36"/>
                <w:szCs w:val="36"/>
              </w:rPr>
            </w:pPr>
          </w:p>
          <w:p w:rsidR="00347AAD" w:rsidRPr="00F54FBD" w:rsidRDefault="00347AAD" w:rsidP="001D798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V</w:t>
            </w:r>
          </w:p>
          <w:p w:rsidR="00347AAD" w:rsidRPr="00F54FBD" w:rsidRDefault="00347AAD" w:rsidP="001D798F">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Vocabulaire et sujets associés</w:t>
            </w:r>
          </w:p>
        </w:tc>
      </w:tr>
    </w:tbl>
    <w:p w:rsidR="00347AAD" w:rsidRPr="00F54FBD" w:rsidRDefault="00347AAD" w:rsidP="00347AAD">
      <w:pPr>
        <w:spacing w:before="80"/>
        <w:rPr>
          <w:i/>
          <w:sz w:val="22"/>
        </w:rPr>
      </w:pPr>
    </w:p>
    <w:p w:rsidR="00347AAD" w:rsidRPr="00F54FBD" w:rsidRDefault="00347AAD" w:rsidP="00347AAD">
      <w:pPr>
        <w:spacing w:before="80"/>
        <w:rPr>
          <w:i/>
          <w:sz w:val="22"/>
        </w:rPr>
      </w:pPr>
    </w:p>
    <w:p w:rsidR="00347AAD" w:rsidRPr="00F54FBD" w:rsidRDefault="00347AAD" w:rsidP="00347AAD">
      <w:pPr>
        <w:spacing w:before="80"/>
        <w:rPr>
          <w:i/>
          <w:sz w:val="22"/>
        </w:rPr>
      </w:pPr>
    </w:p>
    <w:p w:rsidR="00347AAD" w:rsidRPr="00F54FBD" w:rsidRDefault="00347AAD" w:rsidP="00347AAD">
      <w:pPr>
        <w:spacing w:before="80"/>
        <w:rPr>
          <w:i/>
          <w:sz w:val="22"/>
        </w:rPr>
      </w:pPr>
    </w:p>
    <w:p w:rsidR="00347AAD" w:rsidRPr="00F54FBD" w:rsidRDefault="00347AAD" w:rsidP="00347AAD">
      <w:pPr>
        <w:spacing w:before="80"/>
        <w:rPr>
          <w:i/>
          <w:sz w:val="22"/>
        </w:rPr>
      </w:pPr>
    </w:p>
    <w:p w:rsidR="00347AAD" w:rsidRPr="00F54FBD" w:rsidRDefault="00347AAD" w:rsidP="00347AAD">
      <w:pPr>
        <w:spacing w:before="80"/>
        <w:rPr>
          <w:i/>
          <w:sz w:val="22"/>
        </w:rPr>
      </w:pPr>
    </w:p>
    <w:p w:rsidR="00347AAD" w:rsidRPr="00F54FBD" w:rsidRDefault="00347AAD" w:rsidP="00347AAD">
      <w:pPr>
        <w:pStyle w:val="Equation"/>
        <w:tabs>
          <w:tab w:val="clear" w:pos="4820"/>
          <w:tab w:val="clear" w:pos="9639"/>
          <w:tab w:val="left" w:pos="1191"/>
          <w:tab w:val="left" w:pos="1588"/>
          <w:tab w:val="left" w:pos="1985"/>
        </w:tabs>
        <w:rPr>
          <w:rFonts w:ascii="Palatino Linotype" w:hAnsi="Palatino Linotype"/>
        </w:rPr>
        <w:sectPr w:rsidR="00347AAD" w:rsidRPr="00F54FBD">
          <w:headerReference w:type="even" r:id="rId6"/>
          <w:headerReference w:type="default" r:id="rId7"/>
          <w:pgSz w:w="11907" w:h="16840" w:code="9"/>
          <w:pgMar w:top="1089" w:right="1089" w:bottom="284" w:left="1089" w:header="567" w:footer="284" w:gutter="0"/>
          <w:pgNumType w:start="1"/>
          <w:cols w:space="720"/>
        </w:sectPr>
      </w:pPr>
    </w:p>
    <w:p w:rsidR="00347AAD" w:rsidRPr="00F54FBD" w:rsidRDefault="00347AAD" w:rsidP="00347A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347AAD" w:rsidRPr="00F54FBD" w:rsidRDefault="00347AAD" w:rsidP="00347AA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47AAD" w:rsidRPr="00F54FBD" w:rsidRDefault="00347AAD" w:rsidP="00347AA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347AAD" w:rsidRPr="00E44CBB" w:rsidRDefault="00347AAD" w:rsidP="00347AAD">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347AAD" w:rsidRPr="00E44CBB" w:rsidRDefault="00347AAD" w:rsidP="00347AAD">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347AAD" w:rsidRPr="00444E7C" w:rsidRDefault="00347AAD" w:rsidP="00347AAD">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47AAD" w:rsidRPr="009454F8" w:rsidTr="001D798F">
        <w:tc>
          <w:tcPr>
            <w:tcW w:w="9360" w:type="dxa"/>
            <w:gridSpan w:val="2"/>
          </w:tcPr>
          <w:p w:rsidR="00347AAD" w:rsidRPr="009454F8" w:rsidRDefault="00347AAD" w:rsidP="001D798F">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347AAD" w:rsidRPr="009454F8" w:rsidRDefault="00347AAD" w:rsidP="001D79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347AAD" w:rsidRPr="00036EE3" w:rsidTr="001D798F">
        <w:tc>
          <w:tcPr>
            <w:tcW w:w="1140" w:type="dxa"/>
            <w:tcBorders>
              <w:bottom w:val="nil"/>
            </w:tcBorders>
          </w:tcPr>
          <w:p w:rsidR="00347AAD" w:rsidRPr="00614CC6" w:rsidRDefault="00347AAD" w:rsidP="001D798F">
            <w:pPr>
              <w:spacing w:before="90" w:after="100"/>
              <w:ind w:left="57"/>
              <w:rPr>
                <w:b/>
                <w:bCs/>
                <w:sz w:val="20"/>
                <w:lang w:val="en-US"/>
              </w:rPr>
            </w:pPr>
            <w:r w:rsidRPr="00614CC6">
              <w:rPr>
                <w:b/>
                <w:bCs/>
                <w:sz w:val="20"/>
                <w:lang w:val="en-US"/>
              </w:rPr>
              <w:t>Séries</w:t>
            </w:r>
          </w:p>
        </w:tc>
        <w:tc>
          <w:tcPr>
            <w:tcW w:w="8220" w:type="dxa"/>
            <w:tcBorders>
              <w:bottom w:val="nil"/>
            </w:tcBorders>
          </w:tcPr>
          <w:p w:rsidR="00347AAD" w:rsidRPr="00614CC6" w:rsidRDefault="00347AAD" w:rsidP="001D79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347AAD" w:rsidRPr="005E427C" w:rsidTr="001D798F">
        <w:tc>
          <w:tcPr>
            <w:tcW w:w="1140" w:type="dxa"/>
            <w:tcBorders>
              <w:top w:val="nil"/>
              <w:bottom w:val="nil"/>
            </w:tcBorders>
            <w:shd w:val="clear" w:color="auto" w:fill="auto"/>
          </w:tcPr>
          <w:p w:rsidR="00347AAD" w:rsidRPr="005E427C" w:rsidRDefault="00347AAD" w:rsidP="001D798F">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347AAD" w:rsidRPr="005E427C" w:rsidRDefault="00347AAD" w:rsidP="001D79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347AAD" w:rsidRPr="009454F8" w:rsidTr="001D798F">
        <w:tc>
          <w:tcPr>
            <w:tcW w:w="1140" w:type="dxa"/>
            <w:tcBorders>
              <w:top w:val="nil"/>
              <w:bottom w:val="nil"/>
            </w:tcBorders>
          </w:tcPr>
          <w:p w:rsidR="00347AAD" w:rsidRPr="00614CC6" w:rsidRDefault="00347AAD" w:rsidP="001D798F">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347AAD" w:rsidRPr="00614CC6" w:rsidRDefault="00347AAD" w:rsidP="001D79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347AAD" w:rsidRPr="00E80F1D" w:rsidTr="001D798F">
        <w:tc>
          <w:tcPr>
            <w:tcW w:w="1140" w:type="dxa"/>
            <w:tcBorders>
              <w:top w:val="nil"/>
              <w:bottom w:val="nil"/>
            </w:tcBorders>
            <w:shd w:val="clear" w:color="auto" w:fill="auto"/>
          </w:tcPr>
          <w:p w:rsidR="00347AAD" w:rsidRPr="00E80F1D" w:rsidRDefault="00347AAD" w:rsidP="001D798F">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347AAD" w:rsidRPr="00E80F1D" w:rsidRDefault="00347AAD" w:rsidP="001D79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347AAD" w:rsidRPr="00ED2695" w:rsidTr="001D798F">
        <w:tc>
          <w:tcPr>
            <w:tcW w:w="1140" w:type="dxa"/>
            <w:tcBorders>
              <w:top w:val="nil"/>
              <w:bottom w:val="nil"/>
            </w:tcBorders>
            <w:shd w:val="clear" w:color="auto" w:fill="auto"/>
          </w:tcPr>
          <w:p w:rsidR="00347AAD" w:rsidRPr="00614CC6" w:rsidRDefault="00347AAD" w:rsidP="001D798F">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347AAD" w:rsidRPr="00614CC6" w:rsidRDefault="00347AAD" w:rsidP="001D79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347AAD" w:rsidRPr="00DE5EA2" w:rsidTr="001D798F">
        <w:tc>
          <w:tcPr>
            <w:tcW w:w="1140" w:type="dxa"/>
            <w:tcBorders>
              <w:top w:val="nil"/>
              <w:bottom w:val="nil"/>
            </w:tcBorders>
            <w:shd w:val="clear" w:color="auto" w:fill="auto"/>
          </w:tcPr>
          <w:p w:rsidR="00347AAD" w:rsidRPr="00DE5EA2" w:rsidRDefault="00347AAD" w:rsidP="001D798F">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347AAD" w:rsidRPr="00DE5EA2" w:rsidRDefault="00347AAD" w:rsidP="001D798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347AAD" w:rsidRPr="00B21066" w:rsidTr="001D798F">
        <w:tc>
          <w:tcPr>
            <w:tcW w:w="1140" w:type="dxa"/>
            <w:tcBorders>
              <w:top w:val="nil"/>
              <w:bottom w:val="nil"/>
            </w:tcBorders>
            <w:shd w:val="clear" w:color="auto" w:fill="auto"/>
          </w:tcPr>
          <w:p w:rsidR="00347AAD" w:rsidRPr="00B21066" w:rsidRDefault="00347AAD" w:rsidP="001D798F">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347AAD" w:rsidRPr="00B21066" w:rsidRDefault="00347AAD" w:rsidP="001D79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347AAD" w:rsidRPr="00EC361D" w:rsidTr="001D798F">
        <w:tc>
          <w:tcPr>
            <w:tcW w:w="1140" w:type="dxa"/>
            <w:tcBorders>
              <w:top w:val="nil"/>
              <w:bottom w:val="nil"/>
            </w:tcBorders>
            <w:shd w:val="clear" w:color="auto" w:fill="auto"/>
          </w:tcPr>
          <w:p w:rsidR="00347AAD" w:rsidRPr="00EC361D" w:rsidRDefault="00347AAD" w:rsidP="001D798F">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347AAD" w:rsidRPr="00EC361D" w:rsidRDefault="00347AAD" w:rsidP="001D798F">
            <w:pPr>
              <w:spacing w:before="30" w:after="30"/>
              <w:jc w:val="left"/>
              <w:rPr>
                <w:sz w:val="20"/>
                <w:lang w:val="fr-CH"/>
              </w:rPr>
            </w:pPr>
            <w:r w:rsidRPr="00EC361D">
              <w:rPr>
                <w:sz w:val="20"/>
              </w:rPr>
              <w:t>Propagation des ondes radioélectriques</w:t>
            </w:r>
          </w:p>
        </w:tc>
      </w:tr>
      <w:tr w:rsidR="00347AAD" w:rsidRPr="004822EF" w:rsidTr="001D798F">
        <w:tc>
          <w:tcPr>
            <w:tcW w:w="1140" w:type="dxa"/>
            <w:tcBorders>
              <w:top w:val="nil"/>
              <w:bottom w:val="nil"/>
            </w:tcBorders>
            <w:shd w:val="clear" w:color="auto" w:fill="auto"/>
          </w:tcPr>
          <w:p w:rsidR="00347AAD" w:rsidRPr="004822EF" w:rsidRDefault="00347AAD" w:rsidP="001D798F">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347AAD" w:rsidRPr="004822EF" w:rsidRDefault="00347AAD" w:rsidP="001D798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347AAD" w:rsidRPr="00326525" w:rsidTr="001D798F">
        <w:tc>
          <w:tcPr>
            <w:tcW w:w="1140" w:type="dxa"/>
            <w:tcBorders>
              <w:top w:val="nil"/>
              <w:bottom w:val="nil"/>
            </w:tcBorders>
            <w:shd w:val="clear" w:color="auto" w:fill="auto"/>
          </w:tcPr>
          <w:p w:rsidR="00347AAD" w:rsidRPr="00326525" w:rsidRDefault="00347AAD" w:rsidP="001D798F">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347AAD" w:rsidRPr="00326525" w:rsidRDefault="00347AAD" w:rsidP="001D798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347AAD" w:rsidRPr="00C40D3E" w:rsidTr="001D798F">
        <w:tc>
          <w:tcPr>
            <w:tcW w:w="1140" w:type="dxa"/>
            <w:tcBorders>
              <w:top w:val="nil"/>
              <w:bottom w:val="nil"/>
            </w:tcBorders>
            <w:shd w:val="clear" w:color="auto" w:fill="auto"/>
          </w:tcPr>
          <w:p w:rsidR="00347AAD" w:rsidRPr="00C40D3E" w:rsidRDefault="00347AAD" w:rsidP="001D798F">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347AAD" w:rsidRPr="00C40D3E" w:rsidRDefault="00347AAD" w:rsidP="001D798F">
            <w:pPr>
              <w:spacing w:before="30" w:after="30"/>
              <w:jc w:val="left"/>
              <w:rPr>
                <w:sz w:val="20"/>
                <w:lang w:val="en-US"/>
              </w:rPr>
            </w:pPr>
            <w:r w:rsidRPr="00C40D3E">
              <w:rPr>
                <w:sz w:val="20"/>
              </w:rPr>
              <w:t>Service fixe par satellite</w:t>
            </w:r>
          </w:p>
        </w:tc>
      </w:tr>
      <w:tr w:rsidR="00347AAD" w:rsidRPr="00595D3D" w:rsidTr="001D798F">
        <w:tc>
          <w:tcPr>
            <w:tcW w:w="1140" w:type="dxa"/>
            <w:tcBorders>
              <w:top w:val="nil"/>
              <w:bottom w:val="nil"/>
            </w:tcBorders>
            <w:shd w:val="clear" w:color="auto" w:fill="auto"/>
          </w:tcPr>
          <w:p w:rsidR="00347AAD" w:rsidRPr="00595D3D" w:rsidRDefault="00347AAD" w:rsidP="001D798F">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347AAD" w:rsidRPr="00595D3D" w:rsidRDefault="00347AAD" w:rsidP="001D798F">
            <w:pPr>
              <w:spacing w:before="30" w:after="30"/>
              <w:jc w:val="left"/>
              <w:rPr>
                <w:sz w:val="20"/>
                <w:lang w:val="en-US"/>
              </w:rPr>
            </w:pPr>
            <w:r w:rsidRPr="00595D3D">
              <w:rPr>
                <w:sz w:val="20"/>
              </w:rPr>
              <w:t>Applications spatiales et météorologie</w:t>
            </w:r>
          </w:p>
        </w:tc>
      </w:tr>
      <w:tr w:rsidR="00347AAD" w:rsidRPr="009B5564" w:rsidTr="001D798F">
        <w:tc>
          <w:tcPr>
            <w:tcW w:w="1140" w:type="dxa"/>
            <w:tcBorders>
              <w:top w:val="nil"/>
              <w:bottom w:val="nil"/>
            </w:tcBorders>
            <w:shd w:val="clear" w:color="auto" w:fill="auto"/>
          </w:tcPr>
          <w:p w:rsidR="00347AAD" w:rsidRPr="009B5564" w:rsidRDefault="00347AAD" w:rsidP="001D798F">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rsidR="00347AAD" w:rsidRPr="009B5564" w:rsidRDefault="00347AAD" w:rsidP="001D798F">
            <w:pPr>
              <w:spacing w:before="30" w:after="30"/>
              <w:jc w:val="left"/>
              <w:rPr>
                <w:bCs/>
                <w:sz w:val="20"/>
              </w:rPr>
            </w:pPr>
            <w:r w:rsidRPr="009B5564">
              <w:rPr>
                <w:bCs/>
                <w:sz w:val="20"/>
              </w:rPr>
              <w:t>Partage des fréquences et coordination entre les systèmes du service fixe par satellite et du service fixe</w:t>
            </w:r>
          </w:p>
        </w:tc>
      </w:tr>
      <w:tr w:rsidR="00347AAD" w:rsidRPr="009B5564" w:rsidTr="001D798F">
        <w:tc>
          <w:tcPr>
            <w:tcW w:w="1140" w:type="dxa"/>
            <w:tcBorders>
              <w:top w:val="nil"/>
              <w:bottom w:val="nil"/>
            </w:tcBorders>
            <w:shd w:val="clear" w:color="auto" w:fill="auto"/>
          </w:tcPr>
          <w:p w:rsidR="00347AAD" w:rsidRPr="001B1BA9" w:rsidRDefault="00347AAD" w:rsidP="001D798F">
            <w:pPr>
              <w:spacing w:before="30" w:after="30"/>
              <w:ind w:left="57"/>
              <w:jc w:val="left"/>
              <w:rPr>
                <w:b/>
                <w:sz w:val="20"/>
                <w:lang w:val="en-US"/>
              </w:rPr>
            </w:pPr>
            <w:r w:rsidRPr="001B1BA9">
              <w:rPr>
                <w:b/>
                <w:sz w:val="20"/>
                <w:lang w:val="en-US"/>
              </w:rPr>
              <w:t>SM</w:t>
            </w:r>
          </w:p>
        </w:tc>
        <w:tc>
          <w:tcPr>
            <w:tcW w:w="8220" w:type="dxa"/>
            <w:tcBorders>
              <w:top w:val="nil"/>
              <w:bottom w:val="nil"/>
            </w:tcBorders>
            <w:shd w:val="clear" w:color="auto" w:fill="auto"/>
          </w:tcPr>
          <w:p w:rsidR="00347AAD" w:rsidRPr="001B1BA9" w:rsidRDefault="00347AAD" w:rsidP="001D798F">
            <w:pPr>
              <w:spacing w:before="30" w:after="30"/>
              <w:jc w:val="left"/>
              <w:rPr>
                <w:bCs/>
                <w:sz w:val="20"/>
                <w:lang w:val="en-US"/>
              </w:rPr>
            </w:pPr>
            <w:r w:rsidRPr="001B1BA9">
              <w:rPr>
                <w:bCs/>
                <w:sz w:val="20"/>
              </w:rPr>
              <w:t>Gestion du spectre</w:t>
            </w:r>
          </w:p>
        </w:tc>
      </w:tr>
      <w:tr w:rsidR="00347AAD" w:rsidRPr="00DD5F95" w:rsidTr="001D798F">
        <w:tc>
          <w:tcPr>
            <w:tcW w:w="1140" w:type="dxa"/>
            <w:tcBorders>
              <w:top w:val="nil"/>
              <w:bottom w:val="nil"/>
            </w:tcBorders>
            <w:shd w:val="clear" w:color="auto" w:fill="auto"/>
          </w:tcPr>
          <w:p w:rsidR="00347AAD" w:rsidRPr="00DD5F95" w:rsidRDefault="00347AAD" w:rsidP="001D798F">
            <w:pPr>
              <w:spacing w:before="30" w:after="30"/>
              <w:ind w:left="57"/>
              <w:jc w:val="left"/>
              <w:rPr>
                <w:b/>
                <w:bCs/>
                <w:sz w:val="20"/>
                <w:lang w:val="en-US"/>
              </w:rPr>
            </w:pPr>
            <w:r w:rsidRPr="00DD5F95">
              <w:rPr>
                <w:b/>
                <w:bCs/>
                <w:sz w:val="20"/>
                <w:lang w:val="en-US"/>
              </w:rPr>
              <w:t>SNG</w:t>
            </w:r>
          </w:p>
        </w:tc>
        <w:tc>
          <w:tcPr>
            <w:tcW w:w="8220" w:type="dxa"/>
            <w:tcBorders>
              <w:top w:val="nil"/>
              <w:bottom w:val="nil"/>
            </w:tcBorders>
            <w:shd w:val="clear" w:color="auto" w:fill="auto"/>
          </w:tcPr>
          <w:p w:rsidR="00347AAD" w:rsidRPr="00DD5F95" w:rsidRDefault="00347AAD" w:rsidP="001D798F">
            <w:pPr>
              <w:spacing w:before="30" w:after="30"/>
              <w:jc w:val="left"/>
              <w:rPr>
                <w:sz w:val="20"/>
                <w:lang w:val="en-US"/>
              </w:rPr>
            </w:pPr>
            <w:r w:rsidRPr="00DD5F95">
              <w:rPr>
                <w:sz w:val="20"/>
              </w:rPr>
              <w:t>Reportage d'actualités par satellite</w:t>
            </w:r>
          </w:p>
        </w:tc>
      </w:tr>
      <w:tr w:rsidR="00347AAD" w:rsidRPr="00540102" w:rsidTr="001D798F">
        <w:tc>
          <w:tcPr>
            <w:tcW w:w="1140" w:type="dxa"/>
            <w:tcBorders>
              <w:top w:val="nil"/>
              <w:bottom w:val="nil"/>
            </w:tcBorders>
            <w:shd w:val="clear" w:color="auto" w:fill="auto"/>
          </w:tcPr>
          <w:p w:rsidR="00347AAD" w:rsidRPr="00540102" w:rsidRDefault="00347AAD" w:rsidP="001D798F">
            <w:pPr>
              <w:spacing w:before="30" w:after="30"/>
              <w:ind w:left="57"/>
              <w:jc w:val="left"/>
              <w:rPr>
                <w:b/>
                <w:bCs/>
                <w:sz w:val="20"/>
                <w:lang w:val="en-US"/>
              </w:rPr>
            </w:pPr>
            <w:r w:rsidRPr="00540102">
              <w:rPr>
                <w:b/>
                <w:bCs/>
                <w:sz w:val="20"/>
                <w:lang w:val="en-US"/>
              </w:rPr>
              <w:t>TF</w:t>
            </w:r>
          </w:p>
        </w:tc>
        <w:tc>
          <w:tcPr>
            <w:tcW w:w="8220" w:type="dxa"/>
            <w:tcBorders>
              <w:top w:val="nil"/>
              <w:bottom w:val="nil"/>
            </w:tcBorders>
            <w:shd w:val="clear" w:color="auto" w:fill="auto"/>
          </w:tcPr>
          <w:p w:rsidR="00347AAD" w:rsidRPr="00540102" w:rsidRDefault="00347AAD" w:rsidP="001D798F">
            <w:pPr>
              <w:spacing w:before="30" w:after="30"/>
              <w:jc w:val="left"/>
              <w:rPr>
                <w:sz w:val="20"/>
              </w:rPr>
            </w:pPr>
            <w:r w:rsidRPr="00540102">
              <w:rPr>
                <w:sz w:val="20"/>
              </w:rPr>
              <w:t>Emissions de fréquences étalon et de signaux horaires</w:t>
            </w:r>
          </w:p>
        </w:tc>
      </w:tr>
      <w:tr w:rsidR="00347AAD" w:rsidRPr="00540102" w:rsidTr="001D798F">
        <w:tc>
          <w:tcPr>
            <w:tcW w:w="1140" w:type="dxa"/>
            <w:tcBorders>
              <w:top w:val="nil"/>
              <w:bottom w:val="single" w:sz="12" w:space="0" w:color="000080"/>
            </w:tcBorders>
            <w:shd w:val="clear" w:color="auto" w:fill="F3F3F3"/>
          </w:tcPr>
          <w:p w:rsidR="00347AAD" w:rsidRPr="00540102" w:rsidRDefault="00347AAD" w:rsidP="001D798F">
            <w:pPr>
              <w:spacing w:before="30" w:after="30"/>
              <w:ind w:left="57"/>
              <w:jc w:val="left"/>
              <w:rPr>
                <w:b/>
                <w:bCs/>
                <w:color w:val="000080"/>
                <w:sz w:val="20"/>
                <w:lang w:val="en-US"/>
              </w:rPr>
            </w:pPr>
            <w:r w:rsidRPr="00540102">
              <w:rPr>
                <w:b/>
                <w:bCs/>
                <w:color w:val="000080"/>
                <w:sz w:val="20"/>
                <w:lang w:val="en-US"/>
              </w:rPr>
              <w:t>V</w:t>
            </w:r>
          </w:p>
        </w:tc>
        <w:tc>
          <w:tcPr>
            <w:tcW w:w="8220" w:type="dxa"/>
            <w:tcBorders>
              <w:top w:val="nil"/>
              <w:bottom w:val="single" w:sz="12" w:space="0" w:color="000080"/>
            </w:tcBorders>
            <w:shd w:val="clear" w:color="auto" w:fill="F3F3F3"/>
          </w:tcPr>
          <w:p w:rsidR="00347AAD" w:rsidRPr="00540102" w:rsidRDefault="00347AAD" w:rsidP="001D798F">
            <w:pPr>
              <w:spacing w:before="30" w:after="140"/>
              <w:jc w:val="left"/>
              <w:rPr>
                <w:b/>
                <w:bCs/>
                <w:color w:val="000080"/>
                <w:sz w:val="20"/>
                <w:lang w:val="en-US"/>
              </w:rPr>
            </w:pPr>
            <w:r w:rsidRPr="00540102">
              <w:rPr>
                <w:b/>
                <w:bCs/>
                <w:color w:val="000080"/>
                <w:sz w:val="20"/>
              </w:rPr>
              <w:t>Vocabulaire et sujets associés</w:t>
            </w:r>
          </w:p>
        </w:tc>
      </w:tr>
    </w:tbl>
    <w:p w:rsidR="00347AAD" w:rsidRPr="00036EE3" w:rsidRDefault="00347AAD" w:rsidP="00347AAD">
      <w:pPr>
        <w:spacing w:before="0"/>
        <w:jc w:val="center"/>
        <w:rPr>
          <w:sz w:val="20"/>
          <w:lang w:val="en-US"/>
        </w:rPr>
      </w:pPr>
    </w:p>
    <w:p w:rsidR="00347AAD" w:rsidRPr="00036EE3" w:rsidRDefault="00347AAD" w:rsidP="00347AAD">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47AAD" w:rsidRPr="00756B4D" w:rsidTr="001D798F">
        <w:tc>
          <w:tcPr>
            <w:tcW w:w="9360" w:type="dxa"/>
          </w:tcPr>
          <w:p w:rsidR="00347AAD" w:rsidRPr="00756B4D" w:rsidRDefault="00347AAD" w:rsidP="001D798F">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347AAD" w:rsidRPr="00756B4D" w:rsidRDefault="00347AAD" w:rsidP="00347AAD">
      <w:pPr>
        <w:spacing w:before="0"/>
        <w:jc w:val="center"/>
        <w:rPr>
          <w:sz w:val="22"/>
        </w:rPr>
      </w:pPr>
    </w:p>
    <w:p w:rsidR="00347AAD" w:rsidRPr="00614CC6" w:rsidRDefault="00347AAD" w:rsidP="00347AAD">
      <w:pPr>
        <w:spacing w:before="100"/>
        <w:jc w:val="right"/>
        <w:rPr>
          <w:i/>
          <w:iCs/>
          <w:sz w:val="20"/>
        </w:rPr>
      </w:pPr>
      <w:r w:rsidRPr="00614CC6">
        <w:rPr>
          <w:i/>
          <w:iCs/>
          <w:sz w:val="20"/>
        </w:rPr>
        <w:t>Publication électronique</w:t>
      </w:r>
    </w:p>
    <w:p w:rsidR="00347AAD" w:rsidRPr="00614CC6" w:rsidRDefault="00347AAD" w:rsidP="00347AAD">
      <w:pPr>
        <w:spacing w:before="0"/>
        <w:jc w:val="right"/>
        <w:rPr>
          <w:sz w:val="20"/>
        </w:rPr>
      </w:pPr>
      <w:r w:rsidRPr="00614CC6">
        <w:rPr>
          <w:sz w:val="20"/>
        </w:rPr>
        <w:t>Genève, 20</w:t>
      </w:r>
      <w:r>
        <w:rPr>
          <w:sz w:val="20"/>
        </w:rPr>
        <w:t>16</w:t>
      </w:r>
    </w:p>
    <w:p w:rsidR="00347AAD" w:rsidRPr="00614CC6" w:rsidRDefault="00347AAD" w:rsidP="00347AAD">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16</w:t>
      </w:r>
    </w:p>
    <w:p w:rsidR="00347AAD" w:rsidRPr="00614CC6" w:rsidRDefault="00347AAD" w:rsidP="00347AAD">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347AAD" w:rsidRPr="00614CC6" w:rsidRDefault="00347AAD" w:rsidP="00347AAD">
      <w:pPr>
        <w:spacing w:before="160"/>
        <w:rPr>
          <w:i/>
          <w:sz w:val="20"/>
          <w:highlight w:val="yellow"/>
        </w:rPr>
        <w:sectPr w:rsidR="00347AAD"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347AAD" w:rsidRPr="00756B4D" w:rsidRDefault="00347AAD" w:rsidP="00347AAD">
      <w:pPr>
        <w:pStyle w:val="RecNo"/>
        <w:spacing w:before="0"/>
      </w:pPr>
      <w:bookmarkStart w:id="2" w:name="irecnoe"/>
      <w:bookmarkEnd w:id="2"/>
      <w:r w:rsidRPr="00756B4D">
        <w:t xml:space="preserve">RECOMMANDATION  </w:t>
      </w:r>
      <w:r>
        <w:rPr>
          <w:rStyle w:val="href"/>
        </w:rPr>
        <w:t>UIT</w:t>
      </w:r>
      <w:r w:rsidRPr="00756B4D">
        <w:rPr>
          <w:rStyle w:val="href"/>
        </w:rPr>
        <w:t xml:space="preserve">-R  </w:t>
      </w:r>
      <w:r>
        <w:rPr>
          <w:rStyle w:val="href"/>
        </w:rPr>
        <w:t>V</w:t>
      </w:r>
      <w:r w:rsidRPr="00756B4D">
        <w:rPr>
          <w:rStyle w:val="href"/>
        </w:rPr>
        <w:t>.</w:t>
      </w:r>
      <w:r>
        <w:rPr>
          <w:rStyle w:val="href"/>
        </w:rPr>
        <w:t>430-4</w:t>
      </w:r>
    </w:p>
    <w:p w:rsidR="00347AAD" w:rsidRDefault="00347AAD" w:rsidP="00347AAD">
      <w:pPr>
        <w:pStyle w:val="Rectitle"/>
        <w:rPr>
          <w:sz w:val="24"/>
          <w:szCs w:val="24"/>
          <w:lang w:val="fr-CH"/>
        </w:rPr>
      </w:pPr>
      <w:r>
        <w:t>Emploi du système international d'unités (SI)</w:t>
      </w:r>
    </w:p>
    <w:p w:rsidR="00347AAD" w:rsidRPr="004B666F" w:rsidRDefault="00347AAD" w:rsidP="00347AAD">
      <w:pPr>
        <w:pStyle w:val="Recdate"/>
        <w:spacing w:before="240"/>
        <w:rPr>
          <w:szCs w:val="24"/>
          <w:lang w:val="fr-CH"/>
        </w:rPr>
      </w:pPr>
      <w:r w:rsidRPr="004B666F">
        <w:rPr>
          <w:szCs w:val="24"/>
          <w:lang w:val="fr-CH"/>
        </w:rPr>
        <w:t>(1953-1963-1978-1982-1990-2015)</w:t>
      </w:r>
    </w:p>
    <w:p w:rsidR="00347AAD" w:rsidRPr="00BE3336" w:rsidRDefault="00347AAD" w:rsidP="00347AAD">
      <w:pPr>
        <w:pStyle w:val="HeadingSum"/>
        <w:rPr>
          <w:szCs w:val="22"/>
          <w:lang w:val="fr-FR"/>
        </w:rPr>
      </w:pPr>
      <w:bookmarkStart w:id="3" w:name="título"/>
      <w:bookmarkEnd w:id="3"/>
      <w:r>
        <w:rPr>
          <w:szCs w:val="22"/>
          <w:lang w:val="fr-FR"/>
        </w:rPr>
        <w:t>Champ d'application</w:t>
      </w:r>
    </w:p>
    <w:p w:rsidR="00347AAD" w:rsidRDefault="00347AAD" w:rsidP="00347AAD">
      <w:pPr>
        <w:pStyle w:val="Summary"/>
        <w:rPr>
          <w:szCs w:val="22"/>
          <w:lang w:val="fr-FR"/>
        </w:rPr>
      </w:pPr>
      <w:r w:rsidRPr="00BE3336">
        <w:rPr>
          <w:szCs w:val="22"/>
          <w:lang w:val="fr-FR"/>
        </w:rPr>
        <w:t>Ce texte recommande l</w:t>
      </w:r>
      <w:r>
        <w:rPr>
          <w:szCs w:val="22"/>
          <w:lang w:val="fr-FR"/>
        </w:rPr>
        <w:t>'</w:t>
      </w:r>
      <w:r w:rsidRPr="00BE3336">
        <w:rPr>
          <w:szCs w:val="22"/>
          <w:lang w:val="fr-FR"/>
        </w:rPr>
        <w:t>utilisation du système international d</w:t>
      </w:r>
      <w:r>
        <w:rPr>
          <w:szCs w:val="22"/>
          <w:lang w:val="fr-FR"/>
        </w:rPr>
        <w:t>'</w:t>
      </w:r>
      <w:r w:rsidRPr="00BE3336">
        <w:rPr>
          <w:szCs w:val="22"/>
          <w:lang w:val="fr-FR"/>
        </w:rPr>
        <w:t>unit</w:t>
      </w:r>
      <w:r>
        <w:rPr>
          <w:szCs w:val="22"/>
          <w:lang w:val="fr-FR"/>
        </w:rPr>
        <w:t>és (SI) ainsi que des symboles représentant ces unités. Il stipule également que des règles analogues doivent être suivies pour d'autres unités et symboles dans le domaine des télécommunications</w:t>
      </w:r>
      <w:r w:rsidRPr="00BE3336">
        <w:rPr>
          <w:szCs w:val="22"/>
          <w:lang w:val="fr-FR"/>
        </w:rPr>
        <w:t>.</w:t>
      </w:r>
    </w:p>
    <w:p w:rsidR="00347AAD" w:rsidRPr="00EA1E1B" w:rsidRDefault="00347AAD" w:rsidP="001D0CF8">
      <w:pPr>
        <w:pStyle w:val="Headingb"/>
        <w:spacing w:before="120"/>
        <w:rPr>
          <w:lang w:val="fr-CH"/>
        </w:rPr>
      </w:pPr>
      <w:bookmarkStart w:id="4" w:name="_Toc368428505"/>
      <w:bookmarkStart w:id="5" w:name="_Toc368428583"/>
      <w:bookmarkStart w:id="6" w:name="_Toc368430174"/>
      <w:bookmarkStart w:id="7" w:name="_Toc369007123"/>
      <w:r w:rsidRPr="00EA1E1B">
        <w:rPr>
          <w:lang w:val="fr-CH"/>
        </w:rPr>
        <w:t>Mots clés</w:t>
      </w:r>
    </w:p>
    <w:p w:rsidR="00347AAD" w:rsidRPr="00EA1E1B" w:rsidRDefault="00347AAD" w:rsidP="00347AAD">
      <w:pPr>
        <w:rPr>
          <w:lang w:val="fr-CH" w:eastAsia="ja-JP"/>
        </w:rPr>
      </w:pPr>
      <w:r w:rsidRPr="00EA1E1B">
        <w:rPr>
          <w:lang w:val="fr-CH" w:eastAsia="ja-JP"/>
        </w:rPr>
        <w:t>Système international d</w:t>
      </w:r>
      <w:r>
        <w:rPr>
          <w:lang w:val="fr-CH" w:eastAsia="ja-JP"/>
        </w:rPr>
        <w:t>'</w:t>
      </w:r>
      <w:r w:rsidRPr="00EA1E1B">
        <w:rPr>
          <w:lang w:val="fr-CH" w:eastAsia="ja-JP"/>
        </w:rPr>
        <w:t>unités</w:t>
      </w:r>
    </w:p>
    <w:bookmarkEnd w:id="4"/>
    <w:bookmarkEnd w:id="5"/>
    <w:bookmarkEnd w:id="6"/>
    <w:bookmarkEnd w:id="7"/>
    <w:p w:rsidR="00347AAD" w:rsidRPr="00EA1E1B" w:rsidRDefault="00347AAD" w:rsidP="00347AAD">
      <w:pPr>
        <w:pStyle w:val="Headingb"/>
        <w:rPr>
          <w:lang w:val="fr-CH"/>
        </w:rPr>
      </w:pPr>
      <w:r w:rsidRPr="00EA1E1B">
        <w:rPr>
          <w:lang w:val="fr-CH"/>
        </w:rPr>
        <w:t>Recommandations de l</w:t>
      </w:r>
      <w:r>
        <w:rPr>
          <w:lang w:val="fr-CH"/>
        </w:rPr>
        <w:t>'</w:t>
      </w:r>
      <w:r w:rsidRPr="00EA1E1B">
        <w:rPr>
          <w:lang w:val="fr-CH"/>
        </w:rPr>
        <w:t>UIT connexes</w:t>
      </w:r>
    </w:p>
    <w:p w:rsidR="00347AAD" w:rsidRPr="00EA1E1B" w:rsidRDefault="00347AAD" w:rsidP="001D0CF8">
      <w:pPr>
        <w:pStyle w:val="Reftext"/>
        <w:keepNext/>
        <w:keepLines/>
        <w:ind w:left="3600" w:hanging="3600"/>
        <w:rPr>
          <w:szCs w:val="24"/>
          <w:lang w:val="fr-CH"/>
        </w:rPr>
      </w:pPr>
      <w:r w:rsidRPr="00EA1E1B">
        <w:rPr>
          <w:szCs w:val="24"/>
          <w:lang w:val="fr-CH"/>
        </w:rPr>
        <w:t>Recommandation UIT-R V.431-</w:t>
      </w:r>
      <w:r w:rsidR="001D0CF8">
        <w:rPr>
          <w:szCs w:val="24"/>
          <w:lang w:val="fr-CH"/>
        </w:rPr>
        <w:t>8</w:t>
      </w:r>
      <w:r w:rsidRPr="00EA1E1B">
        <w:rPr>
          <w:szCs w:val="24"/>
          <w:lang w:val="fr-CH"/>
        </w:rPr>
        <w:tab/>
      </w:r>
      <w:r>
        <w:rPr>
          <w:color w:val="000000"/>
        </w:rPr>
        <w:t>Nomenclature des bandes de fréquences et de longueurs d'onde employées en télécommunication</w:t>
      </w:r>
    </w:p>
    <w:p w:rsidR="00347AAD" w:rsidRPr="00896677" w:rsidRDefault="00347AAD" w:rsidP="001D0CF8">
      <w:pPr>
        <w:pStyle w:val="Reftext"/>
        <w:keepNext/>
        <w:keepLines/>
        <w:ind w:left="3600" w:hanging="3600"/>
        <w:rPr>
          <w:szCs w:val="24"/>
          <w:lang w:val="fr-CH"/>
        </w:rPr>
      </w:pPr>
      <w:r w:rsidRPr="00896677">
        <w:rPr>
          <w:szCs w:val="24"/>
          <w:lang w:val="fr-CH"/>
        </w:rPr>
        <w:t>Recomm</w:t>
      </w:r>
      <w:r>
        <w:rPr>
          <w:szCs w:val="24"/>
          <w:lang w:val="fr-CH"/>
        </w:rPr>
        <w:t>a</w:t>
      </w:r>
      <w:r w:rsidRPr="00896677">
        <w:rPr>
          <w:szCs w:val="24"/>
          <w:lang w:val="fr-CH"/>
        </w:rPr>
        <w:t xml:space="preserve">ndation </w:t>
      </w:r>
      <w:r w:rsidRPr="00EA1E1B">
        <w:rPr>
          <w:szCs w:val="24"/>
          <w:lang w:val="fr-CH"/>
        </w:rPr>
        <w:t>UIT</w:t>
      </w:r>
      <w:r w:rsidRPr="00896677">
        <w:rPr>
          <w:szCs w:val="24"/>
          <w:lang w:val="fr-CH"/>
        </w:rPr>
        <w:t>-R V.573</w:t>
      </w:r>
      <w:r>
        <w:rPr>
          <w:szCs w:val="24"/>
          <w:lang w:val="fr-CH"/>
        </w:rPr>
        <w:t>-</w:t>
      </w:r>
      <w:r w:rsidR="001D0CF8">
        <w:rPr>
          <w:szCs w:val="24"/>
          <w:lang w:val="fr-CH"/>
        </w:rPr>
        <w:t>6</w:t>
      </w:r>
      <w:r w:rsidRPr="00896677">
        <w:rPr>
          <w:szCs w:val="24"/>
          <w:lang w:val="fr-CH"/>
        </w:rPr>
        <w:tab/>
      </w:r>
      <w:r>
        <w:rPr>
          <w:color w:val="000000"/>
        </w:rPr>
        <w:t>Vocabulaire des radiocommunications</w:t>
      </w:r>
    </w:p>
    <w:p w:rsidR="00347AAD" w:rsidRPr="00896677" w:rsidRDefault="00347AAD" w:rsidP="001D0CF8">
      <w:pPr>
        <w:pStyle w:val="Reftext"/>
        <w:keepNext/>
        <w:keepLines/>
        <w:ind w:left="3600" w:hanging="3600"/>
        <w:rPr>
          <w:szCs w:val="24"/>
          <w:lang w:val="fr-CH"/>
        </w:rPr>
      </w:pPr>
      <w:r w:rsidRPr="00EA1E1B">
        <w:rPr>
          <w:szCs w:val="24"/>
          <w:lang w:val="fr-CH"/>
        </w:rPr>
        <w:t>Recommandation UIT-R V.574-</w:t>
      </w:r>
      <w:r w:rsidR="001D0CF8">
        <w:rPr>
          <w:szCs w:val="24"/>
          <w:lang w:val="fr-CH"/>
        </w:rPr>
        <w:t>5</w:t>
      </w:r>
      <w:r w:rsidRPr="00EA1E1B">
        <w:rPr>
          <w:szCs w:val="24"/>
          <w:lang w:val="fr-CH"/>
        </w:rPr>
        <w:tab/>
      </w:r>
      <w:r>
        <w:rPr>
          <w:color w:val="000000"/>
        </w:rPr>
        <w:t>Emploi du décibel et du néper dans les télécommunications</w:t>
      </w:r>
    </w:p>
    <w:p w:rsidR="00347AAD" w:rsidRPr="00EA1E1B" w:rsidRDefault="00347AAD" w:rsidP="001D0CF8">
      <w:pPr>
        <w:pStyle w:val="Reftext"/>
        <w:keepNext/>
        <w:keepLines/>
        <w:ind w:left="3600" w:hanging="3600"/>
        <w:rPr>
          <w:szCs w:val="24"/>
          <w:lang w:val="fr-CH"/>
        </w:rPr>
      </w:pPr>
      <w:r w:rsidRPr="00EA1E1B">
        <w:rPr>
          <w:szCs w:val="24"/>
          <w:lang w:val="fr-CH"/>
        </w:rPr>
        <w:t>Recommandation UIT-R V.665-</w:t>
      </w:r>
      <w:r w:rsidR="001D0CF8">
        <w:rPr>
          <w:szCs w:val="24"/>
          <w:lang w:val="fr-CH"/>
        </w:rPr>
        <w:t>3</w:t>
      </w:r>
      <w:r w:rsidRPr="00EA1E1B">
        <w:rPr>
          <w:szCs w:val="24"/>
          <w:lang w:val="fr-CH"/>
        </w:rPr>
        <w:tab/>
      </w:r>
      <w:r>
        <w:rPr>
          <w:color w:val="000000"/>
        </w:rPr>
        <w:t>Unité d'intensité du trafic</w:t>
      </w:r>
    </w:p>
    <w:p w:rsidR="00347AAD" w:rsidRPr="00EA1E1B" w:rsidRDefault="00347AAD" w:rsidP="00347AAD">
      <w:pPr>
        <w:spacing w:before="360"/>
        <w:rPr>
          <w:lang w:val="fr-CH"/>
        </w:rPr>
      </w:pPr>
      <w:r>
        <w:t>L'Assemblée des radiocommunications de l'UIT,</w:t>
      </w:r>
    </w:p>
    <w:p w:rsidR="00347AAD" w:rsidRPr="004B666F" w:rsidRDefault="00347AAD" w:rsidP="00347AAD">
      <w:pPr>
        <w:pStyle w:val="Call"/>
        <w:rPr>
          <w:lang w:val="fr-CH"/>
        </w:rPr>
      </w:pPr>
      <w:r w:rsidRPr="004B666F">
        <w:rPr>
          <w:lang w:val="fr-CH"/>
        </w:rPr>
        <w:t xml:space="preserve">considérant </w:t>
      </w:r>
    </w:p>
    <w:p w:rsidR="00347AAD" w:rsidRPr="00EA1E1B" w:rsidRDefault="00347AAD" w:rsidP="00347AAD">
      <w:pPr>
        <w:rPr>
          <w:lang w:val="fr-CH" w:eastAsia="zh-CN"/>
        </w:rPr>
      </w:pPr>
      <w:r w:rsidRPr="00EA1E1B">
        <w:rPr>
          <w:i/>
          <w:iCs/>
          <w:lang w:val="fr-CH" w:eastAsia="ja-JP"/>
        </w:rPr>
        <w:t>a</w:t>
      </w:r>
      <w:r w:rsidRPr="00EA1E1B">
        <w:rPr>
          <w:i/>
          <w:iCs/>
          <w:lang w:val="fr-CH" w:eastAsia="zh-CN"/>
        </w:rPr>
        <w:t>)</w:t>
      </w:r>
      <w:r w:rsidRPr="00EA1E1B">
        <w:rPr>
          <w:i/>
          <w:lang w:val="fr-CH"/>
        </w:rPr>
        <w:tab/>
      </w:r>
      <w:r w:rsidRPr="00EA1E1B">
        <w:rPr>
          <w:lang w:val="fr-CH" w:eastAsia="zh-CN"/>
        </w:rPr>
        <w:t>le système international d</w:t>
      </w:r>
      <w:r>
        <w:rPr>
          <w:lang w:val="fr-CH" w:eastAsia="zh-CN"/>
        </w:rPr>
        <w:t>'</w:t>
      </w:r>
      <w:r w:rsidRPr="00EA1E1B">
        <w:rPr>
          <w:lang w:val="fr-CH" w:eastAsia="zh-CN"/>
        </w:rPr>
        <w:t>unités (SI) adopté par la Conférence générale des poids et des mesures (CGPM)</w:t>
      </w:r>
      <w:r w:rsidRPr="00EA1E1B">
        <w:rPr>
          <w:lang w:val="fr-CH"/>
        </w:rPr>
        <w:t>;</w:t>
      </w:r>
    </w:p>
    <w:p w:rsidR="00347AAD" w:rsidRPr="00EA1E1B" w:rsidRDefault="00347AAD" w:rsidP="00347AAD">
      <w:pPr>
        <w:rPr>
          <w:lang w:val="fr-CH"/>
        </w:rPr>
      </w:pPr>
      <w:r w:rsidRPr="00EA1E1B">
        <w:rPr>
          <w:i/>
          <w:iCs/>
          <w:lang w:val="fr-CH" w:eastAsia="ja-JP"/>
        </w:rPr>
        <w:t>b</w:t>
      </w:r>
      <w:r w:rsidRPr="00EA1E1B">
        <w:rPr>
          <w:i/>
          <w:iCs/>
          <w:lang w:val="fr-CH" w:eastAsia="zh-CN"/>
        </w:rPr>
        <w:t>)</w:t>
      </w:r>
      <w:r w:rsidRPr="00EA1E1B">
        <w:rPr>
          <w:lang w:val="fr-CH" w:eastAsia="zh-CN"/>
        </w:rPr>
        <w:tab/>
        <w:t>que l</w:t>
      </w:r>
      <w:r>
        <w:rPr>
          <w:lang w:val="fr-CH" w:eastAsia="zh-CN"/>
        </w:rPr>
        <w:t>'</w:t>
      </w:r>
      <w:r w:rsidRPr="00EA1E1B">
        <w:rPr>
          <w:lang w:val="fr-CH" w:eastAsia="zh-CN"/>
        </w:rPr>
        <w:t>Organisation internationale de normalisation (ISO) souscrit au système international d</w:t>
      </w:r>
      <w:r>
        <w:rPr>
          <w:lang w:val="fr-CH" w:eastAsia="zh-CN"/>
        </w:rPr>
        <w:t>'</w:t>
      </w:r>
      <w:r w:rsidRPr="00EA1E1B">
        <w:rPr>
          <w:lang w:val="fr-CH" w:eastAsia="zh-CN"/>
        </w:rPr>
        <w:t xml:space="preserve">unités (SI) qui est </w:t>
      </w:r>
      <w:r>
        <w:rPr>
          <w:lang w:val="fr-CH" w:eastAsia="zh-CN"/>
        </w:rPr>
        <w:t>fondé</w:t>
      </w:r>
      <w:r w:rsidRPr="00EA1E1B">
        <w:rPr>
          <w:lang w:val="fr-CH" w:eastAsia="zh-CN"/>
        </w:rPr>
        <w:t xml:space="preserve"> sur la forme rationalisée </w:t>
      </w:r>
      <w:r>
        <w:rPr>
          <w:lang w:val="fr-CH" w:eastAsia="zh-CN"/>
        </w:rPr>
        <w:t>des relations de l'électromagnétisme et de l'électrotechnique,</w:t>
      </w:r>
    </w:p>
    <w:p w:rsidR="00347AAD" w:rsidRDefault="00347AAD" w:rsidP="00347AAD">
      <w:pPr>
        <w:pStyle w:val="Call"/>
      </w:pPr>
      <w:r>
        <w:t>recommande</w:t>
      </w:r>
    </w:p>
    <w:p w:rsidR="00347AAD" w:rsidRDefault="00347AAD" w:rsidP="00347AAD">
      <w:r>
        <w:rPr>
          <w:b/>
        </w:rPr>
        <w:t>1</w:t>
      </w:r>
      <w:r>
        <w:tab/>
        <w:t>que les différents organes de l'UIT, les administrations et les exploitations privées reconnues, dans leurs relations mutuelles, utilisent:</w:t>
      </w:r>
    </w:p>
    <w:p w:rsidR="00347AAD" w:rsidRDefault="00347AAD" w:rsidP="00347AAD">
      <w:pPr>
        <w:pStyle w:val="enumlev1"/>
      </w:pPr>
      <w:r>
        <w:t>–</w:t>
      </w:r>
      <w:r>
        <w:tab/>
        <w:t>les unités du système SI;</w:t>
      </w:r>
    </w:p>
    <w:p w:rsidR="00347AAD" w:rsidRDefault="00347AAD" w:rsidP="00347AAD">
      <w:pPr>
        <w:pStyle w:val="enumlev1"/>
      </w:pPr>
      <w:r>
        <w:t>–</w:t>
      </w:r>
      <w:r>
        <w:tab/>
        <w:t>les symboles adoptés dans le système SI pour représenter les unités;</w:t>
      </w:r>
    </w:p>
    <w:p w:rsidR="00347AAD" w:rsidRDefault="00347AAD" w:rsidP="00347AAD">
      <w:pPr>
        <w:pStyle w:val="enumlev1"/>
      </w:pPr>
      <w:r>
        <w:t>–</w:t>
      </w:r>
      <w:r>
        <w:tab/>
        <w:t>des règles analogues à celles du système SI quand il est nécessaire de former d'autres noms d'unités et leurs symboles dans le domaine des télécommunications;</w:t>
      </w:r>
    </w:p>
    <w:p w:rsidR="00347AAD" w:rsidRDefault="00347AAD" w:rsidP="00347AAD">
      <w:r>
        <w:rPr>
          <w:b/>
        </w:rPr>
        <w:t>2</w:t>
      </w:r>
      <w:r>
        <w:tab/>
        <w:t>que, à l'exception des symboles d'unités couramment utilisés dans les télécommunications, la première fois qu'un symbole est utilisé dans un texte donné, sa signification complète soit indiquée, soit dans le corps du texte, soit en note de bas de page.</w:t>
      </w:r>
    </w:p>
    <w:p w:rsidR="00347AAD" w:rsidRDefault="00347AAD" w:rsidP="00347AAD">
      <w:r>
        <w:rPr>
          <w:iCs/>
        </w:rPr>
        <w:t>NOTE 1</w:t>
      </w:r>
      <w:r>
        <w:t> – Références des publications pertinentes (Mise à jour en 2015):</w:t>
      </w:r>
    </w:p>
    <w:p w:rsidR="00347AAD" w:rsidRDefault="00347AAD" w:rsidP="00347AAD">
      <w:pPr>
        <w:pStyle w:val="enumlev1"/>
      </w:pPr>
      <w:r>
        <w:tab/>
      </w:r>
      <w:r>
        <w:rPr>
          <w:i/>
          <w:iCs/>
        </w:rPr>
        <w:t>Publication du Bureau International des poids et mesures (BIPM):</w:t>
      </w:r>
      <w:r>
        <w:t xml:space="preserve"> «Le système international d'unités (SI)» (8ème édition, 2006; mise à jour en 2014)</w:t>
      </w:r>
    </w:p>
    <w:p w:rsidR="00347AAD" w:rsidRDefault="00347AAD" w:rsidP="00347AAD">
      <w:pPr>
        <w:pStyle w:val="enumlev1"/>
      </w:pPr>
      <w:r>
        <w:tab/>
      </w:r>
      <w:r>
        <w:rPr>
          <w:i/>
          <w:iCs/>
        </w:rPr>
        <w:t>Norme internationale ISO 80000</w:t>
      </w:r>
      <w:r>
        <w:t>: «Grandeurs et unités»</w:t>
      </w:r>
    </w:p>
    <w:p w:rsidR="00347AAD" w:rsidRDefault="00347AAD" w:rsidP="006E7EE7">
      <w:pPr>
        <w:pStyle w:val="enumlev1"/>
        <w:keepNext/>
        <w:keepLines/>
      </w:pPr>
      <w:r>
        <w:tab/>
        <w:t>Parties de la Norme ISO 80000 qui présentent le plus d'intérêt pour les télécommunications:</w:t>
      </w:r>
    </w:p>
    <w:p w:rsidR="00347AAD" w:rsidRDefault="00347AAD" w:rsidP="006E7EE7">
      <w:pPr>
        <w:pStyle w:val="enumlev2"/>
        <w:keepNext/>
        <w:keepLines/>
      </w:pPr>
      <w:r>
        <w:tab/>
        <w:t>80000-1</w:t>
      </w:r>
      <w:r>
        <w:tab/>
        <w:t>(Généralités)</w:t>
      </w:r>
    </w:p>
    <w:p w:rsidR="006E7EE7" w:rsidRDefault="006E7EE7" w:rsidP="006E7EE7">
      <w:pPr>
        <w:pStyle w:val="enumlev2"/>
      </w:pPr>
      <w:r>
        <w:tab/>
        <w:t>80000-2</w:t>
      </w:r>
      <w:r>
        <w:tab/>
        <w:t>(Signes et symboles mathématiques à employer dans les sciences naturelles et dans la technique)</w:t>
      </w:r>
    </w:p>
    <w:p w:rsidR="00347AAD" w:rsidRDefault="00347AAD" w:rsidP="00347AAD">
      <w:pPr>
        <w:pStyle w:val="enumlev2"/>
      </w:pPr>
      <w:r>
        <w:tab/>
        <w:t>80000-3</w:t>
      </w:r>
      <w:r>
        <w:tab/>
        <w:t>(Espace et temps)</w:t>
      </w:r>
    </w:p>
    <w:p w:rsidR="00347AAD" w:rsidRDefault="00347AAD" w:rsidP="00347AAD">
      <w:pPr>
        <w:pStyle w:val="enumlev2"/>
      </w:pPr>
      <w:r>
        <w:tab/>
        <w:t>80000-6</w:t>
      </w:r>
      <w:r>
        <w:tab/>
        <w:t>(Electromagnétisme</w:t>
      </w:r>
      <w:bookmarkStart w:id="8" w:name="_GoBack"/>
      <w:bookmarkEnd w:id="8"/>
      <w:r>
        <w:t>)</w:t>
      </w:r>
    </w:p>
    <w:p w:rsidR="00347AAD" w:rsidRDefault="00347AAD" w:rsidP="00347AAD">
      <w:pPr>
        <w:pStyle w:val="enumlev2"/>
      </w:pPr>
      <w:r>
        <w:tab/>
        <w:t>80000-7</w:t>
      </w:r>
      <w:r>
        <w:tab/>
        <w:t>(Lumière et rayonnement)</w:t>
      </w:r>
    </w:p>
    <w:p w:rsidR="00347AAD" w:rsidRDefault="00347AAD" w:rsidP="00347AAD">
      <w:pPr>
        <w:pStyle w:val="enumlev2"/>
      </w:pPr>
      <w:r>
        <w:tab/>
        <w:t>80000-8</w:t>
      </w:r>
      <w:r>
        <w:tab/>
        <w:t>(Acoustique)</w:t>
      </w:r>
    </w:p>
    <w:p w:rsidR="00347AAD" w:rsidRPr="001D0CF8" w:rsidRDefault="00347AAD" w:rsidP="00347AAD">
      <w:pPr>
        <w:pStyle w:val="enumlev1"/>
        <w:rPr>
          <w:iCs/>
        </w:rPr>
      </w:pPr>
      <w:r>
        <w:tab/>
      </w:r>
      <w:r>
        <w:rPr>
          <w:i/>
        </w:rPr>
        <w:t xml:space="preserve">Norme internationale CEI 60027: </w:t>
      </w:r>
      <w:r>
        <w:rPr>
          <w:iCs/>
        </w:rPr>
        <w:t>«Symboles littéraux à utiliser en électrotechnique»</w:t>
      </w:r>
    </w:p>
    <w:p w:rsidR="00347AAD" w:rsidRDefault="00347AAD" w:rsidP="00347AAD">
      <w:pPr>
        <w:pStyle w:val="Reasons"/>
      </w:pPr>
      <w:r>
        <w:t>.</w:t>
      </w:r>
    </w:p>
    <w:p w:rsidR="00347AAD" w:rsidRDefault="00347AAD" w:rsidP="006E7EE7">
      <w:pPr>
        <w:pStyle w:val="Line"/>
      </w:pPr>
    </w:p>
    <w:sectPr w:rsidR="00347AAD" w:rsidSect="001D0CF8">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AAD" w:rsidRDefault="00347AAD">
      <w:r>
        <w:separator/>
      </w:r>
    </w:p>
  </w:endnote>
  <w:endnote w:type="continuationSeparator" w:id="0">
    <w:p w:rsidR="00347AAD" w:rsidRDefault="00347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AAD" w:rsidRDefault="00347AAD">
      <w:r>
        <w:separator/>
      </w:r>
    </w:p>
  </w:footnote>
  <w:footnote w:type="continuationSeparator" w:id="0">
    <w:p w:rsidR="00347AAD" w:rsidRDefault="00347A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AAD" w:rsidRDefault="00347AA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AAD" w:rsidRDefault="00347AAD" w:rsidP="00C668C8">
    <w:pPr>
      <w:pStyle w:val="Header"/>
      <w:ind w:right="360" w:firstLine="360"/>
    </w:pPr>
    <w:r>
      <w:rPr>
        <w:noProof/>
        <w:lang w:val="en-US" w:eastAsia="zh-CN"/>
      </w:rPr>
      <w:drawing>
        <wp:anchor distT="0" distB="0" distL="114300" distR="114300" simplePos="0" relativeHeight="251658240" behindDoc="1" locked="0" layoutInCell="1" allowOverlap="1" wp14:anchorId="0626D333" wp14:editId="1A810FC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AAD" w:rsidRPr="00837CB5" w:rsidRDefault="00347AAD">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36AB8">
      <w:rPr>
        <w:rStyle w:val="PageNumber"/>
        <w:b/>
        <w:bCs/>
        <w:noProof/>
      </w:rPr>
      <w:t>ii</w:t>
    </w:r>
    <w:r>
      <w:rPr>
        <w:rStyle w:val="PageNumber"/>
        <w:b/>
        <w:bCs/>
      </w:rPr>
      <w:fldChar w:fldCharType="end"/>
    </w:r>
    <w:r w:rsidRPr="00837CB5">
      <w:tab/>
    </w:r>
    <w:r>
      <w:fldChar w:fldCharType="begin"/>
    </w:r>
    <w:r>
      <w:instrText xml:space="preserve"> DOCPROPERTY "Header" \* MERGEFORMAT </w:instrText>
    </w:r>
    <w:r>
      <w:fldChar w:fldCharType="separate"/>
    </w:r>
    <w:r>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436AB8">
      <w:rPr>
        <w:b/>
        <w:bCs/>
        <w:noProof/>
      </w:rPr>
      <w:t>UIT-R  V.430-4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AAD" w:rsidRDefault="00347AAD">
    <w:pPr>
      <w:pStyle w:val="Header"/>
    </w:pPr>
    <w:r>
      <w:tab/>
    </w:r>
    <w:r>
      <w:fldChar w:fldCharType="begin"/>
    </w:r>
    <w:r>
      <w:instrText xml:space="preserve"> DOCPROPERTY "Header" \* MERGEFORMAT </w:instrText>
    </w:r>
    <w: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V.xxxx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36AB8">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347AAD" w:rsidRPr="00347AAD">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36AB8">
      <w:rPr>
        <w:b/>
        <w:bCs/>
        <w:noProof/>
      </w:rPr>
      <w:t>UIT-R  V.430-4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436AB8">
      <w:fldChar w:fldCharType="begin"/>
    </w:r>
    <w:r w:rsidR="00436AB8">
      <w:instrText xml:space="preserve"> DOCPROPERTY "Header" \* MERGEFORMAT </w:instrText>
    </w:r>
    <w:r w:rsidR="00436AB8">
      <w:fldChar w:fldCharType="separate"/>
    </w:r>
    <w:r w:rsidR="00347AAD" w:rsidRPr="00347AAD">
      <w:rPr>
        <w:b/>
        <w:bCs/>
      </w:rPr>
      <w:t xml:space="preserve">Rec. </w:t>
    </w:r>
    <w:r w:rsidR="00436AB8">
      <w:rPr>
        <w:b/>
        <w:bCs/>
      </w:rPr>
      <w:fldChar w:fldCharType="end"/>
    </w:r>
    <w:r>
      <w:rPr>
        <w:b/>
        <w:bCs/>
      </w:rPr>
      <w:t xml:space="preserve"> </w:t>
    </w:r>
    <w:r>
      <w:rPr>
        <w:b/>
        <w:bCs/>
      </w:rPr>
      <w:fldChar w:fldCharType="begin"/>
    </w:r>
    <w:r>
      <w:rPr>
        <w:b/>
        <w:bCs/>
      </w:rPr>
      <w:instrText>styleref href</w:instrText>
    </w:r>
    <w:r>
      <w:rPr>
        <w:b/>
        <w:bCs/>
      </w:rPr>
      <w:fldChar w:fldCharType="separate"/>
    </w:r>
    <w:r w:rsidR="00436AB8">
      <w:rPr>
        <w:b/>
        <w:bCs/>
        <w:noProof/>
      </w:rPr>
      <w:t>UIT-R  V.430-4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36AB8">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AAD"/>
    <w:rsid w:val="001D0CF8"/>
    <w:rsid w:val="00217EBF"/>
    <w:rsid w:val="00242AEE"/>
    <w:rsid w:val="002D76C4"/>
    <w:rsid w:val="00347AAD"/>
    <w:rsid w:val="00436AB8"/>
    <w:rsid w:val="0052529D"/>
    <w:rsid w:val="00607D68"/>
    <w:rsid w:val="006E7EE7"/>
    <w:rsid w:val="007468DA"/>
    <w:rsid w:val="00966310"/>
    <w:rsid w:val="009E00A8"/>
    <w:rsid w:val="00A6617B"/>
    <w:rsid w:val="00AB0DC8"/>
    <w:rsid w:val="00B44E24"/>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483C6F1-ADFF-4910-A956-0CB5634DA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7AA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347AAD"/>
    <w:rPr>
      <w:b/>
      <w:sz w:val="24"/>
      <w:lang w:val="fr-FR" w:eastAsia="en-US"/>
    </w:rPr>
  </w:style>
  <w:style w:type="character" w:customStyle="1" w:styleId="HeaderChar">
    <w:name w:val="Header Char"/>
    <w:basedOn w:val="DefaultParagraphFont"/>
    <w:link w:val="Header"/>
    <w:rsid w:val="00347AAD"/>
    <w:rPr>
      <w:sz w:val="24"/>
      <w:lang w:val="fr-FR" w:eastAsia="en-US"/>
    </w:rPr>
  </w:style>
  <w:style w:type="character" w:styleId="Hyperlink">
    <w:name w:val="Hyperlink"/>
    <w:basedOn w:val="DefaultParagraphFont"/>
    <w:rsid w:val="00347AAD"/>
    <w:rPr>
      <w:color w:val="0000FF"/>
      <w:u w:val="single"/>
    </w:rPr>
  </w:style>
  <w:style w:type="paragraph" w:customStyle="1" w:styleId="Reasons">
    <w:name w:val="Reasons"/>
    <w:basedOn w:val="Normal"/>
    <w:qFormat/>
    <w:rsid w:val="00347AAD"/>
    <w:pPr>
      <w:tabs>
        <w:tab w:val="clear" w:pos="794"/>
        <w:tab w:val="clear" w:pos="1191"/>
        <w:tab w:val="left" w:pos="1134"/>
      </w:tabs>
      <w:jc w:val="left"/>
    </w:pPr>
  </w:style>
  <w:style w:type="character" w:customStyle="1" w:styleId="HeadingbChar">
    <w:name w:val="Heading_b Char"/>
    <w:link w:val="Headingb"/>
    <w:locked/>
    <w:rsid w:val="00347AAD"/>
    <w:rPr>
      <w:b/>
      <w:sz w:val="24"/>
      <w:lang w:val="fr-FR" w:eastAsia="en-US"/>
    </w:rPr>
  </w:style>
  <w:style w:type="character" w:customStyle="1" w:styleId="CallChar">
    <w:name w:val="Call Char"/>
    <w:link w:val="Call"/>
    <w:locked/>
    <w:rsid w:val="00347AAD"/>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TotalTime>
  <Pages>4</Pages>
  <Words>720</Words>
  <Characters>4430</Characters>
  <Application>Microsoft Office Word</Application>
  <DocSecurity>0</DocSecurity>
  <Lines>140</Lines>
  <Paragraphs>85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Template BR_Rec_2005.dot</vt:lpstr>
      <vt:lpstr>Politique en matière de droits de propriété intellectuelle (IPR)</vt:lpstr>
    </vt:vector>
  </TitlesOfParts>
  <Manager/>
  <Company>ITU</Company>
  <LinksUpToDate>false</LinksUpToDate>
  <CharactersWithSpaces>5085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V.430-4 - Emploi du système international d'unités (SI)</dc:title>
  <dc:subject>Série V = Vocabulaire et sujets associés</dc:subject>
  <dc:creator>Bureau des radiocommunications de l'UIT (BR)</dc:creator>
  <cp:keywords>V,430-4</cp:keywords>
  <dc:description>Gachetc, 05/08/2016, ITU51007784</dc:description>
  <cp:lastModifiedBy>Gachet, Christelle</cp:lastModifiedBy>
  <cp:revision>5</cp:revision>
  <cp:lastPrinted>2005-02-10T15:54:00Z</cp:lastPrinted>
  <dcterms:created xsi:type="dcterms:W3CDTF">2016-08-05T05:30:00Z</dcterms:created>
  <dcterms:modified xsi:type="dcterms:W3CDTF">2016-08-05T05:36:00Z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05 August 2016</vt:lpwstr>
  </property>
</Properties>
</file>