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26119" w:rsidRDefault="00026119" w:rsidP="00026119">
      <w:bookmarkStart w:id="0" w:name="_GoBack"/>
      <w:bookmarkEnd w:id="0"/>
    </w:p>
    <w:p w:rsidR="00026119" w:rsidRDefault="00026119" w:rsidP="00026119"/>
    <w:p w:rsidR="00026119" w:rsidRDefault="00026119" w:rsidP="00026119"/>
    <w:p w:rsidR="00026119" w:rsidRDefault="00026119" w:rsidP="00026119"/>
    <w:p w:rsidR="00026119" w:rsidRDefault="00026119" w:rsidP="00026119"/>
    <w:p w:rsidR="00026119" w:rsidRDefault="00026119" w:rsidP="00026119"/>
    <w:p w:rsidR="00026119" w:rsidRDefault="00026119" w:rsidP="00026119"/>
    <w:p w:rsidR="00026119" w:rsidRDefault="00026119" w:rsidP="00026119"/>
    <w:p w:rsidR="00026119" w:rsidRDefault="00026119" w:rsidP="00026119"/>
    <w:p w:rsidR="00026119" w:rsidRDefault="00026119" w:rsidP="00026119"/>
    <w:p w:rsidR="00026119" w:rsidRDefault="00026119" w:rsidP="00026119"/>
    <w:p w:rsidR="00026119" w:rsidRDefault="00026119" w:rsidP="00026119"/>
    <w:tbl>
      <w:tblPr>
        <w:tblW w:w="10089" w:type="dxa"/>
        <w:tblLook w:val="01E0" w:firstRow="1" w:lastRow="1" w:firstColumn="1" w:lastColumn="1" w:noHBand="0" w:noVBand="0"/>
      </w:tblPr>
      <w:tblGrid>
        <w:gridCol w:w="10089"/>
      </w:tblGrid>
      <w:tr w:rsidR="00026119" w:rsidTr="00974F4D">
        <w:tc>
          <w:tcPr>
            <w:tcW w:w="10089" w:type="dxa"/>
          </w:tcPr>
          <w:p w:rsidR="00026119" w:rsidRPr="001511A6" w:rsidRDefault="00026119" w:rsidP="00974F4D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n-US"/>
              </w:rPr>
            </w:pPr>
          </w:p>
          <w:p w:rsidR="00026119" w:rsidRPr="001E1D9C" w:rsidRDefault="00026119" w:rsidP="00026119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fr-CH"/>
              </w:rPr>
            </w:pPr>
            <w:r w:rsidRPr="001E1D9C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fr-CH"/>
              </w:rPr>
              <w:t>Recommendation  ITU-R  V.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fr-CH"/>
              </w:rPr>
              <w:t>430-4</w:t>
            </w:r>
          </w:p>
          <w:p w:rsidR="00026119" w:rsidRPr="001E1D9C" w:rsidRDefault="00026119" w:rsidP="00026119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fr-CH"/>
              </w:rPr>
            </w:pPr>
            <w:r w:rsidRPr="001E1D9C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fr-CH"/>
              </w:rPr>
              <w:t>(</w:t>
            </w:r>
            <w:r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fr-CH"/>
              </w:rPr>
              <w:t>08</w:t>
            </w:r>
            <w:r w:rsidRPr="001E1D9C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fr-CH"/>
              </w:rPr>
              <w:t>/</w:t>
            </w:r>
            <w:r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fr-CH"/>
              </w:rPr>
              <w:t>2015</w:t>
            </w:r>
            <w:r w:rsidRPr="001E1D9C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fr-CH"/>
              </w:rPr>
              <w:t>)</w:t>
            </w:r>
          </w:p>
        </w:tc>
      </w:tr>
      <w:tr w:rsidR="00026119" w:rsidRPr="00DB7180" w:rsidTr="00974F4D">
        <w:tc>
          <w:tcPr>
            <w:tcW w:w="10089" w:type="dxa"/>
          </w:tcPr>
          <w:p w:rsidR="00026119" w:rsidRPr="00DB7180" w:rsidRDefault="00026119" w:rsidP="00974F4D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n-US"/>
              </w:rPr>
            </w:pPr>
          </w:p>
          <w:p w:rsidR="00026119" w:rsidRPr="001511A6" w:rsidRDefault="00DB7180" w:rsidP="00DB7180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n-US"/>
              </w:rPr>
            </w:pPr>
            <w:r w:rsidRPr="00DB7180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n-US"/>
              </w:rPr>
              <w:t xml:space="preserve">Use of the international 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n-US"/>
              </w:rPr>
              <w:br/>
            </w:r>
            <w:r w:rsidRPr="00DB7180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n-US"/>
              </w:rPr>
              <w:t>system of units (SI)</w:t>
            </w:r>
          </w:p>
          <w:p w:rsidR="00026119" w:rsidRPr="001511A6" w:rsidRDefault="00026119" w:rsidP="00974F4D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0"/>
                <w:szCs w:val="40"/>
                <w:lang w:val="en-US"/>
              </w:rPr>
            </w:pPr>
          </w:p>
        </w:tc>
      </w:tr>
      <w:tr w:rsidR="00026119" w:rsidRPr="00026119" w:rsidTr="00974F4D">
        <w:tc>
          <w:tcPr>
            <w:tcW w:w="10089" w:type="dxa"/>
          </w:tcPr>
          <w:p w:rsidR="00026119" w:rsidRPr="001E1D9C" w:rsidRDefault="00026119" w:rsidP="00974F4D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n-US"/>
              </w:rPr>
            </w:pPr>
          </w:p>
          <w:p w:rsidR="00026119" w:rsidRPr="001E1D9C" w:rsidRDefault="00026119" w:rsidP="00974F4D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n-US"/>
              </w:rPr>
            </w:pPr>
          </w:p>
          <w:p w:rsidR="00026119" w:rsidRPr="001E1D9C" w:rsidRDefault="00026119" w:rsidP="00974F4D">
            <w:pPr>
              <w:spacing w:before="80" w:after="180" w:line="360" w:lineRule="exact"/>
              <w:ind w:right="720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</w:pPr>
          </w:p>
          <w:p w:rsidR="00026119" w:rsidRPr="001511A6" w:rsidRDefault="00026119" w:rsidP="00974F4D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</w:pP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V</w:t>
            </w:r>
            <w:r w:rsidRPr="001511A6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 xml:space="preserve"> Series</w:t>
            </w:r>
          </w:p>
          <w:p w:rsidR="00026119" w:rsidRPr="001511A6" w:rsidRDefault="00026119" w:rsidP="00974F4D">
            <w:pPr>
              <w:spacing w:before="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n-US"/>
              </w:rPr>
            </w:pP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Vocabulary and related subjects</w:t>
            </w:r>
          </w:p>
        </w:tc>
      </w:tr>
    </w:tbl>
    <w:p w:rsidR="00026119" w:rsidRDefault="00026119" w:rsidP="00026119">
      <w:pPr>
        <w:spacing w:before="80"/>
        <w:rPr>
          <w:i/>
          <w:sz w:val="22"/>
          <w:lang w:val="en-US"/>
        </w:rPr>
      </w:pPr>
    </w:p>
    <w:p w:rsidR="00026119" w:rsidRDefault="00026119" w:rsidP="00026119">
      <w:pPr>
        <w:spacing w:before="80"/>
        <w:rPr>
          <w:i/>
          <w:sz w:val="22"/>
          <w:lang w:val="en-US"/>
        </w:rPr>
      </w:pPr>
    </w:p>
    <w:p w:rsidR="00026119" w:rsidRDefault="00026119" w:rsidP="00026119">
      <w:pPr>
        <w:spacing w:before="80"/>
        <w:rPr>
          <w:i/>
          <w:sz w:val="22"/>
          <w:lang w:val="en-US"/>
        </w:rPr>
      </w:pPr>
    </w:p>
    <w:p w:rsidR="00026119" w:rsidRDefault="00026119" w:rsidP="00026119">
      <w:pPr>
        <w:spacing w:before="80"/>
        <w:rPr>
          <w:i/>
          <w:sz w:val="22"/>
          <w:lang w:val="en-US"/>
        </w:rPr>
      </w:pPr>
    </w:p>
    <w:p w:rsidR="00026119" w:rsidRDefault="00026119" w:rsidP="00026119">
      <w:pPr>
        <w:spacing w:before="80"/>
        <w:rPr>
          <w:i/>
          <w:sz w:val="22"/>
          <w:lang w:val="en-US"/>
        </w:rPr>
      </w:pPr>
    </w:p>
    <w:p w:rsidR="00026119" w:rsidRDefault="00026119" w:rsidP="00026119">
      <w:pPr>
        <w:spacing w:before="80"/>
        <w:rPr>
          <w:i/>
          <w:sz w:val="22"/>
          <w:lang w:val="en-US"/>
        </w:rPr>
      </w:pPr>
    </w:p>
    <w:p w:rsidR="00026119" w:rsidRDefault="00026119" w:rsidP="00026119">
      <w:pPr>
        <w:pStyle w:val="Equation"/>
        <w:tabs>
          <w:tab w:val="clear" w:pos="4820"/>
          <w:tab w:val="clear" w:pos="9639"/>
          <w:tab w:val="left" w:pos="1191"/>
          <w:tab w:val="left" w:pos="1588"/>
          <w:tab w:val="left" w:pos="1985"/>
        </w:tabs>
        <w:rPr>
          <w:rFonts w:ascii="Palatino Linotype" w:hAnsi="Palatino Linotype"/>
          <w:lang w:val="en-US"/>
        </w:rPr>
        <w:sectPr w:rsidR="00026119">
          <w:headerReference w:type="even" r:id="rId6"/>
          <w:headerReference w:type="default" r:id="rId7"/>
          <w:pgSz w:w="11907" w:h="16840" w:code="9"/>
          <w:pgMar w:top="1089" w:right="1089" w:bottom="284" w:left="1089" w:header="567" w:footer="284" w:gutter="0"/>
          <w:pgNumType w:start="1"/>
          <w:cols w:space="720"/>
        </w:sectPr>
      </w:pPr>
    </w:p>
    <w:p w:rsidR="00026119" w:rsidRPr="00586EF8" w:rsidRDefault="00026119" w:rsidP="00026119">
      <w:pPr>
        <w:pStyle w:val="Tablehead"/>
        <w:tabs>
          <w:tab w:val="clear" w:pos="284"/>
          <w:tab w:val="clear" w:pos="567"/>
          <w:tab w:val="clear" w:pos="851"/>
          <w:tab w:val="clear" w:pos="1134"/>
          <w:tab w:val="clear" w:pos="1418"/>
          <w:tab w:val="clear" w:pos="1701"/>
          <w:tab w:val="clear" w:pos="2268"/>
          <w:tab w:val="clear" w:pos="2552"/>
          <w:tab w:val="clear" w:pos="2835"/>
          <w:tab w:val="clear" w:pos="3119"/>
          <w:tab w:val="clear" w:pos="3402"/>
          <w:tab w:val="clear" w:pos="3686"/>
          <w:tab w:val="clear" w:pos="3969"/>
          <w:tab w:val="left" w:pos="794"/>
          <w:tab w:val="left" w:pos="1191"/>
          <w:tab w:val="left" w:pos="1588"/>
        </w:tabs>
        <w:spacing w:before="240" w:after="0"/>
        <w:rPr>
          <w:bCs/>
          <w:sz w:val="24"/>
          <w:szCs w:val="24"/>
          <w:lang w:val="en-US"/>
        </w:rPr>
      </w:pPr>
      <w:bookmarkStart w:id="1" w:name="c2tope"/>
      <w:bookmarkEnd w:id="1"/>
      <w:r w:rsidRPr="00586EF8">
        <w:rPr>
          <w:bCs/>
          <w:sz w:val="24"/>
          <w:szCs w:val="24"/>
          <w:lang w:val="en-US"/>
        </w:rPr>
        <w:lastRenderedPageBreak/>
        <w:t>Foreword</w:t>
      </w:r>
    </w:p>
    <w:p w:rsidR="00026119" w:rsidRDefault="00026119" w:rsidP="00026119">
      <w:pPr>
        <w:spacing w:before="240"/>
        <w:rPr>
          <w:sz w:val="20"/>
          <w:lang w:val="en-US"/>
        </w:rPr>
      </w:pPr>
      <w:r>
        <w:rPr>
          <w:sz w:val="20"/>
          <w:lang w:val="en-US"/>
        </w:rPr>
        <w:t>The role of the Radiocommunication Sector is to ensure the rational, equitable, efficient and economical use of the radio-frequency spectrum by all radiocommunication services, including satellite services, and carry out studies without limit of frequency range on the basis of which Recommendations are adopted.</w:t>
      </w:r>
    </w:p>
    <w:p w:rsidR="00026119" w:rsidRDefault="00026119" w:rsidP="00026119">
      <w:pPr>
        <w:rPr>
          <w:sz w:val="20"/>
          <w:lang w:val="en-US"/>
        </w:rPr>
      </w:pPr>
      <w:r>
        <w:rPr>
          <w:sz w:val="20"/>
          <w:lang w:val="en-US"/>
        </w:rPr>
        <w:t>The regulatory and policy functions of the Radiocommunication Sector are performed by World and Regional Radiocommunication Conferences and Radiocommunication Assemblies supported by Study Groups.</w:t>
      </w:r>
    </w:p>
    <w:p w:rsidR="00026119" w:rsidRPr="00B714F3" w:rsidRDefault="00026119" w:rsidP="00026119">
      <w:pPr>
        <w:pStyle w:val="Heading1"/>
        <w:spacing w:before="680"/>
        <w:jc w:val="center"/>
        <w:rPr>
          <w:szCs w:val="24"/>
          <w:lang w:val="en-US"/>
        </w:rPr>
      </w:pPr>
      <w:r w:rsidRPr="00B714F3">
        <w:rPr>
          <w:szCs w:val="24"/>
          <w:lang w:val="en-US"/>
        </w:rPr>
        <w:t>Policy on Intellectual Property Right (IPR)</w:t>
      </w:r>
    </w:p>
    <w:p w:rsidR="00026119" w:rsidRPr="00B714F3" w:rsidRDefault="00026119" w:rsidP="00026119">
      <w:pPr>
        <w:tabs>
          <w:tab w:val="clear" w:pos="794"/>
          <w:tab w:val="clear" w:pos="1191"/>
          <w:tab w:val="clear" w:pos="1588"/>
          <w:tab w:val="clear" w:pos="1985"/>
        </w:tabs>
        <w:spacing w:before="240"/>
        <w:rPr>
          <w:sz w:val="20"/>
          <w:lang w:val="en-US"/>
        </w:rPr>
      </w:pPr>
      <w:r w:rsidRPr="00B714F3">
        <w:rPr>
          <w:sz w:val="20"/>
          <w:lang w:val="en-US"/>
        </w:rPr>
        <w:t xml:space="preserve">ITU-R policy on IPR is described in the Common Patent Policy for ITU-T/ITU-R/ISO/IEC referenced in Annex 1 of Resolution ITU-R 1. Forms to be used for the submission of patent statements and licensing declarations by patent holders are available from </w:t>
      </w:r>
      <w:hyperlink r:id="rId8" w:history="1">
        <w:r w:rsidRPr="00B714F3">
          <w:rPr>
            <w:rStyle w:val="Hyperlink"/>
            <w:sz w:val="20"/>
            <w:lang w:val="en-US"/>
          </w:rPr>
          <w:t>http://www.itu.int/ITU</w:t>
        </w:r>
        <w:r>
          <w:rPr>
            <w:rStyle w:val="Hyperlink"/>
            <w:sz w:val="20"/>
            <w:lang w:val="en-US"/>
          </w:rPr>
          <w:t>-</w:t>
        </w:r>
        <w:r w:rsidRPr="00B714F3">
          <w:rPr>
            <w:rStyle w:val="Hyperlink"/>
            <w:sz w:val="20"/>
            <w:lang w:val="en-US"/>
          </w:rPr>
          <w:t>R/go/patents/en</w:t>
        </w:r>
      </w:hyperlink>
      <w:r w:rsidRPr="00B714F3">
        <w:rPr>
          <w:sz w:val="20"/>
          <w:lang w:val="en-US"/>
        </w:rPr>
        <w:t xml:space="preserve"> where the Guidelines for Implementation of the Common Patent Policy for ITU</w:t>
      </w:r>
      <w:r w:rsidRPr="00B714F3">
        <w:rPr>
          <w:sz w:val="20"/>
          <w:lang w:val="en-US"/>
        </w:rPr>
        <w:noBreakHyphen/>
        <w:t>T/ITU</w:t>
      </w:r>
      <w:r w:rsidRPr="00B714F3">
        <w:rPr>
          <w:sz w:val="20"/>
          <w:lang w:val="en-US"/>
        </w:rPr>
        <w:noBreakHyphen/>
        <w:t xml:space="preserve">R/ISO/IEC and the ITU-R patent information database can also be found. </w:t>
      </w:r>
    </w:p>
    <w:p w:rsidR="00026119" w:rsidRDefault="00026119" w:rsidP="00026119">
      <w:pPr>
        <w:jc w:val="center"/>
        <w:rPr>
          <w:sz w:val="22"/>
          <w:lang w:val="en-US"/>
        </w:rPr>
      </w:pPr>
    </w:p>
    <w:p w:rsidR="00026119" w:rsidRDefault="00026119" w:rsidP="00026119">
      <w:pPr>
        <w:jc w:val="center"/>
        <w:rPr>
          <w:sz w:val="22"/>
          <w:lang w:val="en-US"/>
        </w:rPr>
      </w:pPr>
    </w:p>
    <w:tbl>
      <w:tblPr>
        <w:tblW w:w="0" w:type="auto"/>
        <w:tblInd w:w="288" w:type="dxa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000" w:firstRow="0" w:lastRow="0" w:firstColumn="0" w:lastColumn="0" w:noHBand="0" w:noVBand="0"/>
      </w:tblPr>
      <w:tblGrid>
        <w:gridCol w:w="1140"/>
        <w:gridCol w:w="8220"/>
      </w:tblGrid>
      <w:tr w:rsidR="00026119" w:rsidRPr="00026119" w:rsidTr="00974F4D">
        <w:tc>
          <w:tcPr>
            <w:tcW w:w="9360" w:type="dxa"/>
            <w:gridSpan w:val="2"/>
          </w:tcPr>
          <w:p w:rsidR="00026119" w:rsidRPr="00036EE3" w:rsidRDefault="00026119" w:rsidP="00974F4D">
            <w:pPr>
              <w:pStyle w:val="Chaptitle"/>
              <w:keepLines w:val="0"/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spacing w:before="180"/>
              <w:textAlignment w:val="auto"/>
              <w:rPr>
                <w:sz w:val="22"/>
                <w:szCs w:val="22"/>
                <w:lang w:val="en-US"/>
              </w:rPr>
            </w:pPr>
            <w:r w:rsidRPr="00036EE3">
              <w:rPr>
                <w:sz w:val="22"/>
                <w:szCs w:val="22"/>
                <w:lang w:val="en-US"/>
              </w:rPr>
              <w:t>Series of ITU-R Recommendations</w:t>
            </w:r>
            <w:r>
              <w:rPr>
                <w:sz w:val="22"/>
                <w:szCs w:val="22"/>
                <w:lang w:val="en-US"/>
              </w:rPr>
              <w:t xml:space="preserve"> </w:t>
            </w:r>
          </w:p>
          <w:p w:rsidR="00026119" w:rsidRPr="00036EE3" w:rsidRDefault="00026119" w:rsidP="00974F4D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120" w:after="60"/>
              <w:rPr>
                <w:bCs/>
                <w:sz w:val="18"/>
                <w:szCs w:val="18"/>
                <w:lang w:val="en-US"/>
              </w:rPr>
            </w:pPr>
            <w:r w:rsidRPr="00CE0A43">
              <w:rPr>
                <w:b w:val="0"/>
                <w:sz w:val="18"/>
                <w:szCs w:val="18"/>
                <w:lang w:val="en-US"/>
              </w:rPr>
              <w:t>(</w:t>
            </w:r>
            <w:r w:rsidRPr="00036EE3">
              <w:rPr>
                <w:b w:val="0"/>
                <w:sz w:val="18"/>
                <w:szCs w:val="18"/>
                <w:lang w:val="en-US"/>
              </w:rPr>
              <w:t xml:space="preserve">Also available online at </w:t>
            </w:r>
            <w:hyperlink r:id="rId9" w:history="1">
              <w:r w:rsidRPr="00036EE3">
                <w:rPr>
                  <w:rStyle w:val="Hyperlink"/>
                  <w:b w:val="0"/>
                  <w:sz w:val="18"/>
                  <w:szCs w:val="18"/>
                  <w:lang w:val="en-US"/>
                </w:rPr>
                <w:t>http://www.itu.int/publ/R-REC/en</w:t>
              </w:r>
            </w:hyperlink>
            <w:r w:rsidRPr="00CE0A43">
              <w:rPr>
                <w:b w:val="0"/>
                <w:sz w:val="18"/>
                <w:szCs w:val="18"/>
                <w:lang w:val="en-US"/>
              </w:rPr>
              <w:t>)</w:t>
            </w:r>
          </w:p>
        </w:tc>
      </w:tr>
      <w:tr w:rsidR="00026119" w:rsidRPr="00036EE3" w:rsidTr="00974F4D">
        <w:tc>
          <w:tcPr>
            <w:tcW w:w="1140" w:type="dxa"/>
            <w:tcBorders>
              <w:bottom w:val="nil"/>
            </w:tcBorders>
          </w:tcPr>
          <w:p w:rsidR="00026119" w:rsidRPr="00036EE3" w:rsidRDefault="00026119" w:rsidP="00974F4D">
            <w:pPr>
              <w:spacing w:before="200" w:after="100"/>
              <w:ind w:left="57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Series</w:t>
            </w:r>
          </w:p>
        </w:tc>
        <w:tc>
          <w:tcPr>
            <w:tcW w:w="8220" w:type="dxa"/>
            <w:tcBorders>
              <w:bottom w:val="nil"/>
            </w:tcBorders>
          </w:tcPr>
          <w:p w:rsidR="00026119" w:rsidRPr="00036EE3" w:rsidRDefault="00026119" w:rsidP="00974F4D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140" w:after="100"/>
              <w:rPr>
                <w:bCs/>
                <w:sz w:val="20"/>
                <w:lang w:val="en-US"/>
              </w:rPr>
            </w:pPr>
            <w:r w:rsidRPr="00036EE3">
              <w:rPr>
                <w:bCs/>
                <w:sz w:val="20"/>
                <w:lang w:val="en-US"/>
              </w:rPr>
              <w:t>Title</w:t>
            </w:r>
          </w:p>
        </w:tc>
      </w:tr>
      <w:tr w:rsidR="00026119" w:rsidRPr="00A4173A" w:rsidTr="00974F4D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026119" w:rsidRPr="00A4173A" w:rsidRDefault="00026119" w:rsidP="00974F4D">
            <w:pPr>
              <w:spacing w:before="30" w:after="30"/>
              <w:ind w:left="57"/>
              <w:jc w:val="left"/>
              <w:rPr>
                <w:b/>
                <w:sz w:val="20"/>
                <w:lang w:val="en-US"/>
              </w:rPr>
            </w:pPr>
            <w:r w:rsidRPr="00A4173A">
              <w:rPr>
                <w:b/>
                <w:sz w:val="20"/>
                <w:lang w:val="en-US"/>
              </w:rPr>
              <w:t>BO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026119" w:rsidRPr="00A4173A" w:rsidRDefault="00026119" w:rsidP="00974F4D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bCs/>
                <w:sz w:val="20"/>
                <w:lang w:val="en-US"/>
              </w:rPr>
            </w:pPr>
            <w:r w:rsidRPr="00A4173A">
              <w:rPr>
                <w:b w:val="0"/>
                <w:bCs/>
                <w:sz w:val="20"/>
                <w:lang w:val="en-US"/>
              </w:rPr>
              <w:t>Satellite delivery</w:t>
            </w:r>
          </w:p>
        </w:tc>
      </w:tr>
      <w:tr w:rsidR="00026119" w:rsidRPr="00026119" w:rsidTr="00974F4D">
        <w:tc>
          <w:tcPr>
            <w:tcW w:w="1140" w:type="dxa"/>
            <w:tcBorders>
              <w:top w:val="nil"/>
            </w:tcBorders>
          </w:tcPr>
          <w:p w:rsidR="00026119" w:rsidRPr="00036EE3" w:rsidRDefault="00026119" w:rsidP="00974F4D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BR</w:t>
            </w:r>
          </w:p>
        </w:tc>
        <w:tc>
          <w:tcPr>
            <w:tcW w:w="8220" w:type="dxa"/>
            <w:tcBorders>
              <w:top w:val="nil"/>
            </w:tcBorders>
          </w:tcPr>
          <w:p w:rsidR="00026119" w:rsidRPr="00036EE3" w:rsidRDefault="00026119" w:rsidP="00974F4D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sz w:val="20"/>
                <w:lang w:val="en-US"/>
              </w:rPr>
            </w:pPr>
            <w:r w:rsidRPr="00036EE3">
              <w:rPr>
                <w:b w:val="0"/>
                <w:sz w:val="20"/>
                <w:lang w:val="en-US"/>
              </w:rPr>
              <w:t>Recording for production, archival and play-out; film for television</w:t>
            </w:r>
          </w:p>
        </w:tc>
      </w:tr>
      <w:tr w:rsidR="00026119" w:rsidRPr="00036EE3" w:rsidTr="00974F4D">
        <w:tc>
          <w:tcPr>
            <w:tcW w:w="1140" w:type="dxa"/>
          </w:tcPr>
          <w:p w:rsidR="00026119" w:rsidRPr="00036EE3" w:rsidRDefault="00026119" w:rsidP="00974F4D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BS</w:t>
            </w:r>
          </w:p>
        </w:tc>
        <w:tc>
          <w:tcPr>
            <w:tcW w:w="8220" w:type="dxa"/>
          </w:tcPr>
          <w:p w:rsidR="00026119" w:rsidRPr="00036EE3" w:rsidRDefault="00026119" w:rsidP="00974F4D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sz w:val="20"/>
                <w:lang w:val="en-US"/>
              </w:rPr>
            </w:pPr>
            <w:r w:rsidRPr="00036EE3">
              <w:rPr>
                <w:b w:val="0"/>
                <w:sz w:val="20"/>
                <w:lang w:val="en-US"/>
              </w:rPr>
              <w:t>Broadcasting service (sound)</w:t>
            </w:r>
          </w:p>
        </w:tc>
      </w:tr>
      <w:tr w:rsidR="00026119" w:rsidRPr="00ED2695" w:rsidTr="00974F4D">
        <w:tc>
          <w:tcPr>
            <w:tcW w:w="1140" w:type="dxa"/>
            <w:shd w:val="clear" w:color="auto" w:fill="auto"/>
          </w:tcPr>
          <w:p w:rsidR="00026119" w:rsidRPr="00ED2695" w:rsidRDefault="00026119" w:rsidP="00974F4D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ED2695">
              <w:rPr>
                <w:b/>
                <w:bCs/>
                <w:sz w:val="20"/>
                <w:lang w:val="en-US"/>
              </w:rPr>
              <w:t>BT</w:t>
            </w:r>
          </w:p>
        </w:tc>
        <w:tc>
          <w:tcPr>
            <w:tcW w:w="8220" w:type="dxa"/>
            <w:shd w:val="clear" w:color="auto" w:fill="auto"/>
          </w:tcPr>
          <w:p w:rsidR="00026119" w:rsidRPr="00ED2695" w:rsidRDefault="00026119" w:rsidP="00974F4D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sz w:val="20"/>
                <w:lang w:val="en-US"/>
              </w:rPr>
            </w:pPr>
            <w:r w:rsidRPr="00ED2695">
              <w:rPr>
                <w:b w:val="0"/>
                <w:sz w:val="20"/>
                <w:lang w:val="en-US"/>
              </w:rPr>
              <w:t>Broadcasting service (television)</w:t>
            </w:r>
          </w:p>
        </w:tc>
      </w:tr>
      <w:tr w:rsidR="00026119" w:rsidRPr="00036EE3" w:rsidTr="00974F4D">
        <w:tc>
          <w:tcPr>
            <w:tcW w:w="1140" w:type="dxa"/>
            <w:shd w:val="clear" w:color="auto" w:fill="auto"/>
          </w:tcPr>
          <w:p w:rsidR="00026119" w:rsidRPr="00036EE3" w:rsidRDefault="00026119" w:rsidP="00974F4D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fr-CH"/>
              </w:rPr>
            </w:pPr>
            <w:r w:rsidRPr="00036EE3">
              <w:rPr>
                <w:b/>
                <w:bCs/>
                <w:sz w:val="20"/>
                <w:lang w:val="fr-CH"/>
              </w:rPr>
              <w:t>F</w:t>
            </w:r>
          </w:p>
        </w:tc>
        <w:tc>
          <w:tcPr>
            <w:tcW w:w="8220" w:type="dxa"/>
            <w:shd w:val="clear" w:color="auto" w:fill="auto"/>
          </w:tcPr>
          <w:p w:rsidR="00026119" w:rsidRPr="00036EE3" w:rsidRDefault="00026119" w:rsidP="00974F4D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sz w:val="20"/>
                <w:lang w:val="fr-CH"/>
              </w:rPr>
            </w:pPr>
            <w:r w:rsidRPr="00036EE3">
              <w:rPr>
                <w:sz w:val="20"/>
                <w:lang w:val="fr-CH"/>
              </w:rPr>
              <w:t>Fixed service</w:t>
            </w:r>
          </w:p>
        </w:tc>
      </w:tr>
      <w:tr w:rsidR="00026119" w:rsidRPr="00036EE3" w:rsidTr="00974F4D">
        <w:tc>
          <w:tcPr>
            <w:tcW w:w="1140" w:type="dxa"/>
            <w:shd w:val="clear" w:color="auto" w:fill="auto"/>
          </w:tcPr>
          <w:p w:rsidR="00026119" w:rsidRPr="00906589" w:rsidRDefault="00026119" w:rsidP="00974F4D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906589">
              <w:rPr>
                <w:b/>
                <w:bCs/>
                <w:sz w:val="20"/>
                <w:lang w:val="en-US"/>
              </w:rPr>
              <w:t>M</w:t>
            </w:r>
          </w:p>
        </w:tc>
        <w:tc>
          <w:tcPr>
            <w:tcW w:w="8220" w:type="dxa"/>
            <w:shd w:val="clear" w:color="auto" w:fill="auto"/>
          </w:tcPr>
          <w:p w:rsidR="00026119" w:rsidRPr="00906589" w:rsidRDefault="00026119" w:rsidP="00974F4D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sz w:val="20"/>
                <w:lang w:val="en-US"/>
              </w:rPr>
            </w:pPr>
            <w:r w:rsidRPr="00906589">
              <w:rPr>
                <w:b w:val="0"/>
                <w:sz w:val="20"/>
                <w:lang w:val="en-US"/>
              </w:rPr>
              <w:t>Mobile, radiodetermination, amateur and related satellite services</w:t>
            </w:r>
          </w:p>
        </w:tc>
      </w:tr>
      <w:tr w:rsidR="00026119" w:rsidRPr="00036EE3" w:rsidTr="00974F4D">
        <w:tc>
          <w:tcPr>
            <w:tcW w:w="1140" w:type="dxa"/>
          </w:tcPr>
          <w:p w:rsidR="00026119" w:rsidRPr="00036EE3" w:rsidRDefault="00026119" w:rsidP="00974F4D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fr-CH"/>
              </w:rPr>
            </w:pPr>
            <w:r w:rsidRPr="00036EE3">
              <w:rPr>
                <w:b/>
                <w:bCs/>
                <w:sz w:val="20"/>
                <w:lang w:val="fr-CH"/>
              </w:rPr>
              <w:t>P</w:t>
            </w:r>
          </w:p>
        </w:tc>
        <w:tc>
          <w:tcPr>
            <w:tcW w:w="8220" w:type="dxa"/>
          </w:tcPr>
          <w:p w:rsidR="00026119" w:rsidRPr="00036EE3" w:rsidRDefault="00026119" w:rsidP="00974F4D">
            <w:pPr>
              <w:spacing w:before="30" w:after="30"/>
              <w:jc w:val="left"/>
              <w:rPr>
                <w:sz w:val="20"/>
                <w:lang w:val="fr-CH"/>
              </w:rPr>
            </w:pPr>
            <w:r w:rsidRPr="00036EE3">
              <w:rPr>
                <w:sz w:val="20"/>
                <w:lang w:val="fr-CH"/>
              </w:rPr>
              <w:t>Radiowave propagation</w:t>
            </w:r>
          </w:p>
        </w:tc>
      </w:tr>
      <w:tr w:rsidR="00026119" w:rsidRPr="00036EE3" w:rsidTr="00974F4D">
        <w:tc>
          <w:tcPr>
            <w:tcW w:w="1140" w:type="dxa"/>
          </w:tcPr>
          <w:p w:rsidR="00026119" w:rsidRPr="00036EE3" w:rsidRDefault="00026119" w:rsidP="00974F4D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RA</w:t>
            </w:r>
          </w:p>
        </w:tc>
        <w:tc>
          <w:tcPr>
            <w:tcW w:w="8220" w:type="dxa"/>
          </w:tcPr>
          <w:p w:rsidR="00026119" w:rsidRPr="00036EE3" w:rsidRDefault="00026119" w:rsidP="00974F4D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sz w:val="20"/>
                <w:lang w:val="en-US"/>
              </w:rPr>
            </w:pPr>
            <w:r w:rsidRPr="00036EE3">
              <w:rPr>
                <w:sz w:val="20"/>
                <w:lang w:val="en-US"/>
              </w:rPr>
              <w:t>Radio astronomy</w:t>
            </w:r>
          </w:p>
        </w:tc>
      </w:tr>
      <w:tr w:rsidR="00026119" w:rsidRPr="00036EE3" w:rsidTr="00974F4D">
        <w:tc>
          <w:tcPr>
            <w:tcW w:w="1140" w:type="dxa"/>
          </w:tcPr>
          <w:p w:rsidR="00026119" w:rsidRPr="00036EE3" w:rsidRDefault="00026119" w:rsidP="00974F4D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RS</w:t>
            </w:r>
          </w:p>
        </w:tc>
        <w:tc>
          <w:tcPr>
            <w:tcW w:w="8220" w:type="dxa"/>
          </w:tcPr>
          <w:p w:rsidR="00026119" w:rsidRPr="00036EE3" w:rsidRDefault="00026119" w:rsidP="00974F4D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sz w:val="20"/>
                <w:lang w:val="en-US"/>
              </w:rPr>
            </w:pPr>
            <w:r w:rsidRPr="00036EE3">
              <w:rPr>
                <w:sz w:val="20"/>
                <w:lang w:val="en-US"/>
              </w:rPr>
              <w:t>Remote sensing systems</w:t>
            </w:r>
          </w:p>
        </w:tc>
      </w:tr>
      <w:tr w:rsidR="00026119" w:rsidRPr="00036EE3" w:rsidTr="00974F4D">
        <w:tc>
          <w:tcPr>
            <w:tcW w:w="1140" w:type="dxa"/>
            <w:tcBorders>
              <w:bottom w:val="nil"/>
            </w:tcBorders>
          </w:tcPr>
          <w:p w:rsidR="00026119" w:rsidRPr="00036EE3" w:rsidRDefault="00026119" w:rsidP="00974F4D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S</w:t>
            </w:r>
          </w:p>
        </w:tc>
        <w:tc>
          <w:tcPr>
            <w:tcW w:w="8220" w:type="dxa"/>
            <w:tcBorders>
              <w:bottom w:val="nil"/>
            </w:tcBorders>
          </w:tcPr>
          <w:p w:rsidR="00026119" w:rsidRPr="00036EE3" w:rsidRDefault="00026119" w:rsidP="00974F4D">
            <w:pPr>
              <w:spacing w:before="30" w:after="30"/>
              <w:jc w:val="left"/>
              <w:rPr>
                <w:sz w:val="20"/>
                <w:lang w:val="en-US"/>
              </w:rPr>
            </w:pPr>
            <w:r w:rsidRPr="00036EE3">
              <w:rPr>
                <w:sz w:val="20"/>
                <w:lang w:val="en-US"/>
              </w:rPr>
              <w:t>Fixed-satellite service</w:t>
            </w:r>
          </w:p>
        </w:tc>
      </w:tr>
      <w:tr w:rsidR="00026119" w:rsidRPr="00A84B4E" w:rsidTr="00974F4D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026119" w:rsidRPr="00A84B4E" w:rsidRDefault="00026119" w:rsidP="00974F4D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A84B4E">
              <w:rPr>
                <w:b/>
                <w:bCs/>
                <w:sz w:val="20"/>
                <w:lang w:val="en-US"/>
              </w:rPr>
              <w:t>SA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026119" w:rsidRPr="00A84B4E" w:rsidRDefault="00026119" w:rsidP="00974F4D">
            <w:pPr>
              <w:spacing w:before="30" w:after="30"/>
              <w:jc w:val="left"/>
              <w:rPr>
                <w:sz w:val="20"/>
                <w:lang w:val="en-US"/>
              </w:rPr>
            </w:pPr>
            <w:r w:rsidRPr="00A84B4E">
              <w:rPr>
                <w:sz w:val="20"/>
                <w:lang w:val="en-US"/>
              </w:rPr>
              <w:t>Space applications and meteorology</w:t>
            </w:r>
          </w:p>
        </w:tc>
      </w:tr>
      <w:tr w:rsidR="00026119" w:rsidRPr="00026119" w:rsidTr="00974F4D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026119" w:rsidRPr="00406B1A" w:rsidRDefault="00026119" w:rsidP="00974F4D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406B1A">
              <w:rPr>
                <w:b/>
                <w:bCs/>
                <w:sz w:val="20"/>
                <w:lang w:val="en-US"/>
              </w:rPr>
              <w:t>SF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026119" w:rsidRPr="00406B1A" w:rsidRDefault="00026119" w:rsidP="00974F4D">
            <w:pPr>
              <w:spacing w:before="30" w:after="30"/>
              <w:jc w:val="left"/>
              <w:rPr>
                <w:sz w:val="20"/>
                <w:lang w:val="en-US"/>
              </w:rPr>
            </w:pPr>
            <w:r w:rsidRPr="00406B1A">
              <w:rPr>
                <w:sz w:val="20"/>
                <w:lang w:val="en-US"/>
              </w:rPr>
              <w:t>Frequency sharing and coordination between fixed-satellite and fixed service systems</w:t>
            </w:r>
          </w:p>
        </w:tc>
      </w:tr>
      <w:tr w:rsidR="00026119" w:rsidRPr="00036EE3" w:rsidTr="00974F4D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026119" w:rsidRPr="001B164E" w:rsidRDefault="00026119" w:rsidP="00974F4D">
            <w:pPr>
              <w:spacing w:before="30" w:after="30"/>
              <w:ind w:left="57"/>
              <w:jc w:val="left"/>
              <w:rPr>
                <w:rFonts w:ascii="Times New Roman Bold" w:hAnsi="Times New Roman Bold" w:cs="Times New Roman Bold"/>
                <w:b/>
                <w:bCs/>
                <w:sz w:val="20"/>
                <w:lang w:val="en-US"/>
              </w:rPr>
            </w:pPr>
            <w:r w:rsidRPr="001B164E">
              <w:rPr>
                <w:rFonts w:ascii="Times New Roman Bold" w:hAnsi="Times New Roman Bold" w:cs="Times New Roman Bold"/>
                <w:b/>
                <w:bCs/>
                <w:sz w:val="20"/>
                <w:lang w:val="en-US"/>
              </w:rPr>
              <w:t>SM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026119" w:rsidRPr="001B164E" w:rsidRDefault="00026119" w:rsidP="00974F4D">
            <w:pPr>
              <w:spacing w:before="30" w:after="30"/>
              <w:jc w:val="left"/>
              <w:rPr>
                <w:rFonts w:hAnsi="Times New Roman Bold"/>
                <w:sz w:val="20"/>
                <w:lang w:val="en-US"/>
              </w:rPr>
            </w:pPr>
            <w:r w:rsidRPr="001B164E">
              <w:rPr>
                <w:rFonts w:hAnsi="Times New Roman Bold"/>
                <w:sz w:val="20"/>
                <w:lang w:val="en-US"/>
              </w:rPr>
              <w:t>Spectrum management</w:t>
            </w:r>
          </w:p>
        </w:tc>
      </w:tr>
      <w:tr w:rsidR="00026119" w:rsidRPr="00632D21" w:rsidTr="00974F4D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026119" w:rsidRPr="00632D21" w:rsidRDefault="00026119" w:rsidP="00974F4D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632D21">
              <w:rPr>
                <w:b/>
                <w:bCs/>
                <w:sz w:val="20"/>
                <w:lang w:val="en-US"/>
              </w:rPr>
              <w:t>SNG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026119" w:rsidRPr="00632D21" w:rsidRDefault="00026119" w:rsidP="00974F4D">
            <w:pPr>
              <w:spacing w:before="30" w:after="30"/>
              <w:jc w:val="left"/>
              <w:rPr>
                <w:sz w:val="20"/>
                <w:lang w:val="en-US"/>
              </w:rPr>
            </w:pPr>
            <w:r w:rsidRPr="00632D21">
              <w:rPr>
                <w:sz w:val="20"/>
                <w:lang w:val="en-US"/>
              </w:rPr>
              <w:t>Satellite news gathering</w:t>
            </w:r>
          </w:p>
        </w:tc>
      </w:tr>
      <w:tr w:rsidR="00026119" w:rsidRPr="00026119" w:rsidTr="00974F4D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026119" w:rsidRPr="00DE7D89" w:rsidRDefault="00026119" w:rsidP="00974F4D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DE7D89">
              <w:rPr>
                <w:b/>
                <w:bCs/>
                <w:sz w:val="20"/>
                <w:lang w:val="en-US"/>
              </w:rPr>
              <w:t>TF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026119" w:rsidRPr="00DE7D89" w:rsidRDefault="00026119" w:rsidP="00974F4D">
            <w:pPr>
              <w:spacing w:before="30" w:after="30"/>
              <w:jc w:val="left"/>
              <w:rPr>
                <w:sz w:val="20"/>
                <w:lang w:val="en-US"/>
              </w:rPr>
            </w:pPr>
            <w:r w:rsidRPr="00DE7D89">
              <w:rPr>
                <w:sz w:val="20"/>
                <w:lang w:val="en-US"/>
              </w:rPr>
              <w:t>Time signals and frequency standards emissions</w:t>
            </w:r>
          </w:p>
        </w:tc>
      </w:tr>
      <w:tr w:rsidR="00026119" w:rsidRPr="00DE7D89" w:rsidTr="00974F4D">
        <w:tc>
          <w:tcPr>
            <w:tcW w:w="1140" w:type="dxa"/>
            <w:tcBorders>
              <w:top w:val="nil"/>
              <w:bottom w:val="single" w:sz="12" w:space="0" w:color="000080"/>
            </w:tcBorders>
            <w:shd w:val="clear" w:color="auto" w:fill="F3F3F3"/>
          </w:tcPr>
          <w:p w:rsidR="00026119" w:rsidRPr="00DE7D89" w:rsidRDefault="00026119" w:rsidP="00974F4D">
            <w:pPr>
              <w:spacing w:before="30" w:after="30"/>
              <w:ind w:left="57"/>
              <w:jc w:val="left"/>
              <w:rPr>
                <w:b/>
                <w:bCs/>
                <w:color w:val="000080"/>
                <w:sz w:val="20"/>
                <w:lang w:val="en-US"/>
              </w:rPr>
            </w:pPr>
            <w:r w:rsidRPr="00DE7D89">
              <w:rPr>
                <w:b/>
                <w:bCs/>
                <w:color w:val="000080"/>
                <w:sz w:val="20"/>
                <w:lang w:val="en-US"/>
              </w:rPr>
              <w:t>V</w:t>
            </w:r>
          </w:p>
        </w:tc>
        <w:tc>
          <w:tcPr>
            <w:tcW w:w="8220" w:type="dxa"/>
            <w:tcBorders>
              <w:top w:val="nil"/>
              <w:bottom w:val="single" w:sz="12" w:space="0" w:color="000080"/>
            </w:tcBorders>
            <w:shd w:val="clear" w:color="auto" w:fill="F3F3F3"/>
          </w:tcPr>
          <w:p w:rsidR="00026119" w:rsidRPr="00DE7D89" w:rsidRDefault="00026119" w:rsidP="00974F4D">
            <w:pPr>
              <w:spacing w:before="30" w:after="180"/>
              <w:jc w:val="left"/>
              <w:rPr>
                <w:b/>
                <w:bCs/>
                <w:color w:val="000080"/>
                <w:sz w:val="20"/>
                <w:lang w:val="en-US"/>
              </w:rPr>
            </w:pPr>
            <w:r w:rsidRPr="00DE7D89">
              <w:rPr>
                <w:b/>
                <w:bCs/>
                <w:color w:val="000080"/>
                <w:sz w:val="20"/>
                <w:lang w:val="en-US"/>
              </w:rPr>
              <w:t>Vocabulary and related subjects</w:t>
            </w:r>
          </w:p>
        </w:tc>
      </w:tr>
    </w:tbl>
    <w:p w:rsidR="00026119" w:rsidRPr="00036EE3" w:rsidRDefault="00026119" w:rsidP="00026119">
      <w:pPr>
        <w:spacing w:before="30" w:after="30"/>
        <w:jc w:val="center"/>
        <w:rPr>
          <w:sz w:val="20"/>
          <w:lang w:val="en-US"/>
        </w:rPr>
      </w:pPr>
    </w:p>
    <w:tbl>
      <w:tblPr>
        <w:tblpPr w:leftFromText="180" w:rightFromText="180" w:vertAnchor="text" w:tblpX="-5771" w:tblpY="-4031"/>
        <w:tblW w:w="0" w:type="auto"/>
        <w:tblLook w:val="0000" w:firstRow="0" w:lastRow="0" w:firstColumn="0" w:lastColumn="0" w:noHBand="0" w:noVBand="0"/>
      </w:tblPr>
      <w:tblGrid>
        <w:gridCol w:w="720"/>
      </w:tblGrid>
      <w:tr w:rsidR="00026119" w:rsidTr="00974F4D">
        <w:tc>
          <w:tcPr>
            <w:tcW w:w="720" w:type="dxa"/>
          </w:tcPr>
          <w:p w:rsidR="00026119" w:rsidRDefault="00026119" w:rsidP="00974F4D">
            <w:pPr>
              <w:jc w:val="center"/>
              <w:rPr>
                <w:sz w:val="22"/>
                <w:lang w:val="en-US"/>
              </w:rPr>
            </w:pPr>
          </w:p>
        </w:tc>
      </w:tr>
    </w:tbl>
    <w:p w:rsidR="00026119" w:rsidRPr="00036EE3" w:rsidRDefault="00026119" w:rsidP="00026119">
      <w:pPr>
        <w:spacing w:before="0"/>
        <w:jc w:val="center"/>
        <w:rPr>
          <w:sz w:val="22"/>
          <w:lang w:val="en-US"/>
        </w:rPr>
      </w:pPr>
    </w:p>
    <w:tbl>
      <w:tblPr>
        <w:tblW w:w="0" w:type="auto"/>
        <w:tblInd w:w="288" w:type="dxa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1E0" w:firstRow="1" w:lastRow="1" w:firstColumn="1" w:lastColumn="1" w:noHBand="0" w:noVBand="0"/>
      </w:tblPr>
      <w:tblGrid>
        <w:gridCol w:w="9360"/>
      </w:tblGrid>
      <w:tr w:rsidR="00026119" w:rsidRPr="00026119" w:rsidTr="00974F4D">
        <w:tc>
          <w:tcPr>
            <w:tcW w:w="9360" w:type="dxa"/>
          </w:tcPr>
          <w:p w:rsidR="00026119" w:rsidRPr="002F5199" w:rsidRDefault="00026119" w:rsidP="00974F4D">
            <w:pPr>
              <w:spacing w:after="120"/>
              <w:jc w:val="center"/>
              <w:rPr>
                <w:sz w:val="20"/>
                <w:lang w:val="en-US"/>
              </w:rPr>
            </w:pPr>
            <w:r w:rsidRPr="002F5199">
              <w:rPr>
                <w:b/>
                <w:bCs/>
                <w:i/>
                <w:iCs/>
                <w:sz w:val="20"/>
                <w:lang w:val="en-US"/>
              </w:rPr>
              <w:t>Note</w:t>
            </w:r>
            <w:r w:rsidRPr="002F5199">
              <w:rPr>
                <w:sz w:val="20"/>
                <w:lang w:val="en-US"/>
              </w:rPr>
              <w:t xml:space="preserve">: </w:t>
            </w:r>
            <w:r w:rsidRPr="002F5199">
              <w:rPr>
                <w:i/>
                <w:iCs/>
                <w:sz w:val="20"/>
                <w:lang w:val="en-US"/>
              </w:rPr>
              <w:t>This ITU-R Recommendation was approved in English under the procedure detailed in Resolution ITU-R 1.</w:t>
            </w:r>
          </w:p>
        </w:tc>
      </w:tr>
    </w:tbl>
    <w:p w:rsidR="00026119" w:rsidRDefault="00026119" w:rsidP="00026119">
      <w:pPr>
        <w:spacing w:before="0"/>
        <w:jc w:val="center"/>
        <w:rPr>
          <w:sz w:val="22"/>
          <w:lang w:val="en-US"/>
        </w:rPr>
      </w:pPr>
    </w:p>
    <w:p w:rsidR="00026119" w:rsidRDefault="00026119" w:rsidP="00026119">
      <w:pPr>
        <w:spacing w:before="0"/>
        <w:jc w:val="center"/>
        <w:rPr>
          <w:sz w:val="22"/>
          <w:lang w:val="en-US"/>
        </w:rPr>
      </w:pPr>
    </w:p>
    <w:p w:rsidR="00026119" w:rsidRPr="002F5199" w:rsidRDefault="00026119" w:rsidP="00026119">
      <w:pPr>
        <w:spacing w:before="0"/>
        <w:jc w:val="right"/>
        <w:rPr>
          <w:i/>
          <w:iCs/>
          <w:sz w:val="20"/>
          <w:lang w:val="en-US"/>
        </w:rPr>
      </w:pPr>
      <w:r w:rsidRPr="002F5199">
        <w:rPr>
          <w:i/>
          <w:iCs/>
          <w:sz w:val="20"/>
          <w:lang w:val="en-US"/>
        </w:rPr>
        <w:t>Electronic Publication</w:t>
      </w:r>
    </w:p>
    <w:p w:rsidR="00026119" w:rsidRPr="002F5199" w:rsidRDefault="00026119" w:rsidP="00026119">
      <w:pPr>
        <w:spacing w:before="0"/>
        <w:jc w:val="right"/>
        <w:rPr>
          <w:sz w:val="20"/>
          <w:lang w:val="en-US"/>
        </w:rPr>
      </w:pPr>
      <w:smartTag w:uri="urn:schemas-microsoft-com:office:smarttags" w:element="City">
        <w:smartTag w:uri="urn:schemas-microsoft-com:office:smarttags" w:element="State">
          <w:r w:rsidRPr="002F5199">
            <w:rPr>
              <w:sz w:val="20"/>
              <w:lang w:val="en-US"/>
            </w:rPr>
            <w:t>Geneva</w:t>
          </w:r>
        </w:smartTag>
      </w:smartTag>
      <w:r w:rsidRPr="002F5199">
        <w:rPr>
          <w:sz w:val="20"/>
          <w:lang w:val="en-US"/>
        </w:rPr>
        <w:t>, 20</w:t>
      </w:r>
      <w:r>
        <w:rPr>
          <w:sz w:val="20"/>
          <w:lang w:val="en-US"/>
        </w:rPr>
        <w:t>15</w:t>
      </w:r>
    </w:p>
    <w:p w:rsidR="00026119" w:rsidRDefault="00026119" w:rsidP="00026119">
      <w:pPr>
        <w:jc w:val="center"/>
        <w:rPr>
          <w:sz w:val="22"/>
          <w:lang w:val="en-US"/>
        </w:rPr>
      </w:pPr>
    </w:p>
    <w:p w:rsidR="00026119" w:rsidRPr="00470E28" w:rsidRDefault="00026119" w:rsidP="00026119">
      <w:pPr>
        <w:jc w:val="center"/>
        <w:rPr>
          <w:sz w:val="20"/>
          <w:lang w:val="en-US"/>
        </w:rPr>
      </w:pPr>
      <w:r w:rsidRPr="00470E28">
        <w:rPr>
          <w:sz w:val="20"/>
          <w:lang w:val="en-US"/>
        </w:rPr>
        <w:sym w:font="Symbol" w:char="F0E3"/>
      </w:r>
      <w:r w:rsidRPr="00470E28">
        <w:rPr>
          <w:sz w:val="20"/>
          <w:lang w:val="en-US"/>
        </w:rPr>
        <w:t xml:space="preserve"> ITU </w:t>
      </w:r>
      <w:bookmarkStart w:id="2" w:name="iiannee"/>
      <w:bookmarkEnd w:id="2"/>
      <w:r w:rsidRPr="00470E28">
        <w:rPr>
          <w:sz w:val="20"/>
          <w:lang w:val="en-US"/>
        </w:rPr>
        <w:t>20</w:t>
      </w:r>
      <w:r>
        <w:rPr>
          <w:sz w:val="20"/>
          <w:lang w:val="en-US"/>
        </w:rPr>
        <w:t>15</w:t>
      </w:r>
    </w:p>
    <w:p w:rsidR="00026119" w:rsidRPr="00470E28" w:rsidRDefault="00026119" w:rsidP="00026119">
      <w:pPr>
        <w:rPr>
          <w:sz w:val="18"/>
          <w:szCs w:val="18"/>
          <w:lang w:val="en-US"/>
        </w:rPr>
      </w:pPr>
      <w:r w:rsidRPr="00470E28">
        <w:rPr>
          <w:sz w:val="18"/>
          <w:szCs w:val="18"/>
          <w:lang w:val="en-US"/>
        </w:rPr>
        <w:t>All rights reserved. No part of thi</w:t>
      </w:r>
      <w:r>
        <w:rPr>
          <w:sz w:val="18"/>
          <w:szCs w:val="18"/>
          <w:lang w:val="en-US"/>
        </w:rPr>
        <w:t xml:space="preserve">s publication may be reproduced, </w:t>
      </w:r>
      <w:r w:rsidRPr="00470E28">
        <w:rPr>
          <w:sz w:val="18"/>
          <w:szCs w:val="18"/>
          <w:lang w:val="en-US"/>
        </w:rPr>
        <w:t xml:space="preserve">by any means </w:t>
      </w:r>
      <w:r>
        <w:rPr>
          <w:sz w:val="18"/>
          <w:szCs w:val="18"/>
          <w:lang w:val="en-US"/>
        </w:rPr>
        <w:t xml:space="preserve">whatsoever, </w:t>
      </w:r>
      <w:r w:rsidRPr="00470E28">
        <w:rPr>
          <w:sz w:val="18"/>
          <w:szCs w:val="18"/>
          <w:lang w:val="en-US"/>
        </w:rPr>
        <w:t xml:space="preserve">without written permission </w:t>
      </w:r>
      <w:r>
        <w:rPr>
          <w:sz w:val="18"/>
          <w:szCs w:val="18"/>
          <w:lang w:val="en-US"/>
        </w:rPr>
        <w:t>of</w:t>
      </w:r>
      <w:r w:rsidRPr="00470E28">
        <w:rPr>
          <w:sz w:val="18"/>
          <w:szCs w:val="18"/>
          <w:lang w:val="en-US"/>
        </w:rPr>
        <w:t xml:space="preserve"> ITU.</w:t>
      </w:r>
    </w:p>
    <w:p w:rsidR="00026119" w:rsidRDefault="00026119" w:rsidP="00026119">
      <w:pPr>
        <w:spacing w:before="160"/>
        <w:rPr>
          <w:i/>
          <w:sz w:val="20"/>
          <w:lang w:val="en-US"/>
        </w:rPr>
        <w:sectPr w:rsidR="00026119" w:rsidSect="002058CE">
          <w:headerReference w:type="even" r:id="rId10"/>
          <w:headerReference w:type="default" r:id="rId11"/>
          <w:pgSz w:w="11907" w:h="16834" w:code="9"/>
          <w:pgMar w:top="1418" w:right="1134" w:bottom="1134" w:left="1134" w:header="720" w:footer="482" w:gutter="0"/>
          <w:paperSrc w:first="15" w:other="15"/>
          <w:pgNumType w:fmt="lowerRoman" w:start="2"/>
          <w:cols w:space="720"/>
        </w:sectPr>
      </w:pPr>
    </w:p>
    <w:p w:rsidR="00026119" w:rsidRPr="00BF487A" w:rsidRDefault="00026119" w:rsidP="00DB7180">
      <w:pPr>
        <w:pStyle w:val="RecNo"/>
        <w:spacing w:before="0"/>
        <w:rPr>
          <w:lang w:val="en-US"/>
        </w:rPr>
      </w:pPr>
      <w:bookmarkStart w:id="3" w:name="irecnoe"/>
      <w:bookmarkEnd w:id="3"/>
      <w:r w:rsidRPr="00BF487A">
        <w:rPr>
          <w:lang w:val="en-US"/>
        </w:rPr>
        <w:lastRenderedPageBreak/>
        <w:t xml:space="preserve">RECOMMENDATION  </w:t>
      </w:r>
      <w:r w:rsidRPr="00BF487A">
        <w:rPr>
          <w:rStyle w:val="href"/>
          <w:lang w:val="en-US"/>
        </w:rPr>
        <w:t xml:space="preserve">ITU-R  </w:t>
      </w:r>
      <w:r>
        <w:rPr>
          <w:rStyle w:val="href"/>
          <w:lang w:val="en-US"/>
        </w:rPr>
        <w:t>V</w:t>
      </w:r>
      <w:r w:rsidRPr="00BF487A">
        <w:rPr>
          <w:rStyle w:val="href"/>
          <w:lang w:val="en-US"/>
        </w:rPr>
        <w:t>.</w:t>
      </w:r>
      <w:r w:rsidR="00DB7180">
        <w:rPr>
          <w:rStyle w:val="href"/>
          <w:lang w:val="en-US"/>
        </w:rPr>
        <w:t>430-4</w:t>
      </w:r>
    </w:p>
    <w:p w:rsidR="00A6617B" w:rsidRPr="00DB7180" w:rsidRDefault="00DB7180" w:rsidP="002C1A83">
      <w:pPr>
        <w:pStyle w:val="Rectitle"/>
        <w:rPr>
          <w:lang w:val="en-US"/>
        </w:rPr>
      </w:pPr>
      <w:r w:rsidRPr="00026119">
        <w:rPr>
          <w:lang w:val="en-US" w:eastAsia="zh-CN"/>
        </w:rPr>
        <w:t xml:space="preserve">Use of the international </w:t>
      </w:r>
      <w:r w:rsidRPr="00026119">
        <w:rPr>
          <w:lang w:val="en-US"/>
        </w:rPr>
        <w:t>system</w:t>
      </w:r>
      <w:r w:rsidRPr="00026119">
        <w:rPr>
          <w:lang w:val="en-US" w:eastAsia="zh-CN"/>
        </w:rPr>
        <w:t xml:space="preserve"> of units (SI)</w:t>
      </w:r>
    </w:p>
    <w:p w:rsidR="00026119" w:rsidRPr="00026119" w:rsidRDefault="00026119" w:rsidP="002C1A83">
      <w:pPr>
        <w:pStyle w:val="Recdate"/>
        <w:rPr>
          <w:lang w:val="en-US"/>
        </w:rPr>
      </w:pPr>
      <w:r w:rsidRPr="00026119">
        <w:rPr>
          <w:lang w:val="en-US"/>
        </w:rPr>
        <w:t>(1953-1963-1978-1982-1990-2015)</w:t>
      </w:r>
    </w:p>
    <w:p w:rsidR="00026119" w:rsidRPr="00C55A9B" w:rsidRDefault="00026119" w:rsidP="00026119">
      <w:pPr>
        <w:pStyle w:val="HeadingSum"/>
        <w:rPr>
          <w:szCs w:val="22"/>
          <w:lang w:val="en-US"/>
        </w:rPr>
      </w:pPr>
      <w:r w:rsidRPr="00C55A9B">
        <w:rPr>
          <w:szCs w:val="22"/>
          <w:lang w:val="en-US"/>
        </w:rPr>
        <w:t>Scope</w:t>
      </w:r>
    </w:p>
    <w:p w:rsidR="00026119" w:rsidRPr="00C55A9B" w:rsidRDefault="00026119" w:rsidP="00026119">
      <w:pPr>
        <w:pStyle w:val="Summary"/>
        <w:spacing w:after="240"/>
        <w:rPr>
          <w:szCs w:val="22"/>
          <w:lang w:val="en-US"/>
        </w:rPr>
      </w:pPr>
      <w:r w:rsidRPr="00C55A9B">
        <w:rPr>
          <w:szCs w:val="22"/>
          <w:lang w:val="en-US"/>
        </w:rPr>
        <w:t xml:space="preserve">This text recommends the use </w:t>
      </w:r>
      <w:r>
        <w:rPr>
          <w:szCs w:val="22"/>
          <w:lang w:val="en-US"/>
        </w:rPr>
        <w:t xml:space="preserve">of the international system of </w:t>
      </w:r>
      <w:r w:rsidRPr="00C55A9B">
        <w:rPr>
          <w:szCs w:val="22"/>
          <w:lang w:val="en-US"/>
        </w:rPr>
        <w:t>units (SI), t</w:t>
      </w:r>
      <w:r>
        <w:rPr>
          <w:szCs w:val="22"/>
          <w:lang w:val="en-US"/>
        </w:rPr>
        <w:t>ogether with the symbols for their representation. It also recommends that other units and symbols in the field of telecommunication should follow similar rules.</w:t>
      </w:r>
    </w:p>
    <w:p w:rsidR="00026119" w:rsidRPr="003B1DD1" w:rsidRDefault="00026119" w:rsidP="001F64D3">
      <w:pPr>
        <w:pStyle w:val="Headingb"/>
        <w:rPr>
          <w:lang w:val="en-GB"/>
        </w:rPr>
      </w:pPr>
      <w:r w:rsidRPr="003B1DD1">
        <w:rPr>
          <w:lang w:val="en-GB"/>
        </w:rPr>
        <w:t>Keyword</w:t>
      </w:r>
      <w:r>
        <w:rPr>
          <w:lang w:val="en-GB"/>
        </w:rPr>
        <w:t>s</w:t>
      </w:r>
    </w:p>
    <w:p w:rsidR="00026119" w:rsidRPr="00026119" w:rsidRDefault="00026119" w:rsidP="00026119">
      <w:pPr>
        <w:rPr>
          <w:lang w:val="en-US" w:eastAsia="ja-JP"/>
        </w:rPr>
      </w:pPr>
      <w:r>
        <w:rPr>
          <w:lang w:val="en-US" w:eastAsia="ja-JP"/>
        </w:rPr>
        <w:t>I</w:t>
      </w:r>
      <w:r w:rsidRPr="008F2D53">
        <w:rPr>
          <w:lang w:val="en-US" w:eastAsia="ja-JP"/>
        </w:rPr>
        <w:t>nternational system of units</w:t>
      </w:r>
    </w:p>
    <w:p w:rsidR="00026119" w:rsidRPr="003B1DD1" w:rsidRDefault="00026119" w:rsidP="00026119">
      <w:pPr>
        <w:pStyle w:val="Headingb"/>
        <w:rPr>
          <w:lang w:val="en-GB"/>
        </w:rPr>
      </w:pPr>
      <w:bookmarkStart w:id="4" w:name="_Toc368428505"/>
      <w:bookmarkStart w:id="5" w:name="_Toc368428583"/>
      <w:bookmarkStart w:id="6" w:name="_Toc368430174"/>
      <w:bookmarkStart w:id="7" w:name="_Toc369007123"/>
      <w:r w:rsidRPr="003B1DD1">
        <w:rPr>
          <w:lang w:val="en-GB"/>
        </w:rPr>
        <w:t>Related ITU Recommendation</w:t>
      </w:r>
      <w:bookmarkEnd w:id="4"/>
      <w:bookmarkEnd w:id="5"/>
      <w:bookmarkEnd w:id="6"/>
      <w:bookmarkEnd w:id="7"/>
      <w:r>
        <w:rPr>
          <w:lang w:val="en-GB"/>
        </w:rPr>
        <w:t>s</w:t>
      </w:r>
    </w:p>
    <w:p w:rsidR="00026119" w:rsidRPr="00026119" w:rsidRDefault="00026119" w:rsidP="001F64D3">
      <w:pPr>
        <w:pStyle w:val="Reftext"/>
        <w:keepNext/>
        <w:keepLines/>
        <w:ind w:left="3600" w:hanging="3600"/>
        <w:rPr>
          <w:szCs w:val="24"/>
          <w:lang w:val="en-US"/>
        </w:rPr>
      </w:pPr>
      <w:r w:rsidRPr="00026119">
        <w:rPr>
          <w:szCs w:val="24"/>
          <w:lang w:val="en-US"/>
        </w:rPr>
        <w:t>Recommendation ITU-R V.431-</w:t>
      </w:r>
      <w:r w:rsidR="001F64D3">
        <w:rPr>
          <w:szCs w:val="24"/>
          <w:lang w:val="en-US"/>
        </w:rPr>
        <w:t>8</w:t>
      </w:r>
      <w:r w:rsidRPr="00026119">
        <w:rPr>
          <w:szCs w:val="24"/>
          <w:lang w:val="en-US"/>
        </w:rPr>
        <w:tab/>
        <w:t>Nomenclature of the frequency and wavelength bands used in telecommunications</w:t>
      </w:r>
    </w:p>
    <w:p w:rsidR="00026119" w:rsidRPr="00026119" w:rsidRDefault="00026119" w:rsidP="001F64D3">
      <w:pPr>
        <w:pStyle w:val="Reftext"/>
        <w:keepNext/>
        <w:keepLines/>
        <w:ind w:left="3600" w:hanging="3600"/>
        <w:rPr>
          <w:szCs w:val="24"/>
          <w:lang w:val="fr-CH"/>
        </w:rPr>
      </w:pPr>
      <w:r w:rsidRPr="00026119">
        <w:rPr>
          <w:szCs w:val="24"/>
          <w:lang w:val="fr-CH"/>
        </w:rPr>
        <w:t>Recommendation ITU-R V.573</w:t>
      </w:r>
      <w:r>
        <w:rPr>
          <w:szCs w:val="24"/>
          <w:lang w:val="fr-CH"/>
        </w:rPr>
        <w:t>-</w:t>
      </w:r>
      <w:r w:rsidR="001F64D3">
        <w:rPr>
          <w:szCs w:val="24"/>
          <w:lang w:val="fr-CH"/>
        </w:rPr>
        <w:t>6</w:t>
      </w:r>
      <w:r w:rsidRPr="00026119">
        <w:rPr>
          <w:szCs w:val="24"/>
          <w:lang w:val="fr-CH"/>
        </w:rPr>
        <w:tab/>
      </w:r>
      <w:r w:rsidRPr="00764971">
        <w:rPr>
          <w:szCs w:val="24"/>
          <w:lang w:val="fr-CH"/>
        </w:rPr>
        <w:t>Radiocommunication vocabulary</w:t>
      </w:r>
    </w:p>
    <w:p w:rsidR="00026119" w:rsidRPr="00026119" w:rsidRDefault="00026119" w:rsidP="001F64D3">
      <w:pPr>
        <w:pStyle w:val="Reftext"/>
        <w:keepNext/>
        <w:keepLines/>
        <w:ind w:left="3600" w:hanging="3600"/>
        <w:rPr>
          <w:szCs w:val="24"/>
          <w:lang w:val="en-US"/>
        </w:rPr>
      </w:pPr>
      <w:r w:rsidRPr="00026119">
        <w:rPr>
          <w:szCs w:val="24"/>
          <w:lang w:val="en-US"/>
        </w:rPr>
        <w:t>Recommendation ITU-R V.574-</w:t>
      </w:r>
      <w:r w:rsidR="001F64D3">
        <w:rPr>
          <w:szCs w:val="24"/>
          <w:lang w:val="en-US"/>
        </w:rPr>
        <w:t>5</w:t>
      </w:r>
      <w:r w:rsidRPr="00026119">
        <w:rPr>
          <w:szCs w:val="24"/>
          <w:lang w:val="en-US"/>
        </w:rPr>
        <w:tab/>
        <w:t>Use of the decibel and the neper in telecommunications</w:t>
      </w:r>
    </w:p>
    <w:p w:rsidR="00026119" w:rsidRPr="00026119" w:rsidRDefault="00026119" w:rsidP="001F64D3">
      <w:pPr>
        <w:pStyle w:val="Reftext"/>
        <w:keepNext/>
        <w:keepLines/>
        <w:ind w:left="3600" w:hanging="3600"/>
        <w:rPr>
          <w:szCs w:val="24"/>
          <w:lang w:val="en-US"/>
        </w:rPr>
      </w:pPr>
      <w:r w:rsidRPr="00026119">
        <w:rPr>
          <w:szCs w:val="24"/>
          <w:lang w:val="en-US"/>
        </w:rPr>
        <w:t>Recommendation ITU-R V.665-</w:t>
      </w:r>
      <w:r w:rsidR="001F64D3">
        <w:rPr>
          <w:szCs w:val="24"/>
          <w:lang w:val="en-US"/>
        </w:rPr>
        <w:t>3</w:t>
      </w:r>
      <w:r w:rsidRPr="00026119">
        <w:rPr>
          <w:szCs w:val="24"/>
          <w:lang w:val="en-US"/>
        </w:rPr>
        <w:tab/>
        <w:t>Traffic intensity unit</w:t>
      </w:r>
    </w:p>
    <w:p w:rsidR="00026119" w:rsidRPr="00026119" w:rsidRDefault="00026119" w:rsidP="00E67D7D">
      <w:pPr>
        <w:pStyle w:val="Normalaftertitle"/>
        <w:rPr>
          <w:lang w:val="en-US"/>
        </w:rPr>
      </w:pPr>
      <w:r w:rsidRPr="00026119">
        <w:rPr>
          <w:lang w:val="en-US"/>
        </w:rPr>
        <w:t>The ITU Radiocommunication Assembly,</w:t>
      </w:r>
    </w:p>
    <w:p w:rsidR="00026119" w:rsidRPr="00026119" w:rsidRDefault="00026119" w:rsidP="00026119">
      <w:pPr>
        <w:pStyle w:val="Call"/>
        <w:rPr>
          <w:lang w:val="en-US"/>
        </w:rPr>
      </w:pPr>
      <w:r w:rsidRPr="00026119">
        <w:rPr>
          <w:lang w:val="en-US"/>
        </w:rPr>
        <w:t>considering</w:t>
      </w:r>
    </w:p>
    <w:p w:rsidR="00026119" w:rsidRPr="00026119" w:rsidRDefault="00026119" w:rsidP="00EA7606">
      <w:pPr>
        <w:rPr>
          <w:lang w:val="en-US" w:eastAsia="zh-CN"/>
        </w:rPr>
      </w:pPr>
      <w:r w:rsidRPr="00026119">
        <w:rPr>
          <w:i/>
          <w:iCs/>
          <w:lang w:val="en-US" w:eastAsia="ja-JP"/>
        </w:rPr>
        <w:t>a</w:t>
      </w:r>
      <w:r w:rsidRPr="00026119">
        <w:rPr>
          <w:i/>
          <w:iCs/>
          <w:lang w:val="en-US" w:eastAsia="zh-CN"/>
        </w:rPr>
        <w:t>)</w:t>
      </w:r>
      <w:r w:rsidRPr="00026119">
        <w:rPr>
          <w:i/>
          <w:lang w:val="en-US"/>
        </w:rPr>
        <w:tab/>
      </w:r>
      <w:r w:rsidRPr="00026119">
        <w:rPr>
          <w:lang w:val="en-US" w:eastAsia="zh-CN"/>
        </w:rPr>
        <w:t>the international system of units (SI) adopted by the General Conference of Weights and Measures (CGPM)</w:t>
      </w:r>
      <w:r w:rsidRPr="00026119">
        <w:rPr>
          <w:lang w:val="en-US"/>
        </w:rPr>
        <w:t>;</w:t>
      </w:r>
    </w:p>
    <w:p w:rsidR="00026119" w:rsidRPr="00026119" w:rsidRDefault="00026119" w:rsidP="00026119">
      <w:pPr>
        <w:rPr>
          <w:lang w:val="en-US" w:eastAsia="zh-CN"/>
        </w:rPr>
      </w:pPr>
      <w:r w:rsidRPr="00026119">
        <w:rPr>
          <w:i/>
          <w:iCs/>
          <w:lang w:val="en-US" w:eastAsia="ja-JP"/>
        </w:rPr>
        <w:t>b</w:t>
      </w:r>
      <w:r w:rsidRPr="00026119">
        <w:rPr>
          <w:i/>
          <w:iCs/>
          <w:lang w:val="en-US" w:eastAsia="zh-CN"/>
        </w:rPr>
        <w:t>)</w:t>
      </w:r>
      <w:r w:rsidRPr="00026119">
        <w:rPr>
          <w:lang w:val="en-US" w:eastAsia="zh-CN"/>
        </w:rPr>
        <w:tab/>
        <w:t>that the SI system is supported by the International Organization for Standardization (ISO) and is based on the rationalized form of electromagnetic and electrotechnical relations,</w:t>
      </w:r>
    </w:p>
    <w:p w:rsidR="00026119" w:rsidRPr="00026119" w:rsidRDefault="00026119" w:rsidP="00026119">
      <w:pPr>
        <w:pStyle w:val="Call"/>
        <w:rPr>
          <w:lang w:val="en-US"/>
        </w:rPr>
      </w:pPr>
      <w:r w:rsidRPr="00026119">
        <w:rPr>
          <w:lang w:val="en-US"/>
        </w:rPr>
        <w:t>recommends</w:t>
      </w:r>
    </w:p>
    <w:p w:rsidR="00026119" w:rsidRPr="00026119" w:rsidRDefault="00026119" w:rsidP="00026119">
      <w:pPr>
        <w:rPr>
          <w:lang w:val="en-US"/>
        </w:rPr>
      </w:pPr>
      <w:r w:rsidRPr="00EA7606">
        <w:rPr>
          <w:b/>
          <w:lang w:val="en-US"/>
        </w:rPr>
        <w:t>1</w:t>
      </w:r>
      <w:r w:rsidRPr="00026119">
        <w:rPr>
          <w:lang w:val="en-US"/>
        </w:rPr>
        <w:tab/>
        <w:t>that the various ITU organs, as well as administrations and recognized private operating agencies should use in their mutual relations:</w:t>
      </w:r>
    </w:p>
    <w:p w:rsidR="00026119" w:rsidRPr="00026119" w:rsidRDefault="00026119" w:rsidP="00026119">
      <w:pPr>
        <w:pStyle w:val="enumlev1"/>
        <w:rPr>
          <w:lang w:val="en-US"/>
        </w:rPr>
      </w:pPr>
      <w:r w:rsidRPr="00026119">
        <w:rPr>
          <w:lang w:val="en-US"/>
        </w:rPr>
        <w:t>–</w:t>
      </w:r>
      <w:r w:rsidRPr="00026119">
        <w:rPr>
          <w:lang w:val="en-US"/>
        </w:rPr>
        <w:tab/>
        <w:t>the units of the SI system;</w:t>
      </w:r>
    </w:p>
    <w:p w:rsidR="00026119" w:rsidRPr="00026119" w:rsidRDefault="00026119" w:rsidP="00026119">
      <w:pPr>
        <w:pStyle w:val="enumlev1"/>
        <w:rPr>
          <w:lang w:val="en-US"/>
        </w:rPr>
      </w:pPr>
      <w:r w:rsidRPr="00026119">
        <w:rPr>
          <w:lang w:val="en-US"/>
        </w:rPr>
        <w:t>–</w:t>
      </w:r>
      <w:r w:rsidRPr="00026119">
        <w:rPr>
          <w:lang w:val="en-US"/>
        </w:rPr>
        <w:tab/>
        <w:t>the symbols adopted in the SI system to represent units;</w:t>
      </w:r>
    </w:p>
    <w:p w:rsidR="00026119" w:rsidRPr="00026119" w:rsidRDefault="00026119" w:rsidP="00026119">
      <w:pPr>
        <w:pStyle w:val="enumlev1"/>
        <w:rPr>
          <w:lang w:val="en-US"/>
        </w:rPr>
      </w:pPr>
      <w:r w:rsidRPr="00026119">
        <w:rPr>
          <w:lang w:val="en-US"/>
        </w:rPr>
        <w:t>–</w:t>
      </w:r>
      <w:r w:rsidRPr="00026119">
        <w:rPr>
          <w:lang w:val="en-US"/>
        </w:rPr>
        <w:tab/>
        <w:t>rules similar to those of the SI system when it is necessary to form names of other units and their symbols in the field of telecommunications;</w:t>
      </w:r>
    </w:p>
    <w:p w:rsidR="00026119" w:rsidRPr="00026119" w:rsidRDefault="00026119" w:rsidP="00026119">
      <w:pPr>
        <w:rPr>
          <w:lang w:val="en-US"/>
        </w:rPr>
      </w:pPr>
      <w:r w:rsidRPr="00EA7606">
        <w:rPr>
          <w:b/>
          <w:lang w:val="en-US"/>
        </w:rPr>
        <w:t>2</w:t>
      </w:r>
      <w:r w:rsidRPr="00026119">
        <w:rPr>
          <w:lang w:val="en-US"/>
        </w:rPr>
        <w:tab/>
        <w:t>that, with the exception of unit symbols frequently used in telecommunications, the first time a symbol is used in a particular text, its full meaning should be given either in the body of the text or in a footnote.</w:t>
      </w:r>
    </w:p>
    <w:p w:rsidR="00026119" w:rsidRPr="00026119" w:rsidRDefault="00026119" w:rsidP="00026119">
      <w:pPr>
        <w:rPr>
          <w:lang w:val="en-US"/>
        </w:rPr>
      </w:pPr>
      <w:r w:rsidRPr="00026119">
        <w:rPr>
          <w:iCs/>
          <w:lang w:val="en-US"/>
        </w:rPr>
        <w:t>NOTE 1</w:t>
      </w:r>
      <w:r w:rsidRPr="00026119">
        <w:rPr>
          <w:lang w:val="en-US"/>
        </w:rPr>
        <w:t> – References of relevant publications (updated in 2015).</w:t>
      </w:r>
    </w:p>
    <w:p w:rsidR="00026119" w:rsidRPr="00026119" w:rsidRDefault="00026119" w:rsidP="00026119">
      <w:pPr>
        <w:pStyle w:val="enumlev1"/>
        <w:rPr>
          <w:lang w:val="en-US"/>
        </w:rPr>
      </w:pPr>
      <w:r w:rsidRPr="00026119">
        <w:rPr>
          <w:lang w:val="en-US"/>
        </w:rPr>
        <w:tab/>
      </w:r>
      <w:r w:rsidRPr="00026119">
        <w:rPr>
          <w:i/>
          <w:lang w:val="en-US"/>
        </w:rPr>
        <w:t>International Bureau of Weights and Measures (BIPM) publication:</w:t>
      </w:r>
      <w:r w:rsidRPr="00026119">
        <w:rPr>
          <w:lang w:val="en-US"/>
        </w:rPr>
        <w:t xml:space="preserve"> “Le système international d'unités (SI)/The International System of Units (SI)” (8</w:t>
      </w:r>
      <w:r w:rsidRPr="00EA7606">
        <w:rPr>
          <w:vertAlign w:val="superscript"/>
          <w:lang w:val="en-US"/>
        </w:rPr>
        <w:t>th</w:t>
      </w:r>
      <w:r w:rsidRPr="00026119">
        <w:rPr>
          <w:position w:val="6"/>
          <w:sz w:val="16"/>
          <w:lang w:val="en-US"/>
        </w:rPr>
        <w:t xml:space="preserve"> </w:t>
      </w:r>
      <w:r w:rsidRPr="00026119">
        <w:rPr>
          <w:lang w:val="en-US"/>
        </w:rPr>
        <w:t>edition, 2006; updated in 2014)</w:t>
      </w:r>
    </w:p>
    <w:p w:rsidR="00026119" w:rsidRPr="00026119" w:rsidRDefault="00026119" w:rsidP="00026119">
      <w:pPr>
        <w:pStyle w:val="enumlev1"/>
        <w:rPr>
          <w:lang w:val="en-US"/>
        </w:rPr>
      </w:pPr>
      <w:r w:rsidRPr="00026119">
        <w:rPr>
          <w:lang w:val="en-US"/>
        </w:rPr>
        <w:tab/>
      </w:r>
      <w:r w:rsidRPr="00026119">
        <w:rPr>
          <w:i/>
          <w:lang w:val="en-US"/>
        </w:rPr>
        <w:t xml:space="preserve">International Standard ISO 80000: </w:t>
      </w:r>
      <w:r w:rsidRPr="00026119">
        <w:rPr>
          <w:lang w:val="en-US"/>
        </w:rPr>
        <w:t>“Quantities and units”</w:t>
      </w:r>
    </w:p>
    <w:p w:rsidR="00026119" w:rsidRPr="00026119" w:rsidRDefault="00026119" w:rsidP="00026119">
      <w:pPr>
        <w:pStyle w:val="enumlev1"/>
        <w:rPr>
          <w:lang w:val="en-US"/>
        </w:rPr>
      </w:pPr>
      <w:r w:rsidRPr="00026119">
        <w:rPr>
          <w:lang w:val="en-US"/>
        </w:rPr>
        <w:tab/>
        <w:t>Parts of International Standard ISO 80000 of greatest interest for telecommunications:</w:t>
      </w:r>
    </w:p>
    <w:p w:rsidR="00026119" w:rsidRDefault="00026119" w:rsidP="00026119">
      <w:pPr>
        <w:pStyle w:val="enumlev2"/>
        <w:rPr>
          <w:lang w:val="en-US"/>
        </w:rPr>
      </w:pPr>
      <w:r w:rsidRPr="00026119">
        <w:rPr>
          <w:lang w:val="en-US"/>
        </w:rPr>
        <w:tab/>
        <w:t>80000-1</w:t>
      </w:r>
      <w:r w:rsidRPr="00026119">
        <w:rPr>
          <w:lang w:val="en-US"/>
        </w:rPr>
        <w:tab/>
        <w:t>(General)</w:t>
      </w:r>
    </w:p>
    <w:p w:rsidR="00352412" w:rsidRPr="00026119" w:rsidRDefault="00352412" w:rsidP="00026119">
      <w:pPr>
        <w:pStyle w:val="enumlev2"/>
        <w:rPr>
          <w:lang w:val="en-US"/>
        </w:rPr>
      </w:pPr>
      <w:r w:rsidRPr="00026119">
        <w:rPr>
          <w:lang w:val="en-US"/>
        </w:rPr>
        <w:lastRenderedPageBreak/>
        <w:tab/>
        <w:t>80000-2</w:t>
      </w:r>
      <w:r w:rsidRPr="00026119">
        <w:rPr>
          <w:lang w:val="en-US"/>
        </w:rPr>
        <w:tab/>
        <w:t>(Mathematical signs and symbols to be used in the natural sciences and technology)</w:t>
      </w:r>
    </w:p>
    <w:p w:rsidR="00026119" w:rsidRPr="00026119" w:rsidRDefault="00026119" w:rsidP="00026119">
      <w:pPr>
        <w:pStyle w:val="enumlev2"/>
        <w:rPr>
          <w:lang w:val="en-US"/>
        </w:rPr>
      </w:pPr>
      <w:r w:rsidRPr="00026119">
        <w:rPr>
          <w:lang w:val="en-US"/>
        </w:rPr>
        <w:tab/>
        <w:t>80000-3</w:t>
      </w:r>
      <w:r w:rsidRPr="00026119">
        <w:rPr>
          <w:lang w:val="en-US"/>
        </w:rPr>
        <w:tab/>
        <w:t>(Space and time)</w:t>
      </w:r>
    </w:p>
    <w:p w:rsidR="00026119" w:rsidRPr="00026119" w:rsidRDefault="00026119" w:rsidP="00026119">
      <w:pPr>
        <w:pStyle w:val="enumlev2"/>
        <w:rPr>
          <w:lang w:val="en-US"/>
        </w:rPr>
      </w:pPr>
      <w:r w:rsidRPr="00026119">
        <w:rPr>
          <w:lang w:val="en-US"/>
        </w:rPr>
        <w:tab/>
        <w:t>80000-6</w:t>
      </w:r>
      <w:r w:rsidRPr="00026119">
        <w:rPr>
          <w:lang w:val="en-US"/>
        </w:rPr>
        <w:tab/>
        <w:t>(Electromagnetism)</w:t>
      </w:r>
    </w:p>
    <w:p w:rsidR="00026119" w:rsidRPr="00026119" w:rsidRDefault="00026119" w:rsidP="00026119">
      <w:pPr>
        <w:pStyle w:val="enumlev2"/>
        <w:rPr>
          <w:lang w:val="en-US"/>
        </w:rPr>
      </w:pPr>
      <w:r w:rsidRPr="00026119">
        <w:rPr>
          <w:lang w:val="en-US"/>
        </w:rPr>
        <w:tab/>
        <w:t>80000-7</w:t>
      </w:r>
      <w:r w:rsidRPr="00026119">
        <w:rPr>
          <w:lang w:val="en-US"/>
        </w:rPr>
        <w:tab/>
        <w:t>(Light and radiation)</w:t>
      </w:r>
    </w:p>
    <w:p w:rsidR="00026119" w:rsidRPr="00026119" w:rsidRDefault="00026119" w:rsidP="00EA7606">
      <w:pPr>
        <w:pStyle w:val="enumlev2"/>
        <w:rPr>
          <w:lang w:val="en-US"/>
        </w:rPr>
      </w:pPr>
      <w:r w:rsidRPr="00026119">
        <w:rPr>
          <w:lang w:val="en-US"/>
        </w:rPr>
        <w:tab/>
        <w:t>80000-8</w:t>
      </w:r>
      <w:r w:rsidRPr="00026119">
        <w:rPr>
          <w:lang w:val="en-US"/>
        </w:rPr>
        <w:tab/>
        <w:t>(Acoustics)</w:t>
      </w:r>
    </w:p>
    <w:p w:rsidR="00026119" w:rsidRPr="00026119" w:rsidRDefault="00026119" w:rsidP="00EA7606">
      <w:pPr>
        <w:pStyle w:val="enumlev1"/>
        <w:rPr>
          <w:iCs/>
          <w:lang w:val="en-US"/>
        </w:rPr>
      </w:pPr>
      <w:r w:rsidRPr="00026119">
        <w:rPr>
          <w:lang w:val="en-US"/>
        </w:rPr>
        <w:tab/>
      </w:r>
      <w:r w:rsidRPr="00026119">
        <w:rPr>
          <w:lang w:val="en-US"/>
        </w:rPr>
        <w:tab/>
      </w:r>
      <w:r w:rsidRPr="00026119">
        <w:rPr>
          <w:i/>
          <w:lang w:val="en-US"/>
        </w:rPr>
        <w:t>International Standard IEC 60027:</w:t>
      </w:r>
      <w:r w:rsidRPr="00026119">
        <w:rPr>
          <w:lang w:val="en-US"/>
        </w:rPr>
        <w:t xml:space="preserve"> </w:t>
      </w:r>
      <w:r w:rsidR="00EA7606" w:rsidRPr="00026119">
        <w:rPr>
          <w:lang w:val="en-US"/>
        </w:rPr>
        <w:t>“</w:t>
      </w:r>
      <w:r w:rsidRPr="00026119">
        <w:rPr>
          <w:iCs/>
          <w:lang w:val="en-US"/>
        </w:rPr>
        <w:t>Letter symbols to be used in electrical technology</w:t>
      </w:r>
      <w:r w:rsidR="00EA7606" w:rsidRPr="00026119">
        <w:rPr>
          <w:lang w:val="en-US"/>
        </w:rPr>
        <w:t>”</w:t>
      </w:r>
    </w:p>
    <w:p w:rsidR="00026119" w:rsidRDefault="00026119" w:rsidP="00026119"/>
    <w:p w:rsidR="00352412" w:rsidRDefault="00352412" w:rsidP="00026119"/>
    <w:p w:rsidR="00026119" w:rsidRPr="00026119" w:rsidRDefault="00026119" w:rsidP="00DB7180">
      <w:pPr>
        <w:pStyle w:val="Line"/>
      </w:pPr>
    </w:p>
    <w:sectPr w:rsidR="00026119" w:rsidRPr="00026119" w:rsidSect="00DB7180">
      <w:headerReference w:type="even" r:id="rId12"/>
      <w:headerReference w:type="default" r:id="rId13"/>
      <w:pgSz w:w="11907" w:h="16834" w:code="9"/>
      <w:pgMar w:top="1418" w:right="1134" w:bottom="1134" w:left="1134" w:header="720" w:footer="482" w:gutter="0"/>
      <w:paperSrc w:first="15" w:other="15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26119" w:rsidRDefault="00026119">
      <w:r>
        <w:separator/>
      </w:r>
    </w:p>
  </w:endnote>
  <w:endnote w:type="continuationSeparator" w:id="0">
    <w:p w:rsidR="00026119" w:rsidRDefault="000261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26119" w:rsidRDefault="00026119">
      <w:r>
        <w:separator/>
      </w:r>
    </w:p>
  </w:footnote>
  <w:footnote w:type="continuationSeparator" w:id="0">
    <w:p w:rsidR="00026119" w:rsidRDefault="0002611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26119" w:rsidRDefault="00026119">
    <w:pPr>
      <w:pStyle w:val="Header"/>
      <w:ind w:right="360"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26119" w:rsidRDefault="00026119" w:rsidP="00B033C8">
    <w:pPr>
      <w:pStyle w:val="Header"/>
      <w:ind w:right="360" w:firstLine="360"/>
    </w:pPr>
    <w:r>
      <w:rPr>
        <w:noProof/>
        <w:lang w:val="en-US" w:eastAsia="zh-CN"/>
      </w:rPr>
      <w:drawing>
        <wp:anchor distT="0" distB="0" distL="114300" distR="114300" simplePos="0" relativeHeight="251659264" behindDoc="0" locked="0" layoutInCell="1" allowOverlap="1" wp14:anchorId="4EAF7D93" wp14:editId="3D71497E">
          <wp:simplePos x="0" y="0"/>
          <wp:positionH relativeFrom="margin">
            <wp:posOffset>0</wp:posOffset>
          </wp:positionH>
          <wp:positionV relativeFrom="margin">
            <wp:posOffset>8754745</wp:posOffset>
          </wp:positionV>
          <wp:extent cx="1247775" cy="935831"/>
          <wp:effectExtent l="0" t="0" r="0" b="0"/>
          <wp:wrapSquare wrapText="bothSides"/>
          <wp:docPr id="59" name="Picture 5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150logo-Blue01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47775" cy="93583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US" w:eastAsia="zh-CN"/>
      </w:rPr>
      <w:drawing>
        <wp:anchor distT="0" distB="0" distL="114300" distR="114300" simplePos="0" relativeHeight="251657216" behindDoc="1" locked="0" layoutInCell="1" allowOverlap="1" wp14:anchorId="3E1D3F7D" wp14:editId="03197AA7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78725" cy="10724515"/>
          <wp:effectExtent l="19050" t="0" r="3175" b="0"/>
          <wp:wrapNone/>
          <wp:docPr id="7" name="Picture 7" descr="rec_maquette-2009-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rec_maquette-2009-2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8725" cy="107245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26119" w:rsidRPr="00026119" w:rsidRDefault="00026119">
    <w:pPr>
      <w:pStyle w:val="Header"/>
      <w:jc w:val="left"/>
      <w:rPr>
        <w:lang w:val="fr-CH"/>
      </w:rPr>
    </w:pPr>
    <w:r>
      <w:rPr>
        <w:rStyle w:val="PageNumber"/>
        <w:b/>
        <w:bCs/>
      </w:rPr>
      <w:fldChar w:fldCharType="begin"/>
    </w:r>
    <w:r w:rsidRPr="00026119">
      <w:rPr>
        <w:rStyle w:val="PageNumber"/>
        <w:b/>
        <w:bCs/>
        <w:lang w:val="fr-CH"/>
      </w:rPr>
      <w:instrText xml:space="preserve"> PAGE </w:instrText>
    </w:r>
    <w:r>
      <w:rPr>
        <w:rStyle w:val="PageNumber"/>
        <w:b/>
        <w:bCs/>
      </w:rPr>
      <w:fldChar w:fldCharType="separate"/>
    </w:r>
    <w:r w:rsidR="00F41B71">
      <w:rPr>
        <w:rStyle w:val="PageNumber"/>
        <w:b/>
        <w:bCs/>
        <w:noProof/>
        <w:lang w:val="fr-CH"/>
      </w:rPr>
      <w:t>ii</w:t>
    </w:r>
    <w:r>
      <w:rPr>
        <w:rStyle w:val="PageNumber"/>
        <w:b/>
        <w:bCs/>
      </w:rPr>
      <w:fldChar w:fldCharType="end"/>
    </w:r>
    <w:r w:rsidRPr="00026119">
      <w:rPr>
        <w:lang w:val="fr-CH"/>
      </w:rPr>
      <w:tab/>
    </w:r>
    <w:fldSimple w:instr=" DOCPROPERTY &quot;Header&quot; \* MERGEFORMAT ">
      <w:r w:rsidR="00F41B71" w:rsidRPr="00F41B71">
        <w:rPr>
          <w:b/>
          <w:bCs/>
          <w:lang w:val="fr-CH"/>
        </w:rPr>
        <w:t xml:space="preserve">Rec. </w:t>
      </w:r>
    </w:fldSimple>
    <w:r>
      <w:rPr>
        <w:b/>
        <w:bCs/>
      </w:rPr>
      <w:t xml:space="preserve"> </w:t>
    </w:r>
    <w:r>
      <w:rPr>
        <w:b/>
        <w:bCs/>
      </w:rPr>
      <w:fldChar w:fldCharType="begin"/>
    </w:r>
    <w:r w:rsidRPr="00026119">
      <w:rPr>
        <w:b/>
        <w:bCs/>
        <w:lang w:val="fr-CH"/>
      </w:rPr>
      <w:instrText>styleref href</w:instrText>
    </w:r>
    <w:r>
      <w:rPr>
        <w:b/>
        <w:bCs/>
      </w:rPr>
      <w:fldChar w:fldCharType="separate"/>
    </w:r>
    <w:r w:rsidR="00F41B71">
      <w:rPr>
        <w:b/>
        <w:bCs/>
        <w:noProof/>
      </w:rPr>
      <w:t>ITU-R  V.430-4</w:t>
    </w:r>
    <w:r>
      <w:rPr>
        <w:b/>
        <w:bCs/>
      </w:rPr>
      <w:fldChar w:fldCharType="end"/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26119" w:rsidRDefault="00026119">
    <w:pPr>
      <w:pStyle w:val="Header"/>
    </w:pPr>
    <w:r>
      <w:tab/>
    </w:r>
    <w:fldSimple w:instr=" DOCPROPERTY &quot;Header&quot; \* MERGEFORMAT ">
      <w:r w:rsidR="00F41B71" w:rsidRPr="00F41B71">
        <w:rPr>
          <w:b/>
          <w:bCs/>
        </w:rPr>
        <w:t xml:space="preserve">Rec. </w:t>
      </w:r>
    </w:fldSimple>
    <w:r>
      <w:rPr>
        <w:b/>
        <w:bCs/>
      </w:rPr>
      <w:t xml:space="preserve">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 w:rsidR="00F41B71">
      <w:rPr>
        <w:b/>
        <w:bCs/>
        <w:noProof/>
      </w:rPr>
      <w:t>ITU-R  V.430-4</w:t>
    </w:r>
    <w:r>
      <w:rPr>
        <w:b/>
        <w:bCs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>
      <w:rPr>
        <w:rStyle w:val="PageNumber"/>
        <w:b/>
        <w:bCs/>
        <w:noProof/>
      </w:rPr>
      <w:t>1</w:t>
    </w:r>
    <w:r>
      <w:rPr>
        <w:rStyle w:val="PageNumber"/>
        <w:b/>
        <w:bCs/>
      </w:rPr>
      <w:fldChar w:fldCharType="end"/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7D68" w:rsidRDefault="00607D68">
    <w:pPr>
      <w:pStyle w:val="Header"/>
      <w:jc w:val="left"/>
      <w:rPr>
        <w:lang w:val="en-US"/>
      </w:rPr>
    </w:pPr>
    <w:r>
      <w:rPr>
        <w:rStyle w:val="PageNumber"/>
        <w:b/>
        <w:bCs/>
      </w:rPr>
      <w:fldChar w:fldCharType="begin"/>
    </w:r>
    <w:r>
      <w:rPr>
        <w:rStyle w:val="PageNumber"/>
        <w:b/>
        <w:bCs/>
        <w:lang w:val="en-US"/>
      </w:rPr>
      <w:instrText xml:space="preserve"> PAGE </w:instrText>
    </w:r>
    <w:r>
      <w:rPr>
        <w:rStyle w:val="PageNumber"/>
        <w:b/>
        <w:bCs/>
      </w:rPr>
      <w:fldChar w:fldCharType="separate"/>
    </w:r>
    <w:r w:rsidR="00F41B71">
      <w:rPr>
        <w:rStyle w:val="PageNumber"/>
        <w:b/>
        <w:bCs/>
        <w:noProof/>
        <w:lang w:val="en-US"/>
      </w:rPr>
      <w:t>2</w:t>
    </w:r>
    <w:r>
      <w:rPr>
        <w:rStyle w:val="PageNumber"/>
        <w:b/>
        <w:bCs/>
      </w:rPr>
      <w:fldChar w:fldCharType="end"/>
    </w:r>
    <w:r>
      <w:rPr>
        <w:lang w:val="en-US"/>
      </w:rPr>
      <w:tab/>
    </w:r>
    <w:r w:rsidR="009E00A8">
      <w:fldChar w:fldCharType="begin"/>
    </w:r>
    <w:r w:rsidR="009E00A8" w:rsidRPr="009E00A8">
      <w:rPr>
        <w:lang w:val="en-US"/>
      </w:rPr>
      <w:instrText xml:space="preserve"> DOCPROPERTY "Header" \* MERGEFORMAT </w:instrText>
    </w:r>
    <w:r w:rsidR="009E00A8">
      <w:fldChar w:fldCharType="separate"/>
    </w:r>
    <w:r w:rsidR="00F41B71" w:rsidRPr="00F41B71">
      <w:rPr>
        <w:b/>
        <w:bCs/>
        <w:lang w:val="en-US"/>
      </w:rPr>
      <w:t xml:space="preserve">Rec. </w:t>
    </w:r>
    <w:r w:rsidR="009E00A8">
      <w:rPr>
        <w:b/>
        <w:bCs/>
        <w:lang w:val="en-US"/>
      </w:rPr>
      <w:fldChar w:fldCharType="end"/>
    </w:r>
    <w:r w:rsidRPr="009E00A8">
      <w:rPr>
        <w:b/>
        <w:bCs/>
        <w:lang w:val="en-US"/>
      </w:rPr>
      <w:t xml:space="preserve"> </w:t>
    </w:r>
    <w:r>
      <w:rPr>
        <w:b/>
        <w:bCs/>
      </w:rPr>
      <w:fldChar w:fldCharType="begin"/>
    </w:r>
    <w:r>
      <w:rPr>
        <w:b/>
        <w:bCs/>
        <w:lang w:val="en-US"/>
      </w:rPr>
      <w:instrText>styleref href</w:instrText>
    </w:r>
    <w:r>
      <w:rPr>
        <w:b/>
        <w:bCs/>
      </w:rPr>
      <w:fldChar w:fldCharType="separate"/>
    </w:r>
    <w:r w:rsidR="00F41B71">
      <w:rPr>
        <w:b/>
        <w:bCs/>
        <w:noProof/>
      </w:rPr>
      <w:t>ITU-R  V.430-4</w:t>
    </w:r>
    <w:r>
      <w:rPr>
        <w:b/>
        <w:bCs/>
      </w:rPr>
      <w:fldChar w:fldCharType="end"/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7D68" w:rsidRDefault="00607D68">
    <w:pPr>
      <w:pStyle w:val="Header"/>
    </w:pPr>
    <w:r>
      <w:tab/>
    </w:r>
    <w:fldSimple w:instr=" DOCPROPERTY &quot;Header&quot; \* MERGEFORMAT ">
      <w:r w:rsidR="00F41B71" w:rsidRPr="00F41B71">
        <w:rPr>
          <w:b/>
          <w:bCs/>
        </w:rPr>
        <w:t xml:space="preserve">Rec. </w:t>
      </w:r>
    </w:fldSimple>
    <w:r>
      <w:rPr>
        <w:b/>
        <w:bCs/>
      </w:rPr>
      <w:t xml:space="preserve">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 w:rsidR="00F41B71">
      <w:rPr>
        <w:b/>
        <w:bCs/>
        <w:noProof/>
      </w:rPr>
      <w:t>ITU-R  V.430-4</w:t>
    </w:r>
    <w:r>
      <w:rPr>
        <w:b/>
        <w:bCs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F41B71">
      <w:rPr>
        <w:rStyle w:val="PageNumber"/>
        <w:b/>
        <w:bCs/>
        <w:noProof/>
      </w:rPr>
      <w:t>1</w:t>
    </w:r>
    <w:r>
      <w:rPr>
        <w:rStyle w:val="PageNumber"/>
        <w:b/>
        <w:bCs/>
      </w:rPr>
      <w:fldChar w:fldCharType="end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10"/>
  <w:displayBackgroundShape/>
  <w:embedSystemFonts/>
  <w:mirrorMargins/>
  <w:hideSpellingErrors/>
  <w:hideGrammaticalErrors/>
  <w:activeWritingStyle w:appName="MSWord" w:lang="en-US" w:vendorID="64" w:dllVersion="131077" w:nlCheck="1" w:checkStyle="0"/>
  <w:activeWritingStyle w:appName="MSWord" w:lang="en-US" w:vendorID="64" w:dllVersion="131078" w:nlCheck="1" w:checkStyle="1"/>
  <w:activeWritingStyle w:appName="MSWord" w:lang="fr-FR" w:vendorID="64" w:dllVersion="131078" w:nlCheck="1" w:checkStyle="1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evenAndOddHeaders/>
  <w:noPunctuationKerning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6119"/>
    <w:rsid w:val="00026119"/>
    <w:rsid w:val="001F64D3"/>
    <w:rsid w:val="00217EBF"/>
    <w:rsid w:val="00242AEE"/>
    <w:rsid w:val="002C1A83"/>
    <w:rsid w:val="002D76C4"/>
    <w:rsid w:val="00352412"/>
    <w:rsid w:val="0052529D"/>
    <w:rsid w:val="00607D68"/>
    <w:rsid w:val="007468DA"/>
    <w:rsid w:val="00880B31"/>
    <w:rsid w:val="009E00A8"/>
    <w:rsid w:val="00A277D0"/>
    <w:rsid w:val="00A54BF5"/>
    <w:rsid w:val="00A6617B"/>
    <w:rsid w:val="00AB0DC8"/>
    <w:rsid w:val="00B44E24"/>
    <w:rsid w:val="00DB7180"/>
    <w:rsid w:val="00DF4176"/>
    <w:rsid w:val="00E67D7D"/>
    <w:rsid w:val="00EA7606"/>
    <w:rsid w:val="00F41B71"/>
    <w:rsid w:val="00FC7A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ity"/>
  <w:smartTagType w:namespaceuri="urn:schemas-microsoft-com:office:smarttags" w:name="State"/>
  <w:shapeDefaults>
    <o:shapedefaults v:ext="edit" spidmax="1026"/>
    <o:shapelayout v:ext="edit">
      <o:idmap v:ext="edit" data="1"/>
    </o:shapelayout>
  </w:shapeDefaults>
  <w:decimalSymbol w:val="."/>
  <w:listSeparator w:val=";"/>
  <w15:docId w15:val="{0A7D13B7-5A4B-4708-9EFA-D71A6EA2F7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26119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4"/>
      <w:lang w:val="fr-FR" w:eastAsia="en-US"/>
    </w:rPr>
  </w:style>
  <w:style w:type="paragraph" w:styleId="Heading1">
    <w:name w:val="heading 1"/>
    <w:basedOn w:val="Normal"/>
    <w:next w:val="Normal"/>
    <w:link w:val="Heading1Char"/>
    <w:qFormat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pPr>
      <w:spacing w:before="320"/>
      <w:outlineLvl w:val="1"/>
    </w:pPr>
  </w:style>
  <w:style w:type="paragraph" w:styleId="Heading3">
    <w:name w:val="heading 3"/>
    <w:basedOn w:val="Heading1"/>
    <w:next w:val="Normal"/>
    <w:qFormat/>
    <w:pPr>
      <w:spacing w:before="200"/>
      <w:outlineLvl w:val="2"/>
    </w:pPr>
  </w:style>
  <w:style w:type="paragraph" w:styleId="Heading4">
    <w:name w:val="heading 4"/>
    <w:basedOn w:val="Heading3"/>
    <w:next w:val="Normal"/>
    <w:qFormat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pPr>
      <w:outlineLvl w:val="4"/>
    </w:pPr>
  </w:style>
  <w:style w:type="paragraph" w:styleId="Heading6">
    <w:name w:val="heading 6"/>
    <w:basedOn w:val="Heading4"/>
    <w:next w:val="Normal"/>
    <w:qFormat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pPr>
      <w:outlineLvl w:val="6"/>
    </w:pPr>
  </w:style>
  <w:style w:type="paragraph" w:styleId="Heading8">
    <w:name w:val="heading 8"/>
    <w:basedOn w:val="Heading6"/>
    <w:next w:val="Normal"/>
    <w:qFormat/>
    <w:pPr>
      <w:outlineLvl w:val="7"/>
    </w:pPr>
  </w:style>
  <w:style w:type="paragraph" w:styleId="Heading9">
    <w:name w:val="heading 9"/>
    <w:basedOn w:val="Heading6"/>
    <w:next w:val="Normal"/>
    <w:qFormat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</w:style>
  <w:style w:type="paragraph" w:customStyle="1" w:styleId="Headingb">
    <w:name w:val="Heading_b"/>
    <w:basedOn w:val="Heading3"/>
    <w:next w:val="Normal"/>
    <w:link w:val="HeadingbChar"/>
    <w:qFormat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</w:style>
  <w:style w:type="paragraph" w:customStyle="1" w:styleId="enumlev1">
    <w:name w:val="enumlev1"/>
    <w:basedOn w:val="Normal"/>
    <w:link w:val="enumlev1Char"/>
    <w:pPr>
      <w:spacing w:before="80"/>
      <w:ind w:left="794" w:hanging="794"/>
    </w:pPr>
  </w:style>
  <w:style w:type="paragraph" w:customStyle="1" w:styleId="enumlev2">
    <w:name w:val="enumlev2"/>
    <w:basedOn w:val="enumlev1"/>
    <w:pPr>
      <w:ind w:left="1191" w:hanging="397"/>
    </w:pPr>
  </w:style>
  <w:style w:type="paragraph" w:customStyle="1" w:styleId="enumlev3">
    <w:name w:val="enumlev3"/>
    <w:basedOn w:val="enumlev2"/>
    <w:pPr>
      <w:ind w:left="1588"/>
    </w:pPr>
  </w:style>
  <w:style w:type="paragraph" w:customStyle="1" w:styleId="Normalaftertitle">
    <w:name w:val="Normal_after_title"/>
    <w:basedOn w:val="Normal"/>
    <w:next w:val="Normal"/>
    <w:pPr>
      <w:spacing w:before="320"/>
    </w:pPr>
  </w:style>
  <w:style w:type="paragraph" w:customStyle="1" w:styleId="Note">
    <w:name w:val="Note"/>
    <w:basedOn w:val="Normal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2"/>
    </w:rPr>
  </w:style>
  <w:style w:type="paragraph" w:customStyle="1" w:styleId="RecNo">
    <w:name w:val="Rec_No"/>
    <w:basedOn w:val="Normal"/>
    <w:next w:val="Rectitl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8"/>
    </w:rPr>
  </w:style>
  <w:style w:type="paragraph" w:customStyle="1" w:styleId="HeadingSum">
    <w:name w:val="Heading_Sum"/>
    <w:basedOn w:val="Headingb"/>
    <w:next w:val="Normal"/>
    <w:autoRedefine/>
    <w:rsid w:val="00242AEE"/>
    <w:pPr>
      <w:spacing w:before="240"/>
    </w:pPr>
    <w:rPr>
      <w:sz w:val="22"/>
      <w:lang w:val="es-ES_tradnl"/>
    </w:rPr>
  </w:style>
  <w:style w:type="paragraph" w:customStyle="1" w:styleId="Recref">
    <w:name w:val="Rec_ref"/>
    <w:basedOn w:val="Normal"/>
    <w:next w:val="Recdate"/>
    <w:pPr>
      <w:jc w:val="center"/>
    </w:pPr>
  </w:style>
  <w:style w:type="paragraph" w:customStyle="1" w:styleId="Recdate">
    <w:name w:val="Rec_date"/>
    <w:basedOn w:val="Recref"/>
    <w:next w:val="Normalaftertitle"/>
    <w:pPr>
      <w:jc w:val="right"/>
    </w:pPr>
  </w:style>
  <w:style w:type="paragraph" w:customStyle="1" w:styleId="AnnexNoTitle">
    <w:name w:val="Annex_NoTitle"/>
    <w:basedOn w:val="Normal"/>
    <w:next w:val="Normalaftertitle"/>
    <w:pPr>
      <w:keepNext/>
      <w:keepLines/>
      <w:spacing w:before="480" w:after="80"/>
      <w:jc w:val="center"/>
    </w:pPr>
    <w:rPr>
      <w:b/>
      <w:sz w:val="28"/>
    </w:rPr>
  </w:style>
  <w:style w:type="paragraph" w:customStyle="1" w:styleId="AppendixNoTitle">
    <w:name w:val="Appendix_NoTitle"/>
    <w:basedOn w:val="AnnexNoTitle"/>
    <w:next w:val="Normal"/>
  </w:style>
  <w:style w:type="paragraph" w:customStyle="1" w:styleId="Tablefin">
    <w:name w:val="Table_fin"/>
    <w:basedOn w:val="Normal"/>
    <w:next w:val="Normal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2"/>
    </w:rPr>
  </w:style>
  <w:style w:type="paragraph" w:customStyle="1" w:styleId="Tablelegend">
    <w:name w:val="Table_legend"/>
    <w:basedOn w:val="Normal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2"/>
    </w:rPr>
  </w:style>
  <w:style w:type="paragraph" w:customStyle="1" w:styleId="TableNo">
    <w:name w:val="Table_No"/>
    <w:basedOn w:val="Normal"/>
    <w:next w:val="Normal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2"/>
    </w:rPr>
  </w:style>
  <w:style w:type="paragraph" w:customStyle="1" w:styleId="Equation">
    <w:name w:val="Equation"/>
    <w:basedOn w:val="Normal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pPr>
      <w:ind w:left="794"/>
    </w:pPr>
  </w:style>
  <w:style w:type="paragraph" w:customStyle="1" w:styleId="Figurelegend">
    <w:name w:val="Figure_legend"/>
    <w:basedOn w:val="Normal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rsid w:val="00DF4176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tocpart">
    <w:name w:val="tocpart"/>
    <w:basedOn w:val="Normal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pPr>
      <w:keepNext/>
      <w:keepLines/>
      <w:spacing w:before="480"/>
      <w:jc w:val="center"/>
    </w:pPr>
    <w:rPr>
      <w:sz w:val="28"/>
    </w:rPr>
  </w:style>
  <w:style w:type="paragraph" w:customStyle="1" w:styleId="Arttitle">
    <w:name w:val="Art_title"/>
    <w:basedOn w:val="Normal"/>
    <w:next w:val="Normalaftertitle"/>
    <w:pPr>
      <w:keepNext/>
      <w:keepLines/>
      <w:spacing w:before="240"/>
      <w:jc w:val="center"/>
    </w:pPr>
    <w:rPr>
      <w:b/>
      <w:sz w:val="28"/>
    </w:rPr>
  </w:style>
  <w:style w:type="paragraph" w:customStyle="1" w:styleId="Blanc">
    <w:name w:val="Blanc"/>
    <w:basedOn w:val="Normal"/>
    <w:next w:val="Tabletext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link w:val="CallChar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Pr>
      <w:b/>
    </w:rPr>
  </w:style>
  <w:style w:type="paragraph" w:customStyle="1" w:styleId="Chaptitle">
    <w:name w:val="Chap_title"/>
    <w:basedOn w:val="Arttitle"/>
    <w:next w:val="Normalaftertitle"/>
  </w:style>
  <w:style w:type="character" w:styleId="FootnoteReference">
    <w:name w:val="footnote reference"/>
    <w:basedOn w:val="DefaultParagraphFont"/>
    <w:semiHidden/>
    <w:rPr>
      <w:position w:val="6"/>
      <w:sz w:val="18"/>
    </w:rPr>
  </w:style>
  <w:style w:type="paragraph" w:styleId="FootnoteText">
    <w:name w:val="footnote text"/>
    <w:basedOn w:val="Normal"/>
    <w:semiHidden/>
    <w:pPr>
      <w:keepLines/>
      <w:tabs>
        <w:tab w:val="left" w:pos="255"/>
      </w:tabs>
      <w:ind w:left="255" w:hanging="255"/>
    </w:pPr>
    <w:rPr>
      <w:sz w:val="22"/>
    </w:rPr>
  </w:style>
  <w:style w:type="paragraph" w:styleId="Index1">
    <w:name w:val="index 1"/>
    <w:basedOn w:val="Normal"/>
    <w:next w:val="Normal"/>
    <w:semiHidden/>
  </w:style>
  <w:style w:type="paragraph" w:styleId="Index2">
    <w:name w:val="index 2"/>
    <w:basedOn w:val="Normal"/>
    <w:next w:val="Normal"/>
    <w:semiHidden/>
    <w:pPr>
      <w:ind w:left="283"/>
    </w:pPr>
  </w:style>
  <w:style w:type="paragraph" w:styleId="Index3">
    <w:name w:val="index 3"/>
    <w:basedOn w:val="Normal"/>
    <w:next w:val="Normal"/>
    <w:semiHidden/>
    <w:pPr>
      <w:ind w:left="566"/>
    </w:pPr>
  </w:style>
  <w:style w:type="paragraph" w:styleId="IndexHeading">
    <w:name w:val="index heading"/>
    <w:basedOn w:val="Normal"/>
    <w:next w:val="Index1"/>
    <w:semiHidden/>
  </w:style>
  <w:style w:type="paragraph" w:customStyle="1" w:styleId="Line">
    <w:name w:val="Line"/>
    <w:basedOn w:val="Normal"/>
    <w:next w:val="Normal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</w:style>
  <w:style w:type="paragraph" w:customStyle="1" w:styleId="Partref">
    <w:name w:val="Part_ref"/>
    <w:basedOn w:val="Normal"/>
    <w:next w:val="Normal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Questiondate">
    <w:name w:val="Question_date"/>
    <w:basedOn w:val="Recdate"/>
    <w:next w:val="Normalaftertitle"/>
  </w:style>
  <w:style w:type="paragraph" w:customStyle="1" w:styleId="QuestionNo">
    <w:name w:val="Question_No"/>
    <w:basedOn w:val="RecNo"/>
    <w:next w:val="Normal"/>
  </w:style>
  <w:style w:type="paragraph" w:customStyle="1" w:styleId="Questionref">
    <w:name w:val="Question_ref"/>
    <w:basedOn w:val="Recref"/>
    <w:next w:val="Questiondate"/>
  </w:style>
  <w:style w:type="paragraph" w:customStyle="1" w:styleId="Questiontitle">
    <w:name w:val="Question_title"/>
    <w:basedOn w:val="Normal"/>
    <w:next w:val="Questionref"/>
  </w:style>
  <w:style w:type="paragraph" w:customStyle="1" w:styleId="Reftext">
    <w:name w:val="Ref_text"/>
    <w:basedOn w:val="Normal"/>
    <w:pPr>
      <w:ind w:left="794" w:hanging="794"/>
    </w:pPr>
    <w:rPr>
      <w:sz w:val="22"/>
    </w:rPr>
  </w:style>
  <w:style w:type="paragraph" w:customStyle="1" w:styleId="Reftitle">
    <w:name w:val="Ref_title"/>
    <w:basedOn w:val="Normal"/>
    <w:next w:val="Reftext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8"/>
    </w:rPr>
  </w:style>
  <w:style w:type="paragraph" w:customStyle="1" w:styleId="Repdate">
    <w:name w:val="Rep_date"/>
    <w:basedOn w:val="Recdate"/>
    <w:next w:val="Normal"/>
  </w:style>
  <w:style w:type="paragraph" w:customStyle="1" w:styleId="RepNo">
    <w:name w:val="Rep_No"/>
    <w:basedOn w:val="RecNo"/>
    <w:next w:val="Reptitle"/>
  </w:style>
  <w:style w:type="paragraph" w:customStyle="1" w:styleId="Repref">
    <w:name w:val="Rep_ref"/>
    <w:basedOn w:val="Recref"/>
    <w:next w:val="Repdate"/>
  </w:style>
  <w:style w:type="paragraph" w:customStyle="1" w:styleId="Reptitle">
    <w:name w:val="Rep_title"/>
    <w:basedOn w:val="Rectitle"/>
    <w:next w:val="Repref"/>
  </w:style>
  <w:style w:type="paragraph" w:customStyle="1" w:styleId="Resdate">
    <w:name w:val="Res_date"/>
    <w:basedOn w:val="Recdate"/>
    <w:next w:val="Normalaftertitle"/>
  </w:style>
  <w:style w:type="paragraph" w:customStyle="1" w:styleId="ResNo">
    <w:name w:val="Res_No"/>
    <w:basedOn w:val="RecNo"/>
    <w:next w:val="Restitle"/>
  </w:style>
  <w:style w:type="paragraph" w:customStyle="1" w:styleId="Resref">
    <w:name w:val="Res_ref"/>
    <w:basedOn w:val="Recref"/>
    <w:next w:val="Resdate"/>
  </w:style>
  <w:style w:type="paragraph" w:customStyle="1" w:styleId="Restitle">
    <w:name w:val="Res_title"/>
    <w:basedOn w:val="Normal"/>
    <w:next w:val="Resref"/>
    <w:rsid w:val="00AB0DC8"/>
    <w:pPr>
      <w:spacing w:before="240"/>
      <w:jc w:val="center"/>
    </w:pPr>
    <w:rPr>
      <w:b/>
      <w:sz w:val="28"/>
    </w:rPr>
  </w:style>
  <w:style w:type="paragraph" w:customStyle="1" w:styleId="SectionNo">
    <w:name w:val="Section_No"/>
    <w:basedOn w:val="Normal"/>
    <w:next w:val="Normal"/>
  </w:style>
  <w:style w:type="paragraph" w:customStyle="1" w:styleId="Sectiontitle">
    <w:name w:val="Section_title"/>
    <w:basedOn w:val="Normal"/>
    <w:next w:val="Normalaftertitl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toc0">
    <w:name w:val="toc 0"/>
    <w:basedOn w:val="Normal"/>
    <w:next w:val="TOC1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</w:style>
  <w:style w:type="paragraph" w:styleId="TOC6">
    <w:name w:val="toc 6"/>
    <w:basedOn w:val="TOC4"/>
    <w:semiHidden/>
  </w:style>
  <w:style w:type="paragraph" w:styleId="TOC7">
    <w:name w:val="toc 7"/>
    <w:basedOn w:val="TOC4"/>
    <w:semiHidden/>
  </w:style>
  <w:style w:type="paragraph" w:styleId="TOC8">
    <w:name w:val="toc 8"/>
    <w:basedOn w:val="TOC4"/>
    <w:semiHidden/>
  </w:style>
  <w:style w:type="paragraph" w:customStyle="1" w:styleId="Rectitle">
    <w:name w:val="Rec_title"/>
    <w:basedOn w:val="Normal"/>
    <w:next w:val="Recref"/>
    <w:pPr>
      <w:keepNext/>
      <w:keepLines/>
      <w:spacing w:before="240"/>
      <w:jc w:val="center"/>
    </w:pPr>
    <w:rPr>
      <w:b/>
      <w:sz w:val="28"/>
    </w:rPr>
  </w:style>
  <w:style w:type="paragraph" w:customStyle="1" w:styleId="Annexref">
    <w:name w:val="Annex_ref"/>
    <w:basedOn w:val="Normal"/>
    <w:next w:val="Normalaftertitle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</w:style>
  <w:style w:type="paragraph" w:customStyle="1" w:styleId="Figuretitle">
    <w:name w:val="Figure_title"/>
    <w:basedOn w:val="Normal"/>
    <w:next w:val="Figure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Tabletitle">
    <w:name w:val="Table_title"/>
    <w:basedOn w:val="Normal"/>
    <w:next w:val="Tablehead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autoRedefine/>
    <w:rsid w:val="00242AEE"/>
    <w:pPr>
      <w:spacing w:after="480"/>
    </w:pPr>
    <w:rPr>
      <w:sz w:val="22"/>
      <w:lang w:val="es-ES_tradnl"/>
    </w:rPr>
  </w:style>
  <w:style w:type="paragraph" w:customStyle="1" w:styleId="TableLegendNote">
    <w:name w:val="Table_Legend_Note"/>
    <w:basedOn w:val="Tablelegend"/>
    <w:next w:val="Tablelegend"/>
    <w:rsid w:val="007468DA"/>
    <w:pPr>
      <w:ind w:left="-85" w:firstLine="0"/>
    </w:pPr>
    <w:rPr>
      <w:lang w:val="en-US"/>
    </w:rPr>
  </w:style>
  <w:style w:type="paragraph" w:customStyle="1" w:styleId="Figure">
    <w:name w:val="Figure"/>
    <w:basedOn w:val="FigureNo"/>
    <w:next w:val="Normal"/>
    <w:rsid w:val="00A6617B"/>
    <w:pPr>
      <w:keepNext w:val="0"/>
      <w:spacing w:before="0" w:after="240"/>
    </w:pPr>
  </w:style>
  <w:style w:type="character" w:customStyle="1" w:styleId="Heading1Char">
    <w:name w:val="Heading 1 Char"/>
    <w:basedOn w:val="DefaultParagraphFont"/>
    <w:link w:val="Heading1"/>
    <w:rsid w:val="00026119"/>
    <w:rPr>
      <w:b/>
      <w:sz w:val="24"/>
      <w:lang w:val="fr-FR" w:eastAsia="en-US"/>
    </w:rPr>
  </w:style>
  <w:style w:type="character" w:customStyle="1" w:styleId="HeaderChar">
    <w:name w:val="Header Char"/>
    <w:basedOn w:val="DefaultParagraphFont"/>
    <w:link w:val="Header"/>
    <w:rsid w:val="00026119"/>
    <w:rPr>
      <w:sz w:val="24"/>
      <w:lang w:val="fr-FR" w:eastAsia="en-US"/>
    </w:rPr>
  </w:style>
  <w:style w:type="character" w:styleId="Hyperlink">
    <w:name w:val="Hyperlink"/>
    <w:basedOn w:val="DefaultParagraphFont"/>
    <w:rsid w:val="00026119"/>
    <w:rPr>
      <w:color w:val="0000FF"/>
      <w:u w:val="single"/>
    </w:rPr>
  </w:style>
  <w:style w:type="character" w:customStyle="1" w:styleId="enumlev1Char">
    <w:name w:val="enumlev1 Char"/>
    <w:basedOn w:val="DefaultParagraphFont"/>
    <w:link w:val="enumlev1"/>
    <w:rsid w:val="00026119"/>
    <w:rPr>
      <w:sz w:val="24"/>
      <w:lang w:val="fr-FR" w:eastAsia="en-US"/>
    </w:rPr>
  </w:style>
  <w:style w:type="character" w:customStyle="1" w:styleId="HeadingbChar">
    <w:name w:val="Heading_b Char"/>
    <w:link w:val="Headingb"/>
    <w:locked/>
    <w:rsid w:val="00026119"/>
    <w:rPr>
      <w:b/>
      <w:sz w:val="24"/>
      <w:lang w:val="fr-FR" w:eastAsia="en-US"/>
    </w:rPr>
  </w:style>
  <w:style w:type="character" w:customStyle="1" w:styleId="CallChar">
    <w:name w:val="Call Char"/>
    <w:link w:val="Call"/>
    <w:locked/>
    <w:rsid w:val="00026119"/>
    <w:rPr>
      <w:i/>
      <w:sz w:val="24"/>
      <w:lang w:val="fr-FR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tu.int/ITU-R/go/patents/en" TargetMode="External"/><Relationship Id="rId13" Type="http://schemas.openxmlformats.org/officeDocument/2006/relationships/header" Target="header6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header" Target="header5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header" Target="header4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hyperlink" Target="http://www.itu.int/publ/R-REC/en" TargetMode="Externa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achetc\AppData\Roaming\Microsoft\Templates\QuickPub\BR_Rec_2005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BR_Rec_2005.dotm</Template>
  <TotalTime>9</TotalTime>
  <Pages>1</Pages>
  <Words>614</Words>
  <Characters>4041</Characters>
  <Application>Microsoft Office Word</Application>
  <DocSecurity>0</DocSecurity>
  <Lines>449</Lines>
  <Paragraphs>193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</vt:i4>
      </vt:variant>
    </vt:vector>
  </HeadingPairs>
  <TitlesOfParts>
    <vt:vector size="2" baseType="lpstr">
      <vt:lpstr>Template BR_Rec_2005.dot</vt:lpstr>
      <vt:lpstr>Policy on Intellectual Property Right (IPR)</vt:lpstr>
    </vt:vector>
  </TitlesOfParts>
  <Manager/>
  <Company>ITU</Company>
  <LinksUpToDate>false</LinksUpToDate>
  <CharactersWithSpaces>4462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Template BR_Rec_2005.dot</dc:title>
  <dc:subject/>
  <dc:creator>Bureau des radiocommunications de l'UIT (BR)</dc:creator>
  <cp:keywords/>
  <dc:description/>
  <cp:lastModifiedBy>Gachet, Christelle</cp:lastModifiedBy>
  <cp:revision>12</cp:revision>
  <cp:lastPrinted>2015-08-27T13:21:00Z</cp:lastPrinted>
  <dcterms:created xsi:type="dcterms:W3CDTF">2015-07-29T07:42:00Z</dcterms:created>
  <dcterms:modified xsi:type="dcterms:W3CDTF">2015-08-27T13:22:00Z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</Properties>
</file>