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9"/>
      </w:tblGrid>
      <w:tr w:rsidR="00B1717A" w:rsidRPr="001033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C560B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A2667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C560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1876</w:t>
            </w:r>
          </w:p>
          <w:p w:rsidR="00B1717A" w:rsidRPr="0010336F" w:rsidRDefault="00B1717A" w:rsidP="00C560B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C560B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C560B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390CCD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C560BD" w:rsidP="00C560B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Fuente de tiempo fiable para la autoridad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sello temporal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2666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A2667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proofErr w:type="spellStart"/>
            <w:r w:rsidR="00A2667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TF</w:t>
            </w:r>
            <w:proofErr w:type="spellEnd"/>
          </w:p>
          <w:p w:rsidR="00A2667E" w:rsidRDefault="00A2667E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Emisiones de frecuencias patrón</w:t>
            </w:r>
          </w:p>
          <w:p w:rsidR="00B1717A" w:rsidRPr="0010336F" w:rsidRDefault="00A2667E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y señales horarias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</w:t>
      </w:r>
      <w:proofErr w:type="spellStart"/>
      <w:r w:rsidRPr="00021E8A">
        <w:rPr>
          <w:szCs w:val="24"/>
          <w:lang w:val="es-ES_tradnl"/>
        </w:rPr>
        <w:t>IPR</w:t>
      </w:r>
      <w:proofErr w:type="spellEnd"/>
      <w:r w:rsidRPr="00021E8A">
        <w:rPr>
          <w:szCs w:val="24"/>
          <w:lang w:val="es-ES_tradnl"/>
        </w:rPr>
        <w:t>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 xml:space="preserve">La política del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 sobre Derechos de Propiedad Intelectual se describe en la Política Común de Patentes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T</w:t>
      </w:r>
      <w:proofErr w:type="spellEnd"/>
      <w:r w:rsidRPr="00021E8A">
        <w:rPr>
          <w:sz w:val="20"/>
          <w:lang w:val="es-ES_tradnl"/>
        </w:rPr>
        <w:t>/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>/ISO/</w:t>
      </w:r>
      <w:proofErr w:type="spellStart"/>
      <w:r w:rsidRPr="00021E8A">
        <w:rPr>
          <w:sz w:val="20"/>
          <w:lang w:val="es-ES_tradnl"/>
        </w:rPr>
        <w:t>CEI</w:t>
      </w:r>
      <w:proofErr w:type="spellEnd"/>
      <w:r w:rsidRPr="00021E8A">
        <w:rPr>
          <w:sz w:val="20"/>
          <w:lang w:val="es-ES_tradnl"/>
        </w:rPr>
        <w:t xml:space="preserve"> a la que se hace referencia en el Anexo 1 a la Resolución 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 xml:space="preserve">, donde también aparecen las Directrices para la implementación de la Política Común de Patentes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T</w:t>
      </w:r>
      <w:proofErr w:type="spellEnd"/>
      <w:r w:rsidRPr="00021E8A">
        <w:rPr>
          <w:sz w:val="20"/>
          <w:lang w:val="es-ES_tradnl"/>
        </w:rPr>
        <w:t>/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>/ISO/</w:t>
      </w:r>
      <w:proofErr w:type="spellStart"/>
      <w:r w:rsidRPr="00021E8A">
        <w:rPr>
          <w:sz w:val="20"/>
          <w:lang w:val="es-ES_tradnl"/>
        </w:rPr>
        <w:t>CEI</w:t>
      </w:r>
      <w:proofErr w:type="spellEnd"/>
      <w:r w:rsidRPr="00021E8A">
        <w:rPr>
          <w:sz w:val="20"/>
          <w:lang w:val="es-ES_tradnl"/>
        </w:rPr>
        <w:t xml:space="preserve"> y la base de datos sobre información de patentes del </w:t>
      </w:r>
      <w:proofErr w:type="spellStart"/>
      <w:r w:rsidRPr="00021E8A">
        <w:rPr>
          <w:sz w:val="20"/>
          <w:lang w:val="es-ES_tradnl"/>
        </w:rPr>
        <w:t>UIT</w:t>
      </w:r>
      <w:r w:rsidRPr="00021E8A">
        <w:rPr>
          <w:sz w:val="20"/>
          <w:lang w:val="es-ES_tradnl"/>
        </w:rPr>
        <w:noBreakHyphen/>
        <w:t>R</w:t>
      </w:r>
      <w:proofErr w:type="spellEnd"/>
      <w:r w:rsidRPr="00021E8A">
        <w:rPr>
          <w:sz w:val="20"/>
          <w:lang w:val="es-ES_tradnl"/>
        </w:rPr>
        <w:t xml:space="preserve">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B1717A" w:rsidRPr="00390CCD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B1717A" w:rsidRPr="00390CCD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847DD5">
              <w:rPr>
                <w:b w:val="0"/>
                <w:sz w:val="20"/>
              </w:rPr>
              <w:t>Servicio</w:t>
            </w:r>
            <w:proofErr w:type="spellEnd"/>
            <w:r w:rsidRPr="00847DD5">
              <w:rPr>
                <w:b w:val="0"/>
                <w:sz w:val="20"/>
              </w:rPr>
              <w:t xml:space="preserve"> de </w:t>
            </w:r>
            <w:proofErr w:type="spellStart"/>
            <w:r w:rsidRPr="00847DD5">
              <w:rPr>
                <w:b w:val="0"/>
                <w:sz w:val="20"/>
              </w:rPr>
              <w:t>radiodifusión</w:t>
            </w:r>
            <w:proofErr w:type="spellEnd"/>
            <w:r w:rsidRPr="00847DD5">
              <w:rPr>
                <w:b w:val="0"/>
                <w:sz w:val="20"/>
              </w:rPr>
              <w:t xml:space="preserve"> </w:t>
            </w:r>
            <w:proofErr w:type="spellStart"/>
            <w:r w:rsidRPr="00847DD5">
              <w:rPr>
                <w:b w:val="0"/>
                <w:sz w:val="20"/>
              </w:rPr>
              <w:t>sonora</w:t>
            </w:r>
            <w:proofErr w:type="spellEnd"/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B1717A" w:rsidRPr="00390CCD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390CCD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 xml:space="preserve">Radio </w:t>
            </w:r>
            <w:proofErr w:type="spellStart"/>
            <w:r w:rsidRPr="00DE71F7">
              <w:rPr>
                <w:sz w:val="20"/>
              </w:rPr>
              <w:t>astronomía</w:t>
            </w:r>
            <w:proofErr w:type="spellEnd"/>
          </w:p>
        </w:tc>
      </w:tr>
      <w:tr w:rsidR="00B1717A" w:rsidRPr="00390CCD" w:rsidTr="0002533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025336" w:rsidTr="00975A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5336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025336">
              <w:rPr>
                <w:sz w:val="20"/>
              </w:rPr>
              <w:t>Servicio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fijo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por</w:t>
            </w:r>
            <w:proofErr w:type="spellEnd"/>
            <w:r w:rsidRPr="00025336">
              <w:rPr>
                <w:sz w:val="20"/>
              </w:rPr>
              <w:t xml:space="preserve"> </w:t>
            </w:r>
            <w:proofErr w:type="spellStart"/>
            <w:r w:rsidRPr="00025336">
              <w:rPr>
                <w:sz w:val="20"/>
              </w:rPr>
              <w:t>satélite</w:t>
            </w:r>
            <w:proofErr w:type="spellEnd"/>
          </w:p>
        </w:tc>
      </w:tr>
      <w:tr w:rsidR="00B1717A" w:rsidRPr="00975AEB" w:rsidTr="00746AC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975AE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975AEB">
              <w:rPr>
                <w:sz w:val="20"/>
              </w:rPr>
              <w:t>Aplicaciones</w:t>
            </w:r>
            <w:proofErr w:type="spellEnd"/>
            <w:r w:rsidRPr="00975AEB">
              <w:rPr>
                <w:sz w:val="20"/>
              </w:rPr>
              <w:t xml:space="preserve"> </w:t>
            </w:r>
            <w:proofErr w:type="spellStart"/>
            <w:r w:rsidRPr="00975AEB">
              <w:rPr>
                <w:sz w:val="20"/>
              </w:rPr>
              <w:t>espaciales</w:t>
            </w:r>
            <w:proofErr w:type="spellEnd"/>
            <w:r w:rsidRPr="00975AEB">
              <w:rPr>
                <w:sz w:val="20"/>
              </w:rPr>
              <w:t xml:space="preserve"> y </w:t>
            </w:r>
            <w:proofErr w:type="spellStart"/>
            <w:r w:rsidRPr="00975AEB">
              <w:rPr>
                <w:sz w:val="20"/>
              </w:rPr>
              <w:t>meteorología</w:t>
            </w:r>
            <w:proofErr w:type="spellEnd"/>
          </w:p>
        </w:tc>
      </w:tr>
      <w:tr w:rsidR="00B1717A" w:rsidRPr="00390CCD" w:rsidTr="0061772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746AC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61772B" w:rsidTr="00A2667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1772B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772B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1772B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61772B">
              <w:rPr>
                <w:sz w:val="20"/>
              </w:rPr>
              <w:t>Gestión</w:t>
            </w:r>
            <w:proofErr w:type="spellEnd"/>
            <w:r w:rsidRPr="0061772B">
              <w:rPr>
                <w:sz w:val="20"/>
              </w:rPr>
              <w:t xml:space="preserve"> </w:t>
            </w:r>
            <w:proofErr w:type="spellStart"/>
            <w:r w:rsidRPr="0061772B">
              <w:rPr>
                <w:sz w:val="20"/>
              </w:rPr>
              <w:t>del</w:t>
            </w:r>
            <w:proofErr w:type="spellEnd"/>
            <w:r w:rsidRPr="0061772B">
              <w:rPr>
                <w:sz w:val="20"/>
              </w:rPr>
              <w:t xml:space="preserve"> </w:t>
            </w:r>
            <w:proofErr w:type="spellStart"/>
            <w:r w:rsidRPr="0061772B">
              <w:rPr>
                <w:sz w:val="20"/>
              </w:rPr>
              <w:t>espectro</w:t>
            </w:r>
            <w:proofErr w:type="spellEnd"/>
          </w:p>
        </w:tc>
      </w:tr>
      <w:tr w:rsidR="00B1717A" w:rsidRPr="00A2667E" w:rsidTr="00A2667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A2667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proofErr w:type="spellStart"/>
            <w:r w:rsidRPr="00A2667E">
              <w:rPr>
                <w:b/>
                <w:bCs/>
                <w:sz w:val="20"/>
                <w:lang w:val="en-US"/>
              </w:rPr>
              <w:t>SNG</w:t>
            </w:r>
            <w:proofErr w:type="spellEnd"/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A2667E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A2667E">
              <w:rPr>
                <w:sz w:val="20"/>
              </w:rPr>
              <w:t>Periodismo</w:t>
            </w:r>
            <w:proofErr w:type="spellEnd"/>
            <w:r w:rsidRPr="00A2667E">
              <w:rPr>
                <w:sz w:val="20"/>
              </w:rPr>
              <w:t xml:space="preserve"> </w:t>
            </w:r>
            <w:proofErr w:type="spellStart"/>
            <w:r w:rsidRPr="00A2667E">
              <w:rPr>
                <w:sz w:val="20"/>
              </w:rPr>
              <w:t>electrónico</w:t>
            </w:r>
            <w:proofErr w:type="spellEnd"/>
            <w:r w:rsidRPr="00A2667E">
              <w:rPr>
                <w:sz w:val="20"/>
              </w:rPr>
              <w:t xml:space="preserve"> </w:t>
            </w:r>
            <w:proofErr w:type="spellStart"/>
            <w:r w:rsidRPr="00A2667E">
              <w:rPr>
                <w:sz w:val="20"/>
              </w:rPr>
              <w:t>por</w:t>
            </w:r>
            <w:proofErr w:type="spellEnd"/>
            <w:r w:rsidRPr="00A2667E">
              <w:rPr>
                <w:sz w:val="20"/>
              </w:rPr>
              <w:t xml:space="preserve"> </w:t>
            </w:r>
            <w:proofErr w:type="spellStart"/>
            <w:r w:rsidRPr="00A2667E">
              <w:rPr>
                <w:sz w:val="20"/>
              </w:rPr>
              <w:t>satélite</w:t>
            </w:r>
            <w:proofErr w:type="spellEnd"/>
          </w:p>
        </w:tc>
      </w:tr>
      <w:tr w:rsidR="00B1717A" w:rsidRPr="00390CCD" w:rsidTr="00A2667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A2667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A2667E">
              <w:rPr>
                <w:b/>
                <w:bCs/>
                <w:color w:val="000080"/>
                <w:sz w:val="20"/>
                <w:lang w:val="en-US"/>
              </w:rPr>
              <w:t>TF</w:t>
            </w:r>
            <w:proofErr w:type="spellEnd"/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A2667E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A2667E">
              <w:rPr>
                <w:b/>
                <w:bCs/>
                <w:color w:val="000080"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A2667E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/>
      </w:tblPr>
      <w:tblGrid>
        <w:gridCol w:w="9360"/>
      </w:tblGrid>
      <w:tr w:rsidR="00B1717A" w:rsidRPr="00390CCD" w:rsidTr="00D62884">
        <w:tc>
          <w:tcPr>
            <w:tcW w:w="9360" w:type="dxa"/>
          </w:tcPr>
          <w:p w:rsidR="00B1717A" w:rsidRPr="00763D08" w:rsidRDefault="00B1717A" w:rsidP="00D6288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CE487B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CE487B">
        <w:rPr>
          <w:sz w:val="20"/>
          <w:lang w:val="es-ES_tradnl"/>
        </w:rPr>
        <w:t>10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CE487B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CE487B">
        <w:rPr>
          <w:sz w:val="20"/>
          <w:lang w:val="es-ES_tradnl"/>
        </w:rPr>
        <w:t>10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C560BD" w:rsidRDefault="00C560BD" w:rsidP="00C560BD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TF</w:t>
      </w:r>
      <w:r w:rsidRPr="0010336F">
        <w:rPr>
          <w:rStyle w:val="href"/>
          <w:lang w:val="es-ES_tradnl"/>
        </w:rPr>
        <w:t>.1</w:t>
      </w:r>
      <w:r>
        <w:rPr>
          <w:rStyle w:val="href"/>
          <w:lang w:val="es-ES_tradnl"/>
        </w:rPr>
        <w:t>876</w:t>
      </w:r>
    </w:p>
    <w:p w:rsidR="00B1717A" w:rsidRPr="00DA6AB0" w:rsidRDefault="00110C19" w:rsidP="00110C19">
      <w:pPr>
        <w:pStyle w:val="Rectitle"/>
        <w:rPr>
          <w:lang w:val="es-ES_tradnl"/>
        </w:rPr>
      </w:pPr>
      <w:r w:rsidRPr="00DA6AB0">
        <w:rPr>
          <w:lang w:val="es-ES_tradnl"/>
        </w:rPr>
        <w:t>Fuente de tiempo fiable para la autoridad de sello temporal</w:t>
      </w:r>
    </w:p>
    <w:p w:rsidR="00110C19" w:rsidRPr="00DA6AB0" w:rsidRDefault="00110C19" w:rsidP="00110C19">
      <w:pPr>
        <w:pStyle w:val="Recref"/>
        <w:rPr>
          <w:lang w:val="es-ES_tradnl"/>
        </w:rPr>
      </w:pPr>
      <w:r w:rsidRPr="00DA6AB0">
        <w:rPr>
          <w:lang w:val="es-ES_tradnl"/>
        </w:rPr>
        <w:t>(Cuestión UIT-R 238/7)</w:t>
      </w:r>
    </w:p>
    <w:p w:rsidR="00110C19" w:rsidRPr="00DA6AB0" w:rsidRDefault="00110C19" w:rsidP="00110C19">
      <w:pPr>
        <w:pStyle w:val="Recdate"/>
        <w:rPr>
          <w:lang w:val="es-ES_tradnl"/>
        </w:rPr>
      </w:pPr>
      <w:r w:rsidRPr="00DA6AB0">
        <w:rPr>
          <w:lang w:val="es-ES_tradnl"/>
        </w:rPr>
        <w:t>(2010)</w:t>
      </w:r>
    </w:p>
    <w:p w:rsidR="00110C19" w:rsidRPr="00DA6AB0" w:rsidRDefault="00110C19" w:rsidP="00110C19">
      <w:pPr>
        <w:pStyle w:val="HeadingSum"/>
      </w:pPr>
      <w:r w:rsidRPr="00DA6AB0">
        <w:t>Cometido</w:t>
      </w:r>
    </w:p>
    <w:p w:rsidR="00110C19" w:rsidRPr="00DA6AB0" w:rsidRDefault="00110C19" w:rsidP="00DA6AB0">
      <w:pPr>
        <w:pStyle w:val="Summary"/>
      </w:pPr>
      <w:r w:rsidRPr="00DA6AB0">
        <w:t xml:space="preserve">Esta Recomendación describe la forma de proporcionar una fuente de </w:t>
      </w:r>
      <w:r w:rsidR="00DA6AB0" w:rsidRPr="00DA6AB0">
        <w:t>tiempo</w:t>
      </w:r>
      <w:r w:rsidRPr="00DA6AB0">
        <w:t xml:space="preserve"> fiable a la autoridad de sello temporal (</w:t>
      </w:r>
      <w:proofErr w:type="spellStart"/>
      <w:r w:rsidRPr="00DA6AB0">
        <w:t>TSA</w:t>
      </w:r>
      <w:proofErr w:type="spellEnd"/>
      <w:r w:rsidRPr="00DA6AB0">
        <w:t>) y define una autoridad de evaluación de tiempo (</w:t>
      </w:r>
      <w:proofErr w:type="spellStart"/>
      <w:r w:rsidRPr="00DA6AB0">
        <w:t>TAA</w:t>
      </w:r>
      <w:proofErr w:type="spellEnd"/>
      <w:r w:rsidRPr="00DA6AB0">
        <w:t xml:space="preserve">) que certifica el seguimiento de la referencia de tiempo de una </w:t>
      </w:r>
      <w:proofErr w:type="spellStart"/>
      <w:r w:rsidRPr="00DA6AB0">
        <w:t>TSA</w:t>
      </w:r>
      <w:proofErr w:type="spellEnd"/>
      <w:r w:rsidRPr="00DA6AB0">
        <w:t xml:space="preserve"> al </w:t>
      </w:r>
      <w:proofErr w:type="spellStart"/>
      <w:r w:rsidRPr="00DA6AB0">
        <w:t>UTC</w:t>
      </w:r>
      <w:proofErr w:type="spellEnd"/>
      <w:r w:rsidRPr="00DA6AB0">
        <w:t>(k) proporcionada por un centro de temporización.</w:t>
      </w:r>
    </w:p>
    <w:p w:rsidR="00110C19" w:rsidRPr="00DA6AB0" w:rsidRDefault="00110C19" w:rsidP="00110C19">
      <w:pPr>
        <w:pStyle w:val="Normalaftertitle"/>
        <w:rPr>
          <w:lang w:val="es-ES_tradnl"/>
        </w:rPr>
      </w:pPr>
      <w:r w:rsidRPr="00DA6AB0">
        <w:rPr>
          <w:lang w:val="es-ES_tradnl"/>
        </w:rPr>
        <w:t>La Asamblea de Radiocomunicaciones de la UIT,</w:t>
      </w:r>
    </w:p>
    <w:p w:rsidR="00110C19" w:rsidRPr="00DA6AB0" w:rsidRDefault="00110C19" w:rsidP="00110C19">
      <w:pPr>
        <w:pStyle w:val="Call"/>
        <w:rPr>
          <w:lang w:val="es-ES_tradnl"/>
        </w:rPr>
      </w:pPr>
      <w:r w:rsidRPr="00DA6AB0">
        <w:rPr>
          <w:lang w:val="es-ES_tradnl"/>
        </w:rPr>
        <w:t>considerando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lang w:val="es-ES_tradnl"/>
        </w:rPr>
        <w:t>a)</w:t>
      </w:r>
      <w:r w:rsidRPr="00DA6AB0">
        <w:rPr>
          <w:lang w:val="es-ES_tradnl"/>
        </w:rPr>
        <w:tab/>
        <w:t xml:space="preserve">que cada vez es mayor la </w:t>
      </w:r>
      <w:r w:rsidR="00DA6AB0" w:rsidRPr="00DA6AB0">
        <w:rPr>
          <w:lang w:val="es-ES_tradnl"/>
        </w:rPr>
        <w:t>importancia</w:t>
      </w:r>
      <w:r w:rsidRPr="00DA6AB0">
        <w:rPr>
          <w:lang w:val="es-ES_tradnl"/>
        </w:rPr>
        <w:t xml:space="preserve"> del sello temporal debido al desarrollo mundial del comercio electrónico;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lang w:val="es-ES_tradnl"/>
        </w:rPr>
        <w:t>b)</w:t>
      </w:r>
      <w:r w:rsidRPr="00DA6AB0">
        <w:rPr>
          <w:lang w:val="es-ES_tradnl"/>
        </w:rPr>
        <w:tab/>
        <w:t xml:space="preserve">que esta importancia del sello temporal también ha aumentado a causa del desarrollo del </w:t>
      </w:r>
      <w:proofErr w:type="spellStart"/>
      <w:r w:rsidRPr="00DA6AB0">
        <w:rPr>
          <w:lang w:val="es-ES_tradnl"/>
        </w:rPr>
        <w:t>cibergobierno</w:t>
      </w:r>
      <w:proofErr w:type="spellEnd"/>
      <w:r w:rsidRPr="00DA6AB0">
        <w:rPr>
          <w:lang w:val="es-ES_tradnl"/>
        </w:rPr>
        <w:t>;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lang w:val="es-ES_tradnl"/>
        </w:rPr>
        <w:t>c)</w:t>
      </w:r>
      <w:r w:rsidRPr="00DA6AB0">
        <w:rPr>
          <w:lang w:val="es-ES_tradnl"/>
        </w:rPr>
        <w:tab/>
        <w:t xml:space="preserve">que el tiempo </w:t>
      </w:r>
      <w:r w:rsidR="00DA6AB0" w:rsidRPr="00DA6AB0">
        <w:rPr>
          <w:lang w:val="es-ES_tradnl"/>
        </w:rPr>
        <w:t>proporcionado</w:t>
      </w:r>
      <w:r w:rsidRPr="00DA6AB0">
        <w:rPr>
          <w:lang w:val="es-ES_tradnl"/>
        </w:rPr>
        <w:t xml:space="preserve"> por una tercera parte fiable (</w:t>
      </w:r>
      <w:proofErr w:type="spellStart"/>
      <w:r w:rsidRPr="00DA6AB0">
        <w:rPr>
          <w:lang w:val="es-ES_tradnl"/>
        </w:rPr>
        <w:t>TTP</w:t>
      </w:r>
      <w:proofErr w:type="spellEnd"/>
      <w:r w:rsidRPr="00DA6AB0">
        <w:rPr>
          <w:lang w:val="es-ES_tradnl"/>
        </w:rPr>
        <w:t>) para un servicio de sello temporal debe coordinarse en todo el mundo;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lang w:val="es-ES_tradnl"/>
        </w:rPr>
        <w:t>d)</w:t>
      </w:r>
      <w:r w:rsidRPr="00DA6AB0">
        <w:rPr>
          <w:lang w:val="es-ES_tradnl"/>
        </w:rPr>
        <w:tab/>
        <w:t xml:space="preserve">que el tiempo proporcionado por una </w:t>
      </w:r>
      <w:proofErr w:type="spellStart"/>
      <w:r w:rsidR="00BF3AD7">
        <w:rPr>
          <w:lang w:val="es-ES_tradnl"/>
        </w:rPr>
        <w:t>T</w:t>
      </w:r>
      <w:r w:rsidRPr="00DA6AB0">
        <w:rPr>
          <w:lang w:val="es-ES_tradnl"/>
        </w:rPr>
        <w:t>TP</w:t>
      </w:r>
      <w:proofErr w:type="spellEnd"/>
      <w:r w:rsidRPr="00DA6AB0">
        <w:rPr>
          <w:lang w:val="es-ES_tradnl"/>
        </w:rPr>
        <w:t xml:space="preserve"> debe utilizar un reloj de una fiabilidad, disponibilidad y precisión extremadamente elevadas, como se describe en la Recomendación </w:t>
      </w:r>
      <w:proofErr w:type="spellStart"/>
      <w:r w:rsidRPr="00DA6AB0">
        <w:rPr>
          <w:lang w:val="es-ES_tradnl"/>
        </w:rPr>
        <w:t>UIT</w:t>
      </w:r>
      <w:r w:rsidRPr="00DA6AB0">
        <w:rPr>
          <w:lang w:val="es-ES_tradnl"/>
        </w:rPr>
        <w:noBreakHyphen/>
        <w:t>T</w:t>
      </w:r>
      <w:proofErr w:type="spellEnd"/>
      <w:r w:rsidRPr="00DA6AB0">
        <w:rPr>
          <w:lang w:val="es-ES_tradnl"/>
        </w:rPr>
        <w:t> X.842;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lang w:val="es-ES_tradnl"/>
        </w:rPr>
        <w:t>e)</w:t>
      </w:r>
      <w:r w:rsidRPr="00DA6AB0">
        <w:rPr>
          <w:lang w:val="es-ES_tradnl"/>
        </w:rPr>
        <w:tab/>
        <w:t xml:space="preserve">que la transferencia de tiempo y la información de frecuencia por las redes de telecomunicaciones digitales </w:t>
      </w:r>
      <w:r w:rsidR="00DA6AB0" w:rsidRPr="00DA6AB0">
        <w:rPr>
          <w:lang w:val="es-ES_tradnl"/>
        </w:rPr>
        <w:t>como</w:t>
      </w:r>
      <w:r w:rsidRPr="00DA6AB0">
        <w:rPr>
          <w:lang w:val="es-ES_tradnl"/>
        </w:rPr>
        <w:t xml:space="preserve"> describe la Opinión UIT-R 94 podría ser una técnica empleada en la temporización proporcionada por las </w:t>
      </w:r>
      <w:proofErr w:type="spellStart"/>
      <w:r w:rsidRPr="00DA6AB0">
        <w:rPr>
          <w:lang w:val="es-ES_tradnl"/>
        </w:rPr>
        <w:t>TTP</w:t>
      </w:r>
      <w:proofErr w:type="spellEnd"/>
      <w:r w:rsidRPr="00DA6AB0">
        <w:rPr>
          <w:lang w:val="es-ES_tradnl"/>
        </w:rPr>
        <w:t>;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lang w:val="es-ES_tradnl"/>
        </w:rPr>
        <w:t>f)</w:t>
      </w:r>
      <w:r w:rsidRPr="00DA6AB0">
        <w:rPr>
          <w:lang w:val="es-ES_tradnl"/>
        </w:rPr>
        <w:tab/>
        <w:t>que la autoridad de sello temporal (</w:t>
      </w:r>
      <w:proofErr w:type="spellStart"/>
      <w:r w:rsidRPr="00DA6AB0">
        <w:rPr>
          <w:lang w:val="es-ES_tradnl"/>
        </w:rPr>
        <w:t>TSA</w:t>
      </w:r>
      <w:proofErr w:type="spellEnd"/>
      <w:r w:rsidRPr="00DA6AB0">
        <w:rPr>
          <w:lang w:val="es-ES_tradnl"/>
        </w:rPr>
        <w:t xml:space="preserve">) es una </w:t>
      </w:r>
      <w:proofErr w:type="spellStart"/>
      <w:r w:rsidRPr="00DA6AB0">
        <w:rPr>
          <w:lang w:val="es-ES_tradnl"/>
        </w:rPr>
        <w:t>TTP</w:t>
      </w:r>
      <w:proofErr w:type="spellEnd"/>
      <w:r w:rsidRPr="00DA6AB0">
        <w:rPr>
          <w:lang w:val="es-ES_tradnl"/>
        </w:rPr>
        <w:t xml:space="preserve"> que produce el tiempo que satisface la mencionada condición;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lang w:val="es-ES_tradnl"/>
        </w:rPr>
        <w:t>g)</w:t>
      </w:r>
      <w:r w:rsidRPr="00DA6AB0">
        <w:rPr>
          <w:lang w:val="es-ES_tradnl"/>
        </w:rPr>
        <w:tab/>
        <w:t>que el Tiempo Universal Coordinado (</w:t>
      </w:r>
      <w:proofErr w:type="spellStart"/>
      <w:r w:rsidRPr="00DA6AB0">
        <w:rPr>
          <w:lang w:val="es-ES_tradnl"/>
        </w:rPr>
        <w:t>UTC</w:t>
      </w:r>
      <w:proofErr w:type="spellEnd"/>
      <w:r w:rsidRPr="00DA6AB0">
        <w:rPr>
          <w:lang w:val="es-ES_tradnl"/>
        </w:rPr>
        <w:t>) determinado por la Oficina Internacional de Pesos y Medidas (</w:t>
      </w:r>
      <w:proofErr w:type="spellStart"/>
      <w:r w:rsidRPr="00DA6AB0">
        <w:rPr>
          <w:lang w:val="es-ES_tradnl"/>
        </w:rPr>
        <w:t>BIPM</w:t>
      </w:r>
      <w:proofErr w:type="spellEnd"/>
      <w:r w:rsidRPr="00DA6AB0">
        <w:rPr>
          <w:lang w:val="es-ES_tradnl"/>
        </w:rPr>
        <w:t xml:space="preserve">) y el </w:t>
      </w:r>
      <w:r w:rsidR="00DA6AB0" w:rsidRPr="00DA6AB0">
        <w:rPr>
          <w:lang w:val="es-ES_tradnl"/>
        </w:rPr>
        <w:t>Servicio</w:t>
      </w:r>
      <w:r w:rsidRPr="00DA6AB0">
        <w:rPr>
          <w:lang w:val="es-ES_tradnl"/>
        </w:rPr>
        <w:t xml:space="preserve"> Internacional de Rotación de la Tierra (</w:t>
      </w:r>
      <w:proofErr w:type="spellStart"/>
      <w:r w:rsidRPr="00DA6AB0">
        <w:rPr>
          <w:lang w:val="es-ES_tradnl"/>
        </w:rPr>
        <w:t>IERS</w:t>
      </w:r>
      <w:proofErr w:type="spellEnd"/>
      <w:r w:rsidRPr="00DA6AB0">
        <w:rPr>
          <w:lang w:val="es-ES_tradnl"/>
        </w:rPr>
        <w:t xml:space="preserve">) como describe la Recomendación UIT-R TF.486 es la referencia de tiempo internacional; 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lang w:val="es-ES_tradnl"/>
        </w:rPr>
        <w:t>h)</w:t>
      </w:r>
      <w:r w:rsidRPr="00DA6AB0">
        <w:rPr>
          <w:lang w:val="es-ES_tradnl"/>
        </w:rPr>
        <w:tab/>
        <w:t xml:space="preserve">que cada </w:t>
      </w:r>
      <w:proofErr w:type="spellStart"/>
      <w:r w:rsidRPr="00DA6AB0">
        <w:rPr>
          <w:lang w:val="es-ES_tradnl"/>
        </w:rPr>
        <w:t>UTC</w:t>
      </w:r>
      <w:proofErr w:type="spellEnd"/>
      <w:r w:rsidRPr="00DA6AB0">
        <w:rPr>
          <w:lang w:val="es-ES_tradnl"/>
        </w:rPr>
        <w:t xml:space="preserve">(k) generado por los centros de temporización puede utilizarse en tiempo real y su diferencia de tiempo con respecto al </w:t>
      </w:r>
      <w:proofErr w:type="spellStart"/>
      <w:r w:rsidRPr="00DA6AB0">
        <w:rPr>
          <w:lang w:val="es-ES_tradnl"/>
        </w:rPr>
        <w:t>UTC</w:t>
      </w:r>
      <w:proofErr w:type="spellEnd"/>
      <w:r w:rsidRPr="00DA6AB0">
        <w:rPr>
          <w:lang w:val="es-ES_tradnl"/>
        </w:rPr>
        <w:t xml:space="preserve">(k) la publica periódicamente la </w:t>
      </w:r>
      <w:proofErr w:type="spellStart"/>
      <w:r w:rsidRPr="00DA6AB0">
        <w:rPr>
          <w:lang w:val="es-ES_tradnl"/>
        </w:rPr>
        <w:t>BIPM</w:t>
      </w:r>
      <w:proofErr w:type="spellEnd"/>
      <w:r w:rsidRPr="00DA6AB0">
        <w:rPr>
          <w:lang w:val="es-ES_tradnl"/>
        </w:rPr>
        <w:t>,</w:t>
      </w:r>
    </w:p>
    <w:p w:rsidR="00355DE8" w:rsidRPr="00BF3AD7" w:rsidRDefault="00355DE8" w:rsidP="00355DE8">
      <w:pPr>
        <w:pStyle w:val="Blanc"/>
        <w:rPr>
          <w:lang w:val="es-ES_tradnl"/>
        </w:rPr>
      </w:pPr>
    </w:p>
    <w:p w:rsidR="00110C19" w:rsidRPr="00DA6AB0" w:rsidRDefault="00110C19" w:rsidP="00110C19">
      <w:pPr>
        <w:pStyle w:val="Call"/>
        <w:rPr>
          <w:lang w:val="es-ES_tradnl"/>
        </w:rPr>
      </w:pPr>
      <w:r w:rsidRPr="00DA6AB0">
        <w:rPr>
          <w:lang w:val="es-ES_tradnl"/>
        </w:rPr>
        <w:t>recomienda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b/>
          <w:bCs/>
          <w:lang w:val="es-ES_tradnl"/>
        </w:rPr>
        <w:t>1</w:t>
      </w:r>
      <w:r w:rsidRPr="00DA6AB0">
        <w:rPr>
          <w:lang w:val="es-ES_tradnl"/>
        </w:rPr>
        <w:tab/>
        <w:t xml:space="preserve">que los centros de temporización cuenten con los medios necesarios para difundir el </w:t>
      </w:r>
      <w:proofErr w:type="spellStart"/>
      <w:r w:rsidRPr="00DA6AB0">
        <w:rPr>
          <w:lang w:val="es-ES_tradnl"/>
        </w:rPr>
        <w:t>UTC</w:t>
      </w:r>
      <w:proofErr w:type="spellEnd"/>
      <w:r w:rsidRPr="00DA6AB0">
        <w:rPr>
          <w:lang w:val="es-ES_tradnl"/>
        </w:rPr>
        <w:t xml:space="preserve">(k) a una </w:t>
      </w:r>
      <w:proofErr w:type="spellStart"/>
      <w:r w:rsidRPr="00DA6AB0">
        <w:rPr>
          <w:lang w:val="es-ES_tradnl"/>
        </w:rPr>
        <w:t>TSA</w:t>
      </w:r>
      <w:proofErr w:type="spellEnd"/>
      <w:r w:rsidRPr="00DA6AB0">
        <w:rPr>
          <w:lang w:val="es-ES_tradnl"/>
        </w:rPr>
        <w:t xml:space="preserve"> con la precisión requerida indicada en los ejemplos del Anexo 1;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b/>
          <w:lang w:val="es-ES_tradnl"/>
        </w:rPr>
        <w:t>2</w:t>
      </w:r>
      <w:r w:rsidRPr="00DA6AB0">
        <w:rPr>
          <w:b/>
          <w:lang w:val="es-ES_tradnl"/>
        </w:rPr>
        <w:tab/>
      </w:r>
      <w:r w:rsidRPr="00DA6AB0">
        <w:rPr>
          <w:lang w:val="es-ES_tradnl"/>
        </w:rPr>
        <w:t xml:space="preserve">que el seguimiento del tiempo de la </w:t>
      </w:r>
      <w:proofErr w:type="spellStart"/>
      <w:r w:rsidRPr="00DA6AB0">
        <w:rPr>
          <w:lang w:val="es-ES_tradnl"/>
        </w:rPr>
        <w:t>TSA</w:t>
      </w:r>
      <w:proofErr w:type="spellEnd"/>
      <w:r w:rsidRPr="00DA6AB0">
        <w:rPr>
          <w:lang w:val="es-ES_tradnl"/>
        </w:rPr>
        <w:t xml:space="preserve"> al </w:t>
      </w:r>
      <w:proofErr w:type="spellStart"/>
      <w:r w:rsidRPr="00DA6AB0">
        <w:rPr>
          <w:lang w:val="es-ES_tradnl"/>
        </w:rPr>
        <w:t>UTC</w:t>
      </w:r>
      <w:proofErr w:type="spellEnd"/>
      <w:r w:rsidRPr="00DA6AB0">
        <w:rPr>
          <w:lang w:val="es-ES_tradnl"/>
        </w:rPr>
        <w:t xml:space="preserve">(k) sea certificado mediante una continua supervisión por parte de una </w:t>
      </w:r>
      <w:proofErr w:type="spellStart"/>
      <w:r w:rsidRPr="00DA6AB0">
        <w:rPr>
          <w:lang w:val="es-ES_tradnl"/>
        </w:rPr>
        <w:t>TAA</w:t>
      </w:r>
      <w:proofErr w:type="spellEnd"/>
      <w:r w:rsidRPr="00DA6AB0">
        <w:rPr>
          <w:lang w:val="es-ES_tradnl"/>
        </w:rPr>
        <w:t>;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b/>
          <w:lang w:val="es-ES_tradnl"/>
        </w:rPr>
        <w:t>3</w:t>
      </w:r>
      <w:r w:rsidRPr="00DA6AB0">
        <w:rPr>
          <w:b/>
          <w:lang w:val="es-ES_tradnl"/>
        </w:rPr>
        <w:tab/>
      </w:r>
      <w:r w:rsidRPr="00DA6AB0">
        <w:rPr>
          <w:lang w:val="es-ES_tradnl"/>
        </w:rPr>
        <w:t xml:space="preserve">que una </w:t>
      </w:r>
      <w:proofErr w:type="spellStart"/>
      <w:r w:rsidRPr="00DA6AB0">
        <w:rPr>
          <w:lang w:val="es-ES_tradnl"/>
        </w:rPr>
        <w:t>TAA</w:t>
      </w:r>
      <w:proofErr w:type="spellEnd"/>
      <w:r w:rsidRPr="00DA6AB0">
        <w:rPr>
          <w:lang w:val="es-ES_tradnl"/>
        </w:rPr>
        <w:t xml:space="preserve"> tenga también la función de comprobar que el tiempo utilizado por la </w:t>
      </w:r>
      <w:proofErr w:type="spellStart"/>
      <w:r w:rsidRPr="00DA6AB0">
        <w:rPr>
          <w:lang w:val="es-ES_tradnl"/>
        </w:rPr>
        <w:t>TSA</w:t>
      </w:r>
      <w:proofErr w:type="spellEnd"/>
      <w:r w:rsidRPr="00DA6AB0">
        <w:rPr>
          <w:lang w:val="es-ES_tradnl"/>
        </w:rPr>
        <w:t xml:space="preserve"> es coherente con las precisiones necesarias; </w:t>
      </w:r>
    </w:p>
    <w:p w:rsidR="00110C19" w:rsidRPr="00DA6AB0" w:rsidRDefault="00110C19" w:rsidP="00110C19">
      <w:pPr>
        <w:rPr>
          <w:lang w:val="es-ES_tradnl"/>
        </w:rPr>
      </w:pPr>
      <w:r w:rsidRPr="00DA6AB0">
        <w:rPr>
          <w:b/>
          <w:lang w:val="es-ES_tradnl"/>
        </w:rPr>
        <w:t>4</w:t>
      </w:r>
      <w:r w:rsidRPr="00DA6AB0">
        <w:rPr>
          <w:lang w:val="es-ES_tradnl"/>
        </w:rPr>
        <w:tab/>
        <w:t xml:space="preserve">que la función </w:t>
      </w:r>
      <w:proofErr w:type="spellStart"/>
      <w:r w:rsidRPr="00DA6AB0">
        <w:rPr>
          <w:lang w:val="es-ES_tradnl"/>
        </w:rPr>
        <w:t>TAA</w:t>
      </w:r>
      <w:proofErr w:type="spellEnd"/>
      <w:r w:rsidRPr="00DA6AB0">
        <w:rPr>
          <w:lang w:val="es-ES_tradnl"/>
        </w:rPr>
        <w:t xml:space="preserve"> pueda realizarla el centro de temporización o una </w:t>
      </w:r>
      <w:proofErr w:type="spellStart"/>
      <w:r w:rsidRPr="00DA6AB0">
        <w:rPr>
          <w:lang w:val="es-ES_tradnl"/>
        </w:rPr>
        <w:t>TTP</w:t>
      </w:r>
      <w:proofErr w:type="spellEnd"/>
      <w:r w:rsidRPr="00DA6AB0">
        <w:rPr>
          <w:lang w:val="es-ES_tradnl"/>
        </w:rPr>
        <w:t>.</w:t>
      </w:r>
    </w:p>
    <w:p w:rsidR="00110C19" w:rsidRPr="00DA6AB0" w:rsidRDefault="00110C19" w:rsidP="00110C19">
      <w:pPr>
        <w:pStyle w:val="AnnexNoTitle"/>
        <w:rPr>
          <w:lang w:val="es-ES_tradnl"/>
        </w:rPr>
      </w:pPr>
      <w:r w:rsidRPr="00DA6AB0">
        <w:rPr>
          <w:lang w:val="es-ES_tradnl"/>
        </w:rPr>
        <w:lastRenderedPageBreak/>
        <w:t>Anexo 1</w:t>
      </w:r>
      <w:r w:rsidRPr="00DA6AB0">
        <w:rPr>
          <w:lang w:val="es-ES_tradnl"/>
        </w:rPr>
        <w:br/>
      </w:r>
      <w:r w:rsidRPr="00DA6AB0">
        <w:rPr>
          <w:lang w:val="es-ES_tradnl"/>
        </w:rPr>
        <w:br/>
        <w:t>Ejemplos de esquemas de fuentes de tiempo fiables</w:t>
      </w:r>
    </w:p>
    <w:p w:rsidR="00110C19" w:rsidRPr="00DA6AB0" w:rsidRDefault="00110C19" w:rsidP="00390CCD">
      <w:pPr>
        <w:pStyle w:val="Normalaftertitle"/>
        <w:spacing w:before="220"/>
        <w:rPr>
          <w:lang w:val="es-ES_tradnl"/>
        </w:rPr>
      </w:pPr>
      <w:r w:rsidRPr="00DA6AB0">
        <w:rPr>
          <w:lang w:val="es-ES_tradnl"/>
        </w:rPr>
        <w:t xml:space="preserve">Pueden existir una variedad de esquemas que realicen el seguimiento de un </w:t>
      </w:r>
      <w:proofErr w:type="spellStart"/>
      <w:r w:rsidRPr="00DA6AB0">
        <w:rPr>
          <w:lang w:val="es-ES_tradnl"/>
        </w:rPr>
        <w:t>UTC</w:t>
      </w:r>
      <w:proofErr w:type="spellEnd"/>
      <w:r w:rsidRPr="00DA6AB0">
        <w:rPr>
          <w:lang w:val="es-ES_tradnl"/>
        </w:rPr>
        <w:t xml:space="preserve">(k) a una </w:t>
      </w:r>
      <w:proofErr w:type="spellStart"/>
      <w:r w:rsidRPr="00DA6AB0">
        <w:rPr>
          <w:lang w:val="es-ES_tradnl"/>
        </w:rPr>
        <w:t>TSA</w:t>
      </w:r>
      <w:proofErr w:type="spellEnd"/>
      <w:r w:rsidRPr="00DA6AB0">
        <w:rPr>
          <w:lang w:val="es-ES_tradnl"/>
        </w:rPr>
        <w:t xml:space="preserve"> y una función de certificación de una </w:t>
      </w:r>
      <w:proofErr w:type="spellStart"/>
      <w:r w:rsidRPr="00DA6AB0">
        <w:rPr>
          <w:lang w:val="es-ES_tradnl"/>
        </w:rPr>
        <w:t>TAA</w:t>
      </w:r>
      <w:proofErr w:type="spellEnd"/>
      <w:r w:rsidRPr="00DA6AB0">
        <w:rPr>
          <w:lang w:val="es-ES_tradnl"/>
        </w:rPr>
        <w:t xml:space="preserve">. La </w:t>
      </w:r>
      <w:r w:rsidR="005A59CA" w:rsidRPr="00DA6AB0">
        <w:rPr>
          <w:lang w:val="es-ES_tradnl"/>
        </w:rPr>
        <w:t>Fig</w:t>
      </w:r>
      <w:r w:rsidR="005A59CA">
        <w:rPr>
          <w:lang w:val="es-ES_tradnl"/>
        </w:rPr>
        <w:t>. </w:t>
      </w:r>
      <w:r w:rsidRPr="00DA6AB0">
        <w:rPr>
          <w:lang w:val="es-ES_tradnl"/>
        </w:rPr>
        <w:t xml:space="preserve">1 ilustra ejemplos de implementación de cadenas de seguimiento adecuadas y el mecanismo de certificación. En los casos a) y b), un centro de temporización difunde la información de temporización directamente a una </w:t>
      </w:r>
      <w:proofErr w:type="spellStart"/>
      <w:r w:rsidRPr="00DA6AB0">
        <w:rPr>
          <w:lang w:val="es-ES_tradnl"/>
        </w:rPr>
        <w:t>TSA</w:t>
      </w:r>
      <w:proofErr w:type="spellEnd"/>
      <w:r w:rsidRPr="00DA6AB0">
        <w:rPr>
          <w:lang w:val="es-ES_tradnl"/>
        </w:rPr>
        <w:t>. Si bien en el caso</w:t>
      </w:r>
      <w:r w:rsidR="005A59CA">
        <w:rPr>
          <w:lang w:val="es-ES_tradnl"/>
        </w:rPr>
        <w:t> </w:t>
      </w:r>
      <w:r w:rsidRPr="00DA6AB0">
        <w:rPr>
          <w:lang w:val="es-ES_tradnl"/>
        </w:rPr>
        <w:t>a) el mismo centro de temporización proporciona la función de certificación, en el caso</w:t>
      </w:r>
      <w:r w:rsidR="005A59CA">
        <w:rPr>
          <w:lang w:val="es-ES_tradnl"/>
        </w:rPr>
        <w:t> </w:t>
      </w:r>
      <w:r w:rsidRPr="00DA6AB0">
        <w:rPr>
          <w:lang w:val="es-ES_tradnl"/>
        </w:rPr>
        <w:t xml:space="preserve">b) es una </w:t>
      </w:r>
      <w:proofErr w:type="spellStart"/>
      <w:r w:rsidRPr="00DA6AB0">
        <w:rPr>
          <w:lang w:val="es-ES_tradnl"/>
        </w:rPr>
        <w:t>TAA</w:t>
      </w:r>
      <w:proofErr w:type="spellEnd"/>
      <w:r w:rsidRPr="00DA6AB0">
        <w:rPr>
          <w:lang w:val="es-ES_tradnl"/>
        </w:rPr>
        <w:t xml:space="preserve"> independiente quien proporciona la certificación a la </w:t>
      </w:r>
      <w:proofErr w:type="spellStart"/>
      <w:r w:rsidRPr="00DA6AB0">
        <w:rPr>
          <w:lang w:val="es-ES_tradnl"/>
        </w:rPr>
        <w:t>TSA</w:t>
      </w:r>
      <w:proofErr w:type="spellEnd"/>
      <w:r w:rsidRPr="00DA6AB0">
        <w:rPr>
          <w:lang w:val="es-ES_tradnl"/>
        </w:rPr>
        <w:t>. En el caso</w:t>
      </w:r>
      <w:r w:rsidR="005A59CA">
        <w:rPr>
          <w:lang w:val="es-ES_tradnl"/>
        </w:rPr>
        <w:t> </w:t>
      </w:r>
      <w:r w:rsidRPr="00DA6AB0">
        <w:rPr>
          <w:lang w:val="es-ES_tradnl"/>
        </w:rPr>
        <w:t xml:space="preserve">c), una </w:t>
      </w:r>
      <w:proofErr w:type="spellStart"/>
      <w:r w:rsidRPr="00DA6AB0">
        <w:rPr>
          <w:lang w:val="es-ES_tradnl"/>
        </w:rPr>
        <w:t>TAA</w:t>
      </w:r>
      <w:proofErr w:type="spellEnd"/>
      <w:r w:rsidRPr="00DA6AB0">
        <w:rPr>
          <w:lang w:val="es-ES_tradnl"/>
        </w:rPr>
        <w:t xml:space="preserve"> proporciona tanto la información de temporización como la certificación a una </w:t>
      </w:r>
      <w:proofErr w:type="spellStart"/>
      <w:r w:rsidRPr="00DA6AB0">
        <w:rPr>
          <w:lang w:val="es-ES_tradnl"/>
        </w:rPr>
        <w:t>TSA</w:t>
      </w:r>
      <w:proofErr w:type="spellEnd"/>
      <w:r w:rsidRPr="00DA6AB0">
        <w:rPr>
          <w:lang w:val="es-ES_tradnl"/>
        </w:rPr>
        <w:t xml:space="preserve"> y la cadena de seguimiento del </w:t>
      </w:r>
      <w:proofErr w:type="spellStart"/>
      <w:r w:rsidRPr="00DA6AB0">
        <w:rPr>
          <w:lang w:val="es-ES_tradnl"/>
        </w:rPr>
        <w:t>UTC</w:t>
      </w:r>
      <w:proofErr w:type="spellEnd"/>
      <w:r w:rsidRPr="00DA6AB0">
        <w:rPr>
          <w:lang w:val="es-ES_tradnl"/>
        </w:rPr>
        <w:t xml:space="preserve">(k) se mantiene garantizando el </w:t>
      </w:r>
      <w:r w:rsidR="00DA6AB0" w:rsidRPr="00DA6AB0">
        <w:rPr>
          <w:lang w:val="es-ES_tradnl"/>
        </w:rPr>
        <w:t>seguimiento</w:t>
      </w:r>
      <w:r w:rsidRPr="00DA6AB0">
        <w:rPr>
          <w:lang w:val="es-ES_tradnl"/>
        </w:rPr>
        <w:t xml:space="preserve"> de la </w:t>
      </w:r>
      <w:proofErr w:type="spellStart"/>
      <w:r w:rsidRPr="00DA6AB0">
        <w:rPr>
          <w:lang w:val="es-ES_tradnl"/>
        </w:rPr>
        <w:t>TAA</w:t>
      </w:r>
      <w:proofErr w:type="spellEnd"/>
      <w:r w:rsidRPr="00DA6AB0">
        <w:rPr>
          <w:lang w:val="es-ES_tradnl"/>
        </w:rPr>
        <w:t xml:space="preserve"> a un centro de temporización. En el caso</w:t>
      </w:r>
      <w:r w:rsidR="005A59CA">
        <w:rPr>
          <w:lang w:val="es-ES_tradnl"/>
        </w:rPr>
        <w:t> </w:t>
      </w:r>
      <w:r w:rsidRPr="00DA6AB0">
        <w:rPr>
          <w:lang w:val="es-ES_tradnl"/>
        </w:rPr>
        <w:t xml:space="preserve">d), una </w:t>
      </w:r>
      <w:proofErr w:type="spellStart"/>
      <w:r w:rsidRPr="00DA6AB0">
        <w:rPr>
          <w:lang w:val="es-ES_tradnl"/>
        </w:rPr>
        <w:t>TSA</w:t>
      </w:r>
      <w:proofErr w:type="spellEnd"/>
      <w:r w:rsidRPr="00DA6AB0">
        <w:rPr>
          <w:lang w:val="es-ES_tradnl"/>
        </w:rPr>
        <w:t xml:space="preserve"> utiliza los medios adecuados para recuperar la información de temporización, tal como un receptor de temporización del sistema mundial de navegación por satélite (</w:t>
      </w:r>
      <w:proofErr w:type="spellStart"/>
      <w:r w:rsidRPr="00DA6AB0">
        <w:rPr>
          <w:lang w:val="es-ES_tradnl"/>
        </w:rPr>
        <w:t>GNSS</w:t>
      </w:r>
      <w:proofErr w:type="spellEnd"/>
      <w:r w:rsidRPr="00DA6AB0">
        <w:rPr>
          <w:lang w:val="es-ES_tradnl"/>
        </w:rPr>
        <w:t xml:space="preserve">), y la credibilidad de la información se evalúa y certifica mediante una </w:t>
      </w:r>
      <w:proofErr w:type="spellStart"/>
      <w:r w:rsidRPr="00DA6AB0">
        <w:rPr>
          <w:lang w:val="es-ES_tradnl"/>
        </w:rPr>
        <w:t>TAA</w:t>
      </w:r>
      <w:proofErr w:type="spellEnd"/>
      <w:r w:rsidRPr="00DA6AB0">
        <w:rPr>
          <w:lang w:val="es-ES_tradnl"/>
        </w:rPr>
        <w:t xml:space="preserve">. En este caso, la </w:t>
      </w:r>
      <w:proofErr w:type="spellStart"/>
      <w:r w:rsidRPr="00DA6AB0">
        <w:rPr>
          <w:lang w:val="es-ES_tradnl"/>
        </w:rPr>
        <w:t>TAA</w:t>
      </w:r>
      <w:proofErr w:type="spellEnd"/>
      <w:r w:rsidRPr="00DA6AB0">
        <w:rPr>
          <w:lang w:val="es-ES_tradnl"/>
        </w:rPr>
        <w:t xml:space="preserve"> deberá tener acceso al </w:t>
      </w:r>
      <w:proofErr w:type="spellStart"/>
      <w:r w:rsidRPr="00DA6AB0">
        <w:rPr>
          <w:lang w:val="es-ES_tradnl"/>
        </w:rPr>
        <w:t>UTC</w:t>
      </w:r>
      <w:proofErr w:type="spellEnd"/>
      <w:r w:rsidRPr="00DA6AB0">
        <w:rPr>
          <w:lang w:val="es-ES_tradnl"/>
        </w:rPr>
        <w:t>(k) proporcionado por un centro de temporización para asegurar la cadena de seguimiento.</w:t>
      </w:r>
    </w:p>
    <w:p w:rsidR="00110C19" w:rsidRPr="00DA6AB0" w:rsidRDefault="00110C19" w:rsidP="00BE087B">
      <w:pPr>
        <w:pStyle w:val="FigureNo"/>
        <w:spacing w:before="240" w:after="0"/>
        <w:rPr>
          <w:lang w:val="es-ES_tradnl"/>
        </w:rPr>
      </w:pPr>
      <w:r w:rsidRPr="00DA6AB0">
        <w:rPr>
          <w:lang w:val="es-ES_tradnl"/>
        </w:rPr>
        <w:t>FIGURA 1</w:t>
      </w:r>
    </w:p>
    <w:p w:rsidR="00110C19" w:rsidRPr="00DA6AB0" w:rsidRDefault="00110C19" w:rsidP="00390CCD">
      <w:pPr>
        <w:pStyle w:val="Figuretitle"/>
        <w:spacing w:before="20" w:after="60"/>
        <w:rPr>
          <w:lang w:val="es-ES_tradnl"/>
        </w:rPr>
      </w:pPr>
      <w:r w:rsidRPr="00DA6AB0">
        <w:rPr>
          <w:lang w:val="es-ES_tradnl"/>
        </w:rPr>
        <w:t>Ejemplos de implementación del concepto</w:t>
      </w:r>
    </w:p>
    <w:p w:rsidR="00110C19" w:rsidRPr="00110C19" w:rsidRDefault="001A3B41" w:rsidP="00BE087B">
      <w:pPr>
        <w:pStyle w:val="Figure"/>
        <w:spacing w:after="0"/>
        <w:rPr>
          <w:lang w:val="en-US"/>
        </w:rPr>
      </w:pPr>
      <w:r>
        <w:object w:dxaOrig="6513" w:dyaOrig="9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00pt;height:415.8pt;mso-position-vertical:absolute" o:ole="" o:allowoverlap="f">
            <v:imagedata r:id="rId12" o:title=""/>
          </v:shape>
          <o:OLEObject Type="Embed" ProgID="CorelDRAW.Graphic.14" ShapeID="_x0000_i1029" DrawAspect="Content" ObjectID="_1345965416" r:id="rId13"/>
        </w:object>
      </w:r>
    </w:p>
    <w:p w:rsidR="00C560BD" w:rsidRPr="0010336F" w:rsidRDefault="00C560BD" w:rsidP="00390CCD">
      <w:pPr>
        <w:pStyle w:val="Line"/>
        <w:spacing w:before="180"/>
      </w:pPr>
    </w:p>
    <w:sectPr w:rsidR="00C560BD" w:rsidRPr="0010336F" w:rsidSect="00B1717A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893" w:rsidRDefault="00722893">
      <w:r>
        <w:separator/>
      </w:r>
    </w:p>
  </w:endnote>
  <w:endnote w:type="continuationSeparator" w:id="0">
    <w:p w:rsidR="00722893" w:rsidRDefault="007228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893" w:rsidRDefault="00722893">
      <w:r>
        <w:separator/>
      </w:r>
    </w:p>
  </w:footnote>
  <w:footnote w:type="continuationSeparator" w:id="0">
    <w:p w:rsidR="00722893" w:rsidRDefault="007228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93" w:rsidRDefault="00722893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93" w:rsidRDefault="00722893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93" w:rsidRDefault="007910B6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72289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90CC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722893">
      <w:tab/>
    </w:r>
    <w:fldSimple w:instr=" DOCPROPERTY &quot;Header&quot; \* MERGEFORMAT ">
      <w:r w:rsidR="00390CCD" w:rsidRPr="00390CCD">
        <w:rPr>
          <w:b/>
          <w:bCs/>
          <w:lang w:val="en-US"/>
        </w:rPr>
        <w:t xml:space="preserve">Rec. </w:t>
      </w:r>
    </w:fldSimple>
    <w:r w:rsidR="00722893">
      <w:rPr>
        <w:b/>
        <w:bCs/>
      </w:rPr>
      <w:t xml:space="preserve"> </w:t>
    </w:r>
    <w:r>
      <w:rPr>
        <w:b/>
        <w:bCs/>
      </w:rPr>
      <w:fldChar w:fldCharType="begin"/>
    </w:r>
    <w:r w:rsidR="00722893">
      <w:rPr>
        <w:b/>
        <w:bCs/>
      </w:rPr>
      <w:instrText>styleref href</w:instrText>
    </w:r>
    <w:r>
      <w:rPr>
        <w:b/>
        <w:bCs/>
      </w:rPr>
      <w:fldChar w:fldCharType="separate"/>
    </w:r>
    <w:r w:rsidR="00390CCD">
      <w:rPr>
        <w:b/>
        <w:bCs/>
        <w:noProof/>
      </w:rPr>
      <w:t>UIT-R  TF.1876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93" w:rsidRDefault="00722893">
    <w:pPr>
      <w:pStyle w:val="Header"/>
    </w:pPr>
    <w:r>
      <w:tab/>
    </w:r>
    <w:fldSimple w:instr=" DOCPROPERTY &quot;Header&quot; \* MERGEFORMAT ">
      <w:r w:rsidR="00390CCD" w:rsidRPr="00390CCD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7910B6">
      <w:rPr>
        <w:b/>
        <w:bCs/>
      </w:rPr>
      <w:fldChar w:fldCharType="begin"/>
    </w:r>
    <w:r>
      <w:rPr>
        <w:b/>
        <w:bCs/>
      </w:rPr>
      <w:instrText>styleref href</w:instrText>
    </w:r>
    <w:r w:rsidR="007910B6">
      <w:rPr>
        <w:b/>
        <w:bCs/>
      </w:rPr>
      <w:fldChar w:fldCharType="separate"/>
    </w:r>
    <w:r w:rsidR="00390CCD">
      <w:rPr>
        <w:b/>
        <w:bCs/>
        <w:noProof/>
      </w:rPr>
      <w:t>UIT-R  TF.1876</w:t>
    </w:r>
    <w:r w:rsidR="007910B6">
      <w:rPr>
        <w:b/>
        <w:bCs/>
      </w:rPr>
      <w:fldChar w:fldCharType="end"/>
    </w:r>
    <w:r>
      <w:tab/>
    </w:r>
    <w:r w:rsidR="007910B6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7910B6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 w:rsidR="007910B6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93" w:rsidRDefault="007910B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72289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90CC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722893">
      <w:rPr>
        <w:lang w:val="en-US"/>
      </w:rPr>
      <w:tab/>
    </w:r>
    <w:fldSimple w:instr=" DOCPROPERTY &quot;Header&quot; \* MERGEFORMAT ">
      <w:r w:rsidR="00390CCD" w:rsidRPr="00390CCD">
        <w:rPr>
          <w:b/>
          <w:bCs/>
          <w:lang w:val="en-US"/>
        </w:rPr>
        <w:t xml:space="preserve">Rec. </w:t>
      </w:r>
    </w:fldSimple>
    <w:r w:rsidR="00722893">
      <w:rPr>
        <w:b/>
        <w:bCs/>
      </w:rPr>
      <w:t xml:space="preserve"> </w:t>
    </w:r>
    <w:r>
      <w:rPr>
        <w:b/>
        <w:bCs/>
      </w:rPr>
      <w:fldChar w:fldCharType="begin"/>
    </w:r>
    <w:r w:rsidR="0072289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90CCD">
      <w:rPr>
        <w:b/>
        <w:bCs/>
        <w:noProof/>
      </w:rPr>
      <w:t>UIT-R  TF.1876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893" w:rsidRDefault="00722893">
    <w:pPr>
      <w:pStyle w:val="Header"/>
    </w:pPr>
    <w:r>
      <w:tab/>
    </w:r>
    <w:fldSimple w:instr=" DOCPROPERTY &quot;Header&quot; \* MERGEFORMAT ">
      <w:r w:rsidR="00390CCD" w:rsidRPr="00390CC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7910B6">
      <w:rPr>
        <w:b/>
        <w:bCs/>
      </w:rPr>
      <w:fldChar w:fldCharType="begin"/>
    </w:r>
    <w:r>
      <w:rPr>
        <w:b/>
        <w:bCs/>
      </w:rPr>
      <w:instrText>styleref href</w:instrText>
    </w:r>
    <w:r w:rsidR="007910B6">
      <w:rPr>
        <w:b/>
        <w:bCs/>
      </w:rPr>
      <w:fldChar w:fldCharType="separate"/>
    </w:r>
    <w:r w:rsidR="00390CCD">
      <w:rPr>
        <w:b/>
        <w:bCs/>
        <w:noProof/>
      </w:rPr>
      <w:t>UIT-R  TF.1876</w:t>
    </w:r>
    <w:r w:rsidR="007910B6">
      <w:rPr>
        <w:b/>
        <w:bCs/>
      </w:rPr>
      <w:fldChar w:fldCharType="end"/>
    </w:r>
    <w:r>
      <w:tab/>
    </w:r>
    <w:r w:rsidR="007910B6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7910B6">
      <w:rPr>
        <w:rStyle w:val="PageNumber"/>
        <w:b/>
        <w:bCs/>
      </w:rPr>
      <w:fldChar w:fldCharType="separate"/>
    </w:r>
    <w:r w:rsidR="00390CCD">
      <w:rPr>
        <w:rStyle w:val="PageNumber"/>
        <w:b/>
        <w:bCs/>
        <w:noProof/>
      </w:rPr>
      <w:t>1</w:t>
    </w:r>
    <w:r w:rsidR="007910B6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B1717A"/>
    <w:rsid w:val="00017762"/>
    <w:rsid w:val="00025336"/>
    <w:rsid w:val="00110C19"/>
    <w:rsid w:val="001A3B41"/>
    <w:rsid w:val="00236E9D"/>
    <w:rsid w:val="00266EDC"/>
    <w:rsid w:val="00285062"/>
    <w:rsid w:val="002D1080"/>
    <w:rsid w:val="002D76C4"/>
    <w:rsid w:val="002E782D"/>
    <w:rsid w:val="00355DE8"/>
    <w:rsid w:val="00363835"/>
    <w:rsid w:val="00366CEE"/>
    <w:rsid w:val="00390CCD"/>
    <w:rsid w:val="004002B7"/>
    <w:rsid w:val="004532F7"/>
    <w:rsid w:val="005A59CA"/>
    <w:rsid w:val="005A6102"/>
    <w:rsid w:val="005C2C4E"/>
    <w:rsid w:val="00607D68"/>
    <w:rsid w:val="0061772B"/>
    <w:rsid w:val="006A2303"/>
    <w:rsid w:val="006B22C3"/>
    <w:rsid w:val="006B2DAD"/>
    <w:rsid w:val="00722893"/>
    <w:rsid w:val="00734355"/>
    <w:rsid w:val="00746AC6"/>
    <w:rsid w:val="007910B6"/>
    <w:rsid w:val="00847DD5"/>
    <w:rsid w:val="00880680"/>
    <w:rsid w:val="00880CD1"/>
    <w:rsid w:val="00975AEB"/>
    <w:rsid w:val="00A127C6"/>
    <w:rsid w:val="00A2667E"/>
    <w:rsid w:val="00A6617B"/>
    <w:rsid w:val="00A85173"/>
    <w:rsid w:val="00AB0DC8"/>
    <w:rsid w:val="00B1717A"/>
    <w:rsid w:val="00B44E24"/>
    <w:rsid w:val="00B87252"/>
    <w:rsid w:val="00BB77E9"/>
    <w:rsid w:val="00BE087B"/>
    <w:rsid w:val="00BF3AD7"/>
    <w:rsid w:val="00BF7841"/>
    <w:rsid w:val="00C560BD"/>
    <w:rsid w:val="00CE487B"/>
    <w:rsid w:val="00D12388"/>
    <w:rsid w:val="00D62884"/>
    <w:rsid w:val="00DA6AB0"/>
    <w:rsid w:val="00DE71F7"/>
    <w:rsid w:val="00DF4176"/>
    <w:rsid w:val="00E14E0B"/>
    <w:rsid w:val="00F95576"/>
    <w:rsid w:val="00FB5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782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2E782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E782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E782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E782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E782D"/>
    <w:pPr>
      <w:outlineLvl w:val="4"/>
    </w:pPr>
  </w:style>
  <w:style w:type="paragraph" w:styleId="Heading6">
    <w:name w:val="heading 6"/>
    <w:basedOn w:val="Heading4"/>
    <w:next w:val="Normal"/>
    <w:qFormat/>
    <w:rsid w:val="002E782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E782D"/>
    <w:pPr>
      <w:outlineLvl w:val="6"/>
    </w:pPr>
  </w:style>
  <w:style w:type="paragraph" w:styleId="Heading8">
    <w:name w:val="heading 8"/>
    <w:basedOn w:val="Heading6"/>
    <w:next w:val="Normal"/>
    <w:qFormat/>
    <w:rsid w:val="002E782D"/>
    <w:pPr>
      <w:outlineLvl w:val="7"/>
    </w:pPr>
  </w:style>
  <w:style w:type="paragraph" w:styleId="Heading9">
    <w:name w:val="heading 9"/>
    <w:basedOn w:val="Heading6"/>
    <w:next w:val="Normal"/>
    <w:qFormat/>
    <w:rsid w:val="002E782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E782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E782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E782D"/>
  </w:style>
  <w:style w:type="paragraph" w:customStyle="1" w:styleId="Headingb">
    <w:name w:val="Heading_b"/>
    <w:basedOn w:val="Heading3"/>
    <w:next w:val="Normal"/>
    <w:rsid w:val="002E782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E782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E782D"/>
  </w:style>
  <w:style w:type="paragraph" w:customStyle="1" w:styleId="enumlev1">
    <w:name w:val="enumlev1"/>
    <w:basedOn w:val="Normal"/>
    <w:rsid w:val="002E782D"/>
    <w:pPr>
      <w:spacing w:before="80"/>
      <w:ind w:left="794" w:hanging="794"/>
    </w:pPr>
  </w:style>
  <w:style w:type="paragraph" w:customStyle="1" w:styleId="enumlev2">
    <w:name w:val="enumlev2"/>
    <w:basedOn w:val="enumlev1"/>
    <w:rsid w:val="002E782D"/>
    <w:pPr>
      <w:ind w:left="1191" w:hanging="397"/>
    </w:pPr>
  </w:style>
  <w:style w:type="paragraph" w:customStyle="1" w:styleId="enumlev3">
    <w:name w:val="enumlev3"/>
    <w:basedOn w:val="enumlev2"/>
    <w:rsid w:val="002E782D"/>
    <w:pPr>
      <w:ind w:left="1588"/>
    </w:pPr>
  </w:style>
  <w:style w:type="paragraph" w:customStyle="1" w:styleId="Normalaftertitle">
    <w:name w:val="Normal_after_title"/>
    <w:basedOn w:val="Normal"/>
    <w:next w:val="Normal"/>
    <w:rsid w:val="002E782D"/>
    <w:pPr>
      <w:spacing w:before="320"/>
    </w:pPr>
  </w:style>
  <w:style w:type="paragraph" w:customStyle="1" w:styleId="Note">
    <w:name w:val="Note"/>
    <w:basedOn w:val="Normal"/>
    <w:rsid w:val="002E782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2E782D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2E782D"/>
    <w:pPr>
      <w:jc w:val="center"/>
    </w:pPr>
  </w:style>
  <w:style w:type="paragraph" w:customStyle="1" w:styleId="Recdate">
    <w:name w:val="Rec_date"/>
    <w:basedOn w:val="Recref"/>
    <w:next w:val="Normalaftertitle"/>
    <w:rsid w:val="002E782D"/>
    <w:pPr>
      <w:jc w:val="right"/>
    </w:pPr>
  </w:style>
  <w:style w:type="paragraph" w:customStyle="1" w:styleId="AnnexNoTitle">
    <w:name w:val="Annex_NoTitle"/>
    <w:basedOn w:val="Normal"/>
    <w:next w:val="Normalaftertitle"/>
    <w:rsid w:val="002E782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2E782D"/>
  </w:style>
  <w:style w:type="paragraph" w:customStyle="1" w:styleId="Tablefin">
    <w:name w:val="Table_fin"/>
    <w:basedOn w:val="Normal"/>
    <w:next w:val="Normal"/>
    <w:rsid w:val="002E782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E782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2E782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2E782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E782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2E782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E782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E782D"/>
    <w:pPr>
      <w:ind w:left="794"/>
    </w:pPr>
  </w:style>
  <w:style w:type="paragraph" w:customStyle="1" w:styleId="Figurelegend">
    <w:name w:val="Figure_legend"/>
    <w:basedOn w:val="Normal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E782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2E782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E782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E782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E782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E782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E782D"/>
    <w:rPr>
      <w:b/>
    </w:rPr>
  </w:style>
  <w:style w:type="paragraph" w:customStyle="1" w:styleId="Chaptitle">
    <w:name w:val="Chap_title"/>
    <w:basedOn w:val="Arttitle"/>
    <w:next w:val="Normalaftertitle"/>
    <w:rsid w:val="002E782D"/>
  </w:style>
  <w:style w:type="character" w:styleId="FootnoteReference">
    <w:name w:val="footnote reference"/>
    <w:basedOn w:val="DefaultParagraphFont"/>
    <w:semiHidden/>
    <w:rsid w:val="002E782D"/>
    <w:rPr>
      <w:position w:val="6"/>
      <w:sz w:val="18"/>
    </w:rPr>
  </w:style>
  <w:style w:type="paragraph" w:styleId="FootnoteText">
    <w:name w:val="footnote text"/>
    <w:basedOn w:val="Normal"/>
    <w:semiHidden/>
    <w:rsid w:val="002E782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2E782D"/>
  </w:style>
  <w:style w:type="paragraph" w:styleId="Index2">
    <w:name w:val="index 2"/>
    <w:basedOn w:val="Normal"/>
    <w:next w:val="Normal"/>
    <w:semiHidden/>
    <w:rsid w:val="002E782D"/>
    <w:pPr>
      <w:ind w:left="283"/>
    </w:pPr>
  </w:style>
  <w:style w:type="paragraph" w:styleId="Index3">
    <w:name w:val="index 3"/>
    <w:basedOn w:val="Normal"/>
    <w:next w:val="Normal"/>
    <w:semiHidden/>
    <w:rsid w:val="002E782D"/>
    <w:pPr>
      <w:ind w:left="566"/>
    </w:pPr>
  </w:style>
  <w:style w:type="paragraph" w:styleId="IndexHeading">
    <w:name w:val="index heading"/>
    <w:basedOn w:val="Normal"/>
    <w:next w:val="Index1"/>
    <w:semiHidden/>
    <w:rsid w:val="002E782D"/>
  </w:style>
  <w:style w:type="paragraph" w:customStyle="1" w:styleId="Line">
    <w:name w:val="Line"/>
    <w:basedOn w:val="Normal"/>
    <w:next w:val="Normal"/>
    <w:rsid w:val="002E782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E782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E782D"/>
  </w:style>
  <w:style w:type="paragraph" w:customStyle="1" w:styleId="Partref">
    <w:name w:val="Part_ref"/>
    <w:basedOn w:val="Normal"/>
    <w:next w:val="Normal"/>
    <w:rsid w:val="002E782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E782D"/>
  </w:style>
  <w:style w:type="paragraph" w:customStyle="1" w:styleId="QuestionNo">
    <w:name w:val="Question_No"/>
    <w:basedOn w:val="RecNo"/>
    <w:next w:val="Normal"/>
    <w:rsid w:val="002E782D"/>
  </w:style>
  <w:style w:type="paragraph" w:customStyle="1" w:styleId="Questionref">
    <w:name w:val="Question_ref"/>
    <w:basedOn w:val="Recref"/>
    <w:next w:val="Questiondate"/>
    <w:rsid w:val="002E782D"/>
  </w:style>
  <w:style w:type="paragraph" w:customStyle="1" w:styleId="Questiontitle">
    <w:name w:val="Question_title"/>
    <w:basedOn w:val="Normal"/>
    <w:next w:val="Questionref"/>
    <w:rsid w:val="002E782D"/>
  </w:style>
  <w:style w:type="paragraph" w:customStyle="1" w:styleId="Reftext">
    <w:name w:val="Ref_text"/>
    <w:basedOn w:val="Normal"/>
    <w:rsid w:val="002E782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2E782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E782D"/>
  </w:style>
  <w:style w:type="paragraph" w:customStyle="1" w:styleId="RepNo">
    <w:name w:val="Rep_No"/>
    <w:basedOn w:val="RecNo"/>
    <w:next w:val="Reptitle"/>
    <w:rsid w:val="002E782D"/>
  </w:style>
  <w:style w:type="paragraph" w:customStyle="1" w:styleId="Repref">
    <w:name w:val="Rep_ref"/>
    <w:basedOn w:val="Recref"/>
    <w:next w:val="Repdate"/>
    <w:rsid w:val="002E782D"/>
  </w:style>
  <w:style w:type="paragraph" w:customStyle="1" w:styleId="Reptitle">
    <w:name w:val="Rep_title"/>
    <w:basedOn w:val="Rectitle"/>
    <w:next w:val="Repref"/>
    <w:rsid w:val="002E782D"/>
  </w:style>
  <w:style w:type="paragraph" w:customStyle="1" w:styleId="Resdate">
    <w:name w:val="Res_date"/>
    <w:basedOn w:val="Recdate"/>
    <w:next w:val="Normalaftertitle"/>
    <w:rsid w:val="002E782D"/>
  </w:style>
  <w:style w:type="paragraph" w:customStyle="1" w:styleId="ResNo">
    <w:name w:val="Res_No"/>
    <w:basedOn w:val="RecNo"/>
    <w:next w:val="Restitle"/>
    <w:rsid w:val="002E782D"/>
  </w:style>
  <w:style w:type="paragraph" w:customStyle="1" w:styleId="Resref">
    <w:name w:val="Res_ref"/>
    <w:basedOn w:val="Recref"/>
    <w:next w:val="Resdate"/>
    <w:rsid w:val="002E782D"/>
  </w:style>
  <w:style w:type="paragraph" w:customStyle="1" w:styleId="Restitle">
    <w:name w:val="Res_title"/>
    <w:basedOn w:val="Normal"/>
    <w:next w:val="Resref"/>
    <w:rsid w:val="002E782D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2E782D"/>
  </w:style>
  <w:style w:type="paragraph" w:customStyle="1" w:styleId="Sectiontitle">
    <w:name w:val="Section_title"/>
    <w:basedOn w:val="Normal"/>
    <w:next w:val="Normalaftertitle"/>
    <w:rsid w:val="002E782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E782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E782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E782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E782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E782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E782D"/>
  </w:style>
  <w:style w:type="paragraph" w:styleId="TOC6">
    <w:name w:val="toc 6"/>
    <w:basedOn w:val="TOC4"/>
    <w:semiHidden/>
    <w:rsid w:val="002E782D"/>
  </w:style>
  <w:style w:type="paragraph" w:styleId="TOC7">
    <w:name w:val="toc 7"/>
    <w:basedOn w:val="TOC4"/>
    <w:semiHidden/>
    <w:rsid w:val="002E782D"/>
  </w:style>
  <w:style w:type="paragraph" w:styleId="TOC8">
    <w:name w:val="toc 8"/>
    <w:basedOn w:val="TOC4"/>
    <w:semiHidden/>
    <w:rsid w:val="002E782D"/>
  </w:style>
  <w:style w:type="paragraph" w:customStyle="1" w:styleId="Rectitle">
    <w:name w:val="Rec_title"/>
    <w:basedOn w:val="Normal"/>
    <w:next w:val="Recref"/>
    <w:rsid w:val="002E782D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2E782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E782D"/>
  </w:style>
  <w:style w:type="paragraph" w:customStyle="1" w:styleId="Figuretitle">
    <w:name w:val="Figure_title"/>
    <w:basedOn w:val="Normal"/>
    <w:next w:val="Figure"/>
    <w:rsid w:val="002E782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2E782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E782D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2E782D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LegendNote">
    <w:name w:val="Table_Legend_Note"/>
    <w:basedOn w:val="Tablelegend"/>
    <w:next w:val="Tablelegend"/>
    <w:rsid w:val="002E782D"/>
    <w:pPr>
      <w:ind w:left="-85" w:firstLine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88</TotalTime>
  <Pages>4</Pages>
  <Words>947</Words>
  <Characters>5453</Characters>
  <Application>Microsoft Office Word</Application>
  <DocSecurity>0</DocSecurity>
  <Lines>320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6277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martiner</cp:lastModifiedBy>
  <cp:revision>13</cp:revision>
  <cp:lastPrinted>2010-09-14T08:04:00Z</cp:lastPrinted>
  <dcterms:created xsi:type="dcterms:W3CDTF">2010-09-13T08:54:00Z</dcterms:created>
  <dcterms:modified xsi:type="dcterms:W3CDTF">2010-09-14T08:29:00Z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