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F80" w:rsidRDefault="005C2F80">
      <w:pPr>
        <w:pStyle w:val="Rec"/>
        <w:spacing w:before="0"/>
      </w:pPr>
      <w:r>
        <w:t>RECOMMENDATION  ITU-R  SM.856-1</w:t>
      </w:r>
      <w:r w:rsidR="002038E0">
        <w:rPr>
          <w:rStyle w:val="FootnoteReference"/>
        </w:rPr>
        <w:footnoteReference w:customMarkFollows="1" w:id="1"/>
        <w:t>*</w:t>
      </w:r>
    </w:p>
    <w:p w:rsidR="005C2F80" w:rsidRDefault="005C2F80">
      <w:pPr>
        <w:pStyle w:val="RecTitle"/>
      </w:pPr>
      <w:r>
        <w:t>NEW  SPECTRALLY  EFFICIENT  TECHNIQUES  AND  SYSTEMS</w:t>
      </w:r>
    </w:p>
    <w:p w:rsidR="005C2F80" w:rsidRDefault="005C2F80">
      <w:pPr>
        <w:pStyle w:val="RecTitleDate"/>
      </w:pPr>
      <w:r>
        <w:t>(1992-1997)</w:t>
      </w:r>
    </w:p>
    <w:p w:rsidR="00FD615B" w:rsidRPr="00960CE3" w:rsidRDefault="00FD615B" w:rsidP="00960CE3">
      <w:pPr>
        <w:pStyle w:val="HeadingSum"/>
        <w:spacing w:before="360"/>
        <w:rPr>
          <w:lang w:val="en-GB"/>
        </w:rPr>
      </w:pPr>
      <w:r w:rsidRPr="00960CE3">
        <w:rPr>
          <w:lang w:val="en-GB"/>
        </w:rPr>
        <w:t>Scope</w:t>
      </w:r>
    </w:p>
    <w:p w:rsidR="00FD615B" w:rsidRPr="00960CE3" w:rsidRDefault="00FD615B" w:rsidP="00960CE3">
      <w:pPr>
        <w:pStyle w:val="HeadingSum"/>
        <w:spacing w:before="360"/>
        <w:rPr>
          <w:b w:val="0"/>
          <w:lang w:val="en-GB"/>
        </w:rPr>
      </w:pPr>
      <w:r w:rsidRPr="00960CE3">
        <w:rPr>
          <w:b w:val="0"/>
          <w:lang w:val="en-GB"/>
        </w:rPr>
        <w:t>This Recommendation provides additional methods to reduce interference and impr</w:t>
      </w:r>
      <w:bookmarkStart w:id="0" w:name="_GoBack"/>
      <w:bookmarkEnd w:id="0"/>
      <w:r w:rsidRPr="00960CE3">
        <w:rPr>
          <w:b w:val="0"/>
          <w:lang w:val="en-GB"/>
        </w:rPr>
        <w:t>ove spectrum</w:t>
      </w:r>
      <w:r w:rsidRPr="00960CE3">
        <w:rPr>
          <w:lang w:val="en-GB"/>
        </w:rPr>
        <w:t xml:space="preserve"> </w:t>
      </w:r>
      <w:r w:rsidRPr="00960CE3">
        <w:rPr>
          <w:b w:val="0"/>
          <w:lang w:val="en-GB"/>
        </w:rPr>
        <w:t xml:space="preserve">utilization. </w:t>
      </w:r>
    </w:p>
    <w:p w:rsidR="00FD615B" w:rsidRPr="00960CE3" w:rsidRDefault="00FD615B" w:rsidP="00960CE3">
      <w:pPr>
        <w:pStyle w:val="Headingb"/>
        <w:rPr>
          <w:rFonts w:eastAsiaTheme="minorEastAsia"/>
          <w:lang w:val="en-GB"/>
        </w:rPr>
      </w:pPr>
      <w:r w:rsidRPr="00960CE3">
        <w:rPr>
          <w:rFonts w:eastAsiaTheme="minorEastAsia"/>
          <w:lang w:val="en-GB"/>
        </w:rPr>
        <w:t>Keywords</w:t>
      </w:r>
    </w:p>
    <w:p w:rsidR="005C2F80" w:rsidRDefault="00FD615B">
      <w:r w:rsidRPr="00FD615B">
        <w:t xml:space="preserve">Adaptive antenna, re-use distance, co-channel, coverage area </w:t>
      </w:r>
    </w:p>
    <w:p w:rsidR="005C2F80" w:rsidRDefault="005C2F80">
      <w:pPr>
        <w:pStyle w:val="headfoot"/>
        <w:rPr>
          <w:color w:val="FFFFFF"/>
        </w:rPr>
      </w:pPr>
      <w:r>
        <w:rPr>
          <w:color w:val="FFFFFF"/>
        </w:rPr>
        <w:t>Rec. ITU-R SM.856-1</w:t>
      </w:r>
    </w:p>
    <w:p w:rsidR="005C2F80" w:rsidRDefault="005C2F80" w:rsidP="00FD615B">
      <w:pPr>
        <w:pStyle w:val="Normalaftertitle"/>
        <w:spacing w:before="240"/>
      </w:pPr>
      <w:r>
        <w:t>The ITU Radiocommunication Assembly,</w:t>
      </w:r>
    </w:p>
    <w:p w:rsidR="005C2F80" w:rsidRDefault="005C2F80">
      <w:pPr>
        <w:pStyle w:val="call"/>
      </w:pPr>
      <w:r>
        <w:t>considering</w:t>
      </w:r>
    </w:p>
    <w:p w:rsidR="005C2F80" w:rsidRDefault="005C2F80">
      <w:r>
        <w:t>a)</w:t>
      </w:r>
      <w:r>
        <w:tab/>
        <w:t>that the radio spectrum is a limited resource;</w:t>
      </w:r>
    </w:p>
    <w:p w:rsidR="005C2F80" w:rsidRDefault="005C2F80">
      <w:r>
        <w:t>b)</w:t>
      </w:r>
      <w:r>
        <w:tab/>
        <w:t>that there is spectrum congestion in certain frequency bands in populated areas;</w:t>
      </w:r>
    </w:p>
    <w:p w:rsidR="005C2F80" w:rsidRDefault="005C2F80">
      <w:r>
        <w:t>c)</w:t>
      </w:r>
      <w:r>
        <w:tab/>
        <w:t>that when the system design parameters and geographical distribution of stations are both known, improved technical planning can enhance usage of the frequency spectrum;</w:t>
      </w:r>
    </w:p>
    <w:p w:rsidR="005C2F80" w:rsidRDefault="005C2F80">
      <w:r>
        <w:t>d)</w:t>
      </w:r>
      <w:r>
        <w:tab/>
        <w:t>that due to the rapid development of different radio services, sharing conditions in many frequency bands are becoming increasingly difficult;</w:t>
      </w:r>
    </w:p>
    <w:p w:rsidR="005C2F80" w:rsidRDefault="005C2F80">
      <w:r>
        <w:t>e)</w:t>
      </w:r>
      <w:r>
        <w:tab/>
        <w:t>that in many cases it is difficult or impossible to ensure sharing by conventional geographic or frequency separation;</w:t>
      </w:r>
    </w:p>
    <w:p w:rsidR="005C2F80" w:rsidRDefault="005C2F80">
      <w:r>
        <w:t>f)</w:t>
      </w:r>
      <w:r>
        <w:tab/>
        <w:t>that the advance of technology has made possible the introduction of new spectrally efficient techniques and systems;</w:t>
      </w:r>
    </w:p>
    <w:p w:rsidR="005C2F80" w:rsidRDefault="005C2F80">
      <w:r>
        <w:t>g)</w:t>
      </w:r>
      <w:r>
        <w:tab/>
        <w:t>that the use of interference cancellers could enable otherwise interfering links to operate simultaneously;</w:t>
      </w:r>
    </w:p>
    <w:p w:rsidR="005C2F80" w:rsidRDefault="005C2F80">
      <w:r>
        <w:t>h)</w:t>
      </w:r>
      <w:r>
        <w:tab/>
        <w:t>that special screens improve antenna spatial selectivity;</w:t>
      </w:r>
    </w:p>
    <w:p w:rsidR="005C2F80" w:rsidRDefault="005C2F80">
      <w:r>
        <w:t>j)</w:t>
      </w:r>
      <w:r>
        <w:tab/>
        <w:t>that adaptive antenna systems reduce interference on shared frequencies,</w:t>
      </w:r>
    </w:p>
    <w:p w:rsidR="005C2F80" w:rsidRDefault="005C2F80">
      <w:pPr>
        <w:pStyle w:val="call"/>
      </w:pPr>
      <w:r>
        <w:t>recommends</w:t>
      </w:r>
    </w:p>
    <w:p w:rsidR="005C2F80" w:rsidRDefault="005C2F80">
      <w:r>
        <w:rPr>
          <w:b/>
        </w:rPr>
        <w:t>1</w:t>
      </w:r>
      <w:r>
        <w:tab/>
        <w:t>that interference cancellers, screens and adaptive antennas (see Annex 1 for an example) should be considered for use as additional methods to reduce interference and improve spectrum utilization by enabling otherwise interfering links to operate simultaneously with a minimum of interference.</w:t>
      </w:r>
    </w:p>
    <w:p w:rsidR="005C2F80" w:rsidRDefault="005C2F80">
      <w:pPr>
        <w:pStyle w:val="Note"/>
      </w:pPr>
      <w:r>
        <w:t>NOTE 1 – Future examples will be included with the objective of increasing spectrum utilization.</w:t>
      </w:r>
    </w:p>
    <w:p w:rsidR="005C2F80" w:rsidRDefault="005C2F80">
      <w:pPr>
        <w:pStyle w:val="Annex"/>
      </w:pPr>
      <w:r>
        <w:t>ANNEX  1</w:t>
      </w:r>
    </w:p>
    <w:p w:rsidR="005C2F80" w:rsidRDefault="005C2F80">
      <w:pPr>
        <w:pStyle w:val="AnnexTitle"/>
      </w:pPr>
      <w:r>
        <w:t>Reduction of base station co-channel re-use distance</w:t>
      </w:r>
      <w:r>
        <w:br/>
        <w:t>using adaptive antenna techniques</w:t>
      </w:r>
    </w:p>
    <w:p w:rsidR="005C2F80" w:rsidRDefault="005C2F80">
      <w:pPr>
        <w:pStyle w:val="Normalaftertitle"/>
      </w:pPr>
      <w:r>
        <w:t xml:space="preserve">In conventional frequency planning the re-use distances between co-channel base stations in the land mobile service have to be sufficiently separated so that interference does not occur. Studies found that if adaptive antennas are used, additional co-channel base stations can be inserted in a service area such that the resulting separation of all base stations can be reduced by a factor of about 0.625, with minimal impact on their coverage areas. This reduced frequency re-use distance effectively increases the service capacity of the frequency spectrum, by allowing channels to be used more </w:t>
      </w:r>
      <w:r>
        <w:lastRenderedPageBreak/>
        <w:t>frequently in a service area, leaving other channels free to cover other service areas. In order to show that using adaptive antennas is a spectrally efficient technology, a study was conducted to demonstrate its effectiveness.</w:t>
      </w:r>
    </w:p>
    <w:p w:rsidR="005C2F80" w:rsidRDefault="005C2F80">
      <w:pPr>
        <w:pStyle w:val="Heading1"/>
      </w:pPr>
      <w:r>
        <w:br w:type="page"/>
      </w:r>
      <w:r>
        <w:lastRenderedPageBreak/>
        <w:t>1</w:t>
      </w:r>
      <w:r>
        <w:tab/>
        <w:t>Reduced re-use distance scenario</w:t>
      </w:r>
    </w:p>
    <w:p w:rsidR="005C2F80" w:rsidRDefault="005C2F80">
      <w:pPr>
        <w:tabs>
          <w:tab w:val="left" w:pos="-720"/>
        </w:tabs>
      </w:pPr>
      <w:r>
        <w:t>Simplex co-channel base stations are usually separated sufficiently (by about 120 km) so that interference does not occur and each operates as a “stand-alone” system. In this study they are purposely situated closer together, at about two thirds of the normal separation distance or 80 km, so that each is “jamming” the other, effectively reducing their coverage areas. An adaptive array antenna is then deployed at each base station to restore “normal” operation at the reduced separation distance.</w:t>
      </w:r>
    </w:p>
    <w:p w:rsidR="005C2F80" w:rsidRDefault="005C2F80">
      <w:pPr>
        <w:pStyle w:val="Heading1"/>
      </w:pPr>
      <w:r>
        <w:t>2</w:t>
      </w:r>
      <w:r>
        <w:tab/>
        <w:t>Characterization of the adaptive antennas</w:t>
      </w:r>
    </w:p>
    <w:p w:rsidR="005C2F80" w:rsidRDefault="005C2F80">
      <w:pPr>
        <w:tabs>
          <w:tab w:val="left" w:pos="-720"/>
        </w:tabs>
      </w:pPr>
      <w:r>
        <w:t>The adaptive antenna used is a simple side lobe canceller with auxiliary (AUX) antennas combined with the conventional (MAIN) antenna via complex adaptive coefficients (weights; see Figs. 1 and 2). Based on inputs from each element of the array of auxiliary antennas and on the sum of the main signal antenna and the sum of the array of auxiliary antennas, an algorithm determines the coefficients which are used to weigh the signal of each element of the array of auxiliary antennas. The adaptive array antenna is only activated when the interferer exceeds a certain signal strength level with respect to the desired signal, say 6 dB. The description of this activation is not in the scope of the present study, but could be based on the successful demodulation of squelch tones, for example.</w:t>
      </w:r>
    </w:p>
    <w:p w:rsidR="005C2F80" w:rsidRDefault="005C2F80">
      <w:pPr>
        <w:pStyle w:val="Heading1"/>
      </w:pPr>
      <w:r>
        <w:t>3</w:t>
      </w:r>
      <w:r>
        <w:tab/>
        <w:t>Computing coverage area</w:t>
      </w:r>
    </w:p>
    <w:p w:rsidR="005C2F80" w:rsidRDefault="005C2F80">
      <w:pPr>
        <w:tabs>
          <w:tab w:val="left" w:pos="-720"/>
        </w:tabs>
      </w:pPr>
      <w:r>
        <w:t xml:space="preserve">In the study typical values of parameters used for the modelling of minimum re-use separation for the VHF band are summarized in Table 1. </w:t>
      </w:r>
    </w:p>
    <w:p w:rsidR="005C2F80" w:rsidRDefault="005C2F80">
      <w:pPr>
        <w:tabs>
          <w:tab w:val="left" w:pos="-720"/>
        </w:tabs>
      </w:pPr>
    </w:p>
    <w:p w:rsidR="005C2F80" w:rsidRDefault="005C2F80">
      <w:pPr>
        <w:tabs>
          <w:tab w:val="left" w:pos="-720"/>
        </w:tabs>
      </w:pPr>
    </w:p>
    <w:p w:rsidR="005C2F80" w:rsidRDefault="005C2F80">
      <w:pPr>
        <w:pStyle w:val="Fig"/>
      </w:pPr>
      <w:r>
        <w:object w:dxaOrig="8204" w:dyaOrig="5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5pt;height:272.25pt" o:ole="">
            <v:imagedata r:id="rId7" o:title=""/>
          </v:shape>
          <o:OLEObject Type="Embed" ProgID="Word.Document.8" ShapeID="_x0000_i1025" DrawAspect="Content" ObjectID="_1648639182" r:id="rId8"/>
        </w:object>
      </w:r>
    </w:p>
    <w:p w:rsidR="005C2F80" w:rsidRDefault="005C2F80">
      <w:pPr>
        <w:pStyle w:val="Fig0"/>
        <w:rPr>
          <w:lang w:val="en-GB"/>
        </w:rPr>
      </w:pPr>
      <w:r>
        <w:rPr>
          <w:lang w:val="en-GB"/>
        </w:rPr>
        <w:t xml:space="preserve">FIGURE  1/856-01...[D01] = 3 CM </w:t>
      </w:r>
    </w:p>
    <w:p w:rsidR="005C2F80" w:rsidRDefault="005C2F80">
      <w:pPr>
        <w:pStyle w:val="Fig"/>
      </w:pPr>
      <w:r>
        <w:br w:type="page"/>
      </w:r>
      <w:r>
        <w:object w:dxaOrig="7719" w:dyaOrig="7940">
          <v:shape id="_x0000_i1026" type="#_x0000_t75" style="width:386.25pt;height:397.5pt" o:ole="">
            <v:imagedata r:id="rId9" o:title=""/>
          </v:shape>
          <o:OLEObject Type="Embed" ProgID="Designer.Drawing.6" ShapeID="_x0000_i1026" DrawAspect="Content" ObjectID="_1648639183" r:id="rId10"/>
        </w:object>
      </w:r>
    </w:p>
    <w:p w:rsidR="005C2F80" w:rsidRDefault="005C2F80">
      <w:pPr>
        <w:pStyle w:val="Fig0"/>
        <w:rPr>
          <w:lang w:val="en-GB"/>
        </w:rPr>
      </w:pPr>
      <w:r>
        <w:rPr>
          <w:lang w:val="en-GB"/>
        </w:rPr>
        <w:t xml:space="preserve">FIGURE  2/856-02...[D02] = 3 CM </w:t>
      </w:r>
    </w:p>
    <w:p w:rsidR="005C2F80" w:rsidRDefault="005C2F80">
      <w:pPr>
        <w:pStyle w:val="Table"/>
      </w:pPr>
      <w:r>
        <w:t>TABLE  1</w:t>
      </w:r>
    </w:p>
    <w:p w:rsidR="005C2F80" w:rsidRDefault="005C2F80">
      <w:pPr>
        <w:pStyle w:val="TableTitle"/>
      </w:pPr>
      <w:r>
        <w:t>Simplex LMR base station default parameters at VHF</w:t>
      </w:r>
    </w:p>
    <w:p w:rsidR="005C2F80" w:rsidRDefault="005C2F80">
      <w:pPr>
        <w:pStyle w:val="Blanc"/>
      </w:pPr>
    </w:p>
    <w:tbl>
      <w:tblPr>
        <w:tblW w:w="0" w:type="auto"/>
        <w:tblInd w:w="-113" w:type="dxa"/>
        <w:tblLayout w:type="fixed"/>
        <w:tblCellMar>
          <w:left w:w="107" w:type="dxa"/>
          <w:right w:w="107" w:type="dxa"/>
        </w:tblCellMar>
        <w:tblLook w:val="0000" w:firstRow="0" w:lastRow="0" w:firstColumn="0" w:lastColumn="0" w:noHBand="0" w:noVBand="0"/>
      </w:tblPr>
      <w:tblGrid>
        <w:gridCol w:w="1809"/>
        <w:gridCol w:w="2835"/>
        <w:gridCol w:w="1253"/>
        <w:gridCol w:w="1374"/>
        <w:gridCol w:w="1168"/>
        <w:gridCol w:w="1293"/>
      </w:tblGrid>
      <w:tr w:rsidR="005C2F80">
        <w:trPr>
          <w:cantSplit/>
        </w:trPr>
        <w:tc>
          <w:tcPr>
            <w:tcW w:w="1809" w:type="dxa"/>
            <w:tcBorders>
              <w:top w:val="single" w:sz="6" w:space="0" w:color="auto"/>
              <w:left w:val="single" w:sz="6" w:space="0" w:color="auto"/>
              <w:bottom w:val="single" w:sz="6" w:space="0" w:color="auto"/>
              <w:right w:val="single" w:sz="6" w:space="0" w:color="auto"/>
            </w:tcBorders>
          </w:tcPr>
          <w:p w:rsidR="005C2F80" w:rsidRDefault="005C2F80">
            <w:pPr>
              <w:pStyle w:val="TableText"/>
              <w:framePr w:hSpace="181" w:wrap="notBeside" w:vAnchor="text" w:hAnchor="page" w:xAlign="center" w:y="1"/>
              <w:jc w:val="center"/>
            </w:pPr>
            <w:r>
              <w:t>Transmitter power</w:t>
            </w:r>
          </w:p>
        </w:tc>
        <w:tc>
          <w:tcPr>
            <w:tcW w:w="2835" w:type="dxa"/>
            <w:tcBorders>
              <w:top w:val="single" w:sz="6" w:space="0" w:color="auto"/>
              <w:left w:val="single" w:sz="6" w:space="0" w:color="auto"/>
              <w:bottom w:val="single" w:sz="6" w:space="0" w:color="auto"/>
              <w:right w:val="single" w:sz="6" w:space="0" w:color="auto"/>
            </w:tcBorders>
          </w:tcPr>
          <w:p w:rsidR="005C2F80" w:rsidRDefault="005C2F80">
            <w:pPr>
              <w:pStyle w:val="TableText"/>
              <w:framePr w:hSpace="181" w:wrap="notBeside" w:vAnchor="text" w:hAnchor="page" w:xAlign="center" w:y="1"/>
              <w:jc w:val="center"/>
            </w:pPr>
            <w:r>
              <w:t>Minimum power received</w:t>
            </w:r>
            <w:r>
              <w:br/>
              <w:t>for the mobile, </w:t>
            </w:r>
            <w:r>
              <w:rPr>
                <w:i/>
              </w:rPr>
              <w:t>P</w:t>
            </w:r>
            <w:r>
              <w:rPr>
                <w:i/>
                <w:position w:val="-4"/>
                <w:sz w:val="14"/>
              </w:rPr>
              <w:t>r</w:t>
            </w:r>
          </w:p>
        </w:tc>
        <w:tc>
          <w:tcPr>
            <w:tcW w:w="2625" w:type="dxa"/>
            <w:gridSpan w:val="2"/>
            <w:tcBorders>
              <w:top w:val="single" w:sz="6" w:space="0" w:color="auto"/>
              <w:left w:val="single" w:sz="6" w:space="0" w:color="auto"/>
              <w:bottom w:val="single" w:sz="6" w:space="0" w:color="auto"/>
              <w:right w:val="single" w:sz="6" w:space="0" w:color="auto"/>
            </w:tcBorders>
          </w:tcPr>
          <w:p w:rsidR="005C2F80" w:rsidRDefault="005C2F80">
            <w:pPr>
              <w:pStyle w:val="TableText"/>
              <w:framePr w:hSpace="181" w:wrap="notBeside" w:vAnchor="text" w:hAnchor="page" w:xAlign="center" w:y="1"/>
              <w:jc w:val="center"/>
            </w:pPr>
            <w:r>
              <w:t>Base transmission/reception</w:t>
            </w:r>
            <w:r>
              <w:br/>
              <w:t>antenna</w:t>
            </w:r>
          </w:p>
        </w:tc>
        <w:tc>
          <w:tcPr>
            <w:tcW w:w="2461" w:type="dxa"/>
            <w:gridSpan w:val="2"/>
            <w:tcBorders>
              <w:top w:val="single" w:sz="6" w:space="0" w:color="auto"/>
              <w:left w:val="single" w:sz="6" w:space="0" w:color="auto"/>
              <w:bottom w:val="single" w:sz="6" w:space="0" w:color="auto"/>
              <w:right w:val="single" w:sz="6" w:space="0" w:color="auto"/>
            </w:tcBorders>
          </w:tcPr>
          <w:p w:rsidR="005C2F80" w:rsidRDefault="005C2F80">
            <w:pPr>
              <w:pStyle w:val="TableText"/>
              <w:framePr w:hSpace="181" w:wrap="notBeside" w:vAnchor="text" w:hAnchor="page" w:xAlign="center" w:y="1"/>
              <w:jc w:val="center"/>
            </w:pPr>
            <w:r>
              <w:t>Mobile station antenna</w:t>
            </w:r>
          </w:p>
        </w:tc>
      </w:tr>
      <w:tr w:rsidR="005C2F80">
        <w:trPr>
          <w:cantSplit/>
        </w:trPr>
        <w:tc>
          <w:tcPr>
            <w:tcW w:w="1809" w:type="dxa"/>
            <w:tcBorders>
              <w:top w:val="single" w:sz="6" w:space="0" w:color="auto"/>
              <w:left w:val="single" w:sz="6" w:space="0" w:color="auto"/>
              <w:bottom w:val="single" w:sz="6" w:space="0" w:color="auto"/>
              <w:right w:val="single" w:sz="6" w:space="0" w:color="auto"/>
            </w:tcBorders>
          </w:tcPr>
          <w:p w:rsidR="005C2F80" w:rsidRDefault="005C2F80">
            <w:pPr>
              <w:pStyle w:val="TableText"/>
              <w:framePr w:hSpace="181" w:wrap="notBeside" w:vAnchor="text" w:hAnchor="page" w:xAlign="center" w:y="1"/>
              <w:jc w:val="left"/>
            </w:pPr>
            <w:r>
              <w:rPr>
                <w:i/>
              </w:rPr>
              <w:t>P</w:t>
            </w:r>
            <w:r>
              <w:rPr>
                <w:i/>
                <w:position w:val="-4"/>
                <w:sz w:val="14"/>
              </w:rPr>
              <w:t>t</w:t>
            </w:r>
            <w:r>
              <w:t> </w:t>
            </w:r>
            <w:r>
              <w:rPr>
                <w:rFonts w:ascii="Symbol" w:hAnsi="Symbol"/>
                <w:i/>
              </w:rPr>
              <w:t></w:t>
            </w:r>
            <w:r>
              <w:t> 30 W</w:t>
            </w:r>
          </w:p>
        </w:tc>
        <w:tc>
          <w:tcPr>
            <w:tcW w:w="2835" w:type="dxa"/>
            <w:tcBorders>
              <w:top w:val="single" w:sz="6" w:space="0" w:color="auto"/>
              <w:left w:val="single" w:sz="6" w:space="0" w:color="auto"/>
              <w:bottom w:val="single" w:sz="6" w:space="0" w:color="auto"/>
              <w:right w:val="single" w:sz="6" w:space="0" w:color="auto"/>
            </w:tcBorders>
          </w:tcPr>
          <w:p w:rsidR="005C2F80" w:rsidRDefault="005C2F80">
            <w:pPr>
              <w:pStyle w:val="TableText"/>
              <w:framePr w:hSpace="181" w:wrap="notBeside" w:vAnchor="text" w:hAnchor="page" w:xAlign="center" w:y="1"/>
              <w:jc w:val="left"/>
            </w:pPr>
            <w:r>
              <w:t xml:space="preserve">10 log 10 </w:t>
            </w:r>
            <w:r>
              <w:rPr>
                <w:i/>
              </w:rPr>
              <w:t>P</w:t>
            </w:r>
            <w:r>
              <w:rPr>
                <w:i/>
                <w:position w:val="-4"/>
                <w:sz w:val="14"/>
              </w:rPr>
              <w:t>r</w:t>
            </w:r>
            <w:r>
              <w:t> </w:t>
            </w:r>
            <w:r>
              <w:rPr>
                <w:rFonts w:ascii="Symbol" w:hAnsi="Symbol"/>
              </w:rPr>
              <w:t></w:t>
            </w:r>
            <w:r>
              <w:t> –139 dBW</w:t>
            </w:r>
          </w:p>
        </w:tc>
        <w:tc>
          <w:tcPr>
            <w:tcW w:w="1253" w:type="dxa"/>
            <w:tcBorders>
              <w:top w:val="single" w:sz="6" w:space="0" w:color="auto"/>
              <w:left w:val="single" w:sz="6" w:space="0" w:color="auto"/>
              <w:bottom w:val="single" w:sz="6" w:space="0" w:color="auto"/>
              <w:right w:val="single" w:sz="6" w:space="0" w:color="auto"/>
            </w:tcBorders>
          </w:tcPr>
          <w:p w:rsidR="005C2F80" w:rsidRDefault="005C2F80">
            <w:pPr>
              <w:pStyle w:val="TableText"/>
              <w:framePr w:hSpace="181" w:wrap="notBeside" w:vAnchor="text" w:hAnchor="page" w:xAlign="center" w:y="1"/>
              <w:jc w:val="left"/>
            </w:pPr>
            <w:r>
              <w:rPr>
                <w:i/>
              </w:rPr>
              <w:t>h</w:t>
            </w:r>
            <w:r>
              <w:rPr>
                <w:i/>
                <w:position w:val="-4"/>
                <w:sz w:val="14"/>
              </w:rPr>
              <w:t>t</w:t>
            </w:r>
            <w:r>
              <w:t> </w:t>
            </w:r>
            <w:r>
              <w:rPr>
                <w:rFonts w:ascii="Symbol" w:hAnsi="Symbol"/>
              </w:rPr>
              <w:t></w:t>
            </w:r>
            <w:r>
              <w:t> 45 m</w:t>
            </w:r>
          </w:p>
        </w:tc>
        <w:tc>
          <w:tcPr>
            <w:tcW w:w="1372" w:type="dxa"/>
            <w:tcBorders>
              <w:top w:val="single" w:sz="6" w:space="0" w:color="auto"/>
              <w:left w:val="single" w:sz="6" w:space="0" w:color="auto"/>
              <w:bottom w:val="single" w:sz="6" w:space="0" w:color="auto"/>
              <w:right w:val="single" w:sz="6" w:space="0" w:color="auto"/>
            </w:tcBorders>
          </w:tcPr>
          <w:p w:rsidR="005C2F80" w:rsidRDefault="005C2F80">
            <w:pPr>
              <w:pStyle w:val="TableText"/>
              <w:framePr w:hSpace="181" w:wrap="notBeside" w:vAnchor="text" w:hAnchor="page" w:xAlign="center" w:y="1"/>
              <w:jc w:val="left"/>
            </w:pPr>
            <w:r>
              <w:rPr>
                <w:i/>
              </w:rPr>
              <w:t>g</w:t>
            </w:r>
            <w:r>
              <w:rPr>
                <w:i/>
                <w:position w:val="-4"/>
              </w:rPr>
              <w:t>t</w:t>
            </w:r>
            <w:r>
              <w:t> </w:t>
            </w:r>
            <w:r>
              <w:rPr>
                <w:rFonts w:ascii="Symbol" w:hAnsi="Symbol"/>
              </w:rPr>
              <w:t></w:t>
            </w:r>
            <w:r>
              <w:t> 0 dB</w:t>
            </w:r>
          </w:p>
        </w:tc>
        <w:tc>
          <w:tcPr>
            <w:tcW w:w="1168" w:type="dxa"/>
            <w:tcBorders>
              <w:top w:val="single" w:sz="6" w:space="0" w:color="auto"/>
              <w:left w:val="single" w:sz="6" w:space="0" w:color="auto"/>
              <w:bottom w:val="single" w:sz="6" w:space="0" w:color="auto"/>
              <w:right w:val="single" w:sz="6" w:space="0" w:color="auto"/>
            </w:tcBorders>
          </w:tcPr>
          <w:p w:rsidR="005C2F80" w:rsidRDefault="005C2F80">
            <w:pPr>
              <w:pStyle w:val="TableText"/>
              <w:framePr w:hSpace="181" w:wrap="notBeside" w:vAnchor="text" w:hAnchor="page" w:xAlign="center" w:y="1"/>
              <w:jc w:val="left"/>
            </w:pPr>
            <w:r>
              <w:rPr>
                <w:i/>
              </w:rPr>
              <w:t>h</w:t>
            </w:r>
            <w:r>
              <w:rPr>
                <w:i/>
                <w:position w:val="-4"/>
                <w:sz w:val="14"/>
              </w:rPr>
              <w:t>r</w:t>
            </w:r>
            <w:r>
              <w:t> </w:t>
            </w:r>
            <w:r>
              <w:rPr>
                <w:rFonts w:ascii="Symbol" w:hAnsi="Symbol"/>
              </w:rPr>
              <w:t></w:t>
            </w:r>
            <w:r>
              <w:t> 2 m</w:t>
            </w:r>
          </w:p>
        </w:tc>
        <w:tc>
          <w:tcPr>
            <w:tcW w:w="1293" w:type="dxa"/>
            <w:tcBorders>
              <w:top w:val="single" w:sz="6" w:space="0" w:color="auto"/>
              <w:left w:val="single" w:sz="6" w:space="0" w:color="auto"/>
              <w:bottom w:val="single" w:sz="6" w:space="0" w:color="auto"/>
              <w:right w:val="single" w:sz="6" w:space="0" w:color="auto"/>
            </w:tcBorders>
          </w:tcPr>
          <w:p w:rsidR="005C2F80" w:rsidRDefault="005C2F80">
            <w:pPr>
              <w:pStyle w:val="TableText"/>
              <w:framePr w:hSpace="181" w:wrap="notBeside" w:vAnchor="text" w:hAnchor="page" w:xAlign="center" w:y="1"/>
              <w:jc w:val="left"/>
            </w:pPr>
            <w:r>
              <w:rPr>
                <w:i/>
              </w:rPr>
              <w:t>g</w:t>
            </w:r>
            <w:r>
              <w:rPr>
                <w:i/>
                <w:position w:val="-4"/>
                <w:sz w:val="14"/>
              </w:rPr>
              <w:t>r</w:t>
            </w:r>
            <w:r>
              <w:t> </w:t>
            </w:r>
            <w:r>
              <w:rPr>
                <w:rFonts w:ascii="Symbol" w:hAnsi="Symbol"/>
              </w:rPr>
              <w:t></w:t>
            </w:r>
            <w:r>
              <w:t> 0 dB</w:t>
            </w:r>
          </w:p>
        </w:tc>
      </w:tr>
      <w:tr w:rsidR="005C2F80">
        <w:trPr>
          <w:cantSplit/>
        </w:trPr>
        <w:tc>
          <w:tcPr>
            <w:tcW w:w="4644" w:type="dxa"/>
            <w:gridSpan w:val="2"/>
            <w:tcBorders>
              <w:top w:val="single" w:sz="6" w:space="0" w:color="auto"/>
              <w:left w:val="single" w:sz="6" w:space="0" w:color="auto"/>
              <w:bottom w:val="single" w:sz="6" w:space="0" w:color="auto"/>
              <w:right w:val="single" w:sz="6" w:space="0" w:color="auto"/>
            </w:tcBorders>
          </w:tcPr>
          <w:p w:rsidR="005C2F80" w:rsidRDefault="005C2F80">
            <w:pPr>
              <w:pStyle w:val="TableText"/>
              <w:framePr w:hSpace="181" w:wrap="notBeside" w:vAnchor="text" w:hAnchor="page" w:xAlign="center" w:y="1"/>
              <w:jc w:val="left"/>
            </w:pPr>
            <w:r>
              <w:t>Local variability loss at VHF </w:t>
            </w:r>
            <w:r>
              <w:rPr>
                <w:rFonts w:ascii="Symbol" w:hAnsi="Symbol"/>
              </w:rPr>
              <w:t></w:t>
            </w:r>
            <w:r>
              <w:t> 14 dB</w:t>
            </w:r>
          </w:p>
        </w:tc>
        <w:tc>
          <w:tcPr>
            <w:tcW w:w="2627" w:type="dxa"/>
            <w:gridSpan w:val="2"/>
            <w:tcBorders>
              <w:top w:val="single" w:sz="6" w:space="0" w:color="auto"/>
              <w:left w:val="single" w:sz="6" w:space="0" w:color="auto"/>
              <w:bottom w:val="single" w:sz="6" w:space="0" w:color="auto"/>
              <w:right w:val="single" w:sz="6" w:space="0" w:color="auto"/>
            </w:tcBorders>
          </w:tcPr>
          <w:p w:rsidR="005C2F80" w:rsidRDefault="005C2F80">
            <w:pPr>
              <w:pStyle w:val="TableText"/>
              <w:framePr w:hSpace="181" w:wrap="notBeside" w:vAnchor="text" w:hAnchor="page" w:xAlign="center" w:y="1"/>
              <w:jc w:val="left"/>
            </w:pPr>
            <w:r>
              <w:t>Line losses </w:t>
            </w:r>
            <w:r>
              <w:rPr>
                <w:rFonts w:ascii="Symbol" w:hAnsi="Symbol"/>
              </w:rPr>
              <w:t></w:t>
            </w:r>
            <w:r>
              <w:t> 0 dB</w:t>
            </w:r>
          </w:p>
        </w:tc>
        <w:tc>
          <w:tcPr>
            <w:tcW w:w="2461" w:type="dxa"/>
            <w:gridSpan w:val="2"/>
            <w:tcBorders>
              <w:top w:val="single" w:sz="6" w:space="0" w:color="auto"/>
              <w:left w:val="single" w:sz="6" w:space="0" w:color="auto"/>
              <w:bottom w:val="single" w:sz="6" w:space="0" w:color="auto"/>
              <w:right w:val="single" w:sz="6" w:space="0" w:color="auto"/>
            </w:tcBorders>
          </w:tcPr>
          <w:p w:rsidR="005C2F80" w:rsidRDefault="005C2F80">
            <w:pPr>
              <w:pStyle w:val="TableText"/>
              <w:framePr w:hSpace="181" w:wrap="notBeside" w:vAnchor="text" w:hAnchor="page" w:xAlign="center" w:y="1"/>
              <w:jc w:val="left"/>
            </w:pPr>
            <w:r>
              <w:t>Line losses </w:t>
            </w:r>
            <w:r>
              <w:rPr>
                <w:rFonts w:ascii="Symbol" w:hAnsi="Symbol"/>
              </w:rPr>
              <w:t></w:t>
            </w:r>
            <w:r>
              <w:t> 0 dB</w:t>
            </w:r>
          </w:p>
        </w:tc>
      </w:tr>
    </w:tbl>
    <w:p w:rsidR="005C2F80" w:rsidRDefault="005C2F80">
      <w:pPr>
        <w:pStyle w:val="Tablefin"/>
        <w:spacing w:before="0"/>
      </w:pPr>
    </w:p>
    <w:p w:rsidR="005C2F80" w:rsidRDefault="005C2F80">
      <w:r>
        <w:t xml:space="preserve">Using a simple low-angle, flat Earth propagation model, the approximate radius of the base station coverage, </w:t>
      </w:r>
      <w:r>
        <w:rPr>
          <w:i/>
        </w:rPr>
        <w:t>R</w:t>
      </w:r>
      <w:r>
        <w:t>, is computed from:</w:t>
      </w:r>
    </w:p>
    <w:p w:rsidR="005C2F80" w:rsidRDefault="005C2F80">
      <w:pPr>
        <w:pStyle w:val="Equation"/>
      </w:pPr>
      <w:r>
        <w:tab/>
      </w:r>
      <w:r>
        <w:tab/>
      </w:r>
      <w:r>
        <w:rPr>
          <w:position w:val="-26"/>
        </w:rPr>
        <w:object w:dxaOrig="2540" w:dyaOrig="680">
          <v:shape id="_x0000_i1027" type="#_x0000_t75" style="width:127.5pt;height:33pt" o:ole="">
            <v:imagedata r:id="rId11" o:title=""/>
          </v:shape>
          <o:OLEObject Type="Embed" ProgID="Equation.2" ShapeID="_x0000_i1027" DrawAspect="Content" ObjectID="_1648639184" r:id="rId12"/>
        </w:object>
      </w:r>
    </w:p>
    <w:p w:rsidR="005C2F80" w:rsidRDefault="005C2F80">
      <w:r>
        <w:t>where:</w:t>
      </w:r>
    </w:p>
    <w:p w:rsidR="005C2F80" w:rsidRDefault="005C2F80">
      <w:pPr>
        <w:pStyle w:val="enumlev1"/>
        <w:tabs>
          <w:tab w:val="left" w:pos="1134"/>
        </w:tabs>
      </w:pPr>
      <w:r>
        <w:rPr>
          <w:rFonts w:ascii="Tms Rmn" w:hAnsi="Tms Rmn"/>
          <w:i/>
        </w:rPr>
        <w:tab/>
      </w:r>
      <w:r>
        <w:rPr>
          <w:i/>
        </w:rPr>
        <w:t>P</w:t>
      </w:r>
      <w:r>
        <w:rPr>
          <w:i/>
          <w:position w:val="-4"/>
          <w:sz w:val="16"/>
        </w:rPr>
        <w:t>r</w:t>
      </w:r>
      <w:r>
        <w:rPr>
          <w:sz w:val="12"/>
        </w:rPr>
        <w:t> </w:t>
      </w:r>
      <w:r>
        <w:t>:</w:t>
      </w:r>
      <w:r>
        <w:tab/>
        <w:t>minimum power received for the mobile</w:t>
      </w:r>
    </w:p>
    <w:p w:rsidR="005C2F80" w:rsidRDefault="005C2F80">
      <w:pPr>
        <w:pStyle w:val="enumlev1"/>
        <w:tabs>
          <w:tab w:val="left" w:pos="1134"/>
        </w:tabs>
      </w:pPr>
      <w:r>
        <w:rPr>
          <w:i/>
        </w:rPr>
        <w:tab/>
        <w:t>P</w:t>
      </w:r>
      <w:r>
        <w:rPr>
          <w:i/>
          <w:position w:val="-4"/>
          <w:sz w:val="16"/>
        </w:rPr>
        <w:t>t</w:t>
      </w:r>
      <w:r>
        <w:rPr>
          <w:sz w:val="12"/>
        </w:rPr>
        <w:t> </w:t>
      </w:r>
      <w:r>
        <w:t>:</w:t>
      </w:r>
      <w:r>
        <w:tab/>
        <w:t>transmitter power</w:t>
      </w:r>
    </w:p>
    <w:p w:rsidR="005C2F80" w:rsidRDefault="005C2F80">
      <w:pPr>
        <w:pStyle w:val="enumlev1"/>
        <w:tabs>
          <w:tab w:val="left" w:pos="1134"/>
        </w:tabs>
      </w:pPr>
      <w:r>
        <w:rPr>
          <w:i/>
        </w:rPr>
        <w:tab/>
        <w:t>g</w:t>
      </w:r>
      <w:r>
        <w:rPr>
          <w:i/>
          <w:position w:val="-4"/>
          <w:sz w:val="16"/>
        </w:rPr>
        <w:t>t</w:t>
      </w:r>
      <w:r>
        <w:t xml:space="preserve">, </w:t>
      </w:r>
      <w:r>
        <w:rPr>
          <w:i/>
        </w:rPr>
        <w:t>g</w:t>
      </w:r>
      <w:r>
        <w:rPr>
          <w:i/>
          <w:position w:val="-4"/>
          <w:sz w:val="16"/>
        </w:rPr>
        <w:t>r</w:t>
      </w:r>
      <w:r>
        <w:rPr>
          <w:sz w:val="12"/>
        </w:rPr>
        <w:t> </w:t>
      </w:r>
      <w:r>
        <w:t>:</w:t>
      </w:r>
      <w:r>
        <w:tab/>
        <w:t>gain of the base station antenna and mobile station antennas, respectively</w:t>
      </w:r>
    </w:p>
    <w:p w:rsidR="005C2F80" w:rsidRDefault="005C2F80">
      <w:pPr>
        <w:pStyle w:val="enumlev1"/>
        <w:tabs>
          <w:tab w:val="left" w:pos="1134"/>
        </w:tabs>
      </w:pPr>
      <w:r>
        <w:rPr>
          <w:i/>
        </w:rPr>
        <w:tab/>
        <w:t>h</w:t>
      </w:r>
      <w:r>
        <w:rPr>
          <w:i/>
          <w:position w:val="-4"/>
          <w:sz w:val="16"/>
        </w:rPr>
        <w:t>t</w:t>
      </w:r>
      <w:r>
        <w:t xml:space="preserve">, </w:t>
      </w:r>
      <w:r>
        <w:rPr>
          <w:i/>
        </w:rPr>
        <w:t>h</w:t>
      </w:r>
      <w:r>
        <w:rPr>
          <w:i/>
          <w:position w:val="-4"/>
          <w:sz w:val="16"/>
        </w:rPr>
        <w:t>r</w:t>
      </w:r>
      <w:r>
        <w:rPr>
          <w:sz w:val="12"/>
        </w:rPr>
        <w:t> </w:t>
      </w:r>
      <w:r>
        <w:t>:</w:t>
      </w:r>
      <w:r>
        <w:tab/>
        <w:t>heights of the base station antenna and mobile station antennas, respectively.</w:t>
      </w:r>
    </w:p>
    <w:p w:rsidR="005C2F80" w:rsidRDefault="005C2F80">
      <w:pPr>
        <w:tabs>
          <w:tab w:val="left" w:pos="-720"/>
        </w:tabs>
      </w:pPr>
      <w:r>
        <w:br w:type="page"/>
      </w:r>
      <w:r>
        <w:lastRenderedPageBreak/>
        <w:t>The coverage area was plotted using a terrain data base and propagation modelling program which computes the interference signal strength from point-to-point calculations between two selected base stations. A mobile’s desired signal is stepped through all azimuth angles in the coverage area along different signal strength contours corresponding to different received carrier powers at the base receiver, to map out the various coverage areas. The stand</w:t>
      </w:r>
      <w:r>
        <w:noBreakHyphen/>
        <w:t xml:space="preserve">alone coverage area is defined by the minimum signal strength contours. The jammed coverage contour corresponds to a signal strength 6 dB above the highest interference strength from any other base station. The adaptive base station antenna would be activated only when the mobile is between these contours. This corresponds to an area in which the </w:t>
      </w:r>
      <w:r>
        <w:rPr>
          <w:i/>
        </w:rPr>
        <w:t>C</w:t>
      </w:r>
      <w:r>
        <w:t>/</w:t>
      </w:r>
      <w:r>
        <w:rPr>
          <w:i/>
        </w:rPr>
        <w:t>I</w:t>
      </w:r>
      <w:r>
        <w:t xml:space="preserve"> ratio of the base station is less than 6 dB, representing lost coverage. The adaptive antenna restores the coverage in this area, except in the angular sectors in the direction of the jamming base station.</w:t>
      </w:r>
    </w:p>
    <w:p w:rsidR="005C2F80" w:rsidRDefault="005C2F80">
      <w:pPr>
        <w:pStyle w:val="Heading1"/>
      </w:pPr>
      <w:r>
        <w:t>4</w:t>
      </w:r>
      <w:r>
        <w:tab/>
        <w:t>Conclusions</w:t>
      </w:r>
    </w:p>
    <w:p w:rsidR="005C2F80" w:rsidRDefault="005C2F80">
      <w:r>
        <w:t>Re-use distance was reduced by an average factor of 0.625 in the example scenario. In this study, when the additional co</w:t>
      </w:r>
      <w:r>
        <w:noBreakHyphen/>
        <w:t>channel base station is introduced, area computations showed that, without an adaptive antenna, each base station would lose one third of its coverage area due to interference from the others. But with an adaptive antenna only 7.6% of the coverage is lost. Substantial improvements in re-use distance may be achieved with simple suboptimal adaptive base station antennas in land mobile radio (LMR) in the VHF band. This type of adaptive array antenna has been developed into a product for cellular base stations. The promising results demonstrated in this study show that it can also be applied to land mobile radio systems. Hence reducing re-use distance between co-channel base stations can be achieved with today’s technology. Simplex LMR systems were selected because an adaptive array antenna is a cost-effective near</w:t>
      </w:r>
      <w:r>
        <w:noBreakHyphen/>
        <w:t>term means of suppressing the resulting co-channel interference and is directly applicable in such systems.</w:t>
      </w:r>
    </w:p>
    <w:p w:rsidR="005C2F80" w:rsidRDefault="005C2F80"/>
    <w:p w:rsidR="005C2F80" w:rsidRDefault="005C2F80">
      <w:pPr>
        <w:pStyle w:val="Line"/>
      </w:pPr>
      <w:r>
        <w:t>_________________</w:t>
      </w:r>
    </w:p>
    <w:p w:rsidR="005C2F80" w:rsidRDefault="005C2F80"/>
    <w:p w:rsidR="005C2F80" w:rsidRDefault="005C2F80"/>
    <w:p w:rsidR="005C2F80" w:rsidRDefault="005C2F80"/>
    <w:p w:rsidR="005C2F80" w:rsidRDefault="005C2F80"/>
    <w:p w:rsidR="005C2F80" w:rsidRDefault="005C2F80"/>
    <w:p w:rsidR="005C2F80" w:rsidRDefault="005C2F80"/>
    <w:p w:rsidR="005C2F80" w:rsidRDefault="005C2F80"/>
    <w:p w:rsidR="005C2F80" w:rsidRDefault="005C2F80"/>
    <w:p w:rsidR="005C2F80" w:rsidRDefault="005C2F80"/>
    <w:p w:rsidR="005C2F80" w:rsidRDefault="005C2F80"/>
    <w:p w:rsidR="005C2F80" w:rsidRDefault="005C2F80"/>
    <w:p w:rsidR="005C2F80" w:rsidRDefault="005C2F80"/>
    <w:p w:rsidR="005C2F80" w:rsidRDefault="005C2F80"/>
    <w:p w:rsidR="005C2F80" w:rsidRDefault="005C2F80"/>
    <w:p w:rsidR="005C2F80" w:rsidRDefault="005C2F80"/>
    <w:p w:rsidR="005C2F80" w:rsidRDefault="005C2F80"/>
    <w:p w:rsidR="005C2F80" w:rsidRDefault="005C2F80"/>
    <w:p w:rsidR="005C2F80" w:rsidRDefault="005C2F80"/>
    <w:p w:rsidR="005C2F80" w:rsidRDefault="005C2F80"/>
    <w:p w:rsidR="005C2F80" w:rsidRDefault="005C2F80"/>
    <w:p w:rsidR="005C2F80" w:rsidRDefault="005C2F80"/>
    <w:sectPr w:rsidR="005C2F80">
      <w:headerReference w:type="even" r:id="rId13"/>
      <w:headerReference w:type="default" r:id="rId14"/>
      <w:pgSz w:w="11907" w:h="16840" w:code="9"/>
      <w:pgMar w:top="1089" w:right="1089" w:bottom="1089" w:left="1089" w:header="482" w:footer="482" w:gutter="0"/>
      <w:cols w:space="720"/>
      <w:vAlign w:val="both"/>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F80" w:rsidRDefault="005C2F80">
      <w:pPr>
        <w:spacing w:before="0"/>
      </w:pPr>
      <w:r>
        <w:separator/>
      </w:r>
    </w:p>
  </w:endnote>
  <w:endnote w:type="continuationSeparator" w:id="0">
    <w:p w:rsidR="005C2F80" w:rsidRDefault="005C2F8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 Joann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F80" w:rsidRDefault="005C2F80">
      <w:r>
        <w:rPr>
          <w:b/>
        </w:rPr>
        <w:t>_______________</w:t>
      </w:r>
    </w:p>
  </w:footnote>
  <w:footnote w:type="continuationSeparator" w:id="0">
    <w:p w:rsidR="005C2F80" w:rsidRDefault="005C2F80">
      <w:pPr>
        <w:spacing w:before="0"/>
      </w:pPr>
      <w:r>
        <w:continuationSeparator/>
      </w:r>
    </w:p>
  </w:footnote>
  <w:footnote w:id="1">
    <w:p w:rsidR="002038E0" w:rsidRPr="002038E0" w:rsidRDefault="002038E0" w:rsidP="002038E0">
      <w:pPr>
        <w:pStyle w:val="FootnoteText"/>
        <w:ind w:left="313" w:hanging="313"/>
        <w:rPr>
          <w:lang w:val="en-US"/>
        </w:rPr>
      </w:pPr>
      <w:r>
        <w:rPr>
          <w:rStyle w:val="FootnoteReference"/>
        </w:rPr>
        <w:t>*</w:t>
      </w:r>
      <w:r>
        <w:t xml:space="preserve"> </w:t>
      </w:r>
      <w:r w:rsidRPr="002038E0">
        <w:rPr>
          <w:lang w:val="en-US"/>
        </w:rPr>
        <w:tab/>
      </w:r>
      <w:r w:rsidRPr="002038E0">
        <w:t>Radiocommunication Study Group 1 made editorial amendments to this Recommendation in the year</w:t>
      </w:r>
      <w:r w:rsidR="00FD615B">
        <w:t>s</w:t>
      </w:r>
      <w:r w:rsidRPr="002038E0">
        <w:t xml:space="preserve"> 2018 </w:t>
      </w:r>
      <w:r w:rsidR="00FD615B">
        <w:t xml:space="preserve">and 2019 </w:t>
      </w:r>
      <w:r w:rsidRPr="002038E0">
        <w:t>in accordance with Resolution ITU-R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F80" w:rsidRDefault="005C2F80">
    <w:pPr>
      <w:pStyle w:val="Header"/>
    </w:pPr>
    <w:r>
      <w:fldChar w:fldCharType="begin"/>
    </w:r>
    <w:r>
      <w:instrText>PAGE</w:instrText>
    </w:r>
    <w:r>
      <w:fldChar w:fldCharType="separate"/>
    </w:r>
    <w:r w:rsidR="00960CE3">
      <w:rPr>
        <w:noProof/>
      </w:rPr>
      <w:t>2</w:t>
    </w:r>
    <w:r>
      <w:fldChar w:fldCharType="end"/>
    </w:r>
    <w:r>
      <w:tab/>
    </w:r>
    <w:r>
      <w:fldChar w:fldCharType="begin"/>
    </w:r>
    <w:r>
      <w:instrText>styleref head_foot</w:instrText>
    </w:r>
    <w:r>
      <w:fldChar w:fldCharType="separate"/>
    </w:r>
    <w:r w:rsidR="00960CE3">
      <w:rPr>
        <w:noProof/>
      </w:rPr>
      <w:t>Rec. ITU-R SM.856-1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F80" w:rsidRDefault="005C2F80">
    <w:pPr>
      <w:pStyle w:val="Header"/>
    </w:pPr>
    <w:r>
      <w:tab/>
    </w:r>
    <w:r>
      <w:fldChar w:fldCharType="begin"/>
    </w:r>
    <w:r>
      <w:instrText>styleref head_foot</w:instrText>
    </w:r>
    <w:r>
      <w:fldChar w:fldCharType="separate"/>
    </w:r>
    <w:r w:rsidR="00960CE3">
      <w:rPr>
        <w:noProof/>
      </w:rPr>
      <w:t>Rec. ITU-R SM.856-1</w:t>
    </w:r>
    <w:r>
      <w:fldChar w:fldCharType="end"/>
    </w:r>
    <w:r>
      <w:tab/>
    </w:r>
    <w:r>
      <w:fldChar w:fldCharType="begin"/>
    </w:r>
    <w:r>
      <w:instrText>PAGE</w:instrText>
    </w:r>
    <w:r>
      <w:fldChar w:fldCharType="separate"/>
    </w:r>
    <w:r w:rsidR="00960CE3">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attachedTemplate r:id="rId1"/>
  <w:doNotTrackMoves/>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printColBlack/>
    <w:showBreaksInFrames/>
    <w:suppressTopSpacing/>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311"/>
    <w:rsid w:val="000566FE"/>
    <w:rsid w:val="00096BFF"/>
    <w:rsid w:val="00103C84"/>
    <w:rsid w:val="002038E0"/>
    <w:rsid w:val="005C2F80"/>
    <w:rsid w:val="0075628D"/>
    <w:rsid w:val="00960CE3"/>
    <w:rsid w:val="009B4311"/>
    <w:rsid w:val="00AB3484"/>
    <w:rsid w:val="00F27058"/>
    <w:rsid w:val="00F81887"/>
    <w:rsid w:val="00FD61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59102B53-03A3-4C59-87A2-1CF2D992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8E0"/>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hAnsi="Times New Roman"/>
      <w:lang w:val="en-GB"/>
    </w:rPr>
  </w:style>
  <w:style w:type="paragraph" w:styleId="Heading1">
    <w:name w:val="heading 1"/>
    <w:basedOn w:val="Normal"/>
    <w:next w:val="Normal"/>
    <w:qFormat/>
    <w:pPr>
      <w:keepNext/>
      <w:keepLines/>
      <w:tabs>
        <w:tab w:val="clear" w:pos="1191"/>
        <w:tab w:val="clear" w:pos="1588"/>
        <w:tab w:val="clear" w:pos="1985"/>
      </w:tabs>
      <w:spacing w:before="480"/>
      <w:ind w:left="794" w:hanging="794"/>
      <w:outlineLvl w:val="0"/>
    </w:pPr>
    <w:rPr>
      <w:b/>
      <w:bCs/>
      <w:sz w:val="24"/>
      <w:szCs w:val="24"/>
    </w:rPr>
  </w:style>
  <w:style w:type="paragraph" w:styleId="Heading2">
    <w:name w:val="heading 2"/>
    <w:basedOn w:val="Normal"/>
    <w:next w:val="Normal"/>
    <w:qFormat/>
    <w:pPr>
      <w:keepNext/>
      <w:keepLines/>
      <w:tabs>
        <w:tab w:val="clear" w:pos="1191"/>
        <w:tab w:val="clear" w:pos="1588"/>
        <w:tab w:val="clear" w:pos="1985"/>
      </w:tabs>
      <w:spacing w:before="313"/>
      <w:ind w:left="794" w:hanging="794"/>
      <w:outlineLvl w:val="1"/>
    </w:pPr>
    <w:rPr>
      <w:b/>
      <w:bCs/>
      <w:sz w:val="22"/>
      <w:szCs w:val="22"/>
    </w:rPr>
  </w:style>
  <w:style w:type="paragraph" w:styleId="Heading3">
    <w:name w:val="heading 3"/>
    <w:basedOn w:val="Normal"/>
    <w:next w:val="Normal"/>
    <w:qFormat/>
    <w:pPr>
      <w:keepNext/>
      <w:keepLines/>
      <w:tabs>
        <w:tab w:val="clear" w:pos="1191"/>
        <w:tab w:val="clear" w:pos="1588"/>
        <w:tab w:val="clear" w:pos="1985"/>
      </w:tabs>
      <w:spacing w:before="181"/>
      <w:ind w:left="794" w:hanging="794"/>
      <w:outlineLvl w:val="2"/>
    </w:pPr>
    <w:rPr>
      <w:b/>
      <w:bCs/>
    </w:rPr>
  </w:style>
  <w:style w:type="paragraph" w:styleId="Heading4">
    <w:name w:val="heading 4"/>
    <w:basedOn w:val="Heading3"/>
    <w:next w:val="Normal"/>
    <w:qFormat/>
    <w:pPr>
      <w:tabs>
        <w:tab w:val="clear" w:pos="794"/>
        <w:tab w:val="left" w:pos="851"/>
      </w:tabs>
      <w:ind w:left="851" w:hanging="851"/>
      <w:outlineLvl w:val="3"/>
    </w:pPr>
  </w:style>
  <w:style w:type="paragraph" w:styleId="Heading5">
    <w:name w:val="heading 5"/>
    <w:basedOn w:val="Heading3"/>
    <w:next w:val="Normal"/>
    <w:qFormat/>
    <w:pPr>
      <w:tabs>
        <w:tab w:val="clear" w:pos="794"/>
        <w:tab w:val="left" w:pos="1021"/>
      </w:tabs>
      <w:ind w:left="1021" w:hanging="1021"/>
      <w:outlineLvl w:val="4"/>
    </w:pPr>
  </w:style>
  <w:style w:type="paragraph" w:styleId="Heading6">
    <w:name w:val="heading 6"/>
    <w:basedOn w:val="Heading3"/>
    <w:next w:val="Normal"/>
    <w:qFormat/>
    <w:pPr>
      <w:tabs>
        <w:tab w:val="clear" w:pos="794"/>
        <w:tab w:val="left" w:pos="1191"/>
      </w:tabs>
      <w:ind w:left="1191" w:hanging="1191"/>
      <w:outlineLvl w:val="5"/>
    </w:pPr>
  </w:style>
  <w:style w:type="paragraph" w:styleId="Heading7">
    <w:name w:val="heading 7"/>
    <w:basedOn w:val="Heading3"/>
    <w:next w:val="Normal"/>
    <w:qFormat/>
    <w:pPr>
      <w:tabs>
        <w:tab w:val="clear" w:pos="794"/>
        <w:tab w:val="left" w:pos="1361"/>
      </w:tabs>
      <w:ind w:left="1361" w:hanging="1361"/>
      <w:outlineLvl w:val="6"/>
    </w:pPr>
  </w:style>
  <w:style w:type="paragraph" w:styleId="Heading8">
    <w:name w:val="heading 8"/>
    <w:basedOn w:val="Heading3"/>
    <w:next w:val="Normal"/>
    <w:qFormat/>
    <w:pPr>
      <w:tabs>
        <w:tab w:val="clear" w:pos="794"/>
        <w:tab w:val="left" w:pos="1418"/>
      </w:tabs>
      <w:ind w:left="1418" w:hanging="1418"/>
      <w:outlineLvl w:val="7"/>
    </w:pPr>
  </w:style>
  <w:style w:type="paragraph" w:styleId="Heading9">
    <w:name w:val="heading 9"/>
    <w:basedOn w:val="Heading3"/>
    <w:next w:val="Normal"/>
    <w:qFormat/>
    <w:pPr>
      <w:tabs>
        <w:tab w:val="clear" w:pos="794"/>
        <w:tab w:val="left" w:pos="1531"/>
      </w:tabs>
      <w:ind w:left="1531" w:hanging="153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7711"/>
        <w:tab w:val="right" w:leader="dot" w:pos="9725"/>
      </w:tabs>
      <w:ind w:left="6350"/>
    </w:pPr>
  </w:style>
  <w:style w:type="paragraph" w:styleId="TOC7">
    <w:name w:val="toc 7"/>
    <w:basedOn w:val="Normal"/>
    <w:next w:val="Normal"/>
    <w:semiHidden/>
    <w:pPr>
      <w:tabs>
        <w:tab w:val="left" w:pos="6350"/>
        <w:tab w:val="right" w:leader="dot" w:pos="9725"/>
      </w:tabs>
      <w:ind w:left="5103"/>
    </w:pPr>
  </w:style>
  <w:style w:type="paragraph" w:styleId="TOC6">
    <w:name w:val="toc 6"/>
    <w:basedOn w:val="Normal"/>
    <w:next w:val="Normal"/>
    <w:semiHidden/>
    <w:pPr>
      <w:tabs>
        <w:tab w:val="left" w:pos="5104"/>
        <w:tab w:val="right" w:leader="dot" w:pos="9725"/>
      </w:tabs>
      <w:ind w:left="3969"/>
    </w:pPr>
  </w:style>
  <w:style w:type="paragraph" w:styleId="TOC5">
    <w:name w:val="toc 5"/>
    <w:basedOn w:val="Normal"/>
    <w:next w:val="Normal"/>
    <w:semiHidden/>
    <w:pPr>
      <w:tabs>
        <w:tab w:val="left" w:pos="3969"/>
        <w:tab w:val="right" w:leader="dot" w:pos="9725"/>
      </w:tabs>
      <w:ind w:left="2948"/>
    </w:pPr>
  </w:style>
  <w:style w:type="paragraph" w:styleId="TOC4">
    <w:name w:val="toc 4"/>
    <w:basedOn w:val="TOC3"/>
    <w:next w:val="TOC5"/>
    <w:semiHidden/>
    <w:pPr>
      <w:tabs>
        <w:tab w:val="left" w:pos="2948"/>
      </w:tabs>
      <w:ind w:left="2948" w:hanging="907"/>
    </w:pPr>
  </w:style>
  <w:style w:type="paragraph" w:styleId="TOC3">
    <w:name w:val="toc 3"/>
    <w:basedOn w:val="TOC2"/>
    <w:next w:val="TOC4"/>
    <w:semiHidden/>
    <w:pPr>
      <w:tabs>
        <w:tab w:val="clear" w:pos="1247"/>
        <w:tab w:val="left" w:pos="2041"/>
      </w:tabs>
      <w:spacing w:before="20"/>
      <w:ind w:left="2041" w:hanging="794"/>
    </w:pPr>
  </w:style>
  <w:style w:type="paragraph" w:styleId="TOC2">
    <w:name w:val="toc 2"/>
    <w:basedOn w:val="TOC1"/>
    <w:next w:val="TOC3"/>
    <w:semiHidden/>
    <w:pPr>
      <w:tabs>
        <w:tab w:val="clear" w:pos="567"/>
        <w:tab w:val="left" w:pos="1247"/>
      </w:tabs>
      <w:spacing w:before="40"/>
      <w:ind w:left="1247" w:hanging="680"/>
    </w:pPr>
  </w:style>
  <w:style w:type="paragraph" w:styleId="TOC1">
    <w:name w:val="toc 1"/>
    <w:basedOn w:val="Normal"/>
    <w:next w:val="TOC2"/>
    <w:semiHidden/>
    <w:pPr>
      <w:keepNext/>
      <w:tabs>
        <w:tab w:val="clear" w:pos="794"/>
        <w:tab w:val="clear" w:pos="1191"/>
        <w:tab w:val="clear" w:pos="1588"/>
        <w:tab w:val="clear" w:pos="1985"/>
        <w:tab w:val="left" w:pos="567"/>
        <w:tab w:val="right" w:leader="dot" w:pos="9072"/>
        <w:tab w:val="right" w:pos="9725"/>
      </w:tabs>
      <w:spacing w:before="120"/>
      <w:ind w:left="567" w:right="653" w:hanging="567"/>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semiHidden/>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 w:val="center" w:pos="4849"/>
        <w:tab w:val="right" w:pos="9696"/>
      </w:tabs>
      <w:jc w:val="left"/>
    </w:pPr>
    <w:rPr>
      <w:b/>
      <w:bCs/>
    </w:rPr>
  </w:style>
  <w:style w:type="paragraph" w:styleId="Header">
    <w:name w:val="header"/>
    <w:basedOn w:val="Normal"/>
    <w:semiHidden/>
    <w:pPr>
      <w:tabs>
        <w:tab w:val="clear" w:pos="794"/>
        <w:tab w:val="clear" w:pos="1191"/>
        <w:tab w:val="clear" w:pos="1588"/>
        <w:tab w:val="clear" w:pos="1985"/>
        <w:tab w:val="center" w:pos="4849"/>
        <w:tab w:val="right" w:pos="9696"/>
      </w:tabs>
    </w:pPr>
    <w:rPr>
      <w:b/>
      <w:bCs/>
    </w:rPr>
  </w:style>
  <w:style w:type="character" w:styleId="FootnoteReference">
    <w:name w:val="footnote reference"/>
    <w:semiHidden/>
    <w:rPr>
      <w:position w:val="4"/>
      <w:sz w:val="16"/>
      <w:szCs w:val="16"/>
    </w:rPr>
  </w:style>
  <w:style w:type="paragraph" w:styleId="FootnoteText">
    <w:name w:val="footnote text"/>
    <w:basedOn w:val="Normal"/>
    <w:semiHidden/>
    <w:pPr>
      <w:tabs>
        <w:tab w:val="clear" w:pos="794"/>
        <w:tab w:val="clear" w:pos="1191"/>
        <w:tab w:val="clear" w:pos="1588"/>
        <w:tab w:val="clear" w:pos="1985"/>
        <w:tab w:val="left" w:pos="313"/>
      </w:tabs>
    </w:pPr>
    <w:rPr>
      <w:sz w:val="18"/>
      <w:szCs w:val="18"/>
    </w:rPr>
  </w:style>
  <w:style w:type="paragraph" w:styleId="NormalIndent">
    <w:name w:val="Normal Indent"/>
    <w:basedOn w:val="Normal"/>
    <w:semiHidden/>
    <w:pPr>
      <w:ind w:left="600"/>
    </w:pPr>
  </w:style>
  <w:style w:type="paragraph" w:customStyle="1" w:styleId="TableLegend">
    <w:name w:val="Table_Legend"/>
    <w:basedOn w:val="Normal"/>
    <w:next w:val="Normal"/>
    <w:pPr>
      <w:keepNext/>
      <w:spacing w:before="86" w:line="199" w:lineRule="exact"/>
    </w:pPr>
    <w:rPr>
      <w:sz w:val="18"/>
      <w:szCs w:val="18"/>
    </w:rPr>
  </w:style>
  <w:style w:type="paragraph" w:customStyle="1" w:styleId="TableTitle">
    <w:name w:val="Table_Title"/>
    <w:basedOn w:val="Table"/>
    <w:next w:val="Blanc"/>
    <w:pPr>
      <w:spacing w:before="0"/>
    </w:pPr>
    <w:rPr>
      <w:b/>
      <w:bCs/>
    </w:rPr>
  </w:style>
  <w:style w:type="paragraph" w:customStyle="1" w:styleId="Table">
    <w:name w:val="Table_#"/>
    <w:basedOn w:val="Normal"/>
    <w:next w:val="TableTitle"/>
    <w:pPr>
      <w:keepNext/>
      <w:tabs>
        <w:tab w:val="clear" w:pos="794"/>
        <w:tab w:val="clear" w:pos="1191"/>
        <w:tab w:val="clear" w:pos="1588"/>
        <w:tab w:val="clear" w:pos="1985"/>
      </w:tabs>
      <w:spacing w:before="567" w:after="113"/>
      <w:jc w:val="center"/>
    </w:pPr>
    <w:rPr>
      <w:sz w:val="18"/>
      <w:szCs w:val="1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szCs w:val="16"/>
    </w:rPr>
  </w:style>
  <w:style w:type="paragraph" w:customStyle="1" w:styleId="TableText">
    <w:name w:val="Table_Text"/>
    <w:basedOn w:val="TableLegend"/>
    <w:pPr>
      <w:spacing w:before="100" w:after="100" w:line="190" w:lineRule="exact"/>
    </w:pPr>
  </w:style>
  <w:style w:type="paragraph" w:customStyle="1" w:styleId="enumlev1">
    <w:name w:val="enumlev1"/>
    <w:basedOn w:val="Normal"/>
    <w:next w:val="Normal"/>
    <w:pPr>
      <w:tabs>
        <w:tab w:val="clear" w:pos="794"/>
        <w:tab w:val="clear" w:pos="1191"/>
        <w:tab w:val="clear" w:pos="1588"/>
        <w:tab w:val="clear" w:pos="1985"/>
        <w:tab w:val="left" w:pos="397"/>
      </w:tabs>
      <w:spacing w:before="86"/>
      <w:ind w:left="397" w:hanging="397"/>
    </w:pPr>
  </w:style>
  <w:style w:type="paragraph" w:customStyle="1" w:styleId="enumlev2">
    <w:name w:val="enumlev2"/>
    <w:basedOn w:val="enumlev1"/>
    <w:pPr>
      <w:tabs>
        <w:tab w:val="clear" w:pos="397"/>
        <w:tab w:val="left" w:pos="794"/>
      </w:tabs>
      <w:ind w:left="794"/>
    </w:pPr>
  </w:style>
  <w:style w:type="paragraph" w:customStyle="1" w:styleId="enumlev3">
    <w:name w:val="enumlev3"/>
    <w:basedOn w:val="enumlev2"/>
    <w:pPr>
      <w:tabs>
        <w:tab w:val="clear" w:pos="794"/>
        <w:tab w:val="left" w:pos="1191"/>
      </w:tabs>
      <w:ind w:left="1191"/>
    </w:pPr>
  </w:style>
  <w:style w:type="paragraph" w:customStyle="1" w:styleId="Figure">
    <w:name w:val="Figure"/>
    <w:basedOn w:val="Normal"/>
    <w:next w:val="Normal"/>
    <w:pPr>
      <w:keepNext/>
      <w:keepLines/>
      <w:spacing w:before="240"/>
      <w:jc w:val="center"/>
    </w:pPr>
  </w:style>
  <w:style w:type="paragraph" w:customStyle="1" w:styleId="FigureLegend">
    <w:name w:val="Figure_Legend"/>
    <w:basedOn w:val="TableLegend"/>
    <w:next w:val="FigureRemark"/>
    <w:pPr>
      <w:jc w:val="left"/>
    </w:pPr>
  </w:style>
  <w:style w:type="paragraph" w:customStyle="1" w:styleId="FigureRemark">
    <w:name w:val="Figure_Remark"/>
    <w:basedOn w:val="TableLegend"/>
    <w:pPr>
      <w:tabs>
        <w:tab w:val="clear" w:pos="794"/>
        <w:tab w:val="clear" w:pos="1191"/>
        <w:tab w:val="clear" w:pos="1588"/>
        <w:tab w:val="clear" w:pos="1985"/>
        <w:tab w:val="center" w:pos="284"/>
      </w:tabs>
      <w:spacing w:before="142"/>
    </w:pPr>
  </w:style>
  <w:style w:type="paragraph" w:customStyle="1" w:styleId="Figure0">
    <w:name w:val="Figure_#"/>
    <w:basedOn w:val="Table"/>
    <w:next w:val="FigureTitle"/>
  </w:style>
  <w:style w:type="paragraph" w:customStyle="1" w:styleId="FigureTitle">
    <w:name w:val="Figure_Title"/>
    <w:basedOn w:val="TableTitle"/>
    <w:next w:val="FigureLegend"/>
    <w:pPr>
      <w:spacing w:after="240"/>
    </w:pPr>
  </w:style>
  <w:style w:type="paragraph" w:customStyle="1" w:styleId="Annex">
    <w:name w:val="Annex_#"/>
    <w:basedOn w:val="Normal"/>
    <w:next w:val="AnnexRef"/>
    <w:rsid w:val="002038E0"/>
    <w:pPr>
      <w:tabs>
        <w:tab w:val="clear" w:pos="794"/>
        <w:tab w:val="clear" w:pos="1191"/>
        <w:tab w:val="clear" w:pos="1588"/>
        <w:tab w:val="clear" w:pos="1985"/>
        <w:tab w:val="center" w:pos="4849"/>
        <w:tab w:val="right" w:pos="9696"/>
      </w:tabs>
      <w:spacing w:before="720" w:after="68"/>
      <w:jc w:val="center"/>
      <w:outlineLvl w:val="0"/>
    </w:pPr>
  </w:style>
  <w:style w:type="paragraph" w:customStyle="1" w:styleId="AnnexRef">
    <w:name w:val="Annex_Ref"/>
    <w:basedOn w:val="Normal"/>
    <w:next w:val="AnnexTitle"/>
    <w:pPr>
      <w:tabs>
        <w:tab w:val="clear" w:pos="794"/>
        <w:tab w:val="clear" w:pos="1191"/>
        <w:tab w:val="clear" w:pos="1588"/>
        <w:tab w:val="clear" w:pos="1985"/>
        <w:tab w:val="center" w:pos="4849"/>
        <w:tab w:val="right" w:pos="9696"/>
      </w:tabs>
      <w:spacing w:before="0"/>
      <w:jc w:val="center"/>
    </w:pPr>
  </w:style>
  <w:style w:type="paragraph" w:customStyle="1" w:styleId="AnnexTitle">
    <w:name w:val="Annex_Title"/>
    <w:basedOn w:val="Normal"/>
    <w:next w:val="Normalaftertitle"/>
    <w:pPr>
      <w:tabs>
        <w:tab w:val="clear" w:pos="794"/>
        <w:tab w:val="clear" w:pos="1191"/>
        <w:tab w:val="clear" w:pos="1588"/>
        <w:tab w:val="clear" w:pos="1985"/>
        <w:tab w:val="left" w:pos="4849"/>
        <w:tab w:val="right" w:pos="9696"/>
      </w:tabs>
      <w:spacing w:after="200"/>
      <w:jc w:val="center"/>
    </w:pPr>
    <w:rPr>
      <w:b/>
      <w:bCs/>
      <w:sz w:val="24"/>
      <w:szCs w:val="24"/>
    </w:rPr>
  </w:style>
  <w:style w:type="paragraph" w:customStyle="1" w:styleId="Normalaftertitle">
    <w:name w:val="Normal after title"/>
    <w:basedOn w:val="Normal"/>
    <w:next w:val="Normal"/>
    <w:pPr>
      <w:spacing w:before="48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keepNext/>
      <w:keepLines/>
      <w:tabs>
        <w:tab w:val="clear" w:pos="794"/>
        <w:tab w:val="clear" w:pos="1191"/>
        <w:tab w:val="clear" w:pos="1588"/>
        <w:tab w:val="clear" w:pos="1985"/>
      </w:tabs>
      <w:spacing w:before="600"/>
      <w:jc w:val="center"/>
    </w:pPr>
    <w:rPr>
      <w:sz w:val="18"/>
      <w:szCs w:val="18"/>
    </w:rPr>
  </w:style>
  <w:style w:type="paragraph" w:customStyle="1" w:styleId="RefText">
    <w:name w:val="Ref_Text"/>
    <w:basedOn w:val="Normal"/>
    <w:pPr>
      <w:tabs>
        <w:tab w:val="clear" w:pos="794"/>
        <w:tab w:val="clear" w:pos="1191"/>
        <w:tab w:val="clear" w:pos="1588"/>
        <w:tab w:val="clear" w:pos="1985"/>
        <w:tab w:val="left" w:pos="567"/>
      </w:tabs>
      <w:ind w:left="567" w:hanging="567"/>
    </w:pPr>
    <w:rPr>
      <w:sz w:val="18"/>
      <w:szCs w:val="18"/>
    </w:rPr>
  </w:style>
  <w:style w:type="paragraph" w:customStyle="1" w:styleId="listitem">
    <w:name w:val="listitem"/>
    <w:basedOn w:val="Normal"/>
    <w:pPr>
      <w:keepLines/>
      <w:spacing w:before="0"/>
      <w:jc w:val="left"/>
    </w:pPr>
  </w:style>
  <w:style w:type="paragraph" w:customStyle="1" w:styleId="Rec">
    <w:name w:val="Rec_#"/>
    <w:basedOn w:val="Normal"/>
    <w:next w:val="RecTitle"/>
    <w:pPr>
      <w:keepNext/>
      <w:keepLines/>
      <w:tabs>
        <w:tab w:val="clear" w:pos="794"/>
        <w:tab w:val="clear" w:pos="1191"/>
        <w:tab w:val="clear" w:pos="1588"/>
        <w:tab w:val="clear" w:pos="1985"/>
        <w:tab w:val="center" w:pos="4849"/>
        <w:tab w:val="right" w:pos="9696"/>
      </w:tabs>
      <w:spacing w:before="720"/>
      <w:jc w:val="center"/>
    </w:pPr>
  </w:style>
  <w:style w:type="paragraph" w:customStyle="1" w:styleId="RecTitle">
    <w:name w:val="Rec_Title"/>
    <w:basedOn w:val="Rec"/>
    <w:next w:val="RecTitleRef"/>
    <w:pPr>
      <w:spacing w:before="180"/>
    </w:pPr>
    <w:rPr>
      <w:b/>
      <w:bCs/>
    </w:rPr>
  </w:style>
  <w:style w:type="paragraph" w:customStyle="1" w:styleId="RecTitleRef">
    <w:name w:val="Rec_Title/Ref"/>
    <w:basedOn w:val="RecTitle"/>
    <w:next w:val="RecTitleDate"/>
    <w:pPr>
      <w:spacing w:before="136"/>
    </w:pPr>
    <w:rPr>
      <w:b w:val="0"/>
      <w:bCs w:val="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
    <w:pPr>
      <w:tabs>
        <w:tab w:val="clear" w:pos="794"/>
        <w:tab w:val="clear" w:pos="1191"/>
        <w:tab w:val="clear" w:pos="1588"/>
        <w:tab w:val="clear" w:pos="1985"/>
      </w:tabs>
      <w:spacing w:before="0"/>
    </w:pPr>
    <w:rPr>
      <w:color w:val="FF0000"/>
      <w:sz w:val="8"/>
      <w:szCs w:val="8"/>
    </w:rPr>
  </w:style>
  <w:style w:type="paragraph" w:customStyle="1" w:styleId="call">
    <w:name w:val="call"/>
    <w:basedOn w:val="Normal"/>
    <w:next w:val="Normal"/>
    <w:pPr>
      <w:keepNext/>
      <w:keepLines/>
      <w:tabs>
        <w:tab w:val="clear" w:pos="1191"/>
        <w:tab w:val="clear" w:pos="1588"/>
        <w:tab w:val="clear" w:pos="1985"/>
      </w:tabs>
      <w:spacing w:before="227"/>
      <w:ind w:left="794"/>
      <w:jc w:val="left"/>
    </w:pPr>
    <w:rPr>
      <w:i/>
      <w:iCs/>
    </w:rPr>
  </w:style>
  <w:style w:type="paragraph" w:customStyle="1" w:styleId="deftitle">
    <w:name w:val="def title"/>
    <w:basedOn w:val="Heading2"/>
    <w:next w:val="deftexte"/>
    <w:pPr>
      <w:outlineLvl w:val="9"/>
    </w:pPr>
  </w:style>
  <w:style w:type="paragraph" w:customStyle="1" w:styleId="deftexte">
    <w:name w:val="def texte"/>
    <w:basedOn w:val="Normal"/>
  </w:style>
  <w:style w:type="paragraph" w:customStyle="1" w:styleId="Equation">
    <w:name w:val="Equation"/>
    <w:basedOn w:val="Normal"/>
    <w:pPr>
      <w:tabs>
        <w:tab w:val="clear" w:pos="1191"/>
        <w:tab w:val="clear" w:pos="1588"/>
        <w:tab w:val="clear" w:pos="1985"/>
        <w:tab w:val="center" w:pos="4849"/>
        <w:tab w:val="right" w:pos="9696"/>
      </w:tabs>
      <w:spacing w:before="140" w:after="40"/>
      <w:jc w:val="left"/>
    </w:pPr>
    <w:rPr>
      <w:sz w:val="22"/>
      <w:szCs w:val="22"/>
    </w:rPr>
  </w:style>
  <w:style w:type="paragraph" w:customStyle="1" w:styleId="Section">
    <w:name w:val="Section #"/>
    <w:basedOn w:val="Normal"/>
    <w:next w:val="Sectiontitle"/>
    <w:pPr>
      <w:keepNext/>
      <w:keepLines/>
      <w:pageBreakBefore/>
      <w:tabs>
        <w:tab w:val="clear" w:pos="794"/>
        <w:tab w:val="clear" w:pos="1191"/>
        <w:tab w:val="clear" w:pos="1588"/>
        <w:tab w:val="clear" w:pos="1985"/>
        <w:tab w:val="left" w:pos="1474"/>
      </w:tabs>
      <w:spacing w:before="0"/>
      <w:ind w:left="1474" w:hanging="1474"/>
      <w:jc w:val="left"/>
    </w:pPr>
  </w:style>
  <w:style w:type="paragraph" w:customStyle="1" w:styleId="Sectiontitle">
    <w:name w:val="Section title"/>
    <w:basedOn w:val="Section"/>
    <w:next w:val="Rec"/>
    <w:pPr>
      <w:pageBreakBefore w:val="0"/>
      <w:spacing w:before="240"/>
    </w:pPr>
    <w:rPr>
      <w:i/>
      <w:iCs/>
    </w:rPr>
  </w:style>
  <w:style w:type="paragraph" w:customStyle="1" w:styleId="heading">
    <w:name w:val="heading"/>
    <w:basedOn w:val="Heading2"/>
    <w:pPr>
      <w:tabs>
        <w:tab w:val="left" w:pos="1191"/>
        <w:tab w:val="left" w:pos="1588"/>
      </w:tabs>
      <w:outlineLvl w:val="9"/>
    </w:pPr>
  </w:style>
  <w:style w:type="paragraph" w:customStyle="1" w:styleId="Line">
    <w:name w:val="Line"/>
    <w:basedOn w:val="Normal"/>
    <w:next w:val="Normal"/>
    <w:pPr>
      <w:tabs>
        <w:tab w:val="clear" w:pos="794"/>
        <w:tab w:val="clear" w:pos="1191"/>
        <w:tab w:val="clear" w:pos="1588"/>
        <w:tab w:val="clear" w:pos="1985"/>
      </w:tabs>
      <w:spacing w:before="159"/>
      <w:jc w:val="center"/>
    </w:pPr>
  </w:style>
  <w:style w:type="paragraph" w:customStyle="1" w:styleId="Part">
    <w:name w:val="Part_#"/>
    <w:basedOn w:val="Annex"/>
    <w:next w:val="PartRef"/>
  </w:style>
  <w:style w:type="paragraph" w:customStyle="1" w:styleId="PartRef">
    <w:name w:val="Part_Ref"/>
    <w:basedOn w:val="AnnexRef"/>
  </w:style>
  <w:style w:type="paragraph" w:customStyle="1" w:styleId="PartTitle">
    <w:name w:val="Part_Title"/>
    <w:basedOn w:val="AnnexTitle"/>
    <w:next w:val="Normalaftertitle"/>
  </w:style>
  <w:style w:type="paragraph" w:customStyle="1" w:styleId="Rep">
    <w:name w:val="Rep_#"/>
    <w:basedOn w:val="Rec"/>
    <w:next w:val="RepTitle"/>
  </w:style>
  <w:style w:type="paragraph" w:customStyle="1" w:styleId="RepTitle">
    <w:name w:val="Rep_Title"/>
    <w:basedOn w:val="RecTitle"/>
    <w:next w:val="RepTitleRef"/>
  </w:style>
  <w:style w:type="paragraph" w:customStyle="1" w:styleId="RepTitleRef">
    <w:name w:val="Rep_Title/Ref"/>
    <w:basedOn w:val="RecTitleRef"/>
    <w:next w:val="RepTitleDate"/>
  </w:style>
  <w:style w:type="paragraph" w:customStyle="1" w:styleId="RepTitleDate">
    <w:name w:val="Rep_Title/Date"/>
    <w:basedOn w:val="RecTitleDate"/>
    <w:next w:val="headfoot"/>
  </w:style>
  <w:style w:type="paragraph" w:customStyle="1" w:styleId="RefDoc">
    <w:name w:val="Ref_Doc"/>
    <w:basedOn w:val="RefText"/>
    <w:next w:val="RefText"/>
    <w:pPr>
      <w:spacing w:before="227"/>
    </w:pPr>
    <w:rPr>
      <w:i/>
      <w:iCs/>
    </w:rPr>
  </w:style>
  <w:style w:type="paragraph" w:customStyle="1" w:styleId="Question">
    <w:name w:val="Question_#"/>
    <w:basedOn w:val="Rec"/>
    <w:next w:val="QuestionTitle"/>
    <w:pPr>
      <w:spacing w:before="0"/>
    </w:pPr>
  </w:style>
  <w:style w:type="paragraph" w:customStyle="1" w:styleId="QuestionTitle">
    <w:name w:val="Question_Title"/>
    <w:basedOn w:val="RecTitle"/>
    <w:next w:val="QuestionTitleRef"/>
  </w:style>
  <w:style w:type="paragraph" w:customStyle="1" w:styleId="QuestionTitleRef">
    <w:name w:val="Question_Title/Ref"/>
    <w:basedOn w:val="RecTitleRef"/>
    <w:next w:val="QuestionTitleDate"/>
  </w:style>
  <w:style w:type="paragraph" w:customStyle="1" w:styleId="QuestionTitleDate">
    <w:name w:val="Question_Title/Date"/>
    <w:basedOn w:val="RecTitleDate"/>
    <w:next w:val="headfoot"/>
  </w:style>
  <w:style w:type="paragraph" w:customStyle="1" w:styleId="Res">
    <w:name w:val="Res_#"/>
    <w:basedOn w:val="Rec"/>
    <w:next w:val="ResTitle"/>
  </w:style>
  <w:style w:type="paragraph" w:customStyle="1" w:styleId="ResTitle">
    <w:name w:val="Res_Title"/>
    <w:basedOn w:val="RecTitle"/>
    <w:next w:val="ResTitleRef"/>
  </w:style>
  <w:style w:type="paragraph" w:customStyle="1" w:styleId="ResTitleRef">
    <w:name w:val="Res_Title/Ref"/>
    <w:basedOn w:val="RecTitleRef"/>
    <w:next w:val="ResTitleDate"/>
  </w:style>
  <w:style w:type="paragraph" w:customStyle="1" w:styleId="ResTitleDate">
    <w:name w:val="Res_Title/Date"/>
    <w:basedOn w:val="RecTitleDate"/>
    <w:next w:val="headfoot"/>
  </w:style>
  <w:style w:type="paragraph" w:customStyle="1" w:styleId="Tablefin">
    <w:name w:val="Table_fin"/>
    <w:basedOn w:val="Normal"/>
    <w:next w:val="Normal"/>
    <w:pPr>
      <w:spacing w:before="284"/>
    </w:pPr>
  </w:style>
  <w:style w:type="paragraph" w:customStyle="1" w:styleId="Note">
    <w:name w:val="Note"/>
    <w:basedOn w:val="Normal"/>
    <w:next w:val="Normal"/>
    <w:pPr>
      <w:tabs>
        <w:tab w:val="clear" w:pos="794"/>
        <w:tab w:val="clear" w:pos="1191"/>
        <w:tab w:val="clear" w:pos="1588"/>
        <w:tab w:val="clear" w:pos="1985"/>
      </w:tabs>
      <w:spacing w:before="80"/>
    </w:pPr>
  </w:style>
  <w:style w:type="paragraph" w:customStyle="1" w:styleId="Style">
    <w:name w:val="Style"/>
    <w:basedOn w:val="Normal"/>
    <w:pPr>
      <w:tabs>
        <w:tab w:val="center" w:pos="4196"/>
        <w:tab w:val="left" w:pos="9242"/>
        <w:tab w:val="center" w:pos="12587"/>
      </w:tabs>
      <w:spacing w:before="340" w:line="318" w:lineRule="atLeast"/>
      <w:ind w:right="618"/>
    </w:pPr>
    <w:rPr>
      <w:rFonts w:ascii="M Joanna" w:hAnsi="M Joanna"/>
      <w:i/>
      <w:iCs/>
      <w:sz w:val="28"/>
      <w:szCs w:val="28"/>
    </w:rPr>
  </w:style>
  <w:style w:type="paragraph" w:customStyle="1" w:styleId="Sectionsous">
    <w:name w:val="Section_sous"/>
    <w:basedOn w:val="Section"/>
    <w:next w:val="Rec"/>
    <w:pPr>
      <w:pageBreakBefore w:val="0"/>
      <w:spacing w:before="240"/>
    </w:pPr>
  </w:style>
  <w:style w:type="paragraph" w:customStyle="1" w:styleId="CCI">
    <w:name w:val="CCI"/>
    <w:basedOn w:val="Normal"/>
    <w:next w:val="call"/>
    <w:pPr>
      <w:keepNext/>
      <w:keepLines/>
      <w:tabs>
        <w:tab w:val="clear" w:pos="794"/>
        <w:tab w:val="clear" w:pos="1191"/>
        <w:tab w:val="clear" w:pos="1588"/>
        <w:tab w:val="clear" w:pos="1985"/>
      </w:tabs>
      <w:spacing w:before="199"/>
    </w:pPr>
  </w:style>
  <w:style w:type="paragraph" w:customStyle="1" w:styleId="Fig">
    <w:name w:val="Fig"/>
    <w:basedOn w:val="Figure"/>
    <w:next w:val="Fig0"/>
    <w:pPr>
      <w:keepNext w:val="0"/>
      <w:keepLines w:val="0"/>
      <w:spacing w:before="136"/>
    </w:pPr>
    <w:rPr>
      <w:lang w:val="en-US"/>
    </w:rPr>
  </w:style>
  <w:style w:type="paragraph" w:customStyle="1" w:styleId="Fig0">
    <w:name w:val="Fig_#"/>
    <w:basedOn w:val="Fig"/>
    <w:next w:val="Normal"/>
    <w:pPr>
      <w:jc w:val="left"/>
    </w:pPr>
    <w:rPr>
      <w:color w:val="FFFFFF"/>
    </w:rPr>
  </w:style>
  <w:style w:type="paragraph" w:customStyle="1" w:styleId="TableHead">
    <w:name w:val="Table_Head"/>
    <w:basedOn w:val="TableText"/>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13" w:after="113" w:line="240" w:lineRule="auto"/>
      <w:jc w:val="center"/>
    </w:pPr>
    <w:rPr>
      <w:b/>
      <w:bCs/>
      <w:sz w:val="24"/>
      <w:szCs w:val="24"/>
    </w:rPr>
  </w:style>
  <w:style w:type="paragraph" w:customStyle="1" w:styleId="Title2">
    <w:name w:val="Title 2"/>
    <w:basedOn w:val="Normal"/>
    <w:next w:val="Title3"/>
    <w:pPr>
      <w:tabs>
        <w:tab w:val="clear" w:pos="794"/>
        <w:tab w:val="clear" w:pos="1191"/>
        <w:tab w:val="clear" w:pos="1588"/>
        <w:tab w:val="clear" w:pos="1985"/>
      </w:tabs>
      <w:spacing w:before="480"/>
      <w:jc w:val="center"/>
    </w:pPr>
    <w:rPr>
      <w:sz w:val="24"/>
      <w:szCs w:val="24"/>
    </w:rPr>
  </w:style>
  <w:style w:type="paragraph" w:customStyle="1" w:styleId="Title3">
    <w:name w:val="Title 3"/>
    <w:basedOn w:val="Title2"/>
    <w:next w:val="Normal"/>
    <w:pPr>
      <w:spacing w:before="240"/>
    </w:pPr>
    <w:rPr>
      <w:b/>
      <w:bCs/>
    </w:rPr>
  </w:style>
  <w:style w:type="paragraph" w:customStyle="1" w:styleId="HeadingSum">
    <w:name w:val="Heading_Sum"/>
    <w:basedOn w:val="Normal"/>
    <w:next w:val="Normal"/>
    <w:autoRedefine/>
    <w:rsid w:val="00960CE3"/>
    <w:pPr>
      <w:keepNext/>
      <w:keepLines/>
      <w:spacing w:before="240"/>
    </w:pPr>
    <w:rPr>
      <w:b/>
      <w:sz w:val="22"/>
      <w:lang w:val="es-ES_tradnl" w:eastAsia="en-US"/>
    </w:rPr>
  </w:style>
  <w:style w:type="paragraph" w:customStyle="1" w:styleId="Headingb">
    <w:name w:val="Heading_b"/>
    <w:basedOn w:val="Heading3"/>
    <w:next w:val="Normal"/>
    <w:link w:val="HeadingbChar"/>
    <w:qFormat/>
    <w:rsid w:val="00960CE3"/>
    <w:pPr>
      <w:tabs>
        <w:tab w:val="left" w:pos="1191"/>
        <w:tab w:val="left" w:pos="1588"/>
        <w:tab w:val="left" w:pos="1985"/>
      </w:tabs>
      <w:spacing w:before="160"/>
      <w:ind w:left="0" w:firstLine="0"/>
      <w:outlineLvl w:val="9"/>
    </w:pPr>
    <w:rPr>
      <w:bCs w:val="0"/>
      <w:sz w:val="24"/>
      <w:lang w:val="fr-FR" w:eastAsia="en-US"/>
    </w:rPr>
  </w:style>
  <w:style w:type="character" w:customStyle="1" w:styleId="HeadingbChar">
    <w:name w:val="Heading_b Char"/>
    <w:link w:val="Headingb"/>
    <w:locked/>
    <w:rsid w:val="00960CE3"/>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BR_R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DD955-3EAB-4DBF-AFB3-16AA7DADC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BR_REC.DOT</Template>
  <TotalTime>6</TotalTime>
  <Pages>5</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1996 - Nouveau template du BR pour les Recommandations</vt:lpstr>
    </vt:vector>
  </TitlesOfParts>
  <Manager>LS</Manager>
  <Company>ITU</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1996 - Nouveau template du BR pour les Recommandations</dc:title>
  <dc:subject>Rec. 856-1  -  Série SM</dc:subject>
  <dc:creator>Composition des Publications/LS</dc:creator>
  <cp:keywords>Folios: 1-4</cp:keywords>
  <dc:description>Saisie + récup:  03.03.97/LS_x000d_
M.E.P:               03.03.97/LS_x000d_
Corr:                   12.03.97/LS</dc:description>
  <cp:lastModifiedBy>Gomez, Yoanni</cp:lastModifiedBy>
  <cp:revision>11</cp:revision>
  <cp:lastPrinted>2019-09-13T09:18:00Z</cp:lastPrinted>
  <dcterms:created xsi:type="dcterms:W3CDTF">2018-10-14T08:06:00Z</dcterms:created>
  <dcterms:modified xsi:type="dcterms:W3CDTF">2020-04-17T12:30:00Z</dcterms:modified>
</cp:coreProperties>
</file>