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7027" w14:textId="77777777" w:rsidR="00FE79FE" w:rsidRDefault="00FE79FE"/>
    <w:p w14:paraId="27913DAB" w14:textId="77777777" w:rsidR="00013002" w:rsidRDefault="00013002" w:rsidP="00DE5556">
      <w:pPr>
        <w:tabs>
          <w:tab w:val="clear" w:pos="794"/>
          <w:tab w:val="clear" w:pos="1191"/>
          <w:tab w:val="clear" w:pos="1588"/>
          <w:tab w:val="clear" w:pos="1985"/>
        </w:tabs>
      </w:pPr>
    </w:p>
    <w:p w14:paraId="09F79721" w14:textId="2E01DA9C"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IT</w:t>
      </w:r>
      <w:r w:rsidR="00404585">
        <w:rPr>
          <w:lang w:val="es-ES"/>
        </w:rPr>
        <w:t>-</w:t>
      </w:r>
      <w:r w:rsidRPr="00F111D6">
        <w:rPr>
          <w:lang w:val="es-ES"/>
        </w:rPr>
        <w:t xml:space="preserve">R </w:t>
      </w:r>
      <w:r w:rsidR="009F2D88">
        <w:rPr>
          <w:lang w:val="es-ES"/>
        </w:rPr>
        <w:t>S</w:t>
      </w:r>
      <w:r w:rsidR="00E766F1">
        <w:rPr>
          <w:lang w:val="es-ES"/>
        </w:rPr>
        <w:t>M</w:t>
      </w:r>
      <w:r w:rsidRPr="00F111D6">
        <w:rPr>
          <w:lang w:val="es-ES"/>
        </w:rPr>
        <w:t>.</w:t>
      </w:r>
      <w:r w:rsidR="006E2FE8">
        <w:rPr>
          <w:lang w:val="es-ES"/>
        </w:rPr>
        <w:t>853-2</w:t>
      </w:r>
    </w:p>
    <w:p w14:paraId="7A6D7479" w14:textId="7E89544F" w:rsidR="00D5024B" w:rsidRPr="00F111D6" w:rsidRDefault="00D5024B" w:rsidP="00D5024B">
      <w:pPr>
        <w:pStyle w:val="CoverDate"/>
        <w:rPr>
          <w:lang w:val="es-ES"/>
        </w:rPr>
      </w:pPr>
      <w:r w:rsidRPr="00F111D6">
        <w:rPr>
          <w:lang w:val="es-ES"/>
        </w:rPr>
        <w:t>(</w:t>
      </w:r>
      <w:r w:rsidR="006E2FE8">
        <w:rPr>
          <w:lang w:val="es-ES"/>
        </w:rPr>
        <w:t>09</w:t>
      </w:r>
      <w:r w:rsidRPr="00F111D6">
        <w:rPr>
          <w:lang w:val="es-ES"/>
        </w:rPr>
        <w:t>/</w:t>
      </w:r>
      <w:r w:rsidR="006E2FE8">
        <w:rPr>
          <w:lang w:val="es-ES"/>
        </w:rPr>
        <w:t>2024</w:t>
      </w:r>
      <w:r w:rsidRPr="00F111D6">
        <w:rPr>
          <w:lang w:val="es-ES"/>
        </w:rPr>
        <w:t>)</w:t>
      </w:r>
    </w:p>
    <w:p w14:paraId="541A3B98"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B56B2">
        <w:rPr>
          <w:lang w:val="es-ES"/>
        </w:rPr>
        <w:t>S</w:t>
      </w:r>
      <w:r w:rsidR="00E766F1">
        <w:rPr>
          <w:lang w:val="es-ES"/>
        </w:rPr>
        <w:t>M</w:t>
      </w:r>
      <w:r w:rsidR="00D5024B" w:rsidRPr="00F111D6">
        <w:rPr>
          <w:lang w:val="es-ES"/>
        </w:rPr>
        <w:t xml:space="preserve">: </w:t>
      </w:r>
      <w:r w:rsidR="00E766F1" w:rsidRPr="00E766F1">
        <w:rPr>
          <w:lang w:val="es-ES"/>
        </w:rPr>
        <w:t>Gestión del espectro</w:t>
      </w:r>
    </w:p>
    <w:p w14:paraId="0D6D16F4" w14:textId="767F1958" w:rsidR="00D5024B" w:rsidRPr="00F111D6" w:rsidRDefault="006E2FE8" w:rsidP="00D5024B">
      <w:pPr>
        <w:pStyle w:val="CoverTitle"/>
        <w:rPr>
          <w:lang w:val="es-ES"/>
        </w:rPr>
      </w:pPr>
      <w:r>
        <w:rPr>
          <w:lang w:val="es-ES"/>
        </w:rPr>
        <w:t>Ancho de banda necesario</w:t>
      </w:r>
    </w:p>
    <w:p w14:paraId="2D165539" w14:textId="77777777" w:rsidR="00FE79FE" w:rsidRPr="00F111D6" w:rsidRDefault="00FE79FE" w:rsidP="005373E0"/>
    <w:p w14:paraId="4CD04997" w14:textId="77777777" w:rsidR="00A71FE5" w:rsidRPr="00F111D6" w:rsidRDefault="00A71FE5" w:rsidP="005373E0"/>
    <w:p w14:paraId="6DA4168C"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B01D9E4"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2110E25C" w14:textId="43B4AB2B"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w:t>
      </w:r>
      <w:r w:rsidR="00404585">
        <w:rPr>
          <w:sz w:val="20"/>
          <w:lang w:val="es-ES_tradnl"/>
        </w:rPr>
        <w:noBreakHyphen/>
      </w:r>
      <w:r>
        <w:rPr>
          <w:sz w:val="20"/>
          <w:lang w:val="es-ES_tradnl"/>
        </w:rPr>
        <w:t>R.</w:t>
      </w:r>
    </w:p>
    <w:p w14:paraId="1FC8B7CB"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723FAE73"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10146B77" w14:textId="3D802A9D"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00404585">
        <w:rPr>
          <w:sz w:val="20"/>
          <w:lang w:val="es-ES_tradnl"/>
        </w:rPr>
        <w:noBreakHyphen/>
      </w:r>
      <w:r w:rsidRPr="00021E8A">
        <w:rPr>
          <w:sz w:val="20"/>
          <w:lang w:val="es-ES_tradnl"/>
        </w:rPr>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008E16F5" w:rsidRPr="004A526B">
          <w:rPr>
            <w:rStyle w:val="Hyperlink"/>
            <w:sz w:val="20"/>
            <w:lang w:val="es-ES_tradnl"/>
          </w:rPr>
          <w:t>https://www.itu.int/ITU-R/go/patents/es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7A6B671B" w14:textId="77777777" w:rsidR="0069322D" w:rsidRPr="007C36CA" w:rsidRDefault="0069322D" w:rsidP="0069322D">
      <w:pPr>
        <w:spacing w:before="0"/>
        <w:jc w:val="center"/>
        <w:rPr>
          <w:sz w:val="22"/>
          <w:lang w:val="es-ES_tradnl"/>
        </w:rPr>
      </w:pPr>
    </w:p>
    <w:p w14:paraId="055F5D77"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766F1" w14:paraId="3963E54C" w14:textId="77777777" w:rsidTr="0069322D">
        <w:tc>
          <w:tcPr>
            <w:tcW w:w="9360" w:type="dxa"/>
            <w:gridSpan w:val="2"/>
          </w:tcPr>
          <w:p w14:paraId="36914C03" w14:textId="5FA4903F" w:rsidR="0069322D" w:rsidRPr="00021E8A" w:rsidRDefault="0069322D">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7F1DE840" w14:textId="77777777" w:rsidR="0069322D" w:rsidRPr="00763D08"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07D61293" w14:textId="77777777" w:rsidTr="00B96572">
        <w:tc>
          <w:tcPr>
            <w:tcW w:w="1140" w:type="dxa"/>
            <w:tcBorders>
              <w:bottom w:val="nil"/>
            </w:tcBorders>
            <w:vAlign w:val="bottom"/>
          </w:tcPr>
          <w:p w14:paraId="48606CCD"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363AC64C"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3C1EE987" w14:textId="77777777" w:rsidTr="0069322D">
        <w:tc>
          <w:tcPr>
            <w:tcW w:w="1140" w:type="dxa"/>
            <w:tcBorders>
              <w:top w:val="nil"/>
              <w:bottom w:val="nil"/>
            </w:tcBorders>
            <w:shd w:val="clear" w:color="auto" w:fill="auto"/>
          </w:tcPr>
          <w:p w14:paraId="3A935763" w14:textId="77777777" w:rsidR="0069322D" w:rsidRPr="004532F7" w:rsidRDefault="0069322D">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18C3D78" w14:textId="77777777" w:rsidR="0069322D" w:rsidRPr="004532F7"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766F1" w14:paraId="0AE08333" w14:textId="77777777" w:rsidTr="0069322D">
        <w:tc>
          <w:tcPr>
            <w:tcW w:w="1140" w:type="dxa"/>
            <w:tcBorders>
              <w:top w:val="nil"/>
              <w:bottom w:val="nil"/>
            </w:tcBorders>
            <w:shd w:val="clear" w:color="auto" w:fill="auto"/>
          </w:tcPr>
          <w:p w14:paraId="08F1BE15" w14:textId="77777777" w:rsidR="0069322D" w:rsidRPr="006B22C3" w:rsidRDefault="0069322D">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D15DD88" w14:textId="77777777" w:rsidR="0069322D" w:rsidRPr="006B22C3"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39A1A5FE" w14:textId="77777777" w:rsidTr="0069322D">
        <w:tc>
          <w:tcPr>
            <w:tcW w:w="1140" w:type="dxa"/>
            <w:tcBorders>
              <w:top w:val="nil"/>
              <w:bottom w:val="nil"/>
            </w:tcBorders>
            <w:shd w:val="clear" w:color="auto" w:fill="auto"/>
          </w:tcPr>
          <w:p w14:paraId="6215F85E" w14:textId="77777777" w:rsidR="0069322D" w:rsidRPr="00847DD5" w:rsidRDefault="0069322D">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7FE61ADE" w14:textId="77777777" w:rsidR="0069322D" w:rsidRPr="00847DD5"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31587405" w14:textId="77777777" w:rsidTr="008B56B2">
        <w:tc>
          <w:tcPr>
            <w:tcW w:w="1140" w:type="dxa"/>
            <w:tcBorders>
              <w:top w:val="nil"/>
              <w:bottom w:val="nil"/>
            </w:tcBorders>
            <w:shd w:val="clear" w:color="auto" w:fill="auto"/>
          </w:tcPr>
          <w:p w14:paraId="0969D81E" w14:textId="77777777" w:rsidR="0069322D" w:rsidRPr="00ED2695" w:rsidRDefault="0069322D">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C94BE61" w14:textId="77777777" w:rsidR="0069322D" w:rsidRPr="00021E8A"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4C00A698" w14:textId="77777777" w:rsidTr="008B56B2">
        <w:tc>
          <w:tcPr>
            <w:tcW w:w="1140" w:type="dxa"/>
            <w:tcBorders>
              <w:top w:val="nil"/>
              <w:bottom w:val="nil"/>
            </w:tcBorders>
            <w:shd w:val="clear" w:color="auto" w:fill="FFFFFF" w:themeFill="background1"/>
          </w:tcPr>
          <w:p w14:paraId="2967A30F" w14:textId="77777777" w:rsidR="0069322D" w:rsidRPr="008B56B2" w:rsidRDefault="0069322D">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07E7359E" w14:textId="77777777" w:rsidR="0069322D" w:rsidRPr="008B56B2" w:rsidRDefault="0069322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E766F1" w14:paraId="0C0F21C1" w14:textId="77777777" w:rsidTr="008B56B2">
        <w:tc>
          <w:tcPr>
            <w:tcW w:w="1140" w:type="dxa"/>
            <w:tcBorders>
              <w:top w:val="nil"/>
              <w:bottom w:val="nil"/>
            </w:tcBorders>
            <w:shd w:val="clear" w:color="auto" w:fill="auto"/>
          </w:tcPr>
          <w:p w14:paraId="5003F7E6" w14:textId="77777777" w:rsidR="0069322D" w:rsidRPr="0010336F" w:rsidRDefault="0069322D">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434A14DC" w14:textId="77777777" w:rsidR="0069322D" w:rsidRPr="0010336F" w:rsidRDefault="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E766F1" w14:paraId="7EE420D9" w14:textId="77777777" w:rsidTr="0069322D">
        <w:tc>
          <w:tcPr>
            <w:tcW w:w="1140" w:type="dxa"/>
            <w:tcBorders>
              <w:top w:val="nil"/>
              <w:bottom w:val="nil"/>
            </w:tcBorders>
            <w:shd w:val="clear" w:color="auto" w:fill="auto"/>
          </w:tcPr>
          <w:p w14:paraId="3B8E96D2" w14:textId="77777777" w:rsidR="0069322D" w:rsidRPr="00F95576" w:rsidRDefault="0069322D">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683CC87C" w14:textId="77777777" w:rsidR="0069322D" w:rsidRPr="00F95576" w:rsidRDefault="0069322D">
            <w:pPr>
              <w:spacing w:before="30" w:after="30"/>
              <w:jc w:val="left"/>
              <w:rPr>
                <w:sz w:val="20"/>
                <w:lang w:val="es-ES_tradnl"/>
              </w:rPr>
            </w:pPr>
            <w:r w:rsidRPr="00F95576">
              <w:rPr>
                <w:sz w:val="20"/>
                <w:lang w:val="es-ES_tradnl"/>
              </w:rPr>
              <w:t>Propagación de las ondas radioeléctricas</w:t>
            </w:r>
          </w:p>
        </w:tc>
      </w:tr>
      <w:tr w:rsidR="0069322D" w:rsidRPr="00DE71F7" w14:paraId="3A4490DF" w14:textId="77777777" w:rsidTr="0069322D">
        <w:tc>
          <w:tcPr>
            <w:tcW w:w="1140" w:type="dxa"/>
            <w:tcBorders>
              <w:top w:val="nil"/>
              <w:bottom w:val="nil"/>
            </w:tcBorders>
            <w:shd w:val="clear" w:color="auto" w:fill="auto"/>
          </w:tcPr>
          <w:p w14:paraId="10CD22F1" w14:textId="77777777" w:rsidR="0069322D" w:rsidRPr="00DE71F7" w:rsidRDefault="0069322D">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28C21FA4" w14:textId="77777777" w:rsidR="0069322D" w:rsidRPr="00DE71F7" w:rsidRDefault="0069322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766F1" w14:paraId="23096054" w14:textId="77777777" w:rsidTr="0069322D">
        <w:tc>
          <w:tcPr>
            <w:tcW w:w="1140" w:type="dxa"/>
            <w:tcBorders>
              <w:top w:val="nil"/>
              <w:bottom w:val="nil"/>
            </w:tcBorders>
            <w:shd w:val="clear" w:color="auto" w:fill="auto"/>
          </w:tcPr>
          <w:p w14:paraId="7376A0FC" w14:textId="77777777" w:rsidR="0069322D" w:rsidRPr="00D12388" w:rsidRDefault="0069322D">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290AEBEB" w14:textId="77777777" w:rsidR="0069322D" w:rsidRPr="00D12388" w:rsidRDefault="0069322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E5631AB" w14:textId="77777777" w:rsidTr="00E766F1">
        <w:tc>
          <w:tcPr>
            <w:tcW w:w="1140" w:type="dxa"/>
            <w:tcBorders>
              <w:top w:val="nil"/>
              <w:bottom w:val="nil"/>
            </w:tcBorders>
            <w:shd w:val="clear" w:color="auto" w:fill="auto"/>
          </w:tcPr>
          <w:p w14:paraId="39C134B5" w14:textId="77777777" w:rsidR="0069322D" w:rsidRPr="00025336" w:rsidRDefault="0069322D">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440FD474" w14:textId="77777777" w:rsidR="0069322D" w:rsidRPr="00025336" w:rsidRDefault="0069322D">
            <w:pPr>
              <w:spacing w:before="30" w:after="30"/>
              <w:jc w:val="left"/>
              <w:rPr>
                <w:sz w:val="20"/>
                <w:lang w:val="en-US"/>
              </w:rPr>
            </w:pPr>
            <w:r w:rsidRPr="00025336">
              <w:rPr>
                <w:sz w:val="20"/>
              </w:rPr>
              <w:t>Servicio fijo por satélite</w:t>
            </w:r>
          </w:p>
        </w:tc>
      </w:tr>
      <w:tr w:rsidR="00E766F1" w:rsidRPr="00E766F1" w14:paraId="29C9BCC7" w14:textId="77777777" w:rsidTr="00E766F1">
        <w:tc>
          <w:tcPr>
            <w:tcW w:w="1140" w:type="dxa"/>
            <w:tcBorders>
              <w:top w:val="nil"/>
              <w:bottom w:val="nil"/>
            </w:tcBorders>
            <w:shd w:val="clear" w:color="auto" w:fill="FFFFFF" w:themeFill="background1"/>
          </w:tcPr>
          <w:p w14:paraId="3BBC4A8F" w14:textId="77777777" w:rsidR="0069322D" w:rsidRPr="00E766F1" w:rsidRDefault="0069322D">
            <w:pPr>
              <w:spacing w:before="30" w:after="30"/>
              <w:ind w:left="57"/>
              <w:jc w:val="left"/>
              <w:rPr>
                <w:b/>
                <w:bCs/>
                <w:sz w:val="20"/>
                <w:lang w:val="en-US"/>
              </w:rPr>
            </w:pPr>
            <w:r w:rsidRPr="00E766F1">
              <w:rPr>
                <w:b/>
                <w:bCs/>
                <w:sz w:val="20"/>
                <w:lang w:val="en-US"/>
              </w:rPr>
              <w:t>SA</w:t>
            </w:r>
          </w:p>
        </w:tc>
        <w:tc>
          <w:tcPr>
            <w:tcW w:w="8220" w:type="dxa"/>
            <w:tcBorders>
              <w:top w:val="nil"/>
              <w:bottom w:val="nil"/>
            </w:tcBorders>
            <w:shd w:val="clear" w:color="auto" w:fill="FFFFFF" w:themeFill="background1"/>
          </w:tcPr>
          <w:p w14:paraId="418516D5" w14:textId="77777777" w:rsidR="0069322D" w:rsidRPr="00E766F1" w:rsidRDefault="0069322D">
            <w:pPr>
              <w:spacing w:before="30" w:after="30"/>
              <w:jc w:val="left"/>
              <w:rPr>
                <w:sz w:val="20"/>
                <w:lang w:val="en-US"/>
              </w:rPr>
            </w:pPr>
            <w:r w:rsidRPr="00E766F1">
              <w:rPr>
                <w:sz w:val="20"/>
              </w:rPr>
              <w:t>Aplicaciones espaciales y meteorología</w:t>
            </w:r>
          </w:p>
        </w:tc>
      </w:tr>
      <w:tr w:rsidR="0069322D" w:rsidRPr="00E766F1" w14:paraId="3326DA42" w14:textId="77777777" w:rsidTr="00E766F1">
        <w:tc>
          <w:tcPr>
            <w:tcW w:w="1140" w:type="dxa"/>
            <w:tcBorders>
              <w:top w:val="nil"/>
              <w:bottom w:val="nil"/>
            </w:tcBorders>
          </w:tcPr>
          <w:p w14:paraId="3B5BD823" w14:textId="77777777" w:rsidR="0069322D" w:rsidRPr="00036EE3" w:rsidRDefault="0069322D">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4D7F993F" w14:textId="77777777" w:rsidR="0069322D" w:rsidRPr="00021E8A" w:rsidRDefault="0069322D">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E766F1" w:rsidRPr="00E766F1" w14:paraId="62440B6E" w14:textId="77777777" w:rsidTr="00E766F1">
        <w:tc>
          <w:tcPr>
            <w:tcW w:w="1140" w:type="dxa"/>
            <w:tcBorders>
              <w:top w:val="nil"/>
              <w:bottom w:val="nil"/>
            </w:tcBorders>
            <w:shd w:val="clear" w:color="auto" w:fill="F2F2F2" w:themeFill="background1" w:themeFillShade="F2"/>
          </w:tcPr>
          <w:p w14:paraId="748FDDAE" w14:textId="77777777" w:rsidR="0069322D" w:rsidRPr="00E766F1" w:rsidRDefault="0069322D">
            <w:pPr>
              <w:spacing w:before="30" w:after="30"/>
              <w:ind w:left="57"/>
              <w:jc w:val="left"/>
              <w:rPr>
                <w:b/>
                <w:bCs/>
                <w:color w:val="000080"/>
                <w:sz w:val="20"/>
                <w:lang w:val="en-US"/>
              </w:rPr>
            </w:pPr>
            <w:r w:rsidRPr="00E766F1">
              <w:rPr>
                <w:b/>
                <w:bCs/>
                <w:color w:val="000080"/>
                <w:sz w:val="20"/>
                <w:lang w:val="en-US"/>
              </w:rPr>
              <w:t>SM</w:t>
            </w:r>
          </w:p>
        </w:tc>
        <w:tc>
          <w:tcPr>
            <w:tcW w:w="8220" w:type="dxa"/>
            <w:tcBorders>
              <w:top w:val="nil"/>
              <w:bottom w:val="nil"/>
            </w:tcBorders>
            <w:shd w:val="clear" w:color="auto" w:fill="F2F2F2" w:themeFill="background1" w:themeFillShade="F2"/>
          </w:tcPr>
          <w:p w14:paraId="4E3855E5" w14:textId="77777777" w:rsidR="0069322D" w:rsidRPr="00E766F1" w:rsidRDefault="0069322D">
            <w:pPr>
              <w:spacing w:before="30" w:after="30"/>
              <w:jc w:val="left"/>
              <w:rPr>
                <w:b/>
                <w:bCs/>
                <w:color w:val="000080"/>
                <w:sz w:val="20"/>
                <w:lang w:val="en-US"/>
              </w:rPr>
            </w:pPr>
            <w:r w:rsidRPr="00E766F1">
              <w:rPr>
                <w:b/>
                <w:bCs/>
                <w:color w:val="000080"/>
                <w:sz w:val="20"/>
              </w:rPr>
              <w:t>Gestión del espectro</w:t>
            </w:r>
          </w:p>
        </w:tc>
      </w:tr>
      <w:tr w:rsidR="0069322D" w:rsidRPr="00036EE3" w14:paraId="1B1D3623" w14:textId="77777777" w:rsidTr="00E766F1">
        <w:tc>
          <w:tcPr>
            <w:tcW w:w="1140" w:type="dxa"/>
            <w:tcBorders>
              <w:top w:val="nil"/>
            </w:tcBorders>
          </w:tcPr>
          <w:p w14:paraId="6777619C" w14:textId="77777777" w:rsidR="0069322D" w:rsidRPr="00036EE3" w:rsidRDefault="0069322D">
            <w:pPr>
              <w:spacing w:before="30" w:after="30"/>
              <w:ind w:left="57"/>
              <w:jc w:val="left"/>
              <w:rPr>
                <w:b/>
                <w:bCs/>
                <w:sz w:val="20"/>
                <w:lang w:val="en-US"/>
              </w:rPr>
            </w:pPr>
            <w:r w:rsidRPr="00036EE3">
              <w:rPr>
                <w:b/>
                <w:bCs/>
                <w:sz w:val="20"/>
                <w:lang w:val="en-US"/>
              </w:rPr>
              <w:t>SNG</w:t>
            </w:r>
          </w:p>
        </w:tc>
        <w:tc>
          <w:tcPr>
            <w:tcW w:w="8220" w:type="dxa"/>
            <w:tcBorders>
              <w:top w:val="nil"/>
            </w:tcBorders>
          </w:tcPr>
          <w:p w14:paraId="69E89807" w14:textId="77777777" w:rsidR="0069322D" w:rsidRPr="00021E8A" w:rsidRDefault="0069322D">
            <w:pPr>
              <w:spacing w:before="30" w:after="30"/>
              <w:jc w:val="left"/>
              <w:rPr>
                <w:bCs/>
                <w:sz w:val="20"/>
                <w:lang w:val="en-US"/>
              </w:rPr>
            </w:pPr>
            <w:r w:rsidRPr="00021E8A">
              <w:rPr>
                <w:bCs/>
                <w:sz w:val="20"/>
              </w:rPr>
              <w:t>Periodismo electrónico por satélite</w:t>
            </w:r>
          </w:p>
        </w:tc>
      </w:tr>
      <w:tr w:rsidR="0069322D" w:rsidRPr="00E766F1" w14:paraId="55C0B3CA" w14:textId="77777777" w:rsidTr="0069322D">
        <w:tc>
          <w:tcPr>
            <w:tcW w:w="1140" w:type="dxa"/>
          </w:tcPr>
          <w:p w14:paraId="4AB29E47" w14:textId="77777777" w:rsidR="0069322D" w:rsidRPr="00036EE3" w:rsidRDefault="0069322D">
            <w:pPr>
              <w:spacing w:before="30" w:after="30"/>
              <w:ind w:left="57"/>
              <w:jc w:val="left"/>
              <w:rPr>
                <w:b/>
                <w:bCs/>
                <w:sz w:val="20"/>
                <w:lang w:val="en-US"/>
              </w:rPr>
            </w:pPr>
            <w:r w:rsidRPr="00036EE3">
              <w:rPr>
                <w:b/>
                <w:bCs/>
                <w:sz w:val="20"/>
                <w:lang w:val="en-US"/>
              </w:rPr>
              <w:t>TF</w:t>
            </w:r>
          </w:p>
        </w:tc>
        <w:tc>
          <w:tcPr>
            <w:tcW w:w="8220" w:type="dxa"/>
          </w:tcPr>
          <w:p w14:paraId="416EE129" w14:textId="77777777" w:rsidR="0069322D" w:rsidRPr="00021E8A" w:rsidRDefault="0069322D">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43F690C7" w14:textId="77777777" w:rsidTr="0069322D">
        <w:tc>
          <w:tcPr>
            <w:tcW w:w="1140" w:type="dxa"/>
          </w:tcPr>
          <w:p w14:paraId="5CBE3AAD" w14:textId="77777777" w:rsidR="0069322D" w:rsidRPr="00036EE3" w:rsidRDefault="0069322D">
            <w:pPr>
              <w:spacing w:before="30" w:after="30"/>
              <w:ind w:left="57"/>
              <w:jc w:val="left"/>
              <w:rPr>
                <w:b/>
                <w:bCs/>
                <w:sz w:val="20"/>
                <w:lang w:val="en-US"/>
              </w:rPr>
            </w:pPr>
            <w:r w:rsidRPr="00036EE3">
              <w:rPr>
                <w:b/>
                <w:bCs/>
                <w:sz w:val="20"/>
                <w:lang w:val="en-US"/>
              </w:rPr>
              <w:t>V</w:t>
            </w:r>
          </w:p>
        </w:tc>
        <w:tc>
          <w:tcPr>
            <w:tcW w:w="8220" w:type="dxa"/>
          </w:tcPr>
          <w:p w14:paraId="08DDE714" w14:textId="77777777" w:rsidR="0069322D" w:rsidRPr="00021E8A" w:rsidRDefault="0069322D">
            <w:pPr>
              <w:spacing w:before="30" w:after="140"/>
              <w:jc w:val="left"/>
              <w:rPr>
                <w:bCs/>
                <w:sz w:val="20"/>
                <w:lang w:val="en-US"/>
              </w:rPr>
            </w:pPr>
            <w:r w:rsidRPr="00021E8A">
              <w:rPr>
                <w:bCs/>
                <w:sz w:val="20"/>
              </w:rPr>
              <w:t>Vocabulario y cuestiones afines</w:t>
            </w:r>
          </w:p>
        </w:tc>
      </w:tr>
    </w:tbl>
    <w:p w14:paraId="651D0A11"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06428D3D" w14:textId="77777777">
        <w:tc>
          <w:tcPr>
            <w:tcW w:w="720" w:type="dxa"/>
          </w:tcPr>
          <w:p w14:paraId="26181DF8" w14:textId="77777777" w:rsidR="0069322D" w:rsidRDefault="0069322D">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766F1" w14:paraId="6C8C4F16" w14:textId="77777777" w:rsidTr="00B96572">
        <w:tc>
          <w:tcPr>
            <w:tcW w:w="9360" w:type="dxa"/>
          </w:tcPr>
          <w:p w14:paraId="4230FDFB" w14:textId="00D37F37" w:rsidR="0069322D" w:rsidRPr="00F111D6" w:rsidRDefault="0069322D" w:rsidP="008E16F5">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8E16F5">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5DC2F514" w14:textId="77777777" w:rsidR="0069322D" w:rsidRPr="00763D08" w:rsidRDefault="0069322D" w:rsidP="0069322D">
      <w:pPr>
        <w:spacing w:before="0"/>
        <w:jc w:val="center"/>
        <w:rPr>
          <w:sz w:val="22"/>
          <w:lang w:val="es-ES_tradnl"/>
        </w:rPr>
      </w:pPr>
    </w:p>
    <w:p w14:paraId="1B40E44C"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382FDE5" w14:textId="7978CFFB"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8E16F5">
        <w:rPr>
          <w:sz w:val="20"/>
          <w:lang w:val="es-ES_tradnl"/>
        </w:rPr>
        <w:t>5</w:t>
      </w:r>
    </w:p>
    <w:p w14:paraId="7352FC33" w14:textId="77777777" w:rsidR="0069322D" w:rsidRPr="00763D08" w:rsidRDefault="0069322D" w:rsidP="0069322D">
      <w:pPr>
        <w:spacing w:before="0" w:after="120"/>
        <w:jc w:val="center"/>
        <w:rPr>
          <w:sz w:val="22"/>
          <w:lang w:val="es-ES_tradnl"/>
        </w:rPr>
      </w:pPr>
    </w:p>
    <w:p w14:paraId="51A231B4" w14:textId="19122209"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8E16F5">
        <w:rPr>
          <w:sz w:val="20"/>
          <w:lang w:val="es-ES_tradnl"/>
        </w:rPr>
        <w:t>5</w:t>
      </w:r>
    </w:p>
    <w:p w14:paraId="5659A5EC"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83F3F47"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3D6B59E4" w14:textId="3E85ED61" w:rsidR="00B874C6" w:rsidRPr="00F17CED" w:rsidRDefault="00F17CED" w:rsidP="008E16F5">
      <w:pPr>
        <w:pStyle w:val="RecNo"/>
        <w:spacing w:before="0"/>
      </w:pPr>
      <w:bookmarkStart w:id="2" w:name="irecnoe"/>
      <w:bookmarkEnd w:id="2"/>
      <w:r w:rsidRPr="00F17CED">
        <w:lastRenderedPageBreak/>
        <w:t>RECOMENDACIÓN</w:t>
      </w:r>
      <w:r w:rsidR="00B874C6" w:rsidRPr="00F17CED">
        <w:t xml:space="preserve"> </w:t>
      </w:r>
      <w:r w:rsidR="008E16F5">
        <w:t xml:space="preserve"> </w:t>
      </w:r>
      <w:r w:rsidR="00A25EE2" w:rsidRPr="00F17CED">
        <w:rPr>
          <w:rStyle w:val="href"/>
        </w:rPr>
        <w:t>UI</w:t>
      </w:r>
      <w:r w:rsidR="00B874C6" w:rsidRPr="00F17CED">
        <w:rPr>
          <w:rStyle w:val="href"/>
        </w:rPr>
        <w:t xml:space="preserve">T-R </w:t>
      </w:r>
      <w:r w:rsidR="008E16F5">
        <w:rPr>
          <w:rStyle w:val="href"/>
        </w:rPr>
        <w:t xml:space="preserve"> </w:t>
      </w:r>
      <w:r w:rsidR="00D5024B" w:rsidRPr="00F17CED">
        <w:rPr>
          <w:rStyle w:val="href"/>
        </w:rPr>
        <w:t>S</w:t>
      </w:r>
      <w:r w:rsidR="00E766F1">
        <w:rPr>
          <w:rStyle w:val="href"/>
        </w:rPr>
        <w:t>M</w:t>
      </w:r>
      <w:r w:rsidR="00B874C6" w:rsidRPr="00F17CED">
        <w:rPr>
          <w:rStyle w:val="href"/>
        </w:rPr>
        <w:t>.</w:t>
      </w:r>
      <w:r w:rsidR="00404585">
        <w:rPr>
          <w:rStyle w:val="href"/>
        </w:rPr>
        <w:t>853-2</w:t>
      </w:r>
    </w:p>
    <w:p w14:paraId="5A644429" w14:textId="5DCEB440" w:rsidR="00934ED7" w:rsidRPr="00F17CED" w:rsidRDefault="00404585" w:rsidP="009E492D">
      <w:pPr>
        <w:pStyle w:val="Rectitle"/>
      </w:pPr>
      <w:r>
        <w:t>Ancho de banda necesario</w:t>
      </w:r>
    </w:p>
    <w:p w14:paraId="05606194" w14:textId="77777777" w:rsidR="009E492D" w:rsidRDefault="009E492D" w:rsidP="00F01CFF">
      <w:pPr>
        <w:pStyle w:val="Recdate"/>
      </w:pPr>
      <w:r>
        <w:t>(1992-1997-2024)</w:t>
      </w:r>
    </w:p>
    <w:p w14:paraId="609EFE6B" w14:textId="2782966A" w:rsidR="009E492D" w:rsidRPr="005C4460" w:rsidRDefault="008763F7" w:rsidP="008E16F5">
      <w:pPr>
        <w:pStyle w:val="HeadingSum"/>
        <w:rPr>
          <w:lang w:eastAsia="zh-CN"/>
        </w:rPr>
      </w:pPr>
      <w:r>
        <w:t>Cometido</w:t>
      </w:r>
    </w:p>
    <w:p w14:paraId="4E933440" w14:textId="77777777" w:rsidR="009E492D" w:rsidRPr="005C4460" w:rsidRDefault="009E492D" w:rsidP="008E16F5">
      <w:pPr>
        <w:pStyle w:val="Summary"/>
      </w:pPr>
      <w:r w:rsidRPr="005C4460">
        <w:t xml:space="preserve">En esta Recomendación se facilitan las fórmulas de </w:t>
      </w:r>
      <w:r>
        <w:t>ancho</w:t>
      </w:r>
      <w:r w:rsidRPr="005C4460">
        <w:t xml:space="preserve"> de banda ancha necesari</w:t>
      </w:r>
      <w:r>
        <w:t>o</w:t>
      </w:r>
      <w:r w:rsidRPr="005C4460">
        <w:t>.</w:t>
      </w:r>
    </w:p>
    <w:p w14:paraId="00485757" w14:textId="77777777" w:rsidR="009E492D" w:rsidRPr="005C4460" w:rsidRDefault="009E492D" w:rsidP="00F01CFF">
      <w:pPr>
        <w:pStyle w:val="Headingb"/>
        <w:rPr>
          <w:lang w:val="es-ES_tradnl" w:eastAsia="zh-CN"/>
        </w:rPr>
      </w:pPr>
      <w:r w:rsidRPr="005C4460">
        <w:rPr>
          <w:lang w:val="es-ES_tradnl" w:eastAsia="zh-CN"/>
        </w:rPr>
        <w:t>Palabras clave</w:t>
      </w:r>
    </w:p>
    <w:p w14:paraId="724B6125" w14:textId="77777777" w:rsidR="009E492D" w:rsidRPr="005C4460" w:rsidRDefault="009E492D" w:rsidP="009E492D">
      <w:r>
        <w:t>Ancho</w:t>
      </w:r>
      <w:r w:rsidRPr="005C4460">
        <w:t xml:space="preserve"> de banda ancha necesari</w:t>
      </w:r>
      <w:r>
        <w:t>o</w:t>
      </w:r>
      <w:r w:rsidRPr="005C4460">
        <w:t xml:space="preserve">, modulación de frecuencias, modulación digital, desviación del canal, fórmulas de </w:t>
      </w:r>
      <w:r>
        <w:t>ancho</w:t>
      </w:r>
      <w:r w:rsidRPr="005C4460">
        <w:t xml:space="preserve"> de banda ancha</w:t>
      </w:r>
    </w:p>
    <w:p w14:paraId="50DABFA7" w14:textId="77777777" w:rsidR="009E492D" w:rsidRDefault="009E492D" w:rsidP="008E16F5">
      <w:pPr>
        <w:pStyle w:val="Normalaftertitle"/>
      </w:pPr>
      <w:r>
        <w:t>La Asamblea de Radiocomunicaciones de la UIT,</w:t>
      </w:r>
    </w:p>
    <w:p w14:paraId="72F75197" w14:textId="77777777" w:rsidR="009E492D" w:rsidRDefault="009E492D" w:rsidP="008E16F5">
      <w:pPr>
        <w:pStyle w:val="Call"/>
      </w:pPr>
      <w:r w:rsidRPr="00F01CFF">
        <w:t>considerando</w:t>
      </w:r>
    </w:p>
    <w:p w14:paraId="15020B97" w14:textId="68C2E293" w:rsidR="009E492D" w:rsidRDefault="009E492D" w:rsidP="008E16F5">
      <w:r w:rsidRPr="008E16F5">
        <w:rPr>
          <w:i/>
          <w:iCs/>
        </w:rPr>
        <w:t>a)</w:t>
      </w:r>
      <w:r>
        <w:tab/>
        <w:t xml:space="preserve">que el concepto de «ancho de banda necesario» definido en el número </w:t>
      </w:r>
      <w:r w:rsidRPr="009D74F5">
        <w:rPr>
          <w:b/>
          <w:bCs/>
        </w:rPr>
        <w:t>1</w:t>
      </w:r>
      <w:r w:rsidR="009D74F5" w:rsidRPr="009D74F5">
        <w:rPr>
          <w:b/>
          <w:bCs/>
        </w:rPr>
        <w:t>.</w:t>
      </w:r>
      <w:r w:rsidRPr="009D74F5">
        <w:rPr>
          <w:b/>
          <w:bCs/>
        </w:rPr>
        <w:t>152</w:t>
      </w:r>
      <w:r>
        <w:t xml:space="preserve"> del Reglamento de Radiocomunicaciones permite especificar de la manera más simple posible las propiedades espectrales de cada emisión o clase de emisión;</w:t>
      </w:r>
    </w:p>
    <w:p w14:paraId="0A834B8B" w14:textId="1B22B5AF" w:rsidR="009E492D" w:rsidRDefault="009E492D" w:rsidP="008E16F5">
      <w:r w:rsidRPr="008E16F5">
        <w:rPr>
          <w:i/>
          <w:iCs/>
        </w:rPr>
        <w:t>b)</w:t>
      </w:r>
      <w:r>
        <w:tab/>
        <w:t xml:space="preserve">que, desde el punto de vista de la utilización eficaz del espectro de frecuencias radioeléctricas, es imperativo conocer los anchos de banda necesarios de las distintas clases de emisión, que en ciertos casos las fórmulas indicadas en la Recomendación </w:t>
      </w:r>
      <w:hyperlink r:id="rId14" w:history="1">
        <w:r w:rsidRPr="008E16F5">
          <w:rPr>
            <w:rStyle w:val="Hyperlink"/>
            <w:color w:val="auto"/>
            <w:u w:val="none"/>
          </w:rPr>
          <w:t>UIT-R SM.1138</w:t>
        </w:r>
      </w:hyperlink>
      <w:r w:rsidRPr="008E16F5">
        <w:t xml:space="preserve"> </w:t>
      </w:r>
      <w:r>
        <w:t>y en el Informe</w:t>
      </w:r>
      <w:r w:rsidR="008E16F5">
        <w:t> </w:t>
      </w:r>
      <w:hyperlink r:id="rId15" w:history="1">
        <w:r w:rsidRPr="008E16F5">
          <w:rPr>
            <w:rStyle w:val="Hyperlink"/>
            <w:color w:val="auto"/>
            <w:u w:val="none"/>
          </w:rPr>
          <w:t>UIT-R SM.2048</w:t>
        </w:r>
      </w:hyperlink>
      <w:r w:rsidRPr="008E16F5">
        <w:t xml:space="preserve"> </w:t>
      </w:r>
      <w:r>
        <w:t>pueden utilizarse como referencia, y que el ancho de banda necesario de ciertas clases de emisión debe evaluarse en relación con una norma de transmisión especificada y con la calidad requerida;</w:t>
      </w:r>
    </w:p>
    <w:p w14:paraId="69F5C300" w14:textId="77777777" w:rsidR="009E492D" w:rsidRDefault="009E492D" w:rsidP="008E16F5">
      <w:r w:rsidRPr="008E16F5">
        <w:rPr>
          <w:i/>
          <w:iCs/>
        </w:rPr>
        <w:t>c)</w:t>
      </w:r>
      <w:r>
        <w:tab/>
        <w:t>que, debido a la evolución de la tecnología se han introducido adiciones y variaciones en los métodos de modulación utilizados en el ámbito de la radiocomunicación;</w:t>
      </w:r>
    </w:p>
    <w:p w14:paraId="1446B6FC" w14:textId="77777777" w:rsidR="009E492D" w:rsidRDefault="009E492D" w:rsidP="008E16F5">
      <w:r w:rsidRPr="008E16F5">
        <w:rPr>
          <w:i/>
          <w:iCs/>
        </w:rPr>
        <w:t>d)</w:t>
      </w:r>
      <w:r>
        <w:tab/>
        <w:t>que los parámetros numéricos de las fórmulas relativas al ancho de banda necesario pueden cambiar con el tiempo debido a ciertas modificaciones de las características de la señal (por ejemplo, nivel medio de la persona que habla),</w:t>
      </w:r>
    </w:p>
    <w:p w14:paraId="77E6AF2B" w14:textId="77777777" w:rsidR="009E492D" w:rsidRDefault="009E492D" w:rsidP="008E16F5">
      <w:pPr>
        <w:pStyle w:val="Call"/>
      </w:pPr>
      <w:r w:rsidRPr="008E16F5">
        <w:t>recomienda</w:t>
      </w:r>
    </w:p>
    <w:p w14:paraId="67DB0BB7" w14:textId="7678F891" w:rsidR="009E492D" w:rsidRDefault="009E492D" w:rsidP="009E492D">
      <w:r>
        <w:t xml:space="preserve">que las fórmulas relativas al ancho de banda necesario (que aparecen en la Recomendación </w:t>
      </w:r>
      <w:hyperlink r:id="rId16" w:history="1">
        <w:r w:rsidRPr="008E16F5">
          <w:rPr>
            <w:rStyle w:val="Hyperlink"/>
            <w:color w:val="auto"/>
            <w:u w:val="none"/>
          </w:rPr>
          <w:t>UIT</w:t>
        </w:r>
        <w:r w:rsidRPr="008E16F5">
          <w:rPr>
            <w:rStyle w:val="Hyperlink"/>
            <w:color w:val="auto"/>
            <w:u w:val="none"/>
          </w:rPr>
          <w:noBreakHyphen/>
          <w:t>R SM.1138</w:t>
        </w:r>
      </w:hyperlink>
      <w:r>
        <w:t>) se completen con las fórmulas indicadas a continuación.</w:t>
      </w:r>
    </w:p>
    <w:p w14:paraId="595D5880" w14:textId="77777777" w:rsidR="009E492D" w:rsidRDefault="009E492D" w:rsidP="009E492D">
      <w:pPr>
        <w:pStyle w:val="Heading1"/>
      </w:pPr>
      <w:r>
        <w:t>1</w:t>
      </w:r>
      <w:r>
        <w:tab/>
        <w:t>Emisiones multicanal de multiplexión por división de frecuencia y modulación de frecuencia (MDF-MF)</w:t>
      </w:r>
    </w:p>
    <w:p w14:paraId="6D190B5A" w14:textId="77777777" w:rsidR="009E492D" w:rsidRDefault="009E492D" w:rsidP="009E492D">
      <w:r>
        <w:t xml:space="preserve">Para tener en cuenta los cambios del nivel medio de la persona que habla que pueden producirse con el tiempo, el ancho de banda necesario, </w:t>
      </w:r>
      <w:r>
        <w:rPr>
          <w:i/>
        </w:rPr>
        <w:t>B</w:t>
      </w:r>
      <w:r>
        <w:rPr>
          <w:i/>
          <w:position w:val="-4"/>
          <w:sz w:val="16"/>
        </w:rPr>
        <w:t>n</w:t>
      </w:r>
      <w:r>
        <w:t>, de una emisión multicanal MDF viene dada por la fórmula:</w:t>
      </w:r>
    </w:p>
    <w:p w14:paraId="5BE91561" w14:textId="2DA7B812" w:rsidR="009878A3" w:rsidRPr="00D44E3D" w:rsidRDefault="008571A8" w:rsidP="009878A3">
      <w:pPr>
        <w:pStyle w:val="Equation"/>
      </w:pPr>
      <m:oMathPara>
        <m:oMath>
          <m:sSub>
            <m:sSubPr>
              <m:ctrlPr>
                <w:rPr>
                  <w:rFonts w:ascii="Cambria Math" w:hAnsi="Cambria Math"/>
                </w:rPr>
              </m:ctrlPr>
            </m:sSubPr>
            <m:e>
              <m:r>
                <w:rPr>
                  <w:rFonts w:ascii="Cambria Math" w:hAnsi="Cambria Math"/>
                </w:rPr>
                <m:t>B</m:t>
              </m:r>
            </m:e>
            <m:sub>
              <m:r>
                <w:rPr>
                  <w:rFonts w:ascii="Cambria Math" w:hAnsi="Cambria Math"/>
                </w:rPr>
                <m:t>n</m:t>
              </m:r>
            </m:sub>
          </m:sSub>
          <m:r>
            <m:rPr>
              <m:sty m:val="p"/>
            </m:rPr>
            <w:rPr>
              <w:rFonts w:ascii="Cambria Math" w:hAnsi="Cambria Math"/>
            </w:rPr>
            <m:t>=2</m:t>
          </m:r>
          <m:r>
            <w:rPr>
              <w:rFonts w:ascii="Cambria Math" w:hAnsi="Cambria Math"/>
            </w:rPr>
            <m:t>M</m:t>
          </m:r>
          <m:r>
            <m:rPr>
              <m:sty m:val="p"/>
            </m:rPr>
            <w:rPr>
              <w:rFonts w:ascii="Cambria Math" w:hAnsi="Cambria Math"/>
            </w:rPr>
            <m:t>+2</m:t>
          </m:r>
          <m:d>
            <m:dPr>
              <m:begChr m:val="["/>
              <m:endChr m:val="]"/>
              <m:ctrlPr>
                <w:rPr>
                  <w:rFonts w:ascii="Cambria Math" w:hAnsi="Cambria Math"/>
                </w:rPr>
              </m:ctrlPr>
            </m:dPr>
            <m:e>
              <m:r>
                <w:rPr>
                  <w:rFonts w:ascii="Cambria Math" w:hAnsi="Cambria Math"/>
                </w:rPr>
                <m:t>d</m:t>
              </m:r>
              <m:r>
                <m:rPr>
                  <m:sty m:val="p"/>
                </m:rPr>
                <w:rPr>
                  <w:rFonts w:ascii="Cambria Math" w:hAnsi="Cambria Math"/>
                </w:rPr>
                <m:t>×3,76×</m:t>
              </m:r>
              <m:func>
                <m:funcPr>
                  <m:ctrlPr>
                    <w:rPr>
                      <w:rFonts w:ascii="Cambria Math" w:hAnsi="Cambria Math"/>
                    </w:rPr>
                  </m:ctrlPr>
                </m:funcPr>
                <m:fName>
                  <m:r>
                    <m:rPr>
                      <m:sty m:val="p"/>
                    </m:rPr>
                    <w:rPr>
                      <w:rFonts w:ascii="Cambria Math" w:hAnsi="Cambria Math"/>
                    </w:rPr>
                    <m:t>antilog</m:t>
                  </m:r>
                </m:fName>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Y</m:t>
                          </m:r>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w:rPr>
                                      <w:rFonts w:ascii="Cambria Math" w:hAnsi="Cambria Math"/>
                                    </w:rPr>
                                    <m:t>N</m:t>
                                  </m:r>
                                </m:e>
                                <m:sub>
                                  <m:r>
                                    <w:rPr>
                                      <w:rFonts w:ascii="Cambria Math" w:hAnsi="Cambria Math"/>
                                    </w:rPr>
                                    <m:t>c</m:t>
                                  </m:r>
                                </m:sub>
                              </m:sSub>
                            </m:e>
                          </m:func>
                        </m:num>
                        <m:den>
                          <m:r>
                            <m:rPr>
                              <m:sty m:val="p"/>
                            </m:rPr>
                            <w:rPr>
                              <w:rFonts w:ascii="Cambria Math" w:hAnsi="Cambria Math"/>
                            </w:rPr>
                            <m:t>20</m:t>
                          </m:r>
                        </m:den>
                      </m:f>
                    </m:e>
                  </m:d>
                </m:e>
              </m:func>
            </m:e>
          </m:d>
          <m:r>
            <w:rPr>
              <w:rFonts w:ascii="Cambria Math" w:hAnsi="Cambria Math"/>
            </w:rPr>
            <m:t>K</m:t>
          </m:r>
        </m:oMath>
      </m:oMathPara>
    </w:p>
    <w:p w14:paraId="3A0DDA2F" w14:textId="77777777" w:rsidR="009E492D" w:rsidRDefault="009E492D" w:rsidP="009878A3">
      <w:r>
        <w:t>donde:</w:t>
      </w:r>
    </w:p>
    <w:p w14:paraId="4078230D" w14:textId="77777777" w:rsidR="009E492D" w:rsidRDefault="009E492D" w:rsidP="009878A3">
      <w:pPr>
        <w:pStyle w:val="Equationlegend"/>
      </w:pPr>
      <w:r>
        <w:rPr>
          <w:i/>
        </w:rPr>
        <w:tab/>
        <w:t>M</w:t>
      </w:r>
      <w:r>
        <w:rPr>
          <w:rFonts w:ascii="Tms Rmn" w:hAnsi="Tms Rmn"/>
          <w:sz w:val="12"/>
        </w:rPr>
        <w:t> </w:t>
      </w:r>
      <w:r>
        <w:t>:</w:t>
      </w:r>
      <w:r>
        <w:tab/>
        <w:t>frecuencia máxima de modulación (Hz)</w:t>
      </w:r>
    </w:p>
    <w:p w14:paraId="5BE58BBA" w14:textId="77777777" w:rsidR="009E492D" w:rsidRDefault="009E492D" w:rsidP="009878A3">
      <w:pPr>
        <w:pStyle w:val="Equationlegend"/>
      </w:pPr>
      <w:r>
        <w:rPr>
          <w:i/>
        </w:rPr>
        <w:tab/>
        <w:t>d</w:t>
      </w:r>
      <w:r>
        <w:rPr>
          <w:rFonts w:ascii="Tms Rmn" w:hAnsi="Tms Rmn"/>
          <w:sz w:val="12"/>
        </w:rPr>
        <w:t> </w:t>
      </w:r>
      <w:r>
        <w:t>:</w:t>
      </w:r>
      <w:r>
        <w:tab/>
        <w:t>excursión de frecuencia por canal</w:t>
      </w:r>
    </w:p>
    <w:p w14:paraId="102E4EE4" w14:textId="77777777" w:rsidR="009E492D" w:rsidRDefault="009E492D" w:rsidP="009878A3">
      <w:pPr>
        <w:pStyle w:val="Equationlegend"/>
      </w:pPr>
      <w:r>
        <w:rPr>
          <w:i/>
        </w:rPr>
        <w:tab/>
        <w:t>N</w:t>
      </w:r>
      <w:r>
        <w:rPr>
          <w:i/>
          <w:position w:val="-4"/>
          <w:sz w:val="16"/>
        </w:rPr>
        <w:t>c</w:t>
      </w:r>
      <w:r>
        <w:rPr>
          <w:rFonts w:ascii="Tms Rmn" w:hAnsi="Tms Rmn"/>
          <w:sz w:val="12"/>
        </w:rPr>
        <w:t> </w:t>
      </w:r>
      <w:r>
        <w:t>:</w:t>
      </w:r>
      <w:r>
        <w:tab/>
        <w:t>número de circuitos en la carga de mensajes multiplexados</w:t>
      </w:r>
    </w:p>
    <w:p w14:paraId="5B953F04" w14:textId="77777777" w:rsidR="009E492D" w:rsidRDefault="009E492D" w:rsidP="009878A3">
      <w:pPr>
        <w:pStyle w:val="Equationlegend"/>
      </w:pPr>
      <w:r>
        <w:rPr>
          <w:i/>
        </w:rPr>
        <w:tab/>
        <w:t>K</w:t>
      </w:r>
      <w:r>
        <w:rPr>
          <w:rFonts w:ascii="Tms Rmn" w:hAnsi="Tms Rmn"/>
          <w:sz w:val="12"/>
        </w:rPr>
        <w:t> </w:t>
      </w:r>
      <w:r>
        <w:t>:</w:t>
      </w:r>
      <w:r>
        <w:tab/>
        <w:t>unidad</w:t>
      </w:r>
    </w:p>
    <w:p w14:paraId="079F7385" w14:textId="1ED107C0" w:rsidR="009E492D" w:rsidRDefault="009E492D" w:rsidP="009878A3">
      <w:pPr>
        <w:pStyle w:val="Equationlegend"/>
      </w:pPr>
      <w:r>
        <w:lastRenderedPageBreak/>
        <w:tab/>
      </w:r>
      <w:r>
        <w:rPr>
          <w:i/>
        </w:rPr>
        <w:t>X</w:t>
      </w:r>
      <w:r>
        <w:t> </w:t>
      </w:r>
      <w:r>
        <w:rPr>
          <w:rFonts w:ascii="Symbol" w:hAnsi="Symbol"/>
        </w:rPr>
        <w:t></w:t>
      </w:r>
      <w:r>
        <w:tab/>
      </w:r>
      <w:r w:rsidR="009878A3">
        <w:t> −</w:t>
      </w:r>
      <w:r>
        <w:t>2</w:t>
      </w:r>
      <w:r>
        <w:t> </w:t>
      </w:r>
      <w:r>
        <w:tab/>
        <w:t>a</w:t>
      </w:r>
      <w:r>
        <w:tab/>
      </w:r>
      <w:r>
        <w:t> </w:t>
      </w:r>
      <w:r>
        <w:t> </w:t>
      </w:r>
      <w:r>
        <w:rPr>
          <w:rFonts w:ascii="Symbol" w:hAnsi="Symbol"/>
        </w:rPr>
        <w:t></w:t>
      </w:r>
      <w:r>
        <w:t>2,6</w:t>
      </w:r>
      <w:r>
        <w:rPr>
          <w:color w:val="FFFFFF"/>
        </w:rPr>
        <w:tab/>
      </w:r>
      <w:r>
        <w:t>para</w:t>
      </w:r>
      <w:r>
        <w:tab/>
        <w:t>12  </w:t>
      </w:r>
      <w:r>
        <w:rPr>
          <w:rFonts w:ascii="Symbol" w:hAnsi="Symbol"/>
        </w:rPr>
        <w:t></w:t>
      </w:r>
      <w:r>
        <w:tab/>
      </w:r>
      <w:r>
        <w:rPr>
          <w:i/>
        </w:rPr>
        <w:t>N</w:t>
      </w:r>
      <w:r>
        <w:rPr>
          <w:i/>
          <w:position w:val="-3"/>
          <w:sz w:val="16"/>
        </w:rPr>
        <w:t>c</w:t>
      </w:r>
      <w:r>
        <w:rPr>
          <w:i/>
        </w:rPr>
        <w:t>  </w:t>
      </w:r>
      <w:r>
        <w:rPr>
          <w:rFonts w:ascii="Symbol" w:hAnsi="Symbol"/>
        </w:rPr>
        <w:t></w:t>
      </w:r>
      <w:r>
        <w:t>  </w:t>
      </w:r>
      <w:r>
        <w:t> </w:t>
      </w:r>
      <w:r>
        <w:t>60</w:t>
      </w:r>
      <w:r>
        <w:tab/>
        <w:t>y</w:t>
      </w:r>
      <w:r>
        <w:tab/>
        <w:t>para  </w:t>
      </w:r>
      <w:r>
        <w:rPr>
          <w:i/>
        </w:rPr>
        <w:t>Y</w:t>
      </w:r>
      <w:r>
        <w:t>  </w:t>
      </w:r>
      <w:r>
        <w:rPr>
          <w:rFonts w:ascii="Symbol" w:hAnsi="Symbol"/>
        </w:rPr>
        <w:t></w:t>
      </w:r>
      <w:r>
        <w:t>  </w:t>
      </w:r>
      <w:r>
        <w:t> </w:t>
      </w:r>
      <w:r>
        <w:t>2</w:t>
      </w:r>
    </w:p>
    <w:p w14:paraId="0B1F5A7C" w14:textId="38EC7427" w:rsidR="009E492D" w:rsidRDefault="009E492D" w:rsidP="009878A3">
      <w:pPr>
        <w:pStyle w:val="Equationlegend"/>
      </w:pPr>
      <w:r>
        <w:tab/>
      </w:r>
      <w:r>
        <w:rPr>
          <w:i/>
        </w:rPr>
        <w:t>X</w:t>
      </w:r>
      <w:r>
        <w:t> </w:t>
      </w:r>
      <w:r>
        <w:rPr>
          <w:rFonts w:ascii="Symbol" w:hAnsi="Symbol"/>
        </w:rPr>
        <w:t></w:t>
      </w:r>
      <w:r>
        <w:tab/>
      </w:r>
      <w:r w:rsidR="009878A3">
        <w:t> −</w:t>
      </w:r>
      <w:r>
        <w:t>5,6</w:t>
      </w:r>
      <w:r>
        <w:tab/>
        <w:t>a</w:t>
      </w:r>
      <w:r>
        <w:tab/>
      </w:r>
      <w:r>
        <w:t> </w:t>
      </w:r>
      <w:r>
        <w:t> </w:t>
      </w:r>
      <w:r w:rsidR="009878A3">
        <w:t>−</w:t>
      </w:r>
      <w:r>
        <w:t>1,0</w:t>
      </w:r>
      <w:r>
        <w:rPr>
          <w:color w:val="FFFFFF"/>
        </w:rPr>
        <w:tab/>
      </w:r>
      <w:r>
        <w:t>para</w:t>
      </w:r>
      <w:r>
        <w:tab/>
        <w:t>60  </w:t>
      </w:r>
      <w:r>
        <w:rPr>
          <w:rFonts w:ascii="Symbol" w:hAnsi="Symbol"/>
        </w:rPr>
        <w:t></w:t>
      </w:r>
      <w: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w:t>
      </w:r>
      <w:r>
        <w:t> </w:t>
      </w:r>
      <w:r>
        <w:t>4</w:t>
      </w:r>
    </w:p>
    <w:p w14:paraId="4CDEFE1E" w14:textId="27E18AB2" w:rsidR="009E492D" w:rsidRDefault="009E492D" w:rsidP="009878A3">
      <w:pPr>
        <w:pStyle w:val="Equationlegend"/>
      </w:pPr>
      <w:r>
        <w:tab/>
      </w:r>
      <w:r>
        <w:rPr>
          <w:i/>
        </w:rPr>
        <w:t>X</w:t>
      </w:r>
      <w:r>
        <w:t> </w:t>
      </w:r>
      <w:r>
        <w:rPr>
          <w:rFonts w:ascii="Symbol" w:hAnsi="Symbol"/>
        </w:rPr>
        <w:t></w:t>
      </w:r>
      <w:r>
        <w:tab/>
      </w:r>
      <w:r w:rsidR="009878A3">
        <w:t>−</w:t>
      </w:r>
      <w:r>
        <w:t>19,6</w:t>
      </w:r>
      <w:r>
        <w:tab/>
        <w:t>a</w:t>
      </w:r>
      <w:r>
        <w:tab/>
        <w:t> </w:t>
      </w:r>
      <w:r w:rsidR="009878A3">
        <w:t>−</w:t>
      </w:r>
      <w:r>
        <w:t>15,0</w:t>
      </w:r>
      <w:r>
        <w:rPr>
          <w:color w:val="FFFFFF"/>
        </w:rPr>
        <w:tab/>
      </w:r>
      <w:r>
        <w:t>para</w:t>
      </w:r>
      <w:r>
        <w:tab/>
      </w:r>
      <w:r>
        <w:rPr>
          <w:color w:val="FFFFFF"/>
        </w:rP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10.</w:t>
      </w:r>
    </w:p>
    <w:p w14:paraId="21C7B225" w14:textId="7E68F44A" w:rsidR="009E492D" w:rsidRDefault="009E492D" w:rsidP="009E492D">
      <w:r>
        <w:t xml:space="preserve">El término entre paréntesis corresponde a la desviación de frecuencia de cresta, </w:t>
      </w:r>
      <w:r>
        <w:rPr>
          <w:i/>
        </w:rPr>
        <w:t>D</w:t>
      </w:r>
      <w:r>
        <w:t>. El numerador (</w:t>
      </w:r>
      <w:r>
        <w:rPr>
          <w:i/>
        </w:rPr>
        <w:t>X</w:t>
      </w:r>
      <w:r>
        <w:t> </w:t>
      </w:r>
      <w:r>
        <w:rPr>
          <w:rFonts w:ascii="Symbol" w:hAnsi="Symbol"/>
        </w:rPr>
        <w:t></w:t>
      </w:r>
      <w:r>
        <w:t> </w:t>
      </w:r>
      <w:r>
        <w:rPr>
          <w:i/>
        </w:rPr>
        <w:t>Y</w:t>
      </w:r>
      <w:r>
        <w:t> log </w:t>
      </w:r>
      <w:r>
        <w:rPr>
          <w:i/>
        </w:rPr>
        <w:t>N</w:t>
      </w:r>
      <w:r>
        <w:rPr>
          <w:i/>
          <w:position w:val="-3"/>
          <w:sz w:val="16"/>
        </w:rPr>
        <w:t>c</w:t>
      </w:r>
      <w:r>
        <w:t>) de la fracción representa la potencia media de la señal compuesta aplicada a la entrada del modulador del transmisor.</w:t>
      </w:r>
    </w:p>
    <w:p w14:paraId="050A08D7" w14:textId="77777777" w:rsidR="009E492D" w:rsidRDefault="009E492D" w:rsidP="009E492D">
      <w:r>
        <w:t>El fundamento de esta fórmula se expone en el § 1 del Anexo 1. En particular, en el Anexo 1 se indica la manera de determinar el valor de la variable </w:t>
      </w:r>
      <w:r>
        <w:rPr>
          <w:i/>
        </w:rPr>
        <w:t>X</w:t>
      </w:r>
      <w:r>
        <w:t xml:space="preserve"> de la fórmula.</w:t>
      </w:r>
    </w:p>
    <w:p w14:paraId="6D01D9F3" w14:textId="77777777" w:rsidR="009E492D" w:rsidRDefault="009E492D" w:rsidP="009878A3">
      <w:pPr>
        <w:pStyle w:val="Heading1"/>
        <w:keepNext w:val="0"/>
        <w:keepLines w:val="0"/>
      </w:pPr>
      <w:r>
        <w:t>2</w:t>
      </w:r>
      <w:r>
        <w:tab/>
        <w:t>Emisiones por impulsos no modulados</w:t>
      </w:r>
    </w:p>
    <w:p w14:paraId="7B1321CE" w14:textId="5517B103" w:rsidR="009E492D" w:rsidRDefault="009E492D" w:rsidP="009878A3">
      <w:r>
        <w:t>En el Cuadro</w:t>
      </w:r>
      <w:r w:rsidR="009878A3">
        <w:t> </w:t>
      </w:r>
      <w:r>
        <w:t>1 se indica el ancho de banda necesario de los impulsos no modulados de forma trapezoidal o rectangular.</w:t>
      </w:r>
    </w:p>
    <w:p w14:paraId="2804D6A5" w14:textId="11501FCB" w:rsidR="009E492D" w:rsidRDefault="009E492D" w:rsidP="009878A3">
      <w:pPr>
        <w:pStyle w:val="TableNo"/>
        <w:keepNext w:val="0"/>
      </w:pPr>
      <w:r w:rsidRPr="00067350">
        <w:rPr>
          <w:lang w:val="en-GB"/>
        </w:rPr>
        <w:t>CUADRO</w:t>
      </w:r>
      <w:r>
        <w:t xml:space="preserve"> 1</w:t>
      </w:r>
    </w:p>
    <w:p w14:paraId="5CAB46B1" w14:textId="77777777" w:rsidR="009E492D" w:rsidRDefault="009E492D" w:rsidP="009878A3">
      <w:pPr>
        <w:pStyle w:val="Tabletitle"/>
        <w:keepNext w:val="0"/>
      </w:pPr>
      <w:r>
        <w:t>Emisiones por impulsos no modulados</w:t>
      </w:r>
    </w:p>
    <w:tbl>
      <w:tblPr>
        <w:tblW w:w="9639" w:type="dxa"/>
        <w:jc w:val="center"/>
        <w:tblLayout w:type="fixed"/>
        <w:tblLook w:val="0000" w:firstRow="0" w:lastRow="0" w:firstColumn="0" w:lastColumn="0" w:noHBand="0" w:noVBand="0"/>
      </w:tblPr>
      <w:tblGrid>
        <w:gridCol w:w="1436"/>
        <w:gridCol w:w="3442"/>
        <w:gridCol w:w="3194"/>
        <w:gridCol w:w="1567"/>
      </w:tblGrid>
      <w:tr w:rsidR="009878A3" w:rsidRPr="009878A3" w14:paraId="7AD6DD01" w14:textId="77777777" w:rsidTr="009878A3">
        <w:trPr>
          <w:cantSplit/>
          <w:jc w:val="center"/>
        </w:trPr>
        <w:tc>
          <w:tcPr>
            <w:tcW w:w="1436" w:type="dxa"/>
            <w:vMerge w:val="restart"/>
            <w:tcBorders>
              <w:top w:val="single" w:sz="6" w:space="0" w:color="auto"/>
              <w:left w:val="single" w:sz="6" w:space="0" w:color="auto"/>
              <w:right w:val="single" w:sz="6" w:space="0" w:color="auto"/>
            </w:tcBorders>
            <w:vAlign w:val="center"/>
          </w:tcPr>
          <w:p w14:paraId="3F3B3316" w14:textId="1CD4707C" w:rsidR="009878A3" w:rsidRPr="009878A3" w:rsidRDefault="009878A3" w:rsidP="009878A3">
            <w:pPr>
              <w:pStyle w:val="Tablehead"/>
              <w:rPr>
                <w:sz w:val="20"/>
              </w:rPr>
            </w:pPr>
            <w:r w:rsidRPr="009878A3">
              <w:rPr>
                <w:sz w:val="20"/>
              </w:rPr>
              <w:t>Descripción de la emisión</w:t>
            </w:r>
          </w:p>
        </w:tc>
        <w:tc>
          <w:tcPr>
            <w:tcW w:w="6636" w:type="dxa"/>
            <w:gridSpan w:val="2"/>
            <w:tcBorders>
              <w:top w:val="single" w:sz="6" w:space="0" w:color="auto"/>
              <w:left w:val="single" w:sz="6" w:space="0" w:color="auto"/>
              <w:bottom w:val="single" w:sz="6" w:space="0" w:color="auto"/>
            </w:tcBorders>
            <w:vAlign w:val="center"/>
          </w:tcPr>
          <w:p w14:paraId="5D23B67F" w14:textId="77777777" w:rsidR="009878A3" w:rsidRPr="009878A3" w:rsidRDefault="009878A3" w:rsidP="009878A3">
            <w:pPr>
              <w:pStyle w:val="Tablehead"/>
              <w:rPr>
                <w:sz w:val="20"/>
              </w:rPr>
            </w:pPr>
            <w:r w:rsidRPr="009878A3">
              <w:rPr>
                <w:sz w:val="20"/>
              </w:rPr>
              <w:t>Ancho de banda necesario</w:t>
            </w:r>
          </w:p>
        </w:tc>
        <w:tc>
          <w:tcPr>
            <w:tcW w:w="1567" w:type="dxa"/>
            <w:vMerge w:val="restart"/>
            <w:tcBorders>
              <w:top w:val="single" w:sz="6" w:space="0" w:color="auto"/>
              <w:left w:val="single" w:sz="6" w:space="0" w:color="auto"/>
              <w:right w:val="single" w:sz="6" w:space="0" w:color="auto"/>
            </w:tcBorders>
            <w:vAlign w:val="center"/>
          </w:tcPr>
          <w:p w14:paraId="3E1D085E" w14:textId="45C2BE08" w:rsidR="009878A3" w:rsidRPr="009878A3" w:rsidRDefault="009878A3" w:rsidP="009878A3">
            <w:pPr>
              <w:pStyle w:val="Tablehead"/>
              <w:rPr>
                <w:sz w:val="20"/>
              </w:rPr>
            </w:pPr>
            <w:r w:rsidRPr="009878A3">
              <w:rPr>
                <w:sz w:val="20"/>
              </w:rPr>
              <w:t>Denominación de la emisión</w:t>
            </w:r>
          </w:p>
        </w:tc>
      </w:tr>
      <w:tr w:rsidR="009878A3" w:rsidRPr="009878A3" w14:paraId="5DE58929" w14:textId="77777777" w:rsidTr="009878A3">
        <w:trPr>
          <w:cantSplit/>
          <w:jc w:val="center"/>
        </w:trPr>
        <w:tc>
          <w:tcPr>
            <w:tcW w:w="1436" w:type="dxa"/>
            <w:vMerge/>
            <w:tcBorders>
              <w:left w:val="single" w:sz="6" w:space="0" w:color="auto"/>
              <w:bottom w:val="single" w:sz="6" w:space="0" w:color="auto"/>
              <w:right w:val="single" w:sz="6" w:space="0" w:color="auto"/>
            </w:tcBorders>
            <w:vAlign w:val="center"/>
          </w:tcPr>
          <w:p w14:paraId="1FE96DEB" w14:textId="0C7A366F" w:rsidR="009878A3" w:rsidRPr="009878A3" w:rsidRDefault="009878A3" w:rsidP="009878A3">
            <w:pPr>
              <w:pStyle w:val="Tablehead"/>
              <w:rPr>
                <w:sz w:val="20"/>
              </w:rPr>
            </w:pPr>
          </w:p>
        </w:tc>
        <w:tc>
          <w:tcPr>
            <w:tcW w:w="3442" w:type="dxa"/>
            <w:tcBorders>
              <w:top w:val="single" w:sz="6" w:space="0" w:color="auto"/>
              <w:left w:val="single" w:sz="6" w:space="0" w:color="auto"/>
              <w:bottom w:val="single" w:sz="6" w:space="0" w:color="auto"/>
              <w:right w:val="single" w:sz="6" w:space="0" w:color="auto"/>
            </w:tcBorders>
            <w:vAlign w:val="center"/>
          </w:tcPr>
          <w:p w14:paraId="592AA244" w14:textId="77777777" w:rsidR="009878A3" w:rsidRPr="009878A3" w:rsidRDefault="009878A3" w:rsidP="009878A3">
            <w:pPr>
              <w:pStyle w:val="Tablehead"/>
              <w:rPr>
                <w:sz w:val="20"/>
              </w:rPr>
            </w:pPr>
            <w:r w:rsidRPr="009878A3">
              <w:rPr>
                <w:sz w:val="20"/>
              </w:rPr>
              <w:t>Fórmula</w:t>
            </w:r>
          </w:p>
        </w:tc>
        <w:tc>
          <w:tcPr>
            <w:tcW w:w="3194" w:type="dxa"/>
            <w:tcBorders>
              <w:top w:val="single" w:sz="6" w:space="0" w:color="auto"/>
              <w:left w:val="single" w:sz="6" w:space="0" w:color="auto"/>
              <w:bottom w:val="single" w:sz="6" w:space="0" w:color="auto"/>
            </w:tcBorders>
            <w:vAlign w:val="center"/>
          </w:tcPr>
          <w:p w14:paraId="539FF8FF" w14:textId="77777777" w:rsidR="009878A3" w:rsidRPr="009878A3" w:rsidRDefault="009878A3" w:rsidP="009878A3">
            <w:pPr>
              <w:pStyle w:val="Tablehead"/>
              <w:rPr>
                <w:sz w:val="20"/>
              </w:rPr>
            </w:pPr>
            <w:r w:rsidRPr="009878A3">
              <w:rPr>
                <w:sz w:val="20"/>
              </w:rPr>
              <w:t>Ejemplo de cálculo</w:t>
            </w:r>
          </w:p>
        </w:tc>
        <w:tc>
          <w:tcPr>
            <w:tcW w:w="1567" w:type="dxa"/>
            <w:vMerge/>
            <w:tcBorders>
              <w:left w:val="single" w:sz="6" w:space="0" w:color="auto"/>
              <w:bottom w:val="single" w:sz="6" w:space="0" w:color="auto"/>
              <w:right w:val="single" w:sz="6" w:space="0" w:color="auto"/>
            </w:tcBorders>
            <w:vAlign w:val="center"/>
          </w:tcPr>
          <w:p w14:paraId="3B2036DD" w14:textId="1C285B70" w:rsidR="009878A3" w:rsidRPr="009878A3" w:rsidRDefault="009878A3" w:rsidP="009878A3">
            <w:pPr>
              <w:pStyle w:val="Tablehead"/>
              <w:rPr>
                <w:sz w:val="20"/>
              </w:rPr>
            </w:pPr>
          </w:p>
        </w:tc>
      </w:tr>
      <w:tr w:rsidR="009E492D" w:rsidRPr="009878A3" w14:paraId="21CC39D1" w14:textId="77777777" w:rsidTr="009878A3">
        <w:trPr>
          <w:cantSplit/>
          <w:jc w:val="center"/>
        </w:trPr>
        <w:tc>
          <w:tcPr>
            <w:tcW w:w="1436" w:type="dxa"/>
            <w:tcBorders>
              <w:left w:val="single" w:sz="6" w:space="0" w:color="auto"/>
              <w:right w:val="single" w:sz="6" w:space="0" w:color="auto"/>
            </w:tcBorders>
          </w:tcPr>
          <w:p w14:paraId="49CBD1AC" w14:textId="77777777" w:rsidR="009E492D" w:rsidRPr="009878A3" w:rsidRDefault="009E492D" w:rsidP="00F07EB5">
            <w:pPr>
              <w:pStyle w:val="Tabletext"/>
              <w:spacing w:before="120" w:after="120"/>
              <w:jc w:val="left"/>
              <w:rPr>
                <w:sz w:val="20"/>
              </w:rPr>
            </w:pPr>
            <w:r w:rsidRPr="009878A3">
              <w:rPr>
                <w:sz w:val="20"/>
              </w:rPr>
              <w:t>Emisión de impulsos no modulados</w:t>
            </w:r>
          </w:p>
        </w:tc>
        <w:tc>
          <w:tcPr>
            <w:tcW w:w="3442" w:type="dxa"/>
            <w:tcBorders>
              <w:top w:val="single" w:sz="6" w:space="0" w:color="auto"/>
              <w:left w:val="single" w:sz="6" w:space="0" w:color="auto"/>
              <w:right w:val="single" w:sz="6" w:space="0" w:color="auto"/>
            </w:tcBorders>
          </w:tcPr>
          <w:p w14:paraId="2B377CEA" w14:textId="77777777" w:rsidR="009E492D" w:rsidRPr="009878A3" w:rsidRDefault="009E492D" w:rsidP="00F07EB5">
            <w:pPr>
              <w:pStyle w:val="Tabletext"/>
              <w:spacing w:before="120" w:after="120"/>
              <w:jc w:val="center"/>
              <w:rPr>
                <w:sz w:val="20"/>
              </w:rPr>
            </w:pPr>
            <w:r w:rsidRPr="009878A3">
              <w:rPr>
                <w:sz w:val="20"/>
              </w:rPr>
              <w:t>Caso 1:</w:t>
            </w:r>
          </w:p>
        </w:tc>
        <w:tc>
          <w:tcPr>
            <w:tcW w:w="3194" w:type="dxa"/>
            <w:tcBorders>
              <w:top w:val="single" w:sz="6" w:space="0" w:color="auto"/>
              <w:left w:val="single" w:sz="6" w:space="0" w:color="auto"/>
            </w:tcBorders>
          </w:tcPr>
          <w:p w14:paraId="0ABFF726" w14:textId="77777777" w:rsidR="009E492D" w:rsidRPr="009878A3" w:rsidRDefault="009E492D" w:rsidP="00F07EB5">
            <w:pPr>
              <w:pStyle w:val="TableText0"/>
              <w:keepNext w:val="0"/>
              <w:spacing w:before="120" w:after="120"/>
              <w:jc w:val="left"/>
              <w:rPr>
                <w:sz w:val="20"/>
                <w:szCs w:val="20"/>
              </w:rPr>
            </w:pPr>
          </w:p>
        </w:tc>
        <w:tc>
          <w:tcPr>
            <w:tcW w:w="1567" w:type="dxa"/>
            <w:tcBorders>
              <w:top w:val="single" w:sz="6" w:space="0" w:color="auto"/>
              <w:left w:val="single" w:sz="6" w:space="0" w:color="auto"/>
              <w:right w:val="single" w:sz="6" w:space="0" w:color="auto"/>
            </w:tcBorders>
          </w:tcPr>
          <w:p w14:paraId="017933FE" w14:textId="77777777" w:rsidR="009E492D" w:rsidRPr="009878A3" w:rsidRDefault="009E492D" w:rsidP="00F07EB5">
            <w:pPr>
              <w:pStyle w:val="Tabletext"/>
              <w:spacing w:before="120" w:after="120"/>
              <w:jc w:val="left"/>
              <w:rPr>
                <w:sz w:val="20"/>
              </w:rPr>
            </w:pPr>
            <w:r w:rsidRPr="009878A3">
              <w:rPr>
                <w:sz w:val="20"/>
              </w:rPr>
              <w:t>4M00P0N</w:t>
            </w:r>
          </w:p>
        </w:tc>
      </w:tr>
      <w:tr w:rsidR="009E492D" w:rsidRPr="009878A3" w14:paraId="653EA048" w14:textId="77777777" w:rsidTr="009878A3">
        <w:trPr>
          <w:cantSplit/>
          <w:jc w:val="center"/>
        </w:trPr>
        <w:tc>
          <w:tcPr>
            <w:tcW w:w="1436" w:type="dxa"/>
            <w:tcBorders>
              <w:left w:val="single" w:sz="6" w:space="0" w:color="auto"/>
              <w:right w:val="single" w:sz="6" w:space="0" w:color="auto"/>
            </w:tcBorders>
          </w:tcPr>
          <w:p w14:paraId="32D2D6A7" w14:textId="77777777" w:rsidR="009E492D" w:rsidRPr="009878A3" w:rsidRDefault="009E492D" w:rsidP="00F07EB5">
            <w:pPr>
              <w:pStyle w:val="TableText0"/>
              <w:keepNext w:val="0"/>
              <w:spacing w:before="120" w:after="80"/>
              <w:jc w:val="left"/>
              <w:rPr>
                <w:sz w:val="20"/>
                <w:szCs w:val="20"/>
              </w:rPr>
            </w:pPr>
          </w:p>
        </w:tc>
        <w:tc>
          <w:tcPr>
            <w:tcW w:w="3442" w:type="dxa"/>
            <w:tcBorders>
              <w:left w:val="single" w:sz="6" w:space="0" w:color="auto"/>
              <w:right w:val="single" w:sz="6" w:space="0" w:color="auto"/>
            </w:tcBorders>
          </w:tcPr>
          <w:p w14:paraId="5D818DD5" w14:textId="2EEDE050" w:rsidR="009E492D" w:rsidRPr="009878A3" w:rsidRDefault="009E492D" w:rsidP="00F07EB5">
            <w:pPr>
              <w:pStyle w:val="TableText0"/>
              <w:keepNext w:val="0"/>
              <w:tabs>
                <w:tab w:val="clear" w:pos="794"/>
                <w:tab w:val="clear" w:pos="1191"/>
                <w:tab w:val="left" w:pos="861"/>
                <w:tab w:val="left" w:pos="1428"/>
              </w:tabs>
              <w:spacing w:before="120" w:after="80" w:line="240" w:lineRule="auto"/>
              <w:jc w:val="left"/>
              <w:rPr>
                <w:sz w:val="20"/>
                <w:szCs w:val="20"/>
              </w:rPr>
            </w:pPr>
            <w:r w:rsidRPr="009878A3">
              <w:rPr>
                <w:sz w:val="20"/>
                <w:szCs w:val="20"/>
              </w:rPr>
              <w:fldChar w:fldCharType="begin"/>
            </w:r>
            <w:r w:rsidRPr="009878A3">
              <w:rPr>
                <w:sz w:val="20"/>
                <w:szCs w:val="20"/>
              </w:rPr>
              <w:instrText xml:space="preserve">eq </w:instrText>
            </w:r>
            <w:r w:rsidRPr="009878A3">
              <w:rPr>
                <w:i/>
                <w:sz w:val="20"/>
                <w:szCs w:val="20"/>
              </w:rPr>
              <w:instrText>B</w:instrText>
            </w:r>
            <w:r w:rsidRPr="009878A3">
              <w:rPr>
                <w:i/>
                <w:position w:val="-3"/>
                <w:sz w:val="20"/>
                <w:szCs w:val="20"/>
              </w:rPr>
              <w:instrText>n</w:instrText>
            </w:r>
            <w:r w:rsidRPr="009878A3">
              <w:rPr>
                <w:b/>
                <w:sz w:val="20"/>
                <w:szCs w:val="20"/>
              </w:rPr>
              <w:instrText xml:space="preserve">  </w:instrText>
            </w:r>
            <w:r w:rsidRPr="009878A3">
              <w:rPr>
                <w:rFonts w:ascii="Symbol" w:hAnsi="Symbol"/>
                <w:b/>
                <w:sz w:val="20"/>
                <w:szCs w:val="20"/>
              </w:rPr>
              <w:instrText>=</w:instrText>
            </w:r>
            <w:r w:rsidRPr="009878A3">
              <w:rPr>
                <w:b/>
                <w:sz w:val="20"/>
                <w:szCs w:val="20"/>
              </w:rPr>
              <w:instrText xml:space="preserve">  </w:instrText>
            </w:r>
            <w:r w:rsidRPr="009878A3">
              <w:rPr>
                <w:sz w:val="20"/>
                <w:szCs w:val="20"/>
              </w:rPr>
              <w:instrText>\f(1\,79,\r(</w:instrText>
            </w:r>
            <w:r w:rsidRPr="009878A3">
              <w:rPr>
                <w:i/>
                <w:sz w:val="20"/>
                <w:szCs w:val="20"/>
              </w:rPr>
              <w:instrText>t</w:instrText>
            </w:r>
            <w:r w:rsidRPr="009878A3">
              <w:rPr>
                <w:sz w:val="20"/>
                <w:szCs w:val="20"/>
              </w:rPr>
              <w:instrText xml:space="preserve">  </w:instrText>
            </w:r>
            <w:r w:rsidRPr="009878A3">
              <w:rPr>
                <w:rFonts w:ascii="Symbol" w:hAnsi="Symbol"/>
                <w:sz w:val="20"/>
                <w:szCs w:val="20"/>
              </w:rPr>
              <w:instrText>×</w:instrText>
            </w:r>
            <w:r w:rsidRPr="009878A3">
              <w:rPr>
                <w:sz w:val="20"/>
                <w:szCs w:val="20"/>
              </w:rPr>
              <w:instrText xml:space="preserve">  </w:instrText>
            </w:r>
            <w:r w:rsidRPr="009878A3">
              <w:rPr>
                <w:i/>
                <w:sz w:val="20"/>
                <w:szCs w:val="20"/>
              </w:rPr>
              <w:instrText>t</w:instrText>
            </w:r>
            <w:r w:rsidRPr="009878A3">
              <w:rPr>
                <w:i/>
                <w:position w:val="-3"/>
                <w:sz w:val="20"/>
                <w:szCs w:val="20"/>
              </w:rPr>
              <w:instrText>r</w:instrText>
            </w:r>
            <w:r w:rsidRPr="009878A3">
              <w:rPr>
                <w:sz w:val="20"/>
                <w:szCs w:val="20"/>
              </w:rPr>
              <w:instrText>))</w:instrText>
            </w:r>
            <w:r w:rsidRPr="009878A3">
              <w:rPr>
                <w:sz w:val="20"/>
                <w:szCs w:val="20"/>
              </w:rPr>
              <w:fldChar w:fldCharType="end"/>
            </w:r>
            <w:r w:rsidR="00F07EB5">
              <w:rPr>
                <w:sz w:val="20"/>
                <w:szCs w:val="20"/>
              </w:rPr>
              <w:tab/>
            </w:r>
            <w:r w:rsidRPr="009878A3">
              <w:rPr>
                <w:sz w:val="20"/>
                <w:szCs w:val="20"/>
              </w:rPr>
              <w:t>Hz</w:t>
            </w:r>
          </w:p>
        </w:tc>
        <w:tc>
          <w:tcPr>
            <w:tcW w:w="3194" w:type="dxa"/>
            <w:tcBorders>
              <w:left w:val="single" w:sz="6" w:space="0" w:color="auto"/>
            </w:tcBorders>
          </w:tcPr>
          <w:p w14:paraId="4E2B1FAC" w14:textId="209D53EB"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sz w:val="20"/>
                <w:szCs w:val="20"/>
              </w:rPr>
              <w:t>   </w:t>
            </w:r>
            <w:r w:rsidRPr="009878A3">
              <w:rPr>
                <w:rFonts w:ascii="Symbol" w:hAnsi="Symbol"/>
                <w:sz w:val="20"/>
                <w:szCs w:val="20"/>
              </w:rPr>
              <w:t></w:t>
            </w:r>
            <w:r w:rsidRPr="009878A3">
              <w:rPr>
                <w:sz w:val="20"/>
                <w:szCs w:val="20"/>
              </w:rPr>
              <w:t>  3  </w:t>
            </w:r>
            <w:r w:rsidRPr="009878A3">
              <w:rPr>
                <w:rFonts w:ascii="Symbol" w:hAnsi="Symbol"/>
                <w:sz w:val="20"/>
                <w:szCs w:val="20"/>
              </w:rPr>
              <w:t></w:t>
            </w:r>
            <w:r w:rsidRPr="009878A3">
              <w:rPr>
                <w:sz w:val="20"/>
                <w:szCs w:val="20"/>
              </w:rPr>
              <w:t>  10</w:t>
            </w:r>
            <w:r w:rsidR="009878A3" w:rsidRPr="009878A3">
              <w:rPr>
                <w:position w:val="6"/>
                <w:sz w:val="16"/>
                <w:szCs w:val="16"/>
              </w:rPr>
              <w:t>–6</w:t>
            </w:r>
            <w:r w:rsidRPr="009878A3">
              <w:rPr>
                <w:sz w:val="20"/>
                <w:szCs w:val="20"/>
              </w:rPr>
              <w:t xml:space="preserve"> s</w:t>
            </w:r>
          </w:p>
          <w:p w14:paraId="676AF23B" w14:textId="7C9C7CC9"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i/>
                <w:position w:val="-3"/>
                <w:sz w:val="20"/>
                <w:szCs w:val="20"/>
              </w:rPr>
              <w:t>r</w:t>
            </w:r>
            <w:r w:rsidRPr="009878A3">
              <w:rPr>
                <w:sz w:val="20"/>
                <w:szCs w:val="20"/>
              </w:rPr>
              <w:t>  </w:t>
            </w:r>
            <w:r w:rsidRPr="009878A3">
              <w:rPr>
                <w:rFonts w:ascii="Symbol" w:hAnsi="Symbol"/>
                <w:sz w:val="20"/>
                <w:szCs w:val="20"/>
              </w:rPr>
              <w:t></w:t>
            </w:r>
            <w:r w:rsidRPr="009878A3">
              <w:rPr>
                <w:sz w:val="20"/>
                <w:szCs w:val="20"/>
              </w:rPr>
              <w:t>  0,06675  </w:t>
            </w:r>
            <w:r w:rsidRPr="009878A3">
              <w:rPr>
                <w:rFonts w:ascii="Symbol" w:hAnsi="Symbol"/>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xml:space="preserve"> s</w:t>
            </w:r>
          </w:p>
        </w:tc>
        <w:tc>
          <w:tcPr>
            <w:tcW w:w="1567" w:type="dxa"/>
            <w:tcBorders>
              <w:left w:val="single" w:sz="6" w:space="0" w:color="auto"/>
              <w:right w:val="single" w:sz="6" w:space="0" w:color="auto"/>
            </w:tcBorders>
          </w:tcPr>
          <w:p w14:paraId="0CDBBF17" w14:textId="77777777" w:rsidR="009E492D" w:rsidRPr="009878A3" w:rsidRDefault="009E492D" w:rsidP="00F07EB5">
            <w:pPr>
              <w:pStyle w:val="Tabletext"/>
              <w:spacing w:before="120" w:after="80"/>
              <w:jc w:val="left"/>
              <w:rPr>
                <w:sz w:val="20"/>
              </w:rPr>
            </w:pPr>
          </w:p>
        </w:tc>
      </w:tr>
      <w:tr w:rsidR="009E492D" w:rsidRPr="009878A3" w14:paraId="1F8ADBEA" w14:textId="77777777" w:rsidTr="009878A3">
        <w:trPr>
          <w:cantSplit/>
          <w:jc w:val="center"/>
        </w:trPr>
        <w:tc>
          <w:tcPr>
            <w:tcW w:w="1436" w:type="dxa"/>
            <w:tcBorders>
              <w:left w:val="single" w:sz="6" w:space="0" w:color="auto"/>
              <w:right w:val="single" w:sz="6" w:space="0" w:color="auto"/>
            </w:tcBorders>
          </w:tcPr>
          <w:p w14:paraId="2E97DC93" w14:textId="77777777" w:rsidR="009E492D" w:rsidRPr="009878A3" w:rsidRDefault="009E492D" w:rsidP="00F07EB5">
            <w:pPr>
              <w:pStyle w:val="TableText0"/>
              <w:keepNext w:val="0"/>
              <w:spacing w:before="120" w:after="120"/>
              <w:jc w:val="left"/>
              <w:rPr>
                <w:sz w:val="20"/>
                <w:szCs w:val="20"/>
              </w:rPr>
            </w:pPr>
          </w:p>
        </w:tc>
        <w:tc>
          <w:tcPr>
            <w:tcW w:w="3442" w:type="dxa"/>
            <w:tcBorders>
              <w:left w:val="single" w:sz="6" w:space="0" w:color="auto"/>
              <w:bottom w:val="single" w:sz="6" w:space="0" w:color="auto"/>
              <w:right w:val="single" w:sz="6" w:space="0" w:color="auto"/>
            </w:tcBorders>
          </w:tcPr>
          <w:p w14:paraId="12F5B4E5" w14:textId="77777777" w:rsidR="009E492D" w:rsidRPr="009878A3" w:rsidRDefault="009E492D" w:rsidP="00F07EB5">
            <w:pPr>
              <w:pStyle w:val="Tabletext"/>
              <w:spacing w:before="120" w:after="120"/>
              <w:jc w:val="left"/>
              <w:rPr>
                <w:sz w:val="20"/>
              </w:rPr>
            </w:pPr>
            <w:r w:rsidRPr="009878A3">
              <w:rPr>
                <w:sz w:val="20"/>
              </w:rPr>
              <w:t>a 20 dB por debajo del valor de cresta de la envolvente del espectro para un impulso trapezoidal</w:t>
            </w:r>
          </w:p>
        </w:tc>
        <w:tc>
          <w:tcPr>
            <w:tcW w:w="3194" w:type="dxa"/>
            <w:tcBorders>
              <w:left w:val="single" w:sz="6" w:space="0" w:color="auto"/>
              <w:bottom w:val="single" w:sz="6" w:space="0" w:color="auto"/>
            </w:tcBorders>
          </w:tcPr>
          <w:p w14:paraId="77295F39" w14:textId="35003715" w:rsidR="009E492D" w:rsidRPr="009878A3" w:rsidRDefault="009E492D" w:rsidP="00F07EB5">
            <w:pPr>
              <w:pStyle w:val="TableText0"/>
              <w:keepNext w:val="0"/>
              <w:spacing w:before="120" w:after="120"/>
              <w:jc w:val="left"/>
              <w:rPr>
                <w:sz w:val="20"/>
                <w:szCs w:val="20"/>
              </w:rPr>
            </w:pPr>
            <w:r w:rsidRPr="009878A3">
              <w:rPr>
                <w:sz w:val="20"/>
                <w:szCs w:val="20"/>
              </w:rPr>
              <w:t>Ancho de banda:  4  </w:t>
            </w:r>
            <w:r w:rsidR="009878A3">
              <w:rPr>
                <w:sz w:val="20"/>
                <w:szCs w:val="20"/>
              </w:rPr>
              <w:t>×</w:t>
            </w:r>
            <w:r w:rsidRPr="009878A3">
              <w:rPr>
                <w:sz w:val="20"/>
                <w:szCs w:val="20"/>
              </w:rPr>
              <w:t>  10</w:t>
            </w:r>
            <w:r w:rsidR="009878A3" w:rsidRPr="009878A3">
              <w:rPr>
                <w:position w:val="6"/>
                <w:sz w:val="16"/>
                <w:szCs w:val="16"/>
              </w:rPr>
              <w:t>6</w:t>
            </w:r>
            <w:r w:rsidRPr="009878A3">
              <w:rPr>
                <w:sz w:val="20"/>
                <w:szCs w:val="20"/>
              </w:rPr>
              <w:t> Hz</w:t>
            </w:r>
          </w:p>
        </w:tc>
        <w:tc>
          <w:tcPr>
            <w:tcW w:w="1567" w:type="dxa"/>
            <w:tcBorders>
              <w:left w:val="single" w:sz="6" w:space="0" w:color="auto"/>
              <w:bottom w:val="single" w:sz="6" w:space="0" w:color="auto"/>
              <w:right w:val="single" w:sz="6" w:space="0" w:color="auto"/>
            </w:tcBorders>
          </w:tcPr>
          <w:p w14:paraId="09370A17" w14:textId="77777777" w:rsidR="009E492D" w:rsidRPr="009878A3" w:rsidRDefault="009E492D" w:rsidP="00F07EB5">
            <w:pPr>
              <w:pStyle w:val="Tabletext"/>
              <w:spacing w:before="120" w:after="120"/>
              <w:jc w:val="left"/>
              <w:rPr>
                <w:sz w:val="20"/>
              </w:rPr>
            </w:pPr>
          </w:p>
        </w:tc>
      </w:tr>
      <w:tr w:rsidR="009E492D" w:rsidRPr="009878A3" w14:paraId="2E6B6C20" w14:textId="77777777" w:rsidTr="009878A3">
        <w:trPr>
          <w:cantSplit/>
          <w:jc w:val="center"/>
        </w:trPr>
        <w:tc>
          <w:tcPr>
            <w:tcW w:w="1436" w:type="dxa"/>
            <w:tcBorders>
              <w:left w:val="single" w:sz="6" w:space="0" w:color="auto"/>
              <w:right w:val="single" w:sz="6" w:space="0" w:color="auto"/>
            </w:tcBorders>
          </w:tcPr>
          <w:p w14:paraId="2D236565" w14:textId="77777777" w:rsidR="009E492D" w:rsidRPr="009878A3" w:rsidRDefault="009E492D" w:rsidP="00F07EB5">
            <w:pPr>
              <w:pStyle w:val="TableText0"/>
              <w:keepNext w:val="0"/>
              <w:spacing w:before="120" w:after="120"/>
              <w:jc w:val="left"/>
              <w:rPr>
                <w:sz w:val="20"/>
                <w:szCs w:val="20"/>
              </w:rPr>
            </w:pPr>
          </w:p>
        </w:tc>
        <w:tc>
          <w:tcPr>
            <w:tcW w:w="3442" w:type="dxa"/>
            <w:tcBorders>
              <w:top w:val="single" w:sz="6" w:space="0" w:color="auto"/>
              <w:left w:val="single" w:sz="6" w:space="0" w:color="auto"/>
              <w:right w:val="single" w:sz="6" w:space="0" w:color="auto"/>
            </w:tcBorders>
          </w:tcPr>
          <w:p w14:paraId="41F58ECF" w14:textId="77777777" w:rsidR="009E492D" w:rsidRPr="009878A3" w:rsidRDefault="009E492D" w:rsidP="00F07EB5">
            <w:pPr>
              <w:pStyle w:val="Tabletext"/>
              <w:spacing w:before="120" w:after="120"/>
              <w:jc w:val="center"/>
              <w:rPr>
                <w:sz w:val="20"/>
              </w:rPr>
            </w:pPr>
            <w:r w:rsidRPr="009878A3">
              <w:rPr>
                <w:sz w:val="20"/>
              </w:rPr>
              <w:t>Caso 2:</w:t>
            </w:r>
          </w:p>
        </w:tc>
        <w:tc>
          <w:tcPr>
            <w:tcW w:w="3194" w:type="dxa"/>
            <w:tcBorders>
              <w:top w:val="single" w:sz="6" w:space="0" w:color="auto"/>
              <w:left w:val="single" w:sz="6" w:space="0" w:color="auto"/>
            </w:tcBorders>
          </w:tcPr>
          <w:p w14:paraId="0474811B" w14:textId="77777777" w:rsidR="009E492D" w:rsidRPr="009878A3" w:rsidRDefault="009E492D" w:rsidP="00F07EB5">
            <w:pPr>
              <w:pStyle w:val="TableText0"/>
              <w:keepNext w:val="0"/>
              <w:spacing w:before="120" w:after="120"/>
              <w:jc w:val="left"/>
              <w:rPr>
                <w:sz w:val="20"/>
                <w:szCs w:val="20"/>
              </w:rPr>
            </w:pPr>
          </w:p>
        </w:tc>
        <w:tc>
          <w:tcPr>
            <w:tcW w:w="1567" w:type="dxa"/>
            <w:tcBorders>
              <w:top w:val="single" w:sz="6" w:space="0" w:color="auto"/>
              <w:left w:val="single" w:sz="6" w:space="0" w:color="auto"/>
              <w:right w:val="single" w:sz="6" w:space="0" w:color="auto"/>
            </w:tcBorders>
          </w:tcPr>
          <w:p w14:paraId="04899D7D" w14:textId="77777777" w:rsidR="009E492D" w:rsidRPr="009878A3" w:rsidRDefault="009E492D" w:rsidP="00F07EB5">
            <w:pPr>
              <w:pStyle w:val="Tabletext"/>
              <w:spacing w:before="120" w:after="120"/>
              <w:jc w:val="left"/>
              <w:rPr>
                <w:sz w:val="20"/>
              </w:rPr>
            </w:pPr>
            <w:r w:rsidRPr="009878A3">
              <w:rPr>
                <w:sz w:val="20"/>
              </w:rPr>
              <w:t>3M36P0N</w:t>
            </w:r>
          </w:p>
        </w:tc>
      </w:tr>
      <w:tr w:rsidR="009E492D" w:rsidRPr="009878A3" w14:paraId="16A3031A" w14:textId="77777777" w:rsidTr="009878A3">
        <w:trPr>
          <w:cantSplit/>
          <w:jc w:val="center"/>
        </w:trPr>
        <w:tc>
          <w:tcPr>
            <w:tcW w:w="1436" w:type="dxa"/>
            <w:tcBorders>
              <w:left w:val="single" w:sz="6" w:space="0" w:color="auto"/>
              <w:right w:val="single" w:sz="6" w:space="0" w:color="auto"/>
            </w:tcBorders>
          </w:tcPr>
          <w:p w14:paraId="6A1FC570" w14:textId="77777777" w:rsidR="009E492D" w:rsidRPr="009878A3" w:rsidRDefault="009E492D" w:rsidP="00F07EB5">
            <w:pPr>
              <w:pStyle w:val="TableText0"/>
              <w:keepNext w:val="0"/>
              <w:spacing w:before="120" w:after="80"/>
              <w:jc w:val="left"/>
              <w:rPr>
                <w:sz w:val="20"/>
                <w:szCs w:val="20"/>
              </w:rPr>
            </w:pPr>
          </w:p>
        </w:tc>
        <w:tc>
          <w:tcPr>
            <w:tcW w:w="3442" w:type="dxa"/>
            <w:tcBorders>
              <w:left w:val="single" w:sz="6" w:space="0" w:color="auto"/>
              <w:right w:val="single" w:sz="6" w:space="0" w:color="auto"/>
            </w:tcBorders>
          </w:tcPr>
          <w:p w14:paraId="5FE65445" w14:textId="77777777" w:rsidR="009E492D" w:rsidRPr="009878A3" w:rsidRDefault="009E492D" w:rsidP="00F07EB5">
            <w:pPr>
              <w:pStyle w:val="TableText0"/>
              <w:keepNext w:val="0"/>
              <w:spacing w:before="120" w:after="80" w:line="240" w:lineRule="auto"/>
              <w:jc w:val="left"/>
              <w:rPr>
                <w:sz w:val="20"/>
                <w:szCs w:val="20"/>
              </w:rPr>
            </w:pPr>
            <w:r w:rsidRPr="009878A3">
              <w:rPr>
                <w:sz w:val="20"/>
                <w:szCs w:val="20"/>
              </w:rPr>
              <w:fldChar w:fldCharType="begin"/>
            </w:r>
            <w:r w:rsidRPr="009878A3">
              <w:rPr>
                <w:sz w:val="20"/>
                <w:szCs w:val="20"/>
              </w:rPr>
              <w:instrText xml:space="preserve">eq </w:instrText>
            </w:r>
            <w:r w:rsidRPr="009878A3">
              <w:rPr>
                <w:i/>
                <w:sz w:val="20"/>
                <w:szCs w:val="20"/>
              </w:rPr>
              <w:instrText>B</w:instrText>
            </w:r>
            <w:r w:rsidRPr="009878A3">
              <w:rPr>
                <w:i/>
                <w:position w:val="-3"/>
                <w:sz w:val="20"/>
                <w:szCs w:val="20"/>
              </w:rPr>
              <w:instrText>n</w:instrText>
            </w:r>
            <w:r w:rsidRPr="009878A3">
              <w:rPr>
                <w:b/>
                <w:sz w:val="20"/>
                <w:szCs w:val="20"/>
              </w:rPr>
              <w:instrText xml:space="preserve">  </w:instrText>
            </w:r>
            <w:r w:rsidRPr="009878A3">
              <w:rPr>
                <w:rFonts w:ascii="Symbol" w:hAnsi="Symbol"/>
                <w:b/>
                <w:sz w:val="20"/>
                <w:szCs w:val="20"/>
              </w:rPr>
              <w:instrText>=</w:instrText>
            </w:r>
            <w:r w:rsidRPr="009878A3">
              <w:rPr>
                <w:b/>
                <w:sz w:val="20"/>
                <w:szCs w:val="20"/>
              </w:rPr>
              <w:instrText xml:space="preserve">  </w:instrText>
            </w:r>
            <w:r w:rsidRPr="009878A3">
              <w:rPr>
                <w:sz w:val="20"/>
                <w:szCs w:val="20"/>
              </w:rPr>
              <w:instrText>1\,27 \r(\f(\f(1,</w:instrText>
            </w:r>
            <w:r w:rsidRPr="009878A3">
              <w:rPr>
                <w:i/>
                <w:sz w:val="20"/>
                <w:szCs w:val="20"/>
              </w:rPr>
              <w:instrText>t</w:instrText>
            </w:r>
            <w:r w:rsidRPr="009878A3">
              <w:rPr>
                <w:i/>
                <w:position w:val="-3"/>
                <w:sz w:val="20"/>
                <w:szCs w:val="20"/>
              </w:rPr>
              <w:instrText>r</w:instrText>
            </w:r>
            <w:r w:rsidRPr="009878A3">
              <w:rPr>
                <w:sz w:val="20"/>
                <w:szCs w:val="20"/>
              </w:rPr>
              <w:instrText xml:space="preserve">)  </w:instrText>
            </w:r>
            <w:r w:rsidRPr="009878A3">
              <w:rPr>
                <w:rFonts w:ascii="Symbol" w:hAnsi="Symbol"/>
                <w:sz w:val="20"/>
                <w:szCs w:val="20"/>
              </w:rPr>
              <w:instrText>+</w:instrText>
            </w:r>
            <w:r w:rsidRPr="009878A3">
              <w:rPr>
                <w:sz w:val="20"/>
                <w:szCs w:val="20"/>
              </w:rPr>
              <w:instrText xml:space="preserve">   \f(1,</w:instrText>
            </w:r>
            <w:r w:rsidRPr="009878A3">
              <w:rPr>
                <w:i/>
                <w:sz w:val="20"/>
                <w:szCs w:val="20"/>
              </w:rPr>
              <w:instrText>t</w:instrText>
            </w:r>
            <w:r w:rsidRPr="009878A3">
              <w:rPr>
                <w:i/>
                <w:position w:val="-3"/>
                <w:sz w:val="20"/>
                <w:szCs w:val="20"/>
              </w:rPr>
              <w:instrText>f</w:instrText>
            </w:r>
            <w:r w:rsidRPr="009878A3">
              <w:rPr>
                <w:sz w:val="20"/>
                <w:szCs w:val="20"/>
              </w:rPr>
              <w:instrText>\s\do4()),</w:instrText>
            </w:r>
            <w:r w:rsidRPr="009878A3">
              <w:rPr>
                <w:i/>
                <w:sz w:val="20"/>
                <w:szCs w:val="20"/>
              </w:rPr>
              <w:instrText>t</w:instrText>
            </w:r>
            <w:r w:rsidRPr="009878A3">
              <w:rPr>
                <w:sz w:val="20"/>
                <w:szCs w:val="20"/>
              </w:rPr>
              <w:instrText>))</w:instrText>
            </w:r>
            <w:r w:rsidRPr="009878A3">
              <w:rPr>
                <w:sz w:val="20"/>
                <w:szCs w:val="20"/>
              </w:rPr>
              <w:fldChar w:fldCharType="end"/>
            </w:r>
          </w:p>
        </w:tc>
        <w:tc>
          <w:tcPr>
            <w:tcW w:w="3194" w:type="dxa"/>
            <w:tcBorders>
              <w:left w:val="single" w:sz="6" w:space="0" w:color="auto"/>
            </w:tcBorders>
          </w:tcPr>
          <w:p w14:paraId="223BBB34" w14:textId="796EC5FE"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sz w:val="20"/>
                <w:szCs w:val="20"/>
              </w:rPr>
              <w:t>   </w:t>
            </w:r>
            <w:r w:rsidRPr="009878A3">
              <w:rPr>
                <w:rFonts w:ascii="Symbol" w:hAnsi="Symbol"/>
                <w:sz w:val="20"/>
                <w:szCs w:val="20"/>
              </w:rPr>
              <w:t></w:t>
            </w:r>
            <w:r w:rsidRPr="009878A3">
              <w:rPr>
                <w:sz w:val="20"/>
                <w:szCs w:val="20"/>
              </w:rPr>
              <w:t>  3  </w:t>
            </w:r>
            <w:r w:rsidRPr="009878A3">
              <w:rPr>
                <w:rFonts w:ascii="Symbol" w:hAnsi="Symbol"/>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xml:space="preserve"> s</w:t>
            </w:r>
          </w:p>
          <w:p w14:paraId="68896F16" w14:textId="12EAF695"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i/>
                <w:position w:val="-3"/>
                <w:sz w:val="20"/>
                <w:szCs w:val="20"/>
              </w:rPr>
              <w:t>r</w:t>
            </w:r>
            <w:r w:rsidRPr="009878A3">
              <w:rPr>
                <w:sz w:val="20"/>
                <w:szCs w:val="20"/>
              </w:rPr>
              <w:t>  </w:t>
            </w:r>
            <w:r w:rsidRPr="009878A3">
              <w:rPr>
                <w:rFonts w:ascii="Symbol" w:hAnsi="Symbol"/>
                <w:sz w:val="20"/>
                <w:szCs w:val="20"/>
              </w:rPr>
              <w:t></w:t>
            </w:r>
            <w:r w:rsidRPr="009878A3">
              <w:rPr>
                <w:sz w:val="20"/>
                <w:szCs w:val="20"/>
              </w:rPr>
              <w:t>  0,06675  </w:t>
            </w:r>
            <w:r w:rsidR="009878A3">
              <w:rPr>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xml:space="preserve"> s</w:t>
            </w:r>
          </w:p>
          <w:p w14:paraId="7B779DD8" w14:textId="5B015C68"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i/>
                <w:position w:val="-3"/>
                <w:sz w:val="20"/>
                <w:szCs w:val="20"/>
              </w:rPr>
              <w:t>f</w:t>
            </w:r>
            <w:r w:rsidRPr="009878A3">
              <w:rPr>
                <w:sz w:val="20"/>
                <w:szCs w:val="20"/>
              </w:rPr>
              <w:t>  </w:t>
            </w:r>
            <w:r w:rsidRPr="009878A3">
              <w:rPr>
                <w:rFonts w:ascii="Symbol" w:hAnsi="Symbol"/>
                <w:sz w:val="20"/>
                <w:szCs w:val="20"/>
              </w:rPr>
              <w:t></w:t>
            </w:r>
            <w:r w:rsidRPr="009878A3">
              <w:rPr>
                <w:sz w:val="20"/>
                <w:szCs w:val="20"/>
              </w:rPr>
              <w:t>  0,167  </w:t>
            </w:r>
            <w:r w:rsidR="009878A3">
              <w:rPr>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xml:space="preserve"> s</w:t>
            </w:r>
          </w:p>
        </w:tc>
        <w:tc>
          <w:tcPr>
            <w:tcW w:w="1567" w:type="dxa"/>
            <w:tcBorders>
              <w:left w:val="single" w:sz="6" w:space="0" w:color="auto"/>
              <w:right w:val="single" w:sz="6" w:space="0" w:color="auto"/>
            </w:tcBorders>
          </w:tcPr>
          <w:p w14:paraId="36EF552A" w14:textId="77777777" w:rsidR="009E492D" w:rsidRPr="009878A3" w:rsidRDefault="009E492D" w:rsidP="00F07EB5">
            <w:pPr>
              <w:pStyle w:val="Tabletext"/>
              <w:spacing w:before="120" w:after="80"/>
              <w:jc w:val="left"/>
              <w:rPr>
                <w:sz w:val="20"/>
              </w:rPr>
            </w:pPr>
          </w:p>
        </w:tc>
      </w:tr>
      <w:tr w:rsidR="009E492D" w:rsidRPr="009878A3" w14:paraId="38C681E4" w14:textId="77777777" w:rsidTr="009878A3">
        <w:trPr>
          <w:cantSplit/>
          <w:jc w:val="center"/>
        </w:trPr>
        <w:tc>
          <w:tcPr>
            <w:tcW w:w="1436" w:type="dxa"/>
            <w:tcBorders>
              <w:left w:val="single" w:sz="6" w:space="0" w:color="auto"/>
              <w:right w:val="single" w:sz="6" w:space="0" w:color="auto"/>
            </w:tcBorders>
          </w:tcPr>
          <w:p w14:paraId="06BAC3EE" w14:textId="77777777" w:rsidR="009E492D" w:rsidRPr="009878A3" w:rsidRDefault="009E492D" w:rsidP="00F07EB5">
            <w:pPr>
              <w:pStyle w:val="TableText0"/>
              <w:keepNext w:val="0"/>
              <w:spacing w:before="120" w:after="120"/>
              <w:jc w:val="left"/>
              <w:rPr>
                <w:sz w:val="20"/>
                <w:szCs w:val="20"/>
              </w:rPr>
            </w:pPr>
          </w:p>
        </w:tc>
        <w:tc>
          <w:tcPr>
            <w:tcW w:w="3442" w:type="dxa"/>
            <w:tcBorders>
              <w:left w:val="single" w:sz="6" w:space="0" w:color="auto"/>
              <w:bottom w:val="single" w:sz="6" w:space="0" w:color="auto"/>
              <w:right w:val="single" w:sz="6" w:space="0" w:color="auto"/>
            </w:tcBorders>
          </w:tcPr>
          <w:p w14:paraId="45FB3FE0" w14:textId="77777777" w:rsidR="009E492D" w:rsidRPr="009878A3" w:rsidRDefault="009E492D" w:rsidP="00F07EB5">
            <w:pPr>
              <w:pStyle w:val="TableText0"/>
              <w:keepNext w:val="0"/>
              <w:spacing w:before="120" w:after="120" w:line="240" w:lineRule="auto"/>
              <w:jc w:val="left"/>
              <w:rPr>
                <w:sz w:val="20"/>
                <w:szCs w:val="20"/>
              </w:rPr>
            </w:pPr>
            <w:r w:rsidRPr="009878A3">
              <w:rPr>
                <w:sz w:val="20"/>
                <w:szCs w:val="20"/>
              </w:rPr>
              <w:t>20 dB por debajo del valor de cresta de la envolvente del espectro para un impulso trapezoidal asimétrico</w:t>
            </w:r>
          </w:p>
        </w:tc>
        <w:tc>
          <w:tcPr>
            <w:tcW w:w="3194" w:type="dxa"/>
            <w:tcBorders>
              <w:left w:val="single" w:sz="6" w:space="0" w:color="auto"/>
              <w:bottom w:val="single" w:sz="6" w:space="0" w:color="auto"/>
            </w:tcBorders>
          </w:tcPr>
          <w:p w14:paraId="52CE59FA" w14:textId="424470AB" w:rsidR="009E492D" w:rsidRPr="009878A3" w:rsidRDefault="009E492D" w:rsidP="00F07EB5">
            <w:pPr>
              <w:pStyle w:val="TableText0"/>
              <w:keepNext w:val="0"/>
              <w:spacing w:before="120" w:after="120"/>
              <w:jc w:val="left"/>
              <w:rPr>
                <w:sz w:val="20"/>
                <w:szCs w:val="20"/>
              </w:rPr>
            </w:pPr>
            <w:r w:rsidRPr="009878A3">
              <w:rPr>
                <w:sz w:val="20"/>
                <w:szCs w:val="20"/>
              </w:rPr>
              <w:t>Ancho de banda:  3,36  </w:t>
            </w:r>
            <w:r w:rsidR="009878A3">
              <w:rPr>
                <w:sz w:val="20"/>
                <w:szCs w:val="20"/>
              </w:rPr>
              <w:t>×</w:t>
            </w:r>
            <w:r w:rsidRPr="009878A3">
              <w:rPr>
                <w:sz w:val="20"/>
                <w:szCs w:val="20"/>
              </w:rPr>
              <w:t>  10</w:t>
            </w:r>
            <w:r w:rsidRPr="009878A3">
              <w:rPr>
                <w:position w:val="6"/>
                <w:sz w:val="16"/>
                <w:szCs w:val="16"/>
              </w:rPr>
              <w:t>6</w:t>
            </w:r>
            <w:r w:rsidRPr="009878A3">
              <w:rPr>
                <w:sz w:val="20"/>
                <w:szCs w:val="20"/>
              </w:rPr>
              <w:t> Hz</w:t>
            </w:r>
          </w:p>
        </w:tc>
        <w:tc>
          <w:tcPr>
            <w:tcW w:w="1567" w:type="dxa"/>
            <w:tcBorders>
              <w:left w:val="single" w:sz="6" w:space="0" w:color="auto"/>
              <w:bottom w:val="single" w:sz="6" w:space="0" w:color="auto"/>
              <w:right w:val="single" w:sz="6" w:space="0" w:color="auto"/>
            </w:tcBorders>
          </w:tcPr>
          <w:p w14:paraId="515EB159" w14:textId="77777777" w:rsidR="009E492D" w:rsidRPr="009878A3" w:rsidRDefault="009E492D" w:rsidP="00F07EB5">
            <w:pPr>
              <w:pStyle w:val="Tabletext"/>
              <w:spacing w:before="120" w:after="120"/>
              <w:jc w:val="left"/>
              <w:rPr>
                <w:sz w:val="20"/>
              </w:rPr>
            </w:pPr>
          </w:p>
        </w:tc>
      </w:tr>
      <w:tr w:rsidR="009E492D" w:rsidRPr="009878A3" w14:paraId="421C9DD8" w14:textId="77777777" w:rsidTr="009878A3">
        <w:trPr>
          <w:cantSplit/>
          <w:jc w:val="center"/>
        </w:trPr>
        <w:tc>
          <w:tcPr>
            <w:tcW w:w="1436" w:type="dxa"/>
            <w:tcBorders>
              <w:left w:val="single" w:sz="6" w:space="0" w:color="auto"/>
              <w:right w:val="single" w:sz="6" w:space="0" w:color="auto"/>
            </w:tcBorders>
          </w:tcPr>
          <w:p w14:paraId="3271EA83" w14:textId="77777777" w:rsidR="009E492D" w:rsidRPr="009878A3" w:rsidRDefault="009E492D" w:rsidP="00F07EB5">
            <w:pPr>
              <w:pStyle w:val="TableText0"/>
              <w:keepNext w:val="0"/>
              <w:spacing w:before="120" w:after="120"/>
              <w:jc w:val="left"/>
              <w:rPr>
                <w:sz w:val="20"/>
                <w:szCs w:val="20"/>
              </w:rPr>
            </w:pPr>
          </w:p>
        </w:tc>
        <w:tc>
          <w:tcPr>
            <w:tcW w:w="3442" w:type="dxa"/>
            <w:tcBorders>
              <w:top w:val="single" w:sz="6" w:space="0" w:color="auto"/>
              <w:left w:val="single" w:sz="6" w:space="0" w:color="auto"/>
              <w:right w:val="single" w:sz="6" w:space="0" w:color="auto"/>
            </w:tcBorders>
          </w:tcPr>
          <w:p w14:paraId="573E5F88" w14:textId="77777777" w:rsidR="009E492D" w:rsidRPr="009878A3" w:rsidRDefault="009E492D" w:rsidP="00F07EB5">
            <w:pPr>
              <w:pStyle w:val="Tabletext"/>
              <w:spacing w:before="120" w:after="120"/>
              <w:jc w:val="center"/>
              <w:rPr>
                <w:sz w:val="20"/>
              </w:rPr>
            </w:pPr>
            <w:r w:rsidRPr="009878A3">
              <w:rPr>
                <w:sz w:val="20"/>
              </w:rPr>
              <w:t>Caso 3:</w:t>
            </w:r>
          </w:p>
        </w:tc>
        <w:tc>
          <w:tcPr>
            <w:tcW w:w="3194" w:type="dxa"/>
            <w:tcBorders>
              <w:top w:val="single" w:sz="6" w:space="0" w:color="auto"/>
              <w:left w:val="single" w:sz="6" w:space="0" w:color="auto"/>
            </w:tcBorders>
          </w:tcPr>
          <w:p w14:paraId="0EE3CA3D" w14:textId="77777777" w:rsidR="009E492D" w:rsidRPr="009878A3" w:rsidRDefault="009E492D" w:rsidP="00F07EB5">
            <w:pPr>
              <w:pStyle w:val="TableText0"/>
              <w:keepNext w:val="0"/>
              <w:spacing w:before="120" w:after="120"/>
              <w:jc w:val="left"/>
              <w:rPr>
                <w:sz w:val="20"/>
                <w:szCs w:val="20"/>
              </w:rPr>
            </w:pPr>
          </w:p>
        </w:tc>
        <w:tc>
          <w:tcPr>
            <w:tcW w:w="1567" w:type="dxa"/>
            <w:tcBorders>
              <w:top w:val="single" w:sz="6" w:space="0" w:color="auto"/>
              <w:left w:val="single" w:sz="6" w:space="0" w:color="auto"/>
              <w:right w:val="single" w:sz="6" w:space="0" w:color="auto"/>
            </w:tcBorders>
          </w:tcPr>
          <w:p w14:paraId="53D233DE" w14:textId="77777777" w:rsidR="009E492D" w:rsidRPr="009878A3" w:rsidRDefault="009E492D" w:rsidP="00F07EB5">
            <w:pPr>
              <w:pStyle w:val="Tabletext"/>
              <w:spacing w:before="120" w:after="120"/>
              <w:jc w:val="left"/>
              <w:rPr>
                <w:sz w:val="20"/>
              </w:rPr>
            </w:pPr>
            <w:r w:rsidRPr="009878A3">
              <w:rPr>
                <w:sz w:val="20"/>
              </w:rPr>
              <w:t>4M50P0N</w:t>
            </w:r>
          </w:p>
        </w:tc>
      </w:tr>
      <w:tr w:rsidR="009E492D" w:rsidRPr="009878A3" w14:paraId="72C41191" w14:textId="77777777" w:rsidTr="009878A3">
        <w:trPr>
          <w:cantSplit/>
          <w:jc w:val="center"/>
        </w:trPr>
        <w:tc>
          <w:tcPr>
            <w:tcW w:w="1436" w:type="dxa"/>
            <w:tcBorders>
              <w:left w:val="single" w:sz="6" w:space="0" w:color="auto"/>
              <w:right w:val="single" w:sz="6" w:space="0" w:color="auto"/>
            </w:tcBorders>
          </w:tcPr>
          <w:p w14:paraId="5EE04B46" w14:textId="77777777" w:rsidR="009E492D" w:rsidRPr="009878A3" w:rsidRDefault="009E492D" w:rsidP="00F07EB5">
            <w:pPr>
              <w:pStyle w:val="TableText0"/>
              <w:keepNext w:val="0"/>
              <w:spacing w:before="120" w:after="80"/>
              <w:jc w:val="left"/>
              <w:rPr>
                <w:sz w:val="20"/>
                <w:szCs w:val="20"/>
              </w:rPr>
            </w:pPr>
          </w:p>
        </w:tc>
        <w:tc>
          <w:tcPr>
            <w:tcW w:w="3442" w:type="dxa"/>
            <w:tcBorders>
              <w:left w:val="single" w:sz="6" w:space="0" w:color="auto"/>
              <w:right w:val="single" w:sz="6" w:space="0" w:color="auto"/>
            </w:tcBorders>
          </w:tcPr>
          <w:p w14:paraId="5DB4942B" w14:textId="21FADFB1" w:rsidR="009E492D" w:rsidRPr="009878A3" w:rsidRDefault="009E492D" w:rsidP="00F07EB5">
            <w:pPr>
              <w:pStyle w:val="TableText0"/>
              <w:keepNext w:val="0"/>
              <w:spacing w:before="120" w:after="80" w:line="240" w:lineRule="auto"/>
              <w:jc w:val="left"/>
              <w:rPr>
                <w:sz w:val="20"/>
                <w:szCs w:val="20"/>
              </w:rPr>
            </w:pPr>
            <w:r w:rsidRPr="009878A3">
              <w:rPr>
                <w:sz w:val="20"/>
                <w:szCs w:val="20"/>
              </w:rPr>
              <w:fldChar w:fldCharType="begin"/>
            </w:r>
            <w:r w:rsidRPr="009878A3">
              <w:rPr>
                <w:sz w:val="20"/>
                <w:szCs w:val="20"/>
              </w:rPr>
              <w:instrText xml:space="preserve">eq </w:instrText>
            </w:r>
            <w:r w:rsidRPr="009878A3">
              <w:rPr>
                <w:i/>
                <w:sz w:val="20"/>
                <w:szCs w:val="20"/>
              </w:rPr>
              <w:instrText>B</w:instrText>
            </w:r>
            <w:r w:rsidRPr="009878A3">
              <w:rPr>
                <w:i/>
                <w:position w:val="-3"/>
                <w:sz w:val="20"/>
                <w:szCs w:val="20"/>
              </w:rPr>
              <w:instrText>n</w:instrText>
            </w:r>
            <w:r w:rsidRPr="009878A3">
              <w:rPr>
                <w:b/>
                <w:sz w:val="20"/>
                <w:szCs w:val="20"/>
              </w:rPr>
              <w:instrText xml:space="preserve">  </w:instrText>
            </w:r>
            <w:r w:rsidRPr="009878A3">
              <w:rPr>
                <w:rFonts w:ascii="Symbol" w:hAnsi="Symbol"/>
                <w:b/>
                <w:sz w:val="20"/>
                <w:szCs w:val="20"/>
              </w:rPr>
              <w:instrText>=</w:instrText>
            </w:r>
            <w:r w:rsidRPr="009878A3">
              <w:rPr>
                <w:b/>
                <w:sz w:val="20"/>
                <w:szCs w:val="20"/>
              </w:rPr>
              <w:instrText xml:space="preserve">  </w:instrText>
            </w:r>
            <w:r w:rsidRPr="009878A3">
              <w:rPr>
                <w:sz w:val="20"/>
                <w:szCs w:val="20"/>
              </w:rPr>
              <w:instrText>\f(6\,36,</w:instrText>
            </w:r>
            <w:r w:rsidRPr="009878A3">
              <w:rPr>
                <w:i/>
                <w:sz w:val="20"/>
                <w:szCs w:val="20"/>
              </w:rPr>
              <w:instrText>t</w:instrText>
            </w:r>
            <w:r w:rsidRPr="009878A3">
              <w:rPr>
                <w:sz w:val="20"/>
                <w:szCs w:val="20"/>
              </w:rPr>
              <w:instrText>)</w:instrText>
            </w:r>
            <w:r w:rsidRPr="009878A3">
              <w:rPr>
                <w:sz w:val="20"/>
                <w:szCs w:val="20"/>
              </w:rPr>
              <w:fldChar w:fldCharType="end"/>
            </w:r>
            <w:r w:rsidR="00F07EB5">
              <w:rPr>
                <w:sz w:val="20"/>
                <w:szCs w:val="20"/>
              </w:rPr>
              <w:tab/>
            </w:r>
            <w:r w:rsidRPr="009878A3">
              <w:rPr>
                <w:color w:val="000000"/>
                <w:sz w:val="20"/>
                <w:szCs w:val="20"/>
              </w:rPr>
              <w:t>Hz</w:t>
            </w:r>
          </w:p>
        </w:tc>
        <w:tc>
          <w:tcPr>
            <w:tcW w:w="3194" w:type="dxa"/>
            <w:tcBorders>
              <w:left w:val="single" w:sz="6" w:space="0" w:color="auto"/>
            </w:tcBorders>
          </w:tcPr>
          <w:p w14:paraId="73A52A5B" w14:textId="7CE731E3" w:rsidR="009E492D" w:rsidRPr="009878A3" w:rsidRDefault="009E492D" w:rsidP="00F07EB5">
            <w:pPr>
              <w:pStyle w:val="TableText0"/>
              <w:keepNext w:val="0"/>
              <w:spacing w:before="120" w:after="80"/>
              <w:jc w:val="left"/>
              <w:rPr>
                <w:sz w:val="20"/>
                <w:szCs w:val="20"/>
              </w:rPr>
            </w:pPr>
            <w:r w:rsidRPr="009878A3">
              <w:rPr>
                <w:i/>
                <w:sz w:val="20"/>
                <w:szCs w:val="20"/>
              </w:rPr>
              <w:t>t</w:t>
            </w:r>
            <w:r w:rsidRPr="009878A3">
              <w:rPr>
                <w:sz w:val="20"/>
                <w:szCs w:val="20"/>
              </w:rPr>
              <w:t>    </w:t>
            </w:r>
            <w:r w:rsidRPr="009878A3">
              <w:rPr>
                <w:rFonts w:ascii="Symbol" w:hAnsi="Symbol"/>
                <w:sz w:val="20"/>
                <w:szCs w:val="20"/>
              </w:rPr>
              <w:t></w:t>
            </w:r>
            <w:r w:rsidRPr="009878A3">
              <w:rPr>
                <w:sz w:val="20"/>
                <w:szCs w:val="20"/>
              </w:rPr>
              <w:t>  1,41  </w:t>
            </w:r>
            <w:r w:rsidR="009878A3">
              <w:rPr>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xml:space="preserve"> s</w:t>
            </w:r>
          </w:p>
          <w:p w14:paraId="2256E51D" w14:textId="522C8436" w:rsidR="009E492D" w:rsidRPr="009878A3" w:rsidRDefault="009E492D" w:rsidP="00F07EB5">
            <w:pPr>
              <w:pStyle w:val="TableText0"/>
              <w:keepNext w:val="0"/>
              <w:spacing w:before="120" w:after="80"/>
              <w:jc w:val="left"/>
              <w:rPr>
                <w:sz w:val="20"/>
                <w:szCs w:val="20"/>
              </w:rPr>
            </w:pPr>
            <w:r w:rsidRPr="009878A3">
              <w:rPr>
                <w:i/>
                <w:sz w:val="20"/>
                <w:szCs w:val="20"/>
              </w:rPr>
              <w:t>B</w:t>
            </w:r>
            <w:r w:rsidRPr="009878A3">
              <w:rPr>
                <w:i/>
                <w:position w:val="-3"/>
                <w:sz w:val="20"/>
                <w:szCs w:val="20"/>
              </w:rPr>
              <w:t>n</w:t>
            </w:r>
            <w:r w:rsidRPr="009878A3">
              <w:rPr>
                <w:sz w:val="20"/>
                <w:szCs w:val="20"/>
              </w:rPr>
              <w:t>  </w:t>
            </w:r>
            <w:r w:rsidRPr="009878A3">
              <w:rPr>
                <w:rFonts w:ascii="Symbol" w:hAnsi="Symbol"/>
                <w:sz w:val="20"/>
                <w:szCs w:val="20"/>
              </w:rPr>
              <w:t></w:t>
            </w:r>
            <w:r w:rsidRPr="009878A3">
              <w:rPr>
                <w:sz w:val="20"/>
                <w:szCs w:val="20"/>
              </w:rPr>
              <w:t>  4,5  </w:t>
            </w:r>
            <w:r w:rsidR="009878A3">
              <w:rPr>
                <w:sz w:val="20"/>
                <w:szCs w:val="20"/>
              </w:rPr>
              <w:t>×</w:t>
            </w:r>
            <w:r w:rsidRPr="009878A3">
              <w:rPr>
                <w:sz w:val="20"/>
                <w:szCs w:val="20"/>
              </w:rPr>
              <w:t>  </w:t>
            </w:r>
            <w:r w:rsidR="009878A3" w:rsidRPr="009878A3">
              <w:rPr>
                <w:sz w:val="20"/>
                <w:szCs w:val="20"/>
              </w:rPr>
              <w:t>10</w:t>
            </w:r>
            <w:r w:rsidR="009878A3" w:rsidRPr="009878A3">
              <w:rPr>
                <w:position w:val="6"/>
                <w:sz w:val="16"/>
                <w:szCs w:val="16"/>
              </w:rPr>
              <w:t>6</w:t>
            </w:r>
            <w:r w:rsidR="009878A3" w:rsidRPr="009878A3">
              <w:rPr>
                <w:sz w:val="20"/>
                <w:szCs w:val="20"/>
              </w:rPr>
              <w:t> Hz</w:t>
            </w:r>
          </w:p>
        </w:tc>
        <w:tc>
          <w:tcPr>
            <w:tcW w:w="1567" w:type="dxa"/>
            <w:tcBorders>
              <w:left w:val="single" w:sz="6" w:space="0" w:color="auto"/>
              <w:right w:val="single" w:sz="6" w:space="0" w:color="auto"/>
            </w:tcBorders>
          </w:tcPr>
          <w:p w14:paraId="7AA04D58" w14:textId="77777777" w:rsidR="009E492D" w:rsidRPr="009878A3" w:rsidRDefault="009E492D" w:rsidP="00F07EB5">
            <w:pPr>
              <w:pStyle w:val="Tabletext"/>
              <w:spacing w:before="120" w:after="80"/>
              <w:jc w:val="left"/>
              <w:rPr>
                <w:sz w:val="20"/>
              </w:rPr>
            </w:pPr>
          </w:p>
        </w:tc>
      </w:tr>
      <w:tr w:rsidR="009E492D" w:rsidRPr="009878A3" w14:paraId="40925F6A" w14:textId="77777777" w:rsidTr="009878A3">
        <w:trPr>
          <w:cantSplit/>
          <w:jc w:val="center"/>
        </w:trPr>
        <w:tc>
          <w:tcPr>
            <w:tcW w:w="1436" w:type="dxa"/>
            <w:tcBorders>
              <w:left w:val="single" w:sz="6" w:space="0" w:color="auto"/>
              <w:bottom w:val="single" w:sz="6" w:space="0" w:color="auto"/>
              <w:right w:val="single" w:sz="6" w:space="0" w:color="auto"/>
            </w:tcBorders>
          </w:tcPr>
          <w:p w14:paraId="66E2D764" w14:textId="77777777" w:rsidR="009E492D" w:rsidRPr="009878A3" w:rsidRDefault="009E492D" w:rsidP="00F07EB5">
            <w:pPr>
              <w:pStyle w:val="TableText0"/>
              <w:keepNext w:val="0"/>
              <w:spacing w:before="120" w:after="120"/>
              <w:jc w:val="left"/>
              <w:rPr>
                <w:sz w:val="20"/>
                <w:szCs w:val="20"/>
              </w:rPr>
            </w:pPr>
          </w:p>
        </w:tc>
        <w:tc>
          <w:tcPr>
            <w:tcW w:w="3442" w:type="dxa"/>
            <w:tcBorders>
              <w:left w:val="single" w:sz="6" w:space="0" w:color="auto"/>
              <w:bottom w:val="single" w:sz="6" w:space="0" w:color="auto"/>
              <w:right w:val="single" w:sz="6" w:space="0" w:color="auto"/>
            </w:tcBorders>
          </w:tcPr>
          <w:p w14:paraId="276E10F0" w14:textId="77777777" w:rsidR="009E492D" w:rsidRPr="009878A3" w:rsidRDefault="009E492D" w:rsidP="00F07EB5">
            <w:pPr>
              <w:pStyle w:val="Tabletext"/>
              <w:spacing w:before="120" w:after="120"/>
              <w:jc w:val="left"/>
              <w:rPr>
                <w:sz w:val="20"/>
              </w:rPr>
            </w:pPr>
            <w:r w:rsidRPr="009878A3">
              <w:rPr>
                <w:sz w:val="20"/>
              </w:rPr>
              <w:t>a 20 dB por debajo del valor de cresta de la envolvente del espectro para un impulso rectangular (ideal)</w:t>
            </w:r>
          </w:p>
        </w:tc>
        <w:tc>
          <w:tcPr>
            <w:tcW w:w="3194" w:type="dxa"/>
            <w:tcBorders>
              <w:left w:val="single" w:sz="6" w:space="0" w:color="auto"/>
              <w:bottom w:val="single" w:sz="6" w:space="0" w:color="auto"/>
            </w:tcBorders>
          </w:tcPr>
          <w:p w14:paraId="448C9975" w14:textId="77777777" w:rsidR="009E492D" w:rsidRPr="009878A3" w:rsidRDefault="009E492D" w:rsidP="00F07EB5">
            <w:pPr>
              <w:pStyle w:val="TableText0"/>
              <w:keepNext w:val="0"/>
              <w:spacing w:before="120" w:after="120"/>
              <w:rPr>
                <w:sz w:val="20"/>
                <w:szCs w:val="20"/>
              </w:rPr>
            </w:pPr>
          </w:p>
        </w:tc>
        <w:tc>
          <w:tcPr>
            <w:tcW w:w="1567" w:type="dxa"/>
            <w:tcBorders>
              <w:left w:val="single" w:sz="6" w:space="0" w:color="auto"/>
              <w:bottom w:val="single" w:sz="6" w:space="0" w:color="auto"/>
              <w:right w:val="single" w:sz="6" w:space="0" w:color="auto"/>
            </w:tcBorders>
          </w:tcPr>
          <w:p w14:paraId="60E80846" w14:textId="77777777" w:rsidR="009E492D" w:rsidRPr="009878A3" w:rsidRDefault="009E492D" w:rsidP="00F07EB5">
            <w:pPr>
              <w:pStyle w:val="Tabletext"/>
              <w:spacing w:before="120" w:after="120"/>
              <w:jc w:val="left"/>
              <w:rPr>
                <w:sz w:val="20"/>
              </w:rPr>
            </w:pPr>
          </w:p>
        </w:tc>
      </w:tr>
    </w:tbl>
    <w:p w14:paraId="4A633442" w14:textId="77777777" w:rsidR="009E492D" w:rsidRPr="009E492D" w:rsidRDefault="009E492D" w:rsidP="009878A3">
      <w:pPr>
        <w:pStyle w:val="Tablefin"/>
        <w:rPr>
          <w:lang w:val="es-ES"/>
        </w:rPr>
      </w:pPr>
    </w:p>
    <w:p w14:paraId="5AD89E25" w14:textId="77777777" w:rsidR="009E492D" w:rsidRDefault="009E492D" w:rsidP="009E492D">
      <w:r>
        <w:t>En el Anexo 2 se expone el método utilizado para determinar el ancho de banda necesario de los impulsos no modulados.</w:t>
      </w:r>
    </w:p>
    <w:p w14:paraId="4337C6EF" w14:textId="77777777" w:rsidR="009E492D" w:rsidRDefault="009E492D" w:rsidP="003E644E">
      <w:pPr>
        <w:pStyle w:val="Heading1"/>
      </w:pPr>
      <w:r>
        <w:lastRenderedPageBreak/>
        <w:t>3</w:t>
      </w:r>
      <w:r>
        <w:tab/>
        <w:t>Modulación digital</w:t>
      </w:r>
    </w:p>
    <w:p w14:paraId="4DD7A254" w14:textId="77777777" w:rsidR="009E492D" w:rsidRDefault="009E492D" w:rsidP="003E644E">
      <w:pPr>
        <w:keepNext/>
        <w:keepLines/>
      </w:pPr>
      <w:r>
        <w:t xml:space="preserve">En el Cuadro 2 se indica el ancho de banda necesario y se dan ejemplos del valor de </w:t>
      </w:r>
      <w:r>
        <w:rPr>
          <w:i/>
        </w:rPr>
        <w:t>K</w:t>
      </w:r>
      <w:r>
        <w:t xml:space="preserve"> para diversos métodos de modulación digital.</w:t>
      </w:r>
    </w:p>
    <w:p w14:paraId="647B52BF" w14:textId="77777777" w:rsidR="009E492D" w:rsidRDefault="009E492D" w:rsidP="003E644E">
      <w:pPr>
        <w:keepNext/>
        <w:keepLines/>
      </w:pPr>
      <w:r>
        <w:t>En el Anexo 3 se exponen los métodos utilizados para determinar los anchos de banda necesarios de la modulación digital.</w:t>
      </w:r>
    </w:p>
    <w:p w14:paraId="6A22483E" w14:textId="4B442E26" w:rsidR="009E492D" w:rsidRDefault="009E492D" w:rsidP="003E644E">
      <w:pPr>
        <w:pStyle w:val="TableNo"/>
        <w:keepNext w:val="0"/>
      </w:pPr>
      <w:r w:rsidRPr="003E644E">
        <w:rPr>
          <w:lang w:val="en-GB"/>
        </w:rPr>
        <w:t>CUADRO</w:t>
      </w:r>
      <w:r>
        <w:t xml:space="preserve"> 2</w:t>
      </w:r>
    </w:p>
    <w:p w14:paraId="403A7114" w14:textId="77777777" w:rsidR="009E492D" w:rsidRDefault="009E492D" w:rsidP="003E644E">
      <w:pPr>
        <w:pStyle w:val="Tabletitle"/>
        <w:keepNext w:val="0"/>
      </w:pPr>
      <w:r>
        <w:t>Modulación digital</w:t>
      </w:r>
    </w:p>
    <w:tbl>
      <w:tblPr>
        <w:tblW w:w="9639" w:type="dxa"/>
        <w:jc w:val="center"/>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413"/>
        <w:gridCol w:w="1916"/>
        <w:gridCol w:w="1916"/>
      </w:tblGrid>
      <w:tr w:rsidR="009E492D" w:rsidRPr="00F07EB5" w14:paraId="2D98D903" w14:textId="77777777" w:rsidTr="00F07EB5">
        <w:trPr>
          <w:cantSplit/>
          <w:jc w:val="center"/>
        </w:trPr>
        <w:tc>
          <w:tcPr>
            <w:tcW w:w="3394" w:type="dxa"/>
            <w:tcBorders>
              <w:left w:val="single" w:sz="6" w:space="0" w:color="auto"/>
              <w:bottom w:val="single" w:sz="6" w:space="0" w:color="auto"/>
            </w:tcBorders>
            <w:vAlign w:val="center"/>
          </w:tcPr>
          <w:p w14:paraId="2B24D952" w14:textId="7F5016AA" w:rsidR="009E492D" w:rsidRPr="00F07EB5" w:rsidRDefault="009E492D" w:rsidP="00F07EB5">
            <w:pPr>
              <w:pStyle w:val="Tablehead"/>
              <w:rPr>
                <w:sz w:val="20"/>
              </w:rPr>
            </w:pPr>
            <w:r w:rsidRPr="00F07EB5">
              <w:rPr>
                <w:sz w:val="20"/>
              </w:rPr>
              <w:t>Tipo de modulación y condiciones</w:t>
            </w:r>
          </w:p>
        </w:tc>
        <w:tc>
          <w:tcPr>
            <w:tcW w:w="2413" w:type="dxa"/>
            <w:vAlign w:val="center"/>
          </w:tcPr>
          <w:p w14:paraId="3FB1E4C6" w14:textId="5B0D2DDC" w:rsidR="009E492D" w:rsidRPr="00F07EB5" w:rsidRDefault="009E492D" w:rsidP="00F07EB5">
            <w:pPr>
              <w:pStyle w:val="Tablehead"/>
              <w:rPr>
                <w:sz w:val="20"/>
              </w:rPr>
            </w:pPr>
            <w:r w:rsidRPr="00F07EB5">
              <w:rPr>
                <w:sz w:val="20"/>
              </w:rPr>
              <w:t>Expresión del ancho de banda necesario</w:t>
            </w:r>
          </w:p>
        </w:tc>
        <w:tc>
          <w:tcPr>
            <w:tcW w:w="1916" w:type="dxa"/>
            <w:vAlign w:val="center"/>
          </w:tcPr>
          <w:p w14:paraId="26A24C6F" w14:textId="3F3700C4" w:rsidR="009E492D" w:rsidRPr="00F07EB5" w:rsidRDefault="009E492D" w:rsidP="00F07EB5">
            <w:pPr>
              <w:pStyle w:val="Tablehead"/>
              <w:rPr>
                <w:sz w:val="20"/>
              </w:rPr>
            </w:pPr>
            <w:r w:rsidRPr="00F07EB5">
              <w:rPr>
                <w:sz w:val="20"/>
              </w:rPr>
              <w:t>Ejemplo de valor</w:t>
            </w:r>
            <w:r w:rsidRPr="00F07EB5">
              <w:rPr>
                <w:sz w:val="20"/>
              </w:rPr>
              <w:br/>
              <w:t>de K</w:t>
            </w:r>
          </w:p>
        </w:tc>
        <w:tc>
          <w:tcPr>
            <w:tcW w:w="1916" w:type="dxa"/>
            <w:tcBorders>
              <w:bottom w:val="single" w:sz="6" w:space="0" w:color="auto"/>
              <w:right w:val="single" w:sz="6" w:space="0" w:color="auto"/>
            </w:tcBorders>
            <w:vAlign w:val="center"/>
          </w:tcPr>
          <w:p w14:paraId="3B5B0342" w14:textId="68D0C816" w:rsidR="009E492D" w:rsidRPr="00F07EB5" w:rsidRDefault="009E492D" w:rsidP="00F07EB5">
            <w:pPr>
              <w:pStyle w:val="Tablehead"/>
              <w:rPr>
                <w:sz w:val="20"/>
              </w:rPr>
            </w:pPr>
            <w:r w:rsidRPr="00F07EB5">
              <w:rPr>
                <w:sz w:val="20"/>
              </w:rPr>
              <w:t>Porcentaje de confinamiento de potencia fraccional en el ancho de banda</w:t>
            </w:r>
            <w:r w:rsidR="00F07EB5" w:rsidRPr="00357732">
              <w:rPr>
                <w:position w:val="6"/>
                <w:sz w:val="18"/>
                <w:szCs w:val="18"/>
              </w:rPr>
              <w:t>(1)</w:t>
            </w:r>
          </w:p>
        </w:tc>
      </w:tr>
      <w:tr w:rsidR="00F07EB5" w:rsidRPr="00F07EB5" w14:paraId="5D8F1941" w14:textId="77777777" w:rsidTr="00F07EB5">
        <w:trPr>
          <w:cantSplit/>
          <w:jc w:val="center"/>
        </w:trPr>
        <w:tc>
          <w:tcPr>
            <w:tcW w:w="3394" w:type="dxa"/>
            <w:tcBorders>
              <w:left w:val="single" w:sz="6" w:space="0" w:color="auto"/>
              <w:bottom w:val="single" w:sz="6" w:space="0" w:color="auto"/>
            </w:tcBorders>
          </w:tcPr>
          <w:p w14:paraId="5BCA205B" w14:textId="77777777" w:rsidR="00F07EB5" w:rsidRPr="00F07EB5" w:rsidRDefault="00F07EB5" w:rsidP="00F07EB5">
            <w:pPr>
              <w:pStyle w:val="TableText0"/>
              <w:keepNext w:val="0"/>
              <w:spacing w:before="160" w:after="160"/>
              <w:jc w:val="left"/>
              <w:rPr>
                <w:sz w:val="20"/>
                <w:szCs w:val="20"/>
              </w:rPr>
            </w:pPr>
            <w:r w:rsidRPr="00F07EB5">
              <w:rPr>
                <w:sz w:val="20"/>
                <w:szCs w:val="20"/>
              </w:rPr>
              <w:t>Modulación por desplazamiento</w:t>
            </w:r>
            <w:r w:rsidRPr="00F07EB5">
              <w:rPr>
                <w:sz w:val="20"/>
                <w:szCs w:val="20"/>
              </w:rPr>
              <w:br/>
              <w:t>de fase binaria (MDP-2) (sin filtrar)</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  (calculado)</w:t>
            </w:r>
          </w:p>
        </w:tc>
        <w:tc>
          <w:tcPr>
            <w:tcW w:w="2413" w:type="dxa"/>
            <w:vAlign w:val="center"/>
          </w:tcPr>
          <w:p w14:paraId="74481BD9" w14:textId="347E8143"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916" w:type="dxa"/>
            <w:vAlign w:val="center"/>
          </w:tcPr>
          <w:p w14:paraId="0D61370A" w14:textId="01528784" w:rsidR="00F07EB5" w:rsidRPr="00F07EB5" w:rsidRDefault="00F07EB5" w:rsidP="00F07EB5">
            <w:pPr>
              <w:pStyle w:val="TableText0"/>
              <w:keepNext w:val="0"/>
              <w:tabs>
                <w:tab w:val="clear" w:pos="794"/>
                <w:tab w:val="clear" w:pos="1191"/>
                <w:tab w:val="clear" w:pos="1588"/>
                <w:tab w:val="clear" w:pos="1985"/>
                <w:tab w:val="decimal" w:pos="737"/>
              </w:tabs>
              <w:spacing w:before="160" w:after="160"/>
              <w:jc w:val="left"/>
              <w:rPr>
                <w:sz w:val="20"/>
                <w:szCs w:val="20"/>
              </w:rPr>
            </w:pPr>
            <w:r w:rsidRPr="00F07EB5">
              <w:rPr>
                <w:sz w:val="20"/>
                <w:szCs w:val="20"/>
                <w:lang w:val="en-GB"/>
              </w:rPr>
              <w:t>10.28</w:t>
            </w:r>
            <w:r w:rsidRPr="00F07EB5">
              <w:rPr>
                <w:sz w:val="20"/>
                <w:szCs w:val="20"/>
                <w:lang w:val="en-GB"/>
              </w:rPr>
              <w:br/>
              <w:t>2.0</w:t>
            </w:r>
          </w:p>
        </w:tc>
        <w:tc>
          <w:tcPr>
            <w:tcW w:w="1916" w:type="dxa"/>
            <w:tcBorders>
              <w:bottom w:val="single" w:sz="6" w:space="0" w:color="auto"/>
              <w:right w:val="single" w:sz="6" w:space="0" w:color="auto"/>
            </w:tcBorders>
            <w:vAlign w:val="center"/>
          </w:tcPr>
          <w:p w14:paraId="658940FD" w14:textId="5D862D8F" w:rsidR="00F07EB5" w:rsidRPr="00F07EB5" w:rsidRDefault="00F07EB5" w:rsidP="00F07EB5">
            <w:pPr>
              <w:pStyle w:val="TableText0"/>
              <w:keepNext w:val="0"/>
              <w:tabs>
                <w:tab w:val="clear" w:pos="794"/>
                <w:tab w:val="clear" w:pos="1191"/>
                <w:tab w:val="clear" w:pos="1588"/>
                <w:tab w:val="clear" w:pos="1985"/>
                <w:tab w:val="decimal" w:pos="907"/>
              </w:tabs>
              <w:spacing w:before="160" w:after="160"/>
              <w:jc w:val="left"/>
              <w:rPr>
                <w:sz w:val="20"/>
                <w:szCs w:val="20"/>
              </w:rPr>
            </w:pPr>
            <w:r w:rsidRPr="00F07EB5">
              <w:rPr>
                <w:sz w:val="20"/>
                <w:szCs w:val="20"/>
                <w:lang w:val="en-GB"/>
              </w:rPr>
              <w:t>99</w:t>
            </w:r>
            <w:r w:rsidRPr="00F07EB5">
              <w:rPr>
                <w:sz w:val="20"/>
                <w:szCs w:val="20"/>
                <w:lang w:val="en-GB"/>
              </w:rPr>
              <w:br/>
              <w:t>95</w:t>
            </w:r>
          </w:p>
        </w:tc>
      </w:tr>
      <w:tr w:rsidR="00F07EB5" w:rsidRPr="00F07EB5" w14:paraId="78A86FE6" w14:textId="77777777" w:rsidTr="00F07EB5">
        <w:trPr>
          <w:cantSplit/>
          <w:jc w:val="center"/>
        </w:trPr>
        <w:tc>
          <w:tcPr>
            <w:tcW w:w="3394" w:type="dxa"/>
            <w:tcBorders>
              <w:left w:val="single" w:sz="6" w:space="0" w:color="auto"/>
              <w:bottom w:val="single" w:sz="6" w:space="0" w:color="auto"/>
            </w:tcBorders>
          </w:tcPr>
          <w:p w14:paraId="55C8A94E" w14:textId="77777777" w:rsidR="00F07EB5" w:rsidRPr="00F07EB5" w:rsidRDefault="00F07EB5" w:rsidP="00F07EB5">
            <w:pPr>
              <w:pStyle w:val="TableText0"/>
              <w:keepNext w:val="0"/>
              <w:spacing w:before="160" w:after="160"/>
              <w:jc w:val="left"/>
              <w:rPr>
                <w:sz w:val="20"/>
                <w:szCs w:val="20"/>
              </w:rPr>
            </w:pPr>
            <w:r w:rsidRPr="00F07EB5">
              <w:rPr>
                <w:sz w:val="20"/>
                <w:szCs w:val="20"/>
              </w:rPr>
              <w:t xml:space="preserve">MDP-2 (con filtro, BER  </w:t>
            </w:r>
            <w:r w:rsidRPr="00F07EB5">
              <w:rPr>
                <w:rFonts w:ascii="Symbol" w:hAnsi="Symbol"/>
                <w:sz w:val="20"/>
                <w:szCs w:val="20"/>
              </w:rPr>
              <w:t></w:t>
            </w:r>
            <w:r w:rsidRPr="00F07EB5">
              <w:rPr>
                <w:sz w:val="20"/>
                <w:szCs w:val="20"/>
              </w:rPr>
              <w:t xml:space="preserve">  1  </w:t>
            </w:r>
            <w:r w:rsidRPr="00F07EB5">
              <w:rPr>
                <w:rFonts w:ascii="Symbol" w:hAnsi="Symbol"/>
                <w:sz w:val="20"/>
                <w:szCs w:val="20"/>
              </w:rPr>
              <w:t></w:t>
            </w:r>
            <w:r w:rsidRPr="00F07EB5">
              <w:rPr>
                <w:sz w:val="20"/>
                <w:szCs w:val="20"/>
              </w:rPr>
              <w:t xml:space="preserve">  10</w:t>
            </w:r>
            <w:r w:rsidRPr="00F07EB5">
              <w:rPr>
                <w:position w:val="6"/>
                <w:sz w:val="20"/>
                <w:szCs w:val="20"/>
              </w:rPr>
              <w:t>–3</w:t>
            </w:r>
            <w:r w:rsidRPr="00F07EB5">
              <w:rPr>
                <w:sz w:val="20"/>
                <w:szCs w:val="20"/>
              </w:rPr>
              <w:t>)</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  (calculado)</w:t>
            </w:r>
          </w:p>
        </w:tc>
        <w:tc>
          <w:tcPr>
            <w:tcW w:w="2413" w:type="dxa"/>
            <w:vAlign w:val="center"/>
          </w:tcPr>
          <w:p w14:paraId="0E13F53F" w14:textId="608E8021"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916" w:type="dxa"/>
            <w:vAlign w:val="center"/>
          </w:tcPr>
          <w:p w14:paraId="2EB4388C" w14:textId="784CBF83" w:rsidR="00F07EB5" w:rsidRPr="00F07EB5" w:rsidRDefault="00F07EB5" w:rsidP="00F07EB5">
            <w:pPr>
              <w:pStyle w:val="TableText0"/>
              <w:keepNext w:val="0"/>
              <w:tabs>
                <w:tab w:val="clear" w:pos="794"/>
                <w:tab w:val="clear" w:pos="1191"/>
                <w:tab w:val="clear" w:pos="1588"/>
                <w:tab w:val="clear" w:pos="1985"/>
                <w:tab w:val="decimal" w:pos="737"/>
              </w:tabs>
              <w:spacing w:before="160" w:after="160"/>
              <w:jc w:val="left"/>
              <w:rPr>
                <w:sz w:val="20"/>
                <w:szCs w:val="20"/>
              </w:rPr>
            </w:pPr>
            <w:r w:rsidRPr="00F07EB5">
              <w:rPr>
                <w:sz w:val="20"/>
                <w:szCs w:val="20"/>
                <w:lang w:val="en-GB"/>
              </w:rPr>
              <w:t>1.0</w:t>
            </w:r>
            <w:r w:rsidRPr="00F07EB5">
              <w:rPr>
                <w:position w:val="6"/>
                <w:sz w:val="14"/>
                <w:lang w:val="en-GB"/>
              </w:rPr>
              <w:t>(2)</w:t>
            </w:r>
            <w:r w:rsidRPr="00F07EB5">
              <w:rPr>
                <w:position w:val="4"/>
                <w:sz w:val="20"/>
                <w:szCs w:val="20"/>
                <w:lang w:val="en-GB"/>
              </w:rPr>
              <w:br/>
            </w:r>
            <w:r w:rsidRPr="00F07EB5">
              <w:rPr>
                <w:sz w:val="20"/>
                <w:szCs w:val="20"/>
                <w:lang w:val="en-GB"/>
              </w:rPr>
              <w:t>0.75</w:t>
            </w:r>
            <w:r w:rsidRPr="00F07EB5">
              <w:rPr>
                <w:position w:val="6"/>
                <w:sz w:val="14"/>
                <w:lang w:val="en-GB"/>
              </w:rPr>
              <w:t>(3)</w:t>
            </w:r>
          </w:p>
        </w:tc>
        <w:tc>
          <w:tcPr>
            <w:tcW w:w="1916" w:type="dxa"/>
            <w:tcBorders>
              <w:bottom w:val="single" w:sz="6" w:space="0" w:color="auto"/>
              <w:right w:val="single" w:sz="6" w:space="0" w:color="auto"/>
            </w:tcBorders>
            <w:vAlign w:val="center"/>
          </w:tcPr>
          <w:p w14:paraId="52EA1159" w14:textId="201C9BA4" w:rsidR="00F07EB5" w:rsidRPr="00F07EB5" w:rsidRDefault="00F07EB5" w:rsidP="00F07EB5">
            <w:pPr>
              <w:pStyle w:val="TableText0"/>
              <w:keepNext w:val="0"/>
              <w:tabs>
                <w:tab w:val="clear" w:pos="794"/>
                <w:tab w:val="clear" w:pos="1191"/>
                <w:tab w:val="clear" w:pos="1588"/>
                <w:tab w:val="clear" w:pos="1985"/>
                <w:tab w:val="decimal" w:pos="907"/>
              </w:tabs>
              <w:spacing w:before="160" w:after="160"/>
              <w:jc w:val="left"/>
              <w:rPr>
                <w:sz w:val="20"/>
                <w:szCs w:val="20"/>
              </w:rPr>
            </w:pPr>
            <w:r w:rsidRPr="00F07EB5">
              <w:rPr>
                <w:sz w:val="20"/>
                <w:szCs w:val="20"/>
                <w:lang w:val="en-GB"/>
              </w:rPr>
              <w:t>100</w:t>
            </w:r>
            <w:r w:rsidRPr="00F07EB5">
              <w:rPr>
                <w:sz w:val="20"/>
                <w:szCs w:val="20"/>
                <w:lang w:val="en-GB"/>
              </w:rPr>
              <w:br/>
              <w:t>100</w:t>
            </w:r>
          </w:p>
        </w:tc>
      </w:tr>
      <w:tr w:rsidR="00F07EB5" w:rsidRPr="00F07EB5" w14:paraId="57B5271C" w14:textId="77777777" w:rsidTr="00F07EB5">
        <w:trPr>
          <w:cantSplit/>
          <w:jc w:val="center"/>
        </w:trPr>
        <w:tc>
          <w:tcPr>
            <w:tcW w:w="3394" w:type="dxa"/>
            <w:tcBorders>
              <w:left w:val="single" w:sz="6" w:space="0" w:color="auto"/>
              <w:bottom w:val="single" w:sz="6" w:space="0" w:color="auto"/>
            </w:tcBorders>
          </w:tcPr>
          <w:p w14:paraId="70D9D252" w14:textId="77777777" w:rsidR="00F07EB5" w:rsidRPr="00F07EB5" w:rsidRDefault="00F07EB5" w:rsidP="00F07EB5">
            <w:pPr>
              <w:pStyle w:val="TableText0"/>
              <w:keepNext w:val="0"/>
              <w:spacing w:before="160" w:after="160"/>
              <w:jc w:val="left"/>
              <w:rPr>
                <w:sz w:val="20"/>
                <w:szCs w:val="20"/>
              </w:rPr>
            </w:pPr>
            <w:r w:rsidRPr="00F07EB5">
              <w:rPr>
                <w:sz w:val="20"/>
                <w:szCs w:val="20"/>
              </w:rPr>
              <w:t>Modulación por desplazamiento mínimo (MDM) (sin filtrar)</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  (calculado)</w:t>
            </w:r>
            <w:r w:rsidRPr="00F07EB5">
              <w:rPr>
                <w:sz w:val="20"/>
                <w:szCs w:val="20"/>
              </w:rPr>
              <w:br/>
            </w:r>
            <w:r w:rsidRPr="00F07EB5">
              <w:rPr>
                <w:i/>
                <w:sz w:val="20"/>
                <w:szCs w:val="20"/>
              </w:rPr>
              <w:t>D</w:t>
            </w:r>
            <w:r w:rsidRPr="00F07EB5">
              <w:rPr>
                <w:sz w:val="20"/>
                <w:szCs w:val="20"/>
              </w:rPr>
              <w:t xml:space="preserve">  </w:t>
            </w:r>
            <w:r w:rsidRPr="00F07EB5">
              <w:rPr>
                <w:rFonts w:ascii="Symbol" w:hAnsi="Symbol"/>
                <w:sz w:val="20"/>
                <w:szCs w:val="20"/>
              </w:rPr>
              <w:t></w:t>
            </w:r>
            <w:r w:rsidRPr="00F07EB5">
              <w:rPr>
                <w:sz w:val="20"/>
                <w:szCs w:val="20"/>
              </w:rPr>
              <w:t xml:space="preserve">  0,25 </w:t>
            </w:r>
            <w:r w:rsidRPr="00F07EB5">
              <w:rPr>
                <w:i/>
                <w:sz w:val="20"/>
                <w:szCs w:val="20"/>
              </w:rPr>
              <w:t>R</w:t>
            </w:r>
          </w:p>
        </w:tc>
        <w:tc>
          <w:tcPr>
            <w:tcW w:w="2413" w:type="dxa"/>
            <w:vAlign w:val="center"/>
          </w:tcPr>
          <w:p w14:paraId="6F669915" w14:textId="594423D3"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916" w:type="dxa"/>
            <w:vAlign w:val="center"/>
          </w:tcPr>
          <w:p w14:paraId="4E0BC03A" w14:textId="695F31E0" w:rsidR="00F07EB5" w:rsidRPr="00F07EB5" w:rsidRDefault="00F07EB5" w:rsidP="00F07EB5">
            <w:pPr>
              <w:pStyle w:val="TableText0"/>
              <w:keepNext w:val="0"/>
              <w:tabs>
                <w:tab w:val="clear" w:pos="794"/>
                <w:tab w:val="clear" w:pos="1191"/>
                <w:tab w:val="clear" w:pos="1588"/>
                <w:tab w:val="clear" w:pos="1985"/>
                <w:tab w:val="decimal" w:pos="737"/>
              </w:tabs>
              <w:spacing w:before="160" w:after="160"/>
              <w:jc w:val="left"/>
              <w:rPr>
                <w:sz w:val="20"/>
                <w:szCs w:val="20"/>
              </w:rPr>
            </w:pPr>
            <w:r w:rsidRPr="00F07EB5">
              <w:rPr>
                <w:sz w:val="20"/>
                <w:szCs w:val="20"/>
                <w:lang w:val="en-GB"/>
              </w:rPr>
              <w:t>0.36</w:t>
            </w:r>
            <w:r w:rsidRPr="00F07EB5">
              <w:rPr>
                <w:sz w:val="20"/>
                <w:szCs w:val="20"/>
                <w:lang w:val="en-GB"/>
              </w:rPr>
              <w:br/>
              <w:t>3.52</w:t>
            </w:r>
          </w:p>
        </w:tc>
        <w:tc>
          <w:tcPr>
            <w:tcW w:w="1916" w:type="dxa"/>
            <w:tcBorders>
              <w:bottom w:val="single" w:sz="6" w:space="0" w:color="auto"/>
              <w:right w:val="single" w:sz="6" w:space="0" w:color="auto"/>
            </w:tcBorders>
            <w:vAlign w:val="center"/>
          </w:tcPr>
          <w:p w14:paraId="33DA45D1" w14:textId="7B4A5A45" w:rsidR="00F07EB5" w:rsidRPr="00F07EB5" w:rsidRDefault="00F07EB5" w:rsidP="00F07EB5">
            <w:pPr>
              <w:pStyle w:val="TableText0"/>
              <w:keepNext w:val="0"/>
              <w:tabs>
                <w:tab w:val="clear" w:pos="794"/>
                <w:tab w:val="clear" w:pos="1191"/>
                <w:tab w:val="clear" w:pos="1588"/>
                <w:tab w:val="clear" w:pos="1985"/>
                <w:tab w:val="decimal" w:pos="907"/>
              </w:tabs>
              <w:spacing w:before="160" w:after="160"/>
              <w:jc w:val="left"/>
              <w:rPr>
                <w:sz w:val="20"/>
                <w:szCs w:val="20"/>
              </w:rPr>
            </w:pPr>
            <w:r w:rsidRPr="00F07EB5">
              <w:rPr>
                <w:sz w:val="20"/>
                <w:szCs w:val="20"/>
                <w:lang w:val="en-GB"/>
              </w:rPr>
              <w:t>99</w:t>
            </w:r>
            <w:r w:rsidRPr="00F07EB5">
              <w:rPr>
                <w:sz w:val="20"/>
                <w:szCs w:val="20"/>
                <w:lang w:val="en-GB"/>
              </w:rPr>
              <w:br/>
              <w:t>99.9</w:t>
            </w:r>
          </w:p>
        </w:tc>
      </w:tr>
      <w:tr w:rsidR="00F07EB5" w:rsidRPr="00F07EB5" w14:paraId="7E8B9E7E" w14:textId="77777777" w:rsidTr="00F07EB5">
        <w:trPr>
          <w:cantSplit/>
          <w:jc w:val="center"/>
        </w:trPr>
        <w:tc>
          <w:tcPr>
            <w:tcW w:w="3394" w:type="dxa"/>
            <w:tcBorders>
              <w:left w:val="single" w:sz="6" w:space="0" w:color="auto"/>
              <w:bottom w:val="single" w:sz="6" w:space="0" w:color="auto"/>
            </w:tcBorders>
          </w:tcPr>
          <w:p w14:paraId="5BAA4240" w14:textId="77777777" w:rsidR="00F07EB5" w:rsidRPr="00F07EB5" w:rsidRDefault="00F07EB5" w:rsidP="00F07EB5">
            <w:pPr>
              <w:pStyle w:val="TableText0"/>
              <w:keepNext w:val="0"/>
              <w:spacing w:before="160" w:after="160"/>
              <w:jc w:val="left"/>
              <w:rPr>
                <w:sz w:val="20"/>
                <w:szCs w:val="20"/>
              </w:rPr>
            </w:pPr>
            <w:r w:rsidRPr="00F07EB5">
              <w:rPr>
                <w:sz w:val="20"/>
                <w:szCs w:val="20"/>
              </w:rPr>
              <w:t>MDM con filtro gaussiano (MDMG)</w:t>
            </w:r>
            <w:r w:rsidRPr="00F07EB5">
              <w:rPr>
                <w:sz w:val="20"/>
                <w:szCs w:val="20"/>
              </w:rPr>
              <w:br/>
              <w:t xml:space="preserve">Ancho de banda a 3 dB del filtro gaussiano de premodulación  </w:t>
            </w:r>
            <w:r w:rsidRPr="00F07EB5">
              <w:rPr>
                <w:rFonts w:ascii="Symbol" w:hAnsi="Symbol"/>
                <w:sz w:val="20"/>
                <w:szCs w:val="20"/>
              </w:rPr>
              <w:t></w:t>
            </w:r>
            <w:r w:rsidRPr="00F07EB5">
              <w:rPr>
                <w:sz w:val="20"/>
                <w:szCs w:val="20"/>
              </w:rPr>
              <w:t xml:space="preserve">  0,25 </w:t>
            </w:r>
            <w:r w:rsidRPr="00F07EB5">
              <w:rPr>
                <w:i/>
                <w:sz w:val="20"/>
                <w:szCs w:val="20"/>
              </w:rPr>
              <w:t>R</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  (calculado)</w:t>
            </w:r>
            <w:r w:rsidRPr="00F07EB5">
              <w:rPr>
                <w:sz w:val="20"/>
                <w:szCs w:val="20"/>
              </w:rPr>
              <w:br/>
            </w:r>
            <w:r w:rsidRPr="00F07EB5">
              <w:rPr>
                <w:i/>
                <w:sz w:val="20"/>
                <w:szCs w:val="20"/>
              </w:rPr>
              <w:t>D</w:t>
            </w:r>
            <w:r w:rsidRPr="00F07EB5">
              <w:rPr>
                <w:sz w:val="20"/>
                <w:szCs w:val="20"/>
              </w:rPr>
              <w:t xml:space="preserve">  </w:t>
            </w:r>
            <w:r w:rsidRPr="00F07EB5">
              <w:rPr>
                <w:rFonts w:ascii="Symbol" w:hAnsi="Symbol"/>
                <w:sz w:val="20"/>
                <w:szCs w:val="20"/>
              </w:rPr>
              <w:t></w:t>
            </w:r>
            <w:r w:rsidRPr="00F07EB5">
              <w:rPr>
                <w:sz w:val="20"/>
                <w:szCs w:val="20"/>
              </w:rPr>
              <w:t xml:space="preserve">  0,25 </w:t>
            </w:r>
            <w:r w:rsidRPr="00F07EB5">
              <w:rPr>
                <w:i/>
                <w:sz w:val="20"/>
                <w:szCs w:val="20"/>
              </w:rPr>
              <w:t>R</w:t>
            </w:r>
          </w:p>
        </w:tc>
        <w:tc>
          <w:tcPr>
            <w:tcW w:w="2413" w:type="dxa"/>
            <w:vAlign w:val="center"/>
          </w:tcPr>
          <w:p w14:paraId="2DBC6C5D" w14:textId="0AA904A0"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w:instrText>
            </w:r>
            <w:r>
              <w:rPr>
                <w:i/>
                <w:lang w:val="en-GB"/>
              </w:rPr>
              <w:instrText>R</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 xml:space="preserve">)  +  2 </w:instrText>
            </w:r>
            <w:r>
              <w:rPr>
                <w:i/>
                <w:lang w:val="en-GB"/>
              </w:rPr>
              <w:instrText>DK</w:instrText>
            </w:r>
            <w:r>
              <w:rPr>
                <w:lang w:val="en-GB"/>
              </w:rPr>
              <w:fldChar w:fldCharType="end"/>
            </w:r>
          </w:p>
        </w:tc>
        <w:tc>
          <w:tcPr>
            <w:tcW w:w="1916" w:type="dxa"/>
            <w:vAlign w:val="center"/>
          </w:tcPr>
          <w:p w14:paraId="309600D4" w14:textId="763648AB" w:rsidR="00F07EB5" w:rsidRPr="00F07EB5" w:rsidRDefault="00F07EB5" w:rsidP="00F07EB5">
            <w:pPr>
              <w:pStyle w:val="TableText0"/>
              <w:keepNext w:val="0"/>
              <w:tabs>
                <w:tab w:val="clear" w:pos="794"/>
                <w:tab w:val="clear" w:pos="1191"/>
                <w:tab w:val="clear" w:pos="1588"/>
                <w:tab w:val="clear" w:pos="1985"/>
                <w:tab w:val="decimal" w:pos="737"/>
              </w:tabs>
              <w:spacing w:before="160" w:after="160"/>
              <w:jc w:val="left"/>
              <w:rPr>
                <w:sz w:val="20"/>
                <w:szCs w:val="20"/>
              </w:rPr>
            </w:pPr>
            <w:r w:rsidRPr="00F07EB5">
              <w:rPr>
                <w:sz w:val="20"/>
                <w:szCs w:val="20"/>
                <w:lang w:val="en-GB"/>
              </w:rPr>
              <w:br/>
            </w:r>
            <w:r w:rsidRPr="00F07EB5">
              <w:rPr>
                <w:sz w:val="20"/>
                <w:szCs w:val="20"/>
                <w:lang w:val="en-GB"/>
              </w:rPr>
              <w:br/>
              <w:t>–0.28</w:t>
            </w:r>
            <w:r w:rsidRPr="00F07EB5">
              <w:rPr>
                <w:sz w:val="20"/>
                <w:szCs w:val="20"/>
                <w:lang w:val="en-GB"/>
              </w:rPr>
              <w:br/>
              <w:t>0.18</w:t>
            </w:r>
          </w:p>
        </w:tc>
        <w:tc>
          <w:tcPr>
            <w:tcW w:w="1916" w:type="dxa"/>
            <w:tcBorders>
              <w:bottom w:val="single" w:sz="6" w:space="0" w:color="auto"/>
              <w:right w:val="single" w:sz="6" w:space="0" w:color="auto"/>
            </w:tcBorders>
            <w:vAlign w:val="center"/>
          </w:tcPr>
          <w:p w14:paraId="05AAA514" w14:textId="410F30A9" w:rsidR="00F07EB5" w:rsidRPr="00F07EB5" w:rsidRDefault="00F07EB5" w:rsidP="00F07EB5">
            <w:pPr>
              <w:pStyle w:val="TableText0"/>
              <w:keepNext w:val="0"/>
              <w:tabs>
                <w:tab w:val="clear" w:pos="794"/>
                <w:tab w:val="clear" w:pos="1191"/>
                <w:tab w:val="clear" w:pos="1588"/>
                <w:tab w:val="clear" w:pos="1985"/>
                <w:tab w:val="decimal" w:pos="907"/>
              </w:tabs>
              <w:spacing w:before="160" w:after="160"/>
              <w:jc w:val="left"/>
              <w:rPr>
                <w:sz w:val="20"/>
                <w:szCs w:val="20"/>
              </w:rPr>
            </w:pPr>
            <w:r w:rsidRPr="00F07EB5">
              <w:rPr>
                <w:sz w:val="20"/>
                <w:szCs w:val="20"/>
                <w:lang w:val="en-GB"/>
              </w:rPr>
              <w:br/>
            </w:r>
            <w:r w:rsidRPr="00F07EB5">
              <w:rPr>
                <w:sz w:val="20"/>
                <w:szCs w:val="20"/>
                <w:lang w:val="en-GB"/>
              </w:rPr>
              <w:br/>
              <w:t>99</w:t>
            </w:r>
            <w:r w:rsidRPr="00F07EB5">
              <w:rPr>
                <w:sz w:val="20"/>
                <w:szCs w:val="20"/>
                <w:lang w:val="en-GB"/>
              </w:rPr>
              <w:br/>
              <w:t>99.9</w:t>
            </w:r>
          </w:p>
        </w:tc>
      </w:tr>
      <w:tr w:rsidR="00F07EB5" w:rsidRPr="00F07EB5" w14:paraId="4E0FDF74" w14:textId="77777777" w:rsidTr="00F07EB5">
        <w:trPr>
          <w:cantSplit/>
          <w:jc w:val="center"/>
        </w:trPr>
        <w:tc>
          <w:tcPr>
            <w:tcW w:w="3394" w:type="dxa"/>
            <w:tcBorders>
              <w:left w:val="single" w:sz="6" w:space="0" w:color="auto"/>
              <w:bottom w:val="single" w:sz="6" w:space="0" w:color="auto"/>
            </w:tcBorders>
          </w:tcPr>
          <w:p w14:paraId="4D4C4ABF" w14:textId="77777777" w:rsidR="00F07EB5" w:rsidRPr="00F07EB5" w:rsidRDefault="00F07EB5" w:rsidP="00F07EB5">
            <w:pPr>
              <w:pStyle w:val="TableText0"/>
              <w:keepNext w:val="0"/>
              <w:spacing w:before="160" w:after="160"/>
              <w:jc w:val="left"/>
              <w:rPr>
                <w:sz w:val="20"/>
                <w:szCs w:val="20"/>
              </w:rPr>
            </w:pPr>
            <w:r w:rsidRPr="00F07EB5">
              <w:rPr>
                <w:sz w:val="20"/>
                <w:szCs w:val="20"/>
              </w:rPr>
              <w:t>MF digital (MDF con fase continua) impulsos rectangulares</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 (calculado)</w:t>
            </w:r>
            <w:r w:rsidRPr="00F07EB5">
              <w:rPr>
                <w:sz w:val="20"/>
                <w:szCs w:val="20"/>
              </w:rPr>
              <w:br/>
            </w:r>
            <w:r w:rsidRPr="00F07EB5">
              <w:rPr>
                <w:i/>
                <w:sz w:val="20"/>
                <w:szCs w:val="20"/>
              </w:rPr>
              <w:t>D</w:t>
            </w:r>
            <w:r w:rsidRPr="00F07EB5">
              <w:rPr>
                <w:sz w:val="20"/>
                <w:szCs w:val="20"/>
              </w:rPr>
              <w:t xml:space="preserve">  </w:t>
            </w:r>
            <w:r w:rsidRPr="00F07EB5">
              <w:rPr>
                <w:rFonts w:ascii="Symbol" w:hAnsi="Symbol"/>
                <w:sz w:val="20"/>
                <w:szCs w:val="20"/>
              </w:rPr>
              <w:t></w:t>
            </w:r>
            <w:r w:rsidRPr="00F07EB5">
              <w:rPr>
                <w:sz w:val="20"/>
                <w:szCs w:val="20"/>
              </w:rPr>
              <w:t xml:space="preserve">  0,35 </w:t>
            </w:r>
            <w:r w:rsidRPr="00F07EB5">
              <w:rPr>
                <w:i/>
                <w:sz w:val="20"/>
                <w:szCs w:val="20"/>
              </w:rPr>
              <w:t>R</w:t>
            </w:r>
          </w:p>
        </w:tc>
        <w:tc>
          <w:tcPr>
            <w:tcW w:w="2413" w:type="dxa"/>
            <w:vAlign w:val="center"/>
          </w:tcPr>
          <w:p w14:paraId="02DC6EB6" w14:textId="1C935821"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w:instrText>
            </w:r>
            <w:r>
              <w:rPr>
                <w:i/>
                <w:lang w:val="en-GB"/>
              </w:rPr>
              <w:instrText>R</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 xml:space="preserve">)  +  2 </w:instrText>
            </w:r>
            <w:r>
              <w:rPr>
                <w:i/>
                <w:lang w:val="en-GB"/>
              </w:rPr>
              <w:instrText>DK</w:instrText>
            </w:r>
            <w:r>
              <w:rPr>
                <w:lang w:val="en-GB"/>
              </w:rPr>
              <w:fldChar w:fldCharType="end"/>
            </w:r>
          </w:p>
        </w:tc>
        <w:tc>
          <w:tcPr>
            <w:tcW w:w="1916" w:type="dxa"/>
            <w:vAlign w:val="center"/>
          </w:tcPr>
          <w:p w14:paraId="5D8FF01E" w14:textId="4DC7DF6C" w:rsidR="00F07EB5" w:rsidRPr="00F07EB5" w:rsidRDefault="00F07EB5" w:rsidP="00F07EB5">
            <w:pPr>
              <w:pStyle w:val="TableText0"/>
              <w:keepNext w:val="0"/>
              <w:tabs>
                <w:tab w:val="clear" w:pos="794"/>
                <w:tab w:val="clear" w:pos="1191"/>
                <w:tab w:val="clear" w:pos="1588"/>
                <w:tab w:val="clear" w:pos="1985"/>
                <w:tab w:val="decimal" w:pos="737"/>
              </w:tabs>
              <w:spacing w:before="160" w:after="160"/>
              <w:jc w:val="left"/>
              <w:rPr>
                <w:sz w:val="20"/>
                <w:szCs w:val="20"/>
              </w:rPr>
            </w:pPr>
            <w:r w:rsidRPr="00F07EB5">
              <w:rPr>
                <w:sz w:val="20"/>
                <w:szCs w:val="20"/>
                <w:lang w:val="en-GB"/>
              </w:rPr>
              <w:br/>
              <w:t>0.89</w:t>
            </w:r>
          </w:p>
        </w:tc>
        <w:tc>
          <w:tcPr>
            <w:tcW w:w="1916" w:type="dxa"/>
            <w:tcBorders>
              <w:bottom w:val="single" w:sz="6" w:space="0" w:color="auto"/>
              <w:right w:val="single" w:sz="6" w:space="0" w:color="auto"/>
            </w:tcBorders>
            <w:vAlign w:val="center"/>
          </w:tcPr>
          <w:p w14:paraId="75FB8AFC" w14:textId="3B52B740" w:rsidR="00F07EB5" w:rsidRPr="00F07EB5" w:rsidRDefault="00F07EB5" w:rsidP="00F07EB5">
            <w:pPr>
              <w:pStyle w:val="TableText0"/>
              <w:keepNext w:val="0"/>
              <w:tabs>
                <w:tab w:val="clear" w:pos="794"/>
                <w:tab w:val="clear" w:pos="1191"/>
                <w:tab w:val="clear" w:pos="1588"/>
                <w:tab w:val="clear" w:pos="1985"/>
                <w:tab w:val="decimal" w:pos="907"/>
              </w:tabs>
              <w:spacing w:before="160" w:after="160"/>
              <w:jc w:val="left"/>
              <w:rPr>
                <w:sz w:val="20"/>
                <w:szCs w:val="20"/>
              </w:rPr>
            </w:pPr>
            <w:r w:rsidRPr="00F07EB5">
              <w:rPr>
                <w:sz w:val="20"/>
                <w:szCs w:val="20"/>
                <w:lang w:val="en-GB"/>
              </w:rPr>
              <w:br/>
              <w:t>99</w:t>
            </w:r>
          </w:p>
        </w:tc>
      </w:tr>
      <w:tr w:rsidR="00F07EB5" w:rsidRPr="00F07EB5" w14:paraId="7C5F8AFB" w14:textId="77777777" w:rsidTr="00F07EB5">
        <w:trPr>
          <w:cantSplit/>
          <w:jc w:val="center"/>
        </w:trPr>
        <w:tc>
          <w:tcPr>
            <w:tcW w:w="3394" w:type="dxa"/>
            <w:tcBorders>
              <w:left w:val="single" w:sz="6" w:space="0" w:color="auto"/>
              <w:bottom w:val="nil"/>
            </w:tcBorders>
          </w:tcPr>
          <w:p w14:paraId="51FC535C" w14:textId="0912591A" w:rsidR="00F07EB5" w:rsidRPr="00F07EB5" w:rsidRDefault="00F07EB5" w:rsidP="00F07EB5">
            <w:pPr>
              <w:pStyle w:val="TableText0"/>
              <w:keepNext w:val="0"/>
              <w:spacing w:before="160" w:after="160"/>
              <w:jc w:val="left"/>
              <w:rPr>
                <w:sz w:val="20"/>
                <w:szCs w:val="20"/>
              </w:rPr>
            </w:pPr>
            <w:r w:rsidRPr="00F07EB5">
              <w:rPr>
                <w:sz w:val="20"/>
                <w:szCs w:val="20"/>
              </w:rPr>
              <w:t>MAQ-</w:t>
            </w:r>
            <w:r w:rsidRPr="00F07EB5">
              <w:rPr>
                <w:i/>
                <w:sz w:val="20"/>
                <w:szCs w:val="20"/>
              </w:rPr>
              <w:t>m</w:t>
            </w:r>
            <w:r w:rsidRPr="00F07EB5">
              <w:rPr>
                <w:sz w:val="20"/>
                <w:szCs w:val="20"/>
              </w:rPr>
              <w:br/>
              <w:t>Digital microondas</w:t>
            </w:r>
            <w:r w:rsidRPr="00F07EB5">
              <w:rPr>
                <w:sz w:val="20"/>
                <w:szCs w:val="20"/>
              </w:rPr>
              <w:br/>
            </w:r>
            <w:r w:rsidRPr="00F07EB5">
              <w:rPr>
                <w:i/>
                <w:sz w:val="20"/>
                <w:szCs w:val="20"/>
              </w:rPr>
              <w:t>S</w:t>
            </w:r>
            <w:r w:rsidRPr="00F07EB5">
              <w:rPr>
                <w:sz w:val="20"/>
                <w:szCs w:val="20"/>
              </w:rPr>
              <w:t xml:space="preserve">  </w:t>
            </w:r>
            <w:r w:rsidRPr="00F07EB5">
              <w:rPr>
                <w:rFonts w:ascii="Symbol" w:hAnsi="Symbol"/>
                <w:sz w:val="20"/>
                <w:szCs w:val="20"/>
              </w:rPr>
              <w:t></w:t>
            </w:r>
            <w:r w:rsidRPr="00F07EB5">
              <w:rPr>
                <w:sz w:val="20"/>
                <w:szCs w:val="20"/>
              </w:rPr>
              <w:t xml:space="preserve">  2</w:t>
            </w:r>
            <w:r w:rsidRPr="00F07EB5">
              <w:rPr>
                <w:i/>
                <w:position w:val="6"/>
                <w:sz w:val="20"/>
                <w:szCs w:val="20"/>
              </w:rPr>
              <w:t>n</w:t>
            </w:r>
            <w:r w:rsidRPr="00F07EB5">
              <w:rPr>
                <w:sz w:val="20"/>
                <w:szCs w:val="20"/>
              </w:rPr>
              <w:t xml:space="preserve"> (</w:t>
            </w:r>
            <w:r w:rsidRPr="00F07EB5">
              <w:rPr>
                <w:i/>
                <w:sz w:val="20"/>
                <w:szCs w:val="20"/>
              </w:rPr>
              <w:t>n</w:t>
            </w:r>
            <w:r w:rsidRPr="00F07EB5">
              <w:rPr>
                <w:sz w:val="20"/>
                <w:szCs w:val="20"/>
              </w:rPr>
              <w:t xml:space="preserve"> </w:t>
            </w:r>
            <w:r w:rsidRPr="00F07EB5">
              <w:rPr>
                <w:rFonts w:ascii="Symbol" w:hAnsi="Symbol"/>
                <w:sz w:val="20"/>
                <w:szCs w:val="20"/>
              </w:rPr>
              <w:t></w:t>
            </w:r>
            <w:r w:rsidRPr="00F07EB5">
              <w:rPr>
                <w:sz w:val="20"/>
                <w:szCs w:val="20"/>
              </w:rPr>
              <w:t xml:space="preserve"> 2) </w:t>
            </w:r>
            <w:r w:rsidRPr="00F07EB5">
              <w:rPr>
                <w:sz w:val="20"/>
                <w:szCs w:val="20"/>
              </w:rPr>
              <w:br/>
              <w:t xml:space="preserve">Caída  </w:t>
            </w:r>
            <w:r w:rsidRPr="00F07EB5">
              <w:rPr>
                <w:sz w:val="20"/>
                <w:szCs w:val="20"/>
              </w:rPr>
              <w:sym w:font="Symbol" w:char="F03D"/>
            </w:r>
            <w:r w:rsidRPr="00F07EB5">
              <w:rPr>
                <w:sz w:val="20"/>
                <w:szCs w:val="20"/>
              </w:rPr>
              <w:t xml:space="preserve">  0 a 1</w:t>
            </w:r>
            <w:r w:rsidRPr="00F07EB5">
              <w:rPr>
                <w:sz w:val="20"/>
                <w:szCs w:val="20"/>
              </w:rPr>
              <w:br/>
              <w:t>División Tx/Rx de 50% con filtrado óptimo (calculado)</w:t>
            </w:r>
            <w:r>
              <w:rPr>
                <w:position w:val="6"/>
                <w:sz w:val="14"/>
                <w:lang w:val="en-GB"/>
              </w:rPr>
              <w:t>(4),</w:t>
            </w:r>
            <w:r>
              <w:rPr>
                <w:lang w:val="en-GB"/>
              </w:rPr>
              <w:t xml:space="preserve"> </w:t>
            </w:r>
            <w:r>
              <w:rPr>
                <w:position w:val="6"/>
                <w:sz w:val="14"/>
                <w:lang w:val="en-GB"/>
              </w:rPr>
              <w:t>(5)</w:t>
            </w:r>
          </w:p>
        </w:tc>
        <w:tc>
          <w:tcPr>
            <w:tcW w:w="2413" w:type="dxa"/>
            <w:vAlign w:val="center"/>
          </w:tcPr>
          <w:p w14:paraId="5816D1AD" w14:textId="1D98363A" w:rsidR="00F07EB5" w:rsidRPr="00F07EB5" w:rsidRDefault="00F07EB5" w:rsidP="00F07EB5">
            <w:pPr>
              <w:pStyle w:val="TableText0"/>
              <w:keepNext w:val="0"/>
              <w:spacing w:before="160" w:after="160" w:line="240" w:lineRule="auto"/>
              <w:jc w:val="center"/>
              <w:rPr>
                <w:sz w:val="20"/>
                <w:szCs w:val="20"/>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916" w:type="dxa"/>
            <w:vAlign w:val="center"/>
          </w:tcPr>
          <w:p w14:paraId="7E76D134" w14:textId="77777777" w:rsidR="00F07EB5" w:rsidRPr="00F07EB5" w:rsidRDefault="00F07EB5" w:rsidP="00F07EB5">
            <w:pPr>
              <w:pStyle w:val="TableText0"/>
              <w:keepNext w:val="0"/>
              <w:spacing w:before="160" w:after="160"/>
              <w:jc w:val="center"/>
              <w:rPr>
                <w:sz w:val="20"/>
                <w:szCs w:val="20"/>
              </w:rPr>
            </w:pPr>
            <w:r w:rsidRPr="00F07EB5">
              <w:rPr>
                <w:sz w:val="20"/>
                <w:szCs w:val="20"/>
              </w:rPr>
              <w:br/>
            </w:r>
            <w:r w:rsidRPr="00F07EB5">
              <w:rPr>
                <w:sz w:val="20"/>
                <w:szCs w:val="20"/>
              </w:rPr>
              <w:br/>
              <w:t>Véase la Fig. 1</w:t>
            </w:r>
          </w:p>
        </w:tc>
        <w:tc>
          <w:tcPr>
            <w:tcW w:w="1916" w:type="dxa"/>
            <w:tcBorders>
              <w:bottom w:val="nil"/>
              <w:right w:val="single" w:sz="6" w:space="0" w:color="auto"/>
            </w:tcBorders>
            <w:vAlign w:val="center"/>
          </w:tcPr>
          <w:p w14:paraId="2F44C5A8" w14:textId="5504D22F" w:rsidR="00F07EB5" w:rsidRPr="00F07EB5" w:rsidRDefault="00F07EB5" w:rsidP="00F07EB5">
            <w:pPr>
              <w:pStyle w:val="TableText0"/>
              <w:keepNext w:val="0"/>
              <w:spacing w:before="160" w:after="160"/>
              <w:jc w:val="center"/>
              <w:rPr>
                <w:sz w:val="20"/>
                <w:szCs w:val="20"/>
              </w:rPr>
            </w:pPr>
            <w:r w:rsidRPr="00F07EB5">
              <w:rPr>
                <w:sz w:val="20"/>
                <w:szCs w:val="20"/>
                <w:lang w:val="en-GB"/>
              </w:rPr>
              <w:br/>
            </w:r>
            <w:r w:rsidRPr="00F07EB5">
              <w:rPr>
                <w:sz w:val="20"/>
                <w:szCs w:val="20"/>
                <w:lang w:val="en-GB"/>
              </w:rPr>
              <w:br/>
            </w:r>
            <w:r w:rsidRPr="00F07EB5">
              <w:rPr>
                <w:sz w:val="20"/>
                <w:szCs w:val="20"/>
              </w:rPr>
              <w:t>Véase la Fig. 1</w:t>
            </w:r>
          </w:p>
        </w:tc>
      </w:tr>
      <w:tr w:rsidR="009E492D" w:rsidRPr="00F07EB5" w14:paraId="45F957CE" w14:textId="77777777" w:rsidTr="00F07EB5">
        <w:trPr>
          <w:cantSplit/>
          <w:jc w:val="center"/>
        </w:trPr>
        <w:tc>
          <w:tcPr>
            <w:tcW w:w="9639" w:type="dxa"/>
            <w:gridSpan w:val="4"/>
            <w:tcBorders>
              <w:bottom w:val="nil"/>
            </w:tcBorders>
          </w:tcPr>
          <w:p w14:paraId="231448EC" w14:textId="77777777" w:rsidR="009E492D" w:rsidRPr="00F07EB5" w:rsidRDefault="009E492D" w:rsidP="00F07EB5">
            <w:pPr>
              <w:pStyle w:val="Tabletext"/>
              <w:tabs>
                <w:tab w:val="clear" w:pos="567"/>
                <w:tab w:val="clear" w:pos="851"/>
                <w:tab w:val="left" w:pos="870"/>
              </w:tabs>
            </w:pPr>
            <w:r w:rsidRPr="00F07EB5">
              <w:t>BER:</w:t>
            </w:r>
            <w:r w:rsidRPr="00F07EB5">
              <w:tab/>
              <w:t>proporción de bits erróneos.</w:t>
            </w:r>
          </w:p>
          <w:p w14:paraId="5C3E47E5" w14:textId="77777777" w:rsidR="009E492D" w:rsidRPr="00F07EB5" w:rsidRDefault="009E492D" w:rsidP="00F07EB5">
            <w:pPr>
              <w:pStyle w:val="Tabletext"/>
              <w:tabs>
                <w:tab w:val="clear" w:pos="567"/>
                <w:tab w:val="clear" w:pos="851"/>
                <w:tab w:val="left" w:pos="870"/>
              </w:tabs>
            </w:pPr>
            <w:r w:rsidRPr="00F07EB5">
              <w:t>MAQ:</w:t>
            </w:r>
            <w:r w:rsidRPr="00F07EB5">
              <w:tab/>
              <w:t>modulación de amplitud en cuadratura.</w:t>
            </w:r>
          </w:p>
          <w:p w14:paraId="5C5904F1" w14:textId="77777777" w:rsidR="009E492D" w:rsidRPr="00F07EB5" w:rsidRDefault="009E492D" w:rsidP="00F07EB5">
            <w:pPr>
              <w:pStyle w:val="Tabletext"/>
              <w:tabs>
                <w:tab w:val="clear" w:pos="567"/>
                <w:tab w:val="clear" w:pos="851"/>
                <w:tab w:val="left" w:pos="870"/>
              </w:tabs>
            </w:pPr>
            <w:r w:rsidRPr="00F07EB5">
              <w:t>MDF:</w:t>
            </w:r>
            <w:r w:rsidRPr="00F07EB5">
              <w:tab/>
              <w:t>modulación por desplazamiento de frecuencia.</w:t>
            </w:r>
          </w:p>
          <w:p w14:paraId="5E1F68D7" w14:textId="2C0E5D0E" w:rsidR="009E492D" w:rsidRPr="00F07EB5" w:rsidRDefault="00F07EB5" w:rsidP="00F07EB5">
            <w:pPr>
              <w:pStyle w:val="Tabletext"/>
              <w:ind w:left="284" w:hanging="284"/>
            </w:pPr>
            <w:r>
              <w:rPr>
                <w:position w:val="6"/>
                <w:sz w:val="14"/>
              </w:rPr>
              <w:t>(1)</w:t>
            </w:r>
            <w:r>
              <w:tab/>
            </w:r>
            <w:r w:rsidR="009E492D" w:rsidRPr="00F07EB5">
              <w:t xml:space="preserve">En la Recomendación </w:t>
            </w:r>
            <w:hyperlink r:id="rId17" w:history="1">
              <w:r w:rsidR="009E492D" w:rsidRPr="00F07EB5">
                <w:rPr>
                  <w:rStyle w:val="Hyperlink"/>
                  <w:color w:val="auto"/>
                  <w:u w:val="none"/>
                </w:rPr>
                <w:t>UIT-R F.1191</w:t>
              </w:r>
            </w:hyperlink>
            <w:r w:rsidR="009E492D" w:rsidRPr="00F07EB5">
              <w:t xml:space="preserve"> se prevé que para el servicio fijo con modulación digital, </w:t>
            </w:r>
            <w:r w:rsidR="004E1C7C" w:rsidRPr="00F07EB5">
              <w:t>el</w:t>
            </w:r>
            <w:r w:rsidR="009E492D" w:rsidRPr="00F07EB5">
              <w:t xml:space="preserve"> ancho de banda deberá definirse para un porcentaje de confinamiento de potencia fraccional igual a 99%.</w:t>
            </w:r>
          </w:p>
          <w:p w14:paraId="7605F165" w14:textId="5EE746A5" w:rsidR="009E492D" w:rsidRPr="00F07EB5" w:rsidRDefault="009E492D" w:rsidP="00F07EB5">
            <w:pPr>
              <w:pStyle w:val="Tabletext"/>
            </w:pPr>
            <w:r w:rsidRPr="00F07EB5">
              <w:rPr>
                <w:position w:val="6"/>
                <w:sz w:val="14"/>
              </w:rPr>
              <w:t>(2)</w:t>
            </w:r>
            <w:r w:rsidRPr="00F07EB5">
              <w:tab/>
              <w:t xml:space="preserve">Para este caso </w:t>
            </w:r>
            <w:r w:rsidR="00F07EB5" w:rsidRPr="0043795F">
              <w:rPr>
                <w:i/>
                <w:iCs/>
              </w:rPr>
              <w:t>E</w:t>
            </w:r>
            <w:r w:rsidR="00F07EB5">
              <w:rPr>
                <w:i/>
                <w:position w:val="-4"/>
                <w:sz w:val="14"/>
              </w:rPr>
              <w:t>b</w:t>
            </w:r>
            <w:r w:rsidR="00F07EB5">
              <w:rPr>
                <w:sz w:val="8"/>
              </w:rPr>
              <w:t> </w:t>
            </w:r>
            <w:r w:rsidR="00F07EB5">
              <w:t>/</w:t>
            </w:r>
            <w:r w:rsidR="00F07EB5" w:rsidRPr="0043795F">
              <w:rPr>
                <w:i/>
                <w:iCs/>
              </w:rPr>
              <w:t>N</w:t>
            </w:r>
            <w:r w:rsidR="00F07EB5">
              <w:rPr>
                <w:position w:val="-4"/>
                <w:sz w:val="14"/>
              </w:rPr>
              <w:t>0</w:t>
            </w:r>
            <w:r w:rsidR="00F07EB5">
              <w:t xml:space="preserve">  </w:t>
            </w:r>
            <w:r w:rsidR="00F07EB5">
              <w:rPr>
                <w:rFonts w:ascii="Symbol" w:hAnsi="Symbol"/>
              </w:rPr>
              <w:t></w:t>
            </w:r>
            <w:r w:rsidR="00F07EB5">
              <w:t xml:space="preserve">  7,5 dB.</w:t>
            </w:r>
          </w:p>
          <w:p w14:paraId="5D0AA21B" w14:textId="12BD6568" w:rsidR="009E492D" w:rsidRPr="00F07EB5" w:rsidRDefault="009E492D" w:rsidP="00F07EB5">
            <w:pPr>
              <w:pStyle w:val="Tabletext"/>
            </w:pPr>
            <w:r w:rsidRPr="00F07EB5">
              <w:rPr>
                <w:position w:val="6"/>
                <w:sz w:val="14"/>
              </w:rPr>
              <w:t>(3)</w:t>
            </w:r>
            <w:r w:rsidRPr="00F07EB5">
              <w:tab/>
              <w:t xml:space="preserve">Para este caso </w:t>
            </w:r>
            <w:r w:rsidR="00F07EB5" w:rsidRPr="0043795F">
              <w:rPr>
                <w:i/>
                <w:iCs/>
              </w:rPr>
              <w:t>E</w:t>
            </w:r>
            <w:r w:rsidR="00F07EB5">
              <w:rPr>
                <w:i/>
                <w:position w:val="-4"/>
                <w:sz w:val="14"/>
              </w:rPr>
              <w:t>b</w:t>
            </w:r>
            <w:r w:rsidR="00F07EB5">
              <w:rPr>
                <w:sz w:val="8"/>
              </w:rPr>
              <w:t> </w:t>
            </w:r>
            <w:r w:rsidR="00F07EB5">
              <w:t>/</w:t>
            </w:r>
            <w:r w:rsidR="00F07EB5" w:rsidRPr="0043795F">
              <w:rPr>
                <w:i/>
                <w:iCs/>
              </w:rPr>
              <w:t>N</w:t>
            </w:r>
            <w:r w:rsidR="00F07EB5">
              <w:rPr>
                <w:position w:val="-4"/>
                <w:sz w:val="14"/>
              </w:rPr>
              <w:t>0</w:t>
            </w:r>
            <w:r w:rsidR="00F07EB5">
              <w:t xml:space="preserve">  </w:t>
            </w:r>
            <w:r w:rsidR="00F07EB5">
              <w:rPr>
                <w:rFonts w:ascii="Symbol" w:hAnsi="Symbol"/>
              </w:rPr>
              <w:t></w:t>
            </w:r>
            <w:r w:rsidR="00F07EB5">
              <w:t xml:space="preserve">  9,3 dB.</w:t>
            </w:r>
          </w:p>
          <w:p w14:paraId="7BF9CDBB" w14:textId="77777777" w:rsidR="009E492D" w:rsidRPr="00F07EB5" w:rsidRDefault="009E492D" w:rsidP="00F07EB5">
            <w:pPr>
              <w:pStyle w:val="Tabletext"/>
              <w:ind w:left="284" w:hanging="284"/>
            </w:pPr>
            <w:r w:rsidRPr="00F07EB5">
              <w:rPr>
                <w:position w:val="6"/>
                <w:sz w:val="14"/>
              </w:rPr>
              <w:t>(4)</w:t>
            </w:r>
            <w:r w:rsidRPr="00F07EB5">
              <w:tab/>
              <w:t>El filtrado utilizado en la práctica puede producir una ligera diferencia en la relación calculada entre el valor de K y el confinamiento.</w:t>
            </w:r>
          </w:p>
          <w:p w14:paraId="39567CAA" w14:textId="77777777" w:rsidR="009E492D" w:rsidRPr="00F07EB5" w:rsidRDefault="009E492D" w:rsidP="00F07EB5">
            <w:pPr>
              <w:pStyle w:val="Tabletext"/>
            </w:pPr>
            <w:r w:rsidRPr="00F07EB5">
              <w:rPr>
                <w:position w:val="6"/>
                <w:sz w:val="14"/>
              </w:rPr>
              <w:t>(5)</w:t>
            </w:r>
            <w:r w:rsidRPr="00F07EB5">
              <w:tab/>
              <w:t>Los formatos MAQ-4 y MAQ-8 coinciden con los formatos MDP-4 y MDP-8 con filtrado.</w:t>
            </w:r>
          </w:p>
        </w:tc>
      </w:tr>
    </w:tbl>
    <w:p w14:paraId="09AA4FB5" w14:textId="77777777" w:rsidR="009E492D" w:rsidRPr="009E492D" w:rsidRDefault="009E492D" w:rsidP="009E492D">
      <w:pPr>
        <w:pStyle w:val="Tablefin"/>
        <w:rPr>
          <w:lang w:val="es-ES"/>
        </w:rPr>
      </w:pPr>
    </w:p>
    <w:p w14:paraId="723562A1" w14:textId="77777777" w:rsidR="00F07EB5" w:rsidRDefault="00F07EB5" w:rsidP="00F07EB5">
      <w:r>
        <w:br w:type="page"/>
      </w:r>
    </w:p>
    <w:p w14:paraId="37A09BE5" w14:textId="1FEF9771" w:rsidR="00F07EB5" w:rsidRDefault="00F07EB5" w:rsidP="00F07EB5">
      <w:pPr>
        <w:pStyle w:val="FigureNo"/>
      </w:pPr>
      <w:r>
        <w:lastRenderedPageBreak/>
        <w:t>FigurA 1</w:t>
      </w:r>
    </w:p>
    <w:p w14:paraId="27896DBE" w14:textId="7FA6E2FA" w:rsidR="00F07EB5" w:rsidRDefault="00F07EB5" w:rsidP="00F07EB5">
      <w:pPr>
        <w:pStyle w:val="Figuretitle"/>
      </w:pPr>
      <w:r w:rsidRPr="00F07EB5">
        <w:t>Valor de</w:t>
      </w:r>
      <w:r>
        <w:rPr>
          <w:i/>
          <w:iCs/>
        </w:rPr>
        <w:t xml:space="preserve"> K</w:t>
      </w:r>
      <w:r>
        <w:t xml:space="preserve"> en función de la caída para formatos de modulación </w:t>
      </w:r>
      <w:r>
        <w:rPr>
          <w:i/>
          <w:iCs/>
        </w:rPr>
        <w:t>m</w:t>
      </w:r>
      <w:r>
        <w:t xml:space="preserve">-QAM </w:t>
      </w:r>
      <w:r>
        <w:br/>
        <w:t>Parametros: factor de confinamiento de potencia</w:t>
      </w:r>
    </w:p>
    <w:p w14:paraId="24172AC1" w14:textId="0B821F41" w:rsidR="00F07EB5" w:rsidRDefault="007D051F" w:rsidP="007D051F">
      <w:pPr>
        <w:pStyle w:val="Figure"/>
      </w:pPr>
      <w:r>
        <w:rPr>
          <w:noProof/>
        </w:rPr>
        <w:drawing>
          <wp:inline distT="0" distB="0" distL="0" distR="0" wp14:anchorId="19F5AB40" wp14:editId="34AE68B7">
            <wp:extent cx="4270257" cy="4690882"/>
            <wp:effectExtent l="0" t="0" r="0" b="0"/>
            <wp:docPr id="456443575" name="Picture 1" descr="A graph with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43575" name="Picture 1" descr="A graph with lines and numbers&#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70257" cy="4690882"/>
                    </a:xfrm>
                    <a:prstGeom prst="rect">
                      <a:avLst/>
                    </a:prstGeom>
                  </pic:spPr>
                </pic:pic>
              </a:graphicData>
            </a:graphic>
          </wp:inline>
        </w:drawing>
      </w:r>
    </w:p>
    <w:p w14:paraId="0A1C023B" w14:textId="77777777" w:rsidR="00F07EB5" w:rsidRDefault="00F07EB5" w:rsidP="007D051F"/>
    <w:p w14:paraId="2C7D513B" w14:textId="77777777" w:rsidR="00F07EB5" w:rsidRDefault="00F07EB5" w:rsidP="007D051F"/>
    <w:p w14:paraId="7CAA6B3B" w14:textId="77777777" w:rsidR="009E492D" w:rsidRDefault="009E492D" w:rsidP="009E492D">
      <w:pPr>
        <w:pStyle w:val="Fig0"/>
        <w:spacing w:before="0"/>
        <w:rPr>
          <w:sz w:val="12"/>
        </w:rPr>
      </w:pPr>
      <w:r>
        <w:rPr>
          <w:sz w:val="12"/>
        </w:rPr>
        <w:t xml:space="preserve">FIGURE SM.0853-1 </w:t>
      </w:r>
      <w:r>
        <w:rPr>
          <w:rFonts w:ascii="Symbol" w:hAnsi="Symbol"/>
          <w:sz w:val="12"/>
        </w:rPr>
        <w:t></w:t>
      </w:r>
      <w:r>
        <w:rPr>
          <w:sz w:val="12"/>
        </w:rPr>
        <w:t xml:space="preserve"> 10 CM </w:t>
      </w:r>
    </w:p>
    <w:p w14:paraId="34E89E46" w14:textId="6D71C82F" w:rsidR="009E492D" w:rsidRDefault="009E492D" w:rsidP="007D051F">
      <w:pPr>
        <w:pStyle w:val="AnnexNoTitle"/>
      </w:pPr>
      <w:r>
        <w:t>Anexo 1</w:t>
      </w:r>
      <w:r w:rsidR="007D051F">
        <w:br/>
      </w:r>
      <w:r w:rsidR="007D051F">
        <w:br/>
      </w:r>
      <w:r>
        <w:t>Cálculos de los anchos de banda necesarios MDF-MF</w:t>
      </w:r>
    </w:p>
    <w:p w14:paraId="5B0CBBB2" w14:textId="77777777" w:rsidR="009E492D" w:rsidRDefault="009E492D" w:rsidP="009E492D">
      <w:pPr>
        <w:pStyle w:val="Heading1"/>
      </w:pPr>
      <w:r>
        <w:t>1</w:t>
      </w:r>
      <w:r>
        <w:tab/>
        <w:t>Emisiones multicanal MDF-MF</w:t>
      </w:r>
    </w:p>
    <w:p w14:paraId="12897475" w14:textId="738345F9" w:rsidR="009E492D" w:rsidRDefault="009E492D" w:rsidP="009E492D">
      <w:r>
        <w:t xml:space="preserve">La Recomendación </w:t>
      </w:r>
      <w:hyperlink r:id="rId19" w:history="1">
        <w:r w:rsidRPr="007D051F">
          <w:t>UIT-R SM.1138</w:t>
        </w:r>
      </w:hyperlink>
      <w:r w:rsidR="007D051F" w:rsidRPr="00670C3D">
        <w:t xml:space="preserve"> – </w:t>
      </w:r>
      <w:r>
        <w:t>Determinación de las anchuras de banda necesarias, con inclusión de ejemplos de cálculo de las mismas y ejemplos conexos de denominación de emisiones, incluye en el Cuadro III-B del Anexo 1, los factores necesarios para su utilización en el cálculo de la excursión de frecuencia de cresta en las emisiones multicanal con MDF</w:t>
      </w:r>
      <w:r>
        <w:noBreakHyphen/>
        <w:t xml:space="preserve">MF. La excursión de frecuencia de cresta es un factor crítico en la regla de Carson, </w:t>
      </w:r>
      <w:r>
        <w:rPr>
          <w:i/>
        </w:rPr>
        <w:t>B</w:t>
      </w:r>
      <w:r>
        <w:rPr>
          <w:i/>
          <w:position w:val="-3"/>
          <w:sz w:val="16"/>
        </w:rPr>
        <w:t>n</w:t>
      </w:r>
      <w:r>
        <w:t> </w:t>
      </w:r>
      <w:r>
        <w:rPr>
          <w:rFonts w:ascii="Symbol" w:hAnsi="Symbol"/>
        </w:rPr>
        <w:t></w:t>
      </w:r>
      <w:r>
        <w:t> 2</w:t>
      </w:r>
      <w:r>
        <w:rPr>
          <w:i/>
        </w:rPr>
        <w:t>M</w:t>
      </w:r>
      <w:r>
        <w:t> </w:t>
      </w:r>
      <w:r>
        <w:rPr>
          <w:rFonts w:ascii="Symbol" w:hAnsi="Symbol"/>
        </w:rPr>
        <w:t></w:t>
      </w:r>
      <w:r>
        <w:t> 2</w:t>
      </w:r>
      <w:r>
        <w:rPr>
          <w:i/>
        </w:rPr>
        <w:t>DK</w:t>
      </w:r>
      <w:r>
        <w:t>, utilizada para calcular el ancho de banda necesario para los fines de atribución del espectro de frecuencias. A continuación se reproduce el Cuadro III-B como Cuadro 3.</w:t>
      </w:r>
    </w:p>
    <w:p w14:paraId="3E456959" w14:textId="128CDE73" w:rsidR="009E492D" w:rsidRDefault="009E492D" w:rsidP="007D051F">
      <w:pPr>
        <w:keepNext/>
        <w:keepLines/>
      </w:pPr>
      <w:r>
        <w:lastRenderedPageBreak/>
        <w:t xml:space="preserve">Los factores 2,6, </w:t>
      </w:r>
      <w:r w:rsidR="007D051F">
        <w:t>−</w:t>
      </w:r>
      <w:r>
        <w:t xml:space="preserve">1 y </w:t>
      </w:r>
      <w:r w:rsidR="007D051F">
        <w:t>−</w:t>
      </w:r>
      <w:r>
        <w:t>15 del Cuadro representan los valores medios de potencia (dBm0 (véase la Nota 1)) que se encontraron en un circuito normalizado de la red telefónica conmutada pública comercial. Los valores se basaban, de hecho, en mediciones del «volumen de la persona que habla» llevadas a cabo en 1960 que se aceptaron previamente en el ex CCIR y eventualmente en la Conferencia Administrativa Mundial de Radiocomunicaciones (Ginebra, 1979), como aplicables para el cálculo del ancho de banda necesario.</w:t>
      </w:r>
    </w:p>
    <w:p w14:paraId="07E741B2" w14:textId="77777777" w:rsidR="009E492D" w:rsidRDefault="009E492D" w:rsidP="009E492D">
      <w:pPr>
        <w:pStyle w:val="Note"/>
      </w:pPr>
      <w:r>
        <w:t>NOTA 1 – «dBm0» se refiere a la potencia (dB) relativa a 1 mW referida a un punto de nivel de transmisión relativo cero.</w:t>
      </w:r>
    </w:p>
    <w:p w14:paraId="4DCFEC48" w14:textId="1D8D8867" w:rsidR="009E492D" w:rsidRDefault="009E492D" w:rsidP="003E644E">
      <w:pPr>
        <w:pStyle w:val="TableNo"/>
        <w:keepNext w:val="0"/>
      </w:pPr>
      <w:r w:rsidRPr="003E644E">
        <w:rPr>
          <w:lang w:val="en-GB"/>
        </w:rPr>
        <w:t>CUADRO</w:t>
      </w:r>
      <w:r>
        <w:t xml:space="preserve"> 3</w:t>
      </w:r>
    </w:p>
    <w:p w14:paraId="3CA85CD9" w14:textId="77777777" w:rsidR="009E492D" w:rsidRDefault="009E492D" w:rsidP="003E644E">
      <w:pPr>
        <w:pStyle w:val="Tabletitle"/>
        <w:keepNext w:val="0"/>
      </w:pPr>
      <w:r>
        <w:t xml:space="preserve">Emisiones </w:t>
      </w:r>
      <w:r w:rsidRPr="003E644E">
        <w:t>multicanal</w:t>
      </w:r>
      <w:r>
        <w:t xml:space="preserve"> MDF-MF</w:t>
      </w:r>
    </w:p>
    <w:p w14:paraId="21FED0BE" w14:textId="77777777" w:rsidR="009E492D" w:rsidRPr="003E644E" w:rsidRDefault="009E492D" w:rsidP="009E492D">
      <w:pPr>
        <w:pStyle w:val="Blanc"/>
        <w:rPr>
          <w:lang w:val="es-ES"/>
        </w:rPr>
      </w:pPr>
    </w:p>
    <w:tbl>
      <w:tblPr>
        <w:tblW w:w="9639" w:type="dxa"/>
        <w:jc w:val="center"/>
        <w:tblLayout w:type="fixed"/>
        <w:tblCellMar>
          <w:left w:w="107" w:type="dxa"/>
          <w:right w:w="107" w:type="dxa"/>
        </w:tblCellMar>
        <w:tblLook w:val="0000" w:firstRow="0" w:lastRow="0" w:firstColumn="0" w:lastColumn="0" w:noHBand="0" w:noVBand="0"/>
      </w:tblPr>
      <w:tblGrid>
        <w:gridCol w:w="1993"/>
        <w:gridCol w:w="3796"/>
        <w:gridCol w:w="3850"/>
      </w:tblGrid>
      <w:tr w:rsidR="009E492D" w14:paraId="191E2B11" w14:textId="77777777" w:rsidTr="006D2DD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14:paraId="479ACFAE" w14:textId="77777777" w:rsidR="009E492D" w:rsidRDefault="009E492D" w:rsidP="006D2DD2">
            <w:pPr>
              <w:pStyle w:val="TableText0"/>
              <w:keepNext w:val="0"/>
              <w:spacing w:before="140" w:after="140"/>
              <w:jc w:val="center"/>
            </w:pPr>
            <w:r>
              <w:t>FACTORES  DE  MULTIPLICACIÓN  QUE  DEBEN  UTILIZARSE  PARA  CALCULAR</w:t>
            </w:r>
            <w:r>
              <w:br/>
              <w:t xml:space="preserve">LA  EXCURSIÓN  DE  FRECUENCIA  DE  CRESTA  </w:t>
            </w:r>
            <w:r>
              <w:rPr>
                <w:i/>
              </w:rPr>
              <w:t>D</w:t>
            </w:r>
            <w:r>
              <w:t xml:space="preserve">  EN  LAS  EMISIONES</w:t>
            </w:r>
            <w:r>
              <w:br/>
              <w:t>MULTICANAL  CON  MODULACIÓN  DE  FRECUENCIA  Y  MULTIPLAJE</w:t>
            </w:r>
            <w:r>
              <w:br/>
              <w:t>POR  DISTRIBUCIÓN  DE  FRECUENCIA  (MF-MDF)</w:t>
            </w:r>
          </w:p>
        </w:tc>
      </w:tr>
      <w:tr w:rsidR="009E492D" w14:paraId="3B611D0F" w14:textId="77777777" w:rsidTr="006D2DD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14:paraId="3566F162" w14:textId="77777777" w:rsidR="009E492D" w:rsidRDefault="009E492D" w:rsidP="006D2DD2">
            <w:pPr>
              <w:pStyle w:val="TableText0"/>
              <w:keepNext w:val="0"/>
              <w:tabs>
                <w:tab w:val="clear" w:pos="794"/>
                <w:tab w:val="clear" w:pos="1191"/>
                <w:tab w:val="clear" w:pos="1588"/>
                <w:tab w:val="clear" w:pos="1985"/>
                <w:tab w:val="left" w:pos="284"/>
              </w:tabs>
              <w:jc w:val="left"/>
            </w:pPr>
            <w:r>
              <w:t>Para los sistemas MF-MDF, el ancho de banda necesario es:</w:t>
            </w:r>
          </w:p>
          <w:p w14:paraId="49471E02" w14:textId="77777777" w:rsidR="009E492D" w:rsidRDefault="009E492D" w:rsidP="006D2DD2">
            <w:pPr>
              <w:pStyle w:val="TableText0"/>
              <w:keepNext w:val="0"/>
              <w:tabs>
                <w:tab w:val="clear" w:pos="794"/>
                <w:tab w:val="clear" w:pos="1191"/>
                <w:tab w:val="clear" w:pos="1588"/>
                <w:tab w:val="clear" w:pos="1985"/>
                <w:tab w:val="left" w:pos="284"/>
              </w:tabs>
              <w:jc w:val="center"/>
            </w:pPr>
            <w:r>
              <w:rPr>
                <w:i/>
              </w:rPr>
              <w:t>B</w:t>
            </w:r>
            <w:r>
              <w:rPr>
                <w:i/>
                <w:position w:val="-3"/>
                <w:sz w:val="14"/>
              </w:rPr>
              <w:t>n</w:t>
            </w:r>
            <w:r>
              <w:t>  </w:t>
            </w:r>
            <w:r>
              <w:rPr>
                <w:rFonts w:ascii="Symbol" w:hAnsi="Symbol"/>
              </w:rPr>
              <w:t></w:t>
            </w:r>
            <w:r>
              <w:t>  2 </w:t>
            </w:r>
            <w:r>
              <w:rPr>
                <w:i/>
              </w:rPr>
              <w:t>M</w:t>
            </w:r>
            <w:r>
              <w:t>  </w:t>
            </w:r>
            <w:r>
              <w:rPr>
                <w:rFonts w:ascii="Symbol" w:hAnsi="Symbol"/>
              </w:rPr>
              <w:t></w:t>
            </w:r>
            <w:r>
              <w:t>  2 </w:t>
            </w:r>
            <w:r>
              <w:rPr>
                <w:i/>
              </w:rPr>
              <w:t>DK</w:t>
            </w:r>
          </w:p>
          <w:p w14:paraId="485711A9" w14:textId="77777777" w:rsidR="009E492D" w:rsidRDefault="009E492D" w:rsidP="006D2DD2">
            <w:pPr>
              <w:pStyle w:val="TableText0"/>
              <w:keepNext w:val="0"/>
              <w:tabs>
                <w:tab w:val="clear" w:pos="794"/>
                <w:tab w:val="clear" w:pos="1191"/>
                <w:tab w:val="clear" w:pos="1588"/>
                <w:tab w:val="clear" w:pos="1985"/>
                <w:tab w:val="left" w:pos="284"/>
              </w:tabs>
              <w:rPr>
                <w:position w:val="-3"/>
                <w:sz w:val="14"/>
              </w:rPr>
            </w:pPr>
            <w:r>
              <w:t xml:space="preserve">El valor de </w:t>
            </w:r>
            <w:r>
              <w:rPr>
                <w:i/>
              </w:rPr>
              <w:t>D</w:t>
            </w:r>
            <w:r>
              <w:t xml:space="preserve">, excursión de frecuencia de cresta, que aparece en estas fórmulas de </w:t>
            </w:r>
            <w:r>
              <w:rPr>
                <w:i/>
              </w:rPr>
              <w:t>B</w:t>
            </w:r>
            <w:r>
              <w:rPr>
                <w:i/>
                <w:position w:val="-3"/>
                <w:sz w:val="14"/>
              </w:rPr>
              <w:t xml:space="preserve">n </w:t>
            </w:r>
            <w:r>
              <w:t>se calcula multiplicando el valor eficaz de la excursión por canal, por el «factor de multiplicación» apropiado que se indica más abajo.</w:t>
            </w:r>
          </w:p>
          <w:p w14:paraId="4F4D5F8E" w14:textId="77777777" w:rsidR="009E492D" w:rsidRDefault="009E492D" w:rsidP="006D2DD2">
            <w:pPr>
              <w:pStyle w:val="TableText0"/>
              <w:keepNext w:val="0"/>
              <w:tabs>
                <w:tab w:val="clear" w:pos="794"/>
                <w:tab w:val="clear" w:pos="1191"/>
                <w:tab w:val="clear" w:pos="1588"/>
                <w:tab w:val="clear" w:pos="1985"/>
                <w:tab w:val="left" w:pos="284"/>
              </w:tabs>
              <w:spacing w:line="240" w:lineRule="auto"/>
            </w:pPr>
            <w:r>
              <w:t xml:space="preserve">En el caso en que exista una señal piloto de continuidad, de frecuencia </w:t>
            </w:r>
            <w:r>
              <w:rPr>
                <w:i/>
              </w:rPr>
              <w:t>f</w:t>
            </w:r>
            <w:r>
              <w:rPr>
                <w:i/>
                <w:position w:val="-2"/>
                <w:sz w:val="14"/>
              </w:rPr>
              <w:t>p</w:t>
            </w:r>
            <w:r>
              <w:rPr>
                <w:i/>
                <w:position w:val="-3"/>
                <w:sz w:val="14"/>
              </w:rPr>
              <w:t xml:space="preserve"> </w:t>
            </w:r>
            <w:r>
              <w:t xml:space="preserve">por encima de la frecuencia de modulación máxima </w:t>
            </w:r>
            <w:r>
              <w:rPr>
                <w:i/>
              </w:rPr>
              <w:t>M</w:t>
            </w:r>
            <w:r>
              <w:t>, la fórmula general pasa a ser:</w:t>
            </w:r>
          </w:p>
          <w:p w14:paraId="66579849" w14:textId="77777777" w:rsidR="009E492D" w:rsidRDefault="009E492D" w:rsidP="006D2DD2">
            <w:pPr>
              <w:pStyle w:val="TableText0"/>
              <w:keepNext w:val="0"/>
              <w:tabs>
                <w:tab w:val="clear" w:pos="794"/>
                <w:tab w:val="clear" w:pos="1191"/>
                <w:tab w:val="clear" w:pos="1588"/>
                <w:tab w:val="clear" w:pos="1985"/>
                <w:tab w:val="left" w:pos="284"/>
              </w:tabs>
              <w:jc w:val="center"/>
            </w:pPr>
            <w:r>
              <w:rPr>
                <w:i/>
              </w:rPr>
              <w:t>B</w:t>
            </w:r>
            <w:r>
              <w:rPr>
                <w:i/>
                <w:position w:val="-3"/>
                <w:sz w:val="14"/>
              </w:rPr>
              <w:t>n</w:t>
            </w:r>
            <w:r>
              <w:t>  </w:t>
            </w:r>
            <w:r>
              <w:rPr>
                <w:rFonts w:ascii="Symbol" w:hAnsi="Symbol"/>
              </w:rPr>
              <w:t></w:t>
            </w:r>
            <w:r>
              <w:t>  2</w:t>
            </w:r>
            <w:r>
              <w:rPr>
                <w:sz w:val="12"/>
              </w:rPr>
              <w:t> </w:t>
            </w:r>
            <w:r>
              <w:rPr>
                <w:i/>
              </w:rPr>
              <w:t>f</w:t>
            </w:r>
            <w:r>
              <w:rPr>
                <w:i/>
                <w:position w:val="-2"/>
                <w:sz w:val="14"/>
              </w:rPr>
              <w:t>p</w:t>
            </w:r>
            <w:r>
              <w:t>  </w:t>
            </w:r>
            <w:r>
              <w:rPr>
                <w:rFonts w:ascii="Symbol" w:hAnsi="Symbol"/>
              </w:rPr>
              <w:t></w:t>
            </w:r>
            <w:r>
              <w:t>  2 </w:t>
            </w:r>
            <w:r>
              <w:rPr>
                <w:i/>
              </w:rPr>
              <w:t>DK</w:t>
            </w:r>
          </w:p>
          <w:p w14:paraId="497A1038" w14:textId="77777777" w:rsidR="009E492D" w:rsidRDefault="009E492D" w:rsidP="006D2DD2">
            <w:pPr>
              <w:pStyle w:val="TableText0"/>
              <w:keepNext w:val="0"/>
              <w:tabs>
                <w:tab w:val="clear" w:pos="794"/>
                <w:tab w:val="clear" w:pos="1191"/>
                <w:tab w:val="clear" w:pos="1588"/>
                <w:tab w:val="clear" w:pos="1985"/>
                <w:tab w:val="left" w:pos="284"/>
              </w:tabs>
            </w:pPr>
            <w:r>
              <w:t>En el caso en que el índice de modulación de la portadora principal producido por la señal piloto, sea inferior a 0,25 y la excursión de frecuencia eficaz de la portadora principal producida por la señal piloto sea inferior o igual al 70% del valor eficaz de la excursión por canal, la fórmula general pasa a ser:</w:t>
            </w:r>
          </w:p>
          <w:p w14:paraId="6ACD1D2B" w14:textId="77777777" w:rsidR="009E492D" w:rsidRDefault="009E492D" w:rsidP="006D2DD2">
            <w:pPr>
              <w:pStyle w:val="TableText0"/>
              <w:keepNext w:val="0"/>
              <w:tabs>
                <w:tab w:val="clear" w:pos="794"/>
                <w:tab w:val="clear" w:pos="1191"/>
                <w:tab w:val="clear" w:pos="1588"/>
                <w:tab w:val="clear" w:pos="1985"/>
                <w:tab w:val="left" w:pos="284"/>
              </w:tabs>
              <w:jc w:val="center"/>
              <w:rPr>
                <w:i/>
              </w:rPr>
            </w:pPr>
            <w:r>
              <w:rPr>
                <w:i/>
              </w:rPr>
              <w:t>B</w:t>
            </w:r>
            <w:r>
              <w:rPr>
                <w:i/>
                <w:position w:val="-3"/>
                <w:sz w:val="14"/>
              </w:rPr>
              <w:t>n</w:t>
            </w:r>
            <w:r>
              <w:t>  </w:t>
            </w:r>
            <w:r>
              <w:rPr>
                <w:rFonts w:ascii="Symbol" w:hAnsi="Symbol"/>
              </w:rPr>
              <w:t></w:t>
            </w:r>
            <w:r>
              <w:t>  2</w:t>
            </w:r>
            <w:r>
              <w:rPr>
                <w:sz w:val="12"/>
              </w:rPr>
              <w:t> </w:t>
            </w:r>
            <w:r>
              <w:rPr>
                <w:i/>
              </w:rPr>
              <w:t>f</w:t>
            </w:r>
            <w:r>
              <w:rPr>
                <w:i/>
                <w:position w:val="-2"/>
                <w:sz w:val="14"/>
              </w:rPr>
              <w:t>p</w:t>
            </w:r>
            <w:r>
              <w:t xml:space="preserve">      o     </w:t>
            </w:r>
            <w:r>
              <w:rPr>
                <w:i/>
              </w:rPr>
              <w:t>B</w:t>
            </w:r>
            <w:r>
              <w:rPr>
                <w:i/>
                <w:position w:val="-3"/>
                <w:sz w:val="14"/>
              </w:rPr>
              <w:t>n</w:t>
            </w:r>
            <w:r>
              <w:t>  </w:t>
            </w:r>
            <w:r>
              <w:rPr>
                <w:rFonts w:ascii="Symbol" w:hAnsi="Symbol"/>
              </w:rPr>
              <w:t></w:t>
            </w:r>
            <w:r>
              <w:t>  2 </w:t>
            </w:r>
            <w:r>
              <w:rPr>
                <w:i/>
              </w:rPr>
              <w:t>M</w:t>
            </w:r>
            <w:r>
              <w:t>  </w:t>
            </w:r>
            <w:r>
              <w:rPr>
                <w:rFonts w:ascii="Symbol" w:hAnsi="Symbol"/>
              </w:rPr>
              <w:t></w:t>
            </w:r>
            <w:r>
              <w:t>  2 </w:t>
            </w:r>
            <w:r>
              <w:rPr>
                <w:i/>
              </w:rPr>
              <w:t>DK</w:t>
            </w:r>
          </w:p>
          <w:p w14:paraId="59E4D8E1" w14:textId="77777777" w:rsidR="009E492D" w:rsidRDefault="009E492D" w:rsidP="006D2DD2">
            <w:pPr>
              <w:pStyle w:val="TableText0"/>
              <w:keepNext w:val="0"/>
              <w:tabs>
                <w:tab w:val="clear" w:pos="794"/>
                <w:tab w:val="clear" w:pos="1191"/>
                <w:tab w:val="clear" w:pos="1588"/>
                <w:tab w:val="clear" w:pos="1985"/>
                <w:tab w:val="left" w:pos="284"/>
              </w:tabs>
              <w:jc w:val="left"/>
            </w:pPr>
            <w:r>
              <w:t>adoptándose el valor que sea mayor.</w:t>
            </w:r>
          </w:p>
        </w:tc>
      </w:tr>
      <w:tr w:rsidR="009E492D" w14:paraId="7D0B8035" w14:textId="77777777" w:rsidTr="006D2DD2">
        <w:trPr>
          <w:cantSplit/>
          <w:jc w:val="center"/>
        </w:trPr>
        <w:tc>
          <w:tcPr>
            <w:tcW w:w="1993" w:type="dxa"/>
            <w:tcBorders>
              <w:top w:val="single" w:sz="6" w:space="0" w:color="auto"/>
              <w:left w:val="single" w:sz="6" w:space="0" w:color="auto"/>
              <w:right w:val="single" w:sz="6" w:space="0" w:color="auto"/>
            </w:tcBorders>
          </w:tcPr>
          <w:p w14:paraId="17A4A2D1" w14:textId="77777777" w:rsidR="009E492D" w:rsidRDefault="009E492D" w:rsidP="006D2DD2">
            <w:pPr>
              <w:pStyle w:val="TableText0"/>
              <w:keepNext w:val="0"/>
              <w:spacing w:before="280" w:after="0" w:line="240" w:lineRule="auto"/>
              <w:jc w:val="center"/>
            </w:pPr>
          </w:p>
        </w:tc>
        <w:tc>
          <w:tcPr>
            <w:tcW w:w="7646" w:type="dxa"/>
            <w:gridSpan w:val="2"/>
            <w:tcBorders>
              <w:top w:val="single" w:sz="6" w:space="0" w:color="auto"/>
              <w:bottom w:val="single" w:sz="6" w:space="0" w:color="auto"/>
              <w:right w:val="single" w:sz="6" w:space="0" w:color="auto"/>
            </w:tcBorders>
          </w:tcPr>
          <w:p w14:paraId="2206E1A7" w14:textId="77777777" w:rsidR="009E492D" w:rsidRDefault="009E492D" w:rsidP="006D2DD2">
            <w:pPr>
              <w:pStyle w:val="TableText0"/>
              <w:keepNext w:val="0"/>
              <w:spacing w:before="140" w:after="140"/>
              <w:jc w:val="center"/>
            </w:pPr>
            <w:r>
              <w:t>Factor de multiplicación</w:t>
            </w:r>
            <w:r>
              <w:rPr>
                <w:position w:val="6"/>
                <w:sz w:val="14"/>
              </w:rPr>
              <w:t>(1)</w:t>
            </w:r>
          </w:p>
        </w:tc>
      </w:tr>
      <w:tr w:rsidR="009E492D" w14:paraId="530CAC71" w14:textId="77777777" w:rsidTr="006D2DD2">
        <w:trPr>
          <w:cantSplit/>
          <w:jc w:val="center"/>
        </w:trPr>
        <w:tc>
          <w:tcPr>
            <w:tcW w:w="1993" w:type="dxa"/>
            <w:tcBorders>
              <w:left w:val="single" w:sz="6" w:space="0" w:color="auto"/>
              <w:bottom w:val="single" w:sz="6" w:space="0" w:color="auto"/>
              <w:right w:val="single" w:sz="6" w:space="0" w:color="auto"/>
            </w:tcBorders>
          </w:tcPr>
          <w:p w14:paraId="3D426877" w14:textId="77777777" w:rsidR="009E492D" w:rsidRDefault="009E492D" w:rsidP="006D2DD2">
            <w:pPr>
              <w:pStyle w:val="TableText0"/>
              <w:keepNext w:val="0"/>
              <w:spacing w:before="80" w:after="80"/>
              <w:jc w:val="center"/>
            </w:pPr>
            <w:r>
              <w:br/>
            </w:r>
            <w:r>
              <w:br/>
            </w:r>
            <w:r>
              <w:br/>
              <w:t>Número de canales telefónicos, </w:t>
            </w:r>
            <w:r>
              <w:rPr>
                <w:i/>
              </w:rPr>
              <w:t>N</w:t>
            </w:r>
            <w:r>
              <w:rPr>
                <w:i/>
                <w:position w:val="-3"/>
                <w:sz w:val="14"/>
              </w:rPr>
              <w:t>c</w:t>
            </w:r>
          </w:p>
        </w:tc>
        <w:tc>
          <w:tcPr>
            <w:tcW w:w="3796" w:type="dxa"/>
            <w:tcBorders>
              <w:top w:val="single" w:sz="6" w:space="0" w:color="auto"/>
              <w:bottom w:val="single" w:sz="6" w:space="0" w:color="auto"/>
            </w:tcBorders>
          </w:tcPr>
          <w:p w14:paraId="37AE76C5" w14:textId="16724F7B" w:rsidR="009E492D" w:rsidRDefault="009E492D" w:rsidP="006D2DD2">
            <w:pPr>
              <w:pStyle w:val="TableText0"/>
              <w:keepNext w:val="0"/>
              <w:spacing w:before="80" w:after="80"/>
              <w:jc w:val="right"/>
            </w:pPr>
            <w:r>
              <w:br/>
            </w:r>
            <w:r w:rsidR="006D2DD2">
              <w:br/>
            </w:r>
            <w:r>
              <w:br/>
              <w:t xml:space="preserve">(Factor de cresta)  </w:t>
            </w:r>
            <w:r>
              <w:rPr>
                <w:rFonts w:ascii="Symbol" w:hAnsi="Symbol"/>
              </w:rPr>
              <w:t></w:t>
            </w:r>
            <w:r>
              <w:t xml:space="preserve">  antilog</w:t>
            </w:r>
          </w:p>
        </w:tc>
        <w:tc>
          <w:tcPr>
            <w:tcW w:w="3850" w:type="dxa"/>
            <w:tcBorders>
              <w:top w:val="single" w:sz="6" w:space="0" w:color="auto"/>
              <w:bottom w:val="single" w:sz="6" w:space="0" w:color="auto"/>
              <w:right w:val="single" w:sz="6" w:space="0" w:color="auto"/>
            </w:tcBorders>
          </w:tcPr>
          <w:p w14:paraId="3B0F3FBB" w14:textId="77777777" w:rsidR="009E492D" w:rsidRDefault="009E492D" w:rsidP="006D2DD2">
            <w:pPr>
              <w:pStyle w:val="TableText0"/>
              <w:keepNext w:val="0"/>
              <w:spacing w:before="80" w:after="80" w:line="240" w:lineRule="auto"/>
              <w:jc w:val="left"/>
            </w:pPr>
            <w:r>
              <w:fldChar w:fldCharType="begin"/>
            </w:r>
            <w:r>
              <w:instrText>eq \b\bc\[(\f(\a(Valor en dB por encima,del nivel de,modulación de referencia),20))</w:instrText>
            </w:r>
            <w:r>
              <w:fldChar w:fldCharType="end"/>
            </w:r>
          </w:p>
        </w:tc>
      </w:tr>
      <w:tr w:rsidR="006D2DD2" w14:paraId="24A24863" w14:textId="77777777" w:rsidTr="006D2DD2">
        <w:trPr>
          <w:cantSplit/>
          <w:jc w:val="center"/>
        </w:trPr>
        <w:tc>
          <w:tcPr>
            <w:tcW w:w="1993" w:type="dxa"/>
            <w:tcBorders>
              <w:top w:val="single" w:sz="6" w:space="0" w:color="auto"/>
              <w:left w:val="single" w:sz="6" w:space="0" w:color="auto"/>
              <w:bottom w:val="single" w:sz="6" w:space="0" w:color="auto"/>
              <w:right w:val="single" w:sz="6" w:space="0" w:color="auto"/>
            </w:tcBorders>
          </w:tcPr>
          <w:p w14:paraId="28405E24" w14:textId="77777777" w:rsidR="006D2DD2" w:rsidRDefault="006D2DD2" w:rsidP="006D2DD2">
            <w:pPr>
              <w:pStyle w:val="TableText0"/>
              <w:keepNext w:val="0"/>
              <w:spacing w:before="80" w:after="80"/>
              <w:jc w:val="center"/>
            </w:pPr>
            <w:r>
              <w:br/>
            </w:r>
            <w:r>
              <w:br/>
            </w:r>
            <w:r>
              <w:br/>
            </w:r>
            <w:r>
              <w:br/>
            </w:r>
            <w:r>
              <w:br/>
            </w:r>
            <w:r>
              <w:br/>
              <w:t xml:space="preserve">3  &lt;  </w:t>
            </w:r>
            <w:r>
              <w:rPr>
                <w:i/>
              </w:rPr>
              <w:t>N</w:t>
            </w:r>
            <w:r>
              <w:rPr>
                <w:i/>
                <w:position w:val="-3"/>
                <w:sz w:val="14"/>
              </w:rPr>
              <w:t>c</w:t>
            </w:r>
            <w:r>
              <w:rPr>
                <w:i/>
              </w:rPr>
              <w:t xml:space="preserve">  </w:t>
            </w:r>
            <w:r>
              <w:t>&lt;  12</w:t>
            </w:r>
          </w:p>
        </w:tc>
        <w:tc>
          <w:tcPr>
            <w:tcW w:w="7646" w:type="dxa"/>
            <w:gridSpan w:val="2"/>
            <w:tcBorders>
              <w:top w:val="single" w:sz="6" w:space="0" w:color="auto"/>
              <w:bottom w:val="single" w:sz="6" w:space="0" w:color="auto"/>
              <w:right w:val="single" w:sz="6" w:space="0" w:color="auto"/>
            </w:tcBorders>
          </w:tcPr>
          <w:p w14:paraId="67F45D0A" w14:textId="0C9354C3" w:rsidR="006D2DD2" w:rsidRDefault="006D2DD2" w:rsidP="006D2DD2">
            <w:pPr>
              <w:pStyle w:val="TableText0"/>
              <w:keepNext w:val="0"/>
              <w:spacing w:before="80" w:after="80" w:line="240" w:lineRule="auto"/>
              <w:jc w:val="center"/>
            </w:pPr>
            <w:r w:rsidRPr="006D2DD2">
              <w:rPr>
                <w:position w:val="-92"/>
                <w:lang w:val="en-GB"/>
              </w:rPr>
              <w:object w:dxaOrig="3900" w:dyaOrig="1920" w14:anchorId="4D149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3pt;height:95.75pt" o:ole="">
                  <v:imagedata r:id="rId20" o:title=""/>
                </v:shape>
                <o:OLEObject Type="Embed" ProgID="Equation.DSMT4" ShapeID="_x0000_i1025" DrawAspect="Content" ObjectID="_1800964060" r:id="rId21"/>
              </w:object>
            </w:r>
          </w:p>
        </w:tc>
      </w:tr>
      <w:tr w:rsidR="009E492D" w14:paraId="421ADEA9" w14:textId="77777777" w:rsidTr="006D2DD2">
        <w:trPr>
          <w:cantSplit/>
          <w:jc w:val="center"/>
        </w:trPr>
        <w:tc>
          <w:tcPr>
            <w:tcW w:w="1993" w:type="dxa"/>
            <w:tcBorders>
              <w:top w:val="single" w:sz="6" w:space="0" w:color="auto"/>
              <w:left w:val="single" w:sz="6" w:space="0" w:color="auto"/>
              <w:bottom w:val="single" w:sz="6" w:space="0" w:color="auto"/>
              <w:right w:val="single" w:sz="6" w:space="0" w:color="auto"/>
            </w:tcBorders>
          </w:tcPr>
          <w:p w14:paraId="00BFCC32" w14:textId="77777777" w:rsidR="009E492D" w:rsidRDefault="009E492D" w:rsidP="006D2DD2">
            <w:pPr>
              <w:pStyle w:val="TableText0"/>
              <w:keepNext w:val="0"/>
              <w:spacing w:before="80" w:after="80"/>
              <w:jc w:val="center"/>
            </w:pPr>
            <w:r>
              <w:t xml:space="preserve">12  </w:t>
            </w:r>
            <w:r>
              <w:rPr>
                <w:rFonts w:ascii="Symbol" w:hAnsi="Symbol"/>
              </w:rPr>
              <w:t></w:t>
            </w:r>
            <w:r>
              <w:t xml:space="preserve">  </w:t>
            </w:r>
            <w:r>
              <w:rPr>
                <w:i/>
              </w:rPr>
              <w:t>N</w:t>
            </w:r>
            <w:r>
              <w:rPr>
                <w:i/>
                <w:position w:val="-3"/>
                <w:sz w:val="14"/>
              </w:rPr>
              <w:t>c</w:t>
            </w:r>
            <w:r>
              <w:t xml:space="preserve">  &lt;  60</w:t>
            </w:r>
          </w:p>
        </w:tc>
        <w:tc>
          <w:tcPr>
            <w:tcW w:w="3796" w:type="dxa"/>
            <w:tcBorders>
              <w:top w:val="single" w:sz="6" w:space="0" w:color="auto"/>
              <w:bottom w:val="single" w:sz="6" w:space="0" w:color="auto"/>
            </w:tcBorders>
            <w:vAlign w:val="center"/>
          </w:tcPr>
          <w:p w14:paraId="59093F8D" w14:textId="77777777" w:rsidR="009E492D" w:rsidRDefault="009E492D" w:rsidP="006D2DD2">
            <w:pPr>
              <w:pStyle w:val="TableText0"/>
              <w:keepNext w:val="0"/>
              <w:spacing w:before="80" w:after="80"/>
              <w:jc w:val="right"/>
            </w:pPr>
            <w:r>
              <w:t xml:space="preserve">3,76  </w:t>
            </w:r>
            <w:r>
              <w:rPr>
                <w:rFonts w:ascii="Symbol" w:hAnsi="Symbol"/>
              </w:rPr>
              <w:t></w:t>
            </w:r>
            <w:r>
              <w:t xml:space="preserve">  antilog</w:t>
            </w:r>
          </w:p>
        </w:tc>
        <w:tc>
          <w:tcPr>
            <w:tcW w:w="3850" w:type="dxa"/>
            <w:tcBorders>
              <w:top w:val="single" w:sz="6" w:space="0" w:color="auto"/>
              <w:bottom w:val="single" w:sz="6" w:space="0" w:color="auto"/>
              <w:right w:val="single" w:sz="6" w:space="0" w:color="auto"/>
            </w:tcBorders>
          </w:tcPr>
          <w:p w14:paraId="52D7F690" w14:textId="77777777" w:rsidR="009E492D" w:rsidRDefault="009E492D" w:rsidP="006D2DD2">
            <w:pPr>
              <w:pStyle w:val="TableText0"/>
              <w:keepNext w:val="0"/>
              <w:spacing w:before="80" w:after="80" w:line="240" w:lineRule="auto"/>
              <w:jc w:val="left"/>
            </w:pPr>
            <w:r>
              <w:fldChar w:fldCharType="begin"/>
            </w:r>
            <w:r>
              <w:instrText xml:space="preserve">eq \b\bc\[(\f(2\,6  +  2 log </w:instrText>
            </w:r>
            <w:r>
              <w:rPr>
                <w:i/>
              </w:rPr>
              <w:instrText>N</w:instrText>
            </w:r>
            <w:r>
              <w:rPr>
                <w:i/>
                <w:position w:val="-3"/>
                <w:sz w:val="14"/>
              </w:rPr>
              <w:instrText>c</w:instrText>
            </w:r>
            <w:r>
              <w:instrText>\s\do3(),20))</w:instrText>
            </w:r>
            <w:r>
              <w:fldChar w:fldCharType="end"/>
            </w:r>
          </w:p>
        </w:tc>
      </w:tr>
      <w:tr w:rsidR="009E492D" w14:paraId="05E877C2" w14:textId="77777777" w:rsidTr="006D2DD2">
        <w:trPr>
          <w:cantSplit/>
          <w:jc w:val="center"/>
        </w:trPr>
        <w:tc>
          <w:tcPr>
            <w:tcW w:w="1993" w:type="dxa"/>
            <w:tcBorders>
              <w:top w:val="single" w:sz="6" w:space="0" w:color="auto"/>
              <w:left w:val="single" w:sz="6" w:space="0" w:color="auto"/>
              <w:bottom w:val="single" w:sz="6" w:space="0" w:color="auto"/>
              <w:right w:val="single" w:sz="6" w:space="0" w:color="auto"/>
            </w:tcBorders>
          </w:tcPr>
          <w:p w14:paraId="1BDCC5E6" w14:textId="77777777" w:rsidR="009E492D" w:rsidRDefault="009E492D" w:rsidP="006D2DD2">
            <w:pPr>
              <w:pStyle w:val="TableText0"/>
              <w:keepNext w:val="0"/>
              <w:spacing w:before="80" w:after="80"/>
              <w:ind w:left="-17" w:right="-17"/>
              <w:jc w:val="center"/>
            </w:pPr>
            <w:r>
              <w:t xml:space="preserve">60  </w:t>
            </w:r>
            <w:r>
              <w:rPr>
                <w:rFonts w:ascii="Symbol" w:hAnsi="Symbol"/>
              </w:rPr>
              <w:t></w:t>
            </w:r>
            <w:r>
              <w:t xml:space="preserve">  </w:t>
            </w:r>
            <w:r>
              <w:rPr>
                <w:i/>
              </w:rPr>
              <w:t>N</w:t>
            </w:r>
            <w:r>
              <w:rPr>
                <w:i/>
                <w:position w:val="-3"/>
                <w:sz w:val="14"/>
              </w:rPr>
              <w:t>c</w:t>
            </w:r>
            <w:r>
              <w:t xml:space="preserve">  &lt;  240</w:t>
            </w:r>
          </w:p>
        </w:tc>
        <w:tc>
          <w:tcPr>
            <w:tcW w:w="3796" w:type="dxa"/>
            <w:tcBorders>
              <w:top w:val="single" w:sz="6" w:space="0" w:color="auto"/>
              <w:bottom w:val="single" w:sz="6" w:space="0" w:color="auto"/>
            </w:tcBorders>
            <w:vAlign w:val="center"/>
          </w:tcPr>
          <w:p w14:paraId="7FA0CD7C" w14:textId="77777777" w:rsidR="009E492D" w:rsidRDefault="009E492D" w:rsidP="006D2DD2">
            <w:pPr>
              <w:pStyle w:val="TableText0"/>
              <w:keepNext w:val="0"/>
              <w:spacing w:before="80" w:after="80"/>
              <w:jc w:val="right"/>
            </w:pPr>
            <w:r>
              <w:t xml:space="preserve">3,76  </w:t>
            </w:r>
            <w:r>
              <w:rPr>
                <w:rFonts w:ascii="Symbol" w:hAnsi="Symbol"/>
              </w:rPr>
              <w:t></w:t>
            </w:r>
            <w:r>
              <w:t xml:space="preserve">  antilog</w:t>
            </w:r>
          </w:p>
        </w:tc>
        <w:tc>
          <w:tcPr>
            <w:tcW w:w="3850" w:type="dxa"/>
            <w:tcBorders>
              <w:top w:val="single" w:sz="6" w:space="0" w:color="auto"/>
              <w:bottom w:val="single" w:sz="6" w:space="0" w:color="auto"/>
              <w:right w:val="single" w:sz="6" w:space="0" w:color="auto"/>
            </w:tcBorders>
          </w:tcPr>
          <w:p w14:paraId="56F81272" w14:textId="77777777" w:rsidR="009E492D" w:rsidRDefault="009E492D" w:rsidP="006D2DD2">
            <w:pPr>
              <w:pStyle w:val="TableText0"/>
              <w:keepNext w:val="0"/>
              <w:spacing w:before="80" w:after="80" w:line="240" w:lineRule="auto"/>
              <w:jc w:val="left"/>
            </w:pPr>
            <w:r>
              <w:fldChar w:fldCharType="begin"/>
            </w:r>
            <w:r>
              <w:instrText xml:space="preserve">eq \b\bc\[(\f(–1  +  4 log </w:instrText>
            </w:r>
            <w:r>
              <w:rPr>
                <w:i/>
              </w:rPr>
              <w:instrText>N</w:instrText>
            </w:r>
            <w:r>
              <w:rPr>
                <w:i/>
                <w:position w:val="-3"/>
                <w:sz w:val="14"/>
              </w:rPr>
              <w:instrText>c</w:instrText>
            </w:r>
            <w:r>
              <w:instrText>\s\do3(),20))</w:instrText>
            </w:r>
            <w:r>
              <w:fldChar w:fldCharType="end"/>
            </w:r>
          </w:p>
        </w:tc>
      </w:tr>
      <w:tr w:rsidR="009E492D" w14:paraId="57F7A062" w14:textId="77777777" w:rsidTr="006D2DD2">
        <w:trPr>
          <w:cantSplit/>
          <w:jc w:val="center"/>
        </w:trPr>
        <w:tc>
          <w:tcPr>
            <w:tcW w:w="1993" w:type="dxa"/>
            <w:tcBorders>
              <w:top w:val="single" w:sz="6" w:space="0" w:color="auto"/>
              <w:left w:val="single" w:sz="6" w:space="0" w:color="auto"/>
              <w:bottom w:val="single" w:sz="6" w:space="0" w:color="auto"/>
              <w:right w:val="single" w:sz="6" w:space="0" w:color="auto"/>
            </w:tcBorders>
          </w:tcPr>
          <w:p w14:paraId="424706DF" w14:textId="77777777" w:rsidR="009E492D" w:rsidRDefault="009E492D" w:rsidP="006D2DD2">
            <w:pPr>
              <w:pStyle w:val="TableText0"/>
              <w:keepNext w:val="0"/>
              <w:spacing w:before="80" w:after="80"/>
              <w:jc w:val="center"/>
            </w:pPr>
            <w:r>
              <w:rPr>
                <w:i/>
              </w:rPr>
              <w:t>N</w:t>
            </w:r>
            <w:r>
              <w:rPr>
                <w:i/>
                <w:position w:val="-3"/>
                <w:sz w:val="14"/>
              </w:rPr>
              <w:t>c</w:t>
            </w:r>
            <w:r>
              <w:t xml:space="preserve">  </w:t>
            </w:r>
            <w:r>
              <w:rPr>
                <w:rFonts w:ascii="Symbol" w:hAnsi="Symbol"/>
              </w:rPr>
              <w:t></w:t>
            </w:r>
            <w:r>
              <w:t xml:space="preserve">  240</w:t>
            </w:r>
          </w:p>
        </w:tc>
        <w:tc>
          <w:tcPr>
            <w:tcW w:w="3796" w:type="dxa"/>
            <w:tcBorders>
              <w:top w:val="single" w:sz="6" w:space="0" w:color="auto"/>
              <w:bottom w:val="single" w:sz="6" w:space="0" w:color="auto"/>
            </w:tcBorders>
            <w:vAlign w:val="center"/>
          </w:tcPr>
          <w:p w14:paraId="39DF7819" w14:textId="77777777" w:rsidR="009E492D" w:rsidRDefault="009E492D" w:rsidP="006D2DD2">
            <w:pPr>
              <w:pStyle w:val="TableText0"/>
              <w:keepNext w:val="0"/>
              <w:spacing w:before="80" w:after="80"/>
              <w:jc w:val="right"/>
            </w:pPr>
            <w:r>
              <w:t xml:space="preserve">3,76  </w:t>
            </w:r>
            <w:r>
              <w:rPr>
                <w:rFonts w:ascii="Symbol" w:hAnsi="Symbol"/>
              </w:rPr>
              <w:t></w:t>
            </w:r>
            <w:r>
              <w:t xml:space="preserve">  antilog</w:t>
            </w:r>
          </w:p>
        </w:tc>
        <w:tc>
          <w:tcPr>
            <w:tcW w:w="3850" w:type="dxa"/>
            <w:tcBorders>
              <w:top w:val="single" w:sz="6" w:space="0" w:color="auto"/>
              <w:bottom w:val="single" w:sz="6" w:space="0" w:color="auto"/>
              <w:right w:val="single" w:sz="6" w:space="0" w:color="auto"/>
            </w:tcBorders>
          </w:tcPr>
          <w:p w14:paraId="4D0F1DD0" w14:textId="77777777" w:rsidR="009E492D" w:rsidRDefault="009E492D" w:rsidP="006D2DD2">
            <w:pPr>
              <w:pStyle w:val="TableText0"/>
              <w:keepNext w:val="0"/>
              <w:spacing w:before="80" w:after="80" w:line="240" w:lineRule="auto"/>
              <w:jc w:val="left"/>
            </w:pPr>
            <w:r>
              <w:fldChar w:fldCharType="begin"/>
            </w:r>
            <w:r>
              <w:instrText xml:space="preserve">eq \b\bc\[(\f(–15  +  10 log </w:instrText>
            </w:r>
            <w:r>
              <w:rPr>
                <w:i/>
              </w:rPr>
              <w:instrText>N</w:instrText>
            </w:r>
            <w:r>
              <w:rPr>
                <w:i/>
                <w:position w:val="-3"/>
                <w:sz w:val="14"/>
              </w:rPr>
              <w:instrText>c</w:instrText>
            </w:r>
            <w:r>
              <w:instrText>\s\do3(),20))</w:instrText>
            </w:r>
            <w:r>
              <w:fldChar w:fldCharType="end"/>
            </w:r>
          </w:p>
        </w:tc>
      </w:tr>
      <w:tr w:rsidR="009E492D" w14:paraId="4F31AC81" w14:textId="77777777" w:rsidTr="006D2DD2">
        <w:trPr>
          <w:cantSplit/>
          <w:jc w:val="center"/>
        </w:trPr>
        <w:tc>
          <w:tcPr>
            <w:tcW w:w="9639" w:type="dxa"/>
            <w:gridSpan w:val="3"/>
            <w:tcBorders>
              <w:top w:val="single" w:sz="6" w:space="0" w:color="auto"/>
            </w:tcBorders>
          </w:tcPr>
          <w:p w14:paraId="51D0B80D" w14:textId="284C0434" w:rsidR="009E492D" w:rsidRDefault="009E492D" w:rsidP="006D2DD2">
            <w:pPr>
              <w:pStyle w:val="TableLegend0"/>
              <w:tabs>
                <w:tab w:val="clear" w:pos="794"/>
                <w:tab w:val="clear" w:pos="1191"/>
                <w:tab w:val="clear" w:pos="1588"/>
                <w:tab w:val="clear" w:pos="1985"/>
                <w:tab w:val="left" w:pos="340"/>
              </w:tabs>
              <w:ind w:left="187" w:hanging="272"/>
            </w:pPr>
            <w:r>
              <w:rPr>
                <w:position w:val="6"/>
                <w:sz w:val="14"/>
              </w:rPr>
              <w:t>(1)</w:t>
            </w:r>
            <w:r>
              <w:tab/>
              <w:t>En este Cuadro, los factores de multiplicación 3,76 y 4,47 corresponden a factores de cresta de 11,5 dB y</w:t>
            </w:r>
            <w:r w:rsidR="009D74F5">
              <w:t> </w:t>
            </w:r>
            <w:r>
              <w:t>13,0 dB respectivamente.</w:t>
            </w:r>
          </w:p>
        </w:tc>
      </w:tr>
    </w:tbl>
    <w:p w14:paraId="3FB3AC47" w14:textId="77777777" w:rsidR="009E492D" w:rsidRPr="009E492D" w:rsidRDefault="009E492D" w:rsidP="009E492D">
      <w:pPr>
        <w:pStyle w:val="Tablefin"/>
        <w:rPr>
          <w:lang w:val="es-ES"/>
        </w:rPr>
      </w:pPr>
    </w:p>
    <w:p w14:paraId="6AFF27E7" w14:textId="77777777" w:rsidR="009E492D" w:rsidRDefault="009E492D" w:rsidP="009E492D">
      <w:r>
        <w:lastRenderedPageBreak/>
        <w:t>En 1975 y en 1976, se realizaron ulteriores mediciones de la potencia de la señal de conversación en los mismos circuitos y redes, utilizando una metodología similar, para permitir de esta forma realizar una comparación directa de los resultados con los del trabajo anterior. Desde aquel momento, se han estado estudiando las últimas mediciones tanto en el sector de la industria como del gobierno, llevando finalmente a ciertas modificaciones en las aplicaciones domésticas típicas en las redes telefónicas públicas conmutadas.</w:t>
      </w:r>
    </w:p>
    <w:p w14:paraId="59AAC586" w14:textId="4C765F1F" w:rsidR="009E492D" w:rsidRDefault="009E492D" w:rsidP="009E492D">
      <w:r>
        <w:t>Para resumir el estudio de 1975-1976, que incluía las razones por las cuales se habían producido las diferencias respecto del estudio anterior, se encontró que a lo largo del tiempo se habían acumulado variaciones substanciales hasta producir un decrecimiento medio en el nivel real de la potencia media de la persona que habla de aproximadamente 4,6 dB. Las variaciones habían tendido a aumentar la uniformidad del servicio en las redes conmutadas públicas desde el punto de vista de los volúmenes de conversación. Estas incluyen una disminución en la proporción de sistemas interurbanos con baterías, mejoras de los planes de atenuación, aparatos telefónicos actualizados y un aumento de las conexiones directas. La marcación directa se ha transformado en una práctica normal con nuevas técnicas puestas en práctica para el diseño de los bucles y de los enlaces. Además una tecnología avanzada de adquisición digital de datos facilitó las mediciones durante el periodo 1975-1976 de la potencia de señal de conversación con una precisión mayor de lo que era posible en 1960 cuando para este análisis se utilizaron medidores de unidad de volumen (VU – volume unit). Se redujo la desviación típica de todas las mediciones entre los estudios de 1960 y de 1975-1976 en un valor medio próximo a 1/3, desde 7 a 4,6 VU. Se utilizó un esquema de muestreo estadístico multietapa (extremo próximo y extremo distante) de las mediciones de la potencia de la persona que habla en más de 10</w:t>
      </w:r>
      <w:r>
        <w:rPr>
          <w:sz w:val="12"/>
        </w:rPr>
        <w:t> </w:t>
      </w:r>
      <w:r>
        <w:t>000 llamadas, procedentes de aproximadamente 2</w:t>
      </w:r>
      <w:r>
        <w:rPr>
          <w:sz w:val="12"/>
        </w:rPr>
        <w:t> </w:t>
      </w:r>
      <w:r>
        <w:t>500 bucles. La potencia media de la señal de conversación (promediada a lo largo del intervalo completo de observación), y una nueva medida del nivel de la palabra, conocida como el nivel de cresta equivalente, fueron las medidas utilizadas para caracterizar las señales de la persona que habla. Como parte del estudio de 1975</w:t>
      </w:r>
      <w:r>
        <w:noBreakHyphen/>
        <w:t>1976 se registraron la corriente c.c. de bucle, la clase de servicio, el tipo de conmutador y el destino de la llamada.</w:t>
      </w:r>
    </w:p>
    <w:p w14:paraId="07688238" w14:textId="45ABEBC9" w:rsidR="009E492D" w:rsidRDefault="009E492D" w:rsidP="009E492D">
      <w:pPr>
        <w:pStyle w:val="Note"/>
      </w:pPr>
      <w:r>
        <w:t>NOTA 2 – La VU constituye una manera de medir el nivel de la palabra con un indicador del nivel de potencia calibrado en términos de dB para un voltaje sinusoidal permanente, tomando como referencia 1 mW sobre</w:t>
      </w:r>
      <w:r w:rsidR="00C73585">
        <w:t> </w:t>
      </w:r>
      <w:r>
        <w:t>600 </w:t>
      </w:r>
      <w:r>
        <w:rPr>
          <w:rFonts w:ascii="Symbol" w:hAnsi="Symbol"/>
        </w:rPr>
        <w:t></w:t>
      </w:r>
      <w:r>
        <w:t>. La respuesta del indicador no está ponderada en frecuencia. Las lecturas del VU son valores medios conseguidos mediante un conjunto determinado de características (mecánicas) del medidor balístico.</w:t>
      </w:r>
    </w:p>
    <w:p w14:paraId="4F585E55" w14:textId="77777777" w:rsidR="009E492D" w:rsidRDefault="009E492D" w:rsidP="009E492D">
      <w:r>
        <w:t>El último estudio indicaba que con los sistemas de las redes conmutadas públicas (1975 y 1976), existía una baja dependencia de la potencia de la señal de conversación respecto del destino de la llamada o de la clase de servicio que originaba la llamada (residencial, negocios, local, interurbano y combinado). Las pequeñas diferencias se explican en su mayor parte por las características del bucle. Existe una pequeña variación, si la hay, en la potencia de la señal de conversación atribuida, por las conclusiones del estudio, a factores sicológicos como la distancia de la llamada o la percepción del volumen recibido. Los valores medios medidos indican que la red conmutada de telecomunicaciones de 1975</w:t>
      </w:r>
      <w:r>
        <w:noBreakHyphen/>
        <w:t>1976 era esencialmente transparente a los usuarios en el sentido de que se puso de manifiesto que la señal de la persona que hablaba era insensible a la distancia de la llamada, a la clasificación de llamada local o interurbana, o a otros factores que eran ajenos a las circunstancias del bucle local. En resumen, se cree que las últimas mediciones del «nivel telefónico de la persona que habla» indican los mismos niveles normales de conversación de la población cuando ésta no utiliza el teléfono. Se concluye que es de esperar que en el futuro se produzcan pocos cambios o ninguno en el nivel representativo de la persona que habla en la red telefónica pública conmutada donde se tomaron las medidas. En consecuencia, debería tener en cuenta este hecho en un examen de las fórmulas del ancho de banda necesario para los sistemas MDF-MF donde la conversación telefónica constituye una parte significativa del circuito total de MDF</w:t>
      </w:r>
      <w:r>
        <w:noBreakHyphen/>
        <w:t>MF.</w:t>
      </w:r>
    </w:p>
    <w:p w14:paraId="0C27C15E" w14:textId="06879CF1" w:rsidR="009E492D" w:rsidRDefault="009E492D" w:rsidP="00DE5E02">
      <w:pPr>
        <w:keepNext/>
        <w:keepLines/>
      </w:pPr>
      <w:r>
        <w:lastRenderedPageBreak/>
        <w:t>En la fórmula para obtener</w:t>
      </w:r>
      <w:r>
        <w:rPr>
          <w:i/>
        </w:rPr>
        <w:t xml:space="preserve"> B</w:t>
      </w:r>
      <w:r>
        <w:rPr>
          <w:i/>
          <w:position w:val="-3"/>
          <w:sz w:val="16"/>
        </w:rPr>
        <w:t>n</w:t>
      </w:r>
      <w:r>
        <w:t xml:space="preserve"> que figura en el Cuadro 3, los tres factores 2,6, </w:t>
      </w:r>
      <w:r w:rsidR="007D051F">
        <w:t>−</w:t>
      </w:r>
      <w:r>
        <w:t xml:space="preserve">1 y </w:t>
      </w:r>
      <w:r w:rsidR="007D051F">
        <w:t>−</w:t>
      </w:r>
      <w:r>
        <w:t>15 son componentes del factor multiplicativo utilizado para determinar</w:t>
      </w:r>
      <w:r>
        <w:rPr>
          <w:i/>
        </w:rPr>
        <w:t xml:space="preserve"> D</w:t>
      </w:r>
      <w:r>
        <w:t>, o la excursión de frecuencia de cresta. Las consecuencias de una reducción en la potencia del abonado que habla en el circuito telefónico que alimenta un circuito radioeléctrico de MDF-MF se traducen en una excursión de cresta menor. Existen tres parámetros independientes que determinan la desviación de cresta de una señal de MF, todos ellos están restringidos por el diseño del sistema de forma a limitar su valor máximo de manera que</w:t>
      </w:r>
      <w:r>
        <w:rPr>
          <w:i/>
        </w:rPr>
        <w:t xml:space="preserve"> D</w:t>
      </w:r>
      <w:r>
        <w:t xml:space="preserve"> no exceda un valor predeterminado (en los sistemas MDF-MF). Estos parámetros son:</w:t>
      </w:r>
    </w:p>
    <w:p w14:paraId="6C31E87F" w14:textId="15933CBB" w:rsidR="009E492D" w:rsidRDefault="009E492D" w:rsidP="009E492D">
      <w:pPr>
        <w:pStyle w:val="enumlev1"/>
      </w:pPr>
      <w:r>
        <w:t>–</w:t>
      </w:r>
      <w:r>
        <w:tab/>
        <w:t>el valor medio cuadrático de la excursión por canal</w:t>
      </w:r>
      <w:r w:rsidR="007D051F">
        <w:t>;</w:t>
      </w:r>
    </w:p>
    <w:p w14:paraId="51B13690" w14:textId="1E97F6FE" w:rsidR="009E492D" w:rsidRDefault="009E492D" w:rsidP="009E492D">
      <w:pPr>
        <w:pStyle w:val="enumlev1"/>
      </w:pPr>
      <w:r>
        <w:t>–</w:t>
      </w:r>
      <w:r>
        <w:tab/>
        <w:t>el valor medio de la potencia en un canal de mensajes</w:t>
      </w:r>
      <w:r w:rsidR="007D051F">
        <w:t>;</w:t>
      </w:r>
    </w:p>
    <w:p w14:paraId="168717D8" w14:textId="77777777" w:rsidR="009E492D" w:rsidRDefault="009E492D" w:rsidP="009E492D">
      <w:pPr>
        <w:pStyle w:val="enumlev1"/>
      </w:pPr>
      <w:r>
        <w:t>–</w:t>
      </w:r>
      <w:r>
        <w:tab/>
        <w:t>el número total de canales en la carga de mensajes multiplexados.</w:t>
      </w:r>
    </w:p>
    <w:p w14:paraId="57AA71AA" w14:textId="24027104" w:rsidR="009E492D" w:rsidRDefault="009E492D" w:rsidP="009E492D">
      <w:r>
        <w:t>Si se reduce la potencia media de las señales vocales, como se ha indicado en el estudio de 1975</w:t>
      </w:r>
      <w:r w:rsidR="001647B2">
        <w:noBreakHyphen/>
      </w:r>
      <w:r>
        <w:t>1976, podría establecerse un compromiso con los otros dos parámetros, de la manera siguiente:</w:t>
      </w:r>
    </w:p>
    <w:p w14:paraId="40D76970" w14:textId="134A9C62" w:rsidR="009E492D" w:rsidRDefault="009E492D" w:rsidP="009E492D">
      <w:pPr>
        <w:pStyle w:val="enumlev1"/>
      </w:pPr>
      <w:r>
        <w:t>–</w:t>
      </w:r>
      <w:r>
        <w:tab/>
        <w:t>aumentando el número de canales en el mismo ancho de banda necesario</w:t>
      </w:r>
      <w:r w:rsidR="007D051F">
        <w:t>;</w:t>
      </w:r>
    </w:p>
    <w:p w14:paraId="22F4CFFF" w14:textId="673ACB9D" w:rsidR="009E492D" w:rsidRDefault="009E492D" w:rsidP="009E492D">
      <w:pPr>
        <w:pStyle w:val="enumlev1"/>
      </w:pPr>
      <w:r>
        <w:t>–</w:t>
      </w:r>
      <w:r>
        <w:tab/>
        <w:t>consiguiendo un mejor aprovechamiento del espectro mediante la reducción del ancho de banda para el mismo número de canales</w:t>
      </w:r>
      <w:r w:rsidR="007D051F">
        <w:t>;</w:t>
      </w:r>
    </w:p>
    <w:p w14:paraId="24DC291A" w14:textId="77777777" w:rsidR="009E492D" w:rsidRDefault="009E492D" w:rsidP="009E492D">
      <w:pPr>
        <w:pStyle w:val="enumlev1"/>
      </w:pPr>
      <w:r>
        <w:t>–</w:t>
      </w:r>
      <w:r>
        <w:tab/>
        <w:t>mediante una combinación de ambos métodos.</w:t>
      </w:r>
    </w:p>
    <w:p w14:paraId="2D219E84" w14:textId="63B9A516" w:rsidR="009E492D" w:rsidRDefault="009E492D" w:rsidP="009E492D">
      <w:r>
        <w:t>Por ejemplo, en los sistemas que utilizan canales de 4 kHz para mensajes de tipo vocal, la relación entre el tráfico de datos y el telefónico puede variar. Un usuario puede permanecer dentro del ancho de banda de radiofrecuencia (RF) especificada y seleccionar después un nivel medio de potencia del canal de mensajes, que podría utilizarse para lograr un compromiso entre el incremento del número de canales de mensaje y la excursión de frecuencia de cada uno. Para una relación dada entre el tráfico de datos y el tráfico telefónico, un usuario puede creer que un aumento demasiado grande en el número de canales de mensajes de 4 kHz reduciría la excursión por canal hasta un punto en que la calidad de la señal se degradaría. Sin embargo, puede seleccionarse un nivel medio de la potencia del canal de mensajes, que, manteniendo el ancho de banda de RF especificado, permita algún aumento del número de canales de mensaje, dejando lugar aun para un incremento proporcionado de la excursión de frecuencia de cada uno de los canales. Mediante este método, en vez de utilizar todo el espectro disponible para obtener el máximo número de canales de mensaje, podría lograrse un incremento del valor de la excursión por canal, que proporcionaría un aumento de la relación señal/ruido con una probable reducción de la BER en el tráfico de datos.</w:t>
      </w:r>
    </w:p>
    <w:p w14:paraId="7DCB0025" w14:textId="77777777" w:rsidR="009E492D" w:rsidRDefault="009E492D" w:rsidP="009E492D">
      <w:r>
        <w:t>Por tanto, puede proyectarse un sistema de microondas en el que para el parámetro del nivel medio de la potencia del canal de mensaje se elija entre el nivel utilizado en las ecuaciones actualmente y un nivel 4,6 dB inferior. Existen razones válidas para variar (es decir, aumentar) los otros parámetros disponibles en el sistema cuando se reduce el nivel medio de la potencia del canal de mensaje (potencia de la persona que habla). Sin embargo una decisión de esta índole es apropiada se tome por las empresas de transmisión (o los gobiernos) correspondientes, para tener en cuenta las ventajas e inconvenientes de los diferentes compromisos.</w:t>
      </w:r>
    </w:p>
    <w:p w14:paraId="6FD1959B" w14:textId="0850EEA2" w:rsidR="009E492D" w:rsidRDefault="009E492D" w:rsidP="009E492D">
      <w:r>
        <w:t xml:space="preserve">El punto importante aquí es el reconocimiento del nivel medio de la «potencia de la persona que habla» modificado. Para tener en cuenta la disminución de 4,6 dB del valor medio de la «potencia de la persona que habla» en los circuitos de conversación telefónica, típicamente los valores de 2,6, </w:t>
      </w:r>
      <w:r w:rsidR="007D051F">
        <w:t>−</w:t>
      </w:r>
      <w:r>
        <w:t xml:space="preserve">1, y </w:t>
      </w:r>
      <w:r w:rsidR="007D051F">
        <w:t>−</w:t>
      </w:r>
      <w:r>
        <w:t xml:space="preserve">15 son reemplazados por la variable </w:t>
      </w:r>
      <w:r>
        <w:rPr>
          <w:i/>
        </w:rPr>
        <w:t>X</w:t>
      </w:r>
      <w:r>
        <w:t xml:space="preserve"> que puede oscilar entre unos límites comprendidos entre los valores actuales y los correspondientes valores 4,6 dB inferiores, dependiendo del número total de circuitos del sistema MDF-MF, y la composición del propio sistema.</w:t>
      </w:r>
    </w:p>
    <w:p w14:paraId="56655969" w14:textId="77777777" w:rsidR="009E492D" w:rsidRDefault="009E492D" w:rsidP="007D051F">
      <w:pPr>
        <w:keepNext/>
        <w:keepLines/>
      </w:pPr>
      <w:r>
        <w:lastRenderedPageBreak/>
        <w:t xml:space="preserve">Así pues, el ancho de banda necesario, </w:t>
      </w:r>
      <w:r>
        <w:rPr>
          <w:i/>
        </w:rPr>
        <w:t>B</w:t>
      </w:r>
      <w:r>
        <w:rPr>
          <w:i/>
          <w:position w:val="-3"/>
          <w:sz w:val="16"/>
        </w:rPr>
        <w:t>n</w:t>
      </w:r>
      <w:r>
        <w:t>, viene dado por:</w:t>
      </w:r>
    </w:p>
    <w:p w14:paraId="798D9F77" w14:textId="34E5AD3A" w:rsidR="007D051F" w:rsidRDefault="008571A8" w:rsidP="007D051F">
      <w:pPr>
        <w:pStyle w:val="Equation"/>
        <w:keepNext/>
        <w:keepLines/>
      </w:pPr>
      <m:oMathPara>
        <m:oMath>
          <m:sSub>
            <m:sSubPr>
              <m:ctrlPr>
                <w:rPr>
                  <w:rFonts w:ascii="Cambria Math" w:hAnsi="Cambria Math"/>
                </w:rPr>
              </m:ctrlPr>
            </m:sSubPr>
            <m:e>
              <m:r>
                <w:rPr>
                  <w:rFonts w:ascii="Cambria Math" w:hAnsi="Cambria Math"/>
                </w:rPr>
                <m:t>B</m:t>
              </m:r>
            </m:e>
            <m:sub>
              <m:r>
                <w:rPr>
                  <w:rFonts w:ascii="Cambria Math" w:hAnsi="Cambria Math"/>
                </w:rPr>
                <m:t>n</m:t>
              </m:r>
            </m:sub>
          </m:sSub>
          <m:r>
            <m:rPr>
              <m:sty m:val="p"/>
            </m:rPr>
            <w:rPr>
              <w:rFonts w:ascii="Cambria Math" w:hAnsi="Cambria Math"/>
            </w:rPr>
            <m:t>=2</m:t>
          </m:r>
          <m:r>
            <w:rPr>
              <w:rFonts w:ascii="Cambria Math" w:hAnsi="Cambria Math"/>
            </w:rPr>
            <m:t>M</m:t>
          </m:r>
          <m:r>
            <m:rPr>
              <m:sty m:val="p"/>
            </m:rPr>
            <w:rPr>
              <w:rFonts w:ascii="Cambria Math" w:hAnsi="Cambria Math"/>
            </w:rPr>
            <m:t>+2</m:t>
          </m:r>
          <m:d>
            <m:dPr>
              <m:begChr m:val="["/>
              <m:endChr m:val="]"/>
              <m:ctrlPr>
                <w:rPr>
                  <w:rFonts w:ascii="Cambria Math" w:hAnsi="Cambria Math"/>
                </w:rPr>
              </m:ctrlPr>
            </m:dPr>
            <m:e>
              <m:r>
                <w:rPr>
                  <w:rFonts w:ascii="Cambria Math" w:hAnsi="Cambria Math"/>
                </w:rPr>
                <m:t>d</m:t>
              </m:r>
              <m:r>
                <m:rPr>
                  <m:sty m:val="p"/>
                </m:rPr>
                <w:rPr>
                  <w:rFonts w:ascii="Cambria Math" w:hAnsi="Cambria Math"/>
                </w:rPr>
                <m:t>×3,76×</m:t>
              </m:r>
              <m:func>
                <m:funcPr>
                  <m:ctrlPr>
                    <w:rPr>
                      <w:rFonts w:ascii="Cambria Math" w:hAnsi="Cambria Math"/>
                    </w:rPr>
                  </m:ctrlPr>
                </m:funcPr>
                <m:fName>
                  <m:r>
                    <m:rPr>
                      <m:sty m:val="p"/>
                    </m:rPr>
                    <w:rPr>
                      <w:rFonts w:ascii="Cambria Math" w:hAnsi="Cambria Math"/>
                    </w:rPr>
                    <m:t>antilog</m:t>
                  </m:r>
                </m:fName>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Y</m:t>
                          </m:r>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w:rPr>
                                      <w:rFonts w:ascii="Cambria Math" w:hAnsi="Cambria Math"/>
                                    </w:rPr>
                                    <m:t>N</m:t>
                                  </m:r>
                                </m:e>
                                <m:sub>
                                  <m:r>
                                    <w:rPr>
                                      <w:rFonts w:ascii="Cambria Math" w:hAnsi="Cambria Math"/>
                                    </w:rPr>
                                    <m:t>c</m:t>
                                  </m:r>
                                </m:sub>
                              </m:sSub>
                            </m:e>
                          </m:func>
                        </m:num>
                        <m:den>
                          <m:r>
                            <m:rPr>
                              <m:sty m:val="p"/>
                            </m:rPr>
                            <w:rPr>
                              <w:rFonts w:ascii="Cambria Math" w:hAnsi="Cambria Math"/>
                            </w:rPr>
                            <m:t>20</m:t>
                          </m:r>
                        </m:den>
                      </m:f>
                    </m:e>
                  </m:d>
                </m:e>
              </m:func>
            </m:e>
          </m:d>
          <m:r>
            <w:rPr>
              <w:rFonts w:ascii="Cambria Math" w:hAnsi="Cambria Math"/>
            </w:rPr>
            <m:t>K</m:t>
          </m:r>
        </m:oMath>
      </m:oMathPara>
    </w:p>
    <w:p w14:paraId="460568A9" w14:textId="77777777" w:rsidR="009E492D" w:rsidRDefault="009E492D" w:rsidP="007D051F">
      <w:pPr>
        <w:keepNext/>
        <w:keepLines/>
      </w:pPr>
      <w:r>
        <w:t>donde:</w:t>
      </w:r>
    </w:p>
    <w:p w14:paraId="588D015F" w14:textId="77777777" w:rsidR="009E492D" w:rsidRDefault="009E492D" w:rsidP="007D051F">
      <w:pPr>
        <w:pStyle w:val="Equationlegend"/>
      </w:pPr>
      <w:r>
        <w:rPr>
          <w:i/>
        </w:rPr>
        <w:tab/>
        <w:t>M</w:t>
      </w:r>
      <w:r>
        <w:rPr>
          <w:rFonts w:ascii="Tms Rmn" w:hAnsi="Tms Rmn"/>
          <w:sz w:val="12"/>
        </w:rPr>
        <w:t> </w:t>
      </w:r>
      <w:r>
        <w:t>:</w:t>
      </w:r>
      <w:r>
        <w:tab/>
        <w:t xml:space="preserve">frecuencia máxima de modulación (Hz) </w:t>
      </w:r>
    </w:p>
    <w:p w14:paraId="347A7B85" w14:textId="77777777" w:rsidR="009E492D" w:rsidRDefault="009E492D" w:rsidP="007D051F">
      <w:pPr>
        <w:pStyle w:val="Equationlegend"/>
      </w:pPr>
      <w:r>
        <w:rPr>
          <w:i/>
        </w:rPr>
        <w:tab/>
        <w:t>d</w:t>
      </w:r>
      <w:r>
        <w:rPr>
          <w:rFonts w:ascii="Tms Rmn" w:hAnsi="Tms Rmn"/>
          <w:sz w:val="12"/>
        </w:rPr>
        <w:t> </w:t>
      </w:r>
      <w:r>
        <w:t>:</w:t>
      </w:r>
      <w:r>
        <w:tab/>
        <w:t>excursión de frecuencia por canal</w:t>
      </w:r>
    </w:p>
    <w:p w14:paraId="59E16745" w14:textId="77777777" w:rsidR="009E492D" w:rsidRDefault="009E492D" w:rsidP="007D051F">
      <w:pPr>
        <w:pStyle w:val="Equationlegend"/>
      </w:pPr>
      <w:r>
        <w:rPr>
          <w:i/>
        </w:rPr>
        <w:tab/>
        <w:t>N</w:t>
      </w:r>
      <w:r>
        <w:rPr>
          <w:i/>
          <w:position w:val="-3"/>
          <w:sz w:val="16"/>
        </w:rPr>
        <w:t>c</w:t>
      </w:r>
      <w:r>
        <w:rPr>
          <w:rFonts w:ascii="Tms Rmn" w:hAnsi="Tms Rmn"/>
          <w:position w:val="-3"/>
          <w:sz w:val="12"/>
        </w:rPr>
        <w:t> </w:t>
      </w:r>
      <w:r>
        <w:t>:</w:t>
      </w:r>
      <w:r>
        <w:tab/>
        <w:t>número de circuitos en la carga de mensajes multiplexados</w:t>
      </w:r>
    </w:p>
    <w:p w14:paraId="3743A69F" w14:textId="77777777" w:rsidR="009E492D" w:rsidRDefault="009E492D" w:rsidP="007D051F">
      <w:pPr>
        <w:pStyle w:val="Equationlegend"/>
      </w:pPr>
      <w:r>
        <w:rPr>
          <w:i/>
        </w:rPr>
        <w:tab/>
        <w:t>K</w:t>
      </w:r>
      <w:r>
        <w:rPr>
          <w:rFonts w:ascii="Tms Rmn" w:hAnsi="Tms Rmn"/>
          <w:position w:val="-3"/>
          <w:sz w:val="12"/>
        </w:rPr>
        <w:t> </w:t>
      </w:r>
      <w:r>
        <w:t>:</w:t>
      </w:r>
      <w:r>
        <w:tab/>
        <w:t>unidad</w:t>
      </w:r>
    </w:p>
    <w:p w14:paraId="395BF276" w14:textId="48043466" w:rsidR="009E492D" w:rsidRDefault="009E492D" w:rsidP="007D051F">
      <w:pPr>
        <w:pStyle w:val="Equationlegend"/>
      </w:pPr>
      <w:r>
        <w:tab/>
      </w:r>
      <w:r>
        <w:rPr>
          <w:i/>
        </w:rPr>
        <w:t>X</w:t>
      </w:r>
      <w:r>
        <w:t> </w:t>
      </w:r>
      <w:r>
        <w:rPr>
          <w:rFonts w:ascii="Symbol" w:hAnsi="Symbol"/>
        </w:rPr>
        <w:t></w:t>
      </w:r>
      <w:r>
        <w:tab/>
        <w:t> </w:t>
      </w:r>
      <w:r>
        <w:rPr>
          <w:rFonts w:ascii="Tms Rmn" w:hAnsi="Tms Rmn"/>
          <w:sz w:val="12"/>
        </w:rPr>
        <w:t> </w:t>
      </w:r>
      <w:r w:rsidR="007D051F">
        <w:t>−</w:t>
      </w:r>
      <w:r>
        <w:t>2</w:t>
      </w:r>
      <w:r>
        <w:t> </w:t>
      </w:r>
      <w:r>
        <w:tab/>
        <w:t>a</w:t>
      </w:r>
      <w:r>
        <w:tab/>
      </w:r>
      <w:r>
        <w:t> </w:t>
      </w:r>
      <w:r>
        <w:t> </w:t>
      </w:r>
      <w:r>
        <w:rPr>
          <w:rFonts w:ascii="Symbol" w:hAnsi="Symbol"/>
        </w:rPr>
        <w:t></w:t>
      </w:r>
      <w:r>
        <w:t>2,6</w:t>
      </w:r>
      <w:r>
        <w:rPr>
          <w:color w:val="FFFFFF"/>
        </w:rPr>
        <w:tab/>
      </w:r>
      <w:r>
        <w:t>para</w:t>
      </w:r>
      <w:r>
        <w:tab/>
        <w:t>12  </w:t>
      </w:r>
      <w:r>
        <w:rPr>
          <w:rFonts w:ascii="Symbol" w:hAnsi="Symbol"/>
        </w:rPr>
        <w:t></w:t>
      </w:r>
      <w:r>
        <w:tab/>
      </w:r>
      <w:r>
        <w:rPr>
          <w:i/>
        </w:rPr>
        <w:t>N</w:t>
      </w:r>
      <w:r>
        <w:rPr>
          <w:i/>
          <w:position w:val="-3"/>
          <w:sz w:val="16"/>
        </w:rPr>
        <w:t>c</w:t>
      </w:r>
      <w:r>
        <w:t>  </w:t>
      </w:r>
      <w:r>
        <w:rPr>
          <w:rFonts w:ascii="Symbol" w:hAnsi="Symbol"/>
        </w:rPr>
        <w:t></w:t>
      </w:r>
      <w:r>
        <w:t>  </w:t>
      </w:r>
      <w:r>
        <w:t> </w:t>
      </w:r>
      <w:r>
        <w:t>60</w:t>
      </w:r>
      <w:r>
        <w:tab/>
        <w:t>y</w:t>
      </w:r>
      <w:r>
        <w:tab/>
        <w:t>para  </w:t>
      </w:r>
      <w:r>
        <w:rPr>
          <w:i/>
        </w:rPr>
        <w:t>Y</w:t>
      </w:r>
      <w:r>
        <w:t>  </w:t>
      </w:r>
      <w:r>
        <w:rPr>
          <w:rFonts w:ascii="Symbol" w:hAnsi="Symbol"/>
        </w:rPr>
        <w:t></w:t>
      </w:r>
      <w:r>
        <w:t>  </w:t>
      </w:r>
      <w:r>
        <w:t> </w:t>
      </w:r>
      <w:r>
        <w:t>2</w:t>
      </w:r>
    </w:p>
    <w:p w14:paraId="17716466" w14:textId="3446F7EF" w:rsidR="009E492D" w:rsidRDefault="009E492D" w:rsidP="007D051F">
      <w:pPr>
        <w:pStyle w:val="Equationlegend"/>
      </w:pPr>
      <w:r>
        <w:tab/>
      </w:r>
      <w:r>
        <w:rPr>
          <w:i/>
        </w:rPr>
        <w:t>X</w:t>
      </w:r>
      <w:r>
        <w:t> </w:t>
      </w:r>
      <w:r>
        <w:rPr>
          <w:rFonts w:ascii="Symbol" w:hAnsi="Symbol"/>
        </w:rPr>
        <w:t></w:t>
      </w:r>
      <w:r>
        <w:tab/>
        <w:t> </w:t>
      </w:r>
      <w:r>
        <w:rPr>
          <w:rFonts w:ascii="Tms Rmn" w:hAnsi="Tms Rmn"/>
          <w:sz w:val="12"/>
        </w:rPr>
        <w:t> </w:t>
      </w:r>
      <w:r w:rsidR="007D051F">
        <w:t>−</w:t>
      </w:r>
      <w:r>
        <w:t>5,6</w:t>
      </w:r>
      <w:r>
        <w:tab/>
        <w:t>a</w:t>
      </w:r>
      <w:r>
        <w:tab/>
      </w:r>
      <w:r>
        <w:t> </w:t>
      </w:r>
      <w:r>
        <w:t> </w:t>
      </w:r>
      <w:r w:rsidR="007D051F">
        <w:t>−</w:t>
      </w:r>
      <w:r>
        <w:t>1,0</w:t>
      </w:r>
      <w:r>
        <w:rPr>
          <w:color w:val="FFFFFF"/>
        </w:rPr>
        <w:tab/>
      </w:r>
      <w:r>
        <w:t>para</w:t>
      </w:r>
      <w:r>
        <w:tab/>
        <w:t>60  </w:t>
      </w:r>
      <w:r>
        <w:rPr>
          <w:rFonts w:ascii="Symbol" w:hAnsi="Symbol"/>
        </w:rPr>
        <w:t></w:t>
      </w:r>
      <w: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w:t>
      </w:r>
      <w:r>
        <w:t> </w:t>
      </w:r>
      <w:r>
        <w:t>4</w:t>
      </w:r>
    </w:p>
    <w:p w14:paraId="74255420" w14:textId="72AAC4AF" w:rsidR="009E492D" w:rsidRDefault="009E492D" w:rsidP="007D051F">
      <w:pPr>
        <w:pStyle w:val="Equationlegend"/>
      </w:pPr>
      <w:r>
        <w:tab/>
      </w:r>
      <w:r>
        <w:rPr>
          <w:i/>
        </w:rPr>
        <w:t>X</w:t>
      </w:r>
      <w:r>
        <w:t> </w:t>
      </w:r>
      <w:r>
        <w:rPr>
          <w:rFonts w:ascii="Symbol" w:hAnsi="Symbol"/>
        </w:rPr>
        <w:t></w:t>
      </w:r>
      <w:r>
        <w:tab/>
        <w:t>–19,6</w:t>
      </w:r>
      <w:r>
        <w:tab/>
        <w:t>a</w:t>
      </w:r>
      <w:r>
        <w:tab/>
        <w:t> </w:t>
      </w:r>
      <w:r w:rsidR="007D051F">
        <w:t>−</w:t>
      </w:r>
      <w:r>
        <w:t>15,0</w:t>
      </w:r>
      <w:r>
        <w:rPr>
          <w:color w:val="FFFFFF"/>
        </w:rPr>
        <w:tab/>
      </w:r>
      <w:r>
        <w:t>para</w:t>
      </w:r>
      <w:r>
        <w:tab/>
      </w:r>
      <w:r>
        <w:rPr>
          <w:color w:val="FFFFFF"/>
        </w:rP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10.</w:t>
      </w:r>
    </w:p>
    <w:p w14:paraId="57193CDF" w14:textId="77777777" w:rsidR="009E492D" w:rsidRDefault="009E492D" w:rsidP="009E492D">
      <w:r>
        <w:t>El término entre paréntesis corresponde a</w:t>
      </w:r>
      <w:r>
        <w:rPr>
          <w:i/>
        </w:rPr>
        <w:t xml:space="preserve"> </w:t>
      </w:r>
      <w:r>
        <w:t xml:space="preserve">la desviación de frecuencia de cresta, </w:t>
      </w:r>
      <w:r>
        <w:rPr>
          <w:i/>
        </w:rPr>
        <w:t>D</w:t>
      </w:r>
      <w:r>
        <w:t>. El numerador (</w:t>
      </w:r>
      <w:r>
        <w:rPr>
          <w:i/>
        </w:rPr>
        <w:t>X</w:t>
      </w:r>
      <w:r>
        <w:t> </w:t>
      </w:r>
      <w:r>
        <w:rPr>
          <w:rFonts w:ascii="Symbol" w:hAnsi="Symbol"/>
        </w:rPr>
        <w:t></w:t>
      </w:r>
      <w:r>
        <w:rPr>
          <w:i/>
        </w:rPr>
        <w:t> Y</w:t>
      </w:r>
      <w:r>
        <w:t> log</w:t>
      </w:r>
      <w:r>
        <w:rPr>
          <w:i/>
        </w:rPr>
        <w:t> N</w:t>
      </w:r>
      <w:r>
        <w:rPr>
          <w:i/>
          <w:position w:val="-3"/>
          <w:sz w:val="16"/>
        </w:rPr>
        <w:t>c</w:t>
      </w:r>
      <w:r>
        <w:t>) de la fracción representa la potencia media de la señal compuesta entregada a la entrada del modulador del transmisor. El valor de 3,76, indicado en el Cuadro 3 corresponde a un factor de cresta de 11,5 dB.</w:t>
      </w:r>
    </w:p>
    <w:p w14:paraId="7E410A8E" w14:textId="486964F4" w:rsidR="009E492D" w:rsidRDefault="009E492D" w:rsidP="009E492D">
      <w:r>
        <w:t>Para seleccionar correctamente un valor para</w:t>
      </w:r>
      <w:r>
        <w:rPr>
          <w:i/>
        </w:rPr>
        <w:t xml:space="preserve"> X</w:t>
      </w:r>
      <w:r>
        <w:t xml:space="preserve"> en la fórmula de</w:t>
      </w:r>
      <w:r>
        <w:rPr>
          <w:i/>
        </w:rPr>
        <w:t xml:space="preserve"> B</w:t>
      </w:r>
      <w:r>
        <w:rPr>
          <w:i/>
          <w:position w:val="-3"/>
          <w:sz w:val="16"/>
        </w:rPr>
        <w:t>n</w:t>
      </w:r>
      <w:r>
        <w:t xml:space="preserve">, resulta útil resumir las condiciones de aplicación en las que se utiliza un sistema MDF-MF. La elección final dentro de la gama de 4,6 dB puede ser empírica. Está claro según los detalles recogidos del estudio que los niveles medios de «potencia de la persona que habla» de </w:t>
      </w:r>
      <w:r w:rsidR="007D051F">
        <w:t>−</w:t>
      </w:r>
      <w:r>
        <w:t xml:space="preserve">2 dBm0, </w:t>
      </w:r>
      <w:r w:rsidR="007D051F">
        <w:t>−</w:t>
      </w:r>
      <w:r>
        <w:t xml:space="preserve">5,6 dBm0 y </w:t>
      </w:r>
      <w:r w:rsidR="007D051F">
        <w:t>−</w:t>
      </w:r>
      <w:r>
        <w:t>19,6 dBm0 deben sustituir a los números correspondientes para</w:t>
      </w:r>
      <w:r>
        <w:rPr>
          <w:i/>
        </w:rPr>
        <w:t xml:space="preserve"> N</w:t>
      </w:r>
      <w:r>
        <w:rPr>
          <w:i/>
          <w:position w:val="-3"/>
          <w:sz w:val="16"/>
        </w:rPr>
        <w:t>c</w:t>
      </w:r>
      <w:r>
        <w:t> </w:t>
      </w:r>
      <w:r>
        <w:rPr>
          <w:rFonts w:ascii="Tms Rmn" w:hAnsi="Tms Rmn"/>
          <w:sz w:val="12"/>
        </w:rPr>
        <w:t> </w:t>
      </w:r>
      <w:r>
        <w:rPr>
          <w:rFonts w:ascii="Symbol" w:hAnsi="Symbol"/>
        </w:rPr>
        <w:t></w:t>
      </w:r>
      <w:r>
        <w:t> 12 en la ecuación de</w:t>
      </w:r>
      <w:r>
        <w:rPr>
          <w:i/>
        </w:rPr>
        <w:t xml:space="preserve"> B</w:t>
      </w:r>
      <w:r>
        <w:rPr>
          <w:i/>
          <w:position w:val="-3"/>
          <w:sz w:val="16"/>
        </w:rPr>
        <w:t>n</w:t>
      </w:r>
      <w:r>
        <w:t>, en el caso de un sistema MDF-MF que se utilice para proporcionar circuitos telefónicos interurbanos modernos, comerciales y públicos, donde la mayoría de los canales MDF-MF se utilizan para telefonía.</w:t>
      </w:r>
    </w:p>
    <w:p w14:paraId="203ED7BC" w14:textId="5BD82CA3" w:rsidR="009E492D" w:rsidRDefault="009E492D" w:rsidP="009E492D">
      <w:r>
        <w:t>En los sistemas MDF-MF de menor tamaño, privados o más antiguos, en especial aquellos con</w:t>
      </w:r>
      <w:r>
        <w:rPr>
          <w:i/>
        </w:rPr>
        <w:t xml:space="preserve"> N</w:t>
      </w:r>
      <w:r>
        <w:rPr>
          <w:i/>
          <w:position w:val="-3"/>
          <w:sz w:val="16"/>
        </w:rPr>
        <w:t>c</w:t>
      </w:r>
      <w:r>
        <w:t> </w:t>
      </w:r>
      <w:r>
        <w:rPr>
          <w:rFonts w:ascii="Tms Rmn" w:hAnsi="Tms Rmn"/>
          <w:sz w:val="12"/>
        </w:rPr>
        <w:t> </w:t>
      </w:r>
      <w:r>
        <w:rPr>
          <w:rFonts w:ascii="Symbol" w:hAnsi="Symbol"/>
        </w:rPr>
        <w:t></w:t>
      </w:r>
      <w:r>
        <w:t xml:space="preserve"> 12 o aquellos que contengan datos (no voz) en la mayoría de los canales, se aplicarán nominalmente los valores originales indicados en el Cuadro 3. Los circuitos de datos multicanales típicos funcionan para niveles de potencia entre </w:t>
      </w:r>
      <w:r w:rsidR="007D051F">
        <w:t>−</w:t>
      </w:r>
      <w:r>
        <w:t xml:space="preserve">13 dBm0 y </w:t>
      </w:r>
      <w:r w:rsidR="007D051F">
        <w:t>−</w:t>
      </w:r>
      <w:r>
        <w:t>15 dBm0. Por tanto, para sistemas con un gran porcentaje de circuitos de datos y</w:t>
      </w:r>
      <w:r>
        <w:rPr>
          <w:i/>
        </w:rPr>
        <w:t xml:space="preserve"> N</w:t>
      </w:r>
      <w:r>
        <w:t> </w:t>
      </w:r>
      <w:r>
        <w:rPr>
          <w:rFonts w:ascii="Symbol" w:hAnsi="Symbol"/>
        </w:rPr>
        <w:t></w:t>
      </w:r>
      <w:r>
        <w:t> 240 el límite de carga compuesto se determinará utilizando un valor de</w:t>
      </w:r>
      <w:r>
        <w:rPr>
          <w:i/>
        </w:rPr>
        <w:t xml:space="preserve"> X</w:t>
      </w:r>
      <w:r>
        <w:t xml:space="preserve"> entre </w:t>
      </w:r>
      <w:r w:rsidR="007D051F">
        <w:t>−</w:t>
      </w:r>
      <w:r>
        <w:t xml:space="preserve">13 y </w:t>
      </w:r>
      <w:r w:rsidR="007D051F">
        <w:t>−</w:t>
      </w:r>
      <w:r>
        <w:t xml:space="preserve">15. La señalización por cada canal, opuesta a la señalización por canal común, constituye una indicación de que el nivel de </w:t>
      </w:r>
      <w:r w:rsidR="007D051F">
        <w:t>−</w:t>
      </w:r>
      <w:r>
        <w:t>15 dBm0 resulta aplicable (sistemas con</w:t>
      </w:r>
      <w:r>
        <w:rPr>
          <w:i/>
        </w:rPr>
        <w:t xml:space="preserve"> N</w:t>
      </w:r>
      <w:r>
        <w:rPr>
          <w:i/>
          <w:position w:val="-3"/>
          <w:sz w:val="16"/>
        </w:rPr>
        <w:t>c</w:t>
      </w:r>
      <w:r>
        <w:t> </w:t>
      </w:r>
      <w:r>
        <w:rPr>
          <w:rFonts w:ascii="Tms Rmn" w:hAnsi="Tms Rmn"/>
          <w:sz w:val="12"/>
        </w:rPr>
        <w:t> </w:t>
      </w:r>
      <w:r>
        <w:rPr>
          <w:rFonts w:ascii="Symbol" w:hAnsi="Symbol"/>
        </w:rPr>
        <w:t></w:t>
      </w:r>
      <w:r>
        <w:t> 240).</w:t>
      </w:r>
    </w:p>
    <w:p w14:paraId="25E6FB60" w14:textId="584797DF" w:rsidR="009E492D" w:rsidRDefault="009E492D" w:rsidP="009E492D">
      <w:r>
        <w:t>La elección del nivel de potencia de la señal dentro de la gama de 4,6 dB es, como se indicó anteriormente, una cuestión sobre todo de experiencia. La banda de frecuencias de RF propiamente dicha, no está relacionada con la elección de los parámetros de la «potencia de la persona que habla». Se ha observado que, como ejemplo de la aplicación práctica de los nuevos parámetros, podrían explotarse hasta 1</w:t>
      </w:r>
      <w:r w:rsidRPr="001647B2">
        <w:t> </w:t>
      </w:r>
      <w:r>
        <w:t>800 canales telefónicos en el mismo ancho de banda de radiofrecuencia de los sistemas terrenales de microondas del servicio fijo punto a punto proyectados actualmente únicamente para 1</w:t>
      </w:r>
      <w:r w:rsidR="001647B2" w:rsidRPr="001647B2">
        <w:t> </w:t>
      </w:r>
      <w:r>
        <w:t>500 circuitos, lo que representa un desarrollo significativo en lo que se refiere a mejorar la eficacia de la utilización del espectro.</w:t>
      </w:r>
    </w:p>
    <w:p w14:paraId="47BC6D2D" w14:textId="77777777" w:rsidR="007D051F" w:rsidRDefault="007D051F" w:rsidP="009E492D"/>
    <w:p w14:paraId="15214CC7" w14:textId="77777777" w:rsidR="007D051F" w:rsidRDefault="007D051F" w:rsidP="009E492D"/>
    <w:p w14:paraId="0940EF77" w14:textId="4A3AAA51" w:rsidR="009E492D" w:rsidRPr="007D051F" w:rsidRDefault="009E492D" w:rsidP="007D051F">
      <w:pPr>
        <w:pStyle w:val="AnnexNoTitle"/>
      </w:pPr>
      <w:r w:rsidRPr="007D051F">
        <w:lastRenderedPageBreak/>
        <w:t>Anexo 2</w:t>
      </w:r>
      <w:r w:rsidR="007D051F" w:rsidRPr="007D051F">
        <w:br/>
      </w:r>
      <w:r w:rsidR="007D051F" w:rsidRPr="007D051F">
        <w:br/>
      </w:r>
      <w:r w:rsidRPr="007D051F">
        <w:t>Cálculos de ancho de banda necesarios en impulsos no modulados</w:t>
      </w:r>
    </w:p>
    <w:p w14:paraId="1B2F5318" w14:textId="77777777" w:rsidR="009E492D" w:rsidRDefault="009E492D" w:rsidP="007D051F">
      <w:pPr>
        <w:pStyle w:val="Normalaftertitle"/>
        <w:keepNext/>
        <w:keepLines/>
      </w:pPr>
      <w:r>
        <w:t>Se especifican los anchos de banda necesarios en los casos comunes de impulsos no modulados de forma trapezoidal o rectangular. Para establecer el ancho de banda necesario en el caso de impulsos no modulados, el criterio utilizado es un valor de 20 dB por debajo de la cresta de la envolvente teórica del espectro. Los valores de la envolvente del espectro de los impulsos no modulados se han determinado utilizando técnicas de cálculo sencillas.</w:t>
      </w:r>
    </w:p>
    <w:p w14:paraId="01936F4D" w14:textId="77777777" w:rsidR="009E492D" w:rsidRDefault="009E492D" w:rsidP="009E492D">
      <w:r>
        <w:t xml:space="preserve">En el Cuadro 1 se indican los anchos de banda necesarios calculados para impulsos no modulados. En el Caso 1 (impulso trapezoidal), el ancho del impulso, </w:t>
      </w:r>
      <w:r>
        <w:rPr>
          <w:i/>
        </w:rPr>
        <w:t>t</w:t>
      </w:r>
      <w:r>
        <w:t xml:space="preserve">, es el tiempo entre los puntos de 50% de amplitud, y </w:t>
      </w:r>
      <w:r>
        <w:rPr>
          <w:i/>
        </w:rPr>
        <w:t>t</w:t>
      </w:r>
      <w:r>
        <w:rPr>
          <w:i/>
          <w:position w:val="-3"/>
          <w:sz w:val="16"/>
        </w:rPr>
        <w:t>r</w:t>
      </w:r>
      <w:r>
        <w:t xml:space="preserve"> (tiempo de subida) es el tiempo que transcurre entre los puntos de 10% y 90% de amplitud. El tiempo de caída, </w:t>
      </w:r>
      <w:r>
        <w:rPr>
          <w:i/>
        </w:rPr>
        <w:t>t</w:t>
      </w:r>
      <w:r>
        <w:rPr>
          <w:i/>
          <w:position w:val="-3"/>
          <w:sz w:val="16"/>
        </w:rPr>
        <w:t>f</w:t>
      </w:r>
      <w:r>
        <w:t xml:space="preserve">, es igual al tiempo de subida, </w:t>
      </w:r>
      <w:r>
        <w:rPr>
          <w:i/>
        </w:rPr>
        <w:t>t</w:t>
      </w:r>
      <w:r>
        <w:rPr>
          <w:i/>
          <w:position w:val="-3"/>
          <w:sz w:val="16"/>
        </w:rPr>
        <w:t>r</w:t>
      </w:r>
      <w:r>
        <w:t xml:space="preserve">. En el Caso 2 el tiempo de establecimiento, </w:t>
      </w:r>
      <w:r>
        <w:rPr>
          <w:i/>
        </w:rPr>
        <w:t>t</w:t>
      </w:r>
      <w:r>
        <w:rPr>
          <w:i/>
          <w:position w:val="-3"/>
          <w:sz w:val="16"/>
        </w:rPr>
        <w:t>r</w:t>
      </w:r>
      <w:r>
        <w:t xml:space="preserve">, no es igual necesariamente al tiempo de caída, </w:t>
      </w:r>
      <w:r>
        <w:rPr>
          <w:i/>
        </w:rPr>
        <w:t>t</w:t>
      </w:r>
      <w:r>
        <w:rPr>
          <w:i/>
          <w:position w:val="-3"/>
          <w:sz w:val="16"/>
        </w:rPr>
        <w:t>f</w:t>
      </w:r>
      <w:r>
        <w:t xml:space="preserve">. El tiempo de caída es el tiempo entre los puntos 90% y 10% de amplitud. En el Caso 3 (impulso rectangular), </w:t>
      </w:r>
      <w:r>
        <w:rPr>
          <w:i/>
        </w:rPr>
        <w:t>t</w:t>
      </w:r>
      <w:r>
        <w:t xml:space="preserve"> es el ancho del impulso.</w:t>
      </w:r>
    </w:p>
    <w:p w14:paraId="443B6228" w14:textId="77777777" w:rsidR="007D051F" w:rsidRDefault="007D051F" w:rsidP="009E492D"/>
    <w:p w14:paraId="76DEEBDA" w14:textId="77777777" w:rsidR="007D051F" w:rsidRDefault="007D051F" w:rsidP="009E492D"/>
    <w:p w14:paraId="2EC34C89" w14:textId="160FD87B" w:rsidR="009E492D" w:rsidRPr="007D051F" w:rsidRDefault="009E492D" w:rsidP="007D051F">
      <w:pPr>
        <w:pStyle w:val="AnnexNoTitle"/>
      </w:pPr>
      <w:r w:rsidRPr="007D051F">
        <w:t>Anexo 3</w:t>
      </w:r>
      <w:r w:rsidR="007D051F" w:rsidRPr="007D051F">
        <w:br/>
      </w:r>
      <w:r w:rsidR="007D051F" w:rsidRPr="007D051F">
        <w:br/>
      </w:r>
      <w:r w:rsidRPr="007D051F">
        <w:t>Cálculos de ancho de banda necesarios en modulación digital</w:t>
      </w:r>
    </w:p>
    <w:p w14:paraId="155BF585" w14:textId="3247810F" w:rsidR="009E492D" w:rsidRDefault="009E492D" w:rsidP="001647B2">
      <w:pPr>
        <w:pStyle w:val="Normalaftertitle"/>
      </w:pPr>
      <w:r>
        <w:t xml:space="preserve">En las expresiones que determinan los anchos de banda necesarios de las modulaciones de datos </w:t>
      </w:r>
      <w:r w:rsidRPr="007D051F">
        <w:t xml:space="preserve">digitales (véase la Recomendación </w:t>
      </w:r>
      <w:hyperlink r:id="rId22" w:history="1">
        <w:r w:rsidRPr="007D051F">
          <w:rPr>
            <w:rStyle w:val="Hyperlink"/>
            <w:color w:val="auto"/>
            <w:u w:val="none"/>
          </w:rPr>
          <w:t>UIT-R SM.1138</w:t>
        </w:r>
      </w:hyperlink>
      <w:r w:rsidRPr="007D051F">
        <w:t xml:space="preserve">) figura un factor </w:t>
      </w:r>
      <w:r w:rsidRPr="007D051F">
        <w:rPr>
          <w:i/>
        </w:rPr>
        <w:t>K</w:t>
      </w:r>
      <w:r w:rsidRPr="007D051F">
        <w:t xml:space="preserve"> que da cabida a los ajustes </w:t>
      </w:r>
      <w:r>
        <w:t>transaccionales de diseño de un sistema. Estos ajustes responden por lo general a decisiones sobre la potencia, el ancho de banda o la calidad de funciona</w:t>
      </w:r>
      <w:r>
        <w:softHyphen/>
        <w:t>miento (BER) del sistema. Por ejemplo, si se emplean niveles de modulación más altos en los sistemas digitales de visi</w:t>
      </w:r>
      <w:r>
        <w:softHyphen/>
        <w:t>bilidad directa, se aceptan mayores necesidades de potencia y para reducir los de ancho de banda. Las modulaciones digitales de nivel más alto, como MAQ-16, MAQ-64 y MAQ</w:t>
      </w:r>
      <w:r>
        <w:noBreakHyphen/>
        <w:t>256, pueden transferir, para una cantidad de espectro dada, más bit/s que los niveles de modulación más bajos, pero requieren más potencia (es decir, mayor relación portadora/</w:t>
      </w:r>
      <w:r>
        <w:rPr>
          <w:sz w:val="2"/>
        </w:rPr>
        <w:t xml:space="preserve"> </w:t>
      </w:r>
      <w:r>
        <w:t>ruido). Recíprocamente, en los sistemas por satélite, en los que la potencia a bordo es limitada, se aceptan mayores necesidades de espectro para reducir las de potencia, y se emplean modulaciones de nivel más bajo. Con frecuencia las señales digitales tienen que ser bastante filtradas para que se cumplan los requisitos de protección de canal adyacente.</w:t>
      </w:r>
    </w:p>
    <w:p w14:paraId="03E6A951" w14:textId="77777777" w:rsidR="009E492D" w:rsidRDefault="009E492D" w:rsidP="009E492D">
      <w:r>
        <w:t xml:space="preserve">El filtrado de las señales digitales puede realizarse como filtrado de premodulación de la señal del transmisor en la banda de base, o en otro u otros puntos del transmisor o del receptor. Compensa la adición de dicho filtrado, el aumento de la relación portadora/ruido del sistema </w:t>
      </w:r>
      <w:r>
        <w:rPr>
          <w:i/>
        </w:rPr>
        <w:t>C/N</w:t>
      </w:r>
      <w:r>
        <w:t xml:space="preserve">. Los valores numéricos del factor </w:t>
      </w:r>
      <w:r>
        <w:rPr>
          <w:i/>
        </w:rPr>
        <w:t>K</w:t>
      </w:r>
      <w:r>
        <w:t xml:space="preserve"> dependen de la magnitud y perfil de la característica de selectividad del filtro. Las características de diseño del filtro se determinan con arreglo a cada caso particular. Por consiguiente, no resulta práctico ni ventajoso dar a </w:t>
      </w:r>
      <w:r>
        <w:rPr>
          <w:i/>
        </w:rPr>
        <w:t>K</w:t>
      </w:r>
      <w:r>
        <w:t xml:space="preserve"> un valor numérico único en las fórmulas que determinan el ancho de banda necesario.</w:t>
      </w:r>
    </w:p>
    <w:p w14:paraId="42FA2C2B" w14:textId="27DBBA92" w:rsidR="009E492D" w:rsidRDefault="009E492D" w:rsidP="009E492D">
      <w:r>
        <w:t xml:space="preserve">En el Cuadro 2 figuran diversos ejemplos de valores de </w:t>
      </w:r>
      <w:r>
        <w:rPr>
          <w:i/>
        </w:rPr>
        <w:t>K</w:t>
      </w:r>
      <w:r>
        <w:t xml:space="preserve"> correspondientes a distintas modulaciones digitales. Estos valores corresponden a espectros determinados mediante cálculo o medidos directamente. Se indican asimismo las fórmulas de ancho de banda necesario empleadas, los valores de </w:t>
      </w:r>
      <w:r>
        <w:rPr>
          <w:i/>
        </w:rPr>
        <w:t>K</w:t>
      </w:r>
      <w:r>
        <w:t xml:space="preserve"> y otros parámetros, como la potencia, la relación </w:t>
      </w:r>
      <w:r>
        <w:rPr>
          <w:i/>
        </w:rPr>
        <w:t>E</w:t>
      </w:r>
      <w:r>
        <w:rPr>
          <w:i/>
          <w:position w:val="-3"/>
          <w:sz w:val="16"/>
        </w:rPr>
        <w:t>b</w:t>
      </w:r>
      <w:r>
        <w:rPr>
          <w:i/>
          <w:sz w:val="12"/>
        </w:rPr>
        <w:t> </w:t>
      </w:r>
      <w:r>
        <w:rPr>
          <w:i/>
        </w:rPr>
        <w:t>/N</w:t>
      </w:r>
      <w:r>
        <w:rPr>
          <w:position w:val="-3"/>
          <w:sz w:val="16"/>
        </w:rPr>
        <w:t>0</w:t>
      </w:r>
      <w:r>
        <w:t xml:space="preserve">, y la BER. La fórmula del ancho de banda necesario, </w:t>
      </w:r>
      <w:r>
        <w:rPr>
          <w:i/>
        </w:rPr>
        <w:t>B</w:t>
      </w:r>
      <w:r>
        <w:rPr>
          <w:i/>
          <w:position w:val="-3"/>
          <w:sz w:val="16"/>
        </w:rPr>
        <w:t>n</w:t>
      </w:r>
      <w:r>
        <w:t>, en MF digital se ha tomado de la Recomendación </w:t>
      </w:r>
      <w:hyperlink r:id="rId23" w:history="1">
        <w:r w:rsidRPr="006D2DD2">
          <w:rPr>
            <w:rStyle w:val="Hyperlink"/>
            <w:color w:val="auto"/>
            <w:u w:val="none"/>
          </w:rPr>
          <w:t>UIT-R SM.1138</w:t>
        </w:r>
      </w:hyperlink>
      <w:r>
        <w:t xml:space="preserve">. </w:t>
      </w:r>
      <w:r>
        <w:rPr>
          <w:i/>
        </w:rPr>
        <w:t>R</w:t>
      </w:r>
      <w:r>
        <w:t xml:space="preserve"> representa </w:t>
      </w:r>
      <w:r>
        <w:lastRenderedPageBreak/>
        <w:t xml:space="preserve">la velocidad binaria, </w:t>
      </w:r>
      <w:r>
        <w:rPr>
          <w:i/>
        </w:rPr>
        <w:t>S</w:t>
      </w:r>
      <w:r>
        <w:t xml:space="preserve"> el número de estados de señalización, y </w:t>
      </w:r>
      <w:r>
        <w:rPr>
          <w:i/>
        </w:rPr>
        <w:t>D</w:t>
      </w:r>
      <w:r>
        <w:t xml:space="preserve"> la desviación de frecuencia. La expresión del ancho de banda necesario en MDP se basa en el principio de que dicho ancho de banda debe ser un múltiplo de la velocidad de símbolos.</w:t>
      </w:r>
    </w:p>
    <w:p w14:paraId="127D39C0" w14:textId="77777777" w:rsidR="009E492D" w:rsidRDefault="009E492D" w:rsidP="009E492D">
      <w:r>
        <w:t>Las modulaciones MDM, MDMG y MF digital constituyen ejemplos de modulación de amplitud constante y fase continua. Estas señales de fase continua pueden considerarse como una modulación simultánea de fase y de frecuencia. Para este tipo de modulación podría utilizarse cualquiera de las fórmulas para el ancho de banda necesario (frecuencia o fase). Como las señales están tipificadas por un índice de modulación (2</w:t>
      </w:r>
      <w:r>
        <w:rPr>
          <w:i/>
        </w:rPr>
        <w:t>D/R</w:t>
      </w:r>
      <w:r>
        <w:t>), en el Cuadro 2 se ha utilizado para dichas señales la expresión del ancho de banda necesario en el caso MDF. Asimismo, para la modulación MAQ se emplea la fórmula de ancho de banda necesario del caso MDP. La razón de ello es que las señales MAQ-</w:t>
      </w:r>
      <w:r>
        <w:rPr>
          <w:i/>
        </w:rPr>
        <w:t>m</w:t>
      </w:r>
      <w:r>
        <w:t xml:space="preserve"> son una suma estadística de </w:t>
      </w:r>
      <w:r>
        <w:rPr>
          <w:i/>
        </w:rPr>
        <w:t>m</w:t>
      </w:r>
      <w:r>
        <w:t>/2 señales MDP-2 con amplitudes diferentes, una velocidad binaria de (</w:t>
      </w:r>
      <w:r>
        <w:rPr>
          <w:i/>
        </w:rPr>
        <w:t>R</w:t>
      </w:r>
      <w:r>
        <w:t>/log</w:t>
      </w:r>
      <w:r>
        <w:rPr>
          <w:vertAlign w:val="subscript"/>
        </w:rPr>
        <w:t>2 </w:t>
      </w:r>
      <w:r>
        <w:rPr>
          <w:i/>
        </w:rPr>
        <w:t>m</w:t>
      </w:r>
      <w:r>
        <w:t>) y el mismo filtrado.</w:t>
      </w:r>
    </w:p>
    <w:p w14:paraId="02089567" w14:textId="77777777" w:rsidR="001647B2" w:rsidRDefault="001647B2" w:rsidP="006D2DD2"/>
    <w:p w14:paraId="3A3D7BD2" w14:textId="77777777" w:rsidR="006D2DD2" w:rsidRDefault="006D2DD2" w:rsidP="006D2DD2">
      <w:pPr>
        <w:pStyle w:val="Line"/>
      </w:pPr>
    </w:p>
    <w:sectPr w:rsidR="006D2DD2" w:rsidSect="007565CC">
      <w:footerReference w:type="default" r:id="rId2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CC66" w14:textId="77777777" w:rsidR="00686F42" w:rsidRDefault="00686F42">
      <w:r>
        <w:separator/>
      </w:r>
    </w:p>
  </w:endnote>
  <w:endnote w:type="continuationSeparator" w:id="0">
    <w:p w14:paraId="433BA9D7" w14:textId="77777777" w:rsidR="00686F42" w:rsidRDefault="0068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5D3A" w14:textId="77777777" w:rsidR="00301DB3" w:rsidRDefault="00301DB3">
    <w:pPr>
      <w:pStyle w:val="Footer"/>
    </w:pPr>
    <w:r>
      <w:drawing>
        <wp:anchor distT="0" distB="0" distL="0" distR="0" simplePos="0" relativeHeight="251656192" behindDoc="0" locked="0" layoutInCell="1" allowOverlap="1" wp14:anchorId="41F0562A" wp14:editId="3C26668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F48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D39" w14:textId="77777777" w:rsidR="00686F42" w:rsidRDefault="00686F42">
      <w:r>
        <w:separator/>
      </w:r>
    </w:p>
  </w:footnote>
  <w:footnote w:type="continuationSeparator" w:id="0">
    <w:p w14:paraId="264B4C27" w14:textId="77777777" w:rsidR="00686F42" w:rsidRDefault="0068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F0B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16E0E44" w14:textId="77777777" w:rsidTr="0019307B">
      <w:tc>
        <w:tcPr>
          <w:tcW w:w="4634" w:type="dxa"/>
          <w:vAlign w:val="center"/>
        </w:tcPr>
        <w:p w14:paraId="0C7F47C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9F1845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19395067" w14:textId="77777777" w:rsidTr="0019307B">
      <w:tc>
        <w:tcPr>
          <w:tcW w:w="4634" w:type="dxa"/>
          <w:vAlign w:val="center"/>
        </w:tcPr>
        <w:p w14:paraId="4625FD5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3A7442F4"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6CE3704"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6B6C664" wp14:editId="3CE5C717">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6139240" wp14:editId="47DE735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31E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02165BF"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3BFCE059" wp14:editId="6F379231">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7FB22"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0FE5" w14:textId="6356C683" w:rsidR="008E16F5" w:rsidRPr="008E16F5" w:rsidRDefault="008E16F5" w:rsidP="008E16F5">
    <w:pPr>
      <w:tabs>
        <w:tab w:val="clear" w:pos="794"/>
        <w:tab w:val="clear" w:pos="1191"/>
        <w:tab w:val="clear" w:pos="1588"/>
        <w:tab w:val="clear" w:pos="1985"/>
        <w:tab w:val="center" w:pos="4848"/>
        <w:tab w:val="right" w:pos="9696"/>
      </w:tabs>
      <w:spacing w:before="0"/>
      <w:jc w:val="left"/>
      <w:rPr>
        <w:lang w:val="en-US"/>
      </w:rPr>
    </w:pPr>
    <w:r w:rsidRPr="008E16F5">
      <w:rPr>
        <w:b/>
        <w:bCs/>
        <w:lang w:val="en-GB"/>
      </w:rPr>
      <w:fldChar w:fldCharType="begin"/>
    </w:r>
    <w:r w:rsidRPr="008E16F5">
      <w:rPr>
        <w:b/>
        <w:bCs/>
        <w:lang w:val="en-US"/>
      </w:rPr>
      <w:instrText xml:space="preserve"> PAGE </w:instrText>
    </w:r>
    <w:r w:rsidRPr="008E16F5">
      <w:rPr>
        <w:b/>
        <w:bCs/>
        <w:lang w:val="en-GB"/>
      </w:rPr>
      <w:fldChar w:fldCharType="separate"/>
    </w:r>
    <w:r w:rsidRPr="008E16F5">
      <w:rPr>
        <w:b/>
        <w:bCs/>
        <w:lang w:val="en-GB"/>
      </w:rPr>
      <w:t>ii</w:t>
    </w:r>
    <w:r w:rsidRPr="008E16F5">
      <w:rPr>
        <w:b/>
        <w:bCs/>
        <w:lang w:val="en-GB"/>
      </w:rPr>
      <w:fldChar w:fldCharType="end"/>
    </w:r>
    <w:r w:rsidRPr="008E16F5">
      <w:rPr>
        <w:lang w:val="en-US"/>
      </w:rPr>
      <w:tab/>
    </w:r>
    <w:r w:rsidRPr="008E16F5">
      <w:rPr>
        <w:b/>
        <w:bCs/>
        <w:lang w:val="en-US"/>
      </w:rPr>
      <w:fldChar w:fldCharType="begin"/>
    </w:r>
    <w:r w:rsidRPr="008E16F5">
      <w:rPr>
        <w:b/>
        <w:bCs/>
        <w:lang w:val="en-US"/>
      </w:rPr>
      <w:instrText xml:space="preserve"> DOCPROPERTY "Header" \* MERGEFORMAT </w:instrText>
    </w:r>
    <w:r w:rsidRPr="008E16F5">
      <w:rPr>
        <w:b/>
        <w:bCs/>
        <w:lang w:val="en-US"/>
      </w:rPr>
      <w:fldChar w:fldCharType="separate"/>
    </w:r>
    <w:r w:rsidR="00730EA1">
      <w:rPr>
        <w:b/>
        <w:bCs/>
        <w:lang w:val="en-US"/>
      </w:rPr>
      <w:t xml:space="preserve">Rec. </w:t>
    </w:r>
    <w:r w:rsidRPr="008E16F5">
      <w:rPr>
        <w:b/>
        <w:bCs/>
        <w:lang w:val="en-US"/>
      </w:rPr>
      <w:fldChar w:fldCharType="end"/>
    </w:r>
    <w:r w:rsidRPr="008E16F5">
      <w:rPr>
        <w:b/>
        <w:bCs/>
        <w:lang w:val="en-GB"/>
      </w:rPr>
      <w:t xml:space="preserve"> </w:t>
    </w:r>
    <w:r w:rsidRPr="008E16F5">
      <w:rPr>
        <w:b/>
        <w:bCs/>
        <w:lang w:val="en-GB"/>
      </w:rPr>
      <w:fldChar w:fldCharType="begin"/>
    </w:r>
    <w:r w:rsidRPr="008E16F5">
      <w:rPr>
        <w:b/>
        <w:bCs/>
        <w:lang w:val="en-US"/>
      </w:rPr>
      <w:instrText>styleref href</w:instrText>
    </w:r>
    <w:r w:rsidRPr="008E16F5">
      <w:rPr>
        <w:b/>
        <w:bCs/>
        <w:lang w:val="en-GB"/>
      </w:rPr>
      <w:fldChar w:fldCharType="separate"/>
    </w:r>
    <w:r w:rsidR="008571A8">
      <w:rPr>
        <w:b/>
        <w:bCs/>
        <w:noProof/>
        <w:lang w:val="en-US"/>
      </w:rPr>
      <w:t>UIT-R  SM.853-2</w:t>
    </w:r>
    <w:r w:rsidRPr="008E16F5">
      <w:rPr>
        <w:b/>
        <w:bCs/>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6F49" w14:textId="102D81B3" w:rsidR="008E16F5" w:rsidRPr="008E16F5" w:rsidRDefault="008E16F5" w:rsidP="008E16F5">
    <w:pPr>
      <w:tabs>
        <w:tab w:val="clear" w:pos="794"/>
        <w:tab w:val="clear" w:pos="1191"/>
        <w:tab w:val="clear" w:pos="1588"/>
        <w:tab w:val="clear" w:pos="1985"/>
        <w:tab w:val="center" w:pos="4848"/>
        <w:tab w:val="right" w:pos="9696"/>
      </w:tabs>
      <w:spacing w:before="0"/>
      <w:jc w:val="center"/>
      <w:rPr>
        <w:lang w:val="en-GB"/>
      </w:rPr>
    </w:pPr>
    <w:r w:rsidRPr="008E16F5">
      <w:rPr>
        <w:lang w:val="en-GB"/>
      </w:rPr>
      <w:tab/>
    </w:r>
    <w:r w:rsidRPr="008E16F5">
      <w:rPr>
        <w:b/>
        <w:bCs/>
        <w:lang w:val="en-GB"/>
      </w:rPr>
      <w:fldChar w:fldCharType="begin"/>
    </w:r>
    <w:r w:rsidRPr="008E16F5">
      <w:rPr>
        <w:b/>
        <w:bCs/>
        <w:lang w:val="en-GB"/>
      </w:rPr>
      <w:instrText xml:space="preserve"> DOCPROPERTY "Header" \* MERGEFORMAT </w:instrText>
    </w:r>
    <w:r w:rsidRPr="008E16F5">
      <w:rPr>
        <w:b/>
        <w:bCs/>
        <w:lang w:val="en-GB"/>
      </w:rPr>
      <w:fldChar w:fldCharType="separate"/>
    </w:r>
    <w:r w:rsidR="00730EA1">
      <w:rPr>
        <w:b/>
        <w:bCs/>
        <w:lang w:val="en-GB"/>
      </w:rPr>
      <w:t xml:space="preserve">Rec. </w:t>
    </w:r>
    <w:r w:rsidRPr="008E16F5">
      <w:rPr>
        <w:b/>
        <w:bCs/>
        <w:lang w:val="en-GB"/>
      </w:rPr>
      <w:fldChar w:fldCharType="end"/>
    </w:r>
    <w:r w:rsidRPr="008E16F5">
      <w:rPr>
        <w:b/>
        <w:bCs/>
        <w:lang w:val="en-GB"/>
      </w:rPr>
      <w:t xml:space="preserve"> </w:t>
    </w:r>
    <w:r w:rsidRPr="008E16F5">
      <w:rPr>
        <w:b/>
        <w:bCs/>
        <w:lang w:val="en-GB"/>
      </w:rPr>
      <w:fldChar w:fldCharType="begin"/>
    </w:r>
    <w:r w:rsidRPr="008E16F5">
      <w:rPr>
        <w:b/>
        <w:bCs/>
        <w:lang w:val="en-GB"/>
      </w:rPr>
      <w:instrText>styleref href</w:instrText>
    </w:r>
    <w:r w:rsidRPr="008E16F5">
      <w:rPr>
        <w:b/>
        <w:bCs/>
        <w:lang w:val="en-GB"/>
      </w:rPr>
      <w:fldChar w:fldCharType="separate"/>
    </w:r>
    <w:r w:rsidR="008571A8">
      <w:rPr>
        <w:b/>
        <w:bCs/>
        <w:noProof/>
        <w:lang w:val="en-GB"/>
      </w:rPr>
      <w:t>UIT-R  SM.853-2</w:t>
    </w:r>
    <w:r w:rsidRPr="008E16F5">
      <w:rPr>
        <w:b/>
        <w:bCs/>
        <w:lang w:val="en-GB"/>
      </w:rPr>
      <w:fldChar w:fldCharType="end"/>
    </w:r>
    <w:r w:rsidRPr="008E16F5">
      <w:rPr>
        <w:lang w:val="en-GB"/>
      </w:rPr>
      <w:tab/>
    </w:r>
    <w:r w:rsidRPr="008E16F5">
      <w:rPr>
        <w:b/>
        <w:bCs/>
        <w:lang w:val="en-GB"/>
      </w:rPr>
      <w:fldChar w:fldCharType="begin"/>
    </w:r>
    <w:r w:rsidRPr="008E16F5">
      <w:rPr>
        <w:b/>
        <w:bCs/>
        <w:lang w:val="en-GB"/>
      </w:rPr>
      <w:instrText xml:space="preserve"> PAGE </w:instrText>
    </w:r>
    <w:r w:rsidRPr="008E16F5">
      <w:rPr>
        <w:b/>
        <w:bCs/>
        <w:lang w:val="en-GB"/>
      </w:rPr>
      <w:fldChar w:fldCharType="separate"/>
    </w:r>
    <w:r w:rsidRPr="008E16F5">
      <w:rPr>
        <w:b/>
        <w:bCs/>
        <w:lang w:val="en-GB"/>
      </w:rPr>
      <w:t>1</w:t>
    </w:r>
    <w:r w:rsidRPr="008E16F5">
      <w:rPr>
        <w:b/>
        <w:bCs/>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18F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74A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C4F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604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9A4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07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FC7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A4A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02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D450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692921105">
    <w:abstractNumId w:val="9"/>
  </w:num>
  <w:num w:numId="3" w16cid:durableId="1754545960">
    <w:abstractNumId w:val="7"/>
  </w:num>
  <w:num w:numId="4" w16cid:durableId="1246955264">
    <w:abstractNumId w:val="6"/>
  </w:num>
  <w:num w:numId="5" w16cid:durableId="1233126596">
    <w:abstractNumId w:val="5"/>
  </w:num>
  <w:num w:numId="6" w16cid:durableId="135686318">
    <w:abstractNumId w:val="4"/>
  </w:num>
  <w:num w:numId="7" w16cid:durableId="1514294328">
    <w:abstractNumId w:val="8"/>
  </w:num>
  <w:num w:numId="8" w16cid:durableId="994643865">
    <w:abstractNumId w:val="3"/>
  </w:num>
  <w:num w:numId="9" w16cid:durableId="77673823">
    <w:abstractNumId w:val="2"/>
  </w:num>
  <w:num w:numId="10" w16cid:durableId="1849563320">
    <w:abstractNumId w:val="1"/>
  </w:num>
  <w:num w:numId="11" w16cid:durableId="823199018">
    <w:abstractNumId w:val="0"/>
  </w:num>
  <w:num w:numId="12" w16cid:durableId="1033916782">
    <w:abstractNumId w:val="8"/>
  </w:num>
  <w:num w:numId="13" w16cid:durableId="1820415527">
    <w:abstractNumId w:val="3"/>
  </w:num>
  <w:num w:numId="14" w16cid:durableId="1016888105">
    <w:abstractNumId w:val="2"/>
  </w:num>
  <w:num w:numId="15" w16cid:durableId="2081587056">
    <w:abstractNumId w:val="1"/>
  </w:num>
  <w:num w:numId="16" w16cid:durableId="1015884249">
    <w:abstractNumId w:val="0"/>
  </w:num>
  <w:num w:numId="17" w16cid:durableId="271324342">
    <w:abstractNumId w:val="8"/>
  </w:num>
  <w:num w:numId="18" w16cid:durableId="1771773123">
    <w:abstractNumId w:val="3"/>
  </w:num>
  <w:num w:numId="19" w16cid:durableId="2076933964">
    <w:abstractNumId w:val="2"/>
  </w:num>
  <w:num w:numId="20" w16cid:durableId="2110855818">
    <w:abstractNumId w:val="1"/>
  </w:num>
  <w:num w:numId="21" w16cid:durableId="1236893176">
    <w:abstractNumId w:val="0"/>
  </w:num>
  <w:num w:numId="22" w16cid:durableId="1556116728">
    <w:abstractNumId w:val="8"/>
  </w:num>
  <w:num w:numId="23" w16cid:durableId="1658918751">
    <w:abstractNumId w:val="3"/>
  </w:num>
  <w:num w:numId="24" w16cid:durableId="1591162942">
    <w:abstractNumId w:val="2"/>
  </w:num>
  <w:num w:numId="25" w16cid:durableId="752051433">
    <w:abstractNumId w:val="1"/>
  </w:num>
  <w:num w:numId="26" w16cid:durableId="96928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E8"/>
    <w:rsid w:val="00013002"/>
    <w:rsid w:val="00020111"/>
    <w:rsid w:val="000246E0"/>
    <w:rsid w:val="00036EE3"/>
    <w:rsid w:val="00067350"/>
    <w:rsid w:val="00072484"/>
    <w:rsid w:val="00095530"/>
    <w:rsid w:val="00096612"/>
    <w:rsid w:val="000A4A32"/>
    <w:rsid w:val="000A67F3"/>
    <w:rsid w:val="000B1B2B"/>
    <w:rsid w:val="000B7683"/>
    <w:rsid w:val="000D0677"/>
    <w:rsid w:val="000E0548"/>
    <w:rsid w:val="000E6A6E"/>
    <w:rsid w:val="00102934"/>
    <w:rsid w:val="00120C75"/>
    <w:rsid w:val="00147110"/>
    <w:rsid w:val="001511A6"/>
    <w:rsid w:val="001647B2"/>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2071"/>
    <w:rsid w:val="0036627C"/>
    <w:rsid w:val="003C6230"/>
    <w:rsid w:val="003E5516"/>
    <w:rsid w:val="003E644E"/>
    <w:rsid w:val="003F4B75"/>
    <w:rsid w:val="00404585"/>
    <w:rsid w:val="00410651"/>
    <w:rsid w:val="00420DFD"/>
    <w:rsid w:val="00421428"/>
    <w:rsid w:val="00425BC7"/>
    <w:rsid w:val="00437A76"/>
    <w:rsid w:val="004604B2"/>
    <w:rsid w:val="00470E28"/>
    <w:rsid w:val="0047379B"/>
    <w:rsid w:val="00474170"/>
    <w:rsid w:val="00477729"/>
    <w:rsid w:val="004842E2"/>
    <w:rsid w:val="00486EB3"/>
    <w:rsid w:val="004934C5"/>
    <w:rsid w:val="004937D1"/>
    <w:rsid w:val="004A14BC"/>
    <w:rsid w:val="004A6FEB"/>
    <w:rsid w:val="004E1C7C"/>
    <w:rsid w:val="004E61FF"/>
    <w:rsid w:val="005373E0"/>
    <w:rsid w:val="00556548"/>
    <w:rsid w:val="00571B1C"/>
    <w:rsid w:val="00576D47"/>
    <w:rsid w:val="00586EF8"/>
    <w:rsid w:val="005B0371"/>
    <w:rsid w:val="005B49AB"/>
    <w:rsid w:val="005B4E65"/>
    <w:rsid w:val="005B50E7"/>
    <w:rsid w:val="005C4BAB"/>
    <w:rsid w:val="005E12A5"/>
    <w:rsid w:val="005E69F0"/>
    <w:rsid w:val="005E6B1C"/>
    <w:rsid w:val="005E7B4F"/>
    <w:rsid w:val="005F003B"/>
    <w:rsid w:val="005F2E73"/>
    <w:rsid w:val="00601882"/>
    <w:rsid w:val="00607D68"/>
    <w:rsid w:val="00613212"/>
    <w:rsid w:val="006149B1"/>
    <w:rsid w:val="00617560"/>
    <w:rsid w:val="00640332"/>
    <w:rsid w:val="00680D2B"/>
    <w:rsid w:val="00681B32"/>
    <w:rsid w:val="00682C44"/>
    <w:rsid w:val="00686F42"/>
    <w:rsid w:val="0069322D"/>
    <w:rsid w:val="00697887"/>
    <w:rsid w:val="006B1D2B"/>
    <w:rsid w:val="006B1E05"/>
    <w:rsid w:val="006B4150"/>
    <w:rsid w:val="006C37D5"/>
    <w:rsid w:val="006D2DD2"/>
    <w:rsid w:val="006E1131"/>
    <w:rsid w:val="006E2037"/>
    <w:rsid w:val="006E2FE8"/>
    <w:rsid w:val="006E6199"/>
    <w:rsid w:val="00712870"/>
    <w:rsid w:val="00714AC0"/>
    <w:rsid w:val="00726756"/>
    <w:rsid w:val="00730EA1"/>
    <w:rsid w:val="0074147D"/>
    <w:rsid w:val="00743D85"/>
    <w:rsid w:val="00744F8B"/>
    <w:rsid w:val="00747D6E"/>
    <w:rsid w:val="00753CF4"/>
    <w:rsid w:val="007565CC"/>
    <w:rsid w:val="007624B1"/>
    <w:rsid w:val="00763B9A"/>
    <w:rsid w:val="007A6AA8"/>
    <w:rsid w:val="007B1357"/>
    <w:rsid w:val="007B3343"/>
    <w:rsid w:val="007D051F"/>
    <w:rsid w:val="008310C9"/>
    <w:rsid w:val="008335F0"/>
    <w:rsid w:val="00834306"/>
    <w:rsid w:val="00853CC5"/>
    <w:rsid w:val="008571A8"/>
    <w:rsid w:val="008763F7"/>
    <w:rsid w:val="00877E6E"/>
    <w:rsid w:val="008B083A"/>
    <w:rsid w:val="008B56B2"/>
    <w:rsid w:val="008B5D44"/>
    <w:rsid w:val="008C7848"/>
    <w:rsid w:val="008E16F5"/>
    <w:rsid w:val="00906589"/>
    <w:rsid w:val="00906AD6"/>
    <w:rsid w:val="00911F07"/>
    <w:rsid w:val="00917AF2"/>
    <w:rsid w:val="0092418A"/>
    <w:rsid w:val="00934ED7"/>
    <w:rsid w:val="00940D16"/>
    <w:rsid w:val="009543C3"/>
    <w:rsid w:val="00965E15"/>
    <w:rsid w:val="009668C1"/>
    <w:rsid w:val="00966E1B"/>
    <w:rsid w:val="00972F51"/>
    <w:rsid w:val="00984A02"/>
    <w:rsid w:val="009878A3"/>
    <w:rsid w:val="009947C0"/>
    <w:rsid w:val="009A4039"/>
    <w:rsid w:val="009A41F9"/>
    <w:rsid w:val="009D4BBD"/>
    <w:rsid w:val="009D74F5"/>
    <w:rsid w:val="009E492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D62AE"/>
    <w:rsid w:val="00AE1743"/>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02E62"/>
    <w:rsid w:val="00C15F3E"/>
    <w:rsid w:val="00C34ED1"/>
    <w:rsid w:val="00C46BD9"/>
    <w:rsid w:val="00C55258"/>
    <w:rsid w:val="00C6581B"/>
    <w:rsid w:val="00C73560"/>
    <w:rsid w:val="00C73585"/>
    <w:rsid w:val="00C84DB7"/>
    <w:rsid w:val="00C87A35"/>
    <w:rsid w:val="00CB0F14"/>
    <w:rsid w:val="00CD659B"/>
    <w:rsid w:val="00CE0A43"/>
    <w:rsid w:val="00CF130D"/>
    <w:rsid w:val="00D00118"/>
    <w:rsid w:val="00D0483A"/>
    <w:rsid w:val="00D16749"/>
    <w:rsid w:val="00D24442"/>
    <w:rsid w:val="00D5024B"/>
    <w:rsid w:val="00D61962"/>
    <w:rsid w:val="00D72623"/>
    <w:rsid w:val="00D83556"/>
    <w:rsid w:val="00DE5556"/>
    <w:rsid w:val="00DE5E02"/>
    <w:rsid w:val="00DF4176"/>
    <w:rsid w:val="00E0095C"/>
    <w:rsid w:val="00E17240"/>
    <w:rsid w:val="00E74595"/>
    <w:rsid w:val="00E766F1"/>
    <w:rsid w:val="00E77485"/>
    <w:rsid w:val="00E96E7E"/>
    <w:rsid w:val="00EB1CB6"/>
    <w:rsid w:val="00EB7C57"/>
    <w:rsid w:val="00ED2695"/>
    <w:rsid w:val="00ED3CA8"/>
    <w:rsid w:val="00EE04BA"/>
    <w:rsid w:val="00EE47C4"/>
    <w:rsid w:val="00EE694C"/>
    <w:rsid w:val="00EF2D52"/>
    <w:rsid w:val="00F01CFF"/>
    <w:rsid w:val="00F07EB5"/>
    <w:rsid w:val="00F111D6"/>
    <w:rsid w:val="00F17CED"/>
    <w:rsid w:val="00F30C9B"/>
    <w:rsid w:val="00F354B1"/>
    <w:rsid w:val="00F354D7"/>
    <w:rsid w:val="00F6343F"/>
    <w:rsid w:val="00F72776"/>
    <w:rsid w:val="00F77360"/>
    <w:rsid w:val="00F831DB"/>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62a47,#f8f8f8"/>
    </o:shapedefaults>
    <o:shapelayout v:ext="edit">
      <o:idmap v:ext="edit" data="2"/>
    </o:shapelayout>
  </w:shapeDefaults>
  <w:decimalSymbol w:val="."/>
  <w:listSeparator w:val=","/>
  <w14:docId w14:val="246FD77A"/>
  <w15:docId w15:val="{607D277A-FC51-42AA-9B8C-7D8BC501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81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8571A8"/>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E16F5"/>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8E16F5"/>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FollowedHyperlink">
    <w:name w:val="FollowedHyperlink"/>
    <w:basedOn w:val="DefaultParagraphFont"/>
    <w:semiHidden/>
    <w:unhideWhenUsed/>
    <w:rsid w:val="00404585"/>
    <w:rPr>
      <w:color w:val="800080" w:themeColor="followedHyperlink"/>
      <w:u w:val="single"/>
    </w:rPr>
  </w:style>
  <w:style w:type="character" w:styleId="CommentReference">
    <w:name w:val="annotation reference"/>
    <w:basedOn w:val="DefaultParagraphFont"/>
    <w:semiHidden/>
    <w:unhideWhenUsed/>
    <w:rsid w:val="00404585"/>
    <w:rPr>
      <w:sz w:val="16"/>
      <w:szCs w:val="16"/>
    </w:rPr>
  </w:style>
  <w:style w:type="paragraph" w:styleId="CommentText">
    <w:name w:val="annotation text"/>
    <w:basedOn w:val="Normal"/>
    <w:link w:val="CommentTextChar"/>
    <w:unhideWhenUsed/>
    <w:rsid w:val="00404585"/>
    <w:rPr>
      <w:sz w:val="20"/>
    </w:rPr>
  </w:style>
  <w:style w:type="character" w:customStyle="1" w:styleId="CommentTextChar">
    <w:name w:val="Comment Text Char"/>
    <w:basedOn w:val="DefaultParagraphFont"/>
    <w:link w:val="CommentText"/>
    <w:rsid w:val="00404585"/>
    <w:rPr>
      <w:lang w:val="es-ES" w:eastAsia="en-US"/>
    </w:rPr>
  </w:style>
  <w:style w:type="paragraph" w:styleId="CommentSubject">
    <w:name w:val="annotation subject"/>
    <w:basedOn w:val="CommentText"/>
    <w:next w:val="CommentText"/>
    <w:link w:val="CommentSubjectChar"/>
    <w:semiHidden/>
    <w:unhideWhenUsed/>
    <w:rsid w:val="00404585"/>
    <w:rPr>
      <w:b/>
      <w:bCs/>
    </w:rPr>
  </w:style>
  <w:style w:type="character" w:customStyle="1" w:styleId="CommentSubjectChar">
    <w:name w:val="Comment Subject Char"/>
    <w:basedOn w:val="CommentTextChar"/>
    <w:link w:val="CommentSubject"/>
    <w:semiHidden/>
    <w:rsid w:val="00404585"/>
    <w:rPr>
      <w:b/>
      <w:bCs/>
      <w:lang w:val="es-ES" w:eastAsia="en-US"/>
    </w:rPr>
  </w:style>
  <w:style w:type="paragraph" w:customStyle="1" w:styleId="RecTitleDate">
    <w:name w:val="Rec_Title/Date"/>
    <w:basedOn w:val="Normal"/>
    <w:next w:val="Normal"/>
    <w:rsid w:val="009E492D"/>
    <w:pPr>
      <w:keepNext/>
      <w:keepLines/>
      <w:tabs>
        <w:tab w:val="clear" w:pos="794"/>
        <w:tab w:val="clear" w:pos="1191"/>
        <w:tab w:val="clear" w:pos="1588"/>
        <w:tab w:val="clear" w:pos="1985"/>
        <w:tab w:val="right" w:pos="9696"/>
      </w:tabs>
      <w:spacing w:before="136"/>
      <w:jc w:val="right"/>
    </w:pPr>
    <w:rPr>
      <w:sz w:val="20"/>
      <w:lang w:val="es-ES_tradnl" w:eastAsia="zh-CN"/>
    </w:rPr>
  </w:style>
  <w:style w:type="paragraph" w:customStyle="1" w:styleId="Normalaftertitle0">
    <w:name w:val="Normal after title"/>
    <w:basedOn w:val="Normal"/>
    <w:next w:val="Normal"/>
    <w:rsid w:val="009E492D"/>
    <w:pPr>
      <w:spacing w:before="480"/>
    </w:pPr>
    <w:rPr>
      <w:sz w:val="20"/>
      <w:lang w:val="es-ES_tradnl" w:eastAsia="zh-CN"/>
    </w:rPr>
  </w:style>
  <w:style w:type="paragraph" w:customStyle="1" w:styleId="TableLegend0">
    <w:name w:val="Table_Legend"/>
    <w:basedOn w:val="Normal"/>
    <w:next w:val="Normal"/>
    <w:rsid w:val="009E492D"/>
    <w:pPr>
      <w:keepNext/>
      <w:spacing w:before="86" w:line="199" w:lineRule="exact"/>
      <w:ind w:left="-85" w:right="-85"/>
    </w:pPr>
    <w:rPr>
      <w:sz w:val="18"/>
      <w:szCs w:val="18"/>
      <w:lang w:val="es-ES_tradnl" w:eastAsia="zh-CN"/>
    </w:rPr>
  </w:style>
  <w:style w:type="paragraph" w:customStyle="1" w:styleId="TableTitle0">
    <w:name w:val="Table_Title"/>
    <w:basedOn w:val="Table"/>
    <w:next w:val="Blanc"/>
    <w:rsid w:val="009E492D"/>
    <w:pPr>
      <w:spacing w:before="0"/>
    </w:pPr>
    <w:rPr>
      <w:b/>
      <w:bCs/>
    </w:rPr>
  </w:style>
  <w:style w:type="paragraph" w:customStyle="1" w:styleId="Table">
    <w:name w:val="Table_#"/>
    <w:basedOn w:val="Normal"/>
    <w:next w:val="TableTitle0"/>
    <w:rsid w:val="009E492D"/>
    <w:pPr>
      <w:keepNext/>
      <w:tabs>
        <w:tab w:val="clear" w:pos="794"/>
        <w:tab w:val="clear" w:pos="1191"/>
        <w:tab w:val="clear" w:pos="1588"/>
        <w:tab w:val="clear" w:pos="1985"/>
      </w:tabs>
      <w:spacing w:before="567" w:after="113"/>
      <w:jc w:val="center"/>
    </w:pPr>
    <w:rPr>
      <w:sz w:val="18"/>
      <w:szCs w:val="18"/>
      <w:lang w:val="es-ES_tradnl" w:eastAsia="zh-CN"/>
    </w:rPr>
  </w:style>
  <w:style w:type="paragraph" w:customStyle="1" w:styleId="TableText0">
    <w:name w:val="Table_Text"/>
    <w:basedOn w:val="TableLegend0"/>
    <w:rsid w:val="009E492D"/>
    <w:pPr>
      <w:spacing w:before="100" w:after="100" w:line="190" w:lineRule="exact"/>
      <w:ind w:left="0" w:right="0"/>
    </w:pPr>
  </w:style>
  <w:style w:type="paragraph" w:customStyle="1" w:styleId="Annex">
    <w:name w:val="Annex_#"/>
    <w:basedOn w:val="Normal"/>
    <w:next w:val="Annexref"/>
    <w:rsid w:val="009E492D"/>
    <w:pPr>
      <w:tabs>
        <w:tab w:val="clear" w:pos="794"/>
        <w:tab w:val="clear" w:pos="1191"/>
        <w:tab w:val="clear" w:pos="1588"/>
        <w:tab w:val="clear" w:pos="1985"/>
        <w:tab w:val="center" w:pos="4849"/>
        <w:tab w:val="right" w:pos="9696"/>
      </w:tabs>
      <w:spacing w:before="720" w:after="68"/>
      <w:jc w:val="center"/>
    </w:pPr>
    <w:rPr>
      <w:sz w:val="20"/>
      <w:lang w:val="es-ES_tradnl" w:eastAsia="zh-CN"/>
    </w:rPr>
  </w:style>
  <w:style w:type="paragraph" w:customStyle="1" w:styleId="AnnexTitle">
    <w:name w:val="Annex_Title"/>
    <w:basedOn w:val="Normal"/>
    <w:next w:val="Normalaftertitle0"/>
    <w:rsid w:val="009E492D"/>
    <w:pPr>
      <w:tabs>
        <w:tab w:val="clear" w:pos="794"/>
        <w:tab w:val="clear" w:pos="1191"/>
        <w:tab w:val="clear" w:pos="1588"/>
        <w:tab w:val="clear" w:pos="1985"/>
        <w:tab w:val="left" w:pos="4849"/>
        <w:tab w:val="right" w:pos="9696"/>
      </w:tabs>
      <w:spacing w:before="136" w:after="200"/>
      <w:jc w:val="center"/>
    </w:pPr>
    <w:rPr>
      <w:b/>
      <w:bCs/>
      <w:szCs w:val="24"/>
      <w:lang w:val="es-ES_tradnl" w:eastAsia="zh-CN"/>
    </w:rPr>
  </w:style>
  <w:style w:type="paragraph" w:customStyle="1" w:styleId="call0">
    <w:name w:val="call"/>
    <w:basedOn w:val="Normal"/>
    <w:next w:val="Normal"/>
    <w:rsid w:val="009E492D"/>
    <w:pPr>
      <w:keepNext/>
      <w:keepLines/>
      <w:tabs>
        <w:tab w:val="clear" w:pos="1191"/>
        <w:tab w:val="clear" w:pos="1588"/>
        <w:tab w:val="clear" w:pos="1985"/>
      </w:tabs>
      <w:spacing w:before="227"/>
      <w:ind w:left="794"/>
      <w:jc w:val="left"/>
    </w:pPr>
    <w:rPr>
      <w:i/>
      <w:iCs/>
      <w:sz w:val="20"/>
      <w:lang w:val="es-ES_tradnl" w:eastAsia="zh-CN"/>
    </w:rPr>
  </w:style>
  <w:style w:type="paragraph" w:customStyle="1" w:styleId="Fig">
    <w:name w:val="Fig"/>
    <w:basedOn w:val="Figure"/>
    <w:next w:val="Fig0"/>
    <w:rsid w:val="009E492D"/>
    <w:pPr>
      <w:keepLines w:val="0"/>
      <w:spacing w:before="136" w:after="0"/>
    </w:pPr>
    <w:rPr>
      <w:caps w:val="0"/>
      <w:sz w:val="20"/>
      <w:lang w:val="es-ES_tradnl" w:eastAsia="zh-CN"/>
    </w:rPr>
  </w:style>
  <w:style w:type="paragraph" w:customStyle="1" w:styleId="Fig0">
    <w:name w:val="Fig_#"/>
    <w:basedOn w:val="Fig"/>
    <w:next w:val="Normal"/>
    <w:rsid w:val="009E492D"/>
    <w:pPr>
      <w:jc w:val="left"/>
    </w:pPr>
    <w:rPr>
      <w:color w:val="FFFFFF"/>
    </w:rPr>
  </w:style>
  <w:style w:type="character" w:customStyle="1" w:styleId="HeadingbChar">
    <w:name w:val="Heading_b Char"/>
    <w:link w:val="Headingb"/>
    <w:locked/>
    <w:rsid w:val="009E492D"/>
    <w:rPr>
      <w:b/>
      <w:sz w:val="24"/>
      <w:lang w:val="es-ES" w:eastAsia="en-US"/>
    </w:rPr>
  </w:style>
  <w:style w:type="paragraph" w:customStyle="1" w:styleId="Reasons">
    <w:name w:val="Reasons"/>
    <w:basedOn w:val="Normal"/>
    <w:qFormat/>
    <w:rsid w:val="001647B2"/>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F.1191/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rec/R-REC-SM.1138/es"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pub/R-REP-SM.2048/es" TargetMode="External"/><Relationship Id="rId23" Type="http://schemas.openxmlformats.org/officeDocument/2006/relationships/hyperlink" Target="https://www.itu.int/rec/R-REC-SM.1138/es" TargetMode="External"/><Relationship Id="rId10" Type="http://schemas.openxmlformats.org/officeDocument/2006/relationships/hyperlink" Target="https://www.itu.int/ITU-R/go/patents/es" TargetMode="External"/><Relationship Id="rId19" Type="http://schemas.openxmlformats.org/officeDocument/2006/relationships/hyperlink" Target="https://www.itu.int/rec/R-REC-SM.1138/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SM.1138/es" TargetMode="External"/><Relationship Id="rId22" Type="http://schemas.openxmlformats.org/officeDocument/2006/relationships/hyperlink" Target="https://www.itu.int/rec/R-REC-SM.1138/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AppData\Local\Temp\6bf5b903-6c03-47eb-92a1-bd2eea418a77_Recomendaciones%20Nueva%20carpeta%20comprimida%20(en%20zip).zip.a77\2023-ITU-R_REC_S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2023-ITU-R_REC_SM_S.dotx</Template>
  <TotalTime>70</TotalTime>
  <Pages>12</Pages>
  <Words>4542</Words>
  <Characters>23534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RECOMENDACIÓN  UIT-R  SM.853-2 - Ancho de banda necesario</vt:lpstr>
    </vt:vector>
  </TitlesOfParts>
  <Manager/>
  <Company>ITU</Company>
  <LinksUpToDate>false</LinksUpToDate>
  <CharactersWithSpaces>28020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SM.853-2 (09/2024) - Ancho de banda necesario</dc:title>
  <dc:subject>Serie SM = Gestión del espectro</dc:subject>
  <dc:creator>Oficina de Radiocomunicaciones del UIT (BR)</dc:creator>
  <cp:keywords/>
  <dc:description>Saez, 13/02/2025, ITU51017659</dc:description>
  <cp:lastModifiedBy>Saez Grau, Ricardo</cp:lastModifiedBy>
  <cp:revision>10</cp:revision>
  <cp:lastPrinted>2025-02-13T13:56:00Z</cp:lastPrinted>
  <dcterms:created xsi:type="dcterms:W3CDTF">2025-02-13T10:20:00Z</dcterms:created>
  <dcterms:modified xsi:type="dcterms:W3CDTF">2025-02-13T14:00:00Z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13 February 2025</vt:lpwstr>
  </property>
</Properties>
</file>