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91A1C" w14:textId="77777777" w:rsidR="00530F47" w:rsidRPr="00794379" w:rsidRDefault="00530F47" w:rsidP="00530F47">
      <w:pPr>
        <w:rPr>
          <w:lang w:val="fr-FR"/>
        </w:rPr>
      </w:pPr>
    </w:p>
    <w:p w14:paraId="509BA9EB" w14:textId="77777777" w:rsidR="00530F47" w:rsidRPr="00794379" w:rsidRDefault="00530F47" w:rsidP="00530F47">
      <w:pPr>
        <w:tabs>
          <w:tab w:val="clear" w:pos="794"/>
          <w:tab w:val="clear" w:pos="1191"/>
          <w:tab w:val="clear" w:pos="1588"/>
          <w:tab w:val="clear" w:pos="1985"/>
        </w:tabs>
        <w:rPr>
          <w:lang w:val="fr-FR"/>
        </w:rPr>
      </w:pPr>
    </w:p>
    <w:p w14:paraId="7ED28A96" w14:textId="3B7B1635" w:rsidR="00530F47" w:rsidRPr="00180DCC" w:rsidRDefault="00530F47" w:rsidP="00530F47">
      <w:pPr>
        <w:pStyle w:val="CoverNumber"/>
        <w:rPr>
          <w:lang w:val="fr-FR"/>
        </w:rPr>
      </w:pPr>
      <w:r w:rsidRPr="00180DCC">
        <w:rPr>
          <w:lang w:val="fr-FR"/>
        </w:rPr>
        <w:t>Recommandation UIT-R SM.</w:t>
      </w:r>
      <w:r w:rsidR="00AA41BC" w:rsidRPr="00180DCC">
        <w:rPr>
          <w:lang w:val="fr-FR"/>
        </w:rPr>
        <w:t>853-2</w:t>
      </w:r>
    </w:p>
    <w:p w14:paraId="6E1BA41C" w14:textId="7CD210AE" w:rsidR="00530F47" w:rsidRPr="00180DCC" w:rsidRDefault="00530F47" w:rsidP="00530F47">
      <w:pPr>
        <w:pStyle w:val="CoverDate"/>
        <w:rPr>
          <w:lang w:val="fr-FR"/>
        </w:rPr>
      </w:pPr>
      <w:r w:rsidRPr="00180DCC">
        <w:rPr>
          <w:lang w:val="fr-FR"/>
        </w:rPr>
        <w:t>(</w:t>
      </w:r>
      <w:r w:rsidR="00AA41BC" w:rsidRPr="00180DCC">
        <w:rPr>
          <w:lang w:val="fr-FR"/>
        </w:rPr>
        <w:t>09</w:t>
      </w:r>
      <w:r w:rsidRPr="00180DCC">
        <w:rPr>
          <w:lang w:val="fr-FR"/>
        </w:rPr>
        <w:t>/</w:t>
      </w:r>
      <w:r w:rsidR="00AA41BC" w:rsidRPr="00180DCC">
        <w:rPr>
          <w:lang w:val="fr-FR"/>
        </w:rPr>
        <w:t>2024</w:t>
      </w:r>
      <w:r w:rsidRPr="00180DCC">
        <w:rPr>
          <w:lang w:val="fr-FR"/>
        </w:rPr>
        <w:t>)</w:t>
      </w:r>
    </w:p>
    <w:p w14:paraId="3573BDAF" w14:textId="77777777" w:rsidR="00530F47" w:rsidRPr="00180DCC" w:rsidRDefault="00530F47" w:rsidP="00530F47">
      <w:pPr>
        <w:pStyle w:val="CoverSeries"/>
        <w:rPr>
          <w:lang w:val="fr-FR"/>
        </w:rPr>
      </w:pPr>
      <w:r w:rsidRPr="00180DCC">
        <w:rPr>
          <w:lang w:val="fr-FR"/>
        </w:rPr>
        <w:t>Série SM: Gestion du spectre</w:t>
      </w:r>
    </w:p>
    <w:p w14:paraId="3440B1A0" w14:textId="5F04346B" w:rsidR="00530F47" w:rsidRPr="00180DCC" w:rsidRDefault="00AA41BC" w:rsidP="00530F47">
      <w:pPr>
        <w:pStyle w:val="CoverTitle"/>
        <w:rPr>
          <w:lang w:val="fr-FR"/>
        </w:rPr>
      </w:pPr>
      <w:r w:rsidRPr="00180DCC">
        <w:rPr>
          <w:lang w:val="fr-FR"/>
        </w:rPr>
        <w:t>Largeur de bande nécessaire</w:t>
      </w:r>
    </w:p>
    <w:p w14:paraId="30EB12CE" w14:textId="77777777" w:rsidR="00530F47" w:rsidRPr="00180DCC" w:rsidRDefault="00530F47" w:rsidP="00530F47">
      <w:pPr>
        <w:rPr>
          <w:lang w:val="fr-FR"/>
        </w:rPr>
      </w:pPr>
    </w:p>
    <w:p w14:paraId="453D2DD8" w14:textId="77777777" w:rsidR="00530F47" w:rsidRPr="00180DCC" w:rsidRDefault="00530F47" w:rsidP="00530F47">
      <w:pPr>
        <w:rPr>
          <w:lang w:val="fr-FR"/>
        </w:rPr>
      </w:pPr>
    </w:p>
    <w:p w14:paraId="57149C79" w14:textId="77777777" w:rsidR="00530F47" w:rsidRPr="00180DCC" w:rsidRDefault="00530F47" w:rsidP="00530F47">
      <w:pPr>
        <w:rPr>
          <w:lang w:val="fr-FR"/>
        </w:rPr>
        <w:sectPr w:rsidR="00530F47" w:rsidRPr="00180DCC" w:rsidSect="00530F47">
          <w:headerReference w:type="even" r:id="rId6"/>
          <w:headerReference w:type="default" r:id="rId7"/>
          <w:footerReference w:type="default" r:id="rId8"/>
          <w:pgSz w:w="11907" w:h="16840" w:code="9"/>
          <w:pgMar w:top="1089" w:right="1089" w:bottom="284" w:left="1089" w:header="737" w:footer="284" w:gutter="0"/>
          <w:pgNumType w:start="1"/>
          <w:cols w:space="720"/>
          <w:docGrid w:linePitch="326"/>
        </w:sectPr>
      </w:pPr>
    </w:p>
    <w:p w14:paraId="4CC3A21A" w14:textId="77777777" w:rsidR="00530F47" w:rsidRPr="00180DCC" w:rsidRDefault="00530F47" w:rsidP="00530F47">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80" w:after="0"/>
        <w:rPr>
          <w:bCs/>
          <w:sz w:val="24"/>
          <w:szCs w:val="24"/>
          <w:lang w:val="fr-FR"/>
        </w:rPr>
      </w:pPr>
      <w:r w:rsidRPr="00180DCC">
        <w:rPr>
          <w:bCs/>
          <w:sz w:val="24"/>
          <w:szCs w:val="24"/>
          <w:lang w:val="fr-FR"/>
        </w:rPr>
        <w:lastRenderedPageBreak/>
        <w:t>Avant-propos</w:t>
      </w:r>
    </w:p>
    <w:p w14:paraId="082E989D" w14:textId="5D7D6B71" w:rsidR="00530F47" w:rsidRPr="00180DCC" w:rsidRDefault="00530F47" w:rsidP="00530F47">
      <w:pPr>
        <w:spacing w:before="240"/>
        <w:rPr>
          <w:sz w:val="20"/>
          <w:lang w:val="fr-FR"/>
        </w:rPr>
      </w:pPr>
      <w:r w:rsidRPr="00180DCC">
        <w:rPr>
          <w:sz w:val="20"/>
          <w:lang w:val="fr-FR"/>
        </w:rPr>
        <w:t>Le rôle du Secteur des radiocommunications est d</w:t>
      </w:r>
      <w:r w:rsidR="00C73875" w:rsidRPr="00180DCC">
        <w:rPr>
          <w:sz w:val="20"/>
          <w:lang w:val="fr-FR"/>
        </w:rPr>
        <w:t>'</w:t>
      </w:r>
      <w:r w:rsidRPr="00180DCC">
        <w:rPr>
          <w:sz w:val="20"/>
          <w:lang w:val="fr-FR"/>
        </w:rPr>
        <w:t>assurer l</w:t>
      </w:r>
      <w:r w:rsidR="00C73875" w:rsidRPr="00180DCC">
        <w:rPr>
          <w:sz w:val="20"/>
          <w:lang w:val="fr-FR"/>
        </w:rPr>
        <w:t>'</w:t>
      </w:r>
      <w:r w:rsidRPr="00180DCC">
        <w:rPr>
          <w:sz w:val="20"/>
          <w:lang w:val="fr-FR"/>
        </w:rPr>
        <w:t>utilisation rationnelle, équitable, efficace et économique du spectre radioélectrique par tous les services de radiocommunication, y compris les services par satellite, et de procéder à des études pour toutes les gammes de fréquences, à partir desquelles les Recommandations seront élaborées et adoptées.</w:t>
      </w:r>
    </w:p>
    <w:p w14:paraId="7EA1785A" w14:textId="39C37212" w:rsidR="00530F47" w:rsidRPr="00180DCC" w:rsidRDefault="00530F47" w:rsidP="00530F47">
      <w:pPr>
        <w:rPr>
          <w:sz w:val="20"/>
          <w:lang w:val="fr-FR"/>
        </w:rPr>
      </w:pPr>
      <w:r w:rsidRPr="00180DCC">
        <w:rPr>
          <w:sz w:val="20"/>
          <w:lang w:val="fr-FR"/>
        </w:rPr>
        <w:t>Les fonctions réglementaires et politiques du Secteur des radiocommunications sont remplies par les Conférences mondiales et régionales des radiocommunications et par les Assemblées des radiocommunications assistées par les Commissions d</w:t>
      </w:r>
      <w:r w:rsidR="00C73875" w:rsidRPr="00180DCC">
        <w:rPr>
          <w:sz w:val="20"/>
          <w:lang w:val="fr-FR"/>
        </w:rPr>
        <w:t>'</w:t>
      </w:r>
      <w:r w:rsidRPr="00180DCC">
        <w:rPr>
          <w:sz w:val="20"/>
          <w:lang w:val="fr-FR"/>
        </w:rPr>
        <w:t>études.</w:t>
      </w:r>
    </w:p>
    <w:p w14:paraId="1393132D" w14:textId="77777777" w:rsidR="00530F47" w:rsidRPr="00180DCC" w:rsidRDefault="00530F47" w:rsidP="00530F47">
      <w:pPr>
        <w:pStyle w:val="Heading1"/>
        <w:spacing w:before="360"/>
        <w:jc w:val="center"/>
        <w:rPr>
          <w:szCs w:val="24"/>
          <w:lang w:val="fr-FR"/>
        </w:rPr>
      </w:pPr>
      <w:r w:rsidRPr="00180DCC">
        <w:rPr>
          <w:szCs w:val="24"/>
          <w:lang w:val="fr-FR"/>
        </w:rPr>
        <w:t>Politique en matière de droits de propriété intellectuelle (IPR)</w:t>
      </w:r>
    </w:p>
    <w:p w14:paraId="1978B4E1" w14:textId="6AC9478F" w:rsidR="00C73875" w:rsidRPr="00180DCC" w:rsidRDefault="00C73875" w:rsidP="00C73875">
      <w:pPr>
        <w:tabs>
          <w:tab w:val="clear" w:pos="794"/>
          <w:tab w:val="clear" w:pos="1191"/>
          <w:tab w:val="clear" w:pos="1588"/>
          <w:tab w:val="clear" w:pos="1985"/>
        </w:tabs>
        <w:spacing w:before="240"/>
        <w:rPr>
          <w:sz w:val="20"/>
          <w:lang w:val="fr-FR"/>
        </w:rPr>
      </w:pPr>
      <w:r w:rsidRPr="00180DCC">
        <w:rPr>
          <w:sz w:val="20"/>
          <w:lang w:val="fr-FR"/>
        </w:rPr>
        <w:t>La politique de l'UIT-R en matière de droits de propriété intellectuelle est décrite dans la «Politique commune de l'UIT</w:t>
      </w:r>
      <w:r w:rsidRPr="00180DCC">
        <w:rPr>
          <w:sz w:val="20"/>
          <w:lang w:val="fr-FR"/>
        </w:rPr>
        <w:noBreakHyphen/>
        <w:t xml:space="preserve">T, l'UIT-R, l'ISO et la CEI en matière de brevets», dont il est question dans la Résolution UIT-R 1. Les formulaires que les titulaires de brevets doivent utiliser pour soumettre les déclarations de brevet et d'octroi de licence sont accessibles à l'adresse </w:t>
      </w:r>
      <w:hyperlink r:id="rId9" w:history="1">
        <w:r w:rsidR="00802534" w:rsidRPr="008E0728">
          <w:rPr>
            <w:rStyle w:val="Hyperlink"/>
            <w:sz w:val="20"/>
            <w:lang w:val="fr-FR"/>
          </w:rPr>
          <w:t>https://www.itu.int/ITU-R/go/patents/en</w:t>
        </w:r>
      </w:hyperlink>
      <w:r w:rsidRPr="00180DCC">
        <w:rPr>
          <w:sz w:val="20"/>
          <w:lang w:val="fr-FR"/>
        </w:rPr>
        <w:t>, où l'on trouvera également les Lignes directrices pour la mise en œuvre de la politique commune en matière de brevets de l'UIT-T, l'UIT-R, l'ISO et la CEI et la base de données en matière de brevets de l'UIT-R.</w:t>
      </w:r>
    </w:p>
    <w:p w14:paraId="78043FF9" w14:textId="77777777" w:rsidR="00530F47" w:rsidRPr="00180DCC" w:rsidRDefault="00530F47" w:rsidP="00530F47">
      <w:pPr>
        <w:spacing w:before="240"/>
        <w:jc w:val="center"/>
        <w:rPr>
          <w:sz w:val="22"/>
          <w:lang w:val="fr-FR"/>
        </w:rPr>
      </w:pPr>
    </w:p>
    <w:tbl>
      <w:tblPr>
        <w:tblW w:w="5000" w:type="pct"/>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1170"/>
        <w:gridCol w:w="8439"/>
      </w:tblGrid>
      <w:tr w:rsidR="00530F47" w:rsidRPr="00802534" w14:paraId="190612F6" w14:textId="77777777" w:rsidTr="00952074">
        <w:tc>
          <w:tcPr>
            <w:tcW w:w="9360" w:type="dxa"/>
            <w:gridSpan w:val="2"/>
          </w:tcPr>
          <w:p w14:paraId="56171F6D" w14:textId="77777777" w:rsidR="00530F47" w:rsidRPr="00180DCC" w:rsidRDefault="00530F47" w:rsidP="00952074">
            <w:pPr>
              <w:pStyle w:val="Chaptitle"/>
              <w:keepLines w:val="0"/>
              <w:tabs>
                <w:tab w:val="clear" w:pos="794"/>
                <w:tab w:val="clear" w:pos="1191"/>
                <w:tab w:val="clear" w:pos="1588"/>
                <w:tab w:val="clear" w:pos="1985"/>
              </w:tabs>
              <w:overflowPunct/>
              <w:spacing w:before="140"/>
              <w:textAlignment w:val="auto"/>
              <w:rPr>
                <w:sz w:val="22"/>
                <w:szCs w:val="22"/>
                <w:lang w:val="fr-FR"/>
              </w:rPr>
            </w:pPr>
            <w:r w:rsidRPr="00180DCC">
              <w:rPr>
                <w:sz w:val="22"/>
                <w:szCs w:val="22"/>
                <w:lang w:val="fr-FR"/>
              </w:rPr>
              <w:t xml:space="preserve">Séries des Recommandations UIT-R </w:t>
            </w:r>
          </w:p>
          <w:p w14:paraId="501D8F0F" w14:textId="622BB51B" w:rsidR="00530F47" w:rsidRPr="00180DCC" w:rsidRDefault="00530F47" w:rsidP="0095207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fr-FR"/>
              </w:rPr>
            </w:pPr>
            <w:r w:rsidRPr="00180DCC">
              <w:rPr>
                <w:b w:val="0"/>
                <w:sz w:val="18"/>
                <w:szCs w:val="18"/>
                <w:lang w:val="fr-FR"/>
              </w:rPr>
              <w:t>(</w:t>
            </w:r>
            <w:r w:rsidR="00C73875" w:rsidRPr="00180DCC">
              <w:rPr>
                <w:b w:val="0"/>
                <w:sz w:val="18"/>
                <w:szCs w:val="18"/>
                <w:lang w:val="fr-FR"/>
              </w:rPr>
              <w:t xml:space="preserve">Également disponible en ligne: </w:t>
            </w:r>
            <w:hyperlink r:id="rId10" w:history="1">
              <w:r w:rsidR="00802534" w:rsidRPr="008E0728">
                <w:rPr>
                  <w:rStyle w:val="Hyperlink"/>
                  <w:b w:val="0"/>
                  <w:sz w:val="18"/>
                  <w:szCs w:val="18"/>
                  <w:lang w:val="fr-FR"/>
                </w:rPr>
                <w:t>https://www.itu.int/publ/R-REC/en</w:t>
              </w:r>
            </w:hyperlink>
            <w:r w:rsidR="00C73875" w:rsidRPr="00180DCC">
              <w:rPr>
                <w:b w:val="0"/>
                <w:sz w:val="18"/>
                <w:szCs w:val="18"/>
                <w:lang w:val="fr-FR"/>
              </w:rPr>
              <w:t>)</w:t>
            </w:r>
          </w:p>
        </w:tc>
      </w:tr>
      <w:tr w:rsidR="00530F47" w:rsidRPr="00180DCC" w14:paraId="4B6B2B17" w14:textId="77777777" w:rsidTr="00952074">
        <w:tc>
          <w:tcPr>
            <w:tcW w:w="1140" w:type="dxa"/>
            <w:tcBorders>
              <w:bottom w:val="nil"/>
            </w:tcBorders>
          </w:tcPr>
          <w:p w14:paraId="1912190C" w14:textId="77777777" w:rsidR="00530F47" w:rsidRPr="00180DCC" w:rsidRDefault="00530F47" w:rsidP="00952074">
            <w:pPr>
              <w:spacing w:before="90" w:after="100"/>
              <w:ind w:left="57"/>
              <w:rPr>
                <w:b/>
                <w:bCs/>
                <w:sz w:val="20"/>
                <w:lang w:val="fr-FR"/>
              </w:rPr>
            </w:pPr>
            <w:r w:rsidRPr="00180DCC">
              <w:rPr>
                <w:b/>
                <w:bCs/>
                <w:sz w:val="20"/>
                <w:lang w:val="fr-FR"/>
              </w:rPr>
              <w:t>Séries</w:t>
            </w:r>
          </w:p>
        </w:tc>
        <w:tc>
          <w:tcPr>
            <w:tcW w:w="8220" w:type="dxa"/>
            <w:tcBorders>
              <w:bottom w:val="nil"/>
            </w:tcBorders>
          </w:tcPr>
          <w:p w14:paraId="6657A53E" w14:textId="77777777" w:rsidR="00530F47" w:rsidRPr="00180DCC" w:rsidRDefault="00530F47" w:rsidP="0095207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90" w:after="100"/>
              <w:rPr>
                <w:bCs/>
                <w:sz w:val="20"/>
                <w:lang w:val="fr-FR"/>
              </w:rPr>
            </w:pPr>
            <w:r w:rsidRPr="00180DCC">
              <w:rPr>
                <w:bCs/>
                <w:sz w:val="20"/>
                <w:lang w:val="fr-FR"/>
              </w:rPr>
              <w:t>Titre</w:t>
            </w:r>
          </w:p>
        </w:tc>
      </w:tr>
      <w:tr w:rsidR="00530F47" w:rsidRPr="00180DCC" w14:paraId="2C0F2938" w14:textId="77777777" w:rsidTr="00952074">
        <w:tc>
          <w:tcPr>
            <w:tcW w:w="1140" w:type="dxa"/>
            <w:tcBorders>
              <w:top w:val="nil"/>
              <w:bottom w:val="nil"/>
            </w:tcBorders>
            <w:shd w:val="clear" w:color="auto" w:fill="auto"/>
          </w:tcPr>
          <w:p w14:paraId="6960FCF3" w14:textId="77777777" w:rsidR="00530F47" w:rsidRPr="00180DCC" w:rsidRDefault="00530F47" w:rsidP="00952074">
            <w:pPr>
              <w:spacing w:before="30" w:after="30"/>
              <w:ind w:left="57"/>
              <w:jc w:val="left"/>
              <w:rPr>
                <w:rFonts w:ascii="Times New Roman Bold" w:hAnsi="Times New Roman Bold"/>
                <w:b/>
                <w:bCs/>
                <w:sz w:val="20"/>
                <w:lang w:val="fr-FR"/>
              </w:rPr>
            </w:pPr>
            <w:r w:rsidRPr="00180DCC">
              <w:rPr>
                <w:rFonts w:ascii="Times New Roman Bold" w:hAnsi="Times New Roman Bold"/>
                <w:b/>
                <w:bCs/>
                <w:sz w:val="20"/>
                <w:lang w:val="fr-FR"/>
              </w:rPr>
              <w:t>BO</w:t>
            </w:r>
          </w:p>
        </w:tc>
        <w:tc>
          <w:tcPr>
            <w:tcW w:w="8220" w:type="dxa"/>
            <w:tcBorders>
              <w:top w:val="nil"/>
              <w:bottom w:val="nil"/>
            </w:tcBorders>
            <w:shd w:val="clear" w:color="auto" w:fill="auto"/>
          </w:tcPr>
          <w:p w14:paraId="48D4F02F" w14:textId="77777777" w:rsidR="00530F47" w:rsidRPr="00180DCC" w:rsidRDefault="00530F47" w:rsidP="0095207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180DCC">
              <w:rPr>
                <w:b w:val="0"/>
                <w:sz w:val="20"/>
                <w:lang w:val="fr-FR"/>
              </w:rPr>
              <w:t>Diffusion par satellite</w:t>
            </w:r>
          </w:p>
        </w:tc>
      </w:tr>
      <w:tr w:rsidR="00530F47" w:rsidRPr="00802534" w14:paraId="2D765B1F" w14:textId="77777777" w:rsidTr="00952074">
        <w:tc>
          <w:tcPr>
            <w:tcW w:w="1140" w:type="dxa"/>
            <w:tcBorders>
              <w:top w:val="nil"/>
              <w:bottom w:val="nil"/>
            </w:tcBorders>
          </w:tcPr>
          <w:p w14:paraId="5CAD23A2" w14:textId="77777777" w:rsidR="00530F47" w:rsidRPr="00180DCC" w:rsidRDefault="00530F47" w:rsidP="00952074">
            <w:pPr>
              <w:spacing w:before="30" w:after="30"/>
              <w:ind w:left="57"/>
              <w:jc w:val="left"/>
              <w:rPr>
                <w:rFonts w:ascii="Times New Roman Bold" w:hAnsi="Times New Roman Bold"/>
                <w:b/>
                <w:bCs/>
                <w:sz w:val="20"/>
                <w:lang w:val="fr-FR"/>
              </w:rPr>
            </w:pPr>
            <w:r w:rsidRPr="00180DCC">
              <w:rPr>
                <w:rFonts w:ascii="Times New Roman Bold" w:hAnsi="Times New Roman Bold"/>
                <w:b/>
                <w:bCs/>
                <w:sz w:val="20"/>
                <w:lang w:val="fr-FR"/>
              </w:rPr>
              <w:t>BR</w:t>
            </w:r>
          </w:p>
        </w:tc>
        <w:tc>
          <w:tcPr>
            <w:tcW w:w="8220" w:type="dxa"/>
            <w:tcBorders>
              <w:top w:val="nil"/>
              <w:bottom w:val="nil"/>
            </w:tcBorders>
          </w:tcPr>
          <w:p w14:paraId="793CD2F8" w14:textId="6299C692" w:rsidR="00530F47" w:rsidRPr="00180DCC" w:rsidRDefault="00530F47" w:rsidP="0095207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180DCC">
              <w:rPr>
                <w:b w:val="0"/>
                <w:sz w:val="20"/>
                <w:lang w:val="fr-FR"/>
              </w:rPr>
              <w:t>Enregistrement pour la production, l</w:t>
            </w:r>
            <w:r w:rsidR="00C73875" w:rsidRPr="00180DCC">
              <w:rPr>
                <w:b w:val="0"/>
                <w:sz w:val="20"/>
                <w:lang w:val="fr-FR"/>
              </w:rPr>
              <w:t>'</w:t>
            </w:r>
            <w:r w:rsidRPr="00180DCC">
              <w:rPr>
                <w:b w:val="0"/>
                <w:sz w:val="20"/>
                <w:lang w:val="fr-FR"/>
              </w:rPr>
              <w:t>archivage et la diffusion; films pour la télévision</w:t>
            </w:r>
          </w:p>
        </w:tc>
      </w:tr>
      <w:tr w:rsidR="00530F47" w:rsidRPr="00180DCC" w14:paraId="491A06D8" w14:textId="77777777" w:rsidTr="00952074">
        <w:tc>
          <w:tcPr>
            <w:tcW w:w="1140" w:type="dxa"/>
            <w:tcBorders>
              <w:top w:val="nil"/>
              <w:bottom w:val="nil"/>
            </w:tcBorders>
            <w:shd w:val="clear" w:color="auto" w:fill="auto"/>
          </w:tcPr>
          <w:p w14:paraId="309284D0" w14:textId="77777777" w:rsidR="00530F47" w:rsidRPr="00180DCC" w:rsidRDefault="00530F47" w:rsidP="00952074">
            <w:pPr>
              <w:spacing w:before="30" w:after="30"/>
              <w:ind w:left="57"/>
              <w:jc w:val="left"/>
              <w:rPr>
                <w:b/>
                <w:bCs/>
                <w:sz w:val="20"/>
                <w:lang w:val="fr-FR"/>
              </w:rPr>
            </w:pPr>
            <w:r w:rsidRPr="00180DCC">
              <w:rPr>
                <w:b/>
                <w:bCs/>
                <w:sz w:val="20"/>
                <w:lang w:val="fr-FR"/>
              </w:rPr>
              <w:t>BS</w:t>
            </w:r>
          </w:p>
        </w:tc>
        <w:tc>
          <w:tcPr>
            <w:tcW w:w="8220" w:type="dxa"/>
            <w:tcBorders>
              <w:top w:val="nil"/>
              <w:bottom w:val="nil"/>
            </w:tcBorders>
            <w:shd w:val="clear" w:color="auto" w:fill="auto"/>
          </w:tcPr>
          <w:p w14:paraId="7FFDDD26" w14:textId="77777777" w:rsidR="00530F47" w:rsidRPr="00180DCC" w:rsidRDefault="00530F47" w:rsidP="0095207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180DCC">
              <w:rPr>
                <w:b w:val="0"/>
                <w:sz w:val="20"/>
                <w:lang w:val="fr-FR"/>
              </w:rPr>
              <w:t>Service de radiodiffusion sonore</w:t>
            </w:r>
          </w:p>
        </w:tc>
      </w:tr>
      <w:tr w:rsidR="00530F47" w:rsidRPr="00180DCC" w14:paraId="01CE9C92" w14:textId="77777777" w:rsidTr="00952074">
        <w:tc>
          <w:tcPr>
            <w:tcW w:w="1140" w:type="dxa"/>
            <w:tcBorders>
              <w:top w:val="nil"/>
              <w:bottom w:val="nil"/>
            </w:tcBorders>
            <w:shd w:val="clear" w:color="auto" w:fill="auto"/>
          </w:tcPr>
          <w:p w14:paraId="0685790B" w14:textId="77777777" w:rsidR="00530F47" w:rsidRPr="00180DCC" w:rsidRDefault="00530F47" w:rsidP="00952074">
            <w:pPr>
              <w:spacing w:before="30" w:after="30"/>
              <w:ind w:left="57"/>
              <w:jc w:val="left"/>
              <w:rPr>
                <w:b/>
                <w:bCs/>
                <w:sz w:val="20"/>
                <w:lang w:val="fr-FR"/>
              </w:rPr>
            </w:pPr>
            <w:r w:rsidRPr="00180DCC">
              <w:rPr>
                <w:b/>
                <w:bCs/>
                <w:sz w:val="20"/>
                <w:lang w:val="fr-FR"/>
              </w:rPr>
              <w:t>BT</w:t>
            </w:r>
          </w:p>
        </w:tc>
        <w:tc>
          <w:tcPr>
            <w:tcW w:w="8220" w:type="dxa"/>
            <w:tcBorders>
              <w:top w:val="nil"/>
              <w:bottom w:val="nil"/>
            </w:tcBorders>
            <w:shd w:val="clear" w:color="auto" w:fill="auto"/>
          </w:tcPr>
          <w:p w14:paraId="4981560A" w14:textId="77777777" w:rsidR="00530F47" w:rsidRPr="00180DCC" w:rsidRDefault="00530F47" w:rsidP="0095207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180DCC">
              <w:rPr>
                <w:b w:val="0"/>
                <w:sz w:val="20"/>
                <w:lang w:val="fr-FR"/>
              </w:rPr>
              <w:t>Service de radiodiffusion télévisuelle</w:t>
            </w:r>
          </w:p>
        </w:tc>
      </w:tr>
      <w:tr w:rsidR="00530F47" w:rsidRPr="00180DCC" w14:paraId="2A8D1DC2" w14:textId="77777777" w:rsidTr="00952074">
        <w:tc>
          <w:tcPr>
            <w:tcW w:w="1140" w:type="dxa"/>
            <w:tcBorders>
              <w:top w:val="nil"/>
              <w:bottom w:val="nil"/>
            </w:tcBorders>
            <w:shd w:val="clear" w:color="auto" w:fill="FFFFFF" w:themeFill="background1"/>
          </w:tcPr>
          <w:p w14:paraId="6E5945D5" w14:textId="77777777" w:rsidR="00530F47" w:rsidRPr="00180DCC" w:rsidRDefault="00530F47" w:rsidP="00952074">
            <w:pPr>
              <w:spacing w:before="30" w:after="30"/>
              <w:ind w:left="57"/>
              <w:jc w:val="left"/>
              <w:rPr>
                <w:rFonts w:ascii="Times New Roman Bold" w:hAnsi="Times New Roman Bold"/>
                <w:b/>
                <w:bCs/>
                <w:sz w:val="20"/>
                <w:lang w:val="fr-FR"/>
              </w:rPr>
            </w:pPr>
            <w:r w:rsidRPr="00180DCC">
              <w:rPr>
                <w:rFonts w:ascii="Times New Roman Bold" w:hAnsi="Times New Roman Bold"/>
                <w:b/>
                <w:bCs/>
                <w:sz w:val="20"/>
                <w:lang w:val="fr-FR"/>
              </w:rPr>
              <w:t>F</w:t>
            </w:r>
          </w:p>
        </w:tc>
        <w:tc>
          <w:tcPr>
            <w:tcW w:w="8220" w:type="dxa"/>
            <w:tcBorders>
              <w:top w:val="nil"/>
              <w:bottom w:val="nil"/>
            </w:tcBorders>
            <w:shd w:val="clear" w:color="auto" w:fill="FFFFFF" w:themeFill="background1"/>
          </w:tcPr>
          <w:p w14:paraId="71D8F071" w14:textId="77777777" w:rsidR="00530F47" w:rsidRPr="00180DCC" w:rsidRDefault="00530F47" w:rsidP="0095207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180DCC">
              <w:rPr>
                <w:b w:val="0"/>
                <w:sz w:val="20"/>
                <w:lang w:val="fr-FR"/>
              </w:rPr>
              <w:t>Service fixe</w:t>
            </w:r>
          </w:p>
        </w:tc>
      </w:tr>
      <w:tr w:rsidR="00530F47" w:rsidRPr="00802534" w14:paraId="663CC5B5" w14:textId="77777777" w:rsidTr="00952074">
        <w:tc>
          <w:tcPr>
            <w:tcW w:w="1140" w:type="dxa"/>
            <w:tcBorders>
              <w:top w:val="nil"/>
              <w:bottom w:val="nil"/>
            </w:tcBorders>
            <w:shd w:val="clear" w:color="auto" w:fill="FFFFFF" w:themeFill="background1"/>
          </w:tcPr>
          <w:p w14:paraId="02BB54F3" w14:textId="77777777" w:rsidR="00530F47" w:rsidRPr="00180DCC" w:rsidRDefault="00530F47" w:rsidP="00952074">
            <w:pPr>
              <w:spacing w:before="30" w:after="30"/>
              <w:ind w:left="57"/>
              <w:jc w:val="left"/>
              <w:rPr>
                <w:b/>
                <w:bCs/>
                <w:sz w:val="20"/>
                <w:lang w:val="fr-FR"/>
              </w:rPr>
            </w:pPr>
            <w:r w:rsidRPr="00180DCC">
              <w:rPr>
                <w:b/>
                <w:bCs/>
                <w:sz w:val="20"/>
                <w:lang w:val="fr-FR"/>
              </w:rPr>
              <w:t>M</w:t>
            </w:r>
          </w:p>
        </w:tc>
        <w:tc>
          <w:tcPr>
            <w:tcW w:w="8220" w:type="dxa"/>
            <w:tcBorders>
              <w:top w:val="nil"/>
              <w:bottom w:val="nil"/>
            </w:tcBorders>
            <w:shd w:val="clear" w:color="auto" w:fill="FFFFFF" w:themeFill="background1"/>
          </w:tcPr>
          <w:p w14:paraId="67B6ADF7" w14:textId="4F6E7691" w:rsidR="00530F47" w:rsidRPr="00180DCC" w:rsidRDefault="00530F47" w:rsidP="0095207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180DCC">
              <w:rPr>
                <w:b w:val="0"/>
                <w:sz w:val="20"/>
                <w:lang w:val="fr-FR"/>
              </w:rPr>
              <w:t>Services mobile, de radiorepérage et d</w:t>
            </w:r>
            <w:r w:rsidR="00C73875" w:rsidRPr="00180DCC">
              <w:rPr>
                <w:b w:val="0"/>
                <w:sz w:val="20"/>
                <w:lang w:val="fr-FR"/>
              </w:rPr>
              <w:t>'</w:t>
            </w:r>
            <w:r w:rsidRPr="00180DCC">
              <w:rPr>
                <w:b w:val="0"/>
                <w:sz w:val="20"/>
                <w:lang w:val="fr-FR"/>
              </w:rPr>
              <w:t>amateur y compris les services par satellite associés</w:t>
            </w:r>
          </w:p>
        </w:tc>
      </w:tr>
      <w:tr w:rsidR="00530F47" w:rsidRPr="00180DCC" w14:paraId="6EFD21D7" w14:textId="77777777" w:rsidTr="00952074">
        <w:tc>
          <w:tcPr>
            <w:tcW w:w="1140" w:type="dxa"/>
            <w:tcBorders>
              <w:top w:val="nil"/>
              <w:bottom w:val="nil"/>
            </w:tcBorders>
            <w:shd w:val="clear" w:color="auto" w:fill="FFFFFF" w:themeFill="background1"/>
          </w:tcPr>
          <w:p w14:paraId="44798D97" w14:textId="77777777" w:rsidR="00530F47" w:rsidRPr="00180DCC" w:rsidRDefault="00530F47" w:rsidP="00952074">
            <w:pPr>
              <w:spacing w:before="30" w:after="30"/>
              <w:ind w:left="57"/>
              <w:jc w:val="left"/>
              <w:rPr>
                <w:rFonts w:ascii="Times New Roman Bold" w:hAnsi="Times New Roman Bold"/>
                <w:b/>
                <w:bCs/>
                <w:sz w:val="20"/>
                <w:lang w:val="fr-FR"/>
              </w:rPr>
            </w:pPr>
            <w:r w:rsidRPr="00180DCC">
              <w:rPr>
                <w:rFonts w:ascii="Times New Roman Bold" w:hAnsi="Times New Roman Bold"/>
                <w:b/>
                <w:bCs/>
                <w:sz w:val="20"/>
                <w:lang w:val="fr-FR"/>
              </w:rPr>
              <w:t>P</w:t>
            </w:r>
          </w:p>
        </w:tc>
        <w:tc>
          <w:tcPr>
            <w:tcW w:w="8220" w:type="dxa"/>
            <w:tcBorders>
              <w:top w:val="nil"/>
              <w:bottom w:val="nil"/>
            </w:tcBorders>
            <w:shd w:val="clear" w:color="auto" w:fill="FFFFFF" w:themeFill="background1"/>
          </w:tcPr>
          <w:p w14:paraId="0639B5B9" w14:textId="77777777" w:rsidR="00530F47" w:rsidRPr="00180DCC" w:rsidRDefault="00530F47" w:rsidP="0095207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180DCC">
              <w:rPr>
                <w:b w:val="0"/>
                <w:sz w:val="20"/>
                <w:lang w:val="fr-FR"/>
              </w:rPr>
              <w:t>Propagation des ondes radioélectriques</w:t>
            </w:r>
          </w:p>
        </w:tc>
      </w:tr>
      <w:tr w:rsidR="00530F47" w:rsidRPr="00180DCC" w14:paraId="1EF357FC" w14:textId="77777777" w:rsidTr="00952074">
        <w:tc>
          <w:tcPr>
            <w:tcW w:w="1140" w:type="dxa"/>
            <w:tcBorders>
              <w:top w:val="nil"/>
              <w:bottom w:val="nil"/>
            </w:tcBorders>
            <w:shd w:val="clear" w:color="auto" w:fill="FFFFFF" w:themeFill="background1"/>
          </w:tcPr>
          <w:p w14:paraId="000838AF" w14:textId="77777777" w:rsidR="00530F47" w:rsidRPr="00180DCC" w:rsidRDefault="00530F47" w:rsidP="00952074">
            <w:pPr>
              <w:spacing w:before="30" w:after="30"/>
              <w:ind w:left="57"/>
              <w:jc w:val="left"/>
              <w:rPr>
                <w:rFonts w:ascii="Times New Roman Bold" w:hAnsi="Times New Roman Bold"/>
                <w:b/>
                <w:bCs/>
                <w:sz w:val="20"/>
                <w:lang w:val="fr-FR"/>
              </w:rPr>
            </w:pPr>
            <w:r w:rsidRPr="00180DCC">
              <w:rPr>
                <w:rFonts w:ascii="Times New Roman Bold" w:hAnsi="Times New Roman Bold"/>
                <w:b/>
                <w:bCs/>
                <w:sz w:val="20"/>
                <w:lang w:val="fr-FR"/>
              </w:rPr>
              <w:t>RA</w:t>
            </w:r>
          </w:p>
        </w:tc>
        <w:tc>
          <w:tcPr>
            <w:tcW w:w="8220" w:type="dxa"/>
            <w:tcBorders>
              <w:top w:val="nil"/>
              <w:bottom w:val="nil"/>
            </w:tcBorders>
            <w:shd w:val="clear" w:color="auto" w:fill="FFFFFF" w:themeFill="background1"/>
          </w:tcPr>
          <w:p w14:paraId="5673438D" w14:textId="77777777" w:rsidR="00530F47" w:rsidRPr="00180DCC" w:rsidRDefault="00530F47" w:rsidP="0095207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180DCC">
              <w:rPr>
                <w:b w:val="0"/>
                <w:sz w:val="20"/>
                <w:lang w:val="fr-FR"/>
              </w:rPr>
              <w:t>Radio astronomie</w:t>
            </w:r>
          </w:p>
        </w:tc>
      </w:tr>
      <w:tr w:rsidR="00530F47" w:rsidRPr="00180DCC" w14:paraId="56D65E2E" w14:textId="77777777" w:rsidTr="00952074">
        <w:tc>
          <w:tcPr>
            <w:tcW w:w="1140" w:type="dxa"/>
            <w:tcBorders>
              <w:top w:val="nil"/>
              <w:bottom w:val="nil"/>
            </w:tcBorders>
            <w:shd w:val="clear" w:color="auto" w:fill="FFFFFF" w:themeFill="background1"/>
          </w:tcPr>
          <w:p w14:paraId="788324E7" w14:textId="77777777" w:rsidR="00530F47" w:rsidRPr="00180DCC" w:rsidRDefault="00530F47" w:rsidP="00952074">
            <w:pPr>
              <w:spacing w:before="30" w:after="30"/>
              <w:ind w:left="57"/>
              <w:jc w:val="left"/>
              <w:rPr>
                <w:rFonts w:ascii="Times New Roman Bold" w:hAnsi="Times New Roman Bold"/>
                <w:b/>
                <w:bCs/>
                <w:sz w:val="20"/>
                <w:lang w:val="fr-FR"/>
              </w:rPr>
            </w:pPr>
            <w:r w:rsidRPr="00180DCC">
              <w:rPr>
                <w:rFonts w:ascii="Times New Roman Bold" w:hAnsi="Times New Roman Bold"/>
                <w:b/>
                <w:bCs/>
                <w:sz w:val="20"/>
                <w:lang w:val="fr-FR"/>
              </w:rPr>
              <w:t>RS</w:t>
            </w:r>
          </w:p>
        </w:tc>
        <w:tc>
          <w:tcPr>
            <w:tcW w:w="8220" w:type="dxa"/>
            <w:tcBorders>
              <w:top w:val="nil"/>
              <w:bottom w:val="nil"/>
            </w:tcBorders>
            <w:shd w:val="clear" w:color="auto" w:fill="FFFFFF" w:themeFill="background1"/>
          </w:tcPr>
          <w:p w14:paraId="5A2BA143" w14:textId="77777777" w:rsidR="00530F47" w:rsidRPr="00180DCC" w:rsidRDefault="00530F47" w:rsidP="0095207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180DCC">
              <w:rPr>
                <w:b w:val="0"/>
                <w:sz w:val="20"/>
                <w:lang w:val="fr-FR"/>
              </w:rPr>
              <w:t>Systèmes de télédétection</w:t>
            </w:r>
          </w:p>
        </w:tc>
      </w:tr>
      <w:tr w:rsidR="00530F47" w:rsidRPr="00180DCC" w14:paraId="41468977" w14:textId="77777777" w:rsidTr="00952074">
        <w:tc>
          <w:tcPr>
            <w:tcW w:w="1140" w:type="dxa"/>
            <w:tcBorders>
              <w:top w:val="nil"/>
              <w:bottom w:val="nil"/>
            </w:tcBorders>
            <w:shd w:val="clear" w:color="auto" w:fill="FFFFFF" w:themeFill="background1"/>
          </w:tcPr>
          <w:p w14:paraId="78E7F88D" w14:textId="77777777" w:rsidR="00530F47" w:rsidRPr="00180DCC" w:rsidRDefault="00530F47" w:rsidP="00952074">
            <w:pPr>
              <w:spacing w:before="30" w:after="30"/>
              <w:ind w:left="57"/>
              <w:jc w:val="left"/>
              <w:rPr>
                <w:rFonts w:ascii="Times New Roman Bold" w:hAnsi="Times New Roman Bold"/>
                <w:b/>
                <w:bCs/>
                <w:sz w:val="20"/>
                <w:lang w:val="fr-FR"/>
              </w:rPr>
            </w:pPr>
            <w:r w:rsidRPr="00180DCC">
              <w:rPr>
                <w:rFonts w:ascii="Times New Roman Bold" w:hAnsi="Times New Roman Bold"/>
                <w:b/>
                <w:bCs/>
                <w:sz w:val="20"/>
                <w:lang w:val="fr-FR"/>
              </w:rPr>
              <w:t>S</w:t>
            </w:r>
          </w:p>
        </w:tc>
        <w:tc>
          <w:tcPr>
            <w:tcW w:w="8220" w:type="dxa"/>
            <w:tcBorders>
              <w:top w:val="nil"/>
              <w:bottom w:val="nil"/>
            </w:tcBorders>
            <w:shd w:val="clear" w:color="auto" w:fill="FFFFFF" w:themeFill="background1"/>
          </w:tcPr>
          <w:p w14:paraId="7637445D" w14:textId="77777777" w:rsidR="00530F47" w:rsidRPr="00180DCC" w:rsidRDefault="00530F47" w:rsidP="0095207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180DCC">
              <w:rPr>
                <w:b w:val="0"/>
                <w:sz w:val="20"/>
                <w:lang w:val="fr-FR"/>
              </w:rPr>
              <w:t>Service fixe par satellite</w:t>
            </w:r>
          </w:p>
        </w:tc>
      </w:tr>
      <w:tr w:rsidR="00530F47" w:rsidRPr="00180DCC" w14:paraId="30F299A7" w14:textId="77777777" w:rsidTr="00952074">
        <w:tc>
          <w:tcPr>
            <w:tcW w:w="1140" w:type="dxa"/>
            <w:tcBorders>
              <w:top w:val="nil"/>
              <w:bottom w:val="nil"/>
            </w:tcBorders>
            <w:shd w:val="clear" w:color="auto" w:fill="FFFFFF" w:themeFill="background1"/>
          </w:tcPr>
          <w:p w14:paraId="4A146070" w14:textId="77777777" w:rsidR="00530F47" w:rsidRPr="00180DCC" w:rsidRDefault="00530F47" w:rsidP="00952074">
            <w:pPr>
              <w:spacing w:before="30" w:after="30"/>
              <w:ind w:left="57"/>
              <w:jc w:val="left"/>
              <w:rPr>
                <w:rFonts w:ascii="Times New Roman Bold" w:hAnsi="Times New Roman Bold"/>
                <w:sz w:val="20"/>
                <w:lang w:val="fr-FR"/>
              </w:rPr>
            </w:pPr>
            <w:r w:rsidRPr="00180DCC">
              <w:rPr>
                <w:rFonts w:ascii="Times New Roman Bold" w:hAnsi="Times New Roman Bold"/>
                <w:sz w:val="20"/>
                <w:lang w:val="fr-FR"/>
              </w:rPr>
              <w:t>SA</w:t>
            </w:r>
          </w:p>
        </w:tc>
        <w:tc>
          <w:tcPr>
            <w:tcW w:w="8220" w:type="dxa"/>
            <w:tcBorders>
              <w:top w:val="nil"/>
              <w:bottom w:val="nil"/>
            </w:tcBorders>
            <w:shd w:val="clear" w:color="auto" w:fill="FFFFFF" w:themeFill="background1"/>
          </w:tcPr>
          <w:p w14:paraId="0AC48A19" w14:textId="77777777" w:rsidR="00530F47" w:rsidRPr="00180DCC" w:rsidRDefault="00530F47" w:rsidP="0095207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180DCC">
              <w:rPr>
                <w:b w:val="0"/>
                <w:sz w:val="20"/>
                <w:lang w:val="fr-FR"/>
              </w:rPr>
              <w:t>Applications spatiales et météorologie</w:t>
            </w:r>
          </w:p>
        </w:tc>
      </w:tr>
      <w:tr w:rsidR="00530F47" w:rsidRPr="00802534" w14:paraId="551C282E" w14:textId="77777777" w:rsidTr="00952074">
        <w:tc>
          <w:tcPr>
            <w:tcW w:w="1140" w:type="dxa"/>
            <w:tcBorders>
              <w:top w:val="nil"/>
            </w:tcBorders>
            <w:shd w:val="clear" w:color="auto" w:fill="FFFFFF" w:themeFill="background1"/>
          </w:tcPr>
          <w:p w14:paraId="65FD7AD3" w14:textId="77777777" w:rsidR="00530F47" w:rsidRPr="00180DCC" w:rsidRDefault="00530F47" w:rsidP="00952074">
            <w:pPr>
              <w:spacing w:before="30" w:after="30"/>
              <w:ind w:left="57"/>
              <w:jc w:val="left"/>
              <w:rPr>
                <w:rFonts w:ascii="Times New Roman Bold" w:hAnsi="Times New Roman Bold"/>
                <w:b/>
                <w:bCs/>
                <w:sz w:val="20"/>
                <w:lang w:val="fr-FR"/>
              </w:rPr>
            </w:pPr>
            <w:r w:rsidRPr="00180DCC">
              <w:rPr>
                <w:rFonts w:ascii="Times New Roman Bold" w:hAnsi="Times New Roman Bold"/>
                <w:b/>
                <w:bCs/>
                <w:sz w:val="20"/>
                <w:lang w:val="fr-FR"/>
              </w:rPr>
              <w:t>SF</w:t>
            </w:r>
          </w:p>
        </w:tc>
        <w:tc>
          <w:tcPr>
            <w:tcW w:w="8220" w:type="dxa"/>
            <w:tcBorders>
              <w:top w:val="nil"/>
            </w:tcBorders>
            <w:shd w:val="clear" w:color="auto" w:fill="FFFFFF" w:themeFill="background1"/>
          </w:tcPr>
          <w:p w14:paraId="485DE4B7" w14:textId="77777777" w:rsidR="00530F47" w:rsidRPr="00180DCC" w:rsidRDefault="00530F47" w:rsidP="0095207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lang w:val="fr-FR"/>
              </w:rPr>
            </w:pPr>
            <w:r w:rsidRPr="00180DCC">
              <w:rPr>
                <w:b w:val="0"/>
                <w:bCs/>
                <w:sz w:val="20"/>
                <w:lang w:val="fr-FR"/>
              </w:rPr>
              <w:t>Partage des fréquences et coordination entre les systèmes du service fixe par satellite et du service fixe</w:t>
            </w:r>
          </w:p>
        </w:tc>
      </w:tr>
      <w:tr w:rsidR="00530F47" w:rsidRPr="00180DCC" w14:paraId="6005C4B6" w14:textId="77777777" w:rsidTr="00952074">
        <w:tc>
          <w:tcPr>
            <w:tcW w:w="1140" w:type="dxa"/>
            <w:shd w:val="clear" w:color="auto" w:fill="F3F3F3"/>
          </w:tcPr>
          <w:p w14:paraId="343E5589" w14:textId="77777777" w:rsidR="00530F47" w:rsidRPr="00180DCC" w:rsidRDefault="00530F47" w:rsidP="00952074">
            <w:pPr>
              <w:spacing w:before="30" w:after="30"/>
              <w:ind w:left="57"/>
              <w:jc w:val="left"/>
              <w:rPr>
                <w:b/>
                <w:bCs/>
                <w:color w:val="000080"/>
                <w:sz w:val="20"/>
                <w:lang w:val="fr-FR"/>
              </w:rPr>
            </w:pPr>
            <w:r w:rsidRPr="00180DCC">
              <w:rPr>
                <w:b/>
                <w:bCs/>
                <w:color w:val="000080"/>
                <w:sz w:val="20"/>
                <w:lang w:val="fr-FR"/>
              </w:rPr>
              <w:t>SM</w:t>
            </w:r>
          </w:p>
        </w:tc>
        <w:tc>
          <w:tcPr>
            <w:tcW w:w="8220" w:type="dxa"/>
            <w:shd w:val="clear" w:color="auto" w:fill="F3F3F3"/>
          </w:tcPr>
          <w:p w14:paraId="56644707" w14:textId="77777777" w:rsidR="00530F47" w:rsidRPr="00180DCC" w:rsidRDefault="00530F47" w:rsidP="0095207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Cs/>
                <w:color w:val="000080"/>
                <w:sz w:val="20"/>
                <w:lang w:val="fr-FR"/>
              </w:rPr>
            </w:pPr>
            <w:r w:rsidRPr="00180DCC">
              <w:rPr>
                <w:bCs/>
                <w:color w:val="000080"/>
                <w:sz w:val="20"/>
                <w:lang w:val="fr-FR"/>
              </w:rPr>
              <w:t>Gestion du spectre</w:t>
            </w:r>
          </w:p>
        </w:tc>
      </w:tr>
      <w:tr w:rsidR="00530F47" w:rsidRPr="00180DCC" w14:paraId="478D16D4" w14:textId="77777777" w:rsidTr="00952074">
        <w:tc>
          <w:tcPr>
            <w:tcW w:w="1140" w:type="dxa"/>
          </w:tcPr>
          <w:p w14:paraId="58586CE8" w14:textId="77777777" w:rsidR="00530F47" w:rsidRPr="00180DCC" w:rsidRDefault="00530F47" w:rsidP="00952074">
            <w:pPr>
              <w:spacing w:before="30" w:after="30"/>
              <w:ind w:left="57"/>
              <w:jc w:val="left"/>
              <w:rPr>
                <w:b/>
                <w:bCs/>
                <w:sz w:val="20"/>
                <w:lang w:val="fr-FR"/>
              </w:rPr>
            </w:pPr>
            <w:r w:rsidRPr="00180DCC">
              <w:rPr>
                <w:b/>
                <w:bCs/>
                <w:sz w:val="20"/>
                <w:lang w:val="fr-FR"/>
              </w:rPr>
              <w:t>SNG</w:t>
            </w:r>
          </w:p>
        </w:tc>
        <w:tc>
          <w:tcPr>
            <w:tcW w:w="8220" w:type="dxa"/>
          </w:tcPr>
          <w:p w14:paraId="5356E49C" w14:textId="0E24DC42" w:rsidR="00530F47" w:rsidRPr="00180DCC" w:rsidRDefault="00530F47" w:rsidP="0095207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180DCC">
              <w:rPr>
                <w:b w:val="0"/>
                <w:sz w:val="20"/>
                <w:lang w:val="fr-FR"/>
              </w:rPr>
              <w:t>Reportage d</w:t>
            </w:r>
            <w:r w:rsidR="00C73875" w:rsidRPr="00180DCC">
              <w:rPr>
                <w:b w:val="0"/>
                <w:sz w:val="20"/>
                <w:lang w:val="fr-FR"/>
              </w:rPr>
              <w:t>'</w:t>
            </w:r>
            <w:r w:rsidRPr="00180DCC">
              <w:rPr>
                <w:b w:val="0"/>
                <w:sz w:val="20"/>
                <w:lang w:val="fr-FR"/>
              </w:rPr>
              <w:t>actualités par satellite</w:t>
            </w:r>
          </w:p>
        </w:tc>
      </w:tr>
      <w:tr w:rsidR="00530F47" w:rsidRPr="00802534" w14:paraId="7754A2AA" w14:textId="77777777" w:rsidTr="00952074">
        <w:tc>
          <w:tcPr>
            <w:tcW w:w="1140" w:type="dxa"/>
          </w:tcPr>
          <w:p w14:paraId="0AB19AE9" w14:textId="77777777" w:rsidR="00530F47" w:rsidRPr="00180DCC" w:rsidRDefault="00530F47" w:rsidP="00952074">
            <w:pPr>
              <w:spacing w:before="30" w:after="30"/>
              <w:ind w:left="57"/>
              <w:jc w:val="left"/>
              <w:rPr>
                <w:rFonts w:ascii="Times New Roman Bold" w:hAnsi="Times New Roman Bold"/>
                <w:b/>
                <w:bCs/>
                <w:sz w:val="20"/>
                <w:lang w:val="fr-FR"/>
              </w:rPr>
            </w:pPr>
            <w:r w:rsidRPr="00180DCC">
              <w:rPr>
                <w:rFonts w:ascii="Times New Roman Bold" w:hAnsi="Times New Roman Bold"/>
                <w:b/>
                <w:bCs/>
                <w:sz w:val="20"/>
                <w:lang w:val="fr-FR"/>
              </w:rPr>
              <w:t>TF</w:t>
            </w:r>
          </w:p>
        </w:tc>
        <w:tc>
          <w:tcPr>
            <w:tcW w:w="8220" w:type="dxa"/>
          </w:tcPr>
          <w:p w14:paraId="5A909297" w14:textId="20FCE8DE" w:rsidR="00530F47" w:rsidRPr="00180DCC" w:rsidRDefault="00B902A3" w:rsidP="0095207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180DCC">
              <w:rPr>
                <w:b w:val="0"/>
                <w:sz w:val="20"/>
                <w:lang w:val="fr-FR"/>
              </w:rPr>
              <w:t>Émissions</w:t>
            </w:r>
            <w:r w:rsidR="00530F47" w:rsidRPr="00180DCC">
              <w:rPr>
                <w:b w:val="0"/>
                <w:sz w:val="20"/>
                <w:lang w:val="fr-FR"/>
              </w:rPr>
              <w:t xml:space="preserve"> de fréquences étalon et de signaux horaires</w:t>
            </w:r>
          </w:p>
        </w:tc>
      </w:tr>
      <w:tr w:rsidR="00530F47" w:rsidRPr="00180DCC" w14:paraId="1077F3EE" w14:textId="77777777" w:rsidTr="00952074">
        <w:tc>
          <w:tcPr>
            <w:tcW w:w="1140" w:type="dxa"/>
          </w:tcPr>
          <w:p w14:paraId="04F13E9C" w14:textId="77777777" w:rsidR="00530F47" w:rsidRPr="00180DCC" w:rsidRDefault="00530F47" w:rsidP="00952074">
            <w:pPr>
              <w:spacing w:before="30" w:after="30"/>
              <w:ind w:left="57"/>
              <w:jc w:val="left"/>
              <w:rPr>
                <w:b/>
                <w:bCs/>
                <w:sz w:val="20"/>
                <w:lang w:val="fr-FR"/>
              </w:rPr>
            </w:pPr>
            <w:r w:rsidRPr="00180DCC">
              <w:rPr>
                <w:b/>
                <w:bCs/>
                <w:sz w:val="20"/>
                <w:lang w:val="fr-FR"/>
              </w:rPr>
              <w:t>V</w:t>
            </w:r>
          </w:p>
        </w:tc>
        <w:tc>
          <w:tcPr>
            <w:tcW w:w="8220" w:type="dxa"/>
          </w:tcPr>
          <w:p w14:paraId="35FB9B0C" w14:textId="77777777" w:rsidR="00530F47" w:rsidRPr="00180DCC" w:rsidRDefault="00530F47" w:rsidP="0095207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140"/>
              <w:jc w:val="left"/>
              <w:rPr>
                <w:b w:val="0"/>
                <w:sz w:val="20"/>
                <w:lang w:val="fr-FR"/>
              </w:rPr>
            </w:pPr>
            <w:r w:rsidRPr="00180DCC">
              <w:rPr>
                <w:b w:val="0"/>
                <w:sz w:val="20"/>
                <w:lang w:val="fr-FR"/>
              </w:rPr>
              <w:t>Vocabulaire et sujets associés</w:t>
            </w:r>
          </w:p>
        </w:tc>
      </w:tr>
    </w:tbl>
    <w:p w14:paraId="64D59965" w14:textId="77777777" w:rsidR="00530F47" w:rsidRPr="00180DCC" w:rsidRDefault="00530F47" w:rsidP="00530F47">
      <w:pPr>
        <w:spacing w:before="0"/>
        <w:jc w:val="center"/>
        <w:rPr>
          <w:sz w:val="20"/>
          <w:lang w:val="fr-FR"/>
        </w:rPr>
      </w:pPr>
    </w:p>
    <w:p w14:paraId="716AB0C6" w14:textId="77777777" w:rsidR="00530F47" w:rsidRPr="00180DCC" w:rsidRDefault="00530F47" w:rsidP="00530F47">
      <w:pPr>
        <w:spacing w:before="0"/>
        <w:ind w:left="180"/>
        <w:jc w:val="center"/>
        <w:rPr>
          <w:sz w:val="22"/>
          <w:lang w:val="fr-FR"/>
        </w:rPr>
      </w:pPr>
    </w:p>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530F47" w:rsidRPr="00802534" w14:paraId="6D1CB522" w14:textId="77777777" w:rsidTr="00952074">
        <w:tc>
          <w:tcPr>
            <w:tcW w:w="9360" w:type="dxa"/>
          </w:tcPr>
          <w:p w14:paraId="250C8A27" w14:textId="77777777" w:rsidR="00530F47" w:rsidRPr="00180DCC" w:rsidRDefault="00530F47" w:rsidP="00952074">
            <w:pPr>
              <w:spacing w:before="80" w:after="80"/>
              <w:rPr>
                <w:i/>
                <w:iCs/>
                <w:sz w:val="20"/>
                <w:lang w:val="fr-FR"/>
              </w:rPr>
            </w:pPr>
            <w:r w:rsidRPr="00180DCC">
              <w:rPr>
                <w:b/>
                <w:bCs/>
                <w:i/>
                <w:iCs/>
                <w:sz w:val="20"/>
                <w:lang w:val="fr-FR"/>
              </w:rPr>
              <w:t>Note</w:t>
            </w:r>
            <w:r w:rsidRPr="00180DCC">
              <w:rPr>
                <w:i/>
                <w:iCs/>
                <w:sz w:val="20"/>
                <w:lang w:val="fr-FR"/>
              </w:rPr>
              <w:t xml:space="preserve">: Cette Recommandation UIT-R a été approuvée en anglais aux termes de la procédure détaillée dans la Résolution UIT-R 1. </w:t>
            </w:r>
          </w:p>
        </w:tc>
      </w:tr>
    </w:tbl>
    <w:p w14:paraId="015DD7AF" w14:textId="77777777" w:rsidR="00530F47" w:rsidRPr="00180DCC" w:rsidRDefault="00530F47" w:rsidP="00530F47">
      <w:pPr>
        <w:spacing w:before="0"/>
        <w:jc w:val="center"/>
        <w:rPr>
          <w:sz w:val="22"/>
          <w:lang w:val="fr-FR"/>
        </w:rPr>
      </w:pPr>
    </w:p>
    <w:p w14:paraId="082811A5" w14:textId="77777777" w:rsidR="00530F47" w:rsidRPr="00180DCC" w:rsidRDefault="00530F47" w:rsidP="00530F47">
      <w:pPr>
        <w:spacing w:before="100"/>
        <w:jc w:val="right"/>
        <w:rPr>
          <w:i/>
          <w:iCs/>
          <w:sz w:val="20"/>
          <w:lang w:val="fr-FR"/>
        </w:rPr>
      </w:pPr>
      <w:r w:rsidRPr="00180DCC">
        <w:rPr>
          <w:i/>
          <w:iCs/>
          <w:sz w:val="20"/>
          <w:lang w:val="fr-FR"/>
        </w:rPr>
        <w:t>Publication électronique</w:t>
      </w:r>
    </w:p>
    <w:p w14:paraId="04399BD9" w14:textId="067AB46F" w:rsidR="00530F47" w:rsidRPr="00180DCC" w:rsidRDefault="00530F47" w:rsidP="00530F47">
      <w:pPr>
        <w:spacing w:before="0"/>
        <w:jc w:val="right"/>
        <w:rPr>
          <w:sz w:val="20"/>
          <w:lang w:val="fr-FR"/>
        </w:rPr>
      </w:pPr>
      <w:r w:rsidRPr="00180DCC">
        <w:rPr>
          <w:sz w:val="20"/>
          <w:lang w:val="fr-FR"/>
        </w:rPr>
        <w:t>Genève, 202</w:t>
      </w:r>
      <w:r w:rsidR="00AA41BC" w:rsidRPr="00180DCC">
        <w:rPr>
          <w:sz w:val="20"/>
          <w:lang w:val="fr-FR"/>
        </w:rPr>
        <w:t>5</w:t>
      </w:r>
    </w:p>
    <w:p w14:paraId="311C7597" w14:textId="38D3A16A" w:rsidR="00530F47" w:rsidRPr="00180DCC" w:rsidRDefault="00530F47" w:rsidP="00530F47">
      <w:pPr>
        <w:spacing w:before="200"/>
        <w:jc w:val="center"/>
        <w:rPr>
          <w:sz w:val="20"/>
          <w:lang w:val="fr-FR"/>
        </w:rPr>
      </w:pPr>
      <w:r w:rsidRPr="00180DCC">
        <w:rPr>
          <w:sz w:val="20"/>
          <w:lang w:val="fr-FR"/>
        </w:rPr>
        <w:sym w:font="Symbol" w:char="F0E3"/>
      </w:r>
      <w:r w:rsidRPr="00180DCC">
        <w:rPr>
          <w:sz w:val="20"/>
          <w:lang w:val="fr-FR"/>
        </w:rPr>
        <w:t xml:space="preserve"> UIT 202</w:t>
      </w:r>
      <w:r w:rsidR="00AA41BC" w:rsidRPr="00180DCC">
        <w:rPr>
          <w:sz w:val="20"/>
          <w:lang w:val="fr-FR"/>
        </w:rPr>
        <w:t>5</w:t>
      </w:r>
    </w:p>
    <w:p w14:paraId="2BD7E1F5" w14:textId="4596CEE0" w:rsidR="00530F47" w:rsidRPr="00180DCC" w:rsidRDefault="00530F47" w:rsidP="00530F47">
      <w:pPr>
        <w:rPr>
          <w:sz w:val="18"/>
          <w:szCs w:val="18"/>
          <w:lang w:val="fr-FR"/>
        </w:rPr>
      </w:pPr>
      <w:r w:rsidRPr="00180DCC">
        <w:rPr>
          <w:sz w:val="18"/>
          <w:szCs w:val="18"/>
          <w:lang w:val="fr-FR"/>
        </w:rPr>
        <w:t>Tous droits réservés. Aucune partie de cette publication ne peut être reproduite, par quelque procédé que ce soit, sans l</w:t>
      </w:r>
      <w:r w:rsidR="00C73875" w:rsidRPr="00180DCC">
        <w:rPr>
          <w:sz w:val="18"/>
          <w:szCs w:val="18"/>
          <w:lang w:val="fr-FR"/>
        </w:rPr>
        <w:t>'</w:t>
      </w:r>
      <w:r w:rsidRPr="00180DCC">
        <w:rPr>
          <w:sz w:val="18"/>
          <w:szCs w:val="18"/>
          <w:lang w:val="fr-FR"/>
        </w:rPr>
        <w:t>accord écrit préalable de l</w:t>
      </w:r>
      <w:r w:rsidR="00C73875" w:rsidRPr="00180DCC">
        <w:rPr>
          <w:sz w:val="18"/>
          <w:szCs w:val="18"/>
          <w:lang w:val="fr-FR"/>
        </w:rPr>
        <w:t>'</w:t>
      </w:r>
      <w:r w:rsidRPr="00180DCC">
        <w:rPr>
          <w:sz w:val="18"/>
          <w:szCs w:val="18"/>
          <w:lang w:val="fr-FR"/>
        </w:rPr>
        <w:t>UIT.</w:t>
      </w:r>
    </w:p>
    <w:p w14:paraId="140449C3" w14:textId="77777777" w:rsidR="00530F47" w:rsidRPr="00180DCC" w:rsidRDefault="00530F47" w:rsidP="00530F47">
      <w:pPr>
        <w:spacing w:before="160"/>
        <w:rPr>
          <w:i/>
          <w:sz w:val="20"/>
          <w:lang w:val="fr-FR"/>
        </w:rPr>
        <w:sectPr w:rsidR="00530F47" w:rsidRPr="00180DCC" w:rsidSect="00530F47">
          <w:headerReference w:type="even" r:id="rId11"/>
          <w:headerReference w:type="default" r:id="rId12"/>
          <w:pgSz w:w="11907" w:h="16834" w:code="9"/>
          <w:pgMar w:top="1418" w:right="1134" w:bottom="1134" w:left="1134" w:header="720" w:footer="482" w:gutter="0"/>
          <w:paperSrc w:first="15" w:other="15"/>
          <w:pgNumType w:fmt="lowerRoman" w:start="2"/>
          <w:cols w:space="720"/>
        </w:sectPr>
      </w:pPr>
    </w:p>
    <w:p w14:paraId="038E8031" w14:textId="55005EDD" w:rsidR="00530F47" w:rsidRPr="00180DCC" w:rsidRDefault="00530F47" w:rsidP="00530F47">
      <w:pPr>
        <w:pStyle w:val="RecNo"/>
        <w:spacing w:before="0"/>
        <w:rPr>
          <w:lang w:val="fr-FR"/>
        </w:rPr>
      </w:pPr>
      <w:r w:rsidRPr="00180DCC">
        <w:rPr>
          <w:lang w:val="fr-FR"/>
        </w:rPr>
        <w:lastRenderedPageBreak/>
        <w:t xml:space="preserve">RECOMMANDATION  </w:t>
      </w:r>
      <w:r w:rsidRPr="00180DCC">
        <w:rPr>
          <w:rStyle w:val="href"/>
          <w:lang w:val="fr-FR"/>
        </w:rPr>
        <w:t>UIT-R  SM.</w:t>
      </w:r>
      <w:r w:rsidR="00AA41BC" w:rsidRPr="00180DCC">
        <w:rPr>
          <w:rStyle w:val="href"/>
          <w:lang w:val="fr-FR"/>
        </w:rPr>
        <w:t>853-2</w:t>
      </w:r>
    </w:p>
    <w:p w14:paraId="684A6D7F" w14:textId="77777777" w:rsidR="00AA41BC" w:rsidRPr="00180DCC" w:rsidRDefault="00AA41BC" w:rsidP="00AA41BC">
      <w:pPr>
        <w:pStyle w:val="Rectitle"/>
        <w:rPr>
          <w:lang w:val="fr-FR"/>
        </w:rPr>
      </w:pPr>
      <w:r w:rsidRPr="00180DCC">
        <w:rPr>
          <w:lang w:val="fr-FR"/>
        </w:rPr>
        <w:t>Largeur de bande nécessaire</w:t>
      </w:r>
    </w:p>
    <w:p w14:paraId="0A577DC0" w14:textId="77777777" w:rsidR="00AA41BC" w:rsidRPr="00180DCC" w:rsidRDefault="00AA41BC" w:rsidP="00AA41BC">
      <w:pPr>
        <w:pStyle w:val="Recdate"/>
        <w:rPr>
          <w:lang w:val="fr-FR"/>
        </w:rPr>
      </w:pPr>
      <w:r w:rsidRPr="00180DCC">
        <w:rPr>
          <w:lang w:val="fr-FR"/>
        </w:rPr>
        <w:t>(1992-1997-2024)</w:t>
      </w:r>
    </w:p>
    <w:p w14:paraId="597FF5B5" w14:textId="27AC53EB" w:rsidR="00AA41BC" w:rsidRPr="00180DCC" w:rsidRDefault="00AA41BC" w:rsidP="00AA41BC">
      <w:pPr>
        <w:pStyle w:val="HeadingSum"/>
        <w:rPr>
          <w:lang w:val="fr-FR"/>
        </w:rPr>
      </w:pPr>
      <w:r w:rsidRPr="00180DCC">
        <w:rPr>
          <w:lang w:val="fr-FR"/>
        </w:rPr>
        <w:t>Domaine d</w:t>
      </w:r>
      <w:r w:rsidR="00C73875" w:rsidRPr="00180DCC">
        <w:rPr>
          <w:lang w:val="fr-FR"/>
        </w:rPr>
        <w:t>'</w:t>
      </w:r>
      <w:r w:rsidRPr="00180DCC">
        <w:rPr>
          <w:lang w:val="fr-FR"/>
        </w:rPr>
        <w:t>application</w:t>
      </w:r>
    </w:p>
    <w:p w14:paraId="1D01FB1F" w14:textId="77777777" w:rsidR="00AA41BC" w:rsidRPr="00180DCC" w:rsidRDefault="00AA41BC" w:rsidP="00AA41BC">
      <w:pPr>
        <w:pStyle w:val="Summary"/>
        <w:rPr>
          <w:lang w:val="fr-FR"/>
        </w:rPr>
      </w:pPr>
      <w:r w:rsidRPr="00180DCC">
        <w:rPr>
          <w:lang w:val="fr-FR"/>
        </w:rPr>
        <w:t>La présente Recommandation fournit les formules de calcul de la largeur de bande nécessaire.</w:t>
      </w:r>
    </w:p>
    <w:p w14:paraId="700B89FC" w14:textId="77777777" w:rsidR="00AA41BC" w:rsidRPr="00180DCC" w:rsidRDefault="00AA41BC" w:rsidP="00AA41BC">
      <w:pPr>
        <w:pStyle w:val="Headingb"/>
        <w:rPr>
          <w:szCs w:val="24"/>
          <w:lang w:val="fr-FR"/>
        </w:rPr>
      </w:pPr>
      <w:r w:rsidRPr="00180DCC">
        <w:rPr>
          <w:szCs w:val="24"/>
          <w:lang w:val="fr-FR"/>
        </w:rPr>
        <w:t>Mots clés</w:t>
      </w:r>
    </w:p>
    <w:p w14:paraId="05B96B75" w14:textId="77777777" w:rsidR="00AA41BC" w:rsidRPr="00180DCC" w:rsidRDefault="00AA41BC" w:rsidP="00AA41BC">
      <w:pPr>
        <w:rPr>
          <w:lang w:val="fr-FR"/>
        </w:rPr>
      </w:pPr>
      <w:r w:rsidRPr="00180DCC">
        <w:rPr>
          <w:lang w:val="fr-FR"/>
        </w:rPr>
        <w:t>Largeur de bande nécessaire, modulation de fréquence, modulation numérique, excursion par voie, formules de calcul de la largeur de bande.</w:t>
      </w:r>
    </w:p>
    <w:p w14:paraId="355C11FD" w14:textId="249B53FE" w:rsidR="00AA41BC" w:rsidRPr="00180DCC" w:rsidRDefault="00AA41BC" w:rsidP="00AA41BC">
      <w:pPr>
        <w:pStyle w:val="Normalaftertitle"/>
        <w:rPr>
          <w:lang w:val="fr-FR"/>
        </w:rPr>
      </w:pPr>
      <w:r w:rsidRPr="00180DCC">
        <w:rPr>
          <w:lang w:val="fr-FR"/>
        </w:rPr>
        <w:t>L</w:t>
      </w:r>
      <w:r w:rsidR="00C73875" w:rsidRPr="00180DCC">
        <w:rPr>
          <w:lang w:val="fr-FR"/>
        </w:rPr>
        <w:t>'</w:t>
      </w:r>
      <w:r w:rsidRPr="00180DCC">
        <w:rPr>
          <w:lang w:val="fr-FR"/>
        </w:rPr>
        <w:t>Assemblée des radiocommunications de l</w:t>
      </w:r>
      <w:r w:rsidR="00C73875" w:rsidRPr="00180DCC">
        <w:rPr>
          <w:lang w:val="fr-FR"/>
        </w:rPr>
        <w:t>'</w:t>
      </w:r>
      <w:r w:rsidRPr="00180DCC">
        <w:rPr>
          <w:lang w:val="fr-FR"/>
        </w:rPr>
        <w:t>UIT,</w:t>
      </w:r>
    </w:p>
    <w:p w14:paraId="282AF060" w14:textId="77777777" w:rsidR="00AA41BC" w:rsidRPr="00180DCC" w:rsidRDefault="00AA41BC" w:rsidP="00AA41BC">
      <w:pPr>
        <w:pStyle w:val="Call"/>
        <w:rPr>
          <w:lang w:val="fr-FR"/>
        </w:rPr>
      </w:pPr>
      <w:r w:rsidRPr="00180DCC">
        <w:rPr>
          <w:lang w:val="fr-FR"/>
        </w:rPr>
        <w:t>considérant</w:t>
      </w:r>
    </w:p>
    <w:p w14:paraId="12546812" w14:textId="11911AFA" w:rsidR="00AA41BC" w:rsidRPr="00180DCC" w:rsidRDefault="00AA41BC" w:rsidP="00AA41BC">
      <w:pPr>
        <w:rPr>
          <w:lang w:val="fr-FR"/>
        </w:rPr>
      </w:pPr>
      <w:r w:rsidRPr="00180DCC">
        <w:rPr>
          <w:i/>
          <w:iCs/>
          <w:lang w:val="fr-FR"/>
        </w:rPr>
        <w:t>a)</w:t>
      </w:r>
      <w:r w:rsidRPr="00180DCC">
        <w:rPr>
          <w:lang w:val="fr-FR"/>
        </w:rPr>
        <w:tab/>
        <w:t>que le concept de «largeur de bande nécessaire» ainsi qu</w:t>
      </w:r>
      <w:r w:rsidR="00C73875" w:rsidRPr="00180DCC">
        <w:rPr>
          <w:lang w:val="fr-FR"/>
        </w:rPr>
        <w:t>'</w:t>
      </w:r>
      <w:r w:rsidRPr="00180DCC">
        <w:rPr>
          <w:lang w:val="fr-FR"/>
        </w:rPr>
        <w:t xml:space="preserve">il est défini au numéro </w:t>
      </w:r>
      <w:r w:rsidRPr="00180DCC">
        <w:rPr>
          <w:b/>
          <w:bCs/>
          <w:lang w:val="fr-FR"/>
        </w:rPr>
        <w:t>1.152</w:t>
      </w:r>
      <w:r w:rsidRPr="00180DCC">
        <w:rPr>
          <w:lang w:val="fr-FR"/>
        </w:rPr>
        <w:t xml:space="preserve"> du Règlement des radiocommunications est utile pour déterminer, de la manière la plus simple possible, les caractéristiques spectrales d</w:t>
      </w:r>
      <w:r w:rsidR="00C73875" w:rsidRPr="00180DCC">
        <w:rPr>
          <w:lang w:val="fr-FR"/>
        </w:rPr>
        <w:t>'</w:t>
      </w:r>
      <w:r w:rsidRPr="00180DCC">
        <w:rPr>
          <w:lang w:val="fr-FR"/>
        </w:rPr>
        <w:t>une émission donnée ou d</w:t>
      </w:r>
      <w:r w:rsidR="00C73875" w:rsidRPr="00180DCC">
        <w:rPr>
          <w:lang w:val="fr-FR"/>
        </w:rPr>
        <w:t>'</w:t>
      </w:r>
      <w:r w:rsidRPr="00180DCC">
        <w:rPr>
          <w:lang w:val="fr-FR"/>
        </w:rPr>
        <w:t>une classe d</w:t>
      </w:r>
      <w:r w:rsidR="00C73875" w:rsidRPr="00180DCC">
        <w:rPr>
          <w:lang w:val="fr-FR"/>
        </w:rPr>
        <w:t>'</w:t>
      </w:r>
      <w:r w:rsidRPr="00180DCC">
        <w:rPr>
          <w:lang w:val="fr-FR"/>
        </w:rPr>
        <w:t>émission;</w:t>
      </w:r>
    </w:p>
    <w:p w14:paraId="4B29422C" w14:textId="0AC84E7F" w:rsidR="00AA41BC" w:rsidRPr="00180DCC" w:rsidRDefault="00AA41BC" w:rsidP="00AA41BC">
      <w:pPr>
        <w:rPr>
          <w:lang w:val="fr-FR"/>
        </w:rPr>
      </w:pPr>
      <w:r w:rsidRPr="00180DCC">
        <w:rPr>
          <w:i/>
          <w:iCs/>
          <w:lang w:val="fr-FR"/>
        </w:rPr>
        <w:t>b)</w:t>
      </w:r>
      <w:r w:rsidRPr="00180DCC">
        <w:rPr>
          <w:lang w:val="fr-FR"/>
        </w:rPr>
        <w:tab/>
        <w:t>que, dans l</w:t>
      </w:r>
      <w:r w:rsidR="00C73875" w:rsidRPr="00180DCC">
        <w:rPr>
          <w:lang w:val="fr-FR"/>
        </w:rPr>
        <w:t>'</w:t>
      </w:r>
      <w:r w:rsidRPr="00180DCC">
        <w:rPr>
          <w:lang w:val="fr-FR"/>
        </w:rPr>
        <w:t>optique d</w:t>
      </w:r>
      <w:r w:rsidR="00C73875" w:rsidRPr="00180DCC">
        <w:rPr>
          <w:lang w:val="fr-FR"/>
        </w:rPr>
        <w:t>'</w:t>
      </w:r>
      <w:r w:rsidRPr="00180DCC">
        <w:rPr>
          <w:lang w:val="fr-FR"/>
        </w:rPr>
        <w:t>une utilisation efficace du spectre des fréquences radioélectriques, les largeurs de bande nécessaires aux différentes classes d</w:t>
      </w:r>
      <w:r w:rsidR="00C73875" w:rsidRPr="00180DCC">
        <w:rPr>
          <w:lang w:val="fr-FR"/>
        </w:rPr>
        <w:t>'</w:t>
      </w:r>
      <w:r w:rsidRPr="00180DCC">
        <w:rPr>
          <w:lang w:val="fr-FR"/>
        </w:rPr>
        <w:t xml:space="preserve">émission doivent être connues, que, dans certains cas, les formules énumérées dans la Recommandation </w:t>
      </w:r>
      <w:hyperlink r:id="rId13" w:history="1">
        <w:r w:rsidRPr="00180DCC">
          <w:rPr>
            <w:rStyle w:val="Hyperlink"/>
            <w:color w:val="auto"/>
            <w:u w:val="none"/>
            <w:lang w:val="fr-FR"/>
          </w:rPr>
          <w:t>UIT-R SM.1138</w:t>
        </w:r>
      </w:hyperlink>
      <w:r w:rsidRPr="00180DCC">
        <w:rPr>
          <w:lang w:val="fr-FR"/>
        </w:rPr>
        <w:t xml:space="preserve"> et le Rapport </w:t>
      </w:r>
      <w:hyperlink r:id="rId14" w:history="1">
        <w:r w:rsidRPr="00180DCC">
          <w:rPr>
            <w:rStyle w:val="Hyperlink"/>
            <w:color w:val="auto"/>
            <w:u w:val="none"/>
            <w:lang w:val="fr-FR"/>
          </w:rPr>
          <w:t>UIT</w:t>
        </w:r>
        <w:r w:rsidRPr="00180DCC">
          <w:rPr>
            <w:rStyle w:val="Hyperlink"/>
            <w:color w:val="auto"/>
            <w:u w:val="none"/>
            <w:lang w:val="fr-FR"/>
          </w:rPr>
          <w:noBreakHyphen/>
          <w:t>R SM.2048</w:t>
        </w:r>
      </w:hyperlink>
      <w:r w:rsidRPr="00180DCC">
        <w:rPr>
          <w:lang w:val="fr-FR"/>
        </w:rPr>
        <w:t xml:space="preserve"> peuvent être utilisées comme référence et que la largeur de bande nécessaire à certaines classes d</w:t>
      </w:r>
      <w:r w:rsidR="00C73875" w:rsidRPr="00180DCC">
        <w:rPr>
          <w:lang w:val="fr-FR"/>
        </w:rPr>
        <w:t>'</w:t>
      </w:r>
      <w:r w:rsidRPr="00180DCC">
        <w:rPr>
          <w:lang w:val="fr-FR"/>
        </w:rPr>
        <w:t>émission doit être évaluée en fonction d</w:t>
      </w:r>
      <w:r w:rsidR="00C73875" w:rsidRPr="00180DCC">
        <w:rPr>
          <w:lang w:val="fr-FR"/>
        </w:rPr>
        <w:t>'</w:t>
      </w:r>
      <w:r w:rsidRPr="00180DCC">
        <w:rPr>
          <w:lang w:val="fr-FR"/>
        </w:rPr>
        <w:t>une norme d</w:t>
      </w:r>
      <w:r w:rsidR="00C73875" w:rsidRPr="00180DCC">
        <w:rPr>
          <w:lang w:val="fr-FR"/>
        </w:rPr>
        <w:t>'</w:t>
      </w:r>
      <w:r w:rsidRPr="00180DCC">
        <w:rPr>
          <w:lang w:val="fr-FR"/>
        </w:rPr>
        <w:t>émission et d</w:t>
      </w:r>
      <w:r w:rsidR="00C73875" w:rsidRPr="00180DCC">
        <w:rPr>
          <w:lang w:val="fr-FR"/>
        </w:rPr>
        <w:t>'</w:t>
      </w:r>
      <w:r w:rsidRPr="00180DCC">
        <w:rPr>
          <w:lang w:val="fr-FR"/>
        </w:rPr>
        <w:t>une qualité requise spécifiées;</w:t>
      </w:r>
    </w:p>
    <w:p w14:paraId="08DC5E57" w14:textId="0E6DDA6A" w:rsidR="00AA41BC" w:rsidRPr="00180DCC" w:rsidRDefault="00AA41BC" w:rsidP="00AA41BC">
      <w:pPr>
        <w:rPr>
          <w:lang w:val="fr-FR"/>
        </w:rPr>
      </w:pPr>
      <w:r w:rsidRPr="00180DCC">
        <w:rPr>
          <w:i/>
          <w:iCs/>
          <w:lang w:val="fr-FR"/>
        </w:rPr>
        <w:t>c)</w:t>
      </w:r>
      <w:r w:rsidRPr="00180DCC">
        <w:rPr>
          <w:lang w:val="fr-FR"/>
        </w:rPr>
        <w:tab/>
        <w:t>que l</w:t>
      </w:r>
      <w:r w:rsidR="00C73875" w:rsidRPr="00180DCC">
        <w:rPr>
          <w:lang w:val="fr-FR"/>
        </w:rPr>
        <w:t>'</w:t>
      </w:r>
      <w:r w:rsidRPr="00180DCC">
        <w:rPr>
          <w:lang w:val="fr-FR"/>
        </w:rPr>
        <w:t>évolution des technologies est à l</w:t>
      </w:r>
      <w:r w:rsidR="00C73875" w:rsidRPr="00180DCC">
        <w:rPr>
          <w:lang w:val="fr-FR"/>
        </w:rPr>
        <w:t>'</w:t>
      </w:r>
      <w:r w:rsidRPr="00180DCC">
        <w:rPr>
          <w:lang w:val="fr-FR"/>
        </w:rPr>
        <w:t>origine d</w:t>
      </w:r>
      <w:r w:rsidR="00C73875" w:rsidRPr="00180DCC">
        <w:rPr>
          <w:lang w:val="fr-FR"/>
        </w:rPr>
        <w:t>'</w:t>
      </w:r>
      <w:r w:rsidRPr="00180DCC">
        <w:rPr>
          <w:lang w:val="fr-FR"/>
        </w:rPr>
        <w:t>ajouts et de variations dans les modulations utilisées pour les radiocommunications;</w:t>
      </w:r>
    </w:p>
    <w:p w14:paraId="091BE69B" w14:textId="77777777" w:rsidR="00AA41BC" w:rsidRPr="00180DCC" w:rsidRDefault="00AA41BC" w:rsidP="00AA41BC">
      <w:pPr>
        <w:rPr>
          <w:lang w:val="fr-FR"/>
        </w:rPr>
      </w:pPr>
      <w:r w:rsidRPr="00180DCC">
        <w:rPr>
          <w:i/>
          <w:iCs/>
          <w:lang w:val="fr-FR"/>
        </w:rPr>
        <w:t>d)</w:t>
      </w:r>
      <w:r w:rsidRPr="00180DCC">
        <w:rPr>
          <w:lang w:val="fr-FR"/>
        </w:rPr>
        <w:tab/>
        <w:t>que les paramètres numériques utilisés dans les formules de calcul des largeurs de bande nécessaires peuvent changer du fait de variations dans les caractéristiques des signaux (par exemple, niveau de la puissance moyenne pour la personne qui parle),</w:t>
      </w:r>
    </w:p>
    <w:p w14:paraId="0E6A883A" w14:textId="77777777" w:rsidR="00AA41BC" w:rsidRPr="00180DCC" w:rsidRDefault="00AA41BC" w:rsidP="00AA41BC">
      <w:pPr>
        <w:pStyle w:val="Call"/>
        <w:rPr>
          <w:lang w:val="fr-FR"/>
        </w:rPr>
      </w:pPr>
      <w:r w:rsidRPr="00180DCC">
        <w:rPr>
          <w:lang w:val="fr-FR"/>
        </w:rPr>
        <w:t>recommande</w:t>
      </w:r>
    </w:p>
    <w:p w14:paraId="27F8CA3A" w14:textId="49128721" w:rsidR="00AA41BC" w:rsidRPr="00180DCC" w:rsidRDefault="00AA41BC" w:rsidP="00AA41BC">
      <w:pPr>
        <w:rPr>
          <w:lang w:val="fr-FR"/>
        </w:rPr>
      </w:pPr>
      <w:r w:rsidRPr="00180DCC">
        <w:rPr>
          <w:lang w:val="fr-FR"/>
        </w:rPr>
        <w:t>que l</w:t>
      </w:r>
      <w:r w:rsidR="00C73875" w:rsidRPr="00180DCC">
        <w:rPr>
          <w:lang w:val="fr-FR"/>
        </w:rPr>
        <w:t>'</w:t>
      </w:r>
      <w:r w:rsidRPr="00180DCC">
        <w:rPr>
          <w:lang w:val="fr-FR"/>
        </w:rPr>
        <w:t xml:space="preserve">on remplace les formules de calcul des largeurs de bande nécessaires (figurant dans la Recommandation </w:t>
      </w:r>
      <w:hyperlink r:id="rId15" w:history="1">
        <w:r w:rsidRPr="00180DCC">
          <w:rPr>
            <w:rStyle w:val="Hyperlink"/>
            <w:color w:val="auto"/>
            <w:u w:val="none"/>
            <w:lang w:val="fr-FR"/>
          </w:rPr>
          <w:t>UIT-R SM.1138</w:t>
        </w:r>
      </w:hyperlink>
      <w:r w:rsidRPr="00180DCC">
        <w:rPr>
          <w:lang w:val="fr-FR"/>
        </w:rPr>
        <w:t>) par les formules ci-dessous.</w:t>
      </w:r>
    </w:p>
    <w:p w14:paraId="0E72CC8B" w14:textId="77777777" w:rsidR="00AA41BC" w:rsidRPr="00180DCC" w:rsidRDefault="00AA41BC" w:rsidP="00AA41BC">
      <w:pPr>
        <w:pStyle w:val="Heading1"/>
        <w:rPr>
          <w:lang w:val="fr-FR"/>
        </w:rPr>
      </w:pPr>
      <w:r w:rsidRPr="00180DCC">
        <w:rPr>
          <w:lang w:val="fr-FR"/>
        </w:rPr>
        <w:t>1</w:t>
      </w:r>
      <w:r w:rsidRPr="00180DCC">
        <w:rPr>
          <w:lang w:val="fr-FR"/>
        </w:rPr>
        <w:tab/>
        <w:t>Émissions multivoies MRF-MF (multiplexage par répartition en fréquence – modulation de fréquence)</w:t>
      </w:r>
    </w:p>
    <w:p w14:paraId="651DB02F" w14:textId="77777777" w:rsidR="00AA41BC" w:rsidRPr="00180DCC" w:rsidRDefault="00AA41BC" w:rsidP="00AA41BC">
      <w:pPr>
        <w:rPr>
          <w:lang w:val="fr-FR"/>
        </w:rPr>
      </w:pPr>
      <w:r w:rsidRPr="00180DCC">
        <w:rPr>
          <w:lang w:val="fr-FR"/>
        </w:rPr>
        <w:t xml:space="preserve">Afin de pouvoir tenir compte des éventuels changements qui, avec le temps, pourraient toucher le niveau de la puissance moyenne pour la personne qui parle, la formule retenue pour le calcul de la largeur de bande </w:t>
      </w:r>
      <w:r w:rsidRPr="00180DCC">
        <w:rPr>
          <w:i/>
          <w:lang w:val="fr-FR"/>
        </w:rPr>
        <w:t>B</w:t>
      </w:r>
      <w:r w:rsidRPr="00180DCC">
        <w:rPr>
          <w:i/>
          <w:position w:val="-3"/>
          <w:sz w:val="16"/>
          <w:lang w:val="fr-FR"/>
        </w:rPr>
        <w:t>n</w:t>
      </w:r>
      <w:r w:rsidRPr="00180DCC">
        <w:rPr>
          <w:lang w:val="fr-FR"/>
        </w:rPr>
        <w:t xml:space="preserve"> nécessaire aux émissions multivoies MRF-MF est la suivante:</w:t>
      </w:r>
    </w:p>
    <w:p w14:paraId="3EFCE40D" w14:textId="77777777" w:rsidR="00AA41BC" w:rsidRPr="00180DCC" w:rsidRDefault="000F451E" w:rsidP="00AA41BC">
      <w:pPr>
        <w:pStyle w:val="Equation"/>
        <w:jc w:val="center"/>
        <w:rPr>
          <w:lang w:val="fr-FR"/>
        </w:rPr>
      </w:pPr>
      <m:oMathPara>
        <m:oMath>
          <m:sSub>
            <m:sSubPr>
              <m:ctrlPr>
                <w:rPr>
                  <w:rFonts w:ascii="Cambria Math" w:hAnsi="Cambria Math"/>
                  <w:lang w:val="fr-FR"/>
                </w:rPr>
              </m:ctrlPr>
            </m:sSubPr>
            <m:e>
              <m:r>
                <w:rPr>
                  <w:rFonts w:ascii="Cambria Math" w:hAnsi="Cambria Math"/>
                  <w:lang w:val="fr-FR"/>
                </w:rPr>
                <m:t>B</m:t>
              </m:r>
            </m:e>
            <m:sub>
              <m:r>
                <w:rPr>
                  <w:rFonts w:ascii="Cambria Math" w:hAnsi="Cambria Math"/>
                  <w:lang w:val="fr-FR"/>
                </w:rPr>
                <m:t>n</m:t>
              </m:r>
            </m:sub>
          </m:sSub>
          <m:r>
            <m:rPr>
              <m:sty m:val="p"/>
            </m:rPr>
            <w:rPr>
              <w:rFonts w:ascii="Cambria Math" w:hAnsi="Cambria Math"/>
              <w:lang w:val="fr-FR"/>
            </w:rPr>
            <m:t>=2</m:t>
          </m:r>
          <m:r>
            <w:rPr>
              <w:rFonts w:ascii="Cambria Math" w:hAnsi="Cambria Math"/>
              <w:lang w:val="fr-FR"/>
            </w:rPr>
            <m:t>M</m:t>
          </m:r>
          <m:r>
            <m:rPr>
              <m:sty m:val="p"/>
            </m:rPr>
            <w:rPr>
              <w:rFonts w:ascii="Cambria Math" w:hAnsi="Cambria Math"/>
              <w:lang w:val="fr-FR"/>
            </w:rPr>
            <m:t>+2</m:t>
          </m:r>
          <m:d>
            <m:dPr>
              <m:begChr m:val="["/>
              <m:endChr m:val="]"/>
              <m:ctrlPr>
                <w:rPr>
                  <w:rFonts w:ascii="Cambria Math" w:hAnsi="Cambria Math"/>
                  <w:lang w:val="fr-FR"/>
                </w:rPr>
              </m:ctrlPr>
            </m:dPr>
            <m:e>
              <m:r>
                <w:rPr>
                  <w:rFonts w:ascii="Cambria Math" w:hAnsi="Cambria Math"/>
                  <w:lang w:val="fr-FR"/>
                </w:rPr>
                <m:t>d</m:t>
              </m:r>
              <m:r>
                <m:rPr>
                  <m:sty m:val="p"/>
                </m:rPr>
                <w:rPr>
                  <w:rFonts w:ascii="Cambria Math" w:hAnsi="Cambria Math"/>
                  <w:lang w:val="fr-FR"/>
                </w:rPr>
                <m:t>×3,76×</m:t>
              </m:r>
              <m:func>
                <m:funcPr>
                  <m:ctrlPr>
                    <w:rPr>
                      <w:rFonts w:ascii="Cambria Math" w:hAnsi="Cambria Math"/>
                      <w:lang w:val="fr-FR"/>
                    </w:rPr>
                  </m:ctrlPr>
                </m:funcPr>
                <m:fName>
                  <m:r>
                    <m:rPr>
                      <m:sty m:val="p"/>
                    </m:rPr>
                    <w:rPr>
                      <w:rFonts w:ascii="Cambria Math" w:hAnsi="Cambria Math"/>
                      <w:lang w:val="fr-FR"/>
                    </w:rPr>
                    <m:t>antilog</m:t>
                  </m:r>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X</m:t>
                          </m:r>
                          <m:r>
                            <m:rPr>
                              <m:sty m:val="p"/>
                            </m:rPr>
                            <w:rPr>
                              <w:rFonts w:ascii="Cambria Math" w:hAnsi="Cambria Math"/>
                              <w:lang w:val="fr-FR"/>
                            </w:rPr>
                            <m:t>+</m:t>
                          </m:r>
                          <m:r>
                            <w:rPr>
                              <w:rFonts w:ascii="Cambria Math" w:hAnsi="Cambria Math"/>
                              <w:lang w:val="fr-FR"/>
                            </w:rPr>
                            <m:t>Y</m:t>
                          </m:r>
                          <m:func>
                            <m:funcPr>
                              <m:ctrlPr>
                                <w:rPr>
                                  <w:rFonts w:ascii="Cambria Math" w:hAnsi="Cambria Math"/>
                                  <w:lang w:val="fr-FR"/>
                                </w:rPr>
                              </m:ctrlPr>
                            </m:funcPr>
                            <m:fName>
                              <m:r>
                                <m:rPr>
                                  <m:sty m:val="p"/>
                                </m:rPr>
                                <w:rPr>
                                  <w:rFonts w:ascii="Cambria Math" w:hAnsi="Cambria Math"/>
                                  <w:lang w:val="fr-FR"/>
                                </w:rPr>
                                <m:t>log</m:t>
                              </m:r>
                            </m:fName>
                            <m:e>
                              <m:sSub>
                                <m:sSubPr>
                                  <m:ctrlPr>
                                    <w:rPr>
                                      <w:rFonts w:ascii="Cambria Math" w:hAnsi="Cambria Math"/>
                                      <w:lang w:val="fr-FR"/>
                                    </w:rPr>
                                  </m:ctrlPr>
                                </m:sSubPr>
                                <m:e>
                                  <m:r>
                                    <w:rPr>
                                      <w:rFonts w:ascii="Cambria Math" w:hAnsi="Cambria Math"/>
                                      <w:lang w:val="fr-FR"/>
                                    </w:rPr>
                                    <m:t>N</m:t>
                                  </m:r>
                                </m:e>
                                <m:sub>
                                  <m:r>
                                    <w:rPr>
                                      <w:rFonts w:ascii="Cambria Math" w:hAnsi="Cambria Math"/>
                                      <w:lang w:val="fr-FR"/>
                                    </w:rPr>
                                    <m:t>c</m:t>
                                  </m:r>
                                </m:sub>
                              </m:sSub>
                            </m:e>
                          </m:func>
                        </m:num>
                        <m:den>
                          <m:r>
                            <m:rPr>
                              <m:sty m:val="p"/>
                            </m:rPr>
                            <w:rPr>
                              <w:rFonts w:ascii="Cambria Math" w:hAnsi="Cambria Math"/>
                              <w:lang w:val="fr-FR"/>
                            </w:rPr>
                            <m:t>20</m:t>
                          </m:r>
                        </m:den>
                      </m:f>
                    </m:e>
                  </m:d>
                </m:e>
              </m:func>
            </m:e>
          </m:d>
          <m:r>
            <w:rPr>
              <w:rFonts w:ascii="Cambria Math" w:hAnsi="Cambria Math"/>
              <w:lang w:val="fr-FR"/>
            </w:rPr>
            <m:t>K</m:t>
          </m:r>
        </m:oMath>
      </m:oMathPara>
    </w:p>
    <w:p w14:paraId="06C58C8F" w14:textId="77777777" w:rsidR="00AA41BC" w:rsidRPr="00180DCC" w:rsidRDefault="00AA41BC" w:rsidP="00AA41BC">
      <w:pPr>
        <w:rPr>
          <w:lang w:val="fr-FR"/>
        </w:rPr>
      </w:pPr>
      <w:r w:rsidRPr="00180DCC">
        <w:rPr>
          <w:lang w:val="fr-FR"/>
        </w:rPr>
        <w:t>où:</w:t>
      </w:r>
    </w:p>
    <w:p w14:paraId="63AE0883" w14:textId="35B0350A" w:rsidR="00AA41BC" w:rsidRPr="00180DCC" w:rsidRDefault="00AA41BC" w:rsidP="00AA41BC">
      <w:pPr>
        <w:pStyle w:val="Equationlegend"/>
        <w:rPr>
          <w:lang w:val="fr-FR"/>
        </w:rPr>
      </w:pPr>
      <w:r w:rsidRPr="00180DCC">
        <w:rPr>
          <w:lang w:val="fr-FR"/>
        </w:rPr>
        <w:tab/>
      </w:r>
      <w:r w:rsidRPr="00180DCC">
        <w:rPr>
          <w:i/>
          <w:lang w:val="fr-FR"/>
        </w:rPr>
        <w:t xml:space="preserve">M </w:t>
      </w:r>
      <w:r w:rsidRPr="00180DCC">
        <w:rPr>
          <w:lang w:val="fr-FR"/>
        </w:rPr>
        <w:t>:</w:t>
      </w:r>
      <w:r w:rsidRPr="00180DCC">
        <w:rPr>
          <w:lang w:val="fr-FR"/>
        </w:rPr>
        <w:tab/>
        <w:t>fréquence de modulation maximale (Hz)</w:t>
      </w:r>
    </w:p>
    <w:p w14:paraId="26897D22" w14:textId="357D1554" w:rsidR="00AA41BC" w:rsidRPr="00180DCC" w:rsidRDefault="00AA41BC" w:rsidP="00AA41BC">
      <w:pPr>
        <w:pStyle w:val="Equationlegend"/>
        <w:rPr>
          <w:lang w:val="fr-FR"/>
        </w:rPr>
      </w:pPr>
      <w:r w:rsidRPr="00180DCC">
        <w:rPr>
          <w:lang w:val="fr-FR"/>
        </w:rPr>
        <w:tab/>
      </w:r>
      <w:r w:rsidRPr="00180DCC">
        <w:rPr>
          <w:i/>
          <w:lang w:val="fr-FR"/>
        </w:rPr>
        <w:t>d</w:t>
      </w:r>
      <w:r w:rsidRPr="00180DCC">
        <w:rPr>
          <w:lang w:val="fr-FR"/>
        </w:rPr>
        <w:t xml:space="preserve"> :</w:t>
      </w:r>
      <w:r w:rsidRPr="00180DCC">
        <w:rPr>
          <w:lang w:val="fr-FR"/>
        </w:rPr>
        <w:tab/>
        <w:t>excursion par voie</w:t>
      </w:r>
    </w:p>
    <w:p w14:paraId="03923847" w14:textId="0E652AB8" w:rsidR="00AA41BC" w:rsidRPr="00180DCC" w:rsidRDefault="00AA41BC" w:rsidP="00AA41BC">
      <w:pPr>
        <w:pStyle w:val="Equationlegend"/>
        <w:rPr>
          <w:lang w:val="fr-FR"/>
        </w:rPr>
      </w:pPr>
      <w:r w:rsidRPr="00180DCC">
        <w:rPr>
          <w:lang w:val="fr-FR"/>
        </w:rPr>
        <w:tab/>
      </w:r>
      <w:r w:rsidRPr="00180DCC">
        <w:rPr>
          <w:i/>
          <w:lang w:val="fr-FR"/>
        </w:rPr>
        <w:t>N</w:t>
      </w:r>
      <w:r w:rsidRPr="00180DCC">
        <w:rPr>
          <w:i/>
          <w:position w:val="-3"/>
          <w:sz w:val="16"/>
          <w:lang w:val="fr-FR"/>
        </w:rPr>
        <w:t>c</w:t>
      </w:r>
      <w:r w:rsidR="001218E2" w:rsidRPr="00802534">
        <w:rPr>
          <w:lang w:val="fr-CH"/>
        </w:rPr>
        <w:t xml:space="preserve"> </w:t>
      </w:r>
      <w:r w:rsidRPr="00180DCC">
        <w:rPr>
          <w:lang w:val="fr-FR"/>
        </w:rPr>
        <w:t>:</w:t>
      </w:r>
      <w:r w:rsidRPr="00180DCC">
        <w:rPr>
          <w:lang w:val="fr-FR"/>
        </w:rPr>
        <w:tab/>
        <w:t>nombre de voies dans la charge de message multiplexée</w:t>
      </w:r>
    </w:p>
    <w:p w14:paraId="1B85B4BE" w14:textId="16E279EF" w:rsidR="00AA41BC" w:rsidRPr="00180DCC" w:rsidRDefault="00AA41BC" w:rsidP="00AA41BC">
      <w:pPr>
        <w:pStyle w:val="Equationlegend"/>
        <w:rPr>
          <w:lang w:val="fr-FR"/>
        </w:rPr>
      </w:pPr>
      <w:r w:rsidRPr="00180DCC">
        <w:rPr>
          <w:lang w:val="fr-FR"/>
        </w:rPr>
        <w:lastRenderedPageBreak/>
        <w:tab/>
      </w:r>
      <w:r w:rsidRPr="00180DCC">
        <w:rPr>
          <w:i/>
          <w:lang w:val="fr-FR"/>
        </w:rPr>
        <w:t>K</w:t>
      </w:r>
      <w:r w:rsidRPr="00180DCC">
        <w:rPr>
          <w:lang w:val="fr-FR"/>
        </w:rPr>
        <w:t xml:space="preserve"> :</w:t>
      </w:r>
      <w:r w:rsidRPr="00180DCC">
        <w:rPr>
          <w:lang w:val="fr-FR"/>
        </w:rPr>
        <w:tab/>
        <w:t>unité</w:t>
      </w:r>
    </w:p>
    <w:p w14:paraId="7373924B" w14:textId="03E657AA" w:rsidR="00AA41BC" w:rsidRPr="00180DCC" w:rsidRDefault="00AA41BC" w:rsidP="00AA41BC">
      <w:pPr>
        <w:pStyle w:val="Equationlegend"/>
        <w:rPr>
          <w:lang w:val="fr-FR"/>
        </w:rPr>
      </w:pPr>
      <w:r w:rsidRPr="00180DCC">
        <w:rPr>
          <w:lang w:val="fr-FR"/>
        </w:rPr>
        <w:tab/>
      </w:r>
      <w:r w:rsidRPr="00180DCC">
        <w:rPr>
          <w:i/>
          <w:lang w:val="fr-FR"/>
        </w:rPr>
        <w:t>X</w:t>
      </w:r>
      <w:r w:rsidRPr="00180DCC">
        <w:rPr>
          <w:lang w:val="fr-FR"/>
        </w:rPr>
        <w:t> </w:t>
      </w:r>
      <w:r w:rsidRPr="00180DCC">
        <w:rPr>
          <w:rFonts w:ascii="Symbol" w:hAnsi="Symbol"/>
          <w:lang w:val="fr-FR"/>
        </w:rPr>
        <w:t></w:t>
      </w:r>
      <w:r w:rsidRPr="00180DCC">
        <w:rPr>
          <w:lang w:val="fr-FR"/>
        </w:rPr>
        <w:tab/>
        <w:t> </w:t>
      </w:r>
      <w:r w:rsidRPr="00180DCC">
        <w:rPr>
          <w:color w:val="000000"/>
          <w:lang w:val="fr-FR"/>
        </w:rPr>
        <w:t>−</w:t>
      </w:r>
      <w:r w:rsidRPr="00180DCC">
        <w:rPr>
          <w:lang w:val="fr-FR"/>
        </w:rPr>
        <w:t>2</w:t>
      </w:r>
      <w:r w:rsidRPr="00180DCC">
        <w:rPr>
          <w:lang w:val="fr-FR"/>
        </w:rPr>
        <w:t> </w:t>
      </w:r>
      <w:r w:rsidRPr="00180DCC">
        <w:rPr>
          <w:lang w:val="fr-FR"/>
        </w:rPr>
        <w:tab/>
        <w:t>à</w:t>
      </w:r>
      <w:r w:rsidRPr="00180DCC">
        <w:rPr>
          <w:lang w:val="fr-FR"/>
        </w:rPr>
        <w:tab/>
      </w:r>
      <w:r w:rsidRPr="00180DCC">
        <w:rPr>
          <w:lang w:val="fr-FR"/>
        </w:rPr>
        <w:t> </w:t>
      </w:r>
      <w:r w:rsidRPr="00180DCC">
        <w:rPr>
          <w:lang w:val="fr-FR"/>
        </w:rPr>
        <w:t> </w:t>
      </w:r>
      <w:r w:rsidRPr="00180DCC">
        <w:rPr>
          <w:rFonts w:ascii="Symbol" w:hAnsi="Symbol"/>
          <w:lang w:val="fr-FR"/>
        </w:rPr>
        <w:t></w:t>
      </w:r>
      <w:r w:rsidRPr="00180DCC">
        <w:rPr>
          <w:lang w:val="fr-FR"/>
        </w:rPr>
        <w:t>2,6</w:t>
      </w:r>
      <w:r w:rsidRPr="00180DCC">
        <w:rPr>
          <w:color w:val="FFFFFF"/>
          <w:lang w:val="fr-FR"/>
        </w:rPr>
        <w:tab/>
      </w:r>
      <w:r w:rsidRPr="00180DCC">
        <w:rPr>
          <w:lang w:val="fr-FR"/>
        </w:rPr>
        <w:t>pour</w:t>
      </w:r>
      <w:r w:rsidRPr="00180DCC">
        <w:rPr>
          <w:lang w:val="fr-FR"/>
        </w:rPr>
        <w:tab/>
        <w:t>12  </w:t>
      </w:r>
      <w:r w:rsidRPr="00180DCC">
        <w:rPr>
          <w:rFonts w:ascii="Symbol" w:hAnsi="Symbol"/>
          <w:lang w:val="fr-FR"/>
        </w:rPr>
        <w:t></w:t>
      </w:r>
      <w:r w:rsidRPr="00180DCC">
        <w:rPr>
          <w:lang w:val="fr-FR"/>
        </w:rPr>
        <w:tab/>
      </w:r>
      <w:r w:rsidRPr="00180DCC">
        <w:rPr>
          <w:i/>
          <w:lang w:val="fr-FR"/>
        </w:rPr>
        <w:t>N</w:t>
      </w:r>
      <w:r w:rsidRPr="00180DCC">
        <w:rPr>
          <w:i/>
          <w:position w:val="-3"/>
          <w:sz w:val="16"/>
          <w:lang w:val="fr-FR"/>
        </w:rPr>
        <w:t>c</w:t>
      </w:r>
      <w:r w:rsidRPr="00180DCC">
        <w:rPr>
          <w:i/>
          <w:lang w:val="fr-FR"/>
        </w:rPr>
        <w:t>  </w:t>
      </w:r>
      <w:r w:rsidRPr="00180DCC">
        <w:rPr>
          <w:rFonts w:ascii="Symbol" w:hAnsi="Symbol"/>
          <w:lang w:val="fr-FR"/>
        </w:rPr>
        <w:t></w:t>
      </w:r>
      <w:r w:rsidRPr="00180DCC">
        <w:rPr>
          <w:lang w:val="fr-FR"/>
        </w:rPr>
        <w:t>  </w:t>
      </w:r>
      <w:r w:rsidRPr="00180DCC">
        <w:rPr>
          <w:lang w:val="fr-FR"/>
        </w:rPr>
        <w:t> </w:t>
      </w:r>
      <w:r w:rsidRPr="00180DCC">
        <w:rPr>
          <w:lang w:val="fr-FR"/>
        </w:rPr>
        <w:t>60</w:t>
      </w:r>
      <w:r w:rsidRPr="00180DCC">
        <w:rPr>
          <w:lang w:val="fr-FR"/>
        </w:rPr>
        <w:tab/>
        <w:t>et</w:t>
      </w:r>
      <w:r w:rsidRPr="00180DCC">
        <w:rPr>
          <w:lang w:val="fr-FR"/>
        </w:rPr>
        <w:tab/>
        <w:t>pour  </w:t>
      </w:r>
      <w:r w:rsidRPr="00180DCC">
        <w:rPr>
          <w:i/>
          <w:lang w:val="fr-FR"/>
        </w:rPr>
        <w:t>Y</w:t>
      </w:r>
      <w:r w:rsidRPr="00180DCC">
        <w:rPr>
          <w:lang w:val="fr-FR"/>
        </w:rPr>
        <w:t>  </w:t>
      </w:r>
      <w:r w:rsidRPr="00180DCC">
        <w:rPr>
          <w:rFonts w:ascii="Symbol" w:hAnsi="Symbol"/>
          <w:lang w:val="fr-FR"/>
        </w:rPr>
        <w:t></w:t>
      </w:r>
      <w:r w:rsidRPr="00180DCC">
        <w:rPr>
          <w:lang w:val="fr-FR"/>
        </w:rPr>
        <w:t>  </w:t>
      </w:r>
      <w:r w:rsidRPr="00180DCC">
        <w:rPr>
          <w:lang w:val="fr-FR"/>
        </w:rPr>
        <w:t> </w:t>
      </w:r>
      <w:r w:rsidRPr="00180DCC">
        <w:rPr>
          <w:lang w:val="fr-FR"/>
        </w:rPr>
        <w:t>2</w:t>
      </w:r>
    </w:p>
    <w:p w14:paraId="33C04D12" w14:textId="37FA4A7F" w:rsidR="00AA41BC" w:rsidRPr="00180DCC" w:rsidRDefault="00AA41BC" w:rsidP="00AA41BC">
      <w:pPr>
        <w:pStyle w:val="Equationlegend"/>
        <w:rPr>
          <w:lang w:val="fr-FR"/>
        </w:rPr>
      </w:pPr>
      <w:r w:rsidRPr="00180DCC">
        <w:rPr>
          <w:lang w:val="fr-FR"/>
        </w:rPr>
        <w:tab/>
      </w:r>
      <w:r w:rsidRPr="00180DCC">
        <w:rPr>
          <w:i/>
          <w:lang w:val="fr-FR"/>
        </w:rPr>
        <w:t>X</w:t>
      </w:r>
      <w:r w:rsidRPr="00180DCC">
        <w:rPr>
          <w:lang w:val="fr-FR"/>
        </w:rPr>
        <w:t> </w:t>
      </w:r>
      <w:r w:rsidRPr="00180DCC">
        <w:rPr>
          <w:rFonts w:ascii="Symbol" w:hAnsi="Symbol"/>
          <w:lang w:val="fr-FR"/>
        </w:rPr>
        <w:t></w:t>
      </w:r>
      <w:r w:rsidRPr="00180DCC">
        <w:rPr>
          <w:lang w:val="fr-FR"/>
        </w:rPr>
        <w:tab/>
        <w:t> </w:t>
      </w:r>
      <w:r w:rsidRPr="00180DCC">
        <w:rPr>
          <w:color w:val="000000"/>
          <w:lang w:val="fr-FR"/>
        </w:rPr>
        <w:t>−</w:t>
      </w:r>
      <w:r w:rsidRPr="00180DCC">
        <w:rPr>
          <w:lang w:val="fr-FR"/>
        </w:rPr>
        <w:t>5,6</w:t>
      </w:r>
      <w:r w:rsidRPr="00180DCC">
        <w:rPr>
          <w:lang w:val="fr-FR"/>
        </w:rPr>
        <w:tab/>
        <w:t>à</w:t>
      </w:r>
      <w:r w:rsidRPr="00180DCC">
        <w:rPr>
          <w:lang w:val="fr-FR"/>
        </w:rPr>
        <w:tab/>
      </w:r>
      <w:r w:rsidRPr="00180DCC">
        <w:rPr>
          <w:lang w:val="fr-FR"/>
        </w:rPr>
        <w:t> </w:t>
      </w:r>
      <w:r w:rsidRPr="00180DCC">
        <w:rPr>
          <w:lang w:val="fr-FR"/>
        </w:rPr>
        <w:t> −1,0</w:t>
      </w:r>
      <w:r w:rsidRPr="00180DCC">
        <w:rPr>
          <w:color w:val="FFFFFF"/>
          <w:lang w:val="fr-FR"/>
        </w:rPr>
        <w:tab/>
      </w:r>
      <w:r w:rsidRPr="00180DCC">
        <w:rPr>
          <w:lang w:val="fr-FR"/>
        </w:rPr>
        <w:t>pour</w:t>
      </w:r>
      <w:r w:rsidRPr="00180DCC">
        <w:rPr>
          <w:lang w:val="fr-FR"/>
        </w:rPr>
        <w:tab/>
        <w:t>60  </w:t>
      </w:r>
      <w:r w:rsidRPr="00180DCC">
        <w:rPr>
          <w:rFonts w:ascii="Symbol" w:hAnsi="Symbol"/>
          <w:lang w:val="fr-FR"/>
        </w:rPr>
        <w:t></w:t>
      </w:r>
      <w:r w:rsidRPr="00180DCC">
        <w:rPr>
          <w:lang w:val="fr-FR"/>
        </w:rPr>
        <w:tab/>
      </w:r>
      <w:r w:rsidRPr="00180DCC">
        <w:rPr>
          <w:i/>
          <w:lang w:val="fr-FR"/>
        </w:rPr>
        <w:t>N</w:t>
      </w:r>
      <w:r w:rsidRPr="00180DCC">
        <w:rPr>
          <w:i/>
          <w:position w:val="-3"/>
          <w:sz w:val="16"/>
          <w:lang w:val="fr-FR"/>
        </w:rPr>
        <w:t>c</w:t>
      </w:r>
      <w:r w:rsidRPr="00180DCC">
        <w:rPr>
          <w:i/>
          <w:lang w:val="fr-FR"/>
        </w:rPr>
        <w:t>  </w:t>
      </w:r>
      <w:r w:rsidRPr="00180DCC">
        <w:rPr>
          <w:rFonts w:ascii="Symbol" w:hAnsi="Symbol"/>
          <w:lang w:val="fr-FR"/>
        </w:rPr>
        <w:t></w:t>
      </w:r>
      <w:r w:rsidRPr="00180DCC">
        <w:rPr>
          <w:lang w:val="fr-FR"/>
        </w:rPr>
        <w:t>  240</w:t>
      </w:r>
      <w:r w:rsidRPr="00180DCC">
        <w:rPr>
          <w:lang w:val="fr-FR"/>
        </w:rPr>
        <w:tab/>
        <w:t>et</w:t>
      </w:r>
      <w:r w:rsidRPr="00180DCC">
        <w:rPr>
          <w:lang w:val="fr-FR"/>
        </w:rPr>
        <w:tab/>
        <w:t>pour  </w:t>
      </w:r>
      <w:r w:rsidRPr="00180DCC">
        <w:rPr>
          <w:i/>
          <w:lang w:val="fr-FR"/>
        </w:rPr>
        <w:t>Y</w:t>
      </w:r>
      <w:r w:rsidRPr="00180DCC">
        <w:rPr>
          <w:lang w:val="fr-FR"/>
        </w:rPr>
        <w:t>  </w:t>
      </w:r>
      <w:r w:rsidRPr="00180DCC">
        <w:rPr>
          <w:rFonts w:ascii="Symbol" w:hAnsi="Symbol"/>
          <w:lang w:val="fr-FR"/>
        </w:rPr>
        <w:t></w:t>
      </w:r>
      <w:r w:rsidRPr="00180DCC">
        <w:rPr>
          <w:lang w:val="fr-FR"/>
        </w:rPr>
        <w:t>  </w:t>
      </w:r>
      <w:r w:rsidRPr="00180DCC">
        <w:rPr>
          <w:lang w:val="fr-FR"/>
        </w:rPr>
        <w:t> </w:t>
      </w:r>
      <w:r w:rsidRPr="00180DCC">
        <w:rPr>
          <w:lang w:val="fr-FR"/>
        </w:rPr>
        <w:t>4</w:t>
      </w:r>
    </w:p>
    <w:p w14:paraId="73596EE6" w14:textId="303C39DC" w:rsidR="00AA41BC" w:rsidRPr="00180DCC" w:rsidRDefault="00AA41BC" w:rsidP="00AA41BC">
      <w:pPr>
        <w:pStyle w:val="Equationlegend"/>
        <w:rPr>
          <w:lang w:val="fr-FR"/>
        </w:rPr>
      </w:pPr>
      <w:r w:rsidRPr="00180DCC">
        <w:rPr>
          <w:lang w:val="fr-FR"/>
        </w:rPr>
        <w:tab/>
      </w:r>
      <w:r w:rsidRPr="00180DCC">
        <w:rPr>
          <w:i/>
          <w:lang w:val="fr-FR"/>
        </w:rPr>
        <w:t>X</w:t>
      </w:r>
      <w:r w:rsidRPr="00180DCC">
        <w:rPr>
          <w:lang w:val="fr-FR"/>
        </w:rPr>
        <w:t> </w:t>
      </w:r>
      <w:r w:rsidRPr="00180DCC">
        <w:rPr>
          <w:rFonts w:ascii="Symbol" w:hAnsi="Symbol"/>
          <w:lang w:val="fr-FR"/>
        </w:rPr>
        <w:t></w:t>
      </w:r>
      <w:r w:rsidRPr="00180DCC">
        <w:rPr>
          <w:lang w:val="fr-FR"/>
        </w:rPr>
        <w:tab/>
        <w:t>−19,6</w:t>
      </w:r>
      <w:r w:rsidRPr="00180DCC">
        <w:rPr>
          <w:lang w:val="fr-FR"/>
        </w:rPr>
        <w:tab/>
        <w:t>à</w:t>
      </w:r>
      <w:r w:rsidRPr="00180DCC">
        <w:rPr>
          <w:lang w:val="fr-FR"/>
        </w:rPr>
        <w:tab/>
        <w:t> −15,0</w:t>
      </w:r>
      <w:r w:rsidRPr="00180DCC">
        <w:rPr>
          <w:color w:val="FFFFFF"/>
          <w:lang w:val="fr-FR"/>
        </w:rPr>
        <w:tab/>
      </w:r>
      <w:r w:rsidRPr="00180DCC">
        <w:rPr>
          <w:lang w:val="fr-FR"/>
        </w:rPr>
        <w:t>pour</w:t>
      </w:r>
      <w:r w:rsidRPr="00180DCC">
        <w:rPr>
          <w:lang w:val="fr-FR"/>
        </w:rPr>
        <w:tab/>
      </w:r>
      <w:r w:rsidRPr="00180DCC">
        <w:rPr>
          <w:color w:val="FFFFFF"/>
          <w:lang w:val="fr-FR"/>
        </w:rPr>
        <w:tab/>
      </w:r>
      <w:r w:rsidRPr="00180DCC">
        <w:rPr>
          <w:i/>
          <w:lang w:val="fr-FR"/>
        </w:rPr>
        <w:t>N</w:t>
      </w:r>
      <w:r w:rsidRPr="00180DCC">
        <w:rPr>
          <w:i/>
          <w:position w:val="-3"/>
          <w:sz w:val="16"/>
          <w:lang w:val="fr-FR"/>
        </w:rPr>
        <w:t>c</w:t>
      </w:r>
      <w:r w:rsidRPr="00180DCC">
        <w:rPr>
          <w:i/>
          <w:lang w:val="fr-FR"/>
        </w:rPr>
        <w:t>  </w:t>
      </w:r>
      <w:r w:rsidRPr="00180DCC">
        <w:rPr>
          <w:rFonts w:ascii="Symbol" w:hAnsi="Symbol"/>
          <w:lang w:val="fr-FR"/>
        </w:rPr>
        <w:t></w:t>
      </w:r>
      <w:r w:rsidRPr="00180DCC">
        <w:rPr>
          <w:lang w:val="fr-FR"/>
        </w:rPr>
        <w:t>  240</w:t>
      </w:r>
      <w:r w:rsidRPr="00180DCC">
        <w:rPr>
          <w:lang w:val="fr-FR"/>
        </w:rPr>
        <w:tab/>
        <w:t>et</w:t>
      </w:r>
      <w:r w:rsidRPr="00180DCC">
        <w:rPr>
          <w:lang w:val="fr-FR"/>
        </w:rPr>
        <w:tab/>
        <w:t>pour  </w:t>
      </w:r>
      <w:r w:rsidRPr="00180DCC">
        <w:rPr>
          <w:i/>
          <w:lang w:val="fr-FR"/>
        </w:rPr>
        <w:t>Y</w:t>
      </w:r>
      <w:r w:rsidRPr="00180DCC">
        <w:rPr>
          <w:lang w:val="fr-FR"/>
        </w:rPr>
        <w:t>  </w:t>
      </w:r>
      <w:r w:rsidRPr="00180DCC">
        <w:rPr>
          <w:rFonts w:ascii="Symbol" w:hAnsi="Symbol"/>
          <w:lang w:val="fr-FR"/>
        </w:rPr>
        <w:t></w:t>
      </w:r>
      <w:r w:rsidRPr="00180DCC">
        <w:rPr>
          <w:lang w:val="fr-FR"/>
        </w:rPr>
        <w:t>  10</w:t>
      </w:r>
    </w:p>
    <w:p w14:paraId="490052B5" w14:textId="2E786429" w:rsidR="00AA41BC" w:rsidRPr="00180DCC" w:rsidRDefault="00AA41BC" w:rsidP="00AA41BC">
      <w:pPr>
        <w:rPr>
          <w:lang w:val="fr-FR"/>
        </w:rPr>
      </w:pPr>
      <w:r w:rsidRPr="00180DCC">
        <w:rPr>
          <w:lang w:val="fr-FR"/>
        </w:rPr>
        <w:t>Le terme entre crochets est l</w:t>
      </w:r>
      <w:r w:rsidR="00C73875" w:rsidRPr="00180DCC">
        <w:rPr>
          <w:lang w:val="fr-FR"/>
        </w:rPr>
        <w:t>'</w:t>
      </w:r>
      <w:r w:rsidRPr="00180DCC">
        <w:rPr>
          <w:lang w:val="fr-FR"/>
        </w:rPr>
        <w:t xml:space="preserve">excursion de crête </w:t>
      </w:r>
      <w:r w:rsidRPr="00180DCC">
        <w:rPr>
          <w:i/>
          <w:lang w:val="fr-FR"/>
        </w:rPr>
        <w:t>D</w:t>
      </w:r>
      <w:r w:rsidRPr="00180DCC">
        <w:rPr>
          <w:lang w:val="fr-FR"/>
        </w:rPr>
        <w:t>. Le numérateur (</w:t>
      </w:r>
      <w:r w:rsidRPr="00180DCC">
        <w:rPr>
          <w:i/>
          <w:lang w:val="fr-FR"/>
        </w:rPr>
        <w:t>X</w:t>
      </w:r>
      <w:r w:rsidRPr="00180DCC">
        <w:rPr>
          <w:lang w:val="fr-FR"/>
        </w:rPr>
        <w:t> </w:t>
      </w:r>
      <w:r w:rsidRPr="00180DCC">
        <w:rPr>
          <w:rFonts w:ascii="Symbol" w:hAnsi="Symbol"/>
          <w:lang w:val="fr-FR"/>
        </w:rPr>
        <w:t></w:t>
      </w:r>
      <w:r w:rsidRPr="00180DCC">
        <w:rPr>
          <w:lang w:val="fr-FR"/>
        </w:rPr>
        <w:t> </w:t>
      </w:r>
      <w:r w:rsidRPr="00180DCC">
        <w:rPr>
          <w:i/>
          <w:lang w:val="fr-FR"/>
        </w:rPr>
        <w:t>Y</w:t>
      </w:r>
      <w:r w:rsidRPr="00180DCC">
        <w:rPr>
          <w:lang w:val="fr-FR"/>
        </w:rPr>
        <w:t> log </w:t>
      </w:r>
      <w:r w:rsidRPr="00180DCC">
        <w:rPr>
          <w:i/>
          <w:lang w:val="fr-FR"/>
        </w:rPr>
        <w:t>N</w:t>
      </w:r>
      <w:r w:rsidRPr="00180DCC">
        <w:rPr>
          <w:i/>
          <w:position w:val="-6"/>
          <w:sz w:val="16"/>
          <w:lang w:val="fr-FR"/>
        </w:rPr>
        <w:t>c</w:t>
      </w:r>
      <w:r w:rsidRPr="00180DCC">
        <w:rPr>
          <w:lang w:val="fr-FR"/>
        </w:rPr>
        <w:t>) de la fraction représente la puissance moyenne du signal composite à l</w:t>
      </w:r>
      <w:r w:rsidR="00C73875" w:rsidRPr="00180DCC">
        <w:rPr>
          <w:lang w:val="fr-FR"/>
        </w:rPr>
        <w:t>'</w:t>
      </w:r>
      <w:r w:rsidRPr="00180DCC">
        <w:rPr>
          <w:lang w:val="fr-FR"/>
        </w:rPr>
        <w:t>entrée du modulateur de l</w:t>
      </w:r>
      <w:r w:rsidR="00C73875" w:rsidRPr="00180DCC">
        <w:rPr>
          <w:lang w:val="fr-FR"/>
        </w:rPr>
        <w:t>'</w:t>
      </w:r>
      <w:r w:rsidRPr="00180DCC">
        <w:rPr>
          <w:lang w:val="fr-FR"/>
        </w:rPr>
        <w:t>émetteur.</w:t>
      </w:r>
    </w:p>
    <w:p w14:paraId="2C71CBFD" w14:textId="3C828EF4" w:rsidR="00AA41BC" w:rsidRPr="00180DCC" w:rsidRDefault="00AA41BC" w:rsidP="00AA41BC">
      <w:pPr>
        <w:rPr>
          <w:lang w:val="fr-FR"/>
        </w:rPr>
      </w:pPr>
      <w:r w:rsidRPr="00180DCC">
        <w:rPr>
          <w:lang w:val="fr-FR"/>
        </w:rPr>
        <w:t>Les fondements de cette formule figurent au § 1 de l</w:t>
      </w:r>
      <w:r w:rsidR="00C73875" w:rsidRPr="00180DCC">
        <w:rPr>
          <w:lang w:val="fr-FR"/>
        </w:rPr>
        <w:t>'</w:t>
      </w:r>
      <w:r w:rsidRPr="00180DCC">
        <w:rPr>
          <w:lang w:val="fr-FR"/>
        </w:rPr>
        <w:t xml:space="preserve">Annexe 1. Celle-ci indique notamment comment déterminer la valeur appropriée de la variable </w:t>
      </w:r>
      <w:r w:rsidRPr="00180DCC">
        <w:rPr>
          <w:i/>
          <w:lang w:val="fr-FR"/>
        </w:rPr>
        <w:t>X</w:t>
      </w:r>
      <w:r w:rsidRPr="00180DCC">
        <w:rPr>
          <w:lang w:val="fr-FR"/>
        </w:rPr>
        <w:t xml:space="preserve"> dans la formule.</w:t>
      </w:r>
    </w:p>
    <w:p w14:paraId="24AB6168" w14:textId="77777777" w:rsidR="00AA41BC" w:rsidRPr="00180DCC" w:rsidRDefault="00AA41BC" w:rsidP="00AA41BC">
      <w:pPr>
        <w:pStyle w:val="Heading1"/>
        <w:rPr>
          <w:lang w:val="fr-FR"/>
        </w:rPr>
      </w:pPr>
      <w:r w:rsidRPr="00180DCC">
        <w:rPr>
          <w:lang w:val="fr-FR"/>
        </w:rPr>
        <w:t>2</w:t>
      </w:r>
      <w:r w:rsidRPr="00180DCC">
        <w:rPr>
          <w:lang w:val="fr-FR"/>
        </w:rPr>
        <w:tab/>
        <w:t>Émissions par impulsions non modulées</w:t>
      </w:r>
    </w:p>
    <w:p w14:paraId="5DC4AAF8" w14:textId="27EFCE53" w:rsidR="00AA41BC" w:rsidRPr="00180DCC" w:rsidRDefault="00AA41BC" w:rsidP="00AA41BC">
      <w:pPr>
        <w:rPr>
          <w:lang w:val="fr-FR"/>
        </w:rPr>
      </w:pPr>
      <w:r w:rsidRPr="00180DCC">
        <w:rPr>
          <w:lang w:val="fr-FR"/>
        </w:rPr>
        <w:t>Le Tableau 1 donne la largeur de bande nécessaire dans les cas d</w:t>
      </w:r>
      <w:r w:rsidR="00C73875" w:rsidRPr="00180DCC">
        <w:rPr>
          <w:lang w:val="fr-FR"/>
        </w:rPr>
        <w:t>'</w:t>
      </w:r>
      <w:r w:rsidRPr="00180DCC">
        <w:rPr>
          <w:lang w:val="fr-FR"/>
        </w:rPr>
        <w:t>impulsions non modulées, rectangulaires ou trapézoïdales.</w:t>
      </w:r>
    </w:p>
    <w:p w14:paraId="5CDFE447" w14:textId="77777777" w:rsidR="00AA41BC" w:rsidRPr="00180DCC" w:rsidRDefault="00AA41BC" w:rsidP="00AA41BC">
      <w:pPr>
        <w:pStyle w:val="TableNo"/>
        <w:rPr>
          <w:lang w:val="fr-FR"/>
        </w:rPr>
      </w:pPr>
      <w:r w:rsidRPr="00180DCC">
        <w:rPr>
          <w:lang w:val="fr-FR"/>
        </w:rPr>
        <w:t>TABLEAU 1</w:t>
      </w:r>
    </w:p>
    <w:p w14:paraId="14455F1F" w14:textId="77777777" w:rsidR="00AA41BC" w:rsidRPr="00180DCC" w:rsidRDefault="00AA41BC" w:rsidP="00AA41BC">
      <w:pPr>
        <w:pStyle w:val="Tabletitle"/>
        <w:rPr>
          <w:lang w:val="fr-FR"/>
        </w:rPr>
      </w:pPr>
      <w:r w:rsidRPr="00180DCC">
        <w:rPr>
          <w:lang w:val="fr-FR"/>
        </w:rPr>
        <w:t>Émissions par impulsions non modulées</w:t>
      </w:r>
    </w:p>
    <w:tbl>
      <w:tblPr>
        <w:tblW w:w="9639" w:type="dxa"/>
        <w:jc w:val="center"/>
        <w:tblLayout w:type="fixed"/>
        <w:tblLook w:val="0000" w:firstRow="0" w:lastRow="0" w:firstColumn="0" w:lastColumn="0" w:noHBand="0" w:noVBand="0"/>
      </w:tblPr>
      <w:tblGrid>
        <w:gridCol w:w="1436"/>
        <w:gridCol w:w="3442"/>
        <w:gridCol w:w="3442"/>
        <w:gridCol w:w="1319"/>
      </w:tblGrid>
      <w:tr w:rsidR="00AA41BC" w:rsidRPr="00180DCC" w14:paraId="7C9FB62E" w14:textId="77777777" w:rsidTr="00CB19FB">
        <w:trPr>
          <w:cantSplit/>
          <w:jc w:val="center"/>
        </w:trPr>
        <w:tc>
          <w:tcPr>
            <w:tcW w:w="1418" w:type="dxa"/>
            <w:vMerge w:val="restart"/>
            <w:tcBorders>
              <w:top w:val="single" w:sz="6" w:space="0" w:color="auto"/>
              <w:left w:val="single" w:sz="6" w:space="0" w:color="auto"/>
              <w:right w:val="single" w:sz="6" w:space="0" w:color="auto"/>
            </w:tcBorders>
            <w:vAlign w:val="center"/>
          </w:tcPr>
          <w:p w14:paraId="19F1708A" w14:textId="4A413FD8" w:rsidR="00AA41BC" w:rsidRPr="00180DCC" w:rsidRDefault="00AA41BC" w:rsidP="00CB19FB">
            <w:pPr>
              <w:pStyle w:val="Tablehead"/>
              <w:rPr>
                <w:sz w:val="18"/>
                <w:szCs w:val="18"/>
                <w:lang w:val="fr-FR"/>
              </w:rPr>
            </w:pPr>
            <w:r w:rsidRPr="00180DCC">
              <w:rPr>
                <w:sz w:val="18"/>
                <w:szCs w:val="18"/>
                <w:lang w:val="fr-FR"/>
              </w:rPr>
              <w:t>Description</w:t>
            </w:r>
            <w:r w:rsidRPr="00180DCC">
              <w:rPr>
                <w:sz w:val="18"/>
                <w:szCs w:val="18"/>
                <w:lang w:val="fr-FR"/>
              </w:rPr>
              <w:br/>
              <w:t>de l</w:t>
            </w:r>
            <w:r w:rsidR="00C73875" w:rsidRPr="00180DCC">
              <w:rPr>
                <w:sz w:val="18"/>
                <w:szCs w:val="18"/>
                <w:lang w:val="fr-FR"/>
              </w:rPr>
              <w:t>'</w:t>
            </w:r>
            <w:r w:rsidRPr="00180DCC">
              <w:rPr>
                <w:sz w:val="18"/>
                <w:szCs w:val="18"/>
                <w:lang w:val="fr-FR"/>
              </w:rPr>
              <w:t>émission</w:t>
            </w:r>
          </w:p>
        </w:tc>
        <w:tc>
          <w:tcPr>
            <w:tcW w:w="6804" w:type="dxa"/>
            <w:gridSpan w:val="2"/>
            <w:tcBorders>
              <w:top w:val="single" w:sz="6" w:space="0" w:color="auto"/>
              <w:left w:val="single" w:sz="6" w:space="0" w:color="auto"/>
              <w:bottom w:val="single" w:sz="6" w:space="0" w:color="auto"/>
            </w:tcBorders>
            <w:vAlign w:val="center"/>
          </w:tcPr>
          <w:p w14:paraId="5E77264A" w14:textId="2268B5B7" w:rsidR="00AA41BC" w:rsidRPr="00180DCC" w:rsidRDefault="00AA41BC" w:rsidP="00CB19FB">
            <w:pPr>
              <w:pStyle w:val="Tablehead"/>
              <w:rPr>
                <w:sz w:val="18"/>
                <w:szCs w:val="18"/>
                <w:lang w:val="fr-FR"/>
              </w:rPr>
            </w:pPr>
            <w:r w:rsidRPr="00180DCC">
              <w:rPr>
                <w:sz w:val="18"/>
                <w:szCs w:val="18"/>
                <w:lang w:val="fr-FR"/>
              </w:rPr>
              <w:t>Largeur de bande nécessaire</w:t>
            </w:r>
          </w:p>
        </w:tc>
        <w:tc>
          <w:tcPr>
            <w:tcW w:w="1304" w:type="dxa"/>
            <w:vMerge w:val="restart"/>
            <w:tcBorders>
              <w:top w:val="single" w:sz="6" w:space="0" w:color="auto"/>
              <w:left w:val="single" w:sz="6" w:space="0" w:color="auto"/>
              <w:right w:val="single" w:sz="6" w:space="0" w:color="auto"/>
            </w:tcBorders>
            <w:vAlign w:val="center"/>
          </w:tcPr>
          <w:p w14:paraId="1C04BBA7" w14:textId="2C7C2163" w:rsidR="00AA41BC" w:rsidRPr="00180DCC" w:rsidRDefault="00AA41BC" w:rsidP="00CB19FB">
            <w:pPr>
              <w:pStyle w:val="Tablehead"/>
              <w:rPr>
                <w:sz w:val="18"/>
                <w:szCs w:val="18"/>
                <w:lang w:val="fr-FR"/>
              </w:rPr>
            </w:pPr>
            <w:r w:rsidRPr="00180DCC">
              <w:rPr>
                <w:sz w:val="18"/>
                <w:szCs w:val="18"/>
                <w:lang w:val="fr-FR"/>
              </w:rPr>
              <w:t>Désignation</w:t>
            </w:r>
            <w:r w:rsidRPr="00180DCC">
              <w:rPr>
                <w:sz w:val="18"/>
                <w:szCs w:val="18"/>
                <w:lang w:val="fr-FR"/>
              </w:rPr>
              <w:br/>
              <w:t>de l</w:t>
            </w:r>
            <w:r w:rsidR="00C73875" w:rsidRPr="00180DCC">
              <w:rPr>
                <w:sz w:val="18"/>
                <w:szCs w:val="18"/>
                <w:lang w:val="fr-FR"/>
              </w:rPr>
              <w:t>'</w:t>
            </w:r>
            <w:r w:rsidRPr="00180DCC">
              <w:rPr>
                <w:sz w:val="18"/>
                <w:szCs w:val="18"/>
                <w:lang w:val="fr-FR"/>
              </w:rPr>
              <w:t>émission</w:t>
            </w:r>
          </w:p>
        </w:tc>
      </w:tr>
      <w:tr w:rsidR="00AA41BC" w:rsidRPr="00180DCC" w14:paraId="0F0FF1B9" w14:textId="77777777" w:rsidTr="00CB19FB">
        <w:trPr>
          <w:cantSplit/>
          <w:jc w:val="center"/>
        </w:trPr>
        <w:tc>
          <w:tcPr>
            <w:tcW w:w="1418" w:type="dxa"/>
            <w:vMerge/>
            <w:tcBorders>
              <w:left w:val="single" w:sz="6" w:space="0" w:color="auto"/>
              <w:bottom w:val="single" w:sz="6" w:space="0" w:color="auto"/>
              <w:right w:val="single" w:sz="6" w:space="0" w:color="auto"/>
            </w:tcBorders>
            <w:vAlign w:val="center"/>
          </w:tcPr>
          <w:p w14:paraId="161CEB9D" w14:textId="4F32C1B0" w:rsidR="00AA41BC" w:rsidRPr="00180DCC" w:rsidRDefault="00AA41BC" w:rsidP="00CB19FB">
            <w:pPr>
              <w:pStyle w:val="Tablehead"/>
              <w:rPr>
                <w:sz w:val="18"/>
                <w:szCs w:val="18"/>
                <w:lang w:val="fr-FR"/>
              </w:rPr>
            </w:pPr>
          </w:p>
        </w:tc>
        <w:tc>
          <w:tcPr>
            <w:tcW w:w="3402" w:type="dxa"/>
            <w:tcBorders>
              <w:top w:val="single" w:sz="6" w:space="0" w:color="auto"/>
              <w:left w:val="single" w:sz="6" w:space="0" w:color="auto"/>
              <w:bottom w:val="single" w:sz="6" w:space="0" w:color="auto"/>
              <w:right w:val="single" w:sz="6" w:space="0" w:color="auto"/>
            </w:tcBorders>
            <w:vAlign w:val="center"/>
          </w:tcPr>
          <w:p w14:paraId="6E87A4E6" w14:textId="03C66253" w:rsidR="00AA41BC" w:rsidRPr="00180DCC" w:rsidRDefault="00AA41BC" w:rsidP="00CB19FB">
            <w:pPr>
              <w:pStyle w:val="Tablehead"/>
              <w:rPr>
                <w:sz w:val="18"/>
                <w:szCs w:val="18"/>
                <w:lang w:val="fr-FR"/>
              </w:rPr>
            </w:pPr>
            <w:r w:rsidRPr="00180DCC">
              <w:rPr>
                <w:sz w:val="18"/>
                <w:szCs w:val="18"/>
                <w:lang w:val="fr-FR"/>
              </w:rPr>
              <w:t>Formule</w:t>
            </w:r>
          </w:p>
        </w:tc>
        <w:tc>
          <w:tcPr>
            <w:tcW w:w="3402" w:type="dxa"/>
            <w:tcBorders>
              <w:top w:val="single" w:sz="6" w:space="0" w:color="auto"/>
              <w:left w:val="single" w:sz="6" w:space="0" w:color="auto"/>
              <w:bottom w:val="single" w:sz="6" w:space="0" w:color="auto"/>
            </w:tcBorders>
            <w:vAlign w:val="center"/>
          </w:tcPr>
          <w:p w14:paraId="64CDF49A" w14:textId="3A5BF23D" w:rsidR="00AA41BC" w:rsidRPr="00180DCC" w:rsidRDefault="00AA41BC" w:rsidP="00CB19FB">
            <w:pPr>
              <w:pStyle w:val="Tablehead"/>
              <w:rPr>
                <w:sz w:val="18"/>
                <w:szCs w:val="18"/>
                <w:lang w:val="fr-FR"/>
              </w:rPr>
            </w:pPr>
            <w:r w:rsidRPr="00180DCC">
              <w:rPr>
                <w:sz w:val="18"/>
                <w:szCs w:val="18"/>
                <w:lang w:val="fr-FR"/>
              </w:rPr>
              <w:t>Exemples de calcul</w:t>
            </w:r>
          </w:p>
        </w:tc>
        <w:tc>
          <w:tcPr>
            <w:tcW w:w="1304" w:type="dxa"/>
            <w:vMerge/>
            <w:tcBorders>
              <w:left w:val="single" w:sz="6" w:space="0" w:color="auto"/>
              <w:bottom w:val="single" w:sz="6" w:space="0" w:color="auto"/>
              <w:right w:val="single" w:sz="6" w:space="0" w:color="auto"/>
            </w:tcBorders>
            <w:vAlign w:val="center"/>
          </w:tcPr>
          <w:p w14:paraId="4C2DAB42" w14:textId="34AA8638" w:rsidR="00AA41BC" w:rsidRPr="00180DCC" w:rsidRDefault="00AA41BC" w:rsidP="00CB19FB">
            <w:pPr>
              <w:pStyle w:val="Tablehead"/>
              <w:rPr>
                <w:sz w:val="18"/>
                <w:szCs w:val="18"/>
                <w:lang w:val="fr-FR"/>
              </w:rPr>
            </w:pPr>
          </w:p>
        </w:tc>
      </w:tr>
      <w:tr w:rsidR="00AA41BC" w:rsidRPr="00180DCC" w14:paraId="03B5C965" w14:textId="77777777" w:rsidTr="00AA41BC">
        <w:trPr>
          <w:cantSplit/>
          <w:jc w:val="center"/>
        </w:trPr>
        <w:tc>
          <w:tcPr>
            <w:tcW w:w="1418" w:type="dxa"/>
            <w:tcBorders>
              <w:left w:val="single" w:sz="6" w:space="0" w:color="auto"/>
              <w:right w:val="single" w:sz="6" w:space="0" w:color="auto"/>
            </w:tcBorders>
          </w:tcPr>
          <w:p w14:paraId="71B90B83" w14:textId="22DB4500" w:rsidR="00AA41BC" w:rsidRPr="00180DCC" w:rsidRDefault="00AA41BC" w:rsidP="00AA41BC">
            <w:pPr>
              <w:pStyle w:val="TableText0"/>
              <w:spacing w:before="160" w:after="160"/>
              <w:jc w:val="left"/>
              <w:rPr>
                <w:lang w:val="fr-FR"/>
              </w:rPr>
            </w:pPr>
            <w:r w:rsidRPr="00180DCC">
              <w:rPr>
                <w:lang w:val="fr-FR"/>
              </w:rPr>
              <w:t>Émission en impulsions non modulées</w:t>
            </w:r>
          </w:p>
        </w:tc>
        <w:tc>
          <w:tcPr>
            <w:tcW w:w="3402" w:type="dxa"/>
            <w:tcBorders>
              <w:top w:val="single" w:sz="6" w:space="0" w:color="auto"/>
              <w:left w:val="single" w:sz="6" w:space="0" w:color="auto"/>
              <w:right w:val="single" w:sz="6" w:space="0" w:color="auto"/>
            </w:tcBorders>
          </w:tcPr>
          <w:p w14:paraId="62FBA177" w14:textId="77777777" w:rsidR="00AA41BC" w:rsidRPr="00180DCC" w:rsidRDefault="00AA41BC" w:rsidP="00AA41BC">
            <w:pPr>
              <w:pStyle w:val="TableText0"/>
              <w:spacing w:before="160" w:after="160"/>
              <w:jc w:val="center"/>
              <w:rPr>
                <w:lang w:val="fr-FR"/>
              </w:rPr>
            </w:pPr>
            <w:r w:rsidRPr="00180DCC">
              <w:rPr>
                <w:lang w:val="fr-FR"/>
              </w:rPr>
              <w:t>Cas 1:</w:t>
            </w:r>
          </w:p>
        </w:tc>
        <w:tc>
          <w:tcPr>
            <w:tcW w:w="3402" w:type="dxa"/>
            <w:tcBorders>
              <w:top w:val="single" w:sz="6" w:space="0" w:color="auto"/>
              <w:left w:val="single" w:sz="6" w:space="0" w:color="auto"/>
            </w:tcBorders>
          </w:tcPr>
          <w:p w14:paraId="6A6E3C40" w14:textId="77777777" w:rsidR="00AA41BC" w:rsidRPr="00180DCC" w:rsidRDefault="00AA41BC" w:rsidP="00AA41BC">
            <w:pPr>
              <w:pStyle w:val="TableText0"/>
              <w:spacing w:before="160" w:after="160"/>
              <w:jc w:val="left"/>
              <w:rPr>
                <w:lang w:val="fr-FR"/>
              </w:rPr>
            </w:pPr>
          </w:p>
        </w:tc>
        <w:tc>
          <w:tcPr>
            <w:tcW w:w="1304" w:type="dxa"/>
            <w:tcBorders>
              <w:top w:val="single" w:sz="6" w:space="0" w:color="auto"/>
              <w:left w:val="single" w:sz="6" w:space="0" w:color="auto"/>
              <w:right w:val="single" w:sz="6" w:space="0" w:color="auto"/>
            </w:tcBorders>
          </w:tcPr>
          <w:p w14:paraId="220A6447" w14:textId="77777777" w:rsidR="00AA41BC" w:rsidRPr="00180DCC" w:rsidRDefault="00AA41BC" w:rsidP="00AA41BC">
            <w:pPr>
              <w:pStyle w:val="TableText0"/>
              <w:spacing w:before="160" w:after="160"/>
              <w:jc w:val="left"/>
              <w:rPr>
                <w:lang w:val="fr-FR"/>
              </w:rPr>
            </w:pPr>
            <w:r w:rsidRPr="00180DCC">
              <w:rPr>
                <w:lang w:val="fr-FR"/>
              </w:rPr>
              <w:t>4M00P0N</w:t>
            </w:r>
          </w:p>
        </w:tc>
      </w:tr>
      <w:tr w:rsidR="00AA41BC" w:rsidRPr="00180DCC" w14:paraId="6473E047" w14:textId="77777777" w:rsidTr="00AA41BC">
        <w:trPr>
          <w:cantSplit/>
          <w:jc w:val="center"/>
        </w:trPr>
        <w:tc>
          <w:tcPr>
            <w:tcW w:w="1418" w:type="dxa"/>
            <w:tcBorders>
              <w:left w:val="single" w:sz="6" w:space="0" w:color="auto"/>
              <w:right w:val="single" w:sz="6" w:space="0" w:color="auto"/>
            </w:tcBorders>
          </w:tcPr>
          <w:p w14:paraId="6FFBD3BF" w14:textId="77777777" w:rsidR="00AA41BC" w:rsidRPr="00180DCC" w:rsidRDefault="00AA41BC" w:rsidP="00AA41BC">
            <w:pPr>
              <w:pStyle w:val="TableText0"/>
              <w:spacing w:before="160" w:after="160"/>
              <w:jc w:val="left"/>
              <w:rPr>
                <w:lang w:val="fr-FR"/>
              </w:rPr>
            </w:pPr>
          </w:p>
        </w:tc>
        <w:tc>
          <w:tcPr>
            <w:tcW w:w="3402" w:type="dxa"/>
            <w:tcBorders>
              <w:left w:val="single" w:sz="6" w:space="0" w:color="auto"/>
              <w:right w:val="single" w:sz="6" w:space="0" w:color="auto"/>
            </w:tcBorders>
          </w:tcPr>
          <w:p w14:paraId="2AF73F19" w14:textId="77777777" w:rsidR="00AA41BC" w:rsidRPr="00180DCC" w:rsidRDefault="00AA41BC" w:rsidP="00AA41BC">
            <w:pPr>
              <w:pStyle w:val="TableText0"/>
              <w:spacing w:before="160" w:after="160"/>
              <w:jc w:val="left"/>
              <w:rPr>
                <w:lang w:val="fr-FR"/>
              </w:rPr>
            </w:pPr>
            <w:r w:rsidRPr="00180DCC">
              <w:rPr>
                <w:lang w:val="fr-FR"/>
              </w:rPr>
              <w:fldChar w:fldCharType="begin"/>
            </w:r>
            <w:r w:rsidRPr="00180DCC">
              <w:rPr>
                <w:lang w:val="fr-FR"/>
              </w:rPr>
              <w:instrText xml:space="preserve">eq </w:instrText>
            </w:r>
            <w:r w:rsidRPr="00180DCC">
              <w:rPr>
                <w:i/>
                <w:lang w:val="fr-FR"/>
              </w:rPr>
              <w:instrText>B</w:instrText>
            </w:r>
            <w:r w:rsidRPr="00180DCC">
              <w:rPr>
                <w:i/>
                <w:position w:val="-3"/>
                <w:sz w:val="14"/>
                <w:lang w:val="fr-FR"/>
              </w:rPr>
              <w:instrText>n</w:instrText>
            </w:r>
            <w:r w:rsidRPr="00180DCC">
              <w:rPr>
                <w:b/>
                <w:lang w:val="fr-FR"/>
              </w:rPr>
              <w:instrText xml:space="preserve">  </w:instrText>
            </w:r>
            <w:r w:rsidRPr="00180DCC">
              <w:rPr>
                <w:rFonts w:ascii="Symbol" w:hAnsi="Symbol"/>
                <w:b/>
                <w:lang w:val="fr-FR"/>
              </w:rPr>
              <w:instrText>=</w:instrText>
            </w:r>
            <w:r w:rsidRPr="00180DCC">
              <w:rPr>
                <w:b/>
                <w:lang w:val="fr-FR"/>
              </w:rPr>
              <w:instrText xml:space="preserve">  </w:instrText>
            </w:r>
            <w:r w:rsidRPr="00180DCC">
              <w:rPr>
                <w:lang w:val="fr-FR"/>
              </w:rPr>
              <w:instrText>\f(1\,79,\r(</w:instrText>
            </w:r>
            <w:r w:rsidRPr="00180DCC">
              <w:rPr>
                <w:i/>
                <w:lang w:val="fr-FR"/>
              </w:rPr>
              <w:instrText>t</w:instrText>
            </w:r>
            <w:r w:rsidRPr="00180DCC">
              <w:rPr>
                <w:lang w:val="fr-FR"/>
              </w:rPr>
              <w:instrText xml:space="preserve">  </w:instrText>
            </w:r>
            <w:r w:rsidRPr="00180DCC">
              <w:rPr>
                <w:rFonts w:ascii="Symbol" w:hAnsi="Symbol"/>
                <w:lang w:val="fr-FR"/>
              </w:rPr>
              <w:instrText>×</w:instrText>
            </w:r>
            <w:r w:rsidRPr="00180DCC">
              <w:rPr>
                <w:lang w:val="fr-FR"/>
              </w:rPr>
              <w:instrText xml:space="preserve">  </w:instrText>
            </w:r>
            <w:r w:rsidRPr="00180DCC">
              <w:rPr>
                <w:i/>
                <w:lang w:val="fr-FR"/>
              </w:rPr>
              <w:instrText>t</w:instrText>
            </w:r>
            <w:r w:rsidRPr="00180DCC">
              <w:rPr>
                <w:i/>
                <w:position w:val="-3"/>
                <w:sz w:val="14"/>
                <w:lang w:val="fr-FR"/>
              </w:rPr>
              <w:instrText>r</w:instrText>
            </w:r>
            <w:r w:rsidRPr="00180DCC">
              <w:rPr>
                <w:lang w:val="fr-FR"/>
              </w:rPr>
              <w:instrText>))</w:instrText>
            </w:r>
            <w:r w:rsidRPr="00180DCC">
              <w:rPr>
                <w:lang w:val="fr-FR"/>
              </w:rPr>
              <w:fldChar w:fldCharType="end"/>
            </w:r>
            <w:r w:rsidRPr="00180DCC">
              <w:rPr>
                <w:lang w:val="fr-FR"/>
              </w:rPr>
              <w:t xml:space="preserve">     Hz</w:t>
            </w:r>
          </w:p>
        </w:tc>
        <w:tc>
          <w:tcPr>
            <w:tcW w:w="3402" w:type="dxa"/>
            <w:tcBorders>
              <w:left w:val="single" w:sz="6" w:space="0" w:color="auto"/>
            </w:tcBorders>
          </w:tcPr>
          <w:p w14:paraId="6A3C6D88" w14:textId="77777777" w:rsidR="00AA41BC" w:rsidRPr="00180DCC" w:rsidRDefault="00AA41BC" w:rsidP="00AA41BC">
            <w:pPr>
              <w:pStyle w:val="TableText0"/>
              <w:spacing w:before="160" w:after="160"/>
              <w:jc w:val="left"/>
              <w:rPr>
                <w:lang w:val="fr-FR"/>
              </w:rPr>
            </w:pPr>
            <w:r w:rsidRPr="00180DCC">
              <w:rPr>
                <w:i/>
                <w:lang w:val="fr-FR"/>
              </w:rPr>
              <w:t>t</w:t>
            </w:r>
            <w:r w:rsidRPr="00180DCC">
              <w:rPr>
                <w:lang w:val="fr-FR"/>
              </w:rPr>
              <w:t>   </w:t>
            </w:r>
            <w:r w:rsidRPr="00180DCC">
              <w:rPr>
                <w:rFonts w:ascii="Symbol" w:hAnsi="Symbol"/>
                <w:lang w:val="fr-FR"/>
              </w:rPr>
              <w:t></w:t>
            </w:r>
            <w:r w:rsidRPr="00180DCC">
              <w:rPr>
                <w:lang w:val="fr-FR"/>
              </w:rPr>
              <w:t>  3  </w:t>
            </w:r>
            <w:r w:rsidRPr="00180DCC">
              <w:rPr>
                <w:rFonts w:ascii="Symbol" w:hAnsi="Symbol"/>
                <w:lang w:val="fr-FR"/>
              </w:rPr>
              <w:t></w:t>
            </w:r>
            <w:r w:rsidRPr="00180DCC">
              <w:rPr>
                <w:lang w:val="fr-FR"/>
              </w:rPr>
              <w:t>  10</w:t>
            </w:r>
            <w:r w:rsidRPr="00180DCC">
              <w:rPr>
                <w:position w:val="6"/>
                <w:sz w:val="14"/>
                <w:lang w:val="fr-FR"/>
              </w:rPr>
              <w:t>–</w:t>
            </w:r>
            <w:r w:rsidRPr="00180DCC">
              <w:rPr>
                <w:rFonts w:ascii="Tms Rmn" w:hAnsi="Tms Rmn"/>
                <w:position w:val="6"/>
                <w:sz w:val="8"/>
                <w:lang w:val="fr-FR"/>
              </w:rPr>
              <w:t> </w:t>
            </w:r>
            <w:r w:rsidRPr="00180DCC">
              <w:rPr>
                <w:position w:val="6"/>
                <w:sz w:val="14"/>
                <w:lang w:val="fr-FR"/>
              </w:rPr>
              <w:t>6</w:t>
            </w:r>
            <w:r w:rsidRPr="00180DCC">
              <w:rPr>
                <w:lang w:val="fr-FR"/>
              </w:rPr>
              <w:t xml:space="preserve"> s</w:t>
            </w:r>
          </w:p>
          <w:p w14:paraId="2B42F73D" w14:textId="77777777" w:rsidR="00AA41BC" w:rsidRPr="00180DCC" w:rsidRDefault="00AA41BC" w:rsidP="00273525">
            <w:pPr>
              <w:pStyle w:val="TableText0"/>
              <w:spacing w:before="200" w:after="160"/>
              <w:jc w:val="left"/>
              <w:rPr>
                <w:lang w:val="fr-FR"/>
              </w:rPr>
            </w:pPr>
            <w:r w:rsidRPr="00180DCC">
              <w:rPr>
                <w:i/>
                <w:lang w:val="fr-FR"/>
              </w:rPr>
              <w:t>t</w:t>
            </w:r>
            <w:r w:rsidRPr="00180DCC">
              <w:rPr>
                <w:i/>
                <w:position w:val="-3"/>
                <w:sz w:val="14"/>
                <w:lang w:val="fr-FR"/>
              </w:rPr>
              <w:t>r</w:t>
            </w:r>
            <w:r w:rsidRPr="00180DCC">
              <w:rPr>
                <w:lang w:val="fr-FR"/>
              </w:rPr>
              <w:t>  </w:t>
            </w:r>
            <w:r w:rsidRPr="00180DCC">
              <w:rPr>
                <w:rFonts w:ascii="Symbol" w:hAnsi="Symbol"/>
                <w:lang w:val="fr-FR"/>
              </w:rPr>
              <w:t></w:t>
            </w:r>
            <w:r w:rsidRPr="00180DCC">
              <w:rPr>
                <w:lang w:val="fr-FR"/>
              </w:rPr>
              <w:t>  0,06675  </w:t>
            </w:r>
            <w:r w:rsidRPr="00180DCC">
              <w:rPr>
                <w:rFonts w:ascii="Symbol" w:hAnsi="Symbol"/>
                <w:lang w:val="fr-FR"/>
              </w:rPr>
              <w:t></w:t>
            </w:r>
            <w:r w:rsidRPr="00180DCC">
              <w:rPr>
                <w:lang w:val="fr-FR"/>
              </w:rPr>
              <w:t>  10</w:t>
            </w:r>
            <w:r w:rsidRPr="00180DCC">
              <w:rPr>
                <w:position w:val="6"/>
                <w:sz w:val="14"/>
                <w:lang w:val="fr-FR"/>
              </w:rPr>
              <w:t>–</w:t>
            </w:r>
            <w:r w:rsidRPr="00180DCC">
              <w:rPr>
                <w:rFonts w:ascii="Tms Rmn" w:hAnsi="Tms Rmn"/>
                <w:position w:val="6"/>
                <w:sz w:val="8"/>
                <w:lang w:val="fr-FR"/>
              </w:rPr>
              <w:t> </w:t>
            </w:r>
            <w:r w:rsidRPr="00180DCC">
              <w:rPr>
                <w:position w:val="6"/>
                <w:sz w:val="14"/>
                <w:lang w:val="fr-FR"/>
              </w:rPr>
              <w:t>6</w:t>
            </w:r>
            <w:r w:rsidRPr="00180DCC">
              <w:rPr>
                <w:lang w:val="fr-FR"/>
              </w:rPr>
              <w:t xml:space="preserve"> s</w:t>
            </w:r>
          </w:p>
        </w:tc>
        <w:tc>
          <w:tcPr>
            <w:tcW w:w="1304" w:type="dxa"/>
            <w:tcBorders>
              <w:left w:val="single" w:sz="6" w:space="0" w:color="auto"/>
              <w:right w:val="single" w:sz="6" w:space="0" w:color="auto"/>
            </w:tcBorders>
          </w:tcPr>
          <w:p w14:paraId="4313AA2A" w14:textId="77777777" w:rsidR="00AA41BC" w:rsidRPr="00180DCC" w:rsidRDefault="00AA41BC" w:rsidP="00AA41BC">
            <w:pPr>
              <w:pStyle w:val="TableText0"/>
              <w:spacing w:before="160" w:after="160"/>
              <w:jc w:val="left"/>
              <w:rPr>
                <w:lang w:val="fr-FR"/>
              </w:rPr>
            </w:pPr>
          </w:p>
        </w:tc>
      </w:tr>
      <w:tr w:rsidR="00AA41BC" w:rsidRPr="00180DCC" w14:paraId="2A065A89" w14:textId="77777777" w:rsidTr="00AA41BC">
        <w:trPr>
          <w:cantSplit/>
          <w:jc w:val="center"/>
        </w:trPr>
        <w:tc>
          <w:tcPr>
            <w:tcW w:w="1418" w:type="dxa"/>
            <w:tcBorders>
              <w:left w:val="single" w:sz="6" w:space="0" w:color="auto"/>
              <w:right w:val="single" w:sz="6" w:space="0" w:color="auto"/>
            </w:tcBorders>
          </w:tcPr>
          <w:p w14:paraId="4C6FE786" w14:textId="77777777" w:rsidR="00AA41BC" w:rsidRPr="00180DCC" w:rsidRDefault="00AA41BC" w:rsidP="00AA41BC">
            <w:pPr>
              <w:pStyle w:val="TableText0"/>
              <w:spacing w:before="160" w:after="160"/>
              <w:jc w:val="left"/>
              <w:rPr>
                <w:lang w:val="fr-FR"/>
              </w:rPr>
            </w:pPr>
          </w:p>
        </w:tc>
        <w:tc>
          <w:tcPr>
            <w:tcW w:w="3402" w:type="dxa"/>
            <w:tcBorders>
              <w:left w:val="single" w:sz="6" w:space="0" w:color="auto"/>
              <w:bottom w:val="single" w:sz="6" w:space="0" w:color="auto"/>
              <w:right w:val="single" w:sz="6" w:space="0" w:color="auto"/>
            </w:tcBorders>
          </w:tcPr>
          <w:p w14:paraId="7C11D073" w14:textId="22BCAF3D" w:rsidR="00AA41BC" w:rsidRPr="00180DCC" w:rsidRDefault="00AA41BC" w:rsidP="00AA41BC">
            <w:pPr>
              <w:pStyle w:val="TableText0"/>
              <w:spacing w:before="160" w:after="160"/>
              <w:jc w:val="left"/>
              <w:rPr>
                <w:lang w:val="fr-FR"/>
              </w:rPr>
            </w:pPr>
            <w:r w:rsidRPr="00180DCC">
              <w:rPr>
                <w:lang w:val="fr-FR"/>
              </w:rPr>
              <w:t>à 20 dB au-dessous de la valeur de crête de l</w:t>
            </w:r>
            <w:r w:rsidR="00C73875" w:rsidRPr="00180DCC">
              <w:rPr>
                <w:lang w:val="fr-FR"/>
              </w:rPr>
              <w:t>'</w:t>
            </w:r>
            <w:r w:rsidRPr="00180DCC">
              <w:rPr>
                <w:lang w:val="fr-FR"/>
              </w:rPr>
              <w:t>enveloppe du spectre d</w:t>
            </w:r>
            <w:r w:rsidR="00C73875" w:rsidRPr="00180DCC">
              <w:rPr>
                <w:lang w:val="fr-FR"/>
              </w:rPr>
              <w:t>'</w:t>
            </w:r>
            <w:r w:rsidRPr="00180DCC">
              <w:rPr>
                <w:lang w:val="fr-FR"/>
              </w:rPr>
              <w:t>une impulsion trapézoïdale</w:t>
            </w:r>
          </w:p>
        </w:tc>
        <w:tc>
          <w:tcPr>
            <w:tcW w:w="3402" w:type="dxa"/>
            <w:tcBorders>
              <w:left w:val="single" w:sz="6" w:space="0" w:color="auto"/>
              <w:bottom w:val="single" w:sz="6" w:space="0" w:color="auto"/>
            </w:tcBorders>
          </w:tcPr>
          <w:p w14:paraId="5276C4A3" w14:textId="77777777" w:rsidR="00AA41BC" w:rsidRPr="00180DCC" w:rsidRDefault="00AA41BC" w:rsidP="00AA41BC">
            <w:pPr>
              <w:pStyle w:val="TableText0"/>
              <w:spacing w:before="160" w:after="160"/>
              <w:jc w:val="left"/>
              <w:rPr>
                <w:lang w:val="fr-FR"/>
              </w:rPr>
            </w:pPr>
            <w:r w:rsidRPr="00180DCC">
              <w:rPr>
                <w:lang w:val="fr-FR"/>
              </w:rPr>
              <w:t>Largeur de bande:  4  </w:t>
            </w:r>
            <w:r w:rsidRPr="00180DCC">
              <w:rPr>
                <w:rFonts w:ascii="Symbol" w:hAnsi="Symbol"/>
                <w:lang w:val="fr-FR"/>
              </w:rPr>
              <w:t></w:t>
            </w:r>
            <w:r w:rsidRPr="00180DCC">
              <w:rPr>
                <w:lang w:val="fr-FR"/>
              </w:rPr>
              <w:t>  10</w:t>
            </w:r>
            <w:r w:rsidRPr="00180DCC">
              <w:rPr>
                <w:position w:val="6"/>
                <w:sz w:val="14"/>
                <w:lang w:val="fr-FR"/>
              </w:rPr>
              <w:t>6</w:t>
            </w:r>
            <w:r w:rsidRPr="00180DCC">
              <w:rPr>
                <w:lang w:val="fr-FR"/>
              </w:rPr>
              <w:t> Hz</w:t>
            </w:r>
          </w:p>
        </w:tc>
        <w:tc>
          <w:tcPr>
            <w:tcW w:w="1304" w:type="dxa"/>
            <w:tcBorders>
              <w:left w:val="single" w:sz="6" w:space="0" w:color="auto"/>
              <w:bottom w:val="single" w:sz="6" w:space="0" w:color="auto"/>
              <w:right w:val="single" w:sz="6" w:space="0" w:color="auto"/>
            </w:tcBorders>
          </w:tcPr>
          <w:p w14:paraId="31627A9B" w14:textId="77777777" w:rsidR="00AA41BC" w:rsidRPr="00180DCC" w:rsidRDefault="00AA41BC" w:rsidP="00AA41BC">
            <w:pPr>
              <w:pStyle w:val="TableText0"/>
              <w:spacing w:before="160" w:after="160"/>
              <w:jc w:val="left"/>
              <w:rPr>
                <w:lang w:val="fr-FR"/>
              </w:rPr>
            </w:pPr>
          </w:p>
        </w:tc>
      </w:tr>
      <w:tr w:rsidR="00AA41BC" w:rsidRPr="00180DCC" w14:paraId="3635EBB0" w14:textId="77777777" w:rsidTr="00AA41BC">
        <w:trPr>
          <w:cantSplit/>
          <w:jc w:val="center"/>
        </w:trPr>
        <w:tc>
          <w:tcPr>
            <w:tcW w:w="1418" w:type="dxa"/>
            <w:tcBorders>
              <w:left w:val="single" w:sz="6" w:space="0" w:color="auto"/>
              <w:right w:val="single" w:sz="6" w:space="0" w:color="auto"/>
            </w:tcBorders>
          </w:tcPr>
          <w:p w14:paraId="50CC0585" w14:textId="77777777" w:rsidR="00AA41BC" w:rsidRPr="00180DCC" w:rsidRDefault="00AA41BC" w:rsidP="00AA41BC">
            <w:pPr>
              <w:pStyle w:val="TableText0"/>
              <w:spacing w:before="160" w:after="160"/>
              <w:jc w:val="left"/>
              <w:rPr>
                <w:lang w:val="fr-FR"/>
              </w:rPr>
            </w:pPr>
          </w:p>
        </w:tc>
        <w:tc>
          <w:tcPr>
            <w:tcW w:w="3402" w:type="dxa"/>
            <w:tcBorders>
              <w:top w:val="single" w:sz="6" w:space="0" w:color="auto"/>
              <w:left w:val="single" w:sz="6" w:space="0" w:color="auto"/>
              <w:right w:val="single" w:sz="6" w:space="0" w:color="auto"/>
            </w:tcBorders>
          </w:tcPr>
          <w:p w14:paraId="3DFCB1A8" w14:textId="77777777" w:rsidR="00AA41BC" w:rsidRPr="00180DCC" w:rsidRDefault="00AA41BC" w:rsidP="00AA41BC">
            <w:pPr>
              <w:pStyle w:val="TableText0"/>
              <w:spacing w:before="160" w:after="160"/>
              <w:jc w:val="center"/>
              <w:rPr>
                <w:lang w:val="fr-FR"/>
              </w:rPr>
            </w:pPr>
            <w:r w:rsidRPr="00180DCC">
              <w:rPr>
                <w:lang w:val="fr-FR"/>
              </w:rPr>
              <w:t>Cas 2:</w:t>
            </w:r>
          </w:p>
        </w:tc>
        <w:tc>
          <w:tcPr>
            <w:tcW w:w="3402" w:type="dxa"/>
            <w:tcBorders>
              <w:top w:val="single" w:sz="6" w:space="0" w:color="auto"/>
              <w:left w:val="single" w:sz="6" w:space="0" w:color="auto"/>
            </w:tcBorders>
          </w:tcPr>
          <w:p w14:paraId="22385AEA" w14:textId="77777777" w:rsidR="00AA41BC" w:rsidRPr="00180DCC" w:rsidRDefault="00AA41BC" w:rsidP="00AA41BC">
            <w:pPr>
              <w:pStyle w:val="TableText0"/>
              <w:spacing w:before="160" w:after="160"/>
              <w:jc w:val="left"/>
              <w:rPr>
                <w:lang w:val="fr-FR"/>
              </w:rPr>
            </w:pPr>
          </w:p>
        </w:tc>
        <w:tc>
          <w:tcPr>
            <w:tcW w:w="1304" w:type="dxa"/>
            <w:tcBorders>
              <w:top w:val="single" w:sz="6" w:space="0" w:color="auto"/>
              <w:left w:val="single" w:sz="6" w:space="0" w:color="auto"/>
              <w:right w:val="single" w:sz="6" w:space="0" w:color="auto"/>
            </w:tcBorders>
          </w:tcPr>
          <w:p w14:paraId="67049786" w14:textId="77777777" w:rsidR="00AA41BC" w:rsidRPr="00180DCC" w:rsidRDefault="00AA41BC" w:rsidP="00AA41BC">
            <w:pPr>
              <w:pStyle w:val="TableText0"/>
              <w:spacing w:before="160" w:after="160"/>
              <w:jc w:val="left"/>
              <w:rPr>
                <w:lang w:val="fr-FR"/>
              </w:rPr>
            </w:pPr>
            <w:r w:rsidRPr="00180DCC">
              <w:rPr>
                <w:lang w:val="fr-FR"/>
              </w:rPr>
              <w:t>3M36P0N</w:t>
            </w:r>
          </w:p>
        </w:tc>
      </w:tr>
      <w:tr w:rsidR="00AA41BC" w:rsidRPr="00180DCC" w14:paraId="28F5C541" w14:textId="77777777" w:rsidTr="00AA41BC">
        <w:trPr>
          <w:cantSplit/>
          <w:jc w:val="center"/>
        </w:trPr>
        <w:tc>
          <w:tcPr>
            <w:tcW w:w="1418" w:type="dxa"/>
            <w:tcBorders>
              <w:left w:val="single" w:sz="6" w:space="0" w:color="auto"/>
              <w:right w:val="single" w:sz="6" w:space="0" w:color="auto"/>
            </w:tcBorders>
          </w:tcPr>
          <w:p w14:paraId="4D9F8A04" w14:textId="77777777" w:rsidR="00AA41BC" w:rsidRPr="00180DCC" w:rsidRDefault="00AA41BC" w:rsidP="00AA41BC">
            <w:pPr>
              <w:pStyle w:val="TableText0"/>
              <w:spacing w:before="160" w:after="160"/>
              <w:jc w:val="left"/>
              <w:rPr>
                <w:lang w:val="fr-FR"/>
              </w:rPr>
            </w:pPr>
          </w:p>
        </w:tc>
        <w:tc>
          <w:tcPr>
            <w:tcW w:w="3402" w:type="dxa"/>
            <w:tcBorders>
              <w:left w:val="single" w:sz="6" w:space="0" w:color="auto"/>
              <w:right w:val="single" w:sz="6" w:space="0" w:color="auto"/>
            </w:tcBorders>
          </w:tcPr>
          <w:p w14:paraId="7C7E9570" w14:textId="77777777" w:rsidR="00AA41BC" w:rsidRPr="00180DCC" w:rsidRDefault="00AA41BC" w:rsidP="00AA41BC">
            <w:pPr>
              <w:pStyle w:val="TableText0"/>
              <w:spacing w:before="160" w:after="160"/>
              <w:jc w:val="left"/>
              <w:rPr>
                <w:lang w:val="fr-FR"/>
              </w:rPr>
            </w:pPr>
            <w:r w:rsidRPr="00180DCC">
              <w:rPr>
                <w:lang w:val="fr-FR"/>
              </w:rPr>
              <w:fldChar w:fldCharType="begin"/>
            </w:r>
            <w:r w:rsidRPr="00180DCC">
              <w:rPr>
                <w:lang w:val="fr-FR"/>
              </w:rPr>
              <w:instrText xml:space="preserve">eq </w:instrText>
            </w:r>
            <w:r w:rsidRPr="00180DCC">
              <w:rPr>
                <w:i/>
                <w:lang w:val="fr-FR"/>
              </w:rPr>
              <w:instrText>B</w:instrText>
            </w:r>
            <w:r w:rsidRPr="00180DCC">
              <w:rPr>
                <w:i/>
                <w:position w:val="-3"/>
                <w:sz w:val="14"/>
                <w:lang w:val="fr-FR"/>
              </w:rPr>
              <w:instrText>n</w:instrText>
            </w:r>
            <w:r w:rsidRPr="00180DCC">
              <w:rPr>
                <w:b/>
                <w:lang w:val="fr-FR"/>
              </w:rPr>
              <w:instrText xml:space="preserve">  </w:instrText>
            </w:r>
            <w:r w:rsidRPr="00180DCC">
              <w:rPr>
                <w:rFonts w:ascii="Symbol" w:hAnsi="Symbol"/>
                <w:b/>
                <w:lang w:val="fr-FR"/>
              </w:rPr>
              <w:instrText>=</w:instrText>
            </w:r>
            <w:r w:rsidRPr="00180DCC">
              <w:rPr>
                <w:b/>
                <w:lang w:val="fr-FR"/>
              </w:rPr>
              <w:instrText xml:space="preserve">  </w:instrText>
            </w:r>
            <w:r w:rsidRPr="00180DCC">
              <w:rPr>
                <w:lang w:val="fr-FR"/>
              </w:rPr>
              <w:instrText>1\,27 \r(\f(\f(1,</w:instrText>
            </w:r>
            <w:r w:rsidRPr="00180DCC">
              <w:rPr>
                <w:i/>
                <w:lang w:val="fr-FR"/>
              </w:rPr>
              <w:instrText>t</w:instrText>
            </w:r>
            <w:r w:rsidRPr="00180DCC">
              <w:rPr>
                <w:i/>
                <w:position w:val="-3"/>
                <w:sz w:val="14"/>
                <w:lang w:val="fr-FR"/>
              </w:rPr>
              <w:instrText>r</w:instrText>
            </w:r>
            <w:r w:rsidRPr="00180DCC">
              <w:rPr>
                <w:lang w:val="fr-FR"/>
              </w:rPr>
              <w:instrText xml:space="preserve">)  </w:instrText>
            </w:r>
            <w:r w:rsidRPr="00180DCC">
              <w:rPr>
                <w:rFonts w:ascii="Symbol" w:hAnsi="Symbol"/>
                <w:lang w:val="fr-FR"/>
              </w:rPr>
              <w:instrText>+</w:instrText>
            </w:r>
            <w:r w:rsidRPr="00180DCC">
              <w:rPr>
                <w:lang w:val="fr-FR"/>
              </w:rPr>
              <w:instrText xml:space="preserve">   \f(1,</w:instrText>
            </w:r>
            <w:r w:rsidRPr="00180DCC">
              <w:rPr>
                <w:i/>
                <w:lang w:val="fr-FR"/>
              </w:rPr>
              <w:instrText>t</w:instrText>
            </w:r>
            <w:r w:rsidRPr="00180DCC">
              <w:rPr>
                <w:i/>
                <w:position w:val="-3"/>
                <w:sz w:val="14"/>
                <w:lang w:val="fr-FR"/>
              </w:rPr>
              <w:instrText>f</w:instrText>
            </w:r>
            <w:r w:rsidRPr="00180DCC">
              <w:rPr>
                <w:lang w:val="fr-FR"/>
              </w:rPr>
              <w:instrText>\s\do4()),</w:instrText>
            </w:r>
            <w:r w:rsidRPr="00180DCC">
              <w:rPr>
                <w:i/>
                <w:lang w:val="fr-FR"/>
              </w:rPr>
              <w:instrText>t</w:instrText>
            </w:r>
            <w:r w:rsidRPr="00180DCC">
              <w:rPr>
                <w:lang w:val="fr-FR"/>
              </w:rPr>
              <w:instrText>))</w:instrText>
            </w:r>
            <w:r w:rsidRPr="00180DCC">
              <w:rPr>
                <w:lang w:val="fr-FR"/>
              </w:rPr>
              <w:fldChar w:fldCharType="end"/>
            </w:r>
          </w:p>
        </w:tc>
        <w:tc>
          <w:tcPr>
            <w:tcW w:w="3402" w:type="dxa"/>
            <w:tcBorders>
              <w:left w:val="single" w:sz="6" w:space="0" w:color="auto"/>
            </w:tcBorders>
          </w:tcPr>
          <w:p w14:paraId="1F37EFA9" w14:textId="77777777" w:rsidR="00AA41BC" w:rsidRPr="00180DCC" w:rsidRDefault="00AA41BC" w:rsidP="00AA41BC">
            <w:pPr>
              <w:pStyle w:val="TableText0"/>
              <w:spacing w:before="160" w:after="160"/>
              <w:jc w:val="left"/>
              <w:rPr>
                <w:lang w:val="fr-FR"/>
              </w:rPr>
            </w:pPr>
            <w:r w:rsidRPr="00180DCC">
              <w:rPr>
                <w:i/>
                <w:lang w:val="fr-FR"/>
              </w:rPr>
              <w:t>t</w:t>
            </w:r>
            <w:r w:rsidRPr="00180DCC">
              <w:rPr>
                <w:lang w:val="fr-FR"/>
              </w:rPr>
              <w:t>  </w:t>
            </w:r>
            <w:r w:rsidRPr="00180DCC">
              <w:rPr>
                <w:i/>
                <w:lang w:val="fr-FR"/>
              </w:rPr>
              <w:t> </w:t>
            </w:r>
            <w:r w:rsidRPr="00180DCC">
              <w:rPr>
                <w:rFonts w:ascii="Symbol" w:hAnsi="Symbol"/>
                <w:lang w:val="fr-FR"/>
              </w:rPr>
              <w:t></w:t>
            </w:r>
            <w:r w:rsidRPr="00180DCC">
              <w:rPr>
                <w:lang w:val="fr-FR"/>
              </w:rPr>
              <w:t>  3  </w:t>
            </w:r>
            <w:r w:rsidRPr="00180DCC">
              <w:rPr>
                <w:rFonts w:ascii="Symbol" w:hAnsi="Symbol"/>
                <w:lang w:val="fr-FR"/>
              </w:rPr>
              <w:t></w:t>
            </w:r>
            <w:r w:rsidRPr="00180DCC">
              <w:rPr>
                <w:lang w:val="fr-FR"/>
              </w:rPr>
              <w:t>  10</w:t>
            </w:r>
            <w:r w:rsidRPr="00180DCC">
              <w:rPr>
                <w:position w:val="6"/>
                <w:sz w:val="14"/>
                <w:lang w:val="fr-FR"/>
              </w:rPr>
              <w:t>–</w:t>
            </w:r>
            <w:r w:rsidRPr="00180DCC">
              <w:rPr>
                <w:rFonts w:ascii="Tms Rmn" w:hAnsi="Tms Rmn"/>
                <w:position w:val="6"/>
                <w:sz w:val="8"/>
                <w:lang w:val="fr-FR"/>
              </w:rPr>
              <w:t> </w:t>
            </w:r>
            <w:r w:rsidRPr="00180DCC">
              <w:rPr>
                <w:position w:val="6"/>
                <w:sz w:val="14"/>
                <w:lang w:val="fr-FR"/>
              </w:rPr>
              <w:t>6</w:t>
            </w:r>
            <w:r w:rsidRPr="00180DCC">
              <w:rPr>
                <w:lang w:val="fr-FR"/>
              </w:rPr>
              <w:t xml:space="preserve"> s</w:t>
            </w:r>
          </w:p>
          <w:p w14:paraId="3FF1F78B" w14:textId="77777777" w:rsidR="00AA41BC" w:rsidRPr="00180DCC" w:rsidRDefault="00AA41BC" w:rsidP="00273525">
            <w:pPr>
              <w:pStyle w:val="TableText0"/>
              <w:spacing w:before="200" w:after="160"/>
              <w:jc w:val="left"/>
              <w:rPr>
                <w:lang w:val="fr-FR"/>
              </w:rPr>
            </w:pPr>
            <w:r w:rsidRPr="00180DCC">
              <w:rPr>
                <w:i/>
                <w:lang w:val="fr-FR"/>
              </w:rPr>
              <w:t>t</w:t>
            </w:r>
            <w:r w:rsidRPr="00180DCC">
              <w:rPr>
                <w:i/>
                <w:position w:val="-3"/>
                <w:sz w:val="14"/>
                <w:lang w:val="fr-FR"/>
              </w:rPr>
              <w:t>r</w:t>
            </w:r>
            <w:r w:rsidRPr="00180DCC">
              <w:rPr>
                <w:lang w:val="fr-FR"/>
              </w:rPr>
              <w:t>  </w:t>
            </w:r>
            <w:r w:rsidRPr="00180DCC">
              <w:rPr>
                <w:rFonts w:ascii="Symbol" w:hAnsi="Symbol"/>
                <w:lang w:val="fr-FR"/>
              </w:rPr>
              <w:t></w:t>
            </w:r>
            <w:r w:rsidRPr="00180DCC">
              <w:rPr>
                <w:lang w:val="fr-FR"/>
              </w:rPr>
              <w:t>  0,06675  </w:t>
            </w:r>
            <w:r w:rsidRPr="00180DCC">
              <w:rPr>
                <w:rFonts w:ascii="Symbol" w:hAnsi="Symbol"/>
                <w:lang w:val="fr-FR"/>
              </w:rPr>
              <w:t></w:t>
            </w:r>
            <w:r w:rsidRPr="00180DCC">
              <w:rPr>
                <w:lang w:val="fr-FR"/>
              </w:rPr>
              <w:t>  10</w:t>
            </w:r>
            <w:r w:rsidRPr="00180DCC">
              <w:rPr>
                <w:position w:val="6"/>
                <w:sz w:val="14"/>
                <w:lang w:val="fr-FR"/>
              </w:rPr>
              <w:t>–</w:t>
            </w:r>
            <w:r w:rsidRPr="00180DCC">
              <w:rPr>
                <w:rFonts w:ascii="Tms Rmn" w:hAnsi="Tms Rmn"/>
                <w:position w:val="6"/>
                <w:sz w:val="8"/>
                <w:lang w:val="fr-FR"/>
              </w:rPr>
              <w:t> </w:t>
            </w:r>
            <w:r w:rsidRPr="00180DCC">
              <w:rPr>
                <w:position w:val="6"/>
                <w:sz w:val="14"/>
                <w:lang w:val="fr-FR"/>
              </w:rPr>
              <w:t>6</w:t>
            </w:r>
            <w:r w:rsidRPr="00180DCC">
              <w:rPr>
                <w:lang w:val="fr-FR"/>
              </w:rPr>
              <w:t> s</w:t>
            </w:r>
          </w:p>
          <w:p w14:paraId="40B25E79" w14:textId="77777777" w:rsidR="00AA41BC" w:rsidRPr="00180DCC" w:rsidRDefault="00AA41BC" w:rsidP="00273525">
            <w:pPr>
              <w:pStyle w:val="TableText0"/>
              <w:spacing w:before="200" w:after="160"/>
              <w:jc w:val="left"/>
              <w:rPr>
                <w:lang w:val="fr-FR"/>
              </w:rPr>
            </w:pPr>
            <w:r w:rsidRPr="00180DCC">
              <w:rPr>
                <w:i/>
                <w:lang w:val="fr-FR"/>
              </w:rPr>
              <w:t>t</w:t>
            </w:r>
            <w:r w:rsidRPr="00180DCC">
              <w:rPr>
                <w:i/>
                <w:position w:val="-3"/>
                <w:sz w:val="14"/>
                <w:lang w:val="fr-FR"/>
              </w:rPr>
              <w:t>f</w:t>
            </w:r>
            <w:r w:rsidRPr="00180DCC">
              <w:rPr>
                <w:lang w:val="fr-FR"/>
              </w:rPr>
              <w:t>  </w:t>
            </w:r>
            <w:r w:rsidRPr="00180DCC">
              <w:rPr>
                <w:rFonts w:ascii="Symbol" w:hAnsi="Symbol"/>
                <w:lang w:val="fr-FR"/>
              </w:rPr>
              <w:t></w:t>
            </w:r>
            <w:r w:rsidRPr="00180DCC">
              <w:rPr>
                <w:lang w:val="fr-FR"/>
              </w:rPr>
              <w:t>  0,167  </w:t>
            </w:r>
            <w:r w:rsidRPr="00180DCC">
              <w:rPr>
                <w:rFonts w:ascii="Symbol" w:hAnsi="Symbol"/>
                <w:lang w:val="fr-FR"/>
              </w:rPr>
              <w:t></w:t>
            </w:r>
            <w:r w:rsidRPr="00180DCC">
              <w:rPr>
                <w:lang w:val="fr-FR"/>
              </w:rPr>
              <w:t>  10</w:t>
            </w:r>
            <w:r w:rsidRPr="00180DCC">
              <w:rPr>
                <w:position w:val="6"/>
                <w:sz w:val="14"/>
                <w:lang w:val="fr-FR"/>
              </w:rPr>
              <w:t>–</w:t>
            </w:r>
            <w:r w:rsidRPr="00180DCC">
              <w:rPr>
                <w:rFonts w:ascii="Tms Rmn" w:hAnsi="Tms Rmn"/>
                <w:position w:val="6"/>
                <w:sz w:val="8"/>
                <w:lang w:val="fr-FR"/>
              </w:rPr>
              <w:t> </w:t>
            </w:r>
            <w:r w:rsidRPr="00180DCC">
              <w:rPr>
                <w:position w:val="6"/>
                <w:sz w:val="14"/>
                <w:lang w:val="fr-FR"/>
              </w:rPr>
              <w:t>6</w:t>
            </w:r>
            <w:r w:rsidRPr="00180DCC">
              <w:rPr>
                <w:lang w:val="fr-FR"/>
              </w:rPr>
              <w:t xml:space="preserve"> s</w:t>
            </w:r>
          </w:p>
        </w:tc>
        <w:tc>
          <w:tcPr>
            <w:tcW w:w="1304" w:type="dxa"/>
            <w:tcBorders>
              <w:left w:val="single" w:sz="6" w:space="0" w:color="auto"/>
              <w:right w:val="single" w:sz="6" w:space="0" w:color="auto"/>
            </w:tcBorders>
          </w:tcPr>
          <w:p w14:paraId="15DF0CAB" w14:textId="77777777" w:rsidR="00AA41BC" w:rsidRPr="00180DCC" w:rsidRDefault="00AA41BC" w:rsidP="00AA41BC">
            <w:pPr>
              <w:pStyle w:val="TableText0"/>
              <w:spacing w:before="160" w:after="160"/>
              <w:jc w:val="left"/>
              <w:rPr>
                <w:lang w:val="fr-FR"/>
              </w:rPr>
            </w:pPr>
          </w:p>
        </w:tc>
      </w:tr>
      <w:tr w:rsidR="00AA41BC" w:rsidRPr="00180DCC" w14:paraId="00C03D65" w14:textId="77777777" w:rsidTr="00AA41BC">
        <w:trPr>
          <w:cantSplit/>
          <w:jc w:val="center"/>
        </w:trPr>
        <w:tc>
          <w:tcPr>
            <w:tcW w:w="1418" w:type="dxa"/>
            <w:tcBorders>
              <w:left w:val="single" w:sz="6" w:space="0" w:color="auto"/>
              <w:right w:val="single" w:sz="6" w:space="0" w:color="auto"/>
            </w:tcBorders>
          </w:tcPr>
          <w:p w14:paraId="779D0CE0" w14:textId="77777777" w:rsidR="00AA41BC" w:rsidRPr="00180DCC" w:rsidRDefault="00AA41BC" w:rsidP="00AA41BC">
            <w:pPr>
              <w:pStyle w:val="TableText0"/>
              <w:spacing w:before="160" w:after="160"/>
              <w:jc w:val="left"/>
              <w:rPr>
                <w:lang w:val="fr-FR"/>
              </w:rPr>
            </w:pPr>
          </w:p>
        </w:tc>
        <w:tc>
          <w:tcPr>
            <w:tcW w:w="3402" w:type="dxa"/>
            <w:tcBorders>
              <w:left w:val="single" w:sz="6" w:space="0" w:color="auto"/>
              <w:bottom w:val="single" w:sz="6" w:space="0" w:color="auto"/>
              <w:right w:val="single" w:sz="6" w:space="0" w:color="auto"/>
            </w:tcBorders>
          </w:tcPr>
          <w:p w14:paraId="5F03EB67" w14:textId="25CC5B12" w:rsidR="00AA41BC" w:rsidRPr="00180DCC" w:rsidRDefault="00AA41BC" w:rsidP="00AA41BC">
            <w:pPr>
              <w:pStyle w:val="TableText0"/>
              <w:spacing w:before="160" w:after="160"/>
              <w:jc w:val="left"/>
              <w:rPr>
                <w:lang w:val="fr-FR"/>
              </w:rPr>
            </w:pPr>
            <w:r w:rsidRPr="00180DCC">
              <w:rPr>
                <w:lang w:val="fr-FR"/>
              </w:rPr>
              <w:t>à 20 dB au-dessous de la valeur de crête de l</w:t>
            </w:r>
            <w:r w:rsidR="00C73875" w:rsidRPr="00180DCC">
              <w:rPr>
                <w:lang w:val="fr-FR"/>
              </w:rPr>
              <w:t>'</w:t>
            </w:r>
            <w:r w:rsidRPr="00180DCC">
              <w:rPr>
                <w:lang w:val="fr-FR"/>
              </w:rPr>
              <w:t>enveloppe du spectre d</w:t>
            </w:r>
            <w:r w:rsidR="00C73875" w:rsidRPr="00180DCC">
              <w:rPr>
                <w:lang w:val="fr-FR"/>
              </w:rPr>
              <w:t>'</w:t>
            </w:r>
            <w:r w:rsidRPr="00180DCC">
              <w:rPr>
                <w:lang w:val="fr-FR"/>
              </w:rPr>
              <w:t>une impulsion trapézoïdale dissymétrique</w:t>
            </w:r>
          </w:p>
        </w:tc>
        <w:tc>
          <w:tcPr>
            <w:tcW w:w="3402" w:type="dxa"/>
            <w:tcBorders>
              <w:left w:val="single" w:sz="6" w:space="0" w:color="auto"/>
              <w:bottom w:val="single" w:sz="6" w:space="0" w:color="auto"/>
            </w:tcBorders>
          </w:tcPr>
          <w:p w14:paraId="346ABC57" w14:textId="77777777" w:rsidR="00AA41BC" w:rsidRPr="00180DCC" w:rsidRDefault="00AA41BC" w:rsidP="00AA41BC">
            <w:pPr>
              <w:pStyle w:val="TableText0"/>
              <w:spacing w:before="160" w:after="160"/>
              <w:jc w:val="left"/>
              <w:rPr>
                <w:lang w:val="fr-FR"/>
              </w:rPr>
            </w:pPr>
            <w:r w:rsidRPr="00180DCC">
              <w:rPr>
                <w:lang w:val="fr-FR"/>
              </w:rPr>
              <w:t>Largeur de bande:  3,36  </w:t>
            </w:r>
            <w:r w:rsidRPr="00180DCC">
              <w:rPr>
                <w:rFonts w:ascii="Symbol" w:hAnsi="Symbol"/>
                <w:lang w:val="fr-FR"/>
              </w:rPr>
              <w:t></w:t>
            </w:r>
            <w:r w:rsidRPr="00180DCC">
              <w:rPr>
                <w:lang w:val="fr-FR"/>
              </w:rPr>
              <w:t>  10</w:t>
            </w:r>
            <w:r w:rsidRPr="00180DCC">
              <w:rPr>
                <w:position w:val="6"/>
                <w:sz w:val="14"/>
                <w:lang w:val="fr-FR"/>
              </w:rPr>
              <w:t>6</w:t>
            </w:r>
            <w:r w:rsidRPr="00180DCC">
              <w:rPr>
                <w:lang w:val="fr-FR"/>
              </w:rPr>
              <w:t xml:space="preserve"> Hz</w:t>
            </w:r>
          </w:p>
        </w:tc>
        <w:tc>
          <w:tcPr>
            <w:tcW w:w="1304" w:type="dxa"/>
            <w:tcBorders>
              <w:left w:val="single" w:sz="6" w:space="0" w:color="auto"/>
              <w:bottom w:val="single" w:sz="6" w:space="0" w:color="auto"/>
              <w:right w:val="single" w:sz="6" w:space="0" w:color="auto"/>
            </w:tcBorders>
          </w:tcPr>
          <w:p w14:paraId="7DC81AFC" w14:textId="77777777" w:rsidR="00AA41BC" w:rsidRPr="00180DCC" w:rsidRDefault="00AA41BC" w:rsidP="00AA41BC">
            <w:pPr>
              <w:pStyle w:val="TableText0"/>
              <w:spacing w:before="160" w:after="160"/>
              <w:jc w:val="left"/>
              <w:rPr>
                <w:lang w:val="fr-FR"/>
              </w:rPr>
            </w:pPr>
          </w:p>
        </w:tc>
      </w:tr>
      <w:tr w:rsidR="00AA41BC" w:rsidRPr="00180DCC" w14:paraId="46BB80DA" w14:textId="77777777" w:rsidTr="00AA41BC">
        <w:trPr>
          <w:cantSplit/>
          <w:jc w:val="center"/>
        </w:trPr>
        <w:tc>
          <w:tcPr>
            <w:tcW w:w="1418" w:type="dxa"/>
            <w:tcBorders>
              <w:left w:val="single" w:sz="6" w:space="0" w:color="auto"/>
              <w:right w:val="single" w:sz="6" w:space="0" w:color="auto"/>
            </w:tcBorders>
          </w:tcPr>
          <w:p w14:paraId="6A000B4E" w14:textId="77777777" w:rsidR="00AA41BC" w:rsidRPr="00180DCC" w:rsidRDefault="00AA41BC" w:rsidP="00AA41BC">
            <w:pPr>
              <w:pStyle w:val="TableText0"/>
              <w:spacing w:before="160" w:after="160"/>
              <w:jc w:val="left"/>
              <w:rPr>
                <w:lang w:val="fr-FR"/>
              </w:rPr>
            </w:pPr>
          </w:p>
        </w:tc>
        <w:tc>
          <w:tcPr>
            <w:tcW w:w="3402" w:type="dxa"/>
            <w:tcBorders>
              <w:top w:val="single" w:sz="6" w:space="0" w:color="auto"/>
              <w:left w:val="single" w:sz="6" w:space="0" w:color="auto"/>
              <w:right w:val="single" w:sz="6" w:space="0" w:color="auto"/>
            </w:tcBorders>
          </w:tcPr>
          <w:p w14:paraId="1EBE9158" w14:textId="77777777" w:rsidR="00AA41BC" w:rsidRPr="00180DCC" w:rsidRDefault="00AA41BC" w:rsidP="00AA41BC">
            <w:pPr>
              <w:pStyle w:val="TableText0"/>
              <w:spacing w:before="160" w:after="160"/>
              <w:jc w:val="center"/>
              <w:rPr>
                <w:lang w:val="fr-FR"/>
              </w:rPr>
            </w:pPr>
            <w:r w:rsidRPr="00180DCC">
              <w:rPr>
                <w:lang w:val="fr-FR"/>
              </w:rPr>
              <w:t>Cas 3:</w:t>
            </w:r>
          </w:p>
        </w:tc>
        <w:tc>
          <w:tcPr>
            <w:tcW w:w="3402" w:type="dxa"/>
            <w:tcBorders>
              <w:top w:val="single" w:sz="6" w:space="0" w:color="auto"/>
              <w:left w:val="single" w:sz="6" w:space="0" w:color="auto"/>
            </w:tcBorders>
          </w:tcPr>
          <w:p w14:paraId="0FDAB264" w14:textId="77777777" w:rsidR="00AA41BC" w:rsidRPr="00180DCC" w:rsidRDefault="00AA41BC" w:rsidP="00AA41BC">
            <w:pPr>
              <w:pStyle w:val="TableText0"/>
              <w:spacing w:before="160" w:after="160"/>
              <w:jc w:val="left"/>
              <w:rPr>
                <w:lang w:val="fr-FR"/>
              </w:rPr>
            </w:pPr>
          </w:p>
        </w:tc>
        <w:tc>
          <w:tcPr>
            <w:tcW w:w="1304" w:type="dxa"/>
            <w:tcBorders>
              <w:top w:val="single" w:sz="6" w:space="0" w:color="auto"/>
              <w:left w:val="single" w:sz="6" w:space="0" w:color="auto"/>
              <w:right w:val="single" w:sz="6" w:space="0" w:color="auto"/>
            </w:tcBorders>
          </w:tcPr>
          <w:p w14:paraId="53FA5C80" w14:textId="77777777" w:rsidR="00AA41BC" w:rsidRPr="00180DCC" w:rsidRDefault="00AA41BC" w:rsidP="00AA41BC">
            <w:pPr>
              <w:pStyle w:val="TableText0"/>
              <w:spacing w:before="160" w:after="160"/>
              <w:jc w:val="left"/>
              <w:rPr>
                <w:lang w:val="fr-FR"/>
              </w:rPr>
            </w:pPr>
            <w:r w:rsidRPr="00180DCC">
              <w:rPr>
                <w:lang w:val="fr-FR"/>
              </w:rPr>
              <w:t>4M50P0N</w:t>
            </w:r>
          </w:p>
        </w:tc>
      </w:tr>
      <w:tr w:rsidR="00AA41BC" w:rsidRPr="00180DCC" w14:paraId="72646E9C" w14:textId="77777777" w:rsidTr="00AA41BC">
        <w:trPr>
          <w:cantSplit/>
          <w:jc w:val="center"/>
        </w:trPr>
        <w:tc>
          <w:tcPr>
            <w:tcW w:w="1418" w:type="dxa"/>
            <w:tcBorders>
              <w:left w:val="single" w:sz="6" w:space="0" w:color="auto"/>
              <w:right w:val="single" w:sz="6" w:space="0" w:color="auto"/>
            </w:tcBorders>
          </w:tcPr>
          <w:p w14:paraId="224B09AF" w14:textId="77777777" w:rsidR="00AA41BC" w:rsidRPr="00180DCC" w:rsidRDefault="00AA41BC" w:rsidP="00AA41BC">
            <w:pPr>
              <w:pStyle w:val="TableText0"/>
              <w:spacing w:before="160" w:after="160"/>
              <w:jc w:val="left"/>
              <w:rPr>
                <w:lang w:val="fr-FR"/>
              </w:rPr>
            </w:pPr>
          </w:p>
        </w:tc>
        <w:tc>
          <w:tcPr>
            <w:tcW w:w="3402" w:type="dxa"/>
            <w:tcBorders>
              <w:left w:val="single" w:sz="6" w:space="0" w:color="auto"/>
              <w:right w:val="single" w:sz="6" w:space="0" w:color="auto"/>
            </w:tcBorders>
          </w:tcPr>
          <w:p w14:paraId="33BF33ED" w14:textId="77777777" w:rsidR="00AA41BC" w:rsidRPr="00180DCC" w:rsidRDefault="00AA41BC" w:rsidP="00AA41BC">
            <w:pPr>
              <w:pStyle w:val="TableText0"/>
              <w:spacing w:before="160" w:after="160"/>
              <w:jc w:val="left"/>
              <w:rPr>
                <w:lang w:val="fr-FR"/>
              </w:rPr>
            </w:pPr>
            <w:r w:rsidRPr="00180DCC">
              <w:rPr>
                <w:lang w:val="fr-FR"/>
              </w:rPr>
              <w:fldChar w:fldCharType="begin"/>
            </w:r>
            <w:r w:rsidRPr="00180DCC">
              <w:rPr>
                <w:lang w:val="fr-FR"/>
              </w:rPr>
              <w:instrText xml:space="preserve">eq </w:instrText>
            </w:r>
            <w:r w:rsidRPr="00180DCC">
              <w:rPr>
                <w:i/>
                <w:lang w:val="fr-FR"/>
              </w:rPr>
              <w:instrText>B</w:instrText>
            </w:r>
            <w:r w:rsidRPr="00180DCC">
              <w:rPr>
                <w:i/>
                <w:position w:val="-3"/>
                <w:sz w:val="14"/>
                <w:lang w:val="fr-FR"/>
              </w:rPr>
              <w:instrText>n</w:instrText>
            </w:r>
            <w:r w:rsidRPr="00180DCC">
              <w:rPr>
                <w:b/>
                <w:lang w:val="fr-FR"/>
              </w:rPr>
              <w:instrText xml:space="preserve">  </w:instrText>
            </w:r>
            <w:r w:rsidRPr="00180DCC">
              <w:rPr>
                <w:rFonts w:ascii="Symbol" w:hAnsi="Symbol"/>
                <w:b/>
                <w:lang w:val="fr-FR"/>
              </w:rPr>
              <w:instrText>=</w:instrText>
            </w:r>
            <w:r w:rsidRPr="00180DCC">
              <w:rPr>
                <w:b/>
                <w:lang w:val="fr-FR"/>
              </w:rPr>
              <w:instrText xml:space="preserve">  </w:instrText>
            </w:r>
            <w:r w:rsidRPr="00180DCC">
              <w:rPr>
                <w:lang w:val="fr-FR"/>
              </w:rPr>
              <w:instrText>\f(6\,36,</w:instrText>
            </w:r>
            <w:r w:rsidRPr="00180DCC">
              <w:rPr>
                <w:i/>
                <w:lang w:val="fr-FR"/>
              </w:rPr>
              <w:instrText>t</w:instrText>
            </w:r>
            <w:r w:rsidRPr="00180DCC">
              <w:rPr>
                <w:lang w:val="fr-FR"/>
              </w:rPr>
              <w:instrText>)</w:instrText>
            </w:r>
            <w:r w:rsidRPr="00180DCC">
              <w:rPr>
                <w:lang w:val="fr-FR"/>
              </w:rPr>
              <w:fldChar w:fldCharType="end"/>
            </w:r>
            <w:r w:rsidRPr="00180DCC">
              <w:rPr>
                <w:lang w:val="fr-FR"/>
              </w:rPr>
              <w:t xml:space="preserve">     </w:t>
            </w:r>
            <w:r w:rsidRPr="00180DCC">
              <w:rPr>
                <w:color w:val="000000"/>
                <w:lang w:val="fr-FR"/>
              </w:rPr>
              <w:t>Hz</w:t>
            </w:r>
          </w:p>
        </w:tc>
        <w:tc>
          <w:tcPr>
            <w:tcW w:w="3402" w:type="dxa"/>
            <w:tcBorders>
              <w:left w:val="single" w:sz="6" w:space="0" w:color="auto"/>
            </w:tcBorders>
          </w:tcPr>
          <w:p w14:paraId="4937CB29" w14:textId="77777777" w:rsidR="00AA41BC" w:rsidRPr="00180DCC" w:rsidRDefault="00AA41BC" w:rsidP="00AA41BC">
            <w:pPr>
              <w:pStyle w:val="TableText0"/>
              <w:spacing w:before="160" w:after="160"/>
              <w:jc w:val="left"/>
              <w:rPr>
                <w:lang w:val="fr-FR"/>
              </w:rPr>
            </w:pPr>
            <w:r w:rsidRPr="00180DCC">
              <w:rPr>
                <w:i/>
                <w:lang w:val="fr-FR"/>
              </w:rPr>
              <w:t>t</w:t>
            </w:r>
            <w:r w:rsidRPr="00180DCC">
              <w:rPr>
                <w:lang w:val="fr-FR"/>
              </w:rPr>
              <w:t>    </w:t>
            </w:r>
            <w:r w:rsidRPr="00180DCC">
              <w:rPr>
                <w:rFonts w:ascii="Symbol" w:hAnsi="Symbol"/>
                <w:lang w:val="fr-FR"/>
              </w:rPr>
              <w:t></w:t>
            </w:r>
            <w:r w:rsidRPr="00180DCC">
              <w:rPr>
                <w:lang w:val="fr-FR"/>
              </w:rPr>
              <w:t>  1,41  </w:t>
            </w:r>
            <w:r w:rsidRPr="00180DCC">
              <w:rPr>
                <w:rFonts w:ascii="Symbol" w:hAnsi="Symbol"/>
                <w:lang w:val="fr-FR"/>
              </w:rPr>
              <w:t></w:t>
            </w:r>
            <w:r w:rsidRPr="00180DCC">
              <w:rPr>
                <w:lang w:val="fr-FR"/>
              </w:rPr>
              <w:t>  10</w:t>
            </w:r>
            <w:r w:rsidRPr="00180DCC">
              <w:rPr>
                <w:position w:val="6"/>
                <w:sz w:val="14"/>
                <w:lang w:val="fr-FR"/>
              </w:rPr>
              <w:t>–</w:t>
            </w:r>
            <w:r w:rsidRPr="00180DCC">
              <w:rPr>
                <w:rFonts w:ascii="Tms Rmn" w:hAnsi="Tms Rmn"/>
                <w:position w:val="6"/>
                <w:sz w:val="8"/>
                <w:lang w:val="fr-FR"/>
              </w:rPr>
              <w:t> </w:t>
            </w:r>
            <w:r w:rsidRPr="00180DCC">
              <w:rPr>
                <w:position w:val="6"/>
                <w:sz w:val="14"/>
                <w:lang w:val="fr-FR"/>
              </w:rPr>
              <w:t>6</w:t>
            </w:r>
            <w:r w:rsidRPr="00180DCC">
              <w:rPr>
                <w:lang w:val="fr-FR"/>
              </w:rPr>
              <w:t xml:space="preserve"> s</w:t>
            </w:r>
          </w:p>
          <w:p w14:paraId="7C79C958" w14:textId="77777777" w:rsidR="00AA41BC" w:rsidRPr="00180DCC" w:rsidRDefault="00AA41BC" w:rsidP="00273525">
            <w:pPr>
              <w:pStyle w:val="TableText0"/>
              <w:spacing w:before="200" w:after="160"/>
              <w:jc w:val="left"/>
              <w:rPr>
                <w:i/>
                <w:lang w:val="fr-FR"/>
              </w:rPr>
            </w:pPr>
            <w:r w:rsidRPr="00180DCC">
              <w:rPr>
                <w:i/>
                <w:lang w:val="fr-FR"/>
              </w:rPr>
              <w:t>B</w:t>
            </w:r>
            <w:r w:rsidRPr="00180DCC">
              <w:rPr>
                <w:i/>
                <w:position w:val="-3"/>
                <w:sz w:val="14"/>
                <w:lang w:val="fr-FR"/>
              </w:rPr>
              <w:t>n</w:t>
            </w:r>
            <w:r w:rsidRPr="00180DCC">
              <w:rPr>
                <w:lang w:val="fr-FR"/>
              </w:rPr>
              <w:t>  </w:t>
            </w:r>
            <w:r w:rsidRPr="00180DCC">
              <w:rPr>
                <w:rFonts w:ascii="Symbol" w:hAnsi="Symbol"/>
                <w:lang w:val="fr-FR"/>
              </w:rPr>
              <w:t></w:t>
            </w:r>
            <w:r w:rsidRPr="00180DCC">
              <w:rPr>
                <w:lang w:val="fr-FR"/>
              </w:rPr>
              <w:t>  4,5  </w:t>
            </w:r>
            <w:r w:rsidRPr="00180DCC">
              <w:rPr>
                <w:rFonts w:ascii="Symbol" w:hAnsi="Symbol"/>
                <w:lang w:val="fr-FR"/>
              </w:rPr>
              <w:t></w:t>
            </w:r>
            <w:r w:rsidRPr="00180DCC">
              <w:rPr>
                <w:lang w:val="fr-FR"/>
              </w:rPr>
              <w:t>  10</w:t>
            </w:r>
            <w:r w:rsidRPr="00180DCC">
              <w:rPr>
                <w:position w:val="6"/>
                <w:sz w:val="14"/>
                <w:lang w:val="fr-FR"/>
              </w:rPr>
              <w:t>6</w:t>
            </w:r>
            <w:r w:rsidRPr="00180DCC">
              <w:rPr>
                <w:lang w:val="fr-FR"/>
              </w:rPr>
              <w:t xml:space="preserve"> Hz</w:t>
            </w:r>
          </w:p>
        </w:tc>
        <w:tc>
          <w:tcPr>
            <w:tcW w:w="1304" w:type="dxa"/>
            <w:tcBorders>
              <w:left w:val="single" w:sz="6" w:space="0" w:color="auto"/>
              <w:right w:val="single" w:sz="6" w:space="0" w:color="auto"/>
            </w:tcBorders>
          </w:tcPr>
          <w:p w14:paraId="672E32EC" w14:textId="77777777" w:rsidR="00AA41BC" w:rsidRPr="00180DCC" w:rsidRDefault="00AA41BC" w:rsidP="00AA41BC">
            <w:pPr>
              <w:pStyle w:val="TableText0"/>
              <w:spacing w:before="160" w:after="160"/>
              <w:jc w:val="left"/>
              <w:rPr>
                <w:lang w:val="fr-FR"/>
              </w:rPr>
            </w:pPr>
          </w:p>
        </w:tc>
      </w:tr>
      <w:tr w:rsidR="00AA41BC" w:rsidRPr="00802534" w14:paraId="565DB7D0" w14:textId="77777777" w:rsidTr="00AA41BC">
        <w:trPr>
          <w:cantSplit/>
          <w:jc w:val="center"/>
        </w:trPr>
        <w:tc>
          <w:tcPr>
            <w:tcW w:w="1418" w:type="dxa"/>
            <w:tcBorders>
              <w:left w:val="single" w:sz="6" w:space="0" w:color="auto"/>
              <w:bottom w:val="single" w:sz="6" w:space="0" w:color="auto"/>
              <w:right w:val="single" w:sz="6" w:space="0" w:color="auto"/>
            </w:tcBorders>
          </w:tcPr>
          <w:p w14:paraId="11F43F93" w14:textId="77777777" w:rsidR="00AA41BC" w:rsidRPr="00180DCC" w:rsidRDefault="00AA41BC" w:rsidP="00AA41BC">
            <w:pPr>
              <w:pStyle w:val="TableText0"/>
              <w:spacing w:before="160" w:after="160"/>
              <w:jc w:val="left"/>
              <w:rPr>
                <w:lang w:val="fr-FR"/>
              </w:rPr>
            </w:pPr>
          </w:p>
        </w:tc>
        <w:tc>
          <w:tcPr>
            <w:tcW w:w="3402" w:type="dxa"/>
            <w:tcBorders>
              <w:left w:val="single" w:sz="6" w:space="0" w:color="auto"/>
              <w:bottom w:val="single" w:sz="6" w:space="0" w:color="auto"/>
              <w:right w:val="single" w:sz="6" w:space="0" w:color="auto"/>
            </w:tcBorders>
          </w:tcPr>
          <w:p w14:paraId="6237A944" w14:textId="5747BEB5" w:rsidR="00AA41BC" w:rsidRPr="00180DCC" w:rsidRDefault="00AA41BC" w:rsidP="00AA41BC">
            <w:pPr>
              <w:pStyle w:val="TableText0"/>
              <w:spacing w:before="160" w:after="160"/>
              <w:jc w:val="left"/>
              <w:rPr>
                <w:lang w:val="fr-FR"/>
              </w:rPr>
            </w:pPr>
            <w:r w:rsidRPr="00180DCC">
              <w:rPr>
                <w:lang w:val="fr-FR"/>
              </w:rPr>
              <w:t>à 20 dB au-dessous de la valeur de crête de l</w:t>
            </w:r>
            <w:r w:rsidR="00C73875" w:rsidRPr="00180DCC">
              <w:rPr>
                <w:lang w:val="fr-FR"/>
              </w:rPr>
              <w:t>'</w:t>
            </w:r>
            <w:r w:rsidRPr="00180DCC">
              <w:rPr>
                <w:lang w:val="fr-FR"/>
              </w:rPr>
              <w:t>enveloppe du spectre d</w:t>
            </w:r>
            <w:r w:rsidR="00C73875" w:rsidRPr="00180DCC">
              <w:rPr>
                <w:lang w:val="fr-FR"/>
              </w:rPr>
              <w:t>'</w:t>
            </w:r>
            <w:r w:rsidRPr="00180DCC">
              <w:rPr>
                <w:lang w:val="fr-FR"/>
              </w:rPr>
              <w:t>une impulsion rectangulaire (idéale)</w:t>
            </w:r>
          </w:p>
        </w:tc>
        <w:tc>
          <w:tcPr>
            <w:tcW w:w="3402" w:type="dxa"/>
            <w:tcBorders>
              <w:left w:val="single" w:sz="6" w:space="0" w:color="auto"/>
              <w:bottom w:val="single" w:sz="6" w:space="0" w:color="auto"/>
            </w:tcBorders>
          </w:tcPr>
          <w:p w14:paraId="0C657EC2" w14:textId="77777777" w:rsidR="00AA41BC" w:rsidRPr="00180DCC" w:rsidRDefault="00AA41BC" w:rsidP="00AA41BC">
            <w:pPr>
              <w:pStyle w:val="TableText0"/>
              <w:spacing w:before="160" w:after="160"/>
              <w:jc w:val="left"/>
              <w:rPr>
                <w:lang w:val="fr-FR"/>
              </w:rPr>
            </w:pPr>
          </w:p>
        </w:tc>
        <w:tc>
          <w:tcPr>
            <w:tcW w:w="1304" w:type="dxa"/>
            <w:tcBorders>
              <w:left w:val="single" w:sz="6" w:space="0" w:color="auto"/>
              <w:bottom w:val="single" w:sz="6" w:space="0" w:color="auto"/>
              <w:right w:val="single" w:sz="6" w:space="0" w:color="auto"/>
            </w:tcBorders>
          </w:tcPr>
          <w:p w14:paraId="2CBC7EEB" w14:textId="77777777" w:rsidR="00AA41BC" w:rsidRPr="00180DCC" w:rsidRDefault="00AA41BC" w:rsidP="00AA41BC">
            <w:pPr>
              <w:pStyle w:val="TableText0"/>
              <w:spacing w:before="160" w:after="160"/>
              <w:jc w:val="left"/>
              <w:rPr>
                <w:lang w:val="fr-FR"/>
              </w:rPr>
            </w:pPr>
          </w:p>
        </w:tc>
      </w:tr>
    </w:tbl>
    <w:p w14:paraId="47112E0A" w14:textId="77777777" w:rsidR="00AA41BC" w:rsidRPr="00180DCC" w:rsidRDefault="00AA41BC" w:rsidP="00AA41BC">
      <w:pPr>
        <w:pStyle w:val="Tablefin"/>
        <w:rPr>
          <w:lang w:val="fr-FR"/>
        </w:rPr>
      </w:pPr>
    </w:p>
    <w:p w14:paraId="791FFDEF" w14:textId="2781442B" w:rsidR="00AA41BC" w:rsidRPr="00180DCC" w:rsidRDefault="00AA41BC" w:rsidP="00AA41BC">
      <w:pPr>
        <w:rPr>
          <w:lang w:val="fr-FR"/>
        </w:rPr>
      </w:pPr>
      <w:r w:rsidRPr="00180DCC">
        <w:rPr>
          <w:lang w:val="fr-FR"/>
        </w:rPr>
        <w:lastRenderedPageBreak/>
        <w:t>La méthode utilisée pour déterminer la largeur de bande nécessaire pour des impulsions non modulées est donnée dans l</w:t>
      </w:r>
      <w:r w:rsidR="00C73875" w:rsidRPr="00180DCC">
        <w:rPr>
          <w:lang w:val="fr-FR"/>
        </w:rPr>
        <w:t>'</w:t>
      </w:r>
      <w:r w:rsidRPr="00180DCC">
        <w:rPr>
          <w:lang w:val="fr-FR"/>
        </w:rPr>
        <w:t>Annexe 2.</w:t>
      </w:r>
    </w:p>
    <w:p w14:paraId="5B5DC4E4" w14:textId="77777777" w:rsidR="00AA41BC" w:rsidRPr="00180DCC" w:rsidRDefault="00AA41BC" w:rsidP="00AA41BC">
      <w:pPr>
        <w:pStyle w:val="Heading1"/>
        <w:rPr>
          <w:lang w:val="fr-FR"/>
        </w:rPr>
      </w:pPr>
      <w:r w:rsidRPr="00180DCC">
        <w:rPr>
          <w:lang w:val="fr-FR"/>
        </w:rPr>
        <w:t>3</w:t>
      </w:r>
      <w:r w:rsidRPr="00180DCC">
        <w:rPr>
          <w:lang w:val="fr-FR"/>
        </w:rPr>
        <w:tab/>
        <w:t>Modulation numérique</w:t>
      </w:r>
    </w:p>
    <w:p w14:paraId="37573D77" w14:textId="7D31AC54" w:rsidR="00AA41BC" w:rsidRPr="00180DCC" w:rsidRDefault="00AA41BC" w:rsidP="00AA41BC">
      <w:pPr>
        <w:rPr>
          <w:lang w:val="fr-FR"/>
        </w:rPr>
      </w:pPr>
      <w:r w:rsidRPr="00180DCC">
        <w:rPr>
          <w:lang w:val="fr-FR"/>
        </w:rPr>
        <w:t xml:space="preserve">Dans le Tableau 2 figurent la largeur de bande nécessaire et un certain nombre de valeurs de </w:t>
      </w:r>
      <w:r w:rsidRPr="00180DCC">
        <w:rPr>
          <w:i/>
          <w:iCs/>
          <w:lang w:val="fr-FR"/>
        </w:rPr>
        <w:t>K</w:t>
      </w:r>
      <w:r w:rsidRPr="00180DCC">
        <w:rPr>
          <w:lang w:val="fr-FR"/>
        </w:rPr>
        <w:t xml:space="preserve"> données à titre d</w:t>
      </w:r>
      <w:r w:rsidR="00C73875" w:rsidRPr="00180DCC">
        <w:rPr>
          <w:lang w:val="fr-FR"/>
        </w:rPr>
        <w:t>'</w:t>
      </w:r>
      <w:r w:rsidRPr="00180DCC">
        <w:rPr>
          <w:lang w:val="fr-FR"/>
        </w:rPr>
        <w:t>exemple pour plusieurs modulations numériques.</w:t>
      </w:r>
    </w:p>
    <w:p w14:paraId="28DDC185" w14:textId="0D631B32" w:rsidR="00AA41BC" w:rsidRPr="00180DCC" w:rsidRDefault="00AA41BC" w:rsidP="00AA41BC">
      <w:pPr>
        <w:rPr>
          <w:lang w:val="fr-FR"/>
        </w:rPr>
      </w:pPr>
      <w:r w:rsidRPr="00180DCC">
        <w:rPr>
          <w:lang w:val="fr-FR"/>
        </w:rPr>
        <w:t>Les méthodes utilisées pour déterminer les largeurs de bande nécessaires en cas de modulation numérique sont données dans l</w:t>
      </w:r>
      <w:r w:rsidR="00C73875" w:rsidRPr="00180DCC">
        <w:rPr>
          <w:lang w:val="fr-FR"/>
        </w:rPr>
        <w:t>'</w:t>
      </w:r>
      <w:r w:rsidRPr="00180DCC">
        <w:rPr>
          <w:lang w:val="fr-FR"/>
        </w:rPr>
        <w:t>Annexe 3.</w:t>
      </w:r>
    </w:p>
    <w:p w14:paraId="5E55C323" w14:textId="77777777" w:rsidR="00AA41BC" w:rsidRPr="00180DCC" w:rsidRDefault="00AA41BC" w:rsidP="00AA41BC">
      <w:pPr>
        <w:pStyle w:val="TableNo"/>
        <w:rPr>
          <w:lang w:val="fr-FR"/>
        </w:rPr>
      </w:pPr>
      <w:r w:rsidRPr="00180DCC">
        <w:rPr>
          <w:lang w:val="fr-FR"/>
        </w:rPr>
        <w:t>TABLEAU 2</w:t>
      </w:r>
    </w:p>
    <w:p w14:paraId="1B2BFBEB" w14:textId="77777777" w:rsidR="00AA41BC" w:rsidRPr="00180DCC" w:rsidRDefault="00AA41BC" w:rsidP="00AA41BC">
      <w:pPr>
        <w:pStyle w:val="Tabletitle"/>
        <w:rPr>
          <w:lang w:val="fr-FR"/>
        </w:rPr>
      </w:pPr>
      <w:r w:rsidRPr="00180DCC">
        <w:rPr>
          <w:lang w:val="fr-FR"/>
        </w:rPr>
        <w:t>Modulation numérique</w:t>
      </w:r>
    </w:p>
    <w:tbl>
      <w:tblPr>
        <w:tblW w:w="9639" w:type="dxa"/>
        <w:jc w:val="center"/>
        <w:tblBorders>
          <w:top w:val="single" w:sz="6" w:space="0" w:color="auto"/>
          <w:insideH w:val="single" w:sz="6" w:space="0" w:color="auto"/>
          <w:insideV w:val="single" w:sz="6" w:space="0" w:color="auto"/>
        </w:tblBorders>
        <w:tblLayout w:type="fixed"/>
        <w:tblLook w:val="0000" w:firstRow="0" w:lastRow="0" w:firstColumn="0" w:lastColumn="0" w:noHBand="0" w:noVBand="0"/>
      </w:tblPr>
      <w:tblGrid>
        <w:gridCol w:w="3194"/>
        <w:gridCol w:w="2613"/>
        <w:gridCol w:w="1916"/>
        <w:gridCol w:w="1916"/>
      </w:tblGrid>
      <w:tr w:rsidR="00AA41BC" w:rsidRPr="00802534" w14:paraId="551B5F37" w14:textId="77777777" w:rsidTr="00AA41BC">
        <w:trPr>
          <w:jc w:val="center"/>
        </w:trPr>
        <w:tc>
          <w:tcPr>
            <w:tcW w:w="3119" w:type="dxa"/>
            <w:tcBorders>
              <w:left w:val="single" w:sz="6" w:space="0" w:color="auto"/>
              <w:bottom w:val="single" w:sz="6" w:space="0" w:color="auto"/>
            </w:tcBorders>
          </w:tcPr>
          <w:p w14:paraId="016C36EC" w14:textId="77777777" w:rsidR="00AA41BC" w:rsidRPr="00180DCC" w:rsidRDefault="00AA41BC" w:rsidP="00AA41BC">
            <w:pPr>
              <w:pStyle w:val="Tablehead"/>
              <w:rPr>
                <w:sz w:val="18"/>
                <w:szCs w:val="18"/>
                <w:lang w:val="fr-FR"/>
              </w:rPr>
            </w:pPr>
            <w:r w:rsidRPr="00180DCC">
              <w:rPr>
                <w:sz w:val="18"/>
                <w:szCs w:val="18"/>
                <w:lang w:val="fr-FR"/>
              </w:rPr>
              <w:t>Modulation et conditions</w:t>
            </w:r>
          </w:p>
        </w:tc>
        <w:tc>
          <w:tcPr>
            <w:tcW w:w="2552" w:type="dxa"/>
          </w:tcPr>
          <w:p w14:paraId="2F83B954" w14:textId="77777777" w:rsidR="00AA41BC" w:rsidRPr="00180DCC" w:rsidRDefault="00AA41BC" w:rsidP="00AA41BC">
            <w:pPr>
              <w:pStyle w:val="Tablehead"/>
              <w:rPr>
                <w:sz w:val="18"/>
                <w:szCs w:val="18"/>
                <w:lang w:val="fr-FR"/>
              </w:rPr>
            </w:pPr>
            <w:r w:rsidRPr="00180DCC">
              <w:rPr>
                <w:sz w:val="18"/>
                <w:szCs w:val="18"/>
                <w:lang w:val="fr-FR"/>
              </w:rPr>
              <w:t>Formule pour la détermination de la largeur de bande nécessaire</w:t>
            </w:r>
          </w:p>
        </w:tc>
        <w:tc>
          <w:tcPr>
            <w:tcW w:w="1871" w:type="dxa"/>
          </w:tcPr>
          <w:p w14:paraId="6B698AD4" w14:textId="43D6A15F" w:rsidR="00AA41BC" w:rsidRPr="00180DCC" w:rsidRDefault="00AA41BC" w:rsidP="00AA41BC">
            <w:pPr>
              <w:pStyle w:val="Tablehead"/>
              <w:rPr>
                <w:sz w:val="18"/>
                <w:szCs w:val="18"/>
                <w:lang w:val="fr-FR"/>
              </w:rPr>
            </w:pPr>
            <w:r w:rsidRPr="00180DCC">
              <w:rPr>
                <w:sz w:val="18"/>
                <w:szCs w:val="18"/>
                <w:lang w:val="fr-FR"/>
              </w:rPr>
              <w:t xml:space="preserve">Valeur de </w:t>
            </w:r>
            <w:r w:rsidRPr="00180DCC">
              <w:rPr>
                <w:i/>
                <w:smallCaps/>
                <w:sz w:val="18"/>
                <w:szCs w:val="18"/>
                <w:lang w:val="fr-FR"/>
              </w:rPr>
              <w:t>K</w:t>
            </w:r>
            <w:r w:rsidRPr="00180DCC">
              <w:rPr>
                <w:smallCaps/>
                <w:sz w:val="18"/>
                <w:szCs w:val="18"/>
                <w:lang w:val="fr-FR"/>
              </w:rPr>
              <w:t xml:space="preserve"> </w:t>
            </w:r>
            <w:r w:rsidRPr="00180DCC">
              <w:rPr>
                <w:sz w:val="18"/>
                <w:szCs w:val="18"/>
                <w:lang w:val="fr-FR"/>
              </w:rPr>
              <w:t>donnée</w:t>
            </w:r>
            <w:r w:rsidRPr="00180DCC">
              <w:rPr>
                <w:sz w:val="18"/>
                <w:szCs w:val="18"/>
                <w:lang w:val="fr-FR"/>
              </w:rPr>
              <w:br/>
              <w:t>à titre d</w:t>
            </w:r>
            <w:r w:rsidR="00C73875" w:rsidRPr="00180DCC">
              <w:rPr>
                <w:sz w:val="18"/>
                <w:szCs w:val="18"/>
                <w:lang w:val="fr-FR"/>
              </w:rPr>
              <w:t>'</w:t>
            </w:r>
            <w:r w:rsidRPr="00180DCC">
              <w:rPr>
                <w:sz w:val="18"/>
                <w:szCs w:val="18"/>
                <w:lang w:val="fr-FR"/>
              </w:rPr>
              <w:t>exemple</w:t>
            </w:r>
          </w:p>
        </w:tc>
        <w:tc>
          <w:tcPr>
            <w:tcW w:w="1871" w:type="dxa"/>
            <w:tcBorders>
              <w:bottom w:val="single" w:sz="6" w:space="0" w:color="auto"/>
              <w:right w:val="single" w:sz="6" w:space="0" w:color="auto"/>
            </w:tcBorders>
          </w:tcPr>
          <w:p w14:paraId="4AFFDF03" w14:textId="77777777" w:rsidR="00AA41BC" w:rsidRPr="00180DCC" w:rsidRDefault="00AA41BC" w:rsidP="00AA41BC">
            <w:pPr>
              <w:pStyle w:val="Tablehead"/>
              <w:rPr>
                <w:sz w:val="18"/>
                <w:szCs w:val="18"/>
                <w:lang w:val="fr-FR"/>
              </w:rPr>
            </w:pPr>
            <w:r w:rsidRPr="00180DCC">
              <w:rPr>
                <w:sz w:val="18"/>
                <w:szCs w:val="18"/>
                <w:lang w:val="fr-FR"/>
              </w:rPr>
              <w:t>Pourcentage de confinement dans la largeur de bande</w:t>
            </w:r>
            <w:r w:rsidRPr="00180DCC">
              <w:rPr>
                <w:position w:val="6"/>
                <w:sz w:val="18"/>
                <w:szCs w:val="18"/>
                <w:lang w:val="fr-FR"/>
              </w:rPr>
              <w:t>(1)</w:t>
            </w:r>
          </w:p>
        </w:tc>
      </w:tr>
      <w:tr w:rsidR="00AA41BC" w:rsidRPr="00180DCC" w14:paraId="29990D42" w14:textId="77777777" w:rsidTr="00AA41BC">
        <w:trPr>
          <w:jc w:val="center"/>
        </w:trPr>
        <w:tc>
          <w:tcPr>
            <w:tcW w:w="3119" w:type="dxa"/>
            <w:tcBorders>
              <w:left w:val="single" w:sz="6" w:space="0" w:color="auto"/>
              <w:bottom w:val="single" w:sz="6" w:space="0" w:color="auto"/>
            </w:tcBorders>
          </w:tcPr>
          <w:p w14:paraId="162094C1" w14:textId="77777777" w:rsidR="00AA41BC" w:rsidRPr="00180DCC" w:rsidRDefault="00AA41BC" w:rsidP="00AA41BC">
            <w:pPr>
              <w:pStyle w:val="Tabletext"/>
              <w:jc w:val="left"/>
              <w:rPr>
                <w:sz w:val="18"/>
                <w:szCs w:val="18"/>
                <w:lang w:val="fr-FR"/>
              </w:rPr>
            </w:pPr>
            <w:r w:rsidRPr="00180DCC">
              <w:rPr>
                <w:sz w:val="18"/>
                <w:szCs w:val="18"/>
                <w:lang w:val="fr-FR"/>
              </w:rPr>
              <w:t>MDP-2 (non filtrée)</w:t>
            </w:r>
            <w:r w:rsidRPr="00180DCC">
              <w:rPr>
                <w:sz w:val="18"/>
                <w:szCs w:val="18"/>
                <w:lang w:val="fr-FR"/>
              </w:rPr>
              <w:br/>
            </w:r>
            <w:r w:rsidRPr="00180DCC">
              <w:rPr>
                <w:i/>
                <w:sz w:val="18"/>
                <w:szCs w:val="18"/>
                <w:lang w:val="fr-FR"/>
              </w:rPr>
              <w:t>S</w:t>
            </w:r>
            <w:r w:rsidRPr="00180DCC">
              <w:rPr>
                <w:sz w:val="18"/>
                <w:szCs w:val="18"/>
                <w:lang w:val="fr-FR"/>
              </w:rPr>
              <w:t xml:space="preserve">  </w:t>
            </w:r>
            <w:r w:rsidRPr="00180DCC">
              <w:rPr>
                <w:rFonts w:ascii="Symbol" w:hAnsi="Symbol"/>
                <w:sz w:val="18"/>
                <w:szCs w:val="18"/>
                <w:lang w:val="fr-FR"/>
              </w:rPr>
              <w:t></w:t>
            </w:r>
            <w:r w:rsidRPr="00180DCC">
              <w:rPr>
                <w:sz w:val="18"/>
                <w:szCs w:val="18"/>
                <w:lang w:val="fr-FR"/>
              </w:rPr>
              <w:t xml:space="preserve">  2  (calculée)</w:t>
            </w:r>
          </w:p>
        </w:tc>
        <w:tc>
          <w:tcPr>
            <w:tcW w:w="2552" w:type="dxa"/>
            <w:vAlign w:val="center"/>
          </w:tcPr>
          <w:p w14:paraId="7AF7666F" w14:textId="77777777" w:rsidR="00AA41BC" w:rsidRPr="00180DCC" w:rsidRDefault="00AA41BC" w:rsidP="00AA41BC">
            <w:pPr>
              <w:pStyle w:val="Tabletext"/>
              <w:jc w:val="center"/>
              <w:rPr>
                <w:sz w:val="18"/>
                <w:szCs w:val="18"/>
                <w:lang w:val="fr-FR"/>
              </w:rPr>
            </w:pPr>
            <w:r w:rsidRPr="00180DCC">
              <w:rPr>
                <w:sz w:val="18"/>
                <w:szCs w:val="18"/>
                <w:lang w:val="fr-FR"/>
              </w:rPr>
              <w:fldChar w:fldCharType="begin"/>
            </w:r>
            <w:r w:rsidRPr="00180DCC">
              <w:rPr>
                <w:sz w:val="18"/>
                <w:szCs w:val="18"/>
                <w:lang w:val="fr-FR"/>
              </w:rPr>
              <w:instrText xml:space="preserve">eq </w:instrText>
            </w:r>
            <w:r w:rsidRPr="00180DCC">
              <w:rPr>
                <w:i/>
                <w:sz w:val="18"/>
                <w:szCs w:val="18"/>
                <w:lang w:val="fr-FR"/>
              </w:rPr>
              <w:instrText>B</w:instrText>
            </w:r>
            <w:r w:rsidRPr="00180DCC">
              <w:rPr>
                <w:i/>
                <w:position w:val="-3"/>
                <w:sz w:val="18"/>
                <w:szCs w:val="18"/>
                <w:lang w:val="fr-FR"/>
              </w:rPr>
              <w:instrText>n</w:instrText>
            </w:r>
            <w:r w:rsidRPr="00180DCC">
              <w:rPr>
                <w:sz w:val="18"/>
                <w:szCs w:val="18"/>
                <w:lang w:val="fr-FR"/>
              </w:rPr>
              <w:instrText xml:space="preserve">  </w:instrText>
            </w:r>
            <w:r w:rsidRPr="00180DCC">
              <w:rPr>
                <w:rFonts w:ascii="Symbol" w:hAnsi="Symbol"/>
                <w:sz w:val="18"/>
                <w:szCs w:val="18"/>
                <w:lang w:val="fr-FR"/>
              </w:rPr>
              <w:instrText>=</w:instrText>
            </w:r>
            <w:r w:rsidRPr="00180DCC">
              <w:rPr>
                <w:sz w:val="18"/>
                <w:szCs w:val="18"/>
                <w:lang w:val="fr-FR"/>
              </w:rPr>
              <w:instrText xml:space="preserve">  \f(2 </w:instrText>
            </w:r>
            <w:r w:rsidRPr="00180DCC">
              <w:rPr>
                <w:i/>
                <w:sz w:val="18"/>
                <w:szCs w:val="18"/>
                <w:lang w:val="fr-FR"/>
              </w:rPr>
              <w:instrText>RK</w:instrText>
            </w:r>
            <w:r w:rsidRPr="00180DCC">
              <w:rPr>
                <w:sz w:val="18"/>
                <w:szCs w:val="18"/>
                <w:lang w:val="fr-FR"/>
              </w:rPr>
              <w:instrText>,log</w:instrText>
            </w:r>
            <w:r w:rsidRPr="00180DCC">
              <w:rPr>
                <w:position w:val="-3"/>
                <w:sz w:val="18"/>
                <w:szCs w:val="18"/>
                <w:lang w:val="fr-FR"/>
              </w:rPr>
              <w:instrText>2</w:instrText>
            </w:r>
            <w:r w:rsidRPr="00180DCC">
              <w:rPr>
                <w:sz w:val="18"/>
                <w:szCs w:val="18"/>
                <w:lang w:val="fr-FR"/>
              </w:rPr>
              <w:instrText xml:space="preserve"> </w:instrText>
            </w:r>
            <w:r w:rsidRPr="00180DCC">
              <w:rPr>
                <w:i/>
                <w:sz w:val="18"/>
                <w:szCs w:val="18"/>
                <w:lang w:val="fr-FR"/>
              </w:rPr>
              <w:instrText>S</w:instrText>
            </w:r>
            <w:r w:rsidRPr="00180DCC">
              <w:rPr>
                <w:sz w:val="18"/>
                <w:szCs w:val="18"/>
                <w:lang w:val="fr-FR"/>
              </w:rPr>
              <w:instrText>)</w:instrText>
            </w:r>
            <w:r w:rsidRPr="00180DCC">
              <w:rPr>
                <w:sz w:val="18"/>
                <w:szCs w:val="18"/>
                <w:lang w:val="fr-FR"/>
              </w:rPr>
              <w:fldChar w:fldCharType="end"/>
            </w:r>
          </w:p>
        </w:tc>
        <w:tc>
          <w:tcPr>
            <w:tcW w:w="1871" w:type="dxa"/>
            <w:vAlign w:val="center"/>
          </w:tcPr>
          <w:p w14:paraId="0021A49E" w14:textId="77777777" w:rsidR="00AA41BC" w:rsidRPr="00180DCC" w:rsidRDefault="00AA41BC" w:rsidP="00AA41BC">
            <w:pPr>
              <w:pStyle w:val="Tabletext"/>
              <w:jc w:val="center"/>
              <w:rPr>
                <w:sz w:val="18"/>
                <w:szCs w:val="18"/>
                <w:lang w:val="fr-FR"/>
              </w:rPr>
            </w:pPr>
            <w:r w:rsidRPr="00180DCC">
              <w:rPr>
                <w:sz w:val="18"/>
                <w:szCs w:val="18"/>
                <w:lang w:val="fr-FR"/>
              </w:rPr>
              <w:t>10,28</w:t>
            </w:r>
            <w:r w:rsidRPr="00180DCC">
              <w:rPr>
                <w:sz w:val="18"/>
                <w:szCs w:val="18"/>
                <w:lang w:val="fr-FR"/>
              </w:rPr>
              <w:br/>
              <w:t>2,0</w:t>
            </w:r>
          </w:p>
        </w:tc>
        <w:tc>
          <w:tcPr>
            <w:tcW w:w="1871" w:type="dxa"/>
            <w:tcBorders>
              <w:bottom w:val="single" w:sz="6" w:space="0" w:color="auto"/>
              <w:right w:val="single" w:sz="6" w:space="0" w:color="auto"/>
            </w:tcBorders>
            <w:vAlign w:val="center"/>
          </w:tcPr>
          <w:p w14:paraId="25B4F148" w14:textId="77777777" w:rsidR="00AA41BC" w:rsidRPr="00180DCC" w:rsidRDefault="00AA41BC" w:rsidP="00AA41BC">
            <w:pPr>
              <w:pStyle w:val="Tabletext"/>
              <w:jc w:val="center"/>
              <w:rPr>
                <w:sz w:val="18"/>
                <w:szCs w:val="18"/>
                <w:lang w:val="fr-FR"/>
              </w:rPr>
            </w:pPr>
            <w:r w:rsidRPr="00180DCC">
              <w:rPr>
                <w:sz w:val="18"/>
                <w:szCs w:val="18"/>
                <w:lang w:val="fr-FR"/>
              </w:rPr>
              <w:t>99</w:t>
            </w:r>
            <w:r w:rsidRPr="00180DCC">
              <w:rPr>
                <w:sz w:val="18"/>
                <w:szCs w:val="18"/>
                <w:lang w:val="fr-FR"/>
              </w:rPr>
              <w:br/>
              <w:t>95</w:t>
            </w:r>
          </w:p>
        </w:tc>
      </w:tr>
      <w:tr w:rsidR="00AA41BC" w:rsidRPr="00180DCC" w14:paraId="7E92718D" w14:textId="77777777" w:rsidTr="00AA41BC">
        <w:trPr>
          <w:jc w:val="center"/>
        </w:trPr>
        <w:tc>
          <w:tcPr>
            <w:tcW w:w="3119" w:type="dxa"/>
            <w:tcBorders>
              <w:left w:val="single" w:sz="6" w:space="0" w:color="auto"/>
              <w:bottom w:val="single" w:sz="6" w:space="0" w:color="auto"/>
            </w:tcBorders>
          </w:tcPr>
          <w:p w14:paraId="6F9E6461" w14:textId="67D51C59" w:rsidR="00AA41BC" w:rsidRPr="00802534" w:rsidRDefault="00AA41BC" w:rsidP="00AA41BC">
            <w:pPr>
              <w:pStyle w:val="Tabletext"/>
              <w:jc w:val="left"/>
              <w:rPr>
                <w:sz w:val="18"/>
                <w:szCs w:val="18"/>
              </w:rPr>
            </w:pPr>
            <w:r w:rsidRPr="00802534">
              <w:rPr>
                <w:sz w:val="18"/>
                <w:szCs w:val="18"/>
              </w:rPr>
              <w:t xml:space="preserve">MDP-2 (filtrée, TEB  </w:t>
            </w:r>
            <w:r w:rsidRPr="00180DCC">
              <w:rPr>
                <w:rFonts w:ascii="Symbol" w:hAnsi="Symbol"/>
                <w:sz w:val="18"/>
                <w:szCs w:val="18"/>
                <w:lang w:val="fr-FR"/>
              </w:rPr>
              <w:t></w:t>
            </w:r>
            <w:r w:rsidRPr="00802534">
              <w:rPr>
                <w:sz w:val="18"/>
                <w:szCs w:val="18"/>
              </w:rPr>
              <w:t xml:space="preserve">  1  </w:t>
            </w:r>
            <w:r w:rsidRPr="00180DCC">
              <w:rPr>
                <w:rFonts w:ascii="Symbol" w:hAnsi="Symbol"/>
                <w:sz w:val="18"/>
                <w:szCs w:val="18"/>
                <w:lang w:val="fr-FR"/>
              </w:rPr>
              <w:t></w:t>
            </w:r>
            <w:r w:rsidRPr="00802534">
              <w:rPr>
                <w:sz w:val="18"/>
                <w:szCs w:val="18"/>
              </w:rPr>
              <w:t xml:space="preserve">  10</w:t>
            </w:r>
            <w:r w:rsidRPr="00802534">
              <w:rPr>
                <w:position w:val="6"/>
                <w:sz w:val="18"/>
                <w:szCs w:val="18"/>
              </w:rPr>
              <w:t>−3</w:t>
            </w:r>
            <w:r w:rsidRPr="00802534">
              <w:rPr>
                <w:sz w:val="18"/>
                <w:szCs w:val="18"/>
              </w:rPr>
              <w:t>)</w:t>
            </w:r>
            <w:r w:rsidRPr="00802534">
              <w:rPr>
                <w:sz w:val="18"/>
                <w:szCs w:val="18"/>
              </w:rPr>
              <w:br/>
            </w:r>
            <w:r w:rsidRPr="00802534">
              <w:rPr>
                <w:i/>
                <w:sz w:val="18"/>
                <w:szCs w:val="18"/>
              </w:rPr>
              <w:t>S</w:t>
            </w:r>
            <w:r w:rsidRPr="00802534">
              <w:rPr>
                <w:sz w:val="18"/>
                <w:szCs w:val="18"/>
              </w:rPr>
              <w:t xml:space="preserve">  </w:t>
            </w:r>
            <w:r w:rsidRPr="00180DCC">
              <w:rPr>
                <w:rFonts w:ascii="Symbol" w:hAnsi="Symbol"/>
                <w:sz w:val="18"/>
                <w:szCs w:val="18"/>
                <w:lang w:val="fr-FR"/>
              </w:rPr>
              <w:t></w:t>
            </w:r>
            <w:r w:rsidRPr="00802534">
              <w:rPr>
                <w:sz w:val="18"/>
                <w:szCs w:val="18"/>
              </w:rPr>
              <w:t xml:space="preserve">  2  (calculée)</w:t>
            </w:r>
          </w:p>
        </w:tc>
        <w:tc>
          <w:tcPr>
            <w:tcW w:w="2552" w:type="dxa"/>
            <w:vAlign w:val="center"/>
          </w:tcPr>
          <w:p w14:paraId="2A7DE16A" w14:textId="77777777" w:rsidR="00AA41BC" w:rsidRPr="00180DCC" w:rsidRDefault="00AA41BC" w:rsidP="00AA41BC">
            <w:pPr>
              <w:pStyle w:val="Tabletext"/>
              <w:jc w:val="center"/>
              <w:rPr>
                <w:sz w:val="18"/>
                <w:szCs w:val="18"/>
                <w:lang w:val="fr-FR"/>
              </w:rPr>
            </w:pPr>
            <w:r w:rsidRPr="00180DCC">
              <w:rPr>
                <w:sz w:val="18"/>
                <w:szCs w:val="18"/>
                <w:lang w:val="fr-FR"/>
              </w:rPr>
              <w:fldChar w:fldCharType="begin"/>
            </w:r>
            <w:r w:rsidRPr="00180DCC">
              <w:rPr>
                <w:sz w:val="18"/>
                <w:szCs w:val="18"/>
                <w:lang w:val="fr-FR"/>
              </w:rPr>
              <w:instrText xml:space="preserve">eq </w:instrText>
            </w:r>
            <w:r w:rsidRPr="00180DCC">
              <w:rPr>
                <w:i/>
                <w:sz w:val="18"/>
                <w:szCs w:val="18"/>
                <w:lang w:val="fr-FR"/>
              </w:rPr>
              <w:instrText>B</w:instrText>
            </w:r>
            <w:r w:rsidRPr="00180DCC">
              <w:rPr>
                <w:i/>
                <w:position w:val="-3"/>
                <w:sz w:val="18"/>
                <w:szCs w:val="18"/>
                <w:lang w:val="fr-FR"/>
              </w:rPr>
              <w:instrText>n</w:instrText>
            </w:r>
            <w:r w:rsidRPr="00180DCC">
              <w:rPr>
                <w:sz w:val="18"/>
                <w:szCs w:val="18"/>
                <w:lang w:val="fr-FR"/>
              </w:rPr>
              <w:instrText xml:space="preserve">  </w:instrText>
            </w:r>
            <w:r w:rsidRPr="00180DCC">
              <w:rPr>
                <w:rFonts w:ascii="Symbol" w:hAnsi="Symbol"/>
                <w:sz w:val="18"/>
                <w:szCs w:val="18"/>
                <w:lang w:val="fr-FR"/>
              </w:rPr>
              <w:instrText>=</w:instrText>
            </w:r>
            <w:r w:rsidRPr="00180DCC">
              <w:rPr>
                <w:sz w:val="18"/>
                <w:szCs w:val="18"/>
                <w:lang w:val="fr-FR"/>
              </w:rPr>
              <w:instrText xml:space="preserve">  \f(2 </w:instrText>
            </w:r>
            <w:r w:rsidRPr="00180DCC">
              <w:rPr>
                <w:i/>
                <w:sz w:val="18"/>
                <w:szCs w:val="18"/>
                <w:lang w:val="fr-FR"/>
              </w:rPr>
              <w:instrText>RK</w:instrText>
            </w:r>
            <w:r w:rsidRPr="00180DCC">
              <w:rPr>
                <w:sz w:val="18"/>
                <w:szCs w:val="18"/>
                <w:lang w:val="fr-FR"/>
              </w:rPr>
              <w:instrText>,log</w:instrText>
            </w:r>
            <w:r w:rsidRPr="00180DCC">
              <w:rPr>
                <w:position w:val="-3"/>
                <w:sz w:val="18"/>
                <w:szCs w:val="18"/>
                <w:lang w:val="fr-FR"/>
              </w:rPr>
              <w:instrText>2</w:instrText>
            </w:r>
            <w:r w:rsidRPr="00180DCC">
              <w:rPr>
                <w:sz w:val="18"/>
                <w:szCs w:val="18"/>
                <w:lang w:val="fr-FR"/>
              </w:rPr>
              <w:instrText xml:space="preserve"> </w:instrText>
            </w:r>
            <w:r w:rsidRPr="00180DCC">
              <w:rPr>
                <w:i/>
                <w:sz w:val="18"/>
                <w:szCs w:val="18"/>
                <w:lang w:val="fr-FR"/>
              </w:rPr>
              <w:instrText>S</w:instrText>
            </w:r>
            <w:r w:rsidRPr="00180DCC">
              <w:rPr>
                <w:sz w:val="18"/>
                <w:szCs w:val="18"/>
                <w:lang w:val="fr-FR"/>
              </w:rPr>
              <w:instrText>)</w:instrText>
            </w:r>
            <w:r w:rsidRPr="00180DCC">
              <w:rPr>
                <w:sz w:val="18"/>
                <w:szCs w:val="18"/>
                <w:lang w:val="fr-FR"/>
              </w:rPr>
              <w:fldChar w:fldCharType="end"/>
            </w:r>
          </w:p>
        </w:tc>
        <w:tc>
          <w:tcPr>
            <w:tcW w:w="1871" w:type="dxa"/>
            <w:vAlign w:val="center"/>
          </w:tcPr>
          <w:p w14:paraId="3A3D62DE" w14:textId="77777777" w:rsidR="00AA41BC" w:rsidRPr="00180DCC" w:rsidRDefault="00AA41BC" w:rsidP="00AA41BC">
            <w:pPr>
              <w:pStyle w:val="Tabletext"/>
              <w:jc w:val="center"/>
              <w:rPr>
                <w:sz w:val="18"/>
                <w:szCs w:val="18"/>
                <w:lang w:val="fr-FR"/>
              </w:rPr>
            </w:pPr>
            <w:r w:rsidRPr="00180DCC">
              <w:rPr>
                <w:sz w:val="18"/>
                <w:szCs w:val="18"/>
                <w:lang w:val="fr-FR"/>
              </w:rPr>
              <w:t>1,0</w:t>
            </w:r>
            <w:r w:rsidRPr="00180DCC">
              <w:rPr>
                <w:position w:val="6"/>
                <w:sz w:val="18"/>
                <w:szCs w:val="18"/>
                <w:lang w:val="fr-FR"/>
              </w:rPr>
              <w:t>(2)</w:t>
            </w:r>
            <w:r w:rsidRPr="00180DCC">
              <w:rPr>
                <w:position w:val="4"/>
                <w:sz w:val="18"/>
                <w:szCs w:val="18"/>
                <w:lang w:val="fr-FR"/>
              </w:rPr>
              <w:br/>
            </w:r>
            <w:r w:rsidRPr="00180DCC">
              <w:rPr>
                <w:sz w:val="18"/>
                <w:szCs w:val="18"/>
                <w:lang w:val="fr-FR"/>
              </w:rPr>
              <w:t>0,75</w:t>
            </w:r>
            <w:r w:rsidRPr="00180DCC">
              <w:rPr>
                <w:position w:val="6"/>
                <w:sz w:val="18"/>
                <w:szCs w:val="18"/>
                <w:lang w:val="fr-FR"/>
              </w:rPr>
              <w:t>(3)</w:t>
            </w:r>
          </w:p>
        </w:tc>
        <w:tc>
          <w:tcPr>
            <w:tcW w:w="1871" w:type="dxa"/>
            <w:tcBorders>
              <w:bottom w:val="single" w:sz="6" w:space="0" w:color="auto"/>
              <w:right w:val="single" w:sz="6" w:space="0" w:color="auto"/>
            </w:tcBorders>
            <w:vAlign w:val="center"/>
          </w:tcPr>
          <w:p w14:paraId="6006C3CD" w14:textId="77777777" w:rsidR="00AA41BC" w:rsidRPr="00180DCC" w:rsidRDefault="00AA41BC" w:rsidP="00AA41BC">
            <w:pPr>
              <w:pStyle w:val="Tabletext"/>
              <w:jc w:val="center"/>
              <w:rPr>
                <w:sz w:val="18"/>
                <w:szCs w:val="18"/>
                <w:lang w:val="fr-FR"/>
              </w:rPr>
            </w:pPr>
            <w:r w:rsidRPr="00180DCC">
              <w:rPr>
                <w:sz w:val="18"/>
                <w:szCs w:val="18"/>
                <w:lang w:val="fr-FR"/>
              </w:rPr>
              <w:t>100</w:t>
            </w:r>
            <w:r w:rsidRPr="00180DCC">
              <w:rPr>
                <w:sz w:val="18"/>
                <w:szCs w:val="18"/>
                <w:lang w:val="fr-FR"/>
              </w:rPr>
              <w:br/>
              <w:t>100</w:t>
            </w:r>
          </w:p>
        </w:tc>
      </w:tr>
      <w:tr w:rsidR="00AA41BC" w:rsidRPr="00180DCC" w14:paraId="108EF3C7" w14:textId="77777777" w:rsidTr="00AA41BC">
        <w:trPr>
          <w:jc w:val="center"/>
        </w:trPr>
        <w:tc>
          <w:tcPr>
            <w:tcW w:w="3119" w:type="dxa"/>
            <w:tcBorders>
              <w:left w:val="single" w:sz="6" w:space="0" w:color="auto"/>
              <w:bottom w:val="single" w:sz="6" w:space="0" w:color="auto"/>
            </w:tcBorders>
          </w:tcPr>
          <w:p w14:paraId="531B2582" w14:textId="77777777" w:rsidR="00AA41BC" w:rsidRPr="00180DCC" w:rsidRDefault="00AA41BC" w:rsidP="00AA41BC">
            <w:pPr>
              <w:pStyle w:val="Tabletext"/>
              <w:jc w:val="left"/>
              <w:rPr>
                <w:sz w:val="18"/>
                <w:szCs w:val="18"/>
                <w:lang w:val="fr-FR"/>
              </w:rPr>
            </w:pPr>
            <w:r w:rsidRPr="00180DCC">
              <w:rPr>
                <w:sz w:val="18"/>
                <w:szCs w:val="18"/>
                <w:lang w:val="fr-FR"/>
              </w:rPr>
              <w:t>MDM (non filtrée)</w:t>
            </w:r>
            <w:r w:rsidRPr="00180DCC">
              <w:rPr>
                <w:sz w:val="18"/>
                <w:szCs w:val="18"/>
                <w:lang w:val="fr-FR"/>
              </w:rPr>
              <w:br/>
            </w:r>
            <w:r w:rsidRPr="00180DCC">
              <w:rPr>
                <w:i/>
                <w:sz w:val="18"/>
                <w:szCs w:val="18"/>
                <w:lang w:val="fr-FR"/>
              </w:rPr>
              <w:t>S</w:t>
            </w:r>
            <w:r w:rsidRPr="00180DCC">
              <w:rPr>
                <w:sz w:val="18"/>
                <w:szCs w:val="18"/>
                <w:lang w:val="fr-FR"/>
              </w:rPr>
              <w:t xml:space="preserve">   </w:t>
            </w:r>
            <w:r w:rsidRPr="00180DCC">
              <w:rPr>
                <w:rFonts w:ascii="Symbol" w:hAnsi="Symbol"/>
                <w:sz w:val="18"/>
                <w:szCs w:val="18"/>
                <w:lang w:val="fr-FR"/>
              </w:rPr>
              <w:t></w:t>
            </w:r>
            <w:r w:rsidRPr="00180DCC">
              <w:rPr>
                <w:sz w:val="18"/>
                <w:szCs w:val="18"/>
                <w:lang w:val="fr-FR"/>
              </w:rPr>
              <w:t xml:space="preserve">  2  (calculée)</w:t>
            </w:r>
            <w:r w:rsidRPr="00180DCC">
              <w:rPr>
                <w:sz w:val="18"/>
                <w:szCs w:val="18"/>
                <w:lang w:val="fr-FR"/>
              </w:rPr>
              <w:br/>
            </w:r>
            <w:r w:rsidRPr="00180DCC">
              <w:rPr>
                <w:i/>
                <w:sz w:val="18"/>
                <w:szCs w:val="18"/>
                <w:lang w:val="fr-FR"/>
              </w:rPr>
              <w:t>D</w:t>
            </w:r>
            <w:r w:rsidRPr="00180DCC">
              <w:rPr>
                <w:sz w:val="18"/>
                <w:szCs w:val="18"/>
                <w:lang w:val="fr-FR"/>
              </w:rPr>
              <w:t xml:space="preserve">  </w:t>
            </w:r>
            <w:r w:rsidRPr="00180DCC">
              <w:rPr>
                <w:rFonts w:ascii="Symbol" w:hAnsi="Symbol"/>
                <w:sz w:val="18"/>
                <w:szCs w:val="18"/>
                <w:lang w:val="fr-FR"/>
              </w:rPr>
              <w:t></w:t>
            </w:r>
            <w:r w:rsidRPr="00180DCC">
              <w:rPr>
                <w:sz w:val="18"/>
                <w:szCs w:val="18"/>
                <w:lang w:val="fr-FR"/>
              </w:rPr>
              <w:t xml:space="preserve">  0,25 </w:t>
            </w:r>
            <w:r w:rsidRPr="00180DCC">
              <w:rPr>
                <w:i/>
                <w:sz w:val="18"/>
                <w:szCs w:val="18"/>
                <w:lang w:val="fr-FR"/>
              </w:rPr>
              <w:t>R</w:t>
            </w:r>
          </w:p>
        </w:tc>
        <w:tc>
          <w:tcPr>
            <w:tcW w:w="2552" w:type="dxa"/>
            <w:vAlign w:val="center"/>
          </w:tcPr>
          <w:p w14:paraId="537ACCA9" w14:textId="77777777" w:rsidR="00AA41BC" w:rsidRPr="00180DCC" w:rsidRDefault="00AA41BC" w:rsidP="00AA41BC">
            <w:pPr>
              <w:pStyle w:val="Tabletext"/>
              <w:jc w:val="center"/>
              <w:rPr>
                <w:sz w:val="18"/>
                <w:szCs w:val="18"/>
                <w:lang w:val="fr-FR"/>
              </w:rPr>
            </w:pPr>
            <w:r w:rsidRPr="00180DCC">
              <w:rPr>
                <w:sz w:val="18"/>
                <w:szCs w:val="18"/>
                <w:lang w:val="fr-FR"/>
              </w:rPr>
              <w:fldChar w:fldCharType="begin"/>
            </w:r>
            <w:r w:rsidRPr="00180DCC">
              <w:rPr>
                <w:sz w:val="18"/>
                <w:szCs w:val="18"/>
                <w:lang w:val="fr-FR"/>
              </w:rPr>
              <w:instrText xml:space="preserve">eq </w:instrText>
            </w:r>
            <w:r w:rsidRPr="00180DCC">
              <w:rPr>
                <w:i/>
                <w:sz w:val="18"/>
                <w:szCs w:val="18"/>
                <w:lang w:val="fr-FR"/>
              </w:rPr>
              <w:instrText>B</w:instrText>
            </w:r>
            <w:r w:rsidRPr="00180DCC">
              <w:rPr>
                <w:i/>
                <w:position w:val="-3"/>
                <w:sz w:val="18"/>
                <w:szCs w:val="18"/>
                <w:lang w:val="fr-FR"/>
              </w:rPr>
              <w:instrText>n</w:instrText>
            </w:r>
            <w:r w:rsidRPr="00180DCC">
              <w:rPr>
                <w:sz w:val="18"/>
                <w:szCs w:val="18"/>
                <w:lang w:val="fr-FR"/>
              </w:rPr>
              <w:instrText xml:space="preserve">  </w:instrText>
            </w:r>
            <w:r w:rsidRPr="00180DCC">
              <w:rPr>
                <w:rFonts w:ascii="Symbol" w:hAnsi="Symbol"/>
                <w:sz w:val="18"/>
                <w:szCs w:val="18"/>
                <w:lang w:val="fr-FR"/>
              </w:rPr>
              <w:instrText>=</w:instrText>
            </w:r>
            <w:r w:rsidRPr="00180DCC">
              <w:rPr>
                <w:sz w:val="18"/>
                <w:szCs w:val="18"/>
                <w:lang w:val="fr-FR"/>
              </w:rPr>
              <w:instrText xml:space="preserve">  \f(</w:instrText>
            </w:r>
            <w:r w:rsidRPr="00180DCC">
              <w:rPr>
                <w:i/>
                <w:sz w:val="18"/>
                <w:szCs w:val="18"/>
                <w:lang w:val="fr-FR"/>
              </w:rPr>
              <w:instrText>R</w:instrText>
            </w:r>
            <w:r w:rsidRPr="00180DCC">
              <w:rPr>
                <w:sz w:val="18"/>
                <w:szCs w:val="18"/>
                <w:lang w:val="fr-FR"/>
              </w:rPr>
              <w:instrText>,log</w:instrText>
            </w:r>
            <w:r w:rsidRPr="00180DCC">
              <w:rPr>
                <w:position w:val="-3"/>
                <w:sz w:val="18"/>
                <w:szCs w:val="18"/>
                <w:lang w:val="fr-FR"/>
              </w:rPr>
              <w:instrText>2</w:instrText>
            </w:r>
            <w:r w:rsidRPr="00180DCC">
              <w:rPr>
                <w:sz w:val="18"/>
                <w:szCs w:val="18"/>
                <w:lang w:val="fr-FR"/>
              </w:rPr>
              <w:instrText xml:space="preserve"> </w:instrText>
            </w:r>
            <w:r w:rsidRPr="00180DCC">
              <w:rPr>
                <w:i/>
                <w:sz w:val="18"/>
                <w:szCs w:val="18"/>
                <w:lang w:val="fr-FR"/>
              </w:rPr>
              <w:instrText>S</w:instrText>
            </w:r>
            <w:r w:rsidRPr="00180DCC">
              <w:rPr>
                <w:sz w:val="18"/>
                <w:szCs w:val="18"/>
                <w:lang w:val="fr-FR"/>
              </w:rPr>
              <w:instrText xml:space="preserve">)  </w:instrText>
            </w:r>
            <w:r w:rsidRPr="00180DCC">
              <w:rPr>
                <w:rFonts w:ascii="Symbol" w:hAnsi="Symbol"/>
                <w:sz w:val="18"/>
                <w:szCs w:val="18"/>
                <w:lang w:val="fr-FR"/>
              </w:rPr>
              <w:instrText>+</w:instrText>
            </w:r>
            <w:r w:rsidRPr="00180DCC">
              <w:rPr>
                <w:sz w:val="18"/>
                <w:szCs w:val="18"/>
                <w:lang w:val="fr-FR"/>
              </w:rPr>
              <w:instrText xml:space="preserve">  2 </w:instrText>
            </w:r>
            <w:r w:rsidRPr="00180DCC">
              <w:rPr>
                <w:i/>
                <w:sz w:val="18"/>
                <w:szCs w:val="18"/>
                <w:lang w:val="fr-FR"/>
              </w:rPr>
              <w:instrText>DK</w:instrText>
            </w:r>
            <w:r w:rsidRPr="00180DCC">
              <w:rPr>
                <w:sz w:val="18"/>
                <w:szCs w:val="18"/>
                <w:lang w:val="fr-FR"/>
              </w:rPr>
              <w:fldChar w:fldCharType="end"/>
            </w:r>
          </w:p>
        </w:tc>
        <w:tc>
          <w:tcPr>
            <w:tcW w:w="1871" w:type="dxa"/>
            <w:vAlign w:val="center"/>
          </w:tcPr>
          <w:p w14:paraId="290A4078" w14:textId="77777777" w:rsidR="00AA41BC" w:rsidRPr="00180DCC" w:rsidRDefault="00AA41BC" w:rsidP="00AA41BC">
            <w:pPr>
              <w:pStyle w:val="Tabletext"/>
              <w:jc w:val="center"/>
              <w:rPr>
                <w:sz w:val="18"/>
                <w:szCs w:val="18"/>
                <w:lang w:val="fr-FR"/>
              </w:rPr>
            </w:pPr>
            <w:r w:rsidRPr="00180DCC">
              <w:rPr>
                <w:sz w:val="18"/>
                <w:szCs w:val="18"/>
                <w:lang w:val="fr-FR"/>
              </w:rPr>
              <w:t>0,36</w:t>
            </w:r>
            <w:r w:rsidRPr="00180DCC">
              <w:rPr>
                <w:sz w:val="18"/>
                <w:szCs w:val="18"/>
                <w:lang w:val="fr-FR"/>
              </w:rPr>
              <w:br/>
              <w:t>3,52</w:t>
            </w:r>
          </w:p>
        </w:tc>
        <w:tc>
          <w:tcPr>
            <w:tcW w:w="1871" w:type="dxa"/>
            <w:tcBorders>
              <w:bottom w:val="single" w:sz="6" w:space="0" w:color="auto"/>
              <w:right w:val="single" w:sz="6" w:space="0" w:color="auto"/>
            </w:tcBorders>
            <w:vAlign w:val="center"/>
          </w:tcPr>
          <w:p w14:paraId="0958039A" w14:textId="77777777" w:rsidR="00AA41BC" w:rsidRPr="00180DCC" w:rsidRDefault="00AA41BC" w:rsidP="00AA41BC">
            <w:pPr>
              <w:pStyle w:val="Tabletext"/>
              <w:jc w:val="center"/>
              <w:rPr>
                <w:sz w:val="18"/>
                <w:szCs w:val="18"/>
                <w:lang w:val="fr-FR"/>
              </w:rPr>
            </w:pPr>
            <w:r w:rsidRPr="00180DCC">
              <w:rPr>
                <w:sz w:val="18"/>
                <w:szCs w:val="18"/>
                <w:lang w:val="fr-FR"/>
              </w:rPr>
              <w:t>99</w:t>
            </w:r>
            <w:r w:rsidRPr="00180DCC">
              <w:rPr>
                <w:sz w:val="18"/>
                <w:szCs w:val="18"/>
                <w:lang w:val="fr-FR"/>
              </w:rPr>
              <w:br/>
              <w:t>99,9</w:t>
            </w:r>
          </w:p>
        </w:tc>
      </w:tr>
      <w:tr w:rsidR="00AA41BC" w:rsidRPr="00180DCC" w14:paraId="5037AB53" w14:textId="77777777" w:rsidTr="00AA41BC">
        <w:trPr>
          <w:jc w:val="center"/>
        </w:trPr>
        <w:tc>
          <w:tcPr>
            <w:tcW w:w="3119" w:type="dxa"/>
            <w:tcBorders>
              <w:left w:val="single" w:sz="6" w:space="0" w:color="auto"/>
              <w:bottom w:val="single" w:sz="6" w:space="0" w:color="auto"/>
            </w:tcBorders>
          </w:tcPr>
          <w:p w14:paraId="572AE20C" w14:textId="77777777" w:rsidR="00AA41BC" w:rsidRPr="00180DCC" w:rsidRDefault="00AA41BC" w:rsidP="00AA41BC">
            <w:pPr>
              <w:pStyle w:val="Tabletext"/>
              <w:jc w:val="left"/>
              <w:rPr>
                <w:sz w:val="18"/>
                <w:szCs w:val="18"/>
                <w:lang w:val="fr-FR"/>
              </w:rPr>
            </w:pPr>
            <w:r w:rsidRPr="00180DCC">
              <w:rPr>
                <w:sz w:val="18"/>
                <w:szCs w:val="18"/>
                <w:lang w:val="fr-FR"/>
              </w:rPr>
              <w:t>MDM avec filtrage gaussien (MDMG)</w:t>
            </w:r>
            <w:r w:rsidRPr="00180DCC">
              <w:rPr>
                <w:sz w:val="18"/>
                <w:szCs w:val="18"/>
                <w:lang w:val="fr-FR"/>
              </w:rPr>
              <w:br/>
              <w:t>Largeur de bande à 3 dB du filtre</w:t>
            </w:r>
            <w:r w:rsidRPr="00180DCC">
              <w:rPr>
                <w:sz w:val="18"/>
                <w:szCs w:val="18"/>
                <w:lang w:val="fr-FR"/>
              </w:rPr>
              <w:br/>
              <w:t xml:space="preserve">gaussien de prémodulation  </w:t>
            </w:r>
            <w:r w:rsidRPr="00180DCC">
              <w:rPr>
                <w:rFonts w:ascii="Symbol" w:hAnsi="Symbol"/>
                <w:sz w:val="18"/>
                <w:szCs w:val="18"/>
                <w:lang w:val="fr-FR"/>
              </w:rPr>
              <w:t></w:t>
            </w:r>
            <w:r w:rsidRPr="00180DCC">
              <w:rPr>
                <w:sz w:val="18"/>
                <w:szCs w:val="18"/>
                <w:lang w:val="fr-FR"/>
              </w:rPr>
              <w:t xml:space="preserve">  0,25 </w:t>
            </w:r>
            <w:r w:rsidRPr="00180DCC">
              <w:rPr>
                <w:i/>
                <w:sz w:val="18"/>
                <w:szCs w:val="18"/>
                <w:lang w:val="fr-FR"/>
              </w:rPr>
              <w:t>R</w:t>
            </w:r>
            <w:r w:rsidRPr="00180DCC">
              <w:rPr>
                <w:sz w:val="18"/>
                <w:szCs w:val="18"/>
                <w:lang w:val="fr-FR"/>
              </w:rPr>
              <w:br/>
            </w:r>
            <w:r w:rsidRPr="00180DCC">
              <w:rPr>
                <w:i/>
                <w:sz w:val="18"/>
                <w:szCs w:val="18"/>
                <w:lang w:val="fr-FR"/>
              </w:rPr>
              <w:t>S</w:t>
            </w:r>
            <w:r w:rsidRPr="00180DCC">
              <w:rPr>
                <w:sz w:val="18"/>
                <w:szCs w:val="18"/>
                <w:lang w:val="fr-FR"/>
              </w:rPr>
              <w:t xml:space="preserve">   </w:t>
            </w:r>
            <w:r w:rsidRPr="00180DCC">
              <w:rPr>
                <w:rFonts w:ascii="Symbol" w:hAnsi="Symbol"/>
                <w:sz w:val="18"/>
                <w:szCs w:val="18"/>
                <w:lang w:val="fr-FR"/>
              </w:rPr>
              <w:t></w:t>
            </w:r>
            <w:r w:rsidRPr="00180DCC">
              <w:rPr>
                <w:sz w:val="18"/>
                <w:szCs w:val="18"/>
                <w:lang w:val="fr-FR"/>
              </w:rPr>
              <w:t xml:space="preserve">  2  (calculée)</w:t>
            </w:r>
            <w:r w:rsidRPr="00180DCC">
              <w:rPr>
                <w:sz w:val="18"/>
                <w:szCs w:val="18"/>
                <w:lang w:val="fr-FR"/>
              </w:rPr>
              <w:br/>
            </w:r>
            <w:r w:rsidRPr="00180DCC">
              <w:rPr>
                <w:i/>
                <w:sz w:val="18"/>
                <w:szCs w:val="18"/>
                <w:lang w:val="fr-FR"/>
              </w:rPr>
              <w:t>D</w:t>
            </w:r>
            <w:r w:rsidRPr="00180DCC">
              <w:rPr>
                <w:sz w:val="18"/>
                <w:szCs w:val="18"/>
                <w:lang w:val="fr-FR"/>
              </w:rPr>
              <w:t xml:space="preserve">  </w:t>
            </w:r>
            <w:r w:rsidRPr="00180DCC">
              <w:rPr>
                <w:rFonts w:ascii="Symbol" w:hAnsi="Symbol"/>
                <w:sz w:val="18"/>
                <w:szCs w:val="18"/>
                <w:lang w:val="fr-FR"/>
              </w:rPr>
              <w:t></w:t>
            </w:r>
            <w:r w:rsidRPr="00180DCC">
              <w:rPr>
                <w:sz w:val="18"/>
                <w:szCs w:val="18"/>
                <w:lang w:val="fr-FR"/>
              </w:rPr>
              <w:t xml:space="preserve">  0,25 </w:t>
            </w:r>
            <w:r w:rsidRPr="00180DCC">
              <w:rPr>
                <w:i/>
                <w:sz w:val="18"/>
                <w:szCs w:val="18"/>
                <w:lang w:val="fr-FR"/>
              </w:rPr>
              <w:t>R</w:t>
            </w:r>
          </w:p>
        </w:tc>
        <w:tc>
          <w:tcPr>
            <w:tcW w:w="2552" w:type="dxa"/>
            <w:vAlign w:val="center"/>
          </w:tcPr>
          <w:p w14:paraId="232ECE83" w14:textId="555677E5" w:rsidR="00AA41BC" w:rsidRPr="00180DCC" w:rsidRDefault="00AA41BC" w:rsidP="00AA41BC">
            <w:pPr>
              <w:pStyle w:val="Tabletext"/>
              <w:jc w:val="center"/>
              <w:rPr>
                <w:sz w:val="18"/>
                <w:szCs w:val="18"/>
                <w:lang w:val="fr-FR"/>
              </w:rPr>
            </w:pPr>
            <w:r w:rsidRPr="00180DCC">
              <w:rPr>
                <w:sz w:val="18"/>
                <w:szCs w:val="18"/>
                <w:lang w:val="fr-FR"/>
              </w:rPr>
              <w:fldChar w:fldCharType="begin"/>
            </w:r>
            <w:r w:rsidRPr="00180DCC">
              <w:rPr>
                <w:sz w:val="18"/>
                <w:szCs w:val="18"/>
                <w:lang w:val="fr-FR"/>
              </w:rPr>
              <w:instrText xml:space="preserve">eq </w:instrText>
            </w:r>
            <w:r w:rsidRPr="00180DCC">
              <w:rPr>
                <w:i/>
                <w:sz w:val="18"/>
                <w:szCs w:val="18"/>
                <w:lang w:val="fr-FR"/>
              </w:rPr>
              <w:instrText>B</w:instrText>
            </w:r>
            <w:r w:rsidRPr="00180DCC">
              <w:rPr>
                <w:i/>
                <w:position w:val="-3"/>
                <w:sz w:val="18"/>
                <w:szCs w:val="18"/>
                <w:lang w:val="fr-FR"/>
              </w:rPr>
              <w:instrText>n</w:instrText>
            </w:r>
            <w:r w:rsidRPr="00180DCC">
              <w:rPr>
                <w:sz w:val="18"/>
                <w:szCs w:val="18"/>
                <w:lang w:val="fr-FR"/>
              </w:rPr>
              <w:instrText xml:space="preserve">  </w:instrText>
            </w:r>
            <w:r w:rsidRPr="00180DCC">
              <w:rPr>
                <w:rFonts w:ascii="Symbol" w:hAnsi="Symbol"/>
                <w:sz w:val="18"/>
                <w:szCs w:val="18"/>
                <w:lang w:val="fr-FR"/>
              </w:rPr>
              <w:instrText>=</w:instrText>
            </w:r>
            <w:r w:rsidRPr="00180DCC">
              <w:rPr>
                <w:sz w:val="18"/>
                <w:szCs w:val="18"/>
                <w:lang w:val="fr-FR"/>
              </w:rPr>
              <w:instrText xml:space="preserve">  \f(</w:instrText>
            </w:r>
            <w:r w:rsidRPr="00180DCC">
              <w:rPr>
                <w:i/>
                <w:sz w:val="18"/>
                <w:szCs w:val="18"/>
                <w:lang w:val="fr-FR"/>
              </w:rPr>
              <w:instrText>R</w:instrText>
            </w:r>
            <w:r w:rsidRPr="00180DCC">
              <w:rPr>
                <w:sz w:val="18"/>
                <w:szCs w:val="18"/>
                <w:lang w:val="fr-FR"/>
              </w:rPr>
              <w:instrText>,log</w:instrText>
            </w:r>
            <w:r w:rsidRPr="00180DCC">
              <w:rPr>
                <w:position w:val="-3"/>
                <w:sz w:val="18"/>
                <w:szCs w:val="18"/>
                <w:lang w:val="fr-FR"/>
              </w:rPr>
              <w:instrText>2</w:instrText>
            </w:r>
            <w:r w:rsidRPr="00180DCC">
              <w:rPr>
                <w:sz w:val="18"/>
                <w:szCs w:val="18"/>
                <w:lang w:val="fr-FR"/>
              </w:rPr>
              <w:instrText xml:space="preserve"> </w:instrText>
            </w:r>
            <w:r w:rsidRPr="00180DCC">
              <w:rPr>
                <w:i/>
                <w:sz w:val="18"/>
                <w:szCs w:val="18"/>
                <w:lang w:val="fr-FR"/>
              </w:rPr>
              <w:instrText>S</w:instrText>
            </w:r>
            <w:r w:rsidRPr="00180DCC">
              <w:rPr>
                <w:sz w:val="18"/>
                <w:szCs w:val="18"/>
                <w:lang w:val="fr-FR"/>
              </w:rPr>
              <w:instrText xml:space="preserve">)  </w:instrText>
            </w:r>
            <w:r w:rsidRPr="00180DCC">
              <w:rPr>
                <w:rFonts w:ascii="Symbol" w:hAnsi="Symbol"/>
                <w:sz w:val="18"/>
                <w:szCs w:val="18"/>
                <w:lang w:val="fr-FR"/>
              </w:rPr>
              <w:instrText>+</w:instrText>
            </w:r>
            <w:r w:rsidRPr="00180DCC">
              <w:rPr>
                <w:sz w:val="18"/>
                <w:szCs w:val="18"/>
                <w:lang w:val="fr-FR"/>
              </w:rPr>
              <w:instrText xml:space="preserve">  2 </w:instrText>
            </w:r>
            <w:r w:rsidRPr="00180DCC">
              <w:rPr>
                <w:i/>
                <w:sz w:val="18"/>
                <w:szCs w:val="18"/>
                <w:lang w:val="fr-FR"/>
              </w:rPr>
              <w:instrText>DK</w:instrText>
            </w:r>
            <w:r w:rsidRPr="00180DCC">
              <w:rPr>
                <w:sz w:val="18"/>
                <w:szCs w:val="18"/>
                <w:lang w:val="fr-FR"/>
              </w:rPr>
              <w:fldChar w:fldCharType="end"/>
            </w:r>
          </w:p>
        </w:tc>
        <w:tc>
          <w:tcPr>
            <w:tcW w:w="1871" w:type="dxa"/>
            <w:vAlign w:val="center"/>
          </w:tcPr>
          <w:p w14:paraId="55B53D7F" w14:textId="61F509E2" w:rsidR="00AA41BC" w:rsidRPr="00180DCC" w:rsidRDefault="00CB19FB" w:rsidP="00AA41BC">
            <w:pPr>
              <w:pStyle w:val="Tabletext"/>
              <w:jc w:val="center"/>
              <w:rPr>
                <w:sz w:val="18"/>
                <w:szCs w:val="18"/>
                <w:lang w:val="fr-FR"/>
              </w:rPr>
            </w:pPr>
            <w:r w:rsidRPr="00180DCC">
              <w:rPr>
                <w:sz w:val="18"/>
                <w:szCs w:val="18"/>
                <w:lang w:val="fr-FR"/>
              </w:rPr>
              <w:t>−</w:t>
            </w:r>
            <w:r w:rsidR="00AA41BC" w:rsidRPr="00180DCC">
              <w:rPr>
                <w:sz w:val="18"/>
                <w:szCs w:val="18"/>
                <w:lang w:val="fr-FR"/>
              </w:rPr>
              <w:t>0,28</w:t>
            </w:r>
            <w:r w:rsidR="00AA41BC" w:rsidRPr="00180DCC">
              <w:rPr>
                <w:sz w:val="18"/>
                <w:szCs w:val="18"/>
                <w:lang w:val="fr-FR"/>
              </w:rPr>
              <w:br/>
              <w:t>0,18</w:t>
            </w:r>
          </w:p>
        </w:tc>
        <w:tc>
          <w:tcPr>
            <w:tcW w:w="1871" w:type="dxa"/>
            <w:tcBorders>
              <w:bottom w:val="single" w:sz="6" w:space="0" w:color="auto"/>
              <w:right w:val="single" w:sz="6" w:space="0" w:color="auto"/>
            </w:tcBorders>
            <w:vAlign w:val="center"/>
          </w:tcPr>
          <w:p w14:paraId="25051D09" w14:textId="327677A2" w:rsidR="00AA41BC" w:rsidRPr="00180DCC" w:rsidRDefault="00AA41BC" w:rsidP="00AA41BC">
            <w:pPr>
              <w:pStyle w:val="Tabletext"/>
              <w:jc w:val="center"/>
              <w:rPr>
                <w:sz w:val="18"/>
                <w:szCs w:val="18"/>
                <w:lang w:val="fr-FR"/>
              </w:rPr>
            </w:pPr>
            <w:r w:rsidRPr="00180DCC">
              <w:rPr>
                <w:sz w:val="18"/>
                <w:szCs w:val="18"/>
                <w:lang w:val="fr-FR"/>
              </w:rPr>
              <w:t>99</w:t>
            </w:r>
            <w:r w:rsidRPr="00180DCC">
              <w:rPr>
                <w:sz w:val="18"/>
                <w:szCs w:val="18"/>
                <w:lang w:val="fr-FR"/>
              </w:rPr>
              <w:br/>
              <w:t>99,9</w:t>
            </w:r>
          </w:p>
        </w:tc>
      </w:tr>
      <w:tr w:rsidR="00AA41BC" w:rsidRPr="00180DCC" w14:paraId="3019982F" w14:textId="77777777" w:rsidTr="00AA41BC">
        <w:trPr>
          <w:jc w:val="center"/>
        </w:trPr>
        <w:tc>
          <w:tcPr>
            <w:tcW w:w="3119" w:type="dxa"/>
            <w:tcBorders>
              <w:left w:val="single" w:sz="6" w:space="0" w:color="auto"/>
              <w:bottom w:val="single" w:sz="6" w:space="0" w:color="auto"/>
            </w:tcBorders>
          </w:tcPr>
          <w:p w14:paraId="02B46CD1" w14:textId="77777777" w:rsidR="00AA41BC" w:rsidRPr="00180DCC" w:rsidRDefault="00AA41BC" w:rsidP="00AA41BC">
            <w:pPr>
              <w:pStyle w:val="Tabletext"/>
              <w:jc w:val="left"/>
              <w:rPr>
                <w:sz w:val="18"/>
                <w:szCs w:val="18"/>
                <w:lang w:val="fr-FR"/>
              </w:rPr>
            </w:pPr>
            <w:r w:rsidRPr="00180DCC">
              <w:rPr>
                <w:sz w:val="18"/>
                <w:szCs w:val="18"/>
                <w:lang w:val="fr-FR"/>
              </w:rPr>
              <w:t>MF numérique (MDF à phase continue) impulsions rectangulaires</w:t>
            </w:r>
            <w:r w:rsidRPr="00180DCC">
              <w:rPr>
                <w:sz w:val="18"/>
                <w:szCs w:val="18"/>
                <w:lang w:val="fr-FR"/>
              </w:rPr>
              <w:br/>
            </w:r>
            <w:r w:rsidRPr="00180DCC">
              <w:rPr>
                <w:i/>
                <w:sz w:val="18"/>
                <w:szCs w:val="18"/>
                <w:lang w:val="fr-FR"/>
              </w:rPr>
              <w:t>S</w:t>
            </w:r>
            <w:r w:rsidRPr="00180DCC">
              <w:rPr>
                <w:sz w:val="18"/>
                <w:szCs w:val="18"/>
                <w:lang w:val="fr-FR"/>
              </w:rPr>
              <w:t xml:space="preserve">   </w:t>
            </w:r>
            <w:r w:rsidRPr="00180DCC">
              <w:rPr>
                <w:rFonts w:ascii="Symbol" w:hAnsi="Symbol"/>
                <w:sz w:val="18"/>
                <w:szCs w:val="18"/>
                <w:lang w:val="fr-FR"/>
              </w:rPr>
              <w:t></w:t>
            </w:r>
            <w:r w:rsidRPr="00180DCC">
              <w:rPr>
                <w:sz w:val="18"/>
                <w:szCs w:val="18"/>
                <w:lang w:val="fr-FR"/>
              </w:rPr>
              <w:t xml:space="preserve">  2  (calculée)</w:t>
            </w:r>
            <w:r w:rsidRPr="00180DCC">
              <w:rPr>
                <w:sz w:val="18"/>
                <w:szCs w:val="18"/>
                <w:lang w:val="fr-FR"/>
              </w:rPr>
              <w:br/>
            </w:r>
            <w:r w:rsidRPr="00180DCC">
              <w:rPr>
                <w:i/>
                <w:sz w:val="18"/>
                <w:szCs w:val="18"/>
                <w:lang w:val="fr-FR"/>
              </w:rPr>
              <w:t>D</w:t>
            </w:r>
            <w:r w:rsidRPr="00180DCC">
              <w:rPr>
                <w:sz w:val="18"/>
                <w:szCs w:val="18"/>
                <w:lang w:val="fr-FR"/>
              </w:rPr>
              <w:t xml:space="preserve">  </w:t>
            </w:r>
            <w:r w:rsidRPr="00180DCC">
              <w:rPr>
                <w:rFonts w:ascii="Symbol" w:hAnsi="Symbol"/>
                <w:sz w:val="18"/>
                <w:szCs w:val="18"/>
                <w:lang w:val="fr-FR"/>
              </w:rPr>
              <w:t></w:t>
            </w:r>
            <w:r w:rsidRPr="00180DCC">
              <w:rPr>
                <w:sz w:val="18"/>
                <w:szCs w:val="18"/>
                <w:lang w:val="fr-FR"/>
              </w:rPr>
              <w:t xml:space="preserve">  0,35 </w:t>
            </w:r>
            <w:r w:rsidRPr="00180DCC">
              <w:rPr>
                <w:i/>
                <w:sz w:val="18"/>
                <w:szCs w:val="18"/>
                <w:lang w:val="fr-FR"/>
              </w:rPr>
              <w:t>R</w:t>
            </w:r>
          </w:p>
        </w:tc>
        <w:tc>
          <w:tcPr>
            <w:tcW w:w="2552" w:type="dxa"/>
            <w:vAlign w:val="center"/>
          </w:tcPr>
          <w:p w14:paraId="5EBF4359" w14:textId="1CE11F39" w:rsidR="00AA41BC" w:rsidRPr="00180DCC" w:rsidRDefault="00AA41BC" w:rsidP="00AA41BC">
            <w:pPr>
              <w:pStyle w:val="Tabletext"/>
              <w:jc w:val="center"/>
              <w:rPr>
                <w:sz w:val="18"/>
                <w:szCs w:val="18"/>
                <w:lang w:val="fr-FR"/>
              </w:rPr>
            </w:pPr>
            <w:r w:rsidRPr="00180DCC">
              <w:rPr>
                <w:sz w:val="18"/>
                <w:szCs w:val="18"/>
                <w:lang w:val="fr-FR"/>
              </w:rPr>
              <w:fldChar w:fldCharType="begin"/>
            </w:r>
            <w:r w:rsidRPr="00180DCC">
              <w:rPr>
                <w:sz w:val="18"/>
                <w:szCs w:val="18"/>
                <w:lang w:val="fr-FR"/>
              </w:rPr>
              <w:instrText xml:space="preserve">eq </w:instrText>
            </w:r>
            <w:r w:rsidRPr="00180DCC">
              <w:rPr>
                <w:i/>
                <w:sz w:val="18"/>
                <w:szCs w:val="18"/>
                <w:lang w:val="fr-FR"/>
              </w:rPr>
              <w:instrText>B</w:instrText>
            </w:r>
            <w:r w:rsidRPr="00180DCC">
              <w:rPr>
                <w:i/>
                <w:position w:val="-3"/>
                <w:sz w:val="18"/>
                <w:szCs w:val="18"/>
                <w:lang w:val="fr-FR"/>
              </w:rPr>
              <w:instrText>n</w:instrText>
            </w:r>
            <w:r w:rsidRPr="00180DCC">
              <w:rPr>
                <w:sz w:val="18"/>
                <w:szCs w:val="18"/>
                <w:lang w:val="fr-FR"/>
              </w:rPr>
              <w:instrText xml:space="preserve">  </w:instrText>
            </w:r>
            <w:r w:rsidRPr="00180DCC">
              <w:rPr>
                <w:rFonts w:ascii="Symbol" w:hAnsi="Symbol"/>
                <w:sz w:val="18"/>
                <w:szCs w:val="18"/>
                <w:lang w:val="fr-FR"/>
              </w:rPr>
              <w:instrText>=</w:instrText>
            </w:r>
            <w:r w:rsidRPr="00180DCC">
              <w:rPr>
                <w:sz w:val="18"/>
                <w:szCs w:val="18"/>
                <w:lang w:val="fr-FR"/>
              </w:rPr>
              <w:instrText xml:space="preserve">  \f(</w:instrText>
            </w:r>
            <w:r w:rsidRPr="00180DCC">
              <w:rPr>
                <w:i/>
                <w:sz w:val="18"/>
                <w:szCs w:val="18"/>
                <w:lang w:val="fr-FR"/>
              </w:rPr>
              <w:instrText>R</w:instrText>
            </w:r>
            <w:r w:rsidRPr="00180DCC">
              <w:rPr>
                <w:sz w:val="18"/>
                <w:szCs w:val="18"/>
                <w:lang w:val="fr-FR"/>
              </w:rPr>
              <w:instrText>,log</w:instrText>
            </w:r>
            <w:r w:rsidRPr="00180DCC">
              <w:rPr>
                <w:position w:val="-3"/>
                <w:sz w:val="18"/>
                <w:szCs w:val="18"/>
                <w:lang w:val="fr-FR"/>
              </w:rPr>
              <w:instrText>2</w:instrText>
            </w:r>
            <w:r w:rsidRPr="00180DCC">
              <w:rPr>
                <w:sz w:val="18"/>
                <w:szCs w:val="18"/>
                <w:lang w:val="fr-FR"/>
              </w:rPr>
              <w:instrText xml:space="preserve"> </w:instrText>
            </w:r>
            <w:r w:rsidRPr="00180DCC">
              <w:rPr>
                <w:i/>
                <w:sz w:val="18"/>
                <w:szCs w:val="18"/>
                <w:lang w:val="fr-FR"/>
              </w:rPr>
              <w:instrText>S</w:instrText>
            </w:r>
            <w:r w:rsidRPr="00180DCC">
              <w:rPr>
                <w:sz w:val="18"/>
                <w:szCs w:val="18"/>
                <w:lang w:val="fr-FR"/>
              </w:rPr>
              <w:instrText xml:space="preserve">)  </w:instrText>
            </w:r>
            <w:r w:rsidRPr="00180DCC">
              <w:rPr>
                <w:rFonts w:ascii="Symbol" w:hAnsi="Symbol"/>
                <w:sz w:val="18"/>
                <w:szCs w:val="18"/>
                <w:lang w:val="fr-FR"/>
              </w:rPr>
              <w:instrText>+</w:instrText>
            </w:r>
            <w:r w:rsidRPr="00180DCC">
              <w:rPr>
                <w:sz w:val="18"/>
                <w:szCs w:val="18"/>
                <w:lang w:val="fr-FR"/>
              </w:rPr>
              <w:instrText xml:space="preserve">  2 </w:instrText>
            </w:r>
            <w:r w:rsidRPr="00180DCC">
              <w:rPr>
                <w:i/>
                <w:sz w:val="18"/>
                <w:szCs w:val="18"/>
                <w:lang w:val="fr-FR"/>
              </w:rPr>
              <w:instrText>DK</w:instrText>
            </w:r>
            <w:r w:rsidRPr="00180DCC">
              <w:rPr>
                <w:sz w:val="18"/>
                <w:szCs w:val="18"/>
                <w:lang w:val="fr-FR"/>
              </w:rPr>
              <w:fldChar w:fldCharType="end"/>
            </w:r>
          </w:p>
        </w:tc>
        <w:tc>
          <w:tcPr>
            <w:tcW w:w="1871" w:type="dxa"/>
            <w:vAlign w:val="center"/>
          </w:tcPr>
          <w:p w14:paraId="6A879ABA" w14:textId="70AF9F65" w:rsidR="00AA41BC" w:rsidRPr="00180DCC" w:rsidRDefault="00AA41BC" w:rsidP="00AA41BC">
            <w:pPr>
              <w:pStyle w:val="Tabletext"/>
              <w:jc w:val="center"/>
              <w:rPr>
                <w:sz w:val="18"/>
                <w:szCs w:val="18"/>
                <w:lang w:val="fr-FR"/>
              </w:rPr>
            </w:pPr>
            <w:r w:rsidRPr="00180DCC">
              <w:rPr>
                <w:sz w:val="18"/>
                <w:szCs w:val="18"/>
                <w:lang w:val="fr-FR"/>
              </w:rPr>
              <w:t>0,89</w:t>
            </w:r>
          </w:p>
        </w:tc>
        <w:tc>
          <w:tcPr>
            <w:tcW w:w="1871" w:type="dxa"/>
            <w:tcBorders>
              <w:bottom w:val="single" w:sz="6" w:space="0" w:color="auto"/>
              <w:right w:val="single" w:sz="6" w:space="0" w:color="auto"/>
            </w:tcBorders>
            <w:vAlign w:val="center"/>
          </w:tcPr>
          <w:p w14:paraId="6F47C9E7" w14:textId="1C0C942F" w:rsidR="00AA41BC" w:rsidRPr="00180DCC" w:rsidRDefault="00AA41BC" w:rsidP="00AA41BC">
            <w:pPr>
              <w:pStyle w:val="Tabletext"/>
              <w:jc w:val="center"/>
              <w:rPr>
                <w:sz w:val="18"/>
                <w:szCs w:val="18"/>
                <w:lang w:val="fr-FR"/>
              </w:rPr>
            </w:pPr>
            <w:r w:rsidRPr="00180DCC">
              <w:rPr>
                <w:sz w:val="18"/>
                <w:szCs w:val="18"/>
                <w:lang w:val="fr-FR"/>
              </w:rPr>
              <w:t>99</w:t>
            </w:r>
          </w:p>
        </w:tc>
      </w:tr>
      <w:tr w:rsidR="00AA41BC" w:rsidRPr="00180DCC" w14:paraId="33464B9B" w14:textId="77777777" w:rsidTr="00AA41BC">
        <w:trPr>
          <w:jc w:val="center"/>
        </w:trPr>
        <w:tc>
          <w:tcPr>
            <w:tcW w:w="3119" w:type="dxa"/>
            <w:tcBorders>
              <w:left w:val="single" w:sz="6" w:space="0" w:color="auto"/>
              <w:bottom w:val="nil"/>
            </w:tcBorders>
          </w:tcPr>
          <w:p w14:paraId="60F000E3" w14:textId="77777777" w:rsidR="00AA41BC" w:rsidRPr="00180DCC" w:rsidRDefault="00AA41BC" w:rsidP="00AA41BC">
            <w:pPr>
              <w:pStyle w:val="Tabletext"/>
              <w:jc w:val="left"/>
              <w:rPr>
                <w:sz w:val="18"/>
                <w:szCs w:val="18"/>
                <w:lang w:val="fr-FR"/>
              </w:rPr>
            </w:pPr>
            <w:r w:rsidRPr="00180DCC">
              <w:rPr>
                <w:sz w:val="18"/>
                <w:szCs w:val="18"/>
                <w:lang w:val="fr-FR"/>
              </w:rPr>
              <w:t>MAQ-</w:t>
            </w:r>
            <w:r w:rsidRPr="00180DCC">
              <w:rPr>
                <w:i/>
                <w:sz w:val="18"/>
                <w:szCs w:val="18"/>
                <w:lang w:val="fr-FR"/>
              </w:rPr>
              <w:t>m</w:t>
            </w:r>
            <w:r w:rsidRPr="00180DCC">
              <w:rPr>
                <w:sz w:val="18"/>
                <w:szCs w:val="18"/>
                <w:lang w:val="fr-FR"/>
              </w:rPr>
              <w:br/>
              <w:t>Hyperfréquence à modulation numérique</w:t>
            </w:r>
            <w:r w:rsidRPr="00180DCC">
              <w:rPr>
                <w:sz w:val="18"/>
                <w:szCs w:val="18"/>
                <w:lang w:val="fr-FR"/>
              </w:rPr>
              <w:br/>
            </w:r>
            <w:r w:rsidRPr="00180DCC">
              <w:rPr>
                <w:i/>
                <w:sz w:val="18"/>
                <w:szCs w:val="18"/>
                <w:lang w:val="fr-FR"/>
              </w:rPr>
              <w:t>S</w:t>
            </w:r>
            <w:r w:rsidRPr="00180DCC">
              <w:rPr>
                <w:sz w:val="18"/>
                <w:szCs w:val="18"/>
                <w:lang w:val="fr-FR"/>
              </w:rPr>
              <w:t xml:space="preserve">   </w:t>
            </w:r>
            <w:r w:rsidRPr="00180DCC">
              <w:rPr>
                <w:rFonts w:ascii="Symbol" w:hAnsi="Symbol"/>
                <w:sz w:val="18"/>
                <w:szCs w:val="18"/>
                <w:lang w:val="fr-FR"/>
              </w:rPr>
              <w:t></w:t>
            </w:r>
            <w:r w:rsidRPr="00180DCC">
              <w:rPr>
                <w:sz w:val="18"/>
                <w:szCs w:val="18"/>
                <w:lang w:val="fr-FR"/>
              </w:rPr>
              <w:t xml:space="preserve">  2</w:t>
            </w:r>
            <w:r w:rsidRPr="00180DCC">
              <w:rPr>
                <w:i/>
                <w:position w:val="6"/>
                <w:sz w:val="18"/>
                <w:szCs w:val="18"/>
                <w:lang w:val="fr-FR"/>
              </w:rPr>
              <w:t>n</w:t>
            </w:r>
            <w:r w:rsidRPr="00180DCC">
              <w:rPr>
                <w:sz w:val="18"/>
                <w:szCs w:val="18"/>
                <w:lang w:val="fr-FR"/>
              </w:rPr>
              <w:t xml:space="preserve">  (</w:t>
            </w:r>
            <w:r w:rsidRPr="00180DCC">
              <w:rPr>
                <w:i/>
                <w:sz w:val="18"/>
                <w:szCs w:val="18"/>
                <w:lang w:val="fr-FR"/>
              </w:rPr>
              <w:t>n</w:t>
            </w:r>
            <w:r w:rsidRPr="00180DCC">
              <w:rPr>
                <w:sz w:val="18"/>
                <w:szCs w:val="18"/>
                <w:lang w:val="fr-FR"/>
              </w:rPr>
              <w:t xml:space="preserve"> </w:t>
            </w:r>
            <w:r w:rsidRPr="00180DCC">
              <w:rPr>
                <w:rFonts w:ascii="Symbol" w:hAnsi="Symbol"/>
                <w:sz w:val="18"/>
                <w:szCs w:val="18"/>
                <w:lang w:val="fr-FR"/>
              </w:rPr>
              <w:t></w:t>
            </w:r>
            <w:r w:rsidRPr="00180DCC">
              <w:rPr>
                <w:sz w:val="18"/>
                <w:szCs w:val="18"/>
                <w:lang w:val="fr-FR"/>
              </w:rPr>
              <w:t xml:space="preserve"> 2)</w:t>
            </w:r>
            <w:r w:rsidRPr="00180DCC">
              <w:rPr>
                <w:sz w:val="18"/>
                <w:szCs w:val="18"/>
                <w:lang w:val="fr-FR"/>
              </w:rPr>
              <w:br/>
              <w:t>Pente: 0 à 1</w:t>
            </w:r>
            <w:r w:rsidRPr="00180DCC">
              <w:rPr>
                <w:sz w:val="18"/>
                <w:szCs w:val="18"/>
                <w:lang w:val="fr-FR"/>
              </w:rPr>
              <w:br/>
              <w:t>Ventilation à 50% entre émission et réception avec filtrage optimal (calculé)</w:t>
            </w:r>
            <w:r w:rsidRPr="00180DCC">
              <w:rPr>
                <w:position w:val="6"/>
                <w:sz w:val="18"/>
                <w:szCs w:val="18"/>
                <w:lang w:val="fr-FR"/>
              </w:rPr>
              <w:t>(4),</w:t>
            </w:r>
            <w:r w:rsidRPr="00180DCC">
              <w:rPr>
                <w:sz w:val="18"/>
                <w:szCs w:val="18"/>
                <w:lang w:val="fr-FR"/>
              </w:rPr>
              <w:t xml:space="preserve"> </w:t>
            </w:r>
            <w:r w:rsidRPr="00180DCC">
              <w:rPr>
                <w:position w:val="6"/>
                <w:sz w:val="18"/>
                <w:szCs w:val="18"/>
                <w:lang w:val="fr-FR"/>
              </w:rPr>
              <w:t>(5)</w:t>
            </w:r>
          </w:p>
        </w:tc>
        <w:tc>
          <w:tcPr>
            <w:tcW w:w="2552" w:type="dxa"/>
            <w:vAlign w:val="center"/>
          </w:tcPr>
          <w:p w14:paraId="725EFF0B" w14:textId="77777777" w:rsidR="00AA41BC" w:rsidRPr="00180DCC" w:rsidRDefault="00AA41BC" w:rsidP="00AA41BC">
            <w:pPr>
              <w:pStyle w:val="Tabletext"/>
              <w:jc w:val="center"/>
              <w:rPr>
                <w:sz w:val="18"/>
                <w:szCs w:val="18"/>
                <w:lang w:val="fr-FR"/>
              </w:rPr>
            </w:pPr>
            <w:r w:rsidRPr="00180DCC">
              <w:rPr>
                <w:sz w:val="18"/>
                <w:szCs w:val="18"/>
                <w:lang w:val="fr-FR"/>
              </w:rPr>
              <w:fldChar w:fldCharType="begin"/>
            </w:r>
            <w:r w:rsidRPr="00180DCC">
              <w:rPr>
                <w:sz w:val="18"/>
                <w:szCs w:val="18"/>
                <w:lang w:val="fr-FR"/>
              </w:rPr>
              <w:instrText xml:space="preserve">eq </w:instrText>
            </w:r>
            <w:r w:rsidRPr="00180DCC">
              <w:rPr>
                <w:i/>
                <w:sz w:val="18"/>
                <w:szCs w:val="18"/>
                <w:lang w:val="fr-FR"/>
              </w:rPr>
              <w:instrText>B</w:instrText>
            </w:r>
            <w:r w:rsidRPr="00180DCC">
              <w:rPr>
                <w:i/>
                <w:position w:val="-3"/>
                <w:sz w:val="18"/>
                <w:szCs w:val="18"/>
                <w:lang w:val="fr-FR"/>
              </w:rPr>
              <w:instrText>n</w:instrText>
            </w:r>
            <w:r w:rsidRPr="00180DCC">
              <w:rPr>
                <w:sz w:val="18"/>
                <w:szCs w:val="18"/>
                <w:lang w:val="fr-FR"/>
              </w:rPr>
              <w:instrText xml:space="preserve">  </w:instrText>
            </w:r>
            <w:r w:rsidRPr="00180DCC">
              <w:rPr>
                <w:rFonts w:ascii="Symbol" w:hAnsi="Symbol"/>
                <w:sz w:val="18"/>
                <w:szCs w:val="18"/>
                <w:lang w:val="fr-FR"/>
              </w:rPr>
              <w:instrText>=</w:instrText>
            </w:r>
            <w:r w:rsidRPr="00180DCC">
              <w:rPr>
                <w:sz w:val="18"/>
                <w:szCs w:val="18"/>
                <w:lang w:val="fr-FR"/>
              </w:rPr>
              <w:instrText xml:space="preserve">  \f(2 </w:instrText>
            </w:r>
            <w:r w:rsidRPr="00180DCC">
              <w:rPr>
                <w:i/>
                <w:sz w:val="18"/>
                <w:szCs w:val="18"/>
                <w:lang w:val="fr-FR"/>
              </w:rPr>
              <w:instrText>RK</w:instrText>
            </w:r>
            <w:r w:rsidRPr="00180DCC">
              <w:rPr>
                <w:sz w:val="18"/>
                <w:szCs w:val="18"/>
                <w:lang w:val="fr-FR"/>
              </w:rPr>
              <w:instrText>,log</w:instrText>
            </w:r>
            <w:r w:rsidRPr="00180DCC">
              <w:rPr>
                <w:position w:val="-3"/>
                <w:sz w:val="18"/>
                <w:szCs w:val="18"/>
                <w:lang w:val="fr-FR"/>
              </w:rPr>
              <w:instrText>2</w:instrText>
            </w:r>
            <w:r w:rsidRPr="00180DCC">
              <w:rPr>
                <w:sz w:val="18"/>
                <w:szCs w:val="18"/>
                <w:lang w:val="fr-FR"/>
              </w:rPr>
              <w:instrText xml:space="preserve"> </w:instrText>
            </w:r>
            <w:r w:rsidRPr="00180DCC">
              <w:rPr>
                <w:i/>
                <w:sz w:val="18"/>
                <w:szCs w:val="18"/>
                <w:lang w:val="fr-FR"/>
              </w:rPr>
              <w:instrText>S</w:instrText>
            </w:r>
            <w:r w:rsidRPr="00180DCC">
              <w:rPr>
                <w:sz w:val="18"/>
                <w:szCs w:val="18"/>
                <w:lang w:val="fr-FR"/>
              </w:rPr>
              <w:instrText>)</w:instrText>
            </w:r>
            <w:r w:rsidRPr="00180DCC">
              <w:rPr>
                <w:sz w:val="18"/>
                <w:szCs w:val="18"/>
                <w:lang w:val="fr-FR"/>
              </w:rPr>
              <w:fldChar w:fldCharType="end"/>
            </w:r>
          </w:p>
        </w:tc>
        <w:tc>
          <w:tcPr>
            <w:tcW w:w="1871" w:type="dxa"/>
            <w:vAlign w:val="center"/>
          </w:tcPr>
          <w:p w14:paraId="416B4F7E" w14:textId="77777777" w:rsidR="00AA41BC" w:rsidRPr="00180DCC" w:rsidRDefault="00AA41BC" w:rsidP="00AA41BC">
            <w:pPr>
              <w:pStyle w:val="Tabletext"/>
              <w:jc w:val="center"/>
              <w:rPr>
                <w:sz w:val="18"/>
                <w:szCs w:val="18"/>
                <w:lang w:val="fr-FR"/>
              </w:rPr>
            </w:pPr>
            <w:r w:rsidRPr="00180DCC">
              <w:rPr>
                <w:sz w:val="18"/>
                <w:szCs w:val="18"/>
                <w:lang w:val="fr-FR"/>
              </w:rPr>
              <w:t>Voir la Fig. 1</w:t>
            </w:r>
          </w:p>
        </w:tc>
        <w:tc>
          <w:tcPr>
            <w:tcW w:w="1871" w:type="dxa"/>
            <w:tcBorders>
              <w:bottom w:val="nil"/>
              <w:right w:val="single" w:sz="6" w:space="0" w:color="auto"/>
            </w:tcBorders>
            <w:vAlign w:val="center"/>
          </w:tcPr>
          <w:p w14:paraId="4CD57069" w14:textId="77777777" w:rsidR="00AA41BC" w:rsidRPr="00180DCC" w:rsidRDefault="00AA41BC" w:rsidP="00AA41BC">
            <w:pPr>
              <w:pStyle w:val="Tabletext"/>
              <w:jc w:val="center"/>
              <w:rPr>
                <w:sz w:val="18"/>
                <w:szCs w:val="18"/>
                <w:lang w:val="fr-FR"/>
              </w:rPr>
            </w:pPr>
            <w:r w:rsidRPr="00180DCC">
              <w:rPr>
                <w:sz w:val="18"/>
                <w:szCs w:val="18"/>
                <w:lang w:val="fr-FR"/>
              </w:rPr>
              <w:t>Voir la Fig. 1</w:t>
            </w:r>
          </w:p>
        </w:tc>
      </w:tr>
      <w:tr w:rsidR="00AA41BC" w:rsidRPr="00802534" w14:paraId="795F959B" w14:textId="77777777" w:rsidTr="00AA41BC">
        <w:trPr>
          <w:jc w:val="center"/>
        </w:trPr>
        <w:tc>
          <w:tcPr>
            <w:tcW w:w="9413" w:type="dxa"/>
            <w:gridSpan w:val="4"/>
            <w:tcBorders>
              <w:bottom w:val="nil"/>
            </w:tcBorders>
          </w:tcPr>
          <w:p w14:paraId="6B519188" w14:textId="4F3DC4E3" w:rsidR="00AA41BC" w:rsidRPr="00180DCC" w:rsidRDefault="00AA41BC" w:rsidP="00AA41BC">
            <w:pPr>
              <w:pStyle w:val="Tablelegend"/>
              <w:rPr>
                <w:sz w:val="18"/>
                <w:szCs w:val="18"/>
                <w:lang w:val="fr-FR"/>
              </w:rPr>
            </w:pPr>
            <w:r w:rsidRPr="00180DCC">
              <w:rPr>
                <w:sz w:val="18"/>
                <w:szCs w:val="18"/>
                <w:lang w:val="fr-FR"/>
              </w:rPr>
              <w:t>MAQ:</w:t>
            </w:r>
            <w:r w:rsidRPr="00180DCC">
              <w:rPr>
                <w:sz w:val="18"/>
                <w:szCs w:val="18"/>
                <w:lang w:val="fr-FR"/>
              </w:rPr>
              <w:tab/>
              <w:t>modulation d</w:t>
            </w:r>
            <w:r w:rsidR="00C73875" w:rsidRPr="00180DCC">
              <w:rPr>
                <w:sz w:val="18"/>
                <w:szCs w:val="18"/>
                <w:lang w:val="fr-FR"/>
              </w:rPr>
              <w:t>'</w:t>
            </w:r>
            <w:r w:rsidRPr="00180DCC">
              <w:rPr>
                <w:sz w:val="18"/>
                <w:szCs w:val="18"/>
                <w:lang w:val="fr-FR"/>
              </w:rPr>
              <w:t>amplitude en quadrature</w:t>
            </w:r>
          </w:p>
          <w:p w14:paraId="3348F8BB" w14:textId="77777777" w:rsidR="00AA41BC" w:rsidRPr="00180DCC" w:rsidRDefault="00AA41BC" w:rsidP="00AA41BC">
            <w:pPr>
              <w:pStyle w:val="Tablelegend"/>
              <w:rPr>
                <w:sz w:val="18"/>
                <w:szCs w:val="18"/>
                <w:lang w:val="fr-FR"/>
              </w:rPr>
            </w:pPr>
            <w:r w:rsidRPr="00180DCC">
              <w:rPr>
                <w:sz w:val="18"/>
                <w:szCs w:val="18"/>
                <w:lang w:val="fr-FR"/>
              </w:rPr>
              <w:t>MDF:</w:t>
            </w:r>
            <w:r w:rsidRPr="00180DCC">
              <w:rPr>
                <w:sz w:val="18"/>
                <w:szCs w:val="18"/>
                <w:lang w:val="fr-FR"/>
              </w:rPr>
              <w:tab/>
              <w:t>modulation par déplacement de fréquence</w:t>
            </w:r>
          </w:p>
          <w:p w14:paraId="117AEE2F" w14:textId="77777777" w:rsidR="00AA41BC" w:rsidRPr="00180DCC" w:rsidRDefault="00AA41BC" w:rsidP="00AA41BC">
            <w:pPr>
              <w:pStyle w:val="Tablelegend"/>
              <w:rPr>
                <w:sz w:val="18"/>
                <w:szCs w:val="18"/>
                <w:lang w:val="fr-FR"/>
              </w:rPr>
            </w:pPr>
            <w:r w:rsidRPr="00180DCC">
              <w:rPr>
                <w:sz w:val="18"/>
                <w:szCs w:val="18"/>
                <w:lang w:val="fr-FR"/>
              </w:rPr>
              <w:t>MDM:</w:t>
            </w:r>
            <w:r w:rsidRPr="00180DCC">
              <w:rPr>
                <w:sz w:val="18"/>
                <w:szCs w:val="18"/>
                <w:lang w:val="fr-FR"/>
              </w:rPr>
              <w:tab/>
              <w:t>modulation par déplacement minimal</w:t>
            </w:r>
          </w:p>
          <w:p w14:paraId="34104928" w14:textId="77777777" w:rsidR="00AA41BC" w:rsidRPr="00180DCC" w:rsidRDefault="00AA41BC" w:rsidP="00AA41BC">
            <w:pPr>
              <w:pStyle w:val="Tablelegend"/>
              <w:rPr>
                <w:sz w:val="18"/>
                <w:szCs w:val="18"/>
                <w:lang w:val="fr-FR"/>
              </w:rPr>
            </w:pPr>
            <w:r w:rsidRPr="00180DCC">
              <w:rPr>
                <w:sz w:val="18"/>
                <w:szCs w:val="18"/>
                <w:lang w:val="fr-FR"/>
              </w:rPr>
              <w:t>MDP:</w:t>
            </w:r>
            <w:r w:rsidRPr="00180DCC">
              <w:rPr>
                <w:sz w:val="18"/>
                <w:szCs w:val="18"/>
                <w:lang w:val="fr-FR"/>
              </w:rPr>
              <w:tab/>
              <w:t>modulation par déplacement de phase</w:t>
            </w:r>
          </w:p>
          <w:p w14:paraId="6FD35354" w14:textId="7C93D406" w:rsidR="00AA41BC" w:rsidRPr="00180DCC" w:rsidRDefault="00AA41BC" w:rsidP="00AA41BC">
            <w:pPr>
              <w:pStyle w:val="Tablelegend"/>
              <w:rPr>
                <w:sz w:val="18"/>
                <w:szCs w:val="18"/>
                <w:lang w:val="fr-FR"/>
              </w:rPr>
            </w:pPr>
            <w:r w:rsidRPr="00180DCC">
              <w:rPr>
                <w:sz w:val="18"/>
                <w:szCs w:val="18"/>
                <w:lang w:val="fr-FR"/>
              </w:rPr>
              <w:t>TEB:</w:t>
            </w:r>
            <w:r w:rsidRPr="00180DCC">
              <w:rPr>
                <w:sz w:val="18"/>
                <w:szCs w:val="18"/>
                <w:lang w:val="fr-FR"/>
              </w:rPr>
              <w:tab/>
              <w:t>taux d</w:t>
            </w:r>
            <w:r w:rsidR="00C73875" w:rsidRPr="00180DCC">
              <w:rPr>
                <w:sz w:val="18"/>
                <w:szCs w:val="18"/>
                <w:lang w:val="fr-FR"/>
              </w:rPr>
              <w:t>'</w:t>
            </w:r>
            <w:r w:rsidRPr="00180DCC">
              <w:rPr>
                <w:sz w:val="18"/>
                <w:szCs w:val="18"/>
                <w:lang w:val="fr-FR"/>
              </w:rPr>
              <w:t>erreur binaire.</w:t>
            </w:r>
          </w:p>
          <w:p w14:paraId="1930A884" w14:textId="113B3E6D" w:rsidR="00AA41BC" w:rsidRPr="00180DCC" w:rsidRDefault="00AA41BC" w:rsidP="00AA41BC">
            <w:pPr>
              <w:pStyle w:val="Tablelegend"/>
              <w:rPr>
                <w:sz w:val="18"/>
                <w:szCs w:val="18"/>
                <w:lang w:val="fr-FR"/>
              </w:rPr>
            </w:pPr>
            <w:r w:rsidRPr="00180DCC">
              <w:rPr>
                <w:position w:val="6"/>
                <w:sz w:val="14"/>
                <w:lang w:val="fr-FR"/>
              </w:rPr>
              <w:t>(1)</w:t>
            </w:r>
            <w:r w:rsidRPr="00180DCC">
              <w:rPr>
                <w:sz w:val="18"/>
                <w:szCs w:val="18"/>
                <w:lang w:val="fr-FR"/>
              </w:rPr>
              <w:tab/>
              <w:t xml:space="preserve">Il est prévu, dans la Recommandation </w:t>
            </w:r>
            <w:hyperlink r:id="rId16" w:history="1">
              <w:r w:rsidRPr="00180DCC">
                <w:rPr>
                  <w:rStyle w:val="Hyperlink"/>
                  <w:color w:val="auto"/>
                  <w:sz w:val="18"/>
                  <w:szCs w:val="18"/>
                  <w:u w:val="none"/>
                  <w:lang w:val="fr-FR"/>
                </w:rPr>
                <w:t>UIT-R F.1191</w:t>
              </w:r>
            </w:hyperlink>
            <w:r w:rsidRPr="00180DCC">
              <w:rPr>
                <w:sz w:val="18"/>
                <w:szCs w:val="18"/>
                <w:lang w:val="fr-FR"/>
              </w:rPr>
              <w:t>, que pour le service fixe à modulation numérique, la largeur de bande nécessaire soit définie pour un pourcentage de concentration de la puissance égal à 99%.</w:t>
            </w:r>
          </w:p>
          <w:p w14:paraId="7ABD921D" w14:textId="045088EC" w:rsidR="00AA41BC" w:rsidRPr="00180DCC" w:rsidRDefault="00AA41BC" w:rsidP="00AA41BC">
            <w:pPr>
              <w:pStyle w:val="Tablelegend"/>
              <w:rPr>
                <w:sz w:val="18"/>
                <w:szCs w:val="18"/>
                <w:lang w:val="fr-FR"/>
              </w:rPr>
            </w:pPr>
            <w:r w:rsidRPr="00180DCC">
              <w:rPr>
                <w:position w:val="6"/>
                <w:sz w:val="14"/>
                <w:lang w:val="fr-FR"/>
              </w:rPr>
              <w:t>(2)</w:t>
            </w:r>
            <w:r w:rsidRPr="00180DCC">
              <w:rPr>
                <w:sz w:val="18"/>
                <w:szCs w:val="18"/>
                <w:lang w:val="fr-FR"/>
              </w:rPr>
              <w:tab/>
              <w:t xml:space="preserve">Dans ce cas </w:t>
            </w:r>
            <w:bookmarkStart w:id="0" w:name="_Hlk190422251"/>
            <w:r w:rsidR="000E0670" w:rsidRPr="00180DCC">
              <w:rPr>
                <w:i/>
                <w:iCs/>
                <w:sz w:val="18"/>
                <w:szCs w:val="18"/>
                <w:lang w:val="fr-FR"/>
              </w:rPr>
              <w:t>E</w:t>
            </w:r>
            <w:r w:rsidR="000E0670" w:rsidRPr="00180DCC">
              <w:rPr>
                <w:i/>
                <w:iCs/>
                <w:sz w:val="18"/>
                <w:szCs w:val="18"/>
                <w:vertAlign w:val="subscript"/>
                <w:lang w:val="fr-FR"/>
              </w:rPr>
              <w:t>b</w:t>
            </w:r>
            <w:r w:rsidR="000E0670" w:rsidRPr="00180DCC">
              <w:rPr>
                <w:i/>
                <w:iCs/>
                <w:sz w:val="18"/>
                <w:szCs w:val="18"/>
                <w:lang w:val="fr-FR"/>
              </w:rPr>
              <w:t>/N</w:t>
            </w:r>
            <w:r w:rsidR="000E0670" w:rsidRPr="00802534">
              <w:rPr>
                <w:sz w:val="18"/>
                <w:szCs w:val="18"/>
                <w:vertAlign w:val="subscript"/>
                <w:lang w:val="fr-FR"/>
              </w:rPr>
              <w:t>0</w:t>
            </w:r>
            <w:r w:rsidRPr="00180DCC">
              <w:rPr>
                <w:sz w:val="18"/>
                <w:szCs w:val="18"/>
                <w:lang w:val="fr-FR"/>
              </w:rPr>
              <w:t xml:space="preserve"> </w:t>
            </w:r>
            <w:bookmarkEnd w:id="0"/>
            <w:r w:rsidRPr="00180DCC">
              <w:rPr>
                <w:rFonts w:ascii="Symbol" w:hAnsi="Symbol"/>
                <w:sz w:val="18"/>
                <w:szCs w:val="18"/>
                <w:lang w:val="fr-FR"/>
              </w:rPr>
              <w:t xml:space="preserve"> </w:t>
            </w:r>
            <w:r w:rsidRPr="00180DCC">
              <w:rPr>
                <w:rFonts w:ascii="Symbol" w:hAnsi="Symbol"/>
                <w:sz w:val="18"/>
                <w:szCs w:val="18"/>
                <w:lang w:val="fr-FR"/>
              </w:rPr>
              <w:t></w:t>
            </w:r>
            <w:r w:rsidRPr="00180DCC">
              <w:rPr>
                <w:sz w:val="18"/>
                <w:szCs w:val="18"/>
                <w:lang w:val="fr-FR"/>
              </w:rPr>
              <w:t xml:space="preserve">  7,5 dB.</w:t>
            </w:r>
          </w:p>
          <w:p w14:paraId="559B4B49" w14:textId="00E4F1EC" w:rsidR="00AA41BC" w:rsidRPr="00180DCC" w:rsidRDefault="00AA41BC" w:rsidP="00AA41BC">
            <w:pPr>
              <w:pStyle w:val="Tablelegend"/>
              <w:rPr>
                <w:sz w:val="18"/>
                <w:szCs w:val="18"/>
                <w:lang w:val="fr-FR"/>
              </w:rPr>
            </w:pPr>
            <w:r w:rsidRPr="00180DCC">
              <w:rPr>
                <w:position w:val="6"/>
                <w:sz w:val="14"/>
                <w:lang w:val="fr-FR"/>
              </w:rPr>
              <w:t>(3)</w:t>
            </w:r>
            <w:r w:rsidRPr="00180DCC">
              <w:rPr>
                <w:sz w:val="18"/>
                <w:szCs w:val="18"/>
                <w:lang w:val="fr-FR"/>
              </w:rPr>
              <w:tab/>
              <w:t xml:space="preserve">Dans ce cas </w:t>
            </w:r>
            <w:r w:rsidRPr="00180DCC">
              <w:rPr>
                <w:i/>
                <w:iCs/>
                <w:sz w:val="18"/>
                <w:szCs w:val="18"/>
                <w:lang w:val="fr-FR"/>
              </w:rPr>
              <w:t>E</w:t>
            </w:r>
            <w:r w:rsidRPr="00802534">
              <w:rPr>
                <w:i/>
                <w:iCs/>
                <w:sz w:val="18"/>
                <w:szCs w:val="18"/>
                <w:vertAlign w:val="subscript"/>
                <w:lang w:val="fr-FR"/>
              </w:rPr>
              <w:t>b</w:t>
            </w:r>
            <w:r w:rsidRPr="00180DCC">
              <w:rPr>
                <w:i/>
                <w:iCs/>
                <w:sz w:val="18"/>
                <w:szCs w:val="18"/>
                <w:lang w:val="fr-FR"/>
              </w:rPr>
              <w:t>/N</w:t>
            </w:r>
            <w:r w:rsidRPr="00802534">
              <w:rPr>
                <w:sz w:val="18"/>
                <w:szCs w:val="18"/>
                <w:vertAlign w:val="subscript"/>
                <w:lang w:val="fr-FR"/>
              </w:rPr>
              <w:t>0</w:t>
            </w:r>
            <w:r w:rsidRPr="00180DCC">
              <w:rPr>
                <w:sz w:val="18"/>
                <w:szCs w:val="18"/>
                <w:lang w:val="fr-FR"/>
              </w:rPr>
              <w:t xml:space="preserve"> </w:t>
            </w:r>
            <w:r w:rsidRPr="00180DCC">
              <w:rPr>
                <w:rFonts w:ascii="Symbol" w:hAnsi="Symbol"/>
                <w:sz w:val="18"/>
                <w:szCs w:val="18"/>
                <w:lang w:val="fr-FR"/>
              </w:rPr>
              <w:t xml:space="preserve"> </w:t>
            </w:r>
            <w:r w:rsidRPr="00180DCC">
              <w:rPr>
                <w:rFonts w:ascii="Symbol" w:hAnsi="Symbol"/>
                <w:sz w:val="18"/>
                <w:szCs w:val="18"/>
                <w:lang w:val="fr-FR"/>
              </w:rPr>
              <w:t xml:space="preserve"> </w:t>
            </w:r>
            <w:r w:rsidRPr="00180DCC">
              <w:rPr>
                <w:sz w:val="18"/>
                <w:szCs w:val="18"/>
                <w:lang w:val="fr-FR"/>
              </w:rPr>
              <w:t xml:space="preserve"> 9,3 dB.</w:t>
            </w:r>
          </w:p>
          <w:p w14:paraId="41A406F6" w14:textId="77777777" w:rsidR="00AA41BC" w:rsidRPr="00180DCC" w:rsidRDefault="00AA41BC" w:rsidP="00AA41BC">
            <w:pPr>
              <w:pStyle w:val="Tablelegend"/>
              <w:rPr>
                <w:sz w:val="18"/>
                <w:szCs w:val="18"/>
                <w:lang w:val="fr-FR"/>
              </w:rPr>
            </w:pPr>
            <w:r w:rsidRPr="00180DCC">
              <w:rPr>
                <w:position w:val="6"/>
                <w:sz w:val="14"/>
                <w:lang w:val="fr-FR"/>
              </w:rPr>
              <w:t>(4)</w:t>
            </w:r>
            <w:r w:rsidRPr="00180DCC">
              <w:rPr>
                <w:sz w:val="18"/>
                <w:szCs w:val="18"/>
                <w:lang w:val="fr-FR"/>
              </w:rPr>
              <w:tab/>
              <w:t xml:space="preserve">Dans la pratique, le filtrage peut produire une légère différence de la valeur de </w:t>
            </w:r>
            <w:r w:rsidRPr="00802534">
              <w:rPr>
                <w:i/>
                <w:iCs/>
                <w:sz w:val="18"/>
                <w:szCs w:val="18"/>
                <w:lang w:val="fr-FR"/>
              </w:rPr>
              <w:t>K</w:t>
            </w:r>
            <w:r w:rsidRPr="00180DCC">
              <w:rPr>
                <w:sz w:val="18"/>
                <w:szCs w:val="18"/>
                <w:lang w:val="fr-FR"/>
              </w:rPr>
              <w:t xml:space="preserve"> en fonction de la relation de concentration calculée.</w:t>
            </w:r>
          </w:p>
          <w:p w14:paraId="4CABE43B" w14:textId="77777777" w:rsidR="00AA41BC" w:rsidRPr="00180DCC" w:rsidRDefault="00AA41BC" w:rsidP="00AA41BC">
            <w:pPr>
              <w:pStyle w:val="Tablelegend"/>
              <w:rPr>
                <w:lang w:val="fr-FR"/>
              </w:rPr>
            </w:pPr>
            <w:r w:rsidRPr="00180DCC">
              <w:rPr>
                <w:position w:val="6"/>
                <w:sz w:val="14"/>
                <w:lang w:val="fr-FR"/>
              </w:rPr>
              <w:t>(5)</w:t>
            </w:r>
            <w:r w:rsidRPr="00180DCC">
              <w:rPr>
                <w:sz w:val="18"/>
                <w:szCs w:val="18"/>
                <w:lang w:val="fr-FR"/>
              </w:rPr>
              <w:tab/>
              <w:t>Les formats MAQ-4 et MAQ-8 coïncident avec les formats MDP-4 et MDP-8 filtrés.</w:t>
            </w:r>
          </w:p>
        </w:tc>
      </w:tr>
    </w:tbl>
    <w:p w14:paraId="6D310564" w14:textId="77777777" w:rsidR="00CB19FB" w:rsidRPr="00180DCC" w:rsidRDefault="00CB19FB" w:rsidP="00CB19FB">
      <w:pPr>
        <w:pStyle w:val="Tablefin"/>
        <w:rPr>
          <w:lang w:val="fr-FR"/>
        </w:rPr>
      </w:pPr>
    </w:p>
    <w:p w14:paraId="62FB43E8" w14:textId="1E138063" w:rsidR="00AA41BC" w:rsidRPr="00180DCC" w:rsidRDefault="00AA41BC" w:rsidP="00AA41BC">
      <w:pPr>
        <w:pStyle w:val="FigureNo"/>
        <w:rPr>
          <w:lang w:val="fr-FR"/>
        </w:rPr>
      </w:pPr>
      <w:r w:rsidRPr="00180DCC">
        <w:rPr>
          <w:lang w:val="fr-FR"/>
        </w:rPr>
        <w:lastRenderedPageBreak/>
        <w:t>FIGURE 1</w:t>
      </w:r>
    </w:p>
    <w:p w14:paraId="5C690AFF" w14:textId="77777777" w:rsidR="00AA41BC" w:rsidRPr="00180DCC" w:rsidRDefault="00AA41BC" w:rsidP="00AA41BC">
      <w:pPr>
        <w:pStyle w:val="Figuretitle"/>
        <w:rPr>
          <w:lang w:val="fr-FR"/>
        </w:rPr>
      </w:pPr>
      <w:r w:rsidRPr="00180DCC">
        <w:rPr>
          <w:lang w:val="fr-FR"/>
        </w:rPr>
        <w:t xml:space="preserve">Valeur de </w:t>
      </w:r>
      <w:r w:rsidRPr="00180DCC">
        <w:rPr>
          <w:i/>
          <w:iCs/>
          <w:lang w:val="fr-FR"/>
        </w:rPr>
        <w:t>K</w:t>
      </w:r>
      <w:r w:rsidRPr="00180DCC">
        <w:rPr>
          <w:lang w:val="fr-FR"/>
        </w:rPr>
        <w:t xml:space="preserve"> en fonction de la pente pour formats de modulation MAQ-</w:t>
      </w:r>
      <w:r w:rsidRPr="00180DCC">
        <w:rPr>
          <w:i/>
          <w:iCs/>
          <w:lang w:val="fr-FR"/>
        </w:rPr>
        <w:t>m</w:t>
      </w:r>
      <w:r w:rsidRPr="00180DCC">
        <w:rPr>
          <w:lang w:val="fr-FR"/>
        </w:rPr>
        <w:br/>
        <w:t>Paramètres: facteur de concentration de puissance</w:t>
      </w:r>
    </w:p>
    <w:p w14:paraId="44D7D22C" w14:textId="340CE5F3" w:rsidR="00AA41BC" w:rsidRPr="00180DCC" w:rsidRDefault="00CB19FB" w:rsidP="00AA41BC">
      <w:pPr>
        <w:pStyle w:val="Figure"/>
        <w:rPr>
          <w:lang w:val="fr-FR"/>
        </w:rPr>
      </w:pPr>
      <w:r w:rsidRPr="00180DCC">
        <w:rPr>
          <w:noProof/>
          <w:lang w:val="fr-FR"/>
        </w:rPr>
        <w:drawing>
          <wp:inline distT="0" distB="0" distL="0" distR="0" wp14:anchorId="1AA73927" wp14:editId="111E2693">
            <wp:extent cx="4267200" cy="4686300"/>
            <wp:effectExtent l="0" t="0" r="0" b="0"/>
            <wp:docPr id="714169517" name="Picture 3" descr="A graph with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169517" name="Picture 3" descr="A graph with lines and numbers&#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67200" cy="4686300"/>
                    </a:xfrm>
                    <a:prstGeom prst="rect">
                      <a:avLst/>
                    </a:prstGeom>
                    <a:noFill/>
                    <a:ln>
                      <a:noFill/>
                    </a:ln>
                  </pic:spPr>
                </pic:pic>
              </a:graphicData>
            </a:graphic>
          </wp:inline>
        </w:drawing>
      </w:r>
    </w:p>
    <w:p w14:paraId="26A6AD4A" w14:textId="5F4BB099" w:rsidR="00AA41BC" w:rsidRPr="00180DCC" w:rsidRDefault="00AA41BC" w:rsidP="00AA41BC">
      <w:pPr>
        <w:rPr>
          <w:lang w:val="fr-FR"/>
        </w:rPr>
      </w:pPr>
    </w:p>
    <w:p w14:paraId="6352B869" w14:textId="7BC1D96A" w:rsidR="00AA41BC" w:rsidRPr="00180DCC" w:rsidRDefault="00AA41BC" w:rsidP="00AA41BC">
      <w:pPr>
        <w:rPr>
          <w:lang w:val="fr-FR"/>
        </w:rPr>
      </w:pPr>
    </w:p>
    <w:p w14:paraId="77798DC0" w14:textId="77777777" w:rsidR="00AA41BC" w:rsidRPr="00180DCC" w:rsidRDefault="00AA41BC" w:rsidP="000C573B">
      <w:pPr>
        <w:pStyle w:val="AnnexNoTitle"/>
        <w:keepNext w:val="0"/>
        <w:keepLines w:val="0"/>
        <w:outlineLvl w:val="0"/>
        <w:rPr>
          <w:lang w:val="fr-FR"/>
        </w:rPr>
      </w:pPr>
      <w:r w:rsidRPr="00180DCC">
        <w:rPr>
          <w:lang w:val="fr-FR"/>
        </w:rPr>
        <w:t>Annexe 1</w:t>
      </w:r>
      <w:r w:rsidRPr="00180DCC">
        <w:rPr>
          <w:lang w:val="fr-FR"/>
        </w:rPr>
        <w:br/>
      </w:r>
      <w:r w:rsidRPr="00180DCC">
        <w:rPr>
          <w:lang w:val="fr-FR"/>
        </w:rPr>
        <w:br/>
        <w:t>Calculs des largeurs de bande nécessaires pour</w:t>
      </w:r>
      <w:r w:rsidRPr="00180DCC">
        <w:rPr>
          <w:lang w:val="fr-FR"/>
        </w:rPr>
        <w:br/>
        <w:t>les émissions multivoies MRF-MF</w:t>
      </w:r>
    </w:p>
    <w:p w14:paraId="0D3FF763" w14:textId="77777777" w:rsidR="00AA41BC" w:rsidRPr="00180DCC" w:rsidRDefault="00AA41BC" w:rsidP="000C573B">
      <w:pPr>
        <w:pStyle w:val="Heading1"/>
        <w:keepNext w:val="0"/>
        <w:keepLines w:val="0"/>
        <w:rPr>
          <w:lang w:val="fr-FR"/>
        </w:rPr>
      </w:pPr>
      <w:r w:rsidRPr="00180DCC">
        <w:rPr>
          <w:lang w:val="fr-FR"/>
        </w:rPr>
        <w:t>1</w:t>
      </w:r>
      <w:r w:rsidRPr="00180DCC">
        <w:rPr>
          <w:lang w:val="fr-FR"/>
        </w:rPr>
        <w:tab/>
        <w:t>Émissions multivoies MRF-MF</w:t>
      </w:r>
    </w:p>
    <w:p w14:paraId="6A025586" w14:textId="3B13CF71" w:rsidR="00AA41BC" w:rsidRPr="00180DCC" w:rsidRDefault="00AA41BC" w:rsidP="000C573B">
      <w:pPr>
        <w:rPr>
          <w:lang w:val="fr-FR"/>
        </w:rPr>
      </w:pPr>
      <w:r w:rsidRPr="00180DCC">
        <w:rPr>
          <w:lang w:val="fr-FR"/>
        </w:rPr>
        <w:t xml:space="preserve">La Recommandation </w:t>
      </w:r>
      <w:hyperlink r:id="rId18" w:history="1">
        <w:r w:rsidRPr="00180DCC">
          <w:rPr>
            <w:rStyle w:val="Hyperlink"/>
            <w:color w:val="auto"/>
            <w:u w:val="none"/>
            <w:lang w:val="fr-FR"/>
          </w:rPr>
          <w:t>UIT-R SM.1138</w:t>
        </w:r>
      </w:hyperlink>
      <w:r w:rsidRPr="00180DCC">
        <w:rPr>
          <w:lang w:val="fr-FR"/>
        </w:rPr>
        <w:t xml:space="preserve"> «Détermination des largeurs de bande nécessaires, exemples de calculs de la largeur de bande nécessaire et exemples connexes de désignation des émissions» indique, au Tableau III-B de l</w:t>
      </w:r>
      <w:r w:rsidR="00C73875" w:rsidRPr="00180DCC">
        <w:rPr>
          <w:lang w:val="fr-FR"/>
        </w:rPr>
        <w:t>'</w:t>
      </w:r>
      <w:r w:rsidRPr="00180DCC">
        <w:rPr>
          <w:lang w:val="fr-FR"/>
        </w:rPr>
        <w:t>Annexe 1, les facteurs de multiplication à utiliser pour calculer l</w:t>
      </w:r>
      <w:r w:rsidR="00C73875" w:rsidRPr="00180DCC">
        <w:rPr>
          <w:lang w:val="fr-FR"/>
        </w:rPr>
        <w:t>'</w:t>
      </w:r>
      <w:r w:rsidRPr="00180DCC">
        <w:rPr>
          <w:lang w:val="fr-FR"/>
        </w:rPr>
        <w:t>excursion de fréquence de crête dans les émissions multivoies MRF-MF. L</w:t>
      </w:r>
      <w:r w:rsidR="00C73875" w:rsidRPr="00180DCC">
        <w:rPr>
          <w:lang w:val="fr-FR"/>
        </w:rPr>
        <w:t>'</w:t>
      </w:r>
      <w:r w:rsidRPr="00180DCC">
        <w:rPr>
          <w:lang w:val="fr-FR"/>
        </w:rPr>
        <w:t>excursion de fréquence de crête est un facteur critique dans la règle de Carson</w:t>
      </w:r>
      <w:r w:rsidRPr="00180DCC">
        <w:rPr>
          <w:i/>
          <w:lang w:val="fr-FR"/>
        </w:rPr>
        <w:t xml:space="preserve"> B</w:t>
      </w:r>
      <w:r w:rsidRPr="00180DCC">
        <w:rPr>
          <w:i/>
          <w:position w:val="-3"/>
          <w:sz w:val="16"/>
          <w:lang w:val="fr-FR"/>
        </w:rPr>
        <w:t>n</w:t>
      </w:r>
      <w:r w:rsidRPr="00180DCC">
        <w:rPr>
          <w:lang w:val="fr-FR"/>
        </w:rPr>
        <w:t> </w:t>
      </w:r>
      <w:r w:rsidRPr="00180DCC">
        <w:rPr>
          <w:rFonts w:ascii="Symbol" w:hAnsi="Symbol"/>
          <w:lang w:val="fr-FR"/>
        </w:rPr>
        <w:t></w:t>
      </w:r>
      <w:r w:rsidRPr="00180DCC">
        <w:rPr>
          <w:lang w:val="fr-FR"/>
        </w:rPr>
        <w:t> 2</w:t>
      </w:r>
      <w:r w:rsidRPr="00180DCC">
        <w:rPr>
          <w:i/>
          <w:lang w:val="fr-FR"/>
        </w:rPr>
        <w:t>M</w:t>
      </w:r>
      <w:r w:rsidRPr="00180DCC">
        <w:rPr>
          <w:lang w:val="fr-FR"/>
        </w:rPr>
        <w:t> </w:t>
      </w:r>
      <w:r w:rsidRPr="00180DCC">
        <w:rPr>
          <w:rFonts w:ascii="Symbol" w:hAnsi="Symbol"/>
          <w:lang w:val="fr-FR"/>
        </w:rPr>
        <w:t></w:t>
      </w:r>
      <w:r w:rsidRPr="00180DCC">
        <w:rPr>
          <w:lang w:val="fr-FR"/>
        </w:rPr>
        <w:t> 2</w:t>
      </w:r>
      <w:r w:rsidRPr="00180DCC">
        <w:rPr>
          <w:i/>
          <w:lang w:val="fr-FR"/>
        </w:rPr>
        <w:t>DK</w:t>
      </w:r>
      <w:r w:rsidRPr="00180DCC">
        <w:rPr>
          <w:lang w:val="fr-FR"/>
        </w:rPr>
        <w:t>, qui est utilisée pour calculer la largeur de bande nécessaire aux fins d</w:t>
      </w:r>
      <w:r w:rsidR="00C73875" w:rsidRPr="00180DCC">
        <w:rPr>
          <w:lang w:val="fr-FR"/>
        </w:rPr>
        <w:t>'</w:t>
      </w:r>
      <w:r w:rsidRPr="00180DCC">
        <w:rPr>
          <w:lang w:val="fr-FR"/>
        </w:rPr>
        <w:t>attribution du spectre des fréquences. Le Tableau III-B est reproduit ci-après en tant que Tableau 3.</w:t>
      </w:r>
    </w:p>
    <w:p w14:paraId="7697D73C" w14:textId="5858A598" w:rsidR="00AA41BC" w:rsidRPr="00180DCC" w:rsidRDefault="00AA41BC" w:rsidP="005835A4">
      <w:pPr>
        <w:keepNext/>
        <w:keepLines/>
        <w:rPr>
          <w:sz w:val="18"/>
          <w:lang w:val="fr-FR"/>
        </w:rPr>
      </w:pPr>
      <w:r w:rsidRPr="00180DCC">
        <w:rPr>
          <w:lang w:val="fr-FR"/>
        </w:rPr>
        <w:lastRenderedPageBreak/>
        <w:t>Dans ce Tableau, les facteurs 2,6</w:t>
      </w:r>
      <w:r w:rsidR="00C84DD5" w:rsidRPr="00180DCC">
        <w:rPr>
          <w:lang w:val="fr-FR"/>
        </w:rPr>
        <w:t>;</w:t>
      </w:r>
      <w:r w:rsidR="002660D8" w:rsidRPr="00180DCC">
        <w:rPr>
          <w:lang w:val="fr-FR"/>
        </w:rPr>
        <w:t xml:space="preserve"> −</w:t>
      </w:r>
      <w:r w:rsidRPr="00180DCC">
        <w:rPr>
          <w:lang w:val="fr-FR"/>
        </w:rPr>
        <w:t>1 et</w:t>
      </w:r>
      <w:r w:rsidR="002660D8" w:rsidRPr="00180DCC">
        <w:rPr>
          <w:lang w:val="fr-FR"/>
        </w:rPr>
        <w:t xml:space="preserve"> −</w:t>
      </w:r>
      <w:r w:rsidRPr="00180DCC">
        <w:rPr>
          <w:lang w:val="fr-FR"/>
        </w:rPr>
        <w:t>15 qui représentent les valeurs de puissance moyenne (dBm0 (voir la Note 1)), ont été mesurés sur un circuit du réseau public téléphonique commercial à commutation. Les valeurs sont en fait fondées sur des mesures du «volume pour la personne qui parle» effectuées en 1960 et déjà approuvées par l</w:t>
      </w:r>
      <w:r w:rsidR="00C73875" w:rsidRPr="00180DCC">
        <w:rPr>
          <w:lang w:val="fr-FR"/>
        </w:rPr>
        <w:t>'</w:t>
      </w:r>
      <w:r w:rsidRPr="00180DCC">
        <w:rPr>
          <w:lang w:val="fr-FR"/>
        </w:rPr>
        <w:t>ex-CCIR et aussi lors de la Conférence administrative mondiale des radiocommunications, Genève, 1979, aux fins du calcul des largeurs de bande nécessaires.</w:t>
      </w:r>
    </w:p>
    <w:p w14:paraId="3A2905AB" w14:textId="77777777" w:rsidR="00AA41BC" w:rsidRPr="00180DCC" w:rsidRDefault="00AA41BC" w:rsidP="005835A4">
      <w:pPr>
        <w:pStyle w:val="Note"/>
        <w:rPr>
          <w:lang w:val="fr-FR"/>
        </w:rPr>
      </w:pPr>
      <w:r w:rsidRPr="00180DCC">
        <w:rPr>
          <w:lang w:val="fr-FR"/>
        </w:rPr>
        <w:t>NOTE 1 – «dBm0» désigne la puissance (dB) par rapport à 1 mW rapporté à un point de niveau de transmission relatif zéro.</w:t>
      </w:r>
    </w:p>
    <w:p w14:paraId="52CB481D" w14:textId="77777777" w:rsidR="00AA41BC" w:rsidRPr="00180DCC" w:rsidRDefault="00AA41BC" w:rsidP="005835A4">
      <w:pPr>
        <w:pStyle w:val="TableNo"/>
        <w:rPr>
          <w:lang w:val="fr-FR"/>
        </w:rPr>
      </w:pPr>
      <w:r w:rsidRPr="00180DCC">
        <w:rPr>
          <w:lang w:val="fr-FR"/>
        </w:rPr>
        <w:t>TABLEAU 3</w:t>
      </w:r>
    </w:p>
    <w:p w14:paraId="5B9A55F4" w14:textId="77777777" w:rsidR="00AA41BC" w:rsidRPr="00180DCC" w:rsidRDefault="00AA41BC" w:rsidP="005835A4">
      <w:pPr>
        <w:pStyle w:val="Tabletitle"/>
        <w:rPr>
          <w:lang w:val="fr-FR"/>
        </w:rPr>
      </w:pPr>
      <w:r w:rsidRPr="00180DCC">
        <w:rPr>
          <w:lang w:val="fr-FR"/>
        </w:rPr>
        <w:t>Émissions multivoies MRF-MF</w:t>
      </w:r>
    </w:p>
    <w:tbl>
      <w:tblPr>
        <w:tblW w:w="9639" w:type="dxa"/>
        <w:jc w:val="center"/>
        <w:tblLayout w:type="fixed"/>
        <w:tblCellMar>
          <w:left w:w="107" w:type="dxa"/>
          <w:right w:w="107" w:type="dxa"/>
        </w:tblCellMar>
        <w:tblLook w:val="0000" w:firstRow="0" w:lastRow="0" w:firstColumn="0" w:lastColumn="0" w:noHBand="0" w:noVBand="0"/>
      </w:tblPr>
      <w:tblGrid>
        <w:gridCol w:w="1993"/>
        <w:gridCol w:w="3796"/>
        <w:gridCol w:w="3850"/>
      </w:tblGrid>
      <w:tr w:rsidR="00AA41BC" w:rsidRPr="00802534" w14:paraId="1A23FAB4" w14:textId="77777777" w:rsidTr="00952074">
        <w:trPr>
          <w:jc w:val="center"/>
        </w:trPr>
        <w:tc>
          <w:tcPr>
            <w:tcW w:w="9639" w:type="dxa"/>
            <w:gridSpan w:val="3"/>
            <w:tcBorders>
              <w:top w:val="single" w:sz="6" w:space="0" w:color="auto"/>
              <w:left w:val="single" w:sz="6" w:space="0" w:color="auto"/>
              <w:bottom w:val="single" w:sz="6" w:space="0" w:color="auto"/>
              <w:right w:val="single" w:sz="6" w:space="0" w:color="auto"/>
            </w:tcBorders>
          </w:tcPr>
          <w:p w14:paraId="4AE04E2D" w14:textId="6DA135CB" w:rsidR="00AA41BC" w:rsidRPr="00180DCC" w:rsidRDefault="00AA41BC" w:rsidP="00952074">
            <w:pPr>
              <w:pStyle w:val="TableText0"/>
              <w:keepNext w:val="0"/>
              <w:spacing w:before="140" w:after="140"/>
              <w:jc w:val="center"/>
              <w:rPr>
                <w:lang w:val="fr-FR"/>
              </w:rPr>
            </w:pPr>
            <w:r w:rsidRPr="00180DCC">
              <w:rPr>
                <w:lang w:val="fr-FR"/>
              </w:rPr>
              <w:t xml:space="preserve">FACTEURS DE MULTIPLICATION À UTILISER POUR CALCULER </w:t>
            </w:r>
            <w:r w:rsidRPr="00180DCC">
              <w:rPr>
                <w:i/>
                <w:lang w:val="fr-FR"/>
              </w:rPr>
              <w:t>D</w:t>
            </w:r>
            <w:r w:rsidRPr="00180DCC">
              <w:rPr>
                <w:lang w:val="fr-FR"/>
              </w:rPr>
              <w:t>,</w:t>
            </w:r>
            <w:r w:rsidR="005835A4" w:rsidRPr="00180DCC">
              <w:rPr>
                <w:lang w:val="fr-FR"/>
              </w:rPr>
              <w:t xml:space="preserve"> </w:t>
            </w:r>
            <w:r w:rsidRPr="00180DCC">
              <w:rPr>
                <w:lang w:val="fr-FR"/>
              </w:rPr>
              <w:t>EXCURSION DE FRÉQUENCE DE CRÊTE, DANS LES ÉMISSIONS</w:t>
            </w:r>
            <w:r w:rsidR="005835A4" w:rsidRPr="00180DCC">
              <w:rPr>
                <w:lang w:val="fr-FR"/>
              </w:rPr>
              <w:t xml:space="preserve"> </w:t>
            </w:r>
            <w:r w:rsidRPr="00180DCC">
              <w:rPr>
                <w:lang w:val="fr-FR"/>
              </w:rPr>
              <w:t xml:space="preserve">MULTIVOIES À MODULATION DE FRÉQUENCE </w:t>
            </w:r>
            <w:r w:rsidR="005835A4" w:rsidRPr="00180DCC">
              <w:rPr>
                <w:lang w:val="fr-FR"/>
              </w:rPr>
              <w:br/>
            </w:r>
            <w:r w:rsidRPr="00180DCC">
              <w:rPr>
                <w:lang w:val="fr-FR"/>
              </w:rPr>
              <w:t>ET MULTIPLEXAGE</w:t>
            </w:r>
            <w:r w:rsidR="005835A4" w:rsidRPr="00180DCC">
              <w:rPr>
                <w:lang w:val="fr-FR"/>
              </w:rPr>
              <w:t xml:space="preserve"> </w:t>
            </w:r>
            <w:r w:rsidRPr="00180DCC">
              <w:rPr>
                <w:lang w:val="fr-FR"/>
              </w:rPr>
              <w:t>PAR RÉPARTITION EN FRÉQUENCE (MF-MRF)</w:t>
            </w:r>
          </w:p>
        </w:tc>
      </w:tr>
      <w:tr w:rsidR="00AA41BC" w:rsidRPr="00802534" w14:paraId="3986D038" w14:textId="77777777" w:rsidTr="00952074">
        <w:trPr>
          <w:jc w:val="center"/>
        </w:trPr>
        <w:tc>
          <w:tcPr>
            <w:tcW w:w="9639" w:type="dxa"/>
            <w:gridSpan w:val="3"/>
            <w:tcBorders>
              <w:top w:val="single" w:sz="6" w:space="0" w:color="auto"/>
              <w:left w:val="single" w:sz="6" w:space="0" w:color="auto"/>
              <w:bottom w:val="single" w:sz="6" w:space="0" w:color="auto"/>
              <w:right w:val="single" w:sz="6" w:space="0" w:color="auto"/>
            </w:tcBorders>
          </w:tcPr>
          <w:p w14:paraId="71558382" w14:textId="77777777" w:rsidR="00AA41BC" w:rsidRPr="00180DCC" w:rsidRDefault="00AA41BC" w:rsidP="00952074">
            <w:pPr>
              <w:pStyle w:val="TableText0"/>
              <w:keepNext w:val="0"/>
              <w:tabs>
                <w:tab w:val="clear" w:pos="794"/>
                <w:tab w:val="clear" w:pos="1191"/>
                <w:tab w:val="clear" w:pos="1588"/>
                <w:tab w:val="clear" w:pos="1985"/>
                <w:tab w:val="left" w:pos="284"/>
              </w:tabs>
              <w:jc w:val="left"/>
              <w:rPr>
                <w:lang w:val="fr-FR"/>
              </w:rPr>
            </w:pPr>
            <w:r w:rsidRPr="00180DCC">
              <w:rPr>
                <w:lang w:val="fr-FR"/>
              </w:rPr>
              <w:t>Pour les systèmes MF-MRF, la largeur de bande nécessaire est:</w:t>
            </w:r>
          </w:p>
          <w:p w14:paraId="78A3144D" w14:textId="77777777" w:rsidR="00AA41BC" w:rsidRPr="00180DCC" w:rsidRDefault="00AA41BC" w:rsidP="00952074">
            <w:pPr>
              <w:pStyle w:val="TableText0"/>
              <w:keepNext w:val="0"/>
              <w:tabs>
                <w:tab w:val="clear" w:pos="794"/>
                <w:tab w:val="clear" w:pos="1191"/>
                <w:tab w:val="clear" w:pos="1588"/>
                <w:tab w:val="clear" w:pos="1985"/>
                <w:tab w:val="left" w:pos="284"/>
              </w:tabs>
              <w:jc w:val="center"/>
              <w:rPr>
                <w:lang w:val="fr-FR"/>
              </w:rPr>
            </w:pPr>
            <w:r w:rsidRPr="00180DCC">
              <w:rPr>
                <w:i/>
                <w:lang w:val="fr-FR"/>
              </w:rPr>
              <w:t>B</w:t>
            </w:r>
            <w:r w:rsidRPr="00180DCC">
              <w:rPr>
                <w:i/>
                <w:position w:val="-3"/>
                <w:sz w:val="14"/>
                <w:lang w:val="fr-FR"/>
              </w:rPr>
              <w:t>n</w:t>
            </w:r>
            <w:r w:rsidRPr="00180DCC">
              <w:rPr>
                <w:lang w:val="fr-FR"/>
              </w:rPr>
              <w:t xml:space="preserve">  </w:t>
            </w:r>
            <w:r w:rsidRPr="00180DCC">
              <w:rPr>
                <w:rFonts w:ascii="Symbol" w:hAnsi="Symbol"/>
                <w:lang w:val="fr-FR"/>
              </w:rPr>
              <w:t></w:t>
            </w:r>
            <w:r w:rsidRPr="00180DCC">
              <w:rPr>
                <w:lang w:val="fr-FR"/>
              </w:rPr>
              <w:t xml:space="preserve">  2 </w:t>
            </w:r>
            <w:r w:rsidRPr="00180DCC">
              <w:rPr>
                <w:i/>
                <w:lang w:val="fr-FR"/>
              </w:rPr>
              <w:t>M</w:t>
            </w:r>
            <w:r w:rsidRPr="00180DCC">
              <w:rPr>
                <w:lang w:val="fr-FR"/>
              </w:rPr>
              <w:t xml:space="preserve">  </w:t>
            </w:r>
            <w:r w:rsidRPr="00180DCC">
              <w:rPr>
                <w:rFonts w:ascii="Symbol" w:hAnsi="Symbol"/>
                <w:lang w:val="fr-FR"/>
              </w:rPr>
              <w:t></w:t>
            </w:r>
            <w:r w:rsidRPr="00180DCC">
              <w:rPr>
                <w:lang w:val="fr-FR"/>
              </w:rPr>
              <w:t xml:space="preserve">  2 </w:t>
            </w:r>
            <w:r w:rsidRPr="00180DCC">
              <w:rPr>
                <w:i/>
                <w:lang w:val="fr-FR"/>
              </w:rPr>
              <w:t>DK</w:t>
            </w:r>
          </w:p>
          <w:p w14:paraId="234EB467" w14:textId="5E726C9E" w:rsidR="00AA41BC" w:rsidRPr="00180DCC" w:rsidRDefault="00AA41BC" w:rsidP="00952074">
            <w:pPr>
              <w:pStyle w:val="TableText0"/>
              <w:keepNext w:val="0"/>
              <w:tabs>
                <w:tab w:val="clear" w:pos="794"/>
                <w:tab w:val="clear" w:pos="1191"/>
                <w:tab w:val="clear" w:pos="1588"/>
                <w:tab w:val="clear" w:pos="1985"/>
                <w:tab w:val="left" w:pos="284"/>
              </w:tabs>
              <w:rPr>
                <w:position w:val="-3"/>
                <w:sz w:val="14"/>
                <w:lang w:val="fr-FR"/>
              </w:rPr>
            </w:pPr>
            <w:r w:rsidRPr="00180DCC">
              <w:rPr>
                <w:lang w:val="fr-FR"/>
              </w:rPr>
              <w:t xml:space="preserve">On calcule la valeur de </w:t>
            </w:r>
            <w:r w:rsidRPr="00180DCC">
              <w:rPr>
                <w:i/>
                <w:lang w:val="fr-FR"/>
              </w:rPr>
              <w:t>D</w:t>
            </w:r>
            <w:r w:rsidRPr="00180DCC">
              <w:rPr>
                <w:lang w:val="fr-FR"/>
              </w:rPr>
              <w:t xml:space="preserve">, ou excursion de fréquence de crête dans les formules pour </w:t>
            </w:r>
            <w:r w:rsidRPr="00180DCC">
              <w:rPr>
                <w:i/>
                <w:lang w:val="fr-FR"/>
              </w:rPr>
              <w:t>B</w:t>
            </w:r>
            <w:r w:rsidRPr="00180DCC">
              <w:rPr>
                <w:i/>
                <w:position w:val="-3"/>
                <w:sz w:val="14"/>
                <w:lang w:val="fr-FR"/>
              </w:rPr>
              <w:t>n</w:t>
            </w:r>
            <w:r w:rsidRPr="00802534">
              <w:rPr>
                <w:i/>
                <w:position w:val="-3"/>
                <w:sz w:val="20"/>
                <w:lang w:val="fr-FR"/>
              </w:rPr>
              <w:t xml:space="preserve"> </w:t>
            </w:r>
            <w:r w:rsidRPr="00180DCC">
              <w:rPr>
                <w:lang w:val="fr-FR"/>
              </w:rPr>
              <w:t>en multipliant la valeur efficace d</w:t>
            </w:r>
            <w:r w:rsidR="00C73875" w:rsidRPr="00180DCC">
              <w:rPr>
                <w:lang w:val="fr-FR"/>
              </w:rPr>
              <w:t>'</w:t>
            </w:r>
            <w:r w:rsidRPr="00180DCC">
              <w:rPr>
                <w:lang w:val="fr-FR"/>
              </w:rPr>
              <w:t>excursion par voie par le «facteur multiplicatif» approprié indiqué ci-dessous.</w:t>
            </w:r>
          </w:p>
          <w:p w14:paraId="1D6B9296" w14:textId="77777777" w:rsidR="00AA41BC" w:rsidRPr="00180DCC" w:rsidRDefault="00AA41BC" w:rsidP="00952074">
            <w:pPr>
              <w:pStyle w:val="TableText0"/>
              <w:keepNext w:val="0"/>
              <w:tabs>
                <w:tab w:val="clear" w:pos="794"/>
                <w:tab w:val="clear" w:pos="1191"/>
                <w:tab w:val="clear" w:pos="1588"/>
                <w:tab w:val="clear" w:pos="1985"/>
                <w:tab w:val="left" w:pos="284"/>
              </w:tabs>
              <w:spacing w:line="240" w:lineRule="auto"/>
              <w:rPr>
                <w:lang w:val="fr-FR"/>
              </w:rPr>
            </w:pPr>
            <w:r w:rsidRPr="00180DCC">
              <w:rPr>
                <w:lang w:val="fr-FR"/>
              </w:rPr>
              <w:t>Dans le cas où une onde pilote de continuité de fréquence</w:t>
            </w:r>
            <w:r w:rsidRPr="00180DCC">
              <w:rPr>
                <w:position w:val="-3"/>
                <w:sz w:val="14"/>
                <w:lang w:val="fr-FR"/>
              </w:rPr>
              <w:t xml:space="preserve"> </w:t>
            </w:r>
            <w:r w:rsidRPr="00180DCC">
              <w:rPr>
                <w:i/>
                <w:lang w:val="fr-FR"/>
              </w:rPr>
              <w:t>f</w:t>
            </w:r>
            <w:r w:rsidRPr="00180DCC">
              <w:rPr>
                <w:i/>
                <w:position w:val="-2"/>
                <w:sz w:val="14"/>
                <w:lang w:val="fr-FR"/>
              </w:rPr>
              <w:t>p</w:t>
            </w:r>
            <w:r w:rsidRPr="00180DCC">
              <w:rPr>
                <w:lang w:val="fr-FR"/>
              </w:rPr>
              <w:t xml:space="preserve"> est présente au-dessus de la fréquence maximale de modulation </w:t>
            </w:r>
            <w:r w:rsidRPr="00180DCC">
              <w:rPr>
                <w:i/>
                <w:lang w:val="fr-FR"/>
              </w:rPr>
              <w:t>M</w:t>
            </w:r>
            <w:r w:rsidRPr="00180DCC">
              <w:rPr>
                <w:lang w:val="fr-FR"/>
              </w:rPr>
              <w:t>, la formule générale prend la forme suivante:</w:t>
            </w:r>
          </w:p>
          <w:p w14:paraId="42E33CB0" w14:textId="77777777" w:rsidR="00AA41BC" w:rsidRPr="00180DCC" w:rsidRDefault="00AA41BC" w:rsidP="00952074">
            <w:pPr>
              <w:pStyle w:val="TableText0"/>
              <w:keepNext w:val="0"/>
              <w:tabs>
                <w:tab w:val="clear" w:pos="794"/>
                <w:tab w:val="clear" w:pos="1191"/>
                <w:tab w:val="clear" w:pos="1588"/>
                <w:tab w:val="clear" w:pos="1985"/>
                <w:tab w:val="left" w:pos="284"/>
              </w:tabs>
              <w:jc w:val="center"/>
              <w:rPr>
                <w:lang w:val="fr-FR"/>
              </w:rPr>
            </w:pPr>
            <w:r w:rsidRPr="00180DCC">
              <w:rPr>
                <w:i/>
                <w:lang w:val="fr-FR"/>
              </w:rPr>
              <w:t>B</w:t>
            </w:r>
            <w:r w:rsidRPr="00180DCC">
              <w:rPr>
                <w:i/>
                <w:position w:val="-3"/>
                <w:sz w:val="14"/>
                <w:lang w:val="fr-FR"/>
              </w:rPr>
              <w:t>n</w:t>
            </w:r>
            <w:r w:rsidRPr="00180DCC">
              <w:rPr>
                <w:lang w:val="fr-FR"/>
              </w:rPr>
              <w:t xml:space="preserve">  </w:t>
            </w:r>
            <w:r w:rsidRPr="00180DCC">
              <w:rPr>
                <w:rFonts w:ascii="Symbol" w:hAnsi="Symbol"/>
                <w:lang w:val="fr-FR"/>
              </w:rPr>
              <w:t></w:t>
            </w:r>
            <w:r w:rsidRPr="00180DCC">
              <w:rPr>
                <w:lang w:val="fr-FR"/>
              </w:rPr>
              <w:t xml:space="preserve">  2</w:t>
            </w:r>
            <w:r w:rsidRPr="00180DCC">
              <w:rPr>
                <w:sz w:val="12"/>
                <w:lang w:val="fr-FR"/>
              </w:rPr>
              <w:t> </w:t>
            </w:r>
            <w:r w:rsidRPr="00180DCC">
              <w:rPr>
                <w:i/>
                <w:lang w:val="fr-FR"/>
              </w:rPr>
              <w:t>f</w:t>
            </w:r>
            <w:r w:rsidRPr="00180DCC">
              <w:rPr>
                <w:i/>
                <w:position w:val="-2"/>
                <w:sz w:val="14"/>
                <w:lang w:val="fr-FR"/>
              </w:rPr>
              <w:t>p</w:t>
            </w:r>
            <w:r w:rsidRPr="00180DCC">
              <w:rPr>
                <w:lang w:val="fr-FR"/>
              </w:rPr>
              <w:t xml:space="preserve">  </w:t>
            </w:r>
            <w:r w:rsidRPr="00180DCC">
              <w:rPr>
                <w:rFonts w:ascii="Symbol" w:hAnsi="Symbol"/>
                <w:lang w:val="fr-FR"/>
              </w:rPr>
              <w:t></w:t>
            </w:r>
            <w:r w:rsidRPr="00180DCC">
              <w:rPr>
                <w:lang w:val="fr-FR"/>
              </w:rPr>
              <w:t xml:space="preserve">  2 </w:t>
            </w:r>
            <w:r w:rsidRPr="00180DCC">
              <w:rPr>
                <w:i/>
                <w:lang w:val="fr-FR"/>
              </w:rPr>
              <w:t>DK</w:t>
            </w:r>
          </w:p>
          <w:p w14:paraId="229C0E9F" w14:textId="4D4C3480" w:rsidR="00AA41BC" w:rsidRPr="00180DCC" w:rsidRDefault="00AA41BC" w:rsidP="00952074">
            <w:pPr>
              <w:pStyle w:val="TableText0"/>
              <w:keepNext w:val="0"/>
              <w:tabs>
                <w:tab w:val="clear" w:pos="794"/>
                <w:tab w:val="clear" w:pos="1191"/>
                <w:tab w:val="clear" w:pos="1588"/>
                <w:tab w:val="clear" w:pos="1985"/>
                <w:tab w:val="left" w:pos="284"/>
              </w:tabs>
              <w:rPr>
                <w:lang w:val="fr-FR"/>
              </w:rPr>
            </w:pPr>
            <w:r w:rsidRPr="00180DCC">
              <w:rPr>
                <w:lang w:val="fr-FR"/>
              </w:rPr>
              <w:t>Dans le cas où l</w:t>
            </w:r>
            <w:r w:rsidR="00C73875" w:rsidRPr="00180DCC">
              <w:rPr>
                <w:lang w:val="fr-FR"/>
              </w:rPr>
              <w:t>'</w:t>
            </w:r>
            <w:r w:rsidRPr="00180DCC">
              <w:rPr>
                <w:lang w:val="fr-FR"/>
              </w:rPr>
              <w:t>indice de modulation de la porteuse principale produit par l</w:t>
            </w:r>
            <w:r w:rsidR="00C73875" w:rsidRPr="00180DCC">
              <w:rPr>
                <w:lang w:val="fr-FR"/>
              </w:rPr>
              <w:t>'</w:t>
            </w:r>
            <w:r w:rsidRPr="00180DCC">
              <w:rPr>
                <w:lang w:val="fr-FR"/>
              </w:rPr>
              <w:t>onde pilote est inférieur à 0,25 et où la valeur efficace de l</w:t>
            </w:r>
            <w:r w:rsidR="00C73875" w:rsidRPr="00180DCC">
              <w:rPr>
                <w:lang w:val="fr-FR"/>
              </w:rPr>
              <w:t>'</w:t>
            </w:r>
            <w:r w:rsidRPr="00180DCC">
              <w:rPr>
                <w:lang w:val="fr-FR"/>
              </w:rPr>
              <w:t>excursion de fréquence de la porteuse principale produite par l</w:t>
            </w:r>
            <w:r w:rsidR="00C73875" w:rsidRPr="00180DCC">
              <w:rPr>
                <w:lang w:val="fr-FR"/>
              </w:rPr>
              <w:t>'</w:t>
            </w:r>
            <w:r w:rsidRPr="00180DCC">
              <w:rPr>
                <w:lang w:val="fr-FR"/>
              </w:rPr>
              <w:t>onde pilote est inférieure ou égale à 70% de la valeur efficace de l</w:t>
            </w:r>
            <w:r w:rsidR="00C73875" w:rsidRPr="00180DCC">
              <w:rPr>
                <w:lang w:val="fr-FR"/>
              </w:rPr>
              <w:t>'</w:t>
            </w:r>
            <w:r w:rsidRPr="00180DCC">
              <w:rPr>
                <w:lang w:val="fr-FR"/>
              </w:rPr>
              <w:t>excursion par voie, la formule générale prend celle des deux formes ci-après qui donne la valeur la plus grande:</w:t>
            </w:r>
          </w:p>
          <w:p w14:paraId="57E9A5B4" w14:textId="77777777" w:rsidR="00AA41BC" w:rsidRPr="00180DCC" w:rsidRDefault="00AA41BC" w:rsidP="00952074">
            <w:pPr>
              <w:pStyle w:val="TableText0"/>
              <w:keepNext w:val="0"/>
              <w:tabs>
                <w:tab w:val="clear" w:pos="794"/>
                <w:tab w:val="clear" w:pos="1191"/>
                <w:tab w:val="clear" w:pos="1588"/>
                <w:tab w:val="clear" w:pos="1985"/>
                <w:tab w:val="left" w:pos="284"/>
              </w:tabs>
              <w:jc w:val="center"/>
              <w:rPr>
                <w:lang w:val="fr-FR"/>
              </w:rPr>
            </w:pPr>
            <w:r w:rsidRPr="00180DCC">
              <w:rPr>
                <w:i/>
                <w:lang w:val="fr-FR"/>
              </w:rPr>
              <w:t>B</w:t>
            </w:r>
            <w:r w:rsidRPr="00180DCC">
              <w:rPr>
                <w:i/>
                <w:position w:val="-3"/>
                <w:sz w:val="14"/>
                <w:lang w:val="fr-FR"/>
              </w:rPr>
              <w:t>n</w:t>
            </w:r>
            <w:r w:rsidRPr="00180DCC">
              <w:rPr>
                <w:lang w:val="fr-FR"/>
              </w:rPr>
              <w:t xml:space="preserve">  </w:t>
            </w:r>
            <w:r w:rsidRPr="00180DCC">
              <w:rPr>
                <w:rFonts w:ascii="Symbol" w:hAnsi="Symbol"/>
                <w:lang w:val="fr-FR"/>
              </w:rPr>
              <w:t></w:t>
            </w:r>
            <w:r w:rsidRPr="00180DCC">
              <w:rPr>
                <w:lang w:val="fr-FR"/>
              </w:rPr>
              <w:t xml:space="preserve">  2</w:t>
            </w:r>
            <w:r w:rsidRPr="00180DCC">
              <w:rPr>
                <w:sz w:val="12"/>
                <w:lang w:val="fr-FR"/>
              </w:rPr>
              <w:t> </w:t>
            </w:r>
            <w:r w:rsidRPr="00180DCC">
              <w:rPr>
                <w:i/>
                <w:lang w:val="fr-FR"/>
              </w:rPr>
              <w:t>f</w:t>
            </w:r>
            <w:r w:rsidRPr="00180DCC">
              <w:rPr>
                <w:i/>
                <w:position w:val="-2"/>
                <w:sz w:val="14"/>
                <w:lang w:val="fr-FR"/>
              </w:rPr>
              <w:t>p</w:t>
            </w:r>
            <w:r w:rsidRPr="00180DCC">
              <w:rPr>
                <w:lang w:val="fr-FR"/>
              </w:rPr>
              <w:t xml:space="preserve">      ou     </w:t>
            </w:r>
            <w:r w:rsidRPr="00180DCC">
              <w:rPr>
                <w:i/>
                <w:lang w:val="fr-FR"/>
              </w:rPr>
              <w:t>B</w:t>
            </w:r>
            <w:r w:rsidRPr="00180DCC">
              <w:rPr>
                <w:i/>
                <w:position w:val="-3"/>
                <w:sz w:val="14"/>
                <w:lang w:val="fr-FR"/>
              </w:rPr>
              <w:t>n</w:t>
            </w:r>
            <w:r w:rsidRPr="00180DCC">
              <w:rPr>
                <w:lang w:val="fr-FR"/>
              </w:rPr>
              <w:t xml:space="preserve">  </w:t>
            </w:r>
            <w:r w:rsidRPr="00180DCC">
              <w:rPr>
                <w:rFonts w:ascii="Symbol" w:hAnsi="Symbol"/>
                <w:lang w:val="fr-FR"/>
              </w:rPr>
              <w:t></w:t>
            </w:r>
            <w:r w:rsidRPr="00180DCC">
              <w:rPr>
                <w:lang w:val="fr-FR"/>
              </w:rPr>
              <w:t xml:space="preserve">  2 </w:t>
            </w:r>
            <w:r w:rsidRPr="00180DCC">
              <w:rPr>
                <w:i/>
                <w:lang w:val="fr-FR"/>
              </w:rPr>
              <w:t>M</w:t>
            </w:r>
            <w:r w:rsidRPr="00180DCC">
              <w:rPr>
                <w:lang w:val="fr-FR"/>
              </w:rPr>
              <w:t xml:space="preserve">  </w:t>
            </w:r>
            <w:r w:rsidRPr="00180DCC">
              <w:rPr>
                <w:rFonts w:ascii="Symbol" w:hAnsi="Symbol"/>
                <w:lang w:val="fr-FR"/>
              </w:rPr>
              <w:t></w:t>
            </w:r>
            <w:r w:rsidRPr="00180DCC">
              <w:rPr>
                <w:lang w:val="fr-FR"/>
              </w:rPr>
              <w:t xml:space="preserve">  2 </w:t>
            </w:r>
            <w:r w:rsidRPr="00180DCC">
              <w:rPr>
                <w:i/>
                <w:lang w:val="fr-FR"/>
              </w:rPr>
              <w:t>DK</w:t>
            </w:r>
          </w:p>
        </w:tc>
      </w:tr>
      <w:tr w:rsidR="00F834AA" w:rsidRPr="00180DCC" w14:paraId="4F704932" w14:textId="77777777" w:rsidTr="00952074">
        <w:trPr>
          <w:jc w:val="center"/>
        </w:trPr>
        <w:tc>
          <w:tcPr>
            <w:tcW w:w="1993" w:type="dxa"/>
            <w:vMerge w:val="restart"/>
            <w:tcBorders>
              <w:top w:val="single" w:sz="6" w:space="0" w:color="auto"/>
              <w:left w:val="single" w:sz="6" w:space="0" w:color="auto"/>
              <w:right w:val="single" w:sz="6" w:space="0" w:color="auto"/>
            </w:tcBorders>
          </w:tcPr>
          <w:p w14:paraId="03EEC86B" w14:textId="040ECC74" w:rsidR="00F834AA" w:rsidRPr="00180DCC" w:rsidRDefault="00F834AA" w:rsidP="00952074">
            <w:pPr>
              <w:pStyle w:val="TableText0"/>
              <w:spacing w:before="280" w:after="160"/>
              <w:jc w:val="center"/>
              <w:rPr>
                <w:lang w:val="fr-FR"/>
              </w:rPr>
            </w:pPr>
            <w:r w:rsidRPr="00180DCC">
              <w:rPr>
                <w:lang w:val="fr-FR"/>
              </w:rPr>
              <w:t xml:space="preserve">Nombre de voies téléphoniques </w:t>
            </w:r>
            <w:r w:rsidRPr="00180DCC">
              <w:rPr>
                <w:i/>
                <w:lang w:val="fr-FR"/>
              </w:rPr>
              <w:t>N</w:t>
            </w:r>
            <w:r w:rsidRPr="00180DCC">
              <w:rPr>
                <w:i/>
                <w:position w:val="-3"/>
                <w:sz w:val="14"/>
                <w:lang w:val="fr-FR"/>
              </w:rPr>
              <w:t>c</w:t>
            </w:r>
          </w:p>
        </w:tc>
        <w:tc>
          <w:tcPr>
            <w:tcW w:w="7646" w:type="dxa"/>
            <w:gridSpan w:val="2"/>
            <w:tcBorders>
              <w:top w:val="single" w:sz="6" w:space="0" w:color="auto"/>
              <w:bottom w:val="single" w:sz="6" w:space="0" w:color="auto"/>
              <w:right w:val="single" w:sz="6" w:space="0" w:color="auto"/>
            </w:tcBorders>
          </w:tcPr>
          <w:p w14:paraId="7A8B5CB3" w14:textId="77777777" w:rsidR="00F834AA" w:rsidRPr="00180DCC" w:rsidRDefault="00F834AA" w:rsidP="00952074">
            <w:pPr>
              <w:pStyle w:val="TableText0"/>
              <w:keepNext w:val="0"/>
              <w:spacing w:before="140" w:after="140"/>
              <w:jc w:val="center"/>
              <w:rPr>
                <w:lang w:val="fr-FR"/>
              </w:rPr>
            </w:pPr>
            <w:r w:rsidRPr="00180DCC">
              <w:rPr>
                <w:lang w:val="fr-FR"/>
              </w:rPr>
              <w:t>Facteur multiplicatif</w:t>
            </w:r>
            <w:r w:rsidRPr="00180DCC">
              <w:rPr>
                <w:position w:val="6"/>
                <w:sz w:val="14"/>
                <w:lang w:val="fr-FR"/>
              </w:rPr>
              <w:t>(1)</w:t>
            </w:r>
          </w:p>
        </w:tc>
      </w:tr>
      <w:tr w:rsidR="00F834AA" w:rsidRPr="00180DCC" w14:paraId="22D88EF2" w14:textId="77777777" w:rsidTr="00952074">
        <w:trPr>
          <w:jc w:val="center"/>
        </w:trPr>
        <w:tc>
          <w:tcPr>
            <w:tcW w:w="1993" w:type="dxa"/>
            <w:vMerge/>
            <w:tcBorders>
              <w:left w:val="single" w:sz="6" w:space="0" w:color="auto"/>
              <w:bottom w:val="single" w:sz="6" w:space="0" w:color="auto"/>
              <w:right w:val="single" w:sz="6" w:space="0" w:color="auto"/>
            </w:tcBorders>
          </w:tcPr>
          <w:p w14:paraId="21B4DAE8" w14:textId="1DDB606C" w:rsidR="00F834AA" w:rsidRPr="00180DCC" w:rsidRDefault="00F834AA" w:rsidP="00952074">
            <w:pPr>
              <w:pStyle w:val="TableText0"/>
              <w:keepNext w:val="0"/>
              <w:spacing w:before="280" w:after="160"/>
              <w:jc w:val="center"/>
              <w:rPr>
                <w:lang w:val="fr-FR"/>
              </w:rPr>
            </w:pPr>
          </w:p>
        </w:tc>
        <w:tc>
          <w:tcPr>
            <w:tcW w:w="3796" w:type="dxa"/>
            <w:tcBorders>
              <w:top w:val="single" w:sz="6" w:space="0" w:color="auto"/>
              <w:bottom w:val="single" w:sz="6" w:space="0" w:color="auto"/>
            </w:tcBorders>
          </w:tcPr>
          <w:p w14:paraId="323EC4A8" w14:textId="77777777" w:rsidR="00F834AA" w:rsidRPr="00180DCC" w:rsidRDefault="00F834AA" w:rsidP="00952074">
            <w:pPr>
              <w:pStyle w:val="TableText0"/>
              <w:keepNext w:val="0"/>
              <w:spacing w:before="280"/>
              <w:jc w:val="right"/>
              <w:rPr>
                <w:lang w:val="fr-FR"/>
              </w:rPr>
            </w:pPr>
            <w:r w:rsidRPr="00180DCC">
              <w:rPr>
                <w:lang w:val="fr-FR"/>
              </w:rPr>
              <w:br/>
              <w:t xml:space="preserve">(Facteur de crête)  </w:t>
            </w:r>
            <w:r w:rsidRPr="00180DCC">
              <w:rPr>
                <w:rFonts w:ascii="Symbol" w:hAnsi="Symbol"/>
                <w:lang w:val="fr-FR"/>
              </w:rPr>
              <w:t></w:t>
            </w:r>
            <w:r w:rsidRPr="00180DCC">
              <w:rPr>
                <w:lang w:val="fr-FR"/>
              </w:rPr>
              <w:t xml:space="preserve">  antilog</w:t>
            </w:r>
          </w:p>
        </w:tc>
        <w:tc>
          <w:tcPr>
            <w:tcW w:w="3850" w:type="dxa"/>
            <w:tcBorders>
              <w:top w:val="single" w:sz="6" w:space="0" w:color="auto"/>
              <w:bottom w:val="single" w:sz="6" w:space="0" w:color="auto"/>
              <w:right w:val="single" w:sz="6" w:space="0" w:color="auto"/>
            </w:tcBorders>
          </w:tcPr>
          <w:p w14:paraId="2D0B3AB9" w14:textId="77777777" w:rsidR="00F834AA" w:rsidRPr="00180DCC" w:rsidRDefault="00F834AA" w:rsidP="00952074">
            <w:pPr>
              <w:pStyle w:val="TableText0"/>
              <w:spacing w:before="160" w:after="160" w:line="240" w:lineRule="auto"/>
              <w:jc w:val="left"/>
              <w:rPr>
                <w:lang w:val="fr-FR"/>
              </w:rPr>
            </w:pPr>
            <w:r w:rsidRPr="00180DCC">
              <w:rPr>
                <w:lang w:val="fr-FR"/>
              </w:rPr>
              <w:fldChar w:fldCharType="begin"/>
            </w:r>
            <w:r w:rsidRPr="00180DCC">
              <w:rPr>
                <w:lang w:val="fr-FR"/>
              </w:rPr>
              <w:instrText>eq \b\bc\[(\f(\a(valeur en dB au-dessus,du niveau de,modulation de référence),20))</w:instrText>
            </w:r>
            <w:r w:rsidRPr="00180DCC">
              <w:rPr>
                <w:lang w:val="fr-FR"/>
              </w:rPr>
              <w:fldChar w:fldCharType="end"/>
            </w:r>
          </w:p>
        </w:tc>
      </w:tr>
      <w:tr w:rsidR="00AA41BC" w:rsidRPr="00180DCC" w14:paraId="06E07748" w14:textId="77777777" w:rsidTr="00952074">
        <w:trPr>
          <w:trHeight w:val="1971"/>
          <w:jc w:val="center"/>
        </w:trPr>
        <w:tc>
          <w:tcPr>
            <w:tcW w:w="1993" w:type="dxa"/>
            <w:tcBorders>
              <w:top w:val="single" w:sz="6" w:space="0" w:color="auto"/>
              <w:left w:val="single" w:sz="6" w:space="0" w:color="auto"/>
              <w:bottom w:val="single" w:sz="6" w:space="0" w:color="auto"/>
              <w:right w:val="single" w:sz="6" w:space="0" w:color="auto"/>
            </w:tcBorders>
          </w:tcPr>
          <w:p w14:paraId="05755797" w14:textId="3E5B41FC" w:rsidR="00AA41BC" w:rsidRPr="00180DCC" w:rsidRDefault="00AA41BC" w:rsidP="00952074">
            <w:pPr>
              <w:pStyle w:val="TableText0"/>
              <w:keepNext w:val="0"/>
              <w:spacing w:before="160" w:after="160"/>
              <w:jc w:val="center"/>
              <w:rPr>
                <w:lang w:val="fr-FR"/>
              </w:rPr>
            </w:pPr>
            <w:r w:rsidRPr="00180DCC">
              <w:rPr>
                <w:lang w:val="fr-FR"/>
              </w:rPr>
              <w:br/>
            </w:r>
            <w:r w:rsidRPr="00180DCC">
              <w:rPr>
                <w:lang w:val="fr-FR"/>
              </w:rPr>
              <w:br/>
            </w:r>
            <w:r w:rsidRPr="00180DCC">
              <w:rPr>
                <w:lang w:val="fr-FR"/>
              </w:rPr>
              <w:br/>
            </w:r>
            <w:r w:rsidRPr="00180DCC">
              <w:rPr>
                <w:lang w:val="fr-FR"/>
              </w:rPr>
              <w:br/>
            </w:r>
            <w:r w:rsidRPr="00180DCC">
              <w:rPr>
                <w:lang w:val="fr-FR"/>
              </w:rPr>
              <w:br/>
              <w:t xml:space="preserve">3  &lt;  </w:t>
            </w:r>
            <w:r w:rsidRPr="00180DCC">
              <w:rPr>
                <w:i/>
                <w:lang w:val="fr-FR"/>
              </w:rPr>
              <w:t>N</w:t>
            </w:r>
            <w:r w:rsidRPr="00180DCC">
              <w:rPr>
                <w:i/>
                <w:position w:val="-3"/>
                <w:sz w:val="14"/>
                <w:lang w:val="fr-FR"/>
              </w:rPr>
              <w:t>c</w:t>
            </w:r>
            <w:r w:rsidRPr="00180DCC">
              <w:rPr>
                <w:i/>
                <w:lang w:val="fr-FR"/>
              </w:rPr>
              <w:t xml:space="preserve">  </w:t>
            </w:r>
            <w:r w:rsidRPr="00180DCC">
              <w:rPr>
                <w:lang w:val="fr-FR"/>
              </w:rPr>
              <w:t>&lt;  12</w:t>
            </w:r>
          </w:p>
        </w:tc>
        <w:tc>
          <w:tcPr>
            <w:tcW w:w="7646" w:type="dxa"/>
            <w:gridSpan w:val="2"/>
            <w:tcBorders>
              <w:top w:val="single" w:sz="6" w:space="0" w:color="auto"/>
              <w:bottom w:val="single" w:sz="6" w:space="0" w:color="auto"/>
              <w:right w:val="single" w:sz="6" w:space="0" w:color="auto"/>
            </w:tcBorders>
          </w:tcPr>
          <w:p w14:paraId="01ADE2BF" w14:textId="77777777" w:rsidR="00AA41BC" w:rsidRPr="00180DCC" w:rsidRDefault="00AA41BC" w:rsidP="00952074">
            <w:pPr>
              <w:pStyle w:val="TableText0"/>
              <w:keepNext w:val="0"/>
              <w:spacing w:before="160" w:after="160" w:line="240" w:lineRule="auto"/>
              <w:jc w:val="center"/>
              <w:rPr>
                <w:lang w:val="fr-FR"/>
              </w:rPr>
            </w:pPr>
            <w:r w:rsidRPr="00180DCC">
              <w:rPr>
                <w:position w:val="-92"/>
                <w:lang w:val="fr-FR"/>
              </w:rPr>
              <w:object w:dxaOrig="3900" w:dyaOrig="1920" w14:anchorId="60F9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1pt;height:96.2pt" o:ole="">
                  <v:imagedata r:id="rId19" o:title=""/>
                </v:shape>
                <o:OLEObject Type="Embed" ProgID="Equation.DSMT4" ShapeID="_x0000_i1025" DrawAspect="Content" ObjectID="_1801035147" r:id="rId20"/>
              </w:object>
            </w:r>
          </w:p>
        </w:tc>
      </w:tr>
      <w:tr w:rsidR="00AA41BC" w:rsidRPr="00180DCC" w14:paraId="15790589" w14:textId="77777777" w:rsidTr="00952074">
        <w:trPr>
          <w:jc w:val="center"/>
        </w:trPr>
        <w:tc>
          <w:tcPr>
            <w:tcW w:w="1993" w:type="dxa"/>
            <w:tcBorders>
              <w:top w:val="single" w:sz="6" w:space="0" w:color="auto"/>
              <w:left w:val="single" w:sz="6" w:space="0" w:color="auto"/>
              <w:bottom w:val="single" w:sz="6" w:space="0" w:color="auto"/>
              <w:right w:val="single" w:sz="6" w:space="0" w:color="auto"/>
            </w:tcBorders>
          </w:tcPr>
          <w:p w14:paraId="6C4CB9FB" w14:textId="77777777" w:rsidR="00AA41BC" w:rsidRPr="00180DCC" w:rsidRDefault="00AA41BC" w:rsidP="00952074">
            <w:pPr>
              <w:pStyle w:val="TableText0"/>
              <w:keepNext w:val="0"/>
              <w:spacing w:before="280"/>
              <w:jc w:val="center"/>
              <w:rPr>
                <w:lang w:val="fr-FR"/>
              </w:rPr>
            </w:pPr>
            <w:r w:rsidRPr="00180DCC">
              <w:rPr>
                <w:lang w:val="fr-FR"/>
              </w:rPr>
              <w:t xml:space="preserve">12  </w:t>
            </w:r>
            <w:r w:rsidRPr="00180DCC">
              <w:rPr>
                <w:rFonts w:ascii="Symbol" w:hAnsi="Symbol"/>
                <w:lang w:val="fr-FR"/>
              </w:rPr>
              <w:t></w:t>
            </w:r>
            <w:r w:rsidRPr="00180DCC">
              <w:rPr>
                <w:lang w:val="fr-FR"/>
              </w:rPr>
              <w:t xml:space="preserve">  </w:t>
            </w:r>
            <w:r w:rsidRPr="00180DCC">
              <w:rPr>
                <w:i/>
                <w:lang w:val="fr-FR"/>
              </w:rPr>
              <w:t>N</w:t>
            </w:r>
            <w:r w:rsidRPr="00180DCC">
              <w:rPr>
                <w:i/>
                <w:position w:val="-3"/>
                <w:sz w:val="14"/>
                <w:lang w:val="fr-FR"/>
              </w:rPr>
              <w:t>c</w:t>
            </w:r>
            <w:r w:rsidRPr="00180DCC">
              <w:rPr>
                <w:lang w:val="fr-FR"/>
              </w:rPr>
              <w:t xml:space="preserve">  &lt;  60</w:t>
            </w:r>
          </w:p>
        </w:tc>
        <w:tc>
          <w:tcPr>
            <w:tcW w:w="3796" w:type="dxa"/>
            <w:tcBorders>
              <w:top w:val="single" w:sz="6" w:space="0" w:color="auto"/>
              <w:bottom w:val="single" w:sz="6" w:space="0" w:color="auto"/>
            </w:tcBorders>
          </w:tcPr>
          <w:p w14:paraId="5687C530" w14:textId="77777777" w:rsidR="00AA41BC" w:rsidRPr="00180DCC" w:rsidRDefault="00AA41BC" w:rsidP="00952074">
            <w:pPr>
              <w:pStyle w:val="TableText0"/>
              <w:keepNext w:val="0"/>
              <w:spacing w:before="280"/>
              <w:jc w:val="right"/>
              <w:rPr>
                <w:lang w:val="fr-FR"/>
              </w:rPr>
            </w:pPr>
            <w:r w:rsidRPr="00180DCC">
              <w:rPr>
                <w:lang w:val="fr-FR"/>
              </w:rPr>
              <w:t xml:space="preserve">3,76  </w:t>
            </w:r>
            <w:r w:rsidRPr="00180DCC">
              <w:rPr>
                <w:rFonts w:ascii="Symbol" w:hAnsi="Symbol"/>
                <w:lang w:val="fr-FR"/>
              </w:rPr>
              <w:t></w:t>
            </w:r>
            <w:r w:rsidRPr="00180DCC">
              <w:rPr>
                <w:lang w:val="fr-FR"/>
              </w:rPr>
              <w:t xml:space="preserve">  antilog</w:t>
            </w:r>
          </w:p>
        </w:tc>
        <w:tc>
          <w:tcPr>
            <w:tcW w:w="3850" w:type="dxa"/>
            <w:tcBorders>
              <w:top w:val="single" w:sz="6" w:space="0" w:color="auto"/>
              <w:bottom w:val="single" w:sz="6" w:space="0" w:color="auto"/>
              <w:right w:val="single" w:sz="6" w:space="0" w:color="auto"/>
            </w:tcBorders>
          </w:tcPr>
          <w:p w14:paraId="31A4AC76" w14:textId="77777777" w:rsidR="00AA41BC" w:rsidRPr="00180DCC" w:rsidRDefault="00AA41BC" w:rsidP="00952074">
            <w:pPr>
              <w:pStyle w:val="TableText0"/>
              <w:spacing w:before="160" w:after="160" w:line="240" w:lineRule="auto"/>
              <w:jc w:val="left"/>
              <w:rPr>
                <w:lang w:val="fr-FR"/>
              </w:rPr>
            </w:pPr>
            <w:r w:rsidRPr="00180DCC">
              <w:rPr>
                <w:lang w:val="fr-FR"/>
              </w:rPr>
              <w:fldChar w:fldCharType="begin"/>
            </w:r>
            <w:r w:rsidRPr="00180DCC">
              <w:rPr>
                <w:lang w:val="fr-FR"/>
              </w:rPr>
              <w:instrText xml:space="preserve">eq \b\bc\[(\f(2\,6  </w:instrText>
            </w:r>
            <w:r w:rsidRPr="00180DCC">
              <w:rPr>
                <w:rFonts w:ascii="Symbol" w:hAnsi="Symbol"/>
                <w:lang w:val="fr-FR"/>
              </w:rPr>
              <w:instrText>+</w:instrText>
            </w:r>
            <w:r w:rsidRPr="00180DCC">
              <w:rPr>
                <w:lang w:val="fr-FR"/>
              </w:rPr>
              <w:instrText xml:space="preserve">  2 log </w:instrText>
            </w:r>
            <w:r w:rsidRPr="00180DCC">
              <w:rPr>
                <w:i/>
                <w:lang w:val="fr-FR"/>
              </w:rPr>
              <w:instrText>N</w:instrText>
            </w:r>
            <w:r w:rsidRPr="00180DCC">
              <w:rPr>
                <w:i/>
                <w:position w:val="-3"/>
                <w:sz w:val="14"/>
                <w:lang w:val="fr-FR"/>
              </w:rPr>
              <w:instrText>c</w:instrText>
            </w:r>
            <w:r w:rsidRPr="00180DCC">
              <w:rPr>
                <w:lang w:val="fr-FR"/>
              </w:rPr>
              <w:instrText>,20))</w:instrText>
            </w:r>
            <w:r w:rsidRPr="00180DCC">
              <w:rPr>
                <w:lang w:val="fr-FR"/>
              </w:rPr>
              <w:fldChar w:fldCharType="end"/>
            </w:r>
          </w:p>
        </w:tc>
      </w:tr>
      <w:tr w:rsidR="00AA41BC" w:rsidRPr="00180DCC" w14:paraId="0B0F3A88" w14:textId="77777777" w:rsidTr="00952074">
        <w:trPr>
          <w:jc w:val="center"/>
        </w:trPr>
        <w:tc>
          <w:tcPr>
            <w:tcW w:w="1993" w:type="dxa"/>
            <w:tcBorders>
              <w:top w:val="single" w:sz="6" w:space="0" w:color="auto"/>
              <w:left w:val="single" w:sz="6" w:space="0" w:color="auto"/>
              <w:bottom w:val="single" w:sz="6" w:space="0" w:color="auto"/>
              <w:right w:val="single" w:sz="6" w:space="0" w:color="auto"/>
            </w:tcBorders>
          </w:tcPr>
          <w:p w14:paraId="5ED60400" w14:textId="77777777" w:rsidR="00AA41BC" w:rsidRPr="00180DCC" w:rsidRDefault="00AA41BC" w:rsidP="00952074">
            <w:pPr>
              <w:pStyle w:val="TableText0"/>
              <w:keepNext w:val="0"/>
              <w:spacing w:before="280"/>
              <w:ind w:left="-17" w:right="-17"/>
              <w:jc w:val="center"/>
              <w:rPr>
                <w:lang w:val="fr-FR"/>
              </w:rPr>
            </w:pPr>
            <w:r w:rsidRPr="00180DCC">
              <w:rPr>
                <w:lang w:val="fr-FR"/>
              </w:rPr>
              <w:t xml:space="preserve">60  </w:t>
            </w:r>
            <w:r w:rsidRPr="00180DCC">
              <w:rPr>
                <w:rFonts w:ascii="Symbol" w:hAnsi="Symbol"/>
                <w:lang w:val="fr-FR"/>
              </w:rPr>
              <w:t></w:t>
            </w:r>
            <w:r w:rsidRPr="00180DCC">
              <w:rPr>
                <w:lang w:val="fr-FR"/>
              </w:rPr>
              <w:t xml:space="preserve">  </w:t>
            </w:r>
            <w:r w:rsidRPr="00180DCC">
              <w:rPr>
                <w:i/>
                <w:lang w:val="fr-FR"/>
              </w:rPr>
              <w:t>N</w:t>
            </w:r>
            <w:r w:rsidRPr="00180DCC">
              <w:rPr>
                <w:i/>
                <w:position w:val="-3"/>
                <w:sz w:val="14"/>
                <w:lang w:val="fr-FR"/>
              </w:rPr>
              <w:t>c</w:t>
            </w:r>
            <w:r w:rsidRPr="00180DCC">
              <w:rPr>
                <w:lang w:val="fr-FR"/>
              </w:rPr>
              <w:t xml:space="preserve">  &lt;  240</w:t>
            </w:r>
          </w:p>
        </w:tc>
        <w:tc>
          <w:tcPr>
            <w:tcW w:w="3796" w:type="dxa"/>
            <w:tcBorders>
              <w:top w:val="single" w:sz="6" w:space="0" w:color="auto"/>
              <w:bottom w:val="single" w:sz="6" w:space="0" w:color="auto"/>
            </w:tcBorders>
          </w:tcPr>
          <w:p w14:paraId="53646CC9" w14:textId="77777777" w:rsidR="00AA41BC" w:rsidRPr="00180DCC" w:rsidRDefault="00AA41BC" w:rsidP="00952074">
            <w:pPr>
              <w:pStyle w:val="TableText0"/>
              <w:keepNext w:val="0"/>
              <w:spacing w:before="280"/>
              <w:jc w:val="right"/>
              <w:rPr>
                <w:lang w:val="fr-FR"/>
              </w:rPr>
            </w:pPr>
            <w:r w:rsidRPr="00180DCC">
              <w:rPr>
                <w:lang w:val="fr-FR"/>
              </w:rPr>
              <w:t xml:space="preserve">3,76  </w:t>
            </w:r>
            <w:r w:rsidRPr="00180DCC">
              <w:rPr>
                <w:rFonts w:ascii="Symbol" w:hAnsi="Symbol"/>
                <w:lang w:val="fr-FR"/>
              </w:rPr>
              <w:t></w:t>
            </w:r>
            <w:r w:rsidRPr="00180DCC">
              <w:rPr>
                <w:lang w:val="fr-FR"/>
              </w:rPr>
              <w:t xml:space="preserve">  antilog</w:t>
            </w:r>
          </w:p>
        </w:tc>
        <w:tc>
          <w:tcPr>
            <w:tcW w:w="3850" w:type="dxa"/>
            <w:tcBorders>
              <w:top w:val="single" w:sz="6" w:space="0" w:color="auto"/>
              <w:bottom w:val="single" w:sz="6" w:space="0" w:color="auto"/>
              <w:right w:val="single" w:sz="6" w:space="0" w:color="auto"/>
            </w:tcBorders>
          </w:tcPr>
          <w:p w14:paraId="4EAE2D5D" w14:textId="77777777" w:rsidR="00AA41BC" w:rsidRPr="00180DCC" w:rsidRDefault="00AA41BC" w:rsidP="00952074">
            <w:pPr>
              <w:pStyle w:val="TableText0"/>
              <w:spacing w:before="160" w:after="160" w:line="240" w:lineRule="auto"/>
              <w:jc w:val="left"/>
              <w:rPr>
                <w:lang w:val="fr-FR"/>
              </w:rPr>
            </w:pPr>
            <w:r w:rsidRPr="00180DCC">
              <w:rPr>
                <w:lang w:val="fr-FR"/>
              </w:rPr>
              <w:fldChar w:fldCharType="begin"/>
            </w:r>
            <w:r w:rsidRPr="00180DCC">
              <w:rPr>
                <w:lang w:val="fr-FR"/>
              </w:rPr>
              <w:instrText xml:space="preserve">eq \b\bc\[(\f(–1  </w:instrText>
            </w:r>
            <w:r w:rsidRPr="00180DCC">
              <w:rPr>
                <w:rFonts w:ascii="Symbol" w:hAnsi="Symbol"/>
                <w:lang w:val="fr-FR"/>
              </w:rPr>
              <w:instrText>+</w:instrText>
            </w:r>
            <w:r w:rsidRPr="00180DCC">
              <w:rPr>
                <w:lang w:val="fr-FR"/>
              </w:rPr>
              <w:instrText xml:space="preserve">  4 log </w:instrText>
            </w:r>
            <w:r w:rsidRPr="00180DCC">
              <w:rPr>
                <w:i/>
                <w:lang w:val="fr-FR"/>
              </w:rPr>
              <w:instrText>N</w:instrText>
            </w:r>
            <w:r w:rsidRPr="00180DCC">
              <w:rPr>
                <w:i/>
                <w:position w:val="-3"/>
                <w:sz w:val="14"/>
                <w:lang w:val="fr-FR"/>
              </w:rPr>
              <w:instrText>c</w:instrText>
            </w:r>
            <w:r w:rsidRPr="00180DCC">
              <w:rPr>
                <w:lang w:val="fr-FR"/>
              </w:rPr>
              <w:instrText>,20))</w:instrText>
            </w:r>
            <w:r w:rsidRPr="00180DCC">
              <w:rPr>
                <w:lang w:val="fr-FR"/>
              </w:rPr>
              <w:fldChar w:fldCharType="end"/>
            </w:r>
          </w:p>
        </w:tc>
      </w:tr>
      <w:tr w:rsidR="00AA41BC" w:rsidRPr="00180DCC" w14:paraId="250A5209" w14:textId="77777777" w:rsidTr="00952074">
        <w:trPr>
          <w:jc w:val="center"/>
        </w:trPr>
        <w:tc>
          <w:tcPr>
            <w:tcW w:w="1993" w:type="dxa"/>
            <w:tcBorders>
              <w:top w:val="single" w:sz="6" w:space="0" w:color="auto"/>
              <w:left w:val="single" w:sz="6" w:space="0" w:color="auto"/>
              <w:bottom w:val="single" w:sz="6" w:space="0" w:color="auto"/>
              <w:right w:val="single" w:sz="6" w:space="0" w:color="auto"/>
            </w:tcBorders>
          </w:tcPr>
          <w:p w14:paraId="62451C8A" w14:textId="77777777" w:rsidR="00AA41BC" w:rsidRPr="00180DCC" w:rsidRDefault="00AA41BC" w:rsidP="00952074">
            <w:pPr>
              <w:pStyle w:val="TableText0"/>
              <w:keepNext w:val="0"/>
              <w:spacing w:before="280"/>
              <w:jc w:val="center"/>
              <w:rPr>
                <w:lang w:val="fr-FR"/>
              </w:rPr>
            </w:pPr>
            <w:r w:rsidRPr="00180DCC">
              <w:rPr>
                <w:i/>
                <w:lang w:val="fr-FR"/>
              </w:rPr>
              <w:t>N</w:t>
            </w:r>
            <w:r w:rsidRPr="00180DCC">
              <w:rPr>
                <w:i/>
                <w:position w:val="-3"/>
                <w:sz w:val="14"/>
                <w:lang w:val="fr-FR"/>
              </w:rPr>
              <w:t>c</w:t>
            </w:r>
            <w:r w:rsidRPr="00180DCC">
              <w:rPr>
                <w:lang w:val="fr-FR"/>
              </w:rPr>
              <w:t xml:space="preserve">  </w:t>
            </w:r>
            <w:r w:rsidRPr="00180DCC">
              <w:rPr>
                <w:rFonts w:ascii="Symbol" w:hAnsi="Symbol"/>
                <w:lang w:val="fr-FR"/>
              </w:rPr>
              <w:t></w:t>
            </w:r>
            <w:r w:rsidRPr="00180DCC">
              <w:rPr>
                <w:lang w:val="fr-FR"/>
              </w:rPr>
              <w:t xml:space="preserve">  240</w:t>
            </w:r>
          </w:p>
        </w:tc>
        <w:tc>
          <w:tcPr>
            <w:tcW w:w="3796" w:type="dxa"/>
            <w:tcBorders>
              <w:top w:val="single" w:sz="6" w:space="0" w:color="auto"/>
              <w:bottom w:val="single" w:sz="6" w:space="0" w:color="auto"/>
            </w:tcBorders>
          </w:tcPr>
          <w:p w14:paraId="1064CFA0" w14:textId="77777777" w:rsidR="00AA41BC" w:rsidRPr="00180DCC" w:rsidRDefault="00AA41BC" w:rsidP="00952074">
            <w:pPr>
              <w:pStyle w:val="TableText0"/>
              <w:keepNext w:val="0"/>
              <w:spacing w:before="280"/>
              <w:jc w:val="right"/>
              <w:rPr>
                <w:lang w:val="fr-FR"/>
              </w:rPr>
            </w:pPr>
            <w:r w:rsidRPr="00180DCC">
              <w:rPr>
                <w:lang w:val="fr-FR"/>
              </w:rPr>
              <w:t xml:space="preserve">3,76  </w:t>
            </w:r>
            <w:r w:rsidRPr="00180DCC">
              <w:rPr>
                <w:rFonts w:ascii="Symbol" w:hAnsi="Symbol"/>
                <w:lang w:val="fr-FR"/>
              </w:rPr>
              <w:t></w:t>
            </w:r>
            <w:r w:rsidRPr="00180DCC">
              <w:rPr>
                <w:lang w:val="fr-FR"/>
              </w:rPr>
              <w:t xml:space="preserve">  antilog</w:t>
            </w:r>
          </w:p>
        </w:tc>
        <w:tc>
          <w:tcPr>
            <w:tcW w:w="3850" w:type="dxa"/>
            <w:tcBorders>
              <w:top w:val="single" w:sz="6" w:space="0" w:color="auto"/>
              <w:bottom w:val="single" w:sz="6" w:space="0" w:color="auto"/>
              <w:right w:val="single" w:sz="6" w:space="0" w:color="auto"/>
            </w:tcBorders>
          </w:tcPr>
          <w:p w14:paraId="067DD969" w14:textId="77777777" w:rsidR="00AA41BC" w:rsidRPr="00180DCC" w:rsidRDefault="00AA41BC" w:rsidP="00952074">
            <w:pPr>
              <w:pStyle w:val="TableText0"/>
              <w:spacing w:before="160" w:after="160" w:line="240" w:lineRule="auto"/>
              <w:jc w:val="left"/>
              <w:rPr>
                <w:lang w:val="fr-FR"/>
              </w:rPr>
            </w:pPr>
            <w:r w:rsidRPr="00180DCC">
              <w:rPr>
                <w:lang w:val="fr-FR"/>
              </w:rPr>
              <w:fldChar w:fldCharType="begin"/>
            </w:r>
            <w:r w:rsidRPr="00180DCC">
              <w:rPr>
                <w:lang w:val="fr-FR"/>
              </w:rPr>
              <w:instrText xml:space="preserve">eq \b\bc\[(\f(–15  </w:instrText>
            </w:r>
            <w:r w:rsidRPr="00180DCC">
              <w:rPr>
                <w:rFonts w:ascii="Symbol" w:hAnsi="Symbol"/>
                <w:lang w:val="fr-FR"/>
              </w:rPr>
              <w:instrText>+</w:instrText>
            </w:r>
            <w:r w:rsidRPr="00180DCC">
              <w:rPr>
                <w:lang w:val="fr-FR"/>
              </w:rPr>
              <w:instrText xml:space="preserve">  10 log </w:instrText>
            </w:r>
            <w:r w:rsidRPr="00180DCC">
              <w:rPr>
                <w:i/>
                <w:lang w:val="fr-FR"/>
              </w:rPr>
              <w:instrText>N</w:instrText>
            </w:r>
            <w:r w:rsidRPr="00180DCC">
              <w:rPr>
                <w:i/>
                <w:position w:val="-3"/>
                <w:sz w:val="14"/>
                <w:lang w:val="fr-FR"/>
              </w:rPr>
              <w:instrText>c</w:instrText>
            </w:r>
            <w:r w:rsidRPr="00180DCC">
              <w:rPr>
                <w:lang w:val="fr-FR"/>
              </w:rPr>
              <w:instrText>,20))</w:instrText>
            </w:r>
            <w:r w:rsidRPr="00180DCC">
              <w:rPr>
                <w:lang w:val="fr-FR"/>
              </w:rPr>
              <w:fldChar w:fldCharType="end"/>
            </w:r>
          </w:p>
        </w:tc>
      </w:tr>
      <w:tr w:rsidR="00AA41BC" w:rsidRPr="00802534" w14:paraId="686ADB24" w14:textId="77777777" w:rsidTr="00952074">
        <w:trPr>
          <w:jc w:val="center"/>
        </w:trPr>
        <w:tc>
          <w:tcPr>
            <w:tcW w:w="9639" w:type="dxa"/>
            <w:gridSpan w:val="3"/>
            <w:tcBorders>
              <w:top w:val="single" w:sz="6" w:space="0" w:color="auto"/>
            </w:tcBorders>
          </w:tcPr>
          <w:p w14:paraId="17F9E249" w14:textId="000B4A03" w:rsidR="00AA41BC" w:rsidRPr="00180DCC" w:rsidRDefault="00AA41BC" w:rsidP="005835A4">
            <w:pPr>
              <w:pStyle w:val="Tablelegend"/>
              <w:rPr>
                <w:sz w:val="18"/>
                <w:szCs w:val="18"/>
                <w:lang w:val="fr-FR"/>
              </w:rPr>
            </w:pPr>
            <w:r w:rsidRPr="00180DCC">
              <w:rPr>
                <w:position w:val="6"/>
                <w:sz w:val="14"/>
                <w:lang w:val="fr-FR"/>
              </w:rPr>
              <w:t>(1)</w:t>
            </w:r>
            <w:r w:rsidRPr="00180DCC">
              <w:rPr>
                <w:sz w:val="18"/>
                <w:szCs w:val="18"/>
                <w:lang w:val="fr-FR"/>
              </w:rPr>
              <w:tab/>
              <w:t>Dans ce Tableau, les facteurs multiplicatifs 3,76 et 4,47 correspondent respectivement à des facteurs de crête de 11,5 dB et</w:t>
            </w:r>
            <w:r w:rsidR="005835A4" w:rsidRPr="00180DCC">
              <w:rPr>
                <w:sz w:val="18"/>
                <w:szCs w:val="18"/>
                <w:lang w:val="fr-FR"/>
              </w:rPr>
              <w:t> </w:t>
            </w:r>
            <w:r w:rsidRPr="00180DCC">
              <w:rPr>
                <w:sz w:val="18"/>
                <w:szCs w:val="18"/>
                <w:lang w:val="fr-FR"/>
              </w:rPr>
              <w:t>13,0 dB.</w:t>
            </w:r>
          </w:p>
        </w:tc>
      </w:tr>
    </w:tbl>
    <w:p w14:paraId="6665DF00" w14:textId="2B718158" w:rsidR="00AA41BC" w:rsidRPr="00180DCC" w:rsidRDefault="00AA41BC" w:rsidP="000C573B">
      <w:pPr>
        <w:keepNext/>
        <w:keepLines/>
        <w:rPr>
          <w:lang w:val="fr-FR"/>
        </w:rPr>
      </w:pPr>
      <w:r w:rsidRPr="00180DCC">
        <w:rPr>
          <w:lang w:val="fr-FR"/>
        </w:rPr>
        <w:lastRenderedPageBreak/>
        <w:t>Entre 1975 et 1976, d</w:t>
      </w:r>
      <w:r w:rsidR="00C73875" w:rsidRPr="00180DCC">
        <w:rPr>
          <w:lang w:val="fr-FR"/>
        </w:rPr>
        <w:t>'</w:t>
      </w:r>
      <w:r w:rsidRPr="00180DCC">
        <w:rPr>
          <w:lang w:val="fr-FR"/>
        </w:rPr>
        <w:t>autres mesures portant sur la puissance du signal vocal ont été effectuées sur les mêmes circuits et les mêmes réseaux, en utilisant une méthodologie similaire, de manière à permettre une comparaison directe des résultats aux travaux antérieurs. Les dernières mesures ont été étudiées à la fois dans les secteurs de l</w:t>
      </w:r>
      <w:r w:rsidR="00C73875" w:rsidRPr="00180DCC">
        <w:rPr>
          <w:lang w:val="fr-FR"/>
        </w:rPr>
        <w:t>'</w:t>
      </w:r>
      <w:r w:rsidRPr="00180DCC">
        <w:rPr>
          <w:lang w:val="fr-FR"/>
        </w:rPr>
        <w:t>industrie et du gouvernement, depuis cette époque, conduisant finalement à des modifications d</w:t>
      </w:r>
      <w:r w:rsidR="00C73875" w:rsidRPr="00180DCC">
        <w:rPr>
          <w:lang w:val="fr-FR"/>
        </w:rPr>
        <w:t>'</w:t>
      </w:r>
      <w:r w:rsidRPr="00180DCC">
        <w:rPr>
          <w:lang w:val="fr-FR"/>
        </w:rPr>
        <w:t>applications domestiques typiques sur les réseaux téléphoniques publics avec commutation.</w:t>
      </w:r>
    </w:p>
    <w:p w14:paraId="6D28E48E" w14:textId="2FDC302D" w:rsidR="00AA41BC" w:rsidRPr="00180DCC" w:rsidRDefault="00AA41BC" w:rsidP="005835A4">
      <w:pPr>
        <w:rPr>
          <w:lang w:val="fr-FR"/>
        </w:rPr>
      </w:pPr>
      <w:r w:rsidRPr="00180DCC">
        <w:rPr>
          <w:lang w:val="fr-FR"/>
        </w:rPr>
        <w:t>Pour résumer l</w:t>
      </w:r>
      <w:r w:rsidR="00C73875" w:rsidRPr="00180DCC">
        <w:rPr>
          <w:lang w:val="fr-FR"/>
        </w:rPr>
        <w:t>'</w:t>
      </w:r>
      <w:r w:rsidRPr="00180DCC">
        <w:rPr>
          <w:lang w:val="fr-FR"/>
        </w:rPr>
        <w:t>étude de 1975-1976, qui indiquait les raisons pour lesquelles il existait des différences par rapport à l</w:t>
      </w:r>
      <w:r w:rsidR="00C73875" w:rsidRPr="00180DCC">
        <w:rPr>
          <w:lang w:val="fr-FR"/>
        </w:rPr>
        <w:t>'</w:t>
      </w:r>
      <w:r w:rsidRPr="00180DCC">
        <w:rPr>
          <w:lang w:val="fr-FR"/>
        </w:rPr>
        <w:t>étude antérieure, on a constaté que des changements considérables se sont accumulés pour se traduire par une diminution moyenne d</w:t>
      </w:r>
      <w:r w:rsidR="00C73875" w:rsidRPr="00180DCC">
        <w:rPr>
          <w:lang w:val="fr-FR"/>
        </w:rPr>
        <w:t>'</w:t>
      </w:r>
      <w:r w:rsidRPr="00180DCC">
        <w:rPr>
          <w:lang w:val="fr-FR"/>
        </w:rPr>
        <w:t>environ 4,6 dB du niveau de la puissance moyenne pour la personne qui parle. Ces changements ont contribué à augmenter l</w:t>
      </w:r>
      <w:r w:rsidR="00C73875" w:rsidRPr="00180DCC">
        <w:rPr>
          <w:lang w:val="fr-FR"/>
        </w:rPr>
        <w:t>'</w:t>
      </w:r>
      <w:r w:rsidRPr="00180DCC">
        <w:rPr>
          <w:lang w:val="fr-FR"/>
        </w:rPr>
        <w:t>uniformité du service dans les réseaux publics à commutation, du point de vue des volumes de conversation. Parmi ces changements, on peut signaler une diminution de la proportion de systèmes interurbains à batteries, des améliorations du plan d</w:t>
      </w:r>
      <w:r w:rsidR="00C73875" w:rsidRPr="00180DCC">
        <w:rPr>
          <w:lang w:val="fr-FR"/>
        </w:rPr>
        <w:t>'</w:t>
      </w:r>
      <w:r w:rsidRPr="00180DCC">
        <w:rPr>
          <w:lang w:val="fr-FR"/>
        </w:rPr>
        <w:t>affaiblissement, l</w:t>
      </w:r>
      <w:r w:rsidR="00C73875" w:rsidRPr="00180DCC">
        <w:rPr>
          <w:lang w:val="fr-FR"/>
        </w:rPr>
        <w:t>'</w:t>
      </w:r>
      <w:r w:rsidRPr="00180DCC">
        <w:rPr>
          <w:lang w:val="fr-FR"/>
        </w:rPr>
        <w:t>utilisation d</w:t>
      </w:r>
      <w:r w:rsidR="00C73875" w:rsidRPr="00180DCC">
        <w:rPr>
          <w:lang w:val="fr-FR"/>
        </w:rPr>
        <w:t>'</w:t>
      </w:r>
      <w:r w:rsidRPr="00180DCC">
        <w:rPr>
          <w:lang w:val="fr-FR"/>
        </w:rPr>
        <w:t>appareils téléphoniques plus perfectionnés et une augmentation de la répartition directe. La numérotation automatique est devenue de pratique courante avec les nouvelles techniques appliquées à la conception des lignes d</w:t>
      </w:r>
      <w:r w:rsidR="00C73875" w:rsidRPr="00180DCC">
        <w:rPr>
          <w:lang w:val="fr-FR"/>
        </w:rPr>
        <w:t>'</w:t>
      </w:r>
      <w:r w:rsidRPr="00180DCC">
        <w:rPr>
          <w:lang w:val="fr-FR"/>
        </w:rPr>
        <w:t>abonnés et des circuits de jonction. Par ailleurs, une technique améliorée pour l</w:t>
      </w:r>
      <w:r w:rsidR="00C73875" w:rsidRPr="00180DCC">
        <w:rPr>
          <w:lang w:val="fr-FR"/>
        </w:rPr>
        <w:t>'</w:t>
      </w:r>
      <w:r w:rsidRPr="00180DCC">
        <w:rPr>
          <w:lang w:val="fr-FR"/>
        </w:rPr>
        <w:t>acquisition numérique des données a facilité la mesure (en 1975-1976) de la puissance du signal vocal avec une précision meilleure que celle de 1960 lorsqu</w:t>
      </w:r>
      <w:r w:rsidR="00C73875" w:rsidRPr="00180DCC">
        <w:rPr>
          <w:lang w:val="fr-FR"/>
        </w:rPr>
        <w:t>'</w:t>
      </w:r>
      <w:r w:rsidRPr="00180DCC">
        <w:rPr>
          <w:lang w:val="fr-FR"/>
        </w:rPr>
        <w:t>on utilisait des vumètres pour cette étude. Par rapport aux mesures effectuées en 1960, l</w:t>
      </w:r>
      <w:r w:rsidR="00C73875" w:rsidRPr="00180DCC">
        <w:rPr>
          <w:lang w:val="fr-FR"/>
        </w:rPr>
        <w:t>'</w:t>
      </w:r>
      <w:r w:rsidRPr="00180DCC">
        <w:rPr>
          <w:lang w:val="fr-FR"/>
        </w:rPr>
        <w:t>écart type de toutes les mesures effectuées en 1975-1976 a été réduit en moyenne d</w:t>
      </w:r>
      <w:r w:rsidR="00C73875" w:rsidRPr="00180DCC">
        <w:rPr>
          <w:lang w:val="fr-FR"/>
        </w:rPr>
        <w:t>'</w:t>
      </w:r>
      <w:r w:rsidRPr="00180DCC">
        <w:rPr>
          <w:lang w:val="fr-FR"/>
        </w:rPr>
        <w:t>environ 1/3, passant de 7 à 4,6 unités de volume. On a utilisé un plan d</w:t>
      </w:r>
      <w:r w:rsidR="00C73875" w:rsidRPr="00180DCC">
        <w:rPr>
          <w:lang w:val="fr-FR"/>
        </w:rPr>
        <w:t>'</w:t>
      </w:r>
      <w:r w:rsidRPr="00180DCC">
        <w:rPr>
          <w:lang w:val="fr-FR"/>
        </w:rPr>
        <w:t>échantillonnage statistique à plusieurs étapes (extrémité rapprochée et extrémité éloignée) pour mesurer la puissance pour la personne qui parle sur plus de 10</w:t>
      </w:r>
      <w:r w:rsidRPr="00180DCC">
        <w:rPr>
          <w:sz w:val="12"/>
          <w:lang w:val="fr-FR"/>
        </w:rPr>
        <w:t> </w:t>
      </w:r>
      <w:r w:rsidRPr="00180DCC">
        <w:rPr>
          <w:lang w:val="fr-FR"/>
        </w:rPr>
        <w:t>000 appels provenant d</w:t>
      </w:r>
      <w:r w:rsidR="00C73875" w:rsidRPr="00180DCC">
        <w:rPr>
          <w:lang w:val="fr-FR"/>
        </w:rPr>
        <w:t>'</w:t>
      </w:r>
      <w:r w:rsidRPr="00180DCC">
        <w:rPr>
          <w:lang w:val="fr-FR"/>
        </w:rPr>
        <w:t>environ 2</w:t>
      </w:r>
      <w:r w:rsidRPr="00180DCC">
        <w:rPr>
          <w:rFonts w:ascii="Tms Rmn" w:hAnsi="Tms Rmn"/>
          <w:sz w:val="12"/>
          <w:lang w:val="fr-FR"/>
        </w:rPr>
        <w:t> </w:t>
      </w:r>
      <w:r w:rsidRPr="00180DCC">
        <w:rPr>
          <w:lang w:val="fr-FR"/>
        </w:rPr>
        <w:t>500 lignes d</w:t>
      </w:r>
      <w:r w:rsidR="00C73875" w:rsidRPr="00180DCC">
        <w:rPr>
          <w:lang w:val="fr-FR"/>
        </w:rPr>
        <w:t>'</w:t>
      </w:r>
      <w:r w:rsidRPr="00180DCC">
        <w:rPr>
          <w:lang w:val="fr-FR"/>
        </w:rPr>
        <w:t>abonnés. La puissance moyenne du signal de conversation (moyenne établie sur l</w:t>
      </w:r>
      <w:r w:rsidR="00C73875" w:rsidRPr="00180DCC">
        <w:rPr>
          <w:lang w:val="fr-FR"/>
        </w:rPr>
        <w:t>'</w:t>
      </w:r>
      <w:r w:rsidRPr="00180DCC">
        <w:rPr>
          <w:lang w:val="fr-FR"/>
        </w:rPr>
        <w:t>ensemble de la période d</w:t>
      </w:r>
      <w:r w:rsidR="00C73875" w:rsidRPr="00180DCC">
        <w:rPr>
          <w:lang w:val="fr-FR"/>
        </w:rPr>
        <w:t>'</w:t>
      </w:r>
      <w:r w:rsidRPr="00180DCC">
        <w:rPr>
          <w:lang w:val="fr-FR"/>
        </w:rPr>
        <w:t>observation) et une nouvelle mesure du niveau de la parole appelé niveau équivalent de crête (EPL) ont été utilisées pour caractériser les signaux pour la personne qui parle. Le courant continu de la boucle, la catégorie de service, le type du commutateur et la destination de l</w:t>
      </w:r>
      <w:r w:rsidR="00C73875" w:rsidRPr="00180DCC">
        <w:rPr>
          <w:lang w:val="fr-FR"/>
        </w:rPr>
        <w:t>'</w:t>
      </w:r>
      <w:r w:rsidRPr="00180DCC">
        <w:rPr>
          <w:lang w:val="fr-FR"/>
        </w:rPr>
        <w:t>appel ont été enregistrés en tant que partie de l</w:t>
      </w:r>
      <w:r w:rsidR="00C73875" w:rsidRPr="00180DCC">
        <w:rPr>
          <w:lang w:val="fr-FR"/>
        </w:rPr>
        <w:t>'</w:t>
      </w:r>
      <w:r w:rsidRPr="00180DCC">
        <w:rPr>
          <w:lang w:val="fr-FR"/>
        </w:rPr>
        <w:t>étude de 1975</w:t>
      </w:r>
      <w:r w:rsidRPr="00180DCC">
        <w:rPr>
          <w:lang w:val="fr-FR"/>
        </w:rPr>
        <w:noBreakHyphen/>
        <w:t>1976.</w:t>
      </w:r>
    </w:p>
    <w:p w14:paraId="54D50875" w14:textId="24C11CC7" w:rsidR="00AA41BC" w:rsidRPr="00180DCC" w:rsidRDefault="00AA41BC" w:rsidP="00AA41BC">
      <w:pPr>
        <w:pStyle w:val="Note"/>
        <w:rPr>
          <w:lang w:val="fr-FR"/>
        </w:rPr>
      </w:pPr>
      <w:r w:rsidRPr="00180DCC">
        <w:rPr>
          <w:lang w:val="fr-FR"/>
        </w:rPr>
        <w:t>NOTE 2 – L</w:t>
      </w:r>
      <w:r w:rsidR="00C73875" w:rsidRPr="00180DCC">
        <w:rPr>
          <w:lang w:val="fr-FR"/>
        </w:rPr>
        <w:t>'</w:t>
      </w:r>
      <w:r w:rsidRPr="00180DCC">
        <w:rPr>
          <w:lang w:val="fr-FR"/>
        </w:rPr>
        <w:t xml:space="preserve">unité de volume est un moyen de mesurer le niveau de la parole avec un indicateur de niveau de puissance étalonné en dB pour une tension sinusoïdale uniforme, avec une référence de 1 mW sur 600 </w:t>
      </w:r>
      <w:r w:rsidRPr="00180DCC">
        <w:rPr>
          <w:rFonts w:ascii="Symbol" w:hAnsi="Symbol"/>
          <w:lang w:val="fr-FR"/>
        </w:rPr>
        <w:t></w:t>
      </w:r>
      <w:r w:rsidRPr="00180DCC">
        <w:rPr>
          <w:lang w:val="fr-FR"/>
        </w:rPr>
        <w:t>. La réponse de l</w:t>
      </w:r>
      <w:r w:rsidR="00C73875" w:rsidRPr="00180DCC">
        <w:rPr>
          <w:lang w:val="fr-FR"/>
        </w:rPr>
        <w:t>'</w:t>
      </w:r>
      <w:r w:rsidRPr="00180DCC">
        <w:rPr>
          <w:lang w:val="fr-FR"/>
        </w:rPr>
        <w:t>indicateur n</w:t>
      </w:r>
      <w:r w:rsidR="00C73875" w:rsidRPr="00180DCC">
        <w:rPr>
          <w:lang w:val="fr-FR"/>
        </w:rPr>
        <w:t>'</w:t>
      </w:r>
      <w:r w:rsidRPr="00180DCC">
        <w:rPr>
          <w:lang w:val="fr-FR"/>
        </w:rPr>
        <w:t>est pas pondérée en fréquence. Les lectures sur vumètres sont des moyennes obtenues grâce à un ensemble particulier de caractéristiques balistiques (mécaniques) de l</w:t>
      </w:r>
      <w:r w:rsidR="00C73875" w:rsidRPr="00180DCC">
        <w:rPr>
          <w:lang w:val="fr-FR"/>
        </w:rPr>
        <w:t>'</w:t>
      </w:r>
      <w:r w:rsidRPr="00180DCC">
        <w:rPr>
          <w:lang w:val="fr-FR"/>
        </w:rPr>
        <w:t>appareil de mesure.</w:t>
      </w:r>
    </w:p>
    <w:p w14:paraId="0BB24780" w14:textId="01311563" w:rsidR="00AA41BC" w:rsidRPr="00180DCC" w:rsidRDefault="00AA41BC" w:rsidP="005835A4">
      <w:pPr>
        <w:rPr>
          <w:lang w:val="fr-FR"/>
        </w:rPr>
      </w:pPr>
      <w:r w:rsidRPr="00180DCC">
        <w:rPr>
          <w:lang w:val="fr-FR"/>
        </w:rPr>
        <w:t>L</w:t>
      </w:r>
      <w:r w:rsidR="00C73875" w:rsidRPr="00180DCC">
        <w:rPr>
          <w:lang w:val="fr-FR"/>
        </w:rPr>
        <w:t>'</w:t>
      </w:r>
      <w:r w:rsidRPr="00180DCC">
        <w:rPr>
          <w:lang w:val="fr-FR"/>
        </w:rPr>
        <w:t>étude ultérieure a montré qu</w:t>
      </w:r>
      <w:r w:rsidR="00C73875" w:rsidRPr="00180DCC">
        <w:rPr>
          <w:lang w:val="fr-FR"/>
        </w:rPr>
        <w:t>'</w:t>
      </w:r>
      <w:r w:rsidRPr="00180DCC">
        <w:rPr>
          <w:lang w:val="fr-FR"/>
        </w:rPr>
        <w:t>avec des systèmes du réseau public à commutation (1975 et 1976), la puissance du signal vocal dépendait peu de la destination de l</w:t>
      </w:r>
      <w:r w:rsidR="00C73875" w:rsidRPr="00180DCC">
        <w:rPr>
          <w:lang w:val="fr-FR"/>
        </w:rPr>
        <w:t>'</w:t>
      </w:r>
      <w:r w:rsidRPr="00180DCC">
        <w:rPr>
          <w:lang w:val="fr-FR"/>
        </w:rPr>
        <w:t>appel ou de la classe de service d</w:t>
      </w:r>
      <w:r w:rsidR="00C73875" w:rsidRPr="00180DCC">
        <w:rPr>
          <w:lang w:val="fr-FR"/>
        </w:rPr>
        <w:t>'</w:t>
      </w:r>
      <w:r w:rsidRPr="00180DCC">
        <w:rPr>
          <w:lang w:val="fr-FR"/>
        </w:rPr>
        <w:t>origine (résidence, affaires, local, interurbain et combiné). Les légères différences étaient pour la plupart expliquées par des caractéristiques de la ligne d</w:t>
      </w:r>
      <w:r w:rsidR="00C73875" w:rsidRPr="00180DCC">
        <w:rPr>
          <w:lang w:val="fr-FR"/>
        </w:rPr>
        <w:t>'</w:t>
      </w:r>
      <w:r w:rsidRPr="00180DCC">
        <w:rPr>
          <w:lang w:val="fr-FR"/>
        </w:rPr>
        <w:t>abonné. Il existe peu de variation (sinon aucune) dans la puissance du signal vocal qui soit attribuée, selon les conclusions de l</w:t>
      </w:r>
      <w:r w:rsidR="00C73875" w:rsidRPr="00180DCC">
        <w:rPr>
          <w:lang w:val="fr-FR"/>
        </w:rPr>
        <w:t>'</w:t>
      </w:r>
      <w:r w:rsidRPr="00180DCC">
        <w:rPr>
          <w:lang w:val="fr-FR"/>
        </w:rPr>
        <w:t>étude, à des facteurs psychologiques tels que la distance de l</w:t>
      </w:r>
      <w:r w:rsidR="00C73875" w:rsidRPr="00180DCC">
        <w:rPr>
          <w:lang w:val="fr-FR"/>
        </w:rPr>
        <w:t>'</w:t>
      </w:r>
      <w:r w:rsidRPr="00180DCC">
        <w:rPr>
          <w:lang w:val="fr-FR"/>
        </w:rPr>
        <w:t>appel ou la perception du volume reçu. Les valeurs moyennes mesurées montrent que le réseau de télécommunications à commutation en 1975-1976 était essentiellement transparent aux abonnés en ce sens que la puissance du signal pour la personne qui parle ne dépendait pas de la distance de l</w:t>
      </w:r>
      <w:r w:rsidR="00C73875" w:rsidRPr="00180DCC">
        <w:rPr>
          <w:lang w:val="fr-FR"/>
        </w:rPr>
        <w:t>'</w:t>
      </w:r>
      <w:r w:rsidRPr="00180DCC">
        <w:rPr>
          <w:lang w:val="fr-FR"/>
        </w:rPr>
        <w:t>appel, de la classe de l</w:t>
      </w:r>
      <w:r w:rsidR="00C73875" w:rsidRPr="00180DCC">
        <w:rPr>
          <w:lang w:val="fr-FR"/>
        </w:rPr>
        <w:t>'</w:t>
      </w:r>
      <w:r w:rsidRPr="00180DCC">
        <w:rPr>
          <w:lang w:val="fr-FR"/>
        </w:rPr>
        <w:t>appel (local ou interurbain) ou d</w:t>
      </w:r>
      <w:r w:rsidR="00C73875" w:rsidRPr="00180DCC">
        <w:rPr>
          <w:lang w:val="fr-FR"/>
        </w:rPr>
        <w:t>'</w:t>
      </w:r>
      <w:r w:rsidRPr="00180DCC">
        <w:rPr>
          <w:lang w:val="fr-FR"/>
        </w:rPr>
        <w:t>autres facteurs indépendants des conditions de la boucle locale. En résumé, on estime que les dernières mesures du niveau pour la personne qui parle montrent les mêmes niveaux de conversation normaux que pour les sujets qui n</w:t>
      </w:r>
      <w:r w:rsidR="00C73875" w:rsidRPr="00180DCC">
        <w:rPr>
          <w:lang w:val="fr-FR"/>
        </w:rPr>
        <w:t>'</w:t>
      </w:r>
      <w:r w:rsidRPr="00180DCC">
        <w:rPr>
          <w:lang w:val="fr-FR"/>
        </w:rPr>
        <w:t>utilisent pas le téléphone. En conclusion, on prévoit qu</w:t>
      </w:r>
      <w:r w:rsidR="00C73875" w:rsidRPr="00180DCC">
        <w:rPr>
          <w:lang w:val="fr-FR"/>
        </w:rPr>
        <w:t>'</w:t>
      </w:r>
      <w:r w:rsidRPr="00180DCC">
        <w:rPr>
          <w:lang w:val="fr-FR"/>
        </w:rPr>
        <w:t>à l</w:t>
      </w:r>
      <w:r w:rsidR="00C73875" w:rsidRPr="00180DCC">
        <w:rPr>
          <w:lang w:val="fr-FR"/>
        </w:rPr>
        <w:t>'</w:t>
      </w:r>
      <w:r w:rsidRPr="00180DCC">
        <w:rPr>
          <w:lang w:val="fr-FR"/>
        </w:rPr>
        <w:t>avenir il y aura peu de changements dans le niveau représentatif pour la personne qui parle dans le réseau téléphonique public à commutation qui a fait l</w:t>
      </w:r>
      <w:r w:rsidR="00C73875" w:rsidRPr="00180DCC">
        <w:rPr>
          <w:lang w:val="fr-FR"/>
        </w:rPr>
        <w:t>'</w:t>
      </w:r>
      <w:r w:rsidRPr="00180DCC">
        <w:rPr>
          <w:lang w:val="fr-FR"/>
        </w:rPr>
        <w:t>objet des mesures. Par conséquent, on devrait tenir compte de ce fait dans un examen des formules permettant d</w:t>
      </w:r>
      <w:r w:rsidR="00C73875" w:rsidRPr="00180DCC">
        <w:rPr>
          <w:lang w:val="fr-FR"/>
        </w:rPr>
        <w:t>'</w:t>
      </w:r>
      <w:r w:rsidRPr="00180DCC">
        <w:rPr>
          <w:lang w:val="fr-FR"/>
        </w:rPr>
        <w:t>obtenir les largeurs de bande nécessaires pour les systèmes MRF-MF lorsque la téléphonie utilise une partie importante du circuit</w:t>
      </w:r>
      <w:r w:rsidR="002660D8" w:rsidRPr="00180DCC">
        <w:rPr>
          <w:lang w:val="fr-FR"/>
        </w:rPr>
        <w:t> </w:t>
      </w:r>
      <w:r w:rsidRPr="00180DCC">
        <w:rPr>
          <w:lang w:val="fr-FR"/>
        </w:rPr>
        <w:t>MRF</w:t>
      </w:r>
      <w:r w:rsidRPr="00180DCC">
        <w:rPr>
          <w:lang w:val="fr-FR"/>
        </w:rPr>
        <w:noBreakHyphen/>
        <w:t>MF total.</w:t>
      </w:r>
    </w:p>
    <w:p w14:paraId="516DA88E" w14:textId="3F298E47" w:rsidR="00AA41BC" w:rsidRPr="00180DCC" w:rsidRDefault="00AA41BC" w:rsidP="000C573B">
      <w:pPr>
        <w:keepNext/>
        <w:keepLines/>
        <w:rPr>
          <w:lang w:val="fr-FR"/>
        </w:rPr>
      </w:pPr>
      <w:r w:rsidRPr="00180DCC">
        <w:rPr>
          <w:lang w:val="fr-FR"/>
        </w:rPr>
        <w:lastRenderedPageBreak/>
        <w:t>Dans la formule de</w:t>
      </w:r>
      <w:r w:rsidRPr="00180DCC">
        <w:rPr>
          <w:i/>
          <w:lang w:val="fr-FR"/>
        </w:rPr>
        <w:t xml:space="preserve"> B</w:t>
      </w:r>
      <w:r w:rsidRPr="00180DCC">
        <w:rPr>
          <w:i/>
          <w:position w:val="-3"/>
          <w:sz w:val="16"/>
          <w:lang w:val="fr-FR"/>
        </w:rPr>
        <w:t>n</w:t>
      </w:r>
      <w:r w:rsidRPr="00180DCC">
        <w:rPr>
          <w:lang w:val="fr-FR"/>
        </w:rPr>
        <w:t>, telle qu</w:t>
      </w:r>
      <w:r w:rsidR="00C73875" w:rsidRPr="00180DCC">
        <w:rPr>
          <w:lang w:val="fr-FR"/>
        </w:rPr>
        <w:t>'</w:t>
      </w:r>
      <w:r w:rsidRPr="00180DCC">
        <w:rPr>
          <w:lang w:val="fr-FR"/>
        </w:rPr>
        <w:t>elle est représentée au Tableau 3, les trois facteurs 2,6</w:t>
      </w:r>
      <w:r w:rsidR="00C84DD5" w:rsidRPr="00180DCC">
        <w:rPr>
          <w:lang w:val="fr-FR"/>
        </w:rPr>
        <w:t>;</w:t>
      </w:r>
      <w:r w:rsidRPr="00180DCC">
        <w:rPr>
          <w:lang w:val="fr-FR"/>
        </w:rPr>
        <w:t xml:space="preserve"> </w:t>
      </w:r>
      <w:r w:rsidR="002660D8" w:rsidRPr="00180DCC">
        <w:rPr>
          <w:lang w:val="fr-FR"/>
        </w:rPr>
        <w:t>−</w:t>
      </w:r>
      <w:r w:rsidRPr="00180DCC">
        <w:rPr>
          <w:lang w:val="fr-FR"/>
        </w:rPr>
        <w:t xml:space="preserve">1 et </w:t>
      </w:r>
      <w:r w:rsidR="002660D8" w:rsidRPr="00180DCC">
        <w:rPr>
          <w:lang w:val="fr-FR"/>
        </w:rPr>
        <w:t>−</w:t>
      </w:r>
      <w:r w:rsidRPr="00180DCC">
        <w:rPr>
          <w:lang w:val="fr-FR"/>
        </w:rPr>
        <w:t>15 sont des composantes du facteur de multiplication utilisées pour déterminer</w:t>
      </w:r>
      <w:r w:rsidRPr="00180DCC">
        <w:rPr>
          <w:i/>
          <w:lang w:val="fr-FR"/>
        </w:rPr>
        <w:t xml:space="preserve"> D</w:t>
      </w:r>
      <w:r w:rsidRPr="00180DCC">
        <w:rPr>
          <w:lang w:val="fr-FR"/>
        </w:rPr>
        <w:t>, c</w:t>
      </w:r>
      <w:r w:rsidR="00C73875" w:rsidRPr="00180DCC">
        <w:rPr>
          <w:lang w:val="fr-FR"/>
        </w:rPr>
        <w:t>'</w:t>
      </w:r>
      <w:r w:rsidRPr="00180DCC">
        <w:rPr>
          <w:lang w:val="fr-FR"/>
        </w:rPr>
        <w:t>est-à-dire l</w:t>
      </w:r>
      <w:r w:rsidR="00C73875" w:rsidRPr="00180DCC">
        <w:rPr>
          <w:lang w:val="fr-FR"/>
        </w:rPr>
        <w:t>'</w:t>
      </w:r>
      <w:r w:rsidRPr="00180DCC">
        <w:rPr>
          <w:lang w:val="fr-FR"/>
        </w:rPr>
        <w:t>excursion de fréquence de crête. Les conséquences pratiques d</w:t>
      </w:r>
      <w:r w:rsidR="00C73875" w:rsidRPr="00180DCC">
        <w:rPr>
          <w:lang w:val="fr-FR"/>
        </w:rPr>
        <w:t>'</w:t>
      </w:r>
      <w:r w:rsidRPr="00180DCC">
        <w:rPr>
          <w:lang w:val="fr-FR"/>
        </w:rPr>
        <w:t>une réduction de la puissance pour la personne qui parle dans le circuit téléphonique alimentant un circuit radioélectrique MRF-MF se traduisent par une diminution de l</w:t>
      </w:r>
      <w:r w:rsidR="00C73875" w:rsidRPr="00180DCC">
        <w:rPr>
          <w:lang w:val="fr-FR"/>
        </w:rPr>
        <w:t>'</w:t>
      </w:r>
      <w:r w:rsidRPr="00180DCC">
        <w:rPr>
          <w:lang w:val="fr-FR"/>
        </w:rPr>
        <w:t>excursion de crête. Il existe trois paramètres indépendants qui déterminent l</w:t>
      </w:r>
      <w:r w:rsidR="00C73875" w:rsidRPr="00180DCC">
        <w:rPr>
          <w:lang w:val="fr-FR"/>
        </w:rPr>
        <w:t>'</w:t>
      </w:r>
      <w:r w:rsidRPr="00180DCC">
        <w:rPr>
          <w:lang w:val="fr-FR"/>
        </w:rPr>
        <w:t>excursion de crête du signal MF: ils sont tous limités par la conception du système, la valeur maximale de chacun de ces paramètres est aussi limitée de manière que</w:t>
      </w:r>
      <w:r w:rsidRPr="00180DCC">
        <w:rPr>
          <w:i/>
          <w:lang w:val="fr-FR"/>
        </w:rPr>
        <w:t xml:space="preserve"> D</w:t>
      </w:r>
      <w:r w:rsidRPr="00180DCC">
        <w:rPr>
          <w:lang w:val="fr-FR"/>
        </w:rPr>
        <w:t xml:space="preserve"> ne dépasse pas une valeur prédéterminée (dans les systèmes MRF-MF). Ces paramètres sont les suivants:</w:t>
      </w:r>
    </w:p>
    <w:p w14:paraId="76E82C1F" w14:textId="253C0209" w:rsidR="00AA41BC" w:rsidRPr="00180DCC" w:rsidRDefault="00AA41BC" w:rsidP="005835A4">
      <w:pPr>
        <w:pStyle w:val="enumlev1"/>
        <w:rPr>
          <w:lang w:val="fr-FR"/>
        </w:rPr>
      </w:pPr>
      <w:r w:rsidRPr="00180DCC">
        <w:rPr>
          <w:lang w:val="fr-FR"/>
        </w:rPr>
        <w:t>–</w:t>
      </w:r>
      <w:r w:rsidRPr="00180DCC">
        <w:rPr>
          <w:lang w:val="fr-FR"/>
        </w:rPr>
        <w:tab/>
        <w:t>valeur efficace de l</w:t>
      </w:r>
      <w:r w:rsidR="00C73875" w:rsidRPr="00180DCC">
        <w:rPr>
          <w:lang w:val="fr-FR"/>
        </w:rPr>
        <w:t>'</w:t>
      </w:r>
      <w:r w:rsidRPr="00180DCC">
        <w:rPr>
          <w:lang w:val="fr-FR"/>
        </w:rPr>
        <w:t>excursion par voie;</w:t>
      </w:r>
    </w:p>
    <w:p w14:paraId="43F1879D" w14:textId="77777777" w:rsidR="00AA41BC" w:rsidRPr="00180DCC" w:rsidRDefault="00AA41BC" w:rsidP="005835A4">
      <w:pPr>
        <w:pStyle w:val="enumlev1"/>
        <w:rPr>
          <w:lang w:val="fr-FR"/>
        </w:rPr>
      </w:pPr>
      <w:r w:rsidRPr="00180DCC">
        <w:rPr>
          <w:lang w:val="fr-FR"/>
        </w:rPr>
        <w:t>–</w:t>
      </w:r>
      <w:r w:rsidRPr="00180DCC">
        <w:rPr>
          <w:lang w:val="fr-FR"/>
        </w:rPr>
        <w:tab/>
        <w:t>puissance moyenne dans une voie de message;</w:t>
      </w:r>
    </w:p>
    <w:p w14:paraId="23EC70AC" w14:textId="77777777" w:rsidR="00AA41BC" w:rsidRPr="00180DCC" w:rsidRDefault="00AA41BC" w:rsidP="005835A4">
      <w:pPr>
        <w:pStyle w:val="enumlev1"/>
        <w:rPr>
          <w:lang w:val="fr-FR"/>
        </w:rPr>
      </w:pPr>
      <w:r w:rsidRPr="00180DCC">
        <w:rPr>
          <w:lang w:val="fr-FR"/>
        </w:rPr>
        <w:t>–</w:t>
      </w:r>
      <w:r w:rsidRPr="00180DCC">
        <w:rPr>
          <w:lang w:val="fr-FR"/>
        </w:rPr>
        <w:tab/>
        <w:t>nombre total de voies dans la charge de message multiplexée.</w:t>
      </w:r>
    </w:p>
    <w:p w14:paraId="40AB39C5" w14:textId="0A44DBDC" w:rsidR="00AA41BC" w:rsidRPr="00180DCC" w:rsidRDefault="00AA41BC" w:rsidP="00AA41BC">
      <w:pPr>
        <w:rPr>
          <w:lang w:val="fr-FR"/>
        </w:rPr>
      </w:pPr>
      <w:r w:rsidRPr="00180DCC">
        <w:rPr>
          <w:lang w:val="fr-FR"/>
        </w:rPr>
        <w:t>Si la puissance moyenne des signaux vocaux peut être réduite, comme l</w:t>
      </w:r>
      <w:r w:rsidR="00C73875" w:rsidRPr="00180DCC">
        <w:rPr>
          <w:lang w:val="fr-FR"/>
        </w:rPr>
        <w:t>'</w:t>
      </w:r>
      <w:r w:rsidRPr="00180DCC">
        <w:rPr>
          <w:lang w:val="fr-FR"/>
        </w:rPr>
        <w:t>a montré l</w:t>
      </w:r>
      <w:r w:rsidR="00C73875" w:rsidRPr="00180DCC">
        <w:rPr>
          <w:lang w:val="fr-FR"/>
        </w:rPr>
        <w:t>'</w:t>
      </w:r>
      <w:r w:rsidRPr="00180DCC">
        <w:rPr>
          <w:lang w:val="fr-FR"/>
        </w:rPr>
        <w:t>étude de 1975</w:t>
      </w:r>
      <w:r w:rsidRPr="00180DCC">
        <w:rPr>
          <w:lang w:val="fr-FR"/>
        </w:rPr>
        <w:noBreakHyphen/>
        <w:t>1976, un compromis pourrait être établi avec les deux autres paramètres et ce de la manière suivante:</w:t>
      </w:r>
    </w:p>
    <w:p w14:paraId="03D418C1" w14:textId="77777777" w:rsidR="00AA41BC" w:rsidRPr="00180DCC" w:rsidRDefault="00AA41BC" w:rsidP="005835A4">
      <w:pPr>
        <w:pStyle w:val="enumlev1"/>
        <w:rPr>
          <w:lang w:val="fr-FR"/>
        </w:rPr>
      </w:pPr>
      <w:r w:rsidRPr="00180DCC">
        <w:rPr>
          <w:lang w:val="fr-FR"/>
        </w:rPr>
        <w:t>–</w:t>
      </w:r>
      <w:r w:rsidRPr="00180DCC">
        <w:rPr>
          <w:lang w:val="fr-FR"/>
        </w:rPr>
        <w:tab/>
        <w:t>en augmentant le nombre de voies tout en maintenant la même largeur de bande nécessaire;</w:t>
      </w:r>
    </w:p>
    <w:p w14:paraId="7AC663F3" w14:textId="5295C376" w:rsidR="00AA41BC" w:rsidRPr="00180DCC" w:rsidRDefault="00AA41BC" w:rsidP="005835A4">
      <w:pPr>
        <w:pStyle w:val="enumlev1"/>
        <w:rPr>
          <w:lang w:val="fr-FR"/>
        </w:rPr>
      </w:pPr>
      <w:r w:rsidRPr="00180DCC">
        <w:rPr>
          <w:lang w:val="fr-FR"/>
        </w:rPr>
        <w:t>–</w:t>
      </w:r>
      <w:r w:rsidRPr="00180DCC">
        <w:rPr>
          <w:lang w:val="fr-FR"/>
        </w:rPr>
        <w:tab/>
        <w:t>en augmentant l</w:t>
      </w:r>
      <w:r w:rsidR="00C73875" w:rsidRPr="00180DCC">
        <w:rPr>
          <w:lang w:val="fr-FR"/>
        </w:rPr>
        <w:t>'</w:t>
      </w:r>
      <w:r w:rsidRPr="00180DCC">
        <w:rPr>
          <w:lang w:val="fr-FR"/>
        </w:rPr>
        <w:t>efficacité d</w:t>
      </w:r>
      <w:r w:rsidR="00C73875" w:rsidRPr="00180DCC">
        <w:rPr>
          <w:lang w:val="fr-FR"/>
        </w:rPr>
        <w:t>'</w:t>
      </w:r>
      <w:r w:rsidRPr="00180DCC">
        <w:rPr>
          <w:lang w:val="fr-FR"/>
        </w:rPr>
        <w:t>utilisation du spectre par réduction de la largeur de bande tout en maintenant le même nombre de voies;</w:t>
      </w:r>
    </w:p>
    <w:p w14:paraId="27F55831" w14:textId="77777777" w:rsidR="00AA41BC" w:rsidRPr="00180DCC" w:rsidRDefault="00AA41BC" w:rsidP="005835A4">
      <w:pPr>
        <w:pStyle w:val="enumlev1"/>
        <w:rPr>
          <w:lang w:val="fr-FR"/>
        </w:rPr>
      </w:pPr>
      <w:r w:rsidRPr="00180DCC">
        <w:rPr>
          <w:lang w:val="fr-FR"/>
        </w:rPr>
        <w:t>–</w:t>
      </w:r>
      <w:r w:rsidRPr="00180DCC">
        <w:rPr>
          <w:lang w:val="fr-FR"/>
        </w:rPr>
        <w:tab/>
        <w:t>en combinant ces deux méthodes.</w:t>
      </w:r>
    </w:p>
    <w:p w14:paraId="0A450D78" w14:textId="330EC8F8" w:rsidR="00AA41BC" w:rsidRPr="00180DCC" w:rsidRDefault="00AA41BC" w:rsidP="005835A4">
      <w:pPr>
        <w:rPr>
          <w:lang w:val="fr-FR"/>
        </w:rPr>
      </w:pPr>
      <w:r w:rsidRPr="00180DCC">
        <w:rPr>
          <w:lang w:val="fr-FR"/>
        </w:rPr>
        <w:t>Par exemple, dans les systèmes utilisant des voies de message de qualité téléphonique à 4 kHz, on peut faire varier le rapport trafic de données/trafic téléphonique. Un utilisateur peut choisir de se maintenir dans la bande RF spécifiée et alors prendre un niveau moyen de puissance de voie de message qui sera utilisé pour obtenir un compromis entre l</w:t>
      </w:r>
      <w:r w:rsidR="00C73875" w:rsidRPr="00180DCC">
        <w:rPr>
          <w:lang w:val="fr-FR"/>
        </w:rPr>
        <w:t>'</w:t>
      </w:r>
      <w:r w:rsidRPr="00180DCC">
        <w:rPr>
          <w:lang w:val="fr-FR"/>
        </w:rPr>
        <w:t>accroissement du nombre de voies de message et l</w:t>
      </w:r>
      <w:r w:rsidR="00C73875" w:rsidRPr="00180DCC">
        <w:rPr>
          <w:lang w:val="fr-FR"/>
        </w:rPr>
        <w:t>'</w:t>
      </w:r>
      <w:r w:rsidRPr="00180DCC">
        <w:rPr>
          <w:lang w:val="fr-FR"/>
        </w:rPr>
        <w:t>excursion de fréquence de chacune d</w:t>
      </w:r>
      <w:r w:rsidR="00C73875" w:rsidRPr="00180DCC">
        <w:rPr>
          <w:lang w:val="fr-FR"/>
        </w:rPr>
        <w:t>'</w:t>
      </w:r>
      <w:r w:rsidRPr="00180DCC">
        <w:rPr>
          <w:lang w:val="fr-FR"/>
        </w:rPr>
        <w:t>elles. Pour un rapport trafic de données/trafic téléphonique fixé, un utilisateur peut considérer qu</w:t>
      </w:r>
      <w:r w:rsidR="00C73875" w:rsidRPr="00180DCC">
        <w:rPr>
          <w:lang w:val="fr-FR"/>
        </w:rPr>
        <w:t>'</w:t>
      </w:r>
      <w:r w:rsidRPr="00180DCC">
        <w:rPr>
          <w:lang w:val="fr-FR"/>
        </w:rPr>
        <w:t>une augmentation trop importante du nombre de voies de message à 4 kHz réduirait l</w:t>
      </w:r>
      <w:r w:rsidR="00C73875" w:rsidRPr="00180DCC">
        <w:rPr>
          <w:lang w:val="fr-FR"/>
        </w:rPr>
        <w:t>'</w:t>
      </w:r>
      <w:r w:rsidRPr="00180DCC">
        <w:rPr>
          <w:lang w:val="fr-FR"/>
        </w:rPr>
        <w:t>excursion par canal au point de dégrader la qualité du signal. Cependant, on peut choisir un niveau moyen de puissance de voie de message tel qu</w:t>
      </w:r>
      <w:r w:rsidR="00C73875" w:rsidRPr="00180DCC">
        <w:rPr>
          <w:lang w:val="fr-FR"/>
        </w:rPr>
        <w:t>'</w:t>
      </w:r>
      <w:r w:rsidRPr="00180DCC">
        <w:rPr>
          <w:lang w:val="fr-FR"/>
        </w:rPr>
        <w:t>il maintient la largeur de bande RF spécifiée et qui permet une certaine augmentation du nombre de voies de message tout en autorisant un accroissement proportionnel de l</w:t>
      </w:r>
      <w:r w:rsidR="00C73875" w:rsidRPr="00180DCC">
        <w:rPr>
          <w:lang w:val="fr-FR"/>
        </w:rPr>
        <w:t>'</w:t>
      </w:r>
      <w:r w:rsidRPr="00180DCC">
        <w:rPr>
          <w:lang w:val="fr-FR"/>
        </w:rPr>
        <w:t>excursion de fréquence de chaque voie. Grâce à cette méthode, au lieu d</w:t>
      </w:r>
      <w:r w:rsidR="00C73875" w:rsidRPr="00180DCC">
        <w:rPr>
          <w:lang w:val="fr-FR"/>
        </w:rPr>
        <w:t>'</w:t>
      </w:r>
      <w:r w:rsidRPr="00180DCC">
        <w:rPr>
          <w:lang w:val="fr-FR"/>
        </w:rPr>
        <w:t>utiliser tout le spectre disponible pour accroître au maximum le nombre des voies de message, il est possible d</w:t>
      </w:r>
      <w:r w:rsidR="00C73875" w:rsidRPr="00180DCC">
        <w:rPr>
          <w:lang w:val="fr-FR"/>
        </w:rPr>
        <w:t>'</w:t>
      </w:r>
      <w:r w:rsidRPr="00180DCC">
        <w:rPr>
          <w:lang w:val="fr-FR"/>
        </w:rPr>
        <w:t>obtenir une augmentation de l</w:t>
      </w:r>
      <w:r w:rsidR="00C73875" w:rsidRPr="00180DCC">
        <w:rPr>
          <w:lang w:val="fr-FR"/>
        </w:rPr>
        <w:t>'</w:t>
      </w:r>
      <w:r w:rsidRPr="00180DCC">
        <w:rPr>
          <w:lang w:val="fr-FR"/>
        </w:rPr>
        <w:t>excursion de fréquence de chaque voie, cette augmentation améliorant le rapport signal/bruit et réduisant probablement le taux d</w:t>
      </w:r>
      <w:r w:rsidR="00C73875" w:rsidRPr="00180DCC">
        <w:rPr>
          <w:lang w:val="fr-FR"/>
        </w:rPr>
        <w:t>'</w:t>
      </w:r>
      <w:r w:rsidRPr="00180DCC">
        <w:rPr>
          <w:lang w:val="fr-FR"/>
        </w:rPr>
        <w:t>erreur binaire dans le trafic de données.</w:t>
      </w:r>
    </w:p>
    <w:p w14:paraId="16227AE1" w14:textId="1E0D99BD" w:rsidR="00AA41BC" w:rsidRPr="00180DCC" w:rsidRDefault="00AA41BC" w:rsidP="005835A4">
      <w:pPr>
        <w:rPr>
          <w:lang w:val="fr-FR"/>
        </w:rPr>
      </w:pPr>
      <w:r w:rsidRPr="00180DCC">
        <w:rPr>
          <w:lang w:val="fr-FR"/>
        </w:rPr>
        <w:t>On peut concevoir un système hyperfréquence dans lequel on donne au paramètre de niveau moyen de puissance de voie de message une valeur comprise entre celle utilisée dans les équations actuelles et une valeur qui lui est inférieure de 4,6 dB. Lorsque l</w:t>
      </w:r>
      <w:r w:rsidR="00C73875" w:rsidRPr="00180DCC">
        <w:rPr>
          <w:lang w:val="fr-FR"/>
        </w:rPr>
        <w:t>'</w:t>
      </w:r>
      <w:r w:rsidRPr="00180DCC">
        <w:rPr>
          <w:lang w:val="fr-FR"/>
        </w:rPr>
        <w:t>on diminue le niveau moyen de puissance de voie de message, on a des raisons valables pour modifier (c</w:t>
      </w:r>
      <w:r w:rsidR="00C73875" w:rsidRPr="00180DCC">
        <w:rPr>
          <w:lang w:val="fr-FR"/>
        </w:rPr>
        <w:t>'</w:t>
      </w:r>
      <w:r w:rsidRPr="00180DCC">
        <w:rPr>
          <w:lang w:val="fr-FR"/>
        </w:rPr>
        <w:t>est-à-dire augmenter) les autres paramètres. Cependant, une telle décision est du ressort des exploitants ou des gouvernements concernés qui doivent tenir compte des avantages et des inconvénients des compromis possibles.</w:t>
      </w:r>
    </w:p>
    <w:p w14:paraId="43D0CBC0" w14:textId="14B606EE" w:rsidR="00AA41BC" w:rsidRPr="00180DCC" w:rsidRDefault="00AA41BC" w:rsidP="005835A4">
      <w:pPr>
        <w:rPr>
          <w:lang w:val="fr-FR"/>
        </w:rPr>
      </w:pPr>
      <w:r w:rsidRPr="00180DCC">
        <w:rPr>
          <w:lang w:val="fr-FR"/>
        </w:rPr>
        <w:t>Le point important à considérer ici est la reconnaissance du changement du niveau moyen de la puissance pour la personne qui parle. Pour tenir compte de la diminution de 4,6 dB de la puissance moyenne pour la personne qui parle dans les circuits téléphoniques. Typiquement les valeurs 2,6</w:t>
      </w:r>
      <w:r w:rsidR="00C84DD5" w:rsidRPr="00180DCC">
        <w:rPr>
          <w:lang w:val="fr-FR"/>
        </w:rPr>
        <w:t>;</w:t>
      </w:r>
      <w:r w:rsidRPr="00180DCC">
        <w:rPr>
          <w:lang w:val="fr-FR"/>
        </w:rPr>
        <w:t xml:space="preserve"> </w:t>
      </w:r>
      <w:r w:rsidR="00787975" w:rsidRPr="00180DCC">
        <w:rPr>
          <w:lang w:val="fr-FR"/>
        </w:rPr>
        <w:t>−</w:t>
      </w:r>
      <w:r w:rsidRPr="00180DCC">
        <w:rPr>
          <w:lang w:val="fr-FR"/>
        </w:rPr>
        <w:t>1</w:t>
      </w:r>
      <w:r w:rsidR="002660D8" w:rsidRPr="00180DCC">
        <w:rPr>
          <w:lang w:val="fr-FR"/>
        </w:rPr>
        <w:t> </w:t>
      </w:r>
      <w:r w:rsidRPr="00180DCC">
        <w:rPr>
          <w:lang w:val="fr-FR"/>
        </w:rPr>
        <w:t xml:space="preserve">et </w:t>
      </w:r>
      <w:r w:rsidR="00787975" w:rsidRPr="00180DCC">
        <w:rPr>
          <w:lang w:val="fr-FR"/>
        </w:rPr>
        <w:t>−</w:t>
      </w:r>
      <w:r w:rsidRPr="00180DCC">
        <w:rPr>
          <w:lang w:val="fr-FR"/>
        </w:rPr>
        <w:t>15 sont remplacées par la variable </w:t>
      </w:r>
      <w:r w:rsidRPr="00180DCC">
        <w:rPr>
          <w:i/>
          <w:lang w:val="fr-FR"/>
        </w:rPr>
        <w:t>X</w:t>
      </w:r>
      <w:r w:rsidRPr="00180DCC">
        <w:rPr>
          <w:lang w:val="fr-FR"/>
        </w:rPr>
        <w:t xml:space="preserve"> qui peut être comprise entre les valeurs actuelles et des valeurs correspondantes de 4,6 dB inférieures, selon le nombre total de circuits du système MRF-MF et la composition du système proprement dit.</w:t>
      </w:r>
    </w:p>
    <w:p w14:paraId="3C255F90" w14:textId="5E7BA5F7" w:rsidR="00AA41BC" w:rsidRPr="00180DCC" w:rsidRDefault="00AA41BC" w:rsidP="000C573B">
      <w:pPr>
        <w:keepNext/>
        <w:keepLines/>
        <w:rPr>
          <w:lang w:val="fr-FR"/>
        </w:rPr>
      </w:pPr>
      <w:r w:rsidRPr="00180DCC">
        <w:rPr>
          <w:lang w:val="fr-FR"/>
        </w:rPr>
        <w:lastRenderedPageBreak/>
        <w:t xml:space="preserve">Ainsi la largeur de bande nécessaire </w:t>
      </w:r>
      <w:r w:rsidRPr="00180DCC">
        <w:rPr>
          <w:i/>
          <w:lang w:val="fr-FR"/>
        </w:rPr>
        <w:t>B</w:t>
      </w:r>
      <w:r w:rsidRPr="00180DCC">
        <w:rPr>
          <w:i/>
          <w:position w:val="-3"/>
          <w:sz w:val="16"/>
          <w:lang w:val="fr-FR"/>
        </w:rPr>
        <w:t>n</w:t>
      </w:r>
      <w:r w:rsidRPr="00180DCC">
        <w:rPr>
          <w:lang w:val="fr-FR"/>
        </w:rPr>
        <w:t xml:space="preserve"> s</w:t>
      </w:r>
      <w:r w:rsidR="00C73875" w:rsidRPr="00180DCC">
        <w:rPr>
          <w:lang w:val="fr-FR"/>
        </w:rPr>
        <w:t>'</w:t>
      </w:r>
      <w:r w:rsidRPr="00180DCC">
        <w:rPr>
          <w:lang w:val="fr-FR"/>
        </w:rPr>
        <w:t>écrit comme suit:</w:t>
      </w:r>
    </w:p>
    <w:p w14:paraId="00CFF6DA" w14:textId="77777777" w:rsidR="00AA41BC" w:rsidRPr="00180DCC" w:rsidRDefault="000F451E" w:rsidP="000C573B">
      <w:pPr>
        <w:pStyle w:val="Equation"/>
        <w:keepNext/>
        <w:keepLines/>
        <w:jc w:val="center"/>
        <w:rPr>
          <w:lang w:val="fr-FR"/>
        </w:rPr>
      </w:pPr>
      <m:oMathPara>
        <m:oMath>
          <m:sSub>
            <m:sSubPr>
              <m:ctrlPr>
                <w:rPr>
                  <w:rFonts w:ascii="Cambria Math" w:hAnsi="Cambria Math"/>
                  <w:i/>
                  <w:lang w:val="fr-FR"/>
                </w:rPr>
              </m:ctrlPr>
            </m:sSubPr>
            <m:e>
              <m:r>
                <w:rPr>
                  <w:rFonts w:ascii="Cambria Math" w:hAnsi="Cambria Math"/>
                  <w:lang w:val="fr-FR"/>
                </w:rPr>
                <m:t>B</m:t>
              </m:r>
            </m:e>
            <m:sub>
              <m:r>
                <w:rPr>
                  <w:rFonts w:ascii="Cambria Math" w:hAnsi="Cambria Math"/>
                  <w:lang w:val="fr-FR"/>
                </w:rPr>
                <m:t>n</m:t>
              </m:r>
            </m:sub>
          </m:sSub>
          <m:r>
            <w:rPr>
              <w:rFonts w:ascii="Cambria Math" w:hAnsi="Cambria Math"/>
              <w:lang w:val="fr-FR"/>
            </w:rPr>
            <m:t>=2M+2</m:t>
          </m:r>
          <m:d>
            <m:dPr>
              <m:begChr m:val="["/>
              <m:endChr m:val="]"/>
              <m:ctrlPr>
                <w:rPr>
                  <w:rFonts w:ascii="Cambria Math" w:hAnsi="Cambria Math"/>
                  <w:i/>
                  <w:lang w:val="fr-FR"/>
                </w:rPr>
              </m:ctrlPr>
            </m:dPr>
            <m:e>
              <m:r>
                <w:rPr>
                  <w:rFonts w:ascii="Cambria Math" w:hAnsi="Cambria Math"/>
                  <w:lang w:val="fr-FR"/>
                </w:rPr>
                <m:t>d×3,76×</m:t>
              </m:r>
              <m:func>
                <m:funcPr>
                  <m:ctrlPr>
                    <w:rPr>
                      <w:rFonts w:ascii="Cambria Math" w:hAnsi="Cambria Math"/>
                      <w:i/>
                      <w:lang w:val="fr-FR"/>
                    </w:rPr>
                  </m:ctrlPr>
                </m:funcPr>
                <m:fName>
                  <m:r>
                    <m:rPr>
                      <m:sty m:val="p"/>
                    </m:rPr>
                    <w:rPr>
                      <w:rFonts w:ascii="Cambria Math" w:hAnsi="Cambria Math"/>
                      <w:lang w:val="fr-FR"/>
                    </w:rPr>
                    <m:t>antilog</m:t>
                  </m:r>
                </m:fName>
                <m:e>
                  <m:d>
                    <m:dPr>
                      <m:ctrlPr>
                        <w:rPr>
                          <w:rFonts w:ascii="Cambria Math" w:hAnsi="Cambria Math"/>
                          <w:i/>
                          <w:lang w:val="fr-FR"/>
                        </w:rPr>
                      </m:ctrlPr>
                    </m:dPr>
                    <m:e>
                      <m:f>
                        <m:fPr>
                          <m:ctrlPr>
                            <w:rPr>
                              <w:rFonts w:ascii="Cambria Math" w:hAnsi="Cambria Math"/>
                              <w:i/>
                              <w:lang w:val="fr-FR"/>
                            </w:rPr>
                          </m:ctrlPr>
                        </m:fPr>
                        <m:num>
                          <m:r>
                            <w:rPr>
                              <w:rFonts w:ascii="Cambria Math" w:hAnsi="Cambria Math"/>
                              <w:lang w:val="fr-FR"/>
                            </w:rPr>
                            <m:t>X+Y</m:t>
                          </m:r>
                          <m:func>
                            <m:funcPr>
                              <m:ctrlPr>
                                <w:rPr>
                                  <w:rFonts w:ascii="Cambria Math" w:hAnsi="Cambria Math"/>
                                  <w:i/>
                                  <w:lang w:val="fr-FR"/>
                                </w:rPr>
                              </m:ctrlPr>
                            </m:funcPr>
                            <m:fName>
                              <m:r>
                                <m:rPr>
                                  <m:sty m:val="p"/>
                                </m:rPr>
                                <w:rPr>
                                  <w:rFonts w:ascii="Cambria Math" w:hAnsi="Cambria Math"/>
                                  <w:lang w:val="fr-FR"/>
                                </w:rPr>
                                <m:t>log</m:t>
                              </m:r>
                            </m:fName>
                            <m:e>
                              <m:sSub>
                                <m:sSubPr>
                                  <m:ctrlPr>
                                    <w:rPr>
                                      <w:rFonts w:ascii="Cambria Math" w:hAnsi="Cambria Math"/>
                                      <w:i/>
                                      <w:lang w:val="fr-FR"/>
                                    </w:rPr>
                                  </m:ctrlPr>
                                </m:sSubPr>
                                <m:e>
                                  <m:r>
                                    <w:rPr>
                                      <w:rFonts w:ascii="Cambria Math" w:hAnsi="Cambria Math"/>
                                      <w:lang w:val="fr-FR"/>
                                    </w:rPr>
                                    <m:t>N</m:t>
                                  </m:r>
                                </m:e>
                                <m:sub>
                                  <m:r>
                                    <w:rPr>
                                      <w:rFonts w:ascii="Cambria Math" w:hAnsi="Cambria Math"/>
                                      <w:lang w:val="fr-FR"/>
                                    </w:rPr>
                                    <m:t>c</m:t>
                                  </m:r>
                                </m:sub>
                              </m:sSub>
                            </m:e>
                          </m:func>
                        </m:num>
                        <m:den>
                          <m:r>
                            <w:rPr>
                              <w:rFonts w:ascii="Cambria Math" w:hAnsi="Cambria Math"/>
                              <w:lang w:val="fr-FR"/>
                            </w:rPr>
                            <m:t>20</m:t>
                          </m:r>
                        </m:den>
                      </m:f>
                    </m:e>
                  </m:d>
                </m:e>
              </m:func>
            </m:e>
          </m:d>
          <m:r>
            <w:rPr>
              <w:rFonts w:ascii="Cambria Math" w:hAnsi="Cambria Math"/>
              <w:lang w:val="fr-FR"/>
            </w:rPr>
            <m:t>K</m:t>
          </m:r>
        </m:oMath>
      </m:oMathPara>
    </w:p>
    <w:p w14:paraId="453DAD03" w14:textId="77777777" w:rsidR="00AA41BC" w:rsidRPr="00180DCC" w:rsidRDefault="00AA41BC" w:rsidP="000C573B">
      <w:pPr>
        <w:keepNext/>
        <w:keepLines/>
        <w:spacing w:before="0"/>
        <w:rPr>
          <w:lang w:val="fr-FR"/>
        </w:rPr>
      </w:pPr>
      <w:r w:rsidRPr="00180DCC">
        <w:rPr>
          <w:lang w:val="fr-FR"/>
        </w:rPr>
        <w:t>où:</w:t>
      </w:r>
    </w:p>
    <w:p w14:paraId="6A231F2F" w14:textId="71E1FB44" w:rsidR="00AA41BC" w:rsidRPr="00180DCC" w:rsidRDefault="00AA41BC" w:rsidP="005835A4">
      <w:pPr>
        <w:pStyle w:val="Equationlegend"/>
        <w:rPr>
          <w:lang w:val="fr-FR"/>
        </w:rPr>
      </w:pPr>
      <w:r w:rsidRPr="00180DCC">
        <w:rPr>
          <w:i/>
          <w:lang w:val="fr-FR"/>
        </w:rPr>
        <w:tab/>
        <w:t>M</w:t>
      </w:r>
      <w:r w:rsidR="005835A4" w:rsidRPr="00180DCC">
        <w:rPr>
          <w:i/>
          <w:lang w:val="fr-FR"/>
        </w:rPr>
        <w:t> </w:t>
      </w:r>
      <w:r w:rsidRPr="00180DCC">
        <w:rPr>
          <w:lang w:val="fr-FR"/>
        </w:rPr>
        <w:t>:</w:t>
      </w:r>
      <w:r w:rsidRPr="00180DCC">
        <w:rPr>
          <w:lang w:val="fr-FR"/>
        </w:rPr>
        <w:tab/>
        <w:t xml:space="preserve">fréquence de modulation maximale (Hz) </w:t>
      </w:r>
    </w:p>
    <w:p w14:paraId="6070443C" w14:textId="4029A457" w:rsidR="00AA41BC" w:rsidRPr="00180DCC" w:rsidRDefault="00AA41BC" w:rsidP="005835A4">
      <w:pPr>
        <w:pStyle w:val="Equationlegend"/>
        <w:rPr>
          <w:lang w:val="fr-FR"/>
        </w:rPr>
      </w:pPr>
      <w:r w:rsidRPr="00180DCC">
        <w:rPr>
          <w:i/>
          <w:lang w:val="fr-FR"/>
        </w:rPr>
        <w:tab/>
      </w:r>
      <w:r w:rsidR="005835A4" w:rsidRPr="00180DCC">
        <w:rPr>
          <w:i/>
          <w:lang w:val="fr-FR"/>
        </w:rPr>
        <w:t>d</w:t>
      </w:r>
      <w:r w:rsidR="005835A4" w:rsidRPr="00180DCC">
        <w:rPr>
          <w:lang w:val="fr-FR"/>
        </w:rPr>
        <w:t> </w:t>
      </w:r>
      <w:r w:rsidRPr="00180DCC">
        <w:rPr>
          <w:lang w:val="fr-FR"/>
        </w:rPr>
        <w:t>:</w:t>
      </w:r>
      <w:r w:rsidRPr="00180DCC">
        <w:rPr>
          <w:lang w:val="fr-FR"/>
        </w:rPr>
        <w:tab/>
        <w:t>excursion par voie</w:t>
      </w:r>
    </w:p>
    <w:p w14:paraId="4DF69CCB" w14:textId="3C209D80" w:rsidR="00AA41BC" w:rsidRPr="00180DCC" w:rsidRDefault="00AA41BC" w:rsidP="005835A4">
      <w:pPr>
        <w:pStyle w:val="Equationlegend"/>
        <w:rPr>
          <w:lang w:val="fr-FR"/>
        </w:rPr>
      </w:pPr>
      <w:r w:rsidRPr="00180DCC">
        <w:rPr>
          <w:i/>
          <w:lang w:val="fr-FR"/>
        </w:rPr>
        <w:tab/>
        <w:t>N</w:t>
      </w:r>
      <w:r w:rsidRPr="00180DCC">
        <w:rPr>
          <w:i/>
          <w:position w:val="-3"/>
          <w:sz w:val="16"/>
          <w:lang w:val="fr-FR"/>
        </w:rPr>
        <w:t>c</w:t>
      </w:r>
      <w:r w:rsidR="005835A4" w:rsidRPr="00180DCC">
        <w:rPr>
          <w:lang w:val="fr-FR"/>
        </w:rPr>
        <w:t> </w:t>
      </w:r>
      <w:r w:rsidRPr="00180DCC">
        <w:rPr>
          <w:lang w:val="fr-FR"/>
        </w:rPr>
        <w:t>:</w:t>
      </w:r>
      <w:r w:rsidRPr="00180DCC">
        <w:rPr>
          <w:lang w:val="fr-FR"/>
        </w:rPr>
        <w:tab/>
        <w:t>nombre de voies dans la charge de message multiplexée</w:t>
      </w:r>
    </w:p>
    <w:p w14:paraId="08EA0046" w14:textId="61B99D9A" w:rsidR="00AA41BC" w:rsidRPr="00180DCC" w:rsidRDefault="00AA41BC" w:rsidP="005835A4">
      <w:pPr>
        <w:pStyle w:val="Equationlegend"/>
        <w:rPr>
          <w:lang w:val="fr-FR"/>
        </w:rPr>
      </w:pPr>
      <w:r w:rsidRPr="00180DCC">
        <w:rPr>
          <w:i/>
          <w:lang w:val="fr-FR"/>
        </w:rPr>
        <w:tab/>
        <w:t>K</w:t>
      </w:r>
      <w:r w:rsidR="005835A4" w:rsidRPr="00180DCC">
        <w:rPr>
          <w:i/>
          <w:lang w:val="fr-FR"/>
        </w:rPr>
        <w:t> </w:t>
      </w:r>
      <w:r w:rsidRPr="00180DCC">
        <w:rPr>
          <w:lang w:val="fr-FR"/>
        </w:rPr>
        <w:t>:</w:t>
      </w:r>
      <w:r w:rsidRPr="00180DCC">
        <w:rPr>
          <w:lang w:val="fr-FR"/>
        </w:rPr>
        <w:tab/>
        <w:t>unité</w:t>
      </w:r>
    </w:p>
    <w:p w14:paraId="14193FD2" w14:textId="14ABD64C" w:rsidR="00AA41BC" w:rsidRPr="00180DCC" w:rsidRDefault="00AA41BC" w:rsidP="005835A4">
      <w:pPr>
        <w:pStyle w:val="Equationlegend"/>
        <w:rPr>
          <w:lang w:val="fr-FR"/>
        </w:rPr>
      </w:pPr>
      <w:r w:rsidRPr="00180DCC">
        <w:rPr>
          <w:lang w:val="fr-FR"/>
        </w:rPr>
        <w:tab/>
      </w:r>
      <w:r w:rsidRPr="00180DCC">
        <w:rPr>
          <w:i/>
          <w:lang w:val="fr-FR"/>
        </w:rPr>
        <w:t>X</w:t>
      </w:r>
      <w:r w:rsidRPr="00180DCC">
        <w:rPr>
          <w:lang w:val="fr-FR"/>
        </w:rPr>
        <w:t> </w:t>
      </w:r>
      <w:r w:rsidRPr="00180DCC">
        <w:rPr>
          <w:rFonts w:ascii="Symbol" w:hAnsi="Symbol"/>
          <w:lang w:val="fr-FR"/>
        </w:rPr>
        <w:t></w:t>
      </w:r>
      <w:r w:rsidRPr="00180DCC">
        <w:rPr>
          <w:lang w:val="fr-FR"/>
        </w:rPr>
        <w:tab/>
        <w:t> </w:t>
      </w:r>
      <w:r w:rsidR="005835A4" w:rsidRPr="00180DCC">
        <w:rPr>
          <w:color w:val="000000"/>
          <w:lang w:val="fr-FR"/>
        </w:rPr>
        <w:t>−</w:t>
      </w:r>
      <w:r w:rsidRPr="00180DCC">
        <w:rPr>
          <w:lang w:val="fr-FR"/>
        </w:rPr>
        <w:t>2</w:t>
      </w:r>
      <w:r w:rsidRPr="00180DCC">
        <w:rPr>
          <w:lang w:val="fr-FR"/>
        </w:rPr>
        <w:t> </w:t>
      </w:r>
      <w:r w:rsidRPr="00180DCC">
        <w:rPr>
          <w:lang w:val="fr-FR"/>
        </w:rPr>
        <w:tab/>
        <w:t>à</w:t>
      </w:r>
      <w:r w:rsidRPr="00180DCC">
        <w:rPr>
          <w:lang w:val="fr-FR"/>
        </w:rPr>
        <w:tab/>
      </w:r>
      <w:r w:rsidRPr="00180DCC">
        <w:rPr>
          <w:lang w:val="fr-FR"/>
        </w:rPr>
        <w:t> </w:t>
      </w:r>
      <w:r w:rsidRPr="00180DCC">
        <w:rPr>
          <w:lang w:val="fr-FR"/>
        </w:rPr>
        <w:t> </w:t>
      </w:r>
      <w:r w:rsidRPr="00180DCC">
        <w:rPr>
          <w:rFonts w:ascii="Symbol" w:hAnsi="Symbol"/>
          <w:lang w:val="fr-FR"/>
        </w:rPr>
        <w:t></w:t>
      </w:r>
      <w:r w:rsidRPr="00180DCC">
        <w:rPr>
          <w:lang w:val="fr-FR"/>
        </w:rPr>
        <w:t>2,6</w:t>
      </w:r>
      <w:r w:rsidRPr="00180DCC">
        <w:rPr>
          <w:color w:val="FFFFFF"/>
          <w:lang w:val="fr-FR"/>
        </w:rPr>
        <w:tab/>
      </w:r>
      <w:r w:rsidRPr="00180DCC">
        <w:rPr>
          <w:lang w:val="fr-FR"/>
        </w:rPr>
        <w:t>pour</w:t>
      </w:r>
      <w:r w:rsidRPr="00180DCC">
        <w:rPr>
          <w:lang w:val="fr-FR"/>
        </w:rPr>
        <w:tab/>
        <w:t>12  </w:t>
      </w:r>
      <w:r w:rsidRPr="00180DCC">
        <w:rPr>
          <w:rFonts w:ascii="Symbol" w:hAnsi="Symbol"/>
          <w:lang w:val="fr-FR"/>
        </w:rPr>
        <w:t></w:t>
      </w:r>
      <w:r w:rsidRPr="00180DCC">
        <w:rPr>
          <w:lang w:val="fr-FR"/>
        </w:rPr>
        <w:tab/>
      </w:r>
      <w:r w:rsidRPr="00180DCC">
        <w:rPr>
          <w:i/>
          <w:lang w:val="fr-FR"/>
        </w:rPr>
        <w:t>N</w:t>
      </w:r>
      <w:r w:rsidRPr="00180DCC">
        <w:rPr>
          <w:i/>
          <w:position w:val="-3"/>
          <w:sz w:val="16"/>
          <w:lang w:val="fr-FR"/>
        </w:rPr>
        <w:t>c</w:t>
      </w:r>
      <w:r w:rsidRPr="00180DCC">
        <w:rPr>
          <w:i/>
          <w:lang w:val="fr-FR"/>
        </w:rPr>
        <w:t>  </w:t>
      </w:r>
      <w:r w:rsidRPr="00180DCC">
        <w:rPr>
          <w:rFonts w:ascii="Symbol" w:hAnsi="Symbol"/>
          <w:lang w:val="fr-FR"/>
        </w:rPr>
        <w:t></w:t>
      </w:r>
      <w:r w:rsidRPr="00180DCC">
        <w:rPr>
          <w:lang w:val="fr-FR"/>
        </w:rPr>
        <w:t>  </w:t>
      </w:r>
      <w:r w:rsidRPr="00180DCC">
        <w:rPr>
          <w:lang w:val="fr-FR"/>
        </w:rPr>
        <w:t> </w:t>
      </w:r>
      <w:r w:rsidRPr="00180DCC">
        <w:rPr>
          <w:lang w:val="fr-FR"/>
        </w:rPr>
        <w:t>60</w:t>
      </w:r>
      <w:r w:rsidRPr="00180DCC">
        <w:rPr>
          <w:lang w:val="fr-FR"/>
        </w:rPr>
        <w:tab/>
        <w:t>et</w:t>
      </w:r>
      <w:r w:rsidRPr="00180DCC">
        <w:rPr>
          <w:lang w:val="fr-FR"/>
        </w:rPr>
        <w:tab/>
        <w:t>pour  </w:t>
      </w:r>
      <w:r w:rsidRPr="00180DCC">
        <w:rPr>
          <w:i/>
          <w:lang w:val="fr-FR"/>
        </w:rPr>
        <w:t>Y</w:t>
      </w:r>
      <w:r w:rsidRPr="00180DCC">
        <w:rPr>
          <w:lang w:val="fr-FR"/>
        </w:rPr>
        <w:t>  </w:t>
      </w:r>
      <w:r w:rsidRPr="00180DCC">
        <w:rPr>
          <w:rFonts w:ascii="Symbol" w:hAnsi="Symbol"/>
          <w:lang w:val="fr-FR"/>
        </w:rPr>
        <w:t></w:t>
      </w:r>
      <w:r w:rsidRPr="00180DCC">
        <w:rPr>
          <w:lang w:val="fr-FR"/>
        </w:rPr>
        <w:t>  </w:t>
      </w:r>
      <w:r w:rsidRPr="00180DCC">
        <w:rPr>
          <w:lang w:val="fr-FR"/>
        </w:rPr>
        <w:t> </w:t>
      </w:r>
      <w:r w:rsidRPr="00180DCC">
        <w:rPr>
          <w:lang w:val="fr-FR"/>
        </w:rPr>
        <w:t>2</w:t>
      </w:r>
    </w:p>
    <w:p w14:paraId="27B20C38" w14:textId="49A5E290" w:rsidR="00AA41BC" w:rsidRPr="00180DCC" w:rsidRDefault="00AA41BC" w:rsidP="005835A4">
      <w:pPr>
        <w:pStyle w:val="Equationlegend"/>
        <w:rPr>
          <w:lang w:val="fr-FR"/>
        </w:rPr>
      </w:pPr>
      <w:r w:rsidRPr="00180DCC">
        <w:rPr>
          <w:lang w:val="fr-FR"/>
        </w:rPr>
        <w:tab/>
      </w:r>
      <w:r w:rsidRPr="00180DCC">
        <w:rPr>
          <w:i/>
          <w:lang w:val="fr-FR"/>
        </w:rPr>
        <w:t>X</w:t>
      </w:r>
      <w:r w:rsidRPr="00180DCC">
        <w:rPr>
          <w:lang w:val="fr-FR"/>
        </w:rPr>
        <w:t> </w:t>
      </w:r>
      <w:r w:rsidRPr="00180DCC">
        <w:rPr>
          <w:rFonts w:ascii="Symbol" w:hAnsi="Symbol"/>
          <w:lang w:val="fr-FR"/>
        </w:rPr>
        <w:t></w:t>
      </w:r>
      <w:r w:rsidRPr="00180DCC">
        <w:rPr>
          <w:lang w:val="fr-FR"/>
        </w:rPr>
        <w:tab/>
        <w:t> </w:t>
      </w:r>
      <w:r w:rsidR="005835A4" w:rsidRPr="00180DCC">
        <w:rPr>
          <w:color w:val="000000"/>
          <w:lang w:val="fr-FR"/>
        </w:rPr>
        <w:t>−</w:t>
      </w:r>
      <w:r w:rsidRPr="00180DCC">
        <w:rPr>
          <w:lang w:val="fr-FR"/>
        </w:rPr>
        <w:t>5,6</w:t>
      </w:r>
      <w:r w:rsidRPr="00180DCC">
        <w:rPr>
          <w:lang w:val="fr-FR"/>
        </w:rPr>
        <w:tab/>
        <w:t>à</w:t>
      </w:r>
      <w:r w:rsidRPr="00180DCC">
        <w:rPr>
          <w:lang w:val="fr-FR"/>
        </w:rPr>
        <w:tab/>
      </w:r>
      <w:r w:rsidRPr="00180DCC">
        <w:rPr>
          <w:lang w:val="fr-FR"/>
        </w:rPr>
        <w:t> </w:t>
      </w:r>
      <w:r w:rsidRPr="00180DCC">
        <w:rPr>
          <w:lang w:val="fr-FR"/>
        </w:rPr>
        <w:t> –1,0</w:t>
      </w:r>
      <w:r w:rsidRPr="00180DCC">
        <w:rPr>
          <w:color w:val="FFFFFF"/>
          <w:lang w:val="fr-FR"/>
        </w:rPr>
        <w:tab/>
      </w:r>
      <w:r w:rsidRPr="00180DCC">
        <w:rPr>
          <w:lang w:val="fr-FR"/>
        </w:rPr>
        <w:t>pour</w:t>
      </w:r>
      <w:r w:rsidRPr="00180DCC">
        <w:rPr>
          <w:lang w:val="fr-FR"/>
        </w:rPr>
        <w:tab/>
        <w:t>60  </w:t>
      </w:r>
      <w:r w:rsidRPr="00180DCC">
        <w:rPr>
          <w:rFonts w:ascii="Symbol" w:hAnsi="Symbol"/>
          <w:lang w:val="fr-FR"/>
        </w:rPr>
        <w:t></w:t>
      </w:r>
      <w:r w:rsidRPr="00180DCC">
        <w:rPr>
          <w:lang w:val="fr-FR"/>
        </w:rPr>
        <w:tab/>
      </w:r>
      <w:r w:rsidRPr="00180DCC">
        <w:rPr>
          <w:i/>
          <w:lang w:val="fr-FR"/>
        </w:rPr>
        <w:t>N</w:t>
      </w:r>
      <w:r w:rsidRPr="00180DCC">
        <w:rPr>
          <w:i/>
          <w:position w:val="-3"/>
          <w:sz w:val="16"/>
          <w:lang w:val="fr-FR"/>
        </w:rPr>
        <w:t>c</w:t>
      </w:r>
      <w:r w:rsidRPr="00180DCC">
        <w:rPr>
          <w:i/>
          <w:lang w:val="fr-FR"/>
        </w:rPr>
        <w:t>  </w:t>
      </w:r>
      <w:r w:rsidRPr="00180DCC">
        <w:rPr>
          <w:rFonts w:ascii="Symbol" w:hAnsi="Symbol"/>
          <w:lang w:val="fr-FR"/>
        </w:rPr>
        <w:t></w:t>
      </w:r>
      <w:r w:rsidRPr="00180DCC">
        <w:rPr>
          <w:lang w:val="fr-FR"/>
        </w:rPr>
        <w:t>  240</w:t>
      </w:r>
      <w:r w:rsidRPr="00180DCC">
        <w:rPr>
          <w:lang w:val="fr-FR"/>
        </w:rPr>
        <w:tab/>
        <w:t>et</w:t>
      </w:r>
      <w:r w:rsidRPr="00180DCC">
        <w:rPr>
          <w:lang w:val="fr-FR"/>
        </w:rPr>
        <w:tab/>
        <w:t>pour  </w:t>
      </w:r>
      <w:r w:rsidRPr="00180DCC">
        <w:rPr>
          <w:i/>
          <w:lang w:val="fr-FR"/>
        </w:rPr>
        <w:t>Y</w:t>
      </w:r>
      <w:r w:rsidRPr="00180DCC">
        <w:rPr>
          <w:lang w:val="fr-FR"/>
        </w:rPr>
        <w:t>  </w:t>
      </w:r>
      <w:r w:rsidRPr="00180DCC">
        <w:rPr>
          <w:rFonts w:ascii="Symbol" w:hAnsi="Symbol"/>
          <w:lang w:val="fr-FR"/>
        </w:rPr>
        <w:t></w:t>
      </w:r>
      <w:r w:rsidRPr="00180DCC">
        <w:rPr>
          <w:lang w:val="fr-FR"/>
        </w:rPr>
        <w:t>  </w:t>
      </w:r>
      <w:r w:rsidRPr="00180DCC">
        <w:rPr>
          <w:lang w:val="fr-FR"/>
        </w:rPr>
        <w:t> </w:t>
      </w:r>
      <w:r w:rsidRPr="00180DCC">
        <w:rPr>
          <w:lang w:val="fr-FR"/>
        </w:rPr>
        <w:t>4</w:t>
      </w:r>
    </w:p>
    <w:p w14:paraId="748B8B45" w14:textId="3B7B3991" w:rsidR="00AA41BC" w:rsidRPr="00180DCC" w:rsidRDefault="00AA41BC" w:rsidP="005835A4">
      <w:pPr>
        <w:pStyle w:val="Equationlegend"/>
        <w:rPr>
          <w:lang w:val="fr-FR"/>
        </w:rPr>
      </w:pPr>
      <w:r w:rsidRPr="00180DCC">
        <w:rPr>
          <w:lang w:val="fr-FR"/>
        </w:rPr>
        <w:tab/>
      </w:r>
      <w:r w:rsidRPr="00180DCC">
        <w:rPr>
          <w:i/>
          <w:lang w:val="fr-FR"/>
        </w:rPr>
        <w:t>X</w:t>
      </w:r>
      <w:r w:rsidRPr="00180DCC">
        <w:rPr>
          <w:lang w:val="fr-FR"/>
        </w:rPr>
        <w:t> </w:t>
      </w:r>
      <w:r w:rsidRPr="00180DCC">
        <w:rPr>
          <w:rFonts w:ascii="Symbol" w:hAnsi="Symbol"/>
          <w:lang w:val="fr-FR"/>
        </w:rPr>
        <w:t></w:t>
      </w:r>
      <w:r w:rsidRPr="00180DCC">
        <w:rPr>
          <w:lang w:val="fr-FR"/>
        </w:rPr>
        <w:tab/>
      </w:r>
      <w:r w:rsidR="005835A4" w:rsidRPr="00180DCC">
        <w:rPr>
          <w:color w:val="000000"/>
          <w:lang w:val="fr-FR"/>
        </w:rPr>
        <w:t>−</w:t>
      </w:r>
      <w:r w:rsidRPr="00180DCC">
        <w:rPr>
          <w:lang w:val="fr-FR"/>
        </w:rPr>
        <w:t>19,6</w:t>
      </w:r>
      <w:r w:rsidRPr="00180DCC">
        <w:rPr>
          <w:lang w:val="fr-FR"/>
        </w:rPr>
        <w:tab/>
        <w:t>à</w:t>
      </w:r>
      <w:r w:rsidRPr="00180DCC">
        <w:rPr>
          <w:lang w:val="fr-FR"/>
        </w:rPr>
        <w:tab/>
        <w:t> </w:t>
      </w:r>
      <w:r w:rsidR="005835A4" w:rsidRPr="00180DCC">
        <w:rPr>
          <w:color w:val="000000"/>
          <w:lang w:val="fr-FR"/>
        </w:rPr>
        <w:t>−</w:t>
      </w:r>
      <w:r w:rsidRPr="00180DCC">
        <w:rPr>
          <w:lang w:val="fr-FR"/>
        </w:rPr>
        <w:t>15,0</w:t>
      </w:r>
      <w:r w:rsidRPr="00180DCC">
        <w:rPr>
          <w:color w:val="FFFFFF"/>
          <w:lang w:val="fr-FR"/>
        </w:rPr>
        <w:tab/>
      </w:r>
      <w:r w:rsidRPr="00180DCC">
        <w:rPr>
          <w:lang w:val="fr-FR"/>
        </w:rPr>
        <w:t>pour</w:t>
      </w:r>
      <w:r w:rsidRPr="00180DCC">
        <w:rPr>
          <w:lang w:val="fr-FR"/>
        </w:rPr>
        <w:tab/>
      </w:r>
      <w:r w:rsidRPr="00180DCC">
        <w:rPr>
          <w:color w:val="FFFFFF"/>
          <w:lang w:val="fr-FR"/>
        </w:rPr>
        <w:tab/>
      </w:r>
      <w:r w:rsidRPr="00180DCC">
        <w:rPr>
          <w:i/>
          <w:lang w:val="fr-FR"/>
        </w:rPr>
        <w:t>N</w:t>
      </w:r>
      <w:r w:rsidRPr="00180DCC">
        <w:rPr>
          <w:i/>
          <w:position w:val="-3"/>
          <w:sz w:val="16"/>
          <w:lang w:val="fr-FR"/>
        </w:rPr>
        <w:t>c</w:t>
      </w:r>
      <w:r w:rsidRPr="00180DCC">
        <w:rPr>
          <w:i/>
          <w:lang w:val="fr-FR"/>
        </w:rPr>
        <w:t>  </w:t>
      </w:r>
      <w:r w:rsidRPr="00180DCC">
        <w:rPr>
          <w:rFonts w:ascii="Symbol" w:hAnsi="Symbol"/>
          <w:lang w:val="fr-FR"/>
        </w:rPr>
        <w:t></w:t>
      </w:r>
      <w:r w:rsidRPr="00180DCC">
        <w:rPr>
          <w:lang w:val="fr-FR"/>
        </w:rPr>
        <w:t>  240</w:t>
      </w:r>
      <w:r w:rsidRPr="00180DCC">
        <w:rPr>
          <w:lang w:val="fr-FR"/>
        </w:rPr>
        <w:tab/>
        <w:t>et</w:t>
      </w:r>
      <w:r w:rsidRPr="00180DCC">
        <w:rPr>
          <w:lang w:val="fr-FR"/>
        </w:rPr>
        <w:tab/>
        <w:t>pour  </w:t>
      </w:r>
      <w:r w:rsidRPr="00180DCC">
        <w:rPr>
          <w:i/>
          <w:lang w:val="fr-FR"/>
        </w:rPr>
        <w:t>Y</w:t>
      </w:r>
      <w:r w:rsidRPr="00180DCC">
        <w:rPr>
          <w:lang w:val="fr-FR"/>
        </w:rPr>
        <w:t>  </w:t>
      </w:r>
      <w:r w:rsidRPr="00180DCC">
        <w:rPr>
          <w:rFonts w:ascii="Symbol" w:hAnsi="Symbol"/>
          <w:lang w:val="fr-FR"/>
        </w:rPr>
        <w:t></w:t>
      </w:r>
      <w:r w:rsidRPr="00180DCC">
        <w:rPr>
          <w:lang w:val="fr-FR"/>
        </w:rPr>
        <w:t>  10</w:t>
      </w:r>
    </w:p>
    <w:p w14:paraId="286AC87C" w14:textId="41325738" w:rsidR="00AA41BC" w:rsidRPr="00180DCC" w:rsidRDefault="00AA41BC" w:rsidP="00AA41BC">
      <w:pPr>
        <w:rPr>
          <w:lang w:val="fr-FR"/>
        </w:rPr>
      </w:pPr>
      <w:r w:rsidRPr="00180DCC">
        <w:rPr>
          <w:lang w:val="fr-FR"/>
        </w:rPr>
        <w:t>Le terme entre crochets est l</w:t>
      </w:r>
      <w:r w:rsidR="00C73875" w:rsidRPr="00180DCC">
        <w:rPr>
          <w:lang w:val="fr-FR"/>
        </w:rPr>
        <w:t>'</w:t>
      </w:r>
      <w:r w:rsidRPr="00180DCC">
        <w:rPr>
          <w:lang w:val="fr-FR"/>
        </w:rPr>
        <w:t>excursion de crête</w:t>
      </w:r>
      <w:r w:rsidRPr="00180DCC">
        <w:rPr>
          <w:i/>
          <w:lang w:val="fr-FR"/>
        </w:rPr>
        <w:t xml:space="preserve"> D</w:t>
      </w:r>
      <w:r w:rsidRPr="00180DCC">
        <w:rPr>
          <w:lang w:val="fr-FR"/>
        </w:rPr>
        <w:t>. Le numérateur (</w:t>
      </w:r>
      <w:r w:rsidRPr="00180DCC">
        <w:rPr>
          <w:i/>
          <w:lang w:val="fr-FR"/>
        </w:rPr>
        <w:t>X</w:t>
      </w:r>
      <w:r w:rsidRPr="00180DCC">
        <w:rPr>
          <w:lang w:val="fr-FR"/>
        </w:rPr>
        <w:t> </w:t>
      </w:r>
      <w:r w:rsidRPr="00180DCC">
        <w:rPr>
          <w:rFonts w:ascii="Symbol" w:hAnsi="Symbol"/>
          <w:lang w:val="fr-FR"/>
        </w:rPr>
        <w:t></w:t>
      </w:r>
      <w:r w:rsidRPr="00180DCC">
        <w:rPr>
          <w:i/>
          <w:lang w:val="fr-FR"/>
        </w:rPr>
        <w:t> Y</w:t>
      </w:r>
      <w:r w:rsidRPr="00180DCC">
        <w:rPr>
          <w:lang w:val="fr-FR"/>
        </w:rPr>
        <w:t> log</w:t>
      </w:r>
      <w:r w:rsidRPr="00180DCC">
        <w:rPr>
          <w:i/>
          <w:lang w:val="fr-FR"/>
        </w:rPr>
        <w:t> N</w:t>
      </w:r>
      <w:r w:rsidRPr="00180DCC">
        <w:rPr>
          <w:i/>
          <w:position w:val="-3"/>
          <w:sz w:val="16"/>
          <w:lang w:val="fr-FR"/>
        </w:rPr>
        <w:t>c</w:t>
      </w:r>
      <w:r w:rsidRPr="00180DCC">
        <w:rPr>
          <w:lang w:val="fr-FR"/>
        </w:rPr>
        <w:t>) de la fraction représente la puissance moyenne du signal composite à l</w:t>
      </w:r>
      <w:r w:rsidR="00C73875" w:rsidRPr="00180DCC">
        <w:rPr>
          <w:lang w:val="fr-FR"/>
        </w:rPr>
        <w:t>'</w:t>
      </w:r>
      <w:r w:rsidRPr="00180DCC">
        <w:rPr>
          <w:lang w:val="fr-FR"/>
        </w:rPr>
        <w:t>entrée du modulateur de l</w:t>
      </w:r>
      <w:r w:rsidR="00C73875" w:rsidRPr="00180DCC">
        <w:rPr>
          <w:lang w:val="fr-FR"/>
        </w:rPr>
        <w:t>'</w:t>
      </w:r>
      <w:r w:rsidRPr="00180DCC">
        <w:rPr>
          <w:lang w:val="fr-FR"/>
        </w:rPr>
        <w:t>émetteur. La valeur de 3,76, telle qu</w:t>
      </w:r>
      <w:r w:rsidR="00C73875" w:rsidRPr="00180DCC">
        <w:rPr>
          <w:lang w:val="fr-FR"/>
        </w:rPr>
        <w:t>'</w:t>
      </w:r>
      <w:r w:rsidRPr="00180DCC">
        <w:rPr>
          <w:lang w:val="fr-FR"/>
        </w:rPr>
        <w:t>indiquée au Tableau 3, correspond à un facteur de crête de 11,5 dB.</w:t>
      </w:r>
    </w:p>
    <w:p w14:paraId="2399FE9C" w14:textId="7C4DE95B" w:rsidR="00AA41BC" w:rsidRPr="00180DCC" w:rsidRDefault="00AA41BC" w:rsidP="00AA41BC">
      <w:pPr>
        <w:rPr>
          <w:lang w:val="fr-FR"/>
        </w:rPr>
      </w:pPr>
      <w:r w:rsidRPr="00180DCC">
        <w:rPr>
          <w:lang w:val="fr-FR"/>
        </w:rPr>
        <w:t>Pour choisir correctement une valeur pour</w:t>
      </w:r>
      <w:r w:rsidRPr="00180DCC">
        <w:rPr>
          <w:i/>
          <w:lang w:val="fr-FR"/>
        </w:rPr>
        <w:t xml:space="preserve"> X</w:t>
      </w:r>
      <w:r w:rsidRPr="00180DCC">
        <w:rPr>
          <w:lang w:val="fr-FR"/>
        </w:rPr>
        <w:t xml:space="preserve"> dans la formule de</w:t>
      </w:r>
      <w:r w:rsidRPr="00180DCC">
        <w:rPr>
          <w:i/>
          <w:lang w:val="fr-FR"/>
        </w:rPr>
        <w:t xml:space="preserve"> B</w:t>
      </w:r>
      <w:r w:rsidRPr="00180DCC">
        <w:rPr>
          <w:i/>
          <w:position w:val="-3"/>
          <w:sz w:val="16"/>
          <w:lang w:val="fr-FR"/>
        </w:rPr>
        <w:t>n</w:t>
      </w:r>
      <w:r w:rsidRPr="00180DCC">
        <w:rPr>
          <w:lang w:val="fr-FR"/>
        </w:rPr>
        <w:t>, il est utile de résumer des conditions dans lesquelles cette valeur est utilisée dans un système MRF-MF. Le choix définitif dans la gamme des 4,6</w:t>
      </w:r>
      <w:r w:rsidR="00037A27" w:rsidRPr="00180DCC">
        <w:rPr>
          <w:lang w:val="fr-FR"/>
        </w:rPr>
        <w:t> </w:t>
      </w:r>
      <w:r w:rsidRPr="00180DCC">
        <w:rPr>
          <w:lang w:val="fr-FR"/>
        </w:rPr>
        <w:t>dB peut être empirique. Il est clair d</w:t>
      </w:r>
      <w:r w:rsidR="00C73875" w:rsidRPr="00180DCC">
        <w:rPr>
          <w:lang w:val="fr-FR"/>
        </w:rPr>
        <w:t>'</w:t>
      </w:r>
      <w:r w:rsidRPr="00180DCC">
        <w:rPr>
          <w:lang w:val="fr-FR"/>
        </w:rPr>
        <w:t>après les détails de l</w:t>
      </w:r>
      <w:r w:rsidR="00C73875" w:rsidRPr="00180DCC">
        <w:rPr>
          <w:lang w:val="fr-FR"/>
        </w:rPr>
        <w:t>'</w:t>
      </w:r>
      <w:r w:rsidRPr="00180DCC">
        <w:rPr>
          <w:lang w:val="fr-FR"/>
        </w:rPr>
        <w:t xml:space="preserve">étude que les niveaux moyens de puissance pour la personne qui parle de </w:t>
      </w:r>
      <w:r w:rsidR="00787975" w:rsidRPr="00180DCC">
        <w:rPr>
          <w:lang w:val="fr-FR"/>
        </w:rPr>
        <w:t>−</w:t>
      </w:r>
      <w:r w:rsidRPr="00180DCC">
        <w:rPr>
          <w:lang w:val="fr-FR"/>
        </w:rPr>
        <w:t xml:space="preserve">2, </w:t>
      </w:r>
      <w:r w:rsidR="00787975" w:rsidRPr="00180DCC">
        <w:rPr>
          <w:lang w:val="fr-FR"/>
        </w:rPr>
        <w:t>−</w:t>
      </w:r>
      <w:r w:rsidRPr="00180DCC">
        <w:rPr>
          <w:lang w:val="fr-FR"/>
        </w:rPr>
        <w:t xml:space="preserve">5,6 et </w:t>
      </w:r>
      <w:r w:rsidR="00787975" w:rsidRPr="00180DCC">
        <w:rPr>
          <w:lang w:val="fr-FR"/>
        </w:rPr>
        <w:t>−</w:t>
      </w:r>
      <w:r w:rsidRPr="00180DCC">
        <w:rPr>
          <w:lang w:val="fr-FR"/>
        </w:rPr>
        <w:t>19,6 dBm0 doivent remplacer les nombres correspondants pour</w:t>
      </w:r>
      <w:r w:rsidRPr="00180DCC">
        <w:rPr>
          <w:i/>
          <w:lang w:val="fr-FR"/>
        </w:rPr>
        <w:t xml:space="preserve"> N</w:t>
      </w:r>
      <w:r w:rsidRPr="00180DCC">
        <w:rPr>
          <w:i/>
          <w:position w:val="-3"/>
          <w:sz w:val="16"/>
          <w:lang w:val="fr-FR"/>
        </w:rPr>
        <w:t>c</w:t>
      </w:r>
      <w:r w:rsidRPr="00180DCC">
        <w:rPr>
          <w:position w:val="-3"/>
          <w:sz w:val="16"/>
          <w:lang w:val="fr-FR"/>
        </w:rPr>
        <w:t> </w:t>
      </w:r>
      <w:r w:rsidRPr="00180DCC">
        <w:rPr>
          <w:rFonts w:ascii="Symbol" w:hAnsi="Symbol"/>
          <w:lang w:val="fr-FR"/>
        </w:rPr>
        <w:t></w:t>
      </w:r>
      <w:r w:rsidRPr="00180DCC">
        <w:rPr>
          <w:lang w:val="fr-FR"/>
        </w:rPr>
        <w:t> 12 dans la formule donnant</w:t>
      </w:r>
      <w:r w:rsidRPr="00180DCC">
        <w:rPr>
          <w:i/>
          <w:lang w:val="fr-FR"/>
        </w:rPr>
        <w:t xml:space="preserve"> B</w:t>
      </w:r>
      <w:r w:rsidRPr="00180DCC">
        <w:rPr>
          <w:i/>
          <w:position w:val="-3"/>
          <w:sz w:val="16"/>
          <w:lang w:val="fr-FR"/>
        </w:rPr>
        <w:t>n</w:t>
      </w:r>
      <w:r w:rsidRPr="00180DCC">
        <w:rPr>
          <w:lang w:val="fr-FR"/>
        </w:rPr>
        <w:t>, avec un système MRF</w:t>
      </w:r>
      <w:r w:rsidRPr="00180DCC">
        <w:rPr>
          <w:lang w:val="fr-FR"/>
        </w:rPr>
        <w:noBreakHyphen/>
        <w:t>MF utilisé pour les circuits téléphoniques publics commerciaux modernes dans lesquels la plupart des voies</w:t>
      </w:r>
      <w:r w:rsidR="00037A27" w:rsidRPr="00180DCC">
        <w:rPr>
          <w:lang w:val="fr-FR"/>
        </w:rPr>
        <w:t> </w:t>
      </w:r>
      <w:r w:rsidRPr="00180DCC">
        <w:rPr>
          <w:lang w:val="fr-FR"/>
        </w:rPr>
        <w:t>MRF</w:t>
      </w:r>
      <w:r w:rsidRPr="00180DCC">
        <w:rPr>
          <w:lang w:val="fr-FR"/>
        </w:rPr>
        <w:noBreakHyphen/>
        <w:t>MF sont en fait des voies téléphoniques.</w:t>
      </w:r>
    </w:p>
    <w:p w14:paraId="65C97E09" w14:textId="36D06AE8" w:rsidR="00AA41BC" w:rsidRPr="00180DCC" w:rsidRDefault="00AA41BC" w:rsidP="00AA41BC">
      <w:pPr>
        <w:widowControl w:val="0"/>
        <w:rPr>
          <w:lang w:val="fr-FR"/>
        </w:rPr>
      </w:pPr>
      <w:r w:rsidRPr="00180DCC">
        <w:rPr>
          <w:lang w:val="fr-FR"/>
        </w:rPr>
        <w:t>Dans des systèmes MRF-MF plus petits, privés ou plus anciens, en particulier ceux dans lesquels</w:t>
      </w:r>
      <w:r w:rsidRPr="00180DCC">
        <w:rPr>
          <w:i/>
          <w:lang w:val="fr-FR"/>
        </w:rPr>
        <w:t xml:space="preserve"> N</w:t>
      </w:r>
      <w:r w:rsidRPr="00180DCC">
        <w:rPr>
          <w:i/>
          <w:position w:val="-3"/>
          <w:sz w:val="16"/>
          <w:lang w:val="fr-FR"/>
        </w:rPr>
        <w:t>c</w:t>
      </w:r>
      <w:r w:rsidRPr="00180DCC">
        <w:rPr>
          <w:lang w:val="fr-FR"/>
        </w:rPr>
        <w:t> </w:t>
      </w:r>
      <w:r w:rsidRPr="00180DCC">
        <w:rPr>
          <w:rFonts w:ascii="Symbol" w:hAnsi="Symbol"/>
          <w:lang w:val="fr-FR"/>
        </w:rPr>
        <w:t></w:t>
      </w:r>
      <w:r w:rsidRPr="00180DCC">
        <w:rPr>
          <w:lang w:val="fr-FR"/>
        </w:rPr>
        <w:t> 12 ou ceux qui contiennent des données (non téléphoniques) dans la plupart des voies, les valeurs originelles telles qu</w:t>
      </w:r>
      <w:r w:rsidR="00C73875" w:rsidRPr="00180DCC">
        <w:rPr>
          <w:lang w:val="fr-FR"/>
        </w:rPr>
        <w:t>'</w:t>
      </w:r>
      <w:r w:rsidRPr="00180DCC">
        <w:rPr>
          <w:lang w:val="fr-FR"/>
        </w:rPr>
        <w:t>indiquées dans le Tableau 3, s</w:t>
      </w:r>
      <w:r w:rsidR="00C73875" w:rsidRPr="00180DCC">
        <w:rPr>
          <w:lang w:val="fr-FR"/>
        </w:rPr>
        <w:t>'</w:t>
      </w:r>
      <w:r w:rsidRPr="00180DCC">
        <w:rPr>
          <w:lang w:val="fr-FR"/>
        </w:rPr>
        <w:t xml:space="preserve">appliquent nominalement. Les circuits de données multivoies typiques fonctionnent à des niveaux de puissance compris entre </w:t>
      </w:r>
      <w:r w:rsidR="00787975" w:rsidRPr="00180DCC">
        <w:rPr>
          <w:lang w:val="fr-FR"/>
        </w:rPr>
        <w:t>−</w:t>
      </w:r>
      <w:r w:rsidRPr="00180DCC">
        <w:rPr>
          <w:lang w:val="fr-FR"/>
        </w:rPr>
        <w:t xml:space="preserve">13 et </w:t>
      </w:r>
      <w:r w:rsidR="00787975" w:rsidRPr="00180DCC">
        <w:rPr>
          <w:lang w:val="fr-FR"/>
        </w:rPr>
        <w:t>−</w:t>
      </w:r>
      <w:r w:rsidRPr="00180DCC">
        <w:rPr>
          <w:lang w:val="fr-FR"/>
        </w:rPr>
        <w:t>15 dBm0. Ainsi, la limite de charge composite sera déterminée par l</w:t>
      </w:r>
      <w:r w:rsidR="00C73875" w:rsidRPr="00180DCC">
        <w:rPr>
          <w:lang w:val="fr-FR"/>
        </w:rPr>
        <w:t>'</w:t>
      </w:r>
      <w:r w:rsidRPr="00180DCC">
        <w:rPr>
          <w:lang w:val="fr-FR"/>
        </w:rPr>
        <w:t>utilisation de la valeur</w:t>
      </w:r>
      <w:r w:rsidRPr="00180DCC">
        <w:rPr>
          <w:i/>
          <w:lang w:val="fr-FR"/>
        </w:rPr>
        <w:t xml:space="preserve"> X</w:t>
      </w:r>
      <w:r w:rsidRPr="00180DCC">
        <w:rPr>
          <w:lang w:val="fr-FR"/>
        </w:rPr>
        <w:t> </w:t>
      </w:r>
      <w:r w:rsidRPr="00180DCC">
        <w:rPr>
          <w:rFonts w:ascii="Symbol" w:hAnsi="Symbol"/>
          <w:lang w:val="fr-FR"/>
        </w:rPr>
        <w:t></w:t>
      </w:r>
      <w:r w:rsidRPr="00180DCC">
        <w:rPr>
          <w:lang w:val="fr-FR"/>
        </w:rPr>
        <w:t> </w:t>
      </w:r>
      <w:r w:rsidR="00787975" w:rsidRPr="00180DCC">
        <w:rPr>
          <w:lang w:val="fr-FR"/>
        </w:rPr>
        <w:t>−</w:t>
      </w:r>
      <w:r w:rsidRPr="00180DCC">
        <w:rPr>
          <w:lang w:val="fr-FR"/>
        </w:rPr>
        <w:t xml:space="preserve">13 à </w:t>
      </w:r>
      <w:r w:rsidR="00787975" w:rsidRPr="00180DCC">
        <w:rPr>
          <w:lang w:val="fr-FR"/>
        </w:rPr>
        <w:t>−</w:t>
      </w:r>
      <w:r w:rsidRPr="00180DCC">
        <w:rPr>
          <w:lang w:val="fr-FR"/>
        </w:rPr>
        <w:t>15 pour les systèmes ayant un grand pourcentage de circuits de données pour</w:t>
      </w:r>
      <w:r w:rsidRPr="00180DCC">
        <w:rPr>
          <w:i/>
          <w:lang w:val="fr-FR"/>
        </w:rPr>
        <w:t xml:space="preserve"> N</w:t>
      </w:r>
      <w:r w:rsidRPr="00180DCC">
        <w:rPr>
          <w:lang w:val="fr-FR"/>
        </w:rPr>
        <w:t> </w:t>
      </w:r>
      <w:r w:rsidRPr="00180DCC">
        <w:rPr>
          <w:rFonts w:ascii="Symbol" w:hAnsi="Symbol"/>
          <w:lang w:val="fr-FR"/>
        </w:rPr>
        <w:t></w:t>
      </w:r>
      <w:r w:rsidRPr="00180DCC">
        <w:rPr>
          <w:lang w:val="fr-FR"/>
        </w:rPr>
        <w:t> 240. La signalisation sur voie associée, par opposition à la signalisation sur voie commune, est une indication que le niveau de</w:t>
      </w:r>
      <w:r w:rsidR="00787975" w:rsidRPr="00180DCC">
        <w:rPr>
          <w:lang w:val="fr-FR"/>
        </w:rPr>
        <w:t> −</w:t>
      </w:r>
      <w:r w:rsidRPr="00180DCC">
        <w:rPr>
          <w:lang w:val="fr-FR"/>
        </w:rPr>
        <w:t>15 dBm0 est applicable (système avec</w:t>
      </w:r>
      <w:r w:rsidRPr="00180DCC">
        <w:rPr>
          <w:i/>
          <w:lang w:val="fr-FR"/>
        </w:rPr>
        <w:t xml:space="preserve"> N</w:t>
      </w:r>
      <w:r w:rsidRPr="00180DCC">
        <w:rPr>
          <w:i/>
          <w:position w:val="-3"/>
          <w:sz w:val="16"/>
          <w:lang w:val="fr-FR"/>
        </w:rPr>
        <w:t>c</w:t>
      </w:r>
      <w:r w:rsidRPr="00180DCC">
        <w:rPr>
          <w:lang w:val="fr-FR"/>
        </w:rPr>
        <w:t>  </w:t>
      </w:r>
      <w:r w:rsidRPr="00180DCC">
        <w:rPr>
          <w:rFonts w:ascii="Symbol" w:hAnsi="Symbol"/>
          <w:lang w:val="fr-FR"/>
        </w:rPr>
        <w:t></w:t>
      </w:r>
      <w:r w:rsidRPr="00180DCC">
        <w:rPr>
          <w:lang w:val="fr-FR"/>
        </w:rPr>
        <w:t> 240).</w:t>
      </w:r>
    </w:p>
    <w:p w14:paraId="7DF51787" w14:textId="1BF894C4" w:rsidR="00AA41BC" w:rsidRPr="00180DCC" w:rsidRDefault="00AA41BC" w:rsidP="00037A27">
      <w:pPr>
        <w:rPr>
          <w:lang w:val="fr-FR"/>
        </w:rPr>
      </w:pPr>
      <w:r w:rsidRPr="00180DCC">
        <w:rPr>
          <w:lang w:val="fr-FR"/>
        </w:rPr>
        <w:t>Comme indiqué ci-dessus, le choix, dans la gamme des 4,6 dB, du niveau de puissance du signal dépend largement de l</w:t>
      </w:r>
      <w:r w:rsidR="00C73875" w:rsidRPr="00180DCC">
        <w:rPr>
          <w:lang w:val="fr-FR"/>
        </w:rPr>
        <w:t>'</w:t>
      </w:r>
      <w:r w:rsidRPr="00180DCC">
        <w:rPr>
          <w:lang w:val="fr-FR"/>
        </w:rPr>
        <w:t>expérience. La bande de fréquences proprement dite n</w:t>
      </w:r>
      <w:r w:rsidR="00C73875" w:rsidRPr="00180DCC">
        <w:rPr>
          <w:lang w:val="fr-FR"/>
        </w:rPr>
        <w:t>'</w:t>
      </w:r>
      <w:r w:rsidRPr="00180DCC">
        <w:rPr>
          <w:lang w:val="fr-FR"/>
        </w:rPr>
        <w:t>est pas liée au choix des paramètres relatifs à la puissance pour la personne qui parle. On a constaté à titre d</w:t>
      </w:r>
      <w:r w:rsidR="00C73875" w:rsidRPr="00180DCC">
        <w:rPr>
          <w:lang w:val="fr-FR"/>
        </w:rPr>
        <w:t>'</w:t>
      </w:r>
      <w:r w:rsidRPr="00180DCC">
        <w:rPr>
          <w:lang w:val="fr-FR"/>
        </w:rPr>
        <w:t>exemple de l</w:t>
      </w:r>
      <w:r w:rsidR="00C73875" w:rsidRPr="00180DCC">
        <w:rPr>
          <w:lang w:val="fr-FR"/>
        </w:rPr>
        <w:t>'</w:t>
      </w:r>
      <w:r w:rsidRPr="00180DCC">
        <w:rPr>
          <w:lang w:val="fr-FR"/>
        </w:rPr>
        <w:t>application pratique des nouveaux paramètres, que la capacité d</w:t>
      </w:r>
      <w:r w:rsidR="00C73875" w:rsidRPr="00180DCC">
        <w:rPr>
          <w:lang w:val="fr-FR"/>
        </w:rPr>
        <w:t>'</w:t>
      </w:r>
      <w:r w:rsidRPr="00180DCC">
        <w:rPr>
          <w:lang w:val="fr-FR"/>
        </w:rPr>
        <w:t>un système de faisceaux hertziens du service fixe de Terre, fixée à la conception du matériel à 1</w:t>
      </w:r>
      <w:r w:rsidR="00037A27" w:rsidRPr="00180DCC">
        <w:rPr>
          <w:lang w:val="fr-FR"/>
        </w:rPr>
        <w:t> </w:t>
      </w:r>
      <w:r w:rsidRPr="00180DCC">
        <w:rPr>
          <w:lang w:val="fr-FR"/>
        </w:rPr>
        <w:t>500 voies seulement, passait à 1</w:t>
      </w:r>
      <w:r w:rsidR="00037A27" w:rsidRPr="00180DCC">
        <w:rPr>
          <w:lang w:val="fr-FR"/>
        </w:rPr>
        <w:t> </w:t>
      </w:r>
      <w:r w:rsidRPr="00180DCC">
        <w:rPr>
          <w:lang w:val="fr-FR"/>
        </w:rPr>
        <w:t>800 voies, ce qui représente un progrès important en matière d</w:t>
      </w:r>
      <w:r w:rsidR="00C73875" w:rsidRPr="00180DCC">
        <w:rPr>
          <w:lang w:val="fr-FR"/>
        </w:rPr>
        <w:t>'</w:t>
      </w:r>
      <w:r w:rsidRPr="00180DCC">
        <w:rPr>
          <w:lang w:val="fr-FR"/>
        </w:rPr>
        <w:t>efficacité d</w:t>
      </w:r>
      <w:r w:rsidR="00C73875" w:rsidRPr="00180DCC">
        <w:rPr>
          <w:lang w:val="fr-FR"/>
        </w:rPr>
        <w:t>'</w:t>
      </w:r>
      <w:r w:rsidRPr="00180DCC">
        <w:rPr>
          <w:lang w:val="fr-FR"/>
        </w:rPr>
        <w:t>utilisation du spectre.</w:t>
      </w:r>
    </w:p>
    <w:p w14:paraId="3E948456" w14:textId="77777777" w:rsidR="00AA41BC" w:rsidRPr="00180DCC" w:rsidRDefault="00AA41BC" w:rsidP="00037A27">
      <w:pPr>
        <w:rPr>
          <w:lang w:val="fr-FR"/>
        </w:rPr>
      </w:pPr>
    </w:p>
    <w:p w14:paraId="62A5BF77" w14:textId="77777777" w:rsidR="00AA41BC" w:rsidRPr="00180DCC" w:rsidRDefault="00AA41BC" w:rsidP="00037A27">
      <w:pPr>
        <w:rPr>
          <w:lang w:val="fr-FR"/>
        </w:rPr>
      </w:pPr>
    </w:p>
    <w:p w14:paraId="0BAF2B79" w14:textId="77777777" w:rsidR="00AA41BC" w:rsidRPr="00180DCC" w:rsidRDefault="00AA41BC" w:rsidP="00037A27">
      <w:pPr>
        <w:pStyle w:val="AnnexNoTitle"/>
        <w:outlineLvl w:val="0"/>
        <w:rPr>
          <w:lang w:val="fr-FR"/>
        </w:rPr>
      </w:pPr>
      <w:r w:rsidRPr="00180DCC">
        <w:rPr>
          <w:lang w:val="fr-FR"/>
        </w:rPr>
        <w:lastRenderedPageBreak/>
        <w:t>Annexe 2</w:t>
      </w:r>
      <w:r w:rsidRPr="00180DCC">
        <w:rPr>
          <w:lang w:val="fr-FR"/>
        </w:rPr>
        <w:br/>
      </w:r>
      <w:r w:rsidRPr="00180DCC">
        <w:rPr>
          <w:lang w:val="fr-FR"/>
        </w:rPr>
        <w:br/>
        <w:t>Calculs des largeurs de bande nécessaires pour</w:t>
      </w:r>
      <w:r w:rsidRPr="00180DCC">
        <w:rPr>
          <w:lang w:val="fr-FR"/>
        </w:rPr>
        <w:br/>
        <w:t>les émissions par impulsions non modulées</w:t>
      </w:r>
    </w:p>
    <w:p w14:paraId="5A23825E" w14:textId="79B9D489" w:rsidR="00AA41BC" w:rsidRPr="00180DCC" w:rsidRDefault="00AA41BC" w:rsidP="00037A27">
      <w:pPr>
        <w:pStyle w:val="Normalaftertitle"/>
        <w:rPr>
          <w:lang w:val="fr-FR"/>
        </w:rPr>
      </w:pPr>
      <w:r w:rsidRPr="00180DCC">
        <w:rPr>
          <w:lang w:val="fr-FR"/>
        </w:rPr>
        <w:t>La largeur de bande nécessaire dans les cas communs d</w:t>
      </w:r>
      <w:r w:rsidR="00C73875" w:rsidRPr="00180DCC">
        <w:rPr>
          <w:lang w:val="fr-FR"/>
        </w:rPr>
        <w:t>'</w:t>
      </w:r>
      <w:r w:rsidRPr="00180DCC">
        <w:rPr>
          <w:lang w:val="fr-FR"/>
        </w:rPr>
        <w:t>impulsions non modulées, rectangulaires ou trapézoïdales, est spécifiée. Une valeur de –20 dB par rapport au niveau de crête sur l</w:t>
      </w:r>
      <w:r w:rsidR="00C73875" w:rsidRPr="00180DCC">
        <w:rPr>
          <w:lang w:val="fr-FR"/>
        </w:rPr>
        <w:t>'</w:t>
      </w:r>
      <w:r w:rsidRPr="00180DCC">
        <w:rPr>
          <w:lang w:val="fr-FR"/>
        </w:rPr>
        <w:t>enveloppe théorique du spectre est le critère utilisé afin d</w:t>
      </w:r>
      <w:r w:rsidR="00C73875" w:rsidRPr="00180DCC">
        <w:rPr>
          <w:lang w:val="fr-FR"/>
        </w:rPr>
        <w:t>'</w:t>
      </w:r>
      <w:r w:rsidRPr="00180DCC">
        <w:rPr>
          <w:lang w:val="fr-FR"/>
        </w:rPr>
        <w:t>établir la largeur de bande nécessaire à ces impulsions. Pour celles-ci, les valeurs de l</w:t>
      </w:r>
      <w:r w:rsidR="00C73875" w:rsidRPr="00180DCC">
        <w:rPr>
          <w:lang w:val="fr-FR"/>
        </w:rPr>
        <w:t>'</w:t>
      </w:r>
      <w:r w:rsidRPr="00180DCC">
        <w:rPr>
          <w:lang w:val="fr-FR"/>
        </w:rPr>
        <w:t>enveloppe du spectre ont été déterminées à l</w:t>
      </w:r>
      <w:r w:rsidR="00C73875" w:rsidRPr="00180DCC">
        <w:rPr>
          <w:lang w:val="fr-FR"/>
        </w:rPr>
        <w:t>'</w:t>
      </w:r>
      <w:r w:rsidRPr="00180DCC">
        <w:rPr>
          <w:lang w:val="fr-FR"/>
        </w:rPr>
        <w:t>aide de méthodes de calcul simples.</w:t>
      </w:r>
    </w:p>
    <w:p w14:paraId="1F4D3FF2" w14:textId="7C4F2914" w:rsidR="00AA41BC" w:rsidRPr="00180DCC" w:rsidRDefault="00AA41BC" w:rsidP="00037A27">
      <w:pPr>
        <w:rPr>
          <w:lang w:val="fr-FR"/>
        </w:rPr>
      </w:pPr>
      <w:r w:rsidRPr="00180DCC">
        <w:rPr>
          <w:lang w:val="fr-FR"/>
        </w:rPr>
        <w:t>Le Tableau 1 récapitule les largeurs de bande nécessaires calculées pour des impulsions non modulées. Dans le cas 1 (impulsion trapézoïdale), la durée de l</w:t>
      </w:r>
      <w:r w:rsidR="00C73875" w:rsidRPr="00180DCC">
        <w:rPr>
          <w:lang w:val="fr-FR"/>
        </w:rPr>
        <w:t>'</w:t>
      </w:r>
      <w:r w:rsidRPr="00180DCC">
        <w:rPr>
          <w:lang w:val="fr-FR"/>
        </w:rPr>
        <w:t>impulsion,</w:t>
      </w:r>
      <w:r w:rsidRPr="00180DCC">
        <w:rPr>
          <w:i/>
          <w:lang w:val="fr-FR"/>
        </w:rPr>
        <w:t xml:space="preserve"> t</w:t>
      </w:r>
      <w:r w:rsidRPr="00180DCC">
        <w:rPr>
          <w:lang w:val="fr-FR"/>
        </w:rPr>
        <w:t>, est le temps qui s</w:t>
      </w:r>
      <w:r w:rsidR="00C73875" w:rsidRPr="00180DCC">
        <w:rPr>
          <w:lang w:val="fr-FR"/>
        </w:rPr>
        <w:t>'</w:t>
      </w:r>
      <w:r w:rsidRPr="00180DCC">
        <w:rPr>
          <w:lang w:val="fr-FR"/>
        </w:rPr>
        <w:t>écoule entre les points à mi-amplitude et</w:t>
      </w:r>
      <w:r w:rsidRPr="00180DCC">
        <w:rPr>
          <w:i/>
          <w:lang w:val="fr-FR"/>
        </w:rPr>
        <w:t xml:space="preserve"> t</w:t>
      </w:r>
      <w:r w:rsidRPr="00180DCC">
        <w:rPr>
          <w:i/>
          <w:position w:val="-3"/>
          <w:sz w:val="16"/>
          <w:lang w:val="fr-FR"/>
        </w:rPr>
        <w:t>r</w:t>
      </w:r>
      <w:r w:rsidRPr="00802534">
        <w:rPr>
          <w:position w:val="-4"/>
          <w:szCs w:val="24"/>
          <w:lang w:val="fr-FR"/>
        </w:rPr>
        <w:t xml:space="preserve"> </w:t>
      </w:r>
      <w:r w:rsidRPr="00180DCC">
        <w:rPr>
          <w:lang w:val="fr-FR"/>
        </w:rPr>
        <w:t>(temps d</w:t>
      </w:r>
      <w:r w:rsidR="00C73875" w:rsidRPr="00180DCC">
        <w:rPr>
          <w:lang w:val="fr-FR"/>
        </w:rPr>
        <w:t>'</w:t>
      </w:r>
      <w:r w:rsidRPr="00180DCC">
        <w:rPr>
          <w:lang w:val="fr-FR"/>
        </w:rPr>
        <w:t>établissement du front avant) est le temps qui s</w:t>
      </w:r>
      <w:r w:rsidR="00C73875" w:rsidRPr="00180DCC">
        <w:rPr>
          <w:lang w:val="fr-FR"/>
        </w:rPr>
        <w:t>'</w:t>
      </w:r>
      <w:r w:rsidRPr="00180DCC">
        <w:rPr>
          <w:lang w:val="fr-FR"/>
        </w:rPr>
        <w:t>écoule entre les points à 10% et à 90% d</w:t>
      </w:r>
      <w:r w:rsidR="00C73875" w:rsidRPr="00180DCC">
        <w:rPr>
          <w:lang w:val="fr-FR"/>
        </w:rPr>
        <w:t>'</w:t>
      </w:r>
      <w:r w:rsidRPr="00180DCC">
        <w:rPr>
          <w:lang w:val="fr-FR"/>
        </w:rPr>
        <w:t>amplitude. Le temps d</w:t>
      </w:r>
      <w:r w:rsidR="00C73875" w:rsidRPr="00180DCC">
        <w:rPr>
          <w:lang w:val="fr-FR"/>
        </w:rPr>
        <w:t>'</w:t>
      </w:r>
      <w:r w:rsidRPr="00180DCC">
        <w:rPr>
          <w:lang w:val="fr-FR"/>
        </w:rPr>
        <w:t>établissement du front arrière,</w:t>
      </w:r>
      <w:r w:rsidRPr="00180DCC">
        <w:rPr>
          <w:i/>
          <w:lang w:val="fr-FR"/>
        </w:rPr>
        <w:t xml:space="preserve"> t</w:t>
      </w:r>
      <w:r w:rsidRPr="00180DCC">
        <w:rPr>
          <w:i/>
          <w:position w:val="-3"/>
          <w:sz w:val="16"/>
          <w:lang w:val="fr-FR"/>
        </w:rPr>
        <w:t>f</w:t>
      </w:r>
      <w:r w:rsidRPr="00180DCC">
        <w:rPr>
          <w:lang w:val="fr-FR"/>
        </w:rPr>
        <w:t>, est égal au temps d</w:t>
      </w:r>
      <w:r w:rsidR="00C73875" w:rsidRPr="00180DCC">
        <w:rPr>
          <w:lang w:val="fr-FR"/>
        </w:rPr>
        <w:t>'</w:t>
      </w:r>
      <w:r w:rsidRPr="00180DCC">
        <w:rPr>
          <w:lang w:val="fr-FR"/>
        </w:rPr>
        <w:t>établissement du front avant</w:t>
      </w:r>
      <w:r w:rsidRPr="00180DCC">
        <w:rPr>
          <w:i/>
          <w:lang w:val="fr-FR"/>
        </w:rPr>
        <w:t xml:space="preserve"> t</w:t>
      </w:r>
      <w:r w:rsidRPr="00180DCC">
        <w:rPr>
          <w:i/>
          <w:position w:val="-3"/>
          <w:sz w:val="16"/>
          <w:lang w:val="fr-FR"/>
        </w:rPr>
        <w:t>r</w:t>
      </w:r>
      <w:r w:rsidRPr="00180DCC">
        <w:rPr>
          <w:lang w:val="fr-FR"/>
        </w:rPr>
        <w:t>. Dans le cas 2, le temps de montée du front avant,</w:t>
      </w:r>
      <w:r w:rsidRPr="00180DCC">
        <w:rPr>
          <w:i/>
          <w:lang w:val="fr-FR"/>
        </w:rPr>
        <w:t xml:space="preserve"> t</w:t>
      </w:r>
      <w:r w:rsidRPr="00180DCC">
        <w:rPr>
          <w:i/>
          <w:position w:val="-3"/>
          <w:sz w:val="16"/>
          <w:lang w:val="fr-FR"/>
        </w:rPr>
        <w:t>r</w:t>
      </w:r>
      <w:r w:rsidRPr="00180DCC">
        <w:rPr>
          <w:lang w:val="fr-FR"/>
        </w:rPr>
        <w:t>, n</w:t>
      </w:r>
      <w:r w:rsidR="00C73875" w:rsidRPr="00180DCC">
        <w:rPr>
          <w:lang w:val="fr-FR"/>
        </w:rPr>
        <w:t>'</w:t>
      </w:r>
      <w:r w:rsidRPr="00180DCC">
        <w:rPr>
          <w:lang w:val="fr-FR"/>
        </w:rPr>
        <w:t>est pas toujours égal au temps de descente du front arrière,</w:t>
      </w:r>
      <w:r w:rsidRPr="00180DCC">
        <w:rPr>
          <w:i/>
          <w:lang w:val="fr-FR"/>
        </w:rPr>
        <w:t xml:space="preserve"> t</w:t>
      </w:r>
      <w:r w:rsidRPr="00180DCC">
        <w:rPr>
          <w:i/>
          <w:position w:val="-3"/>
          <w:sz w:val="16"/>
          <w:lang w:val="fr-FR"/>
        </w:rPr>
        <w:t>f</w:t>
      </w:r>
      <w:r w:rsidRPr="00180DCC">
        <w:rPr>
          <w:lang w:val="fr-FR"/>
        </w:rPr>
        <w:t>. Ce dernier est le temps qui s</w:t>
      </w:r>
      <w:r w:rsidR="00C73875" w:rsidRPr="00180DCC">
        <w:rPr>
          <w:lang w:val="fr-FR"/>
        </w:rPr>
        <w:t>'</w:t>
      </w:r>
      <w:r w:rsidRPr="00180DCC">
        <w:rPr>
          <w:lang w:val="fr-FR"/>
        </w:rPr>
        <w:t>écoule entre les points à 90% et 10% d</w:t>
      </w:r>
      <w:r w:rsidR="00C73875" w:rsidRPr="00180DCC">
        <w:rPr>
          <w:lang w:val="fr-FR"/>
        </w:rPr>
        <w:t>'</w:t>
      </w:r>
      <w:r w:rsidRPr="00180DCC">
        <w:rPr>
          <w:lang w:val="fr-FR"/>
        </w:rPr>
        <w:t>amplitude. Dans le cas 3 (impulsion rectangulaire),</w:t>
      </w:r>
      <w:r w:rsidRPr="00180DCC">
        <w:rPr>
          <w:i/>
          <w:lang w:val="fr-FR"/>
        </w:rPr>
        <w:t xml:space="preserve"> t</w:t>
      </w:r>
      <w:r w:rsidRPr="00180DCC">
        <w:rPr>
          <w:lang w:val="fr-FR"/>
        </w:rPr>
        <w:t xml:space="preserve"> est la durée de l</w:t>
      </w:r>
      <w:r w:rsidR="00C73875" w:rsidRPr="00180DCC">
        <w:rPr>
          <w:lang w:val="fr-FR"/>
        </w:rPr>
        <w:t>'</w:t>
      </w:r>
      <w:r w:rsidRPr="00180DCC">
        <w:rPr>
          <w:lang w:val="fr-FR"/>
        </w:rPr>
        <w:t>impulsion.</w:t>
      </w:r>
    </w:p>
    <w:p w14:paraId="719ADAB0" w14:textId="77777777" w:rsidR="00AA41BC" w:rsidRPr="00180DCC" w:rsidRDefault="00AA41BC" w:rsidP="00037A27">
      <w:pPr>
        <w:rPr>
          <w:lang w:val="fr-FR"/>
        </w:rPr>
      </w:pPr>
    </w:p>
    <w:p w14:paraId="5CC47F7B" w14:textId="77777777" w:rsidR="00AA41BC" w:rsidRPr="00180DCC" w:rsidRDefault="00AA41BC" w:rsidP="00037A27">
      <w:pPr>
        <w:rPr>
          <w:lang w:val="fr-FR"/>
        </w:rPr>
      </w:pPr>
    </w:p>
    <w:p w14:paraId="795B8119" w14:textId="77777777" w:rsidR="00AA41BC" w:rsidRPr="00180DCC" w:rsidRDefault="00AA41BC" w:rsidP="00037A27">
      <w:pPr>
        <w:pStyle w:val="AnnexNoTitle"/>
        <w:outlineLvl w:val="0"/>
        <w:rPr>
          <w:lang w:val="fr-FR"/>
        </w:rPr>
      </w:pPr>
      <w:r w:rsidRPr="00180DCC">
        <w:rPr>
          <w:lang w:val="fr-FR"/>
        </w:rPr>
        <w:t>Annexe 3</w:t>
      </w:r>
      <w:r w:rsidRPr="00180DCC">
        <w:rPr>
          <w:lang w:val="fr-FR"/>
        </w:rPr>
        <w:br/>
      </w:r>
      <w:r w:rsidRPr="00180DCC">
        <w:rPr>
          <w:lang w:val="fr-FR"/>
        </w:rPr>
        <w:br/>
        <w:t>Calculs des largeurs de bande nécessaires</w:t>
      </w:r>
      <w:r w:rsidRPr="00180DCC">
        <w:rPr>
          <w:lang w:val="fr-FR"/>
        </w:rPr>
        <w:br/>
        <w:t>en modulation numérique</w:t>
      </w:r>
    </w:p>
    <w:p w14:paraId="4674A01B" w14:textId="395AE15C" w:rsidR="00AA41BC" w:rsidRPr="00180DCC" w:rsidRDefault="00AA41BC" w:rsidP="00037A27">
      <w:pPr>
        <w:pStyle w:val="Normalaftertitle"/>
        <w:rPr>
          <w:lang w:val="fr-FR"/>
        </w:rPr>
      </w:pPr>
      <w:r w:rsidRPr="00180DCC">
        <w:rPr>
          <w:lang w:val="fr-FR"/>
        </w:rPr>
        <w:t xml:space="preserve">Les formules établies pour la détermination des largeurs de bande nécessaires dans le cas de modulations de données numériques (voir la Recommandation </w:t>
      </w:r>
      <w:hyperlink r:id="rId21" w:history="1">
        <w:r w:rsidRPr="00180DCC">
          <w:rPr>
            <w:rStyle w:val="Hyperlink"/>
            <w:color w:val="auto"/>
            <w:u w:val="none"/>
            <w:lang w:val="fr-FR"/>
          </w:rPr>
          <w:t>UIT-R SM.1138</w:t>
        </w:r>
      </w:hyperlink>
      <w:r w:rsidRPr="00180DCC">
        <w:rPr>
          <w:lang w:val="fr-FR"/>
        </w:rPr>
        <w:t xml:space="preserve">) contiennent un facteur </w:t>
      </w:r>
      <w:r w:rsidRPr="00180DCC">
        <w:rPr>
          <w:i/>
          <w:lang w:val="fr-FR"/>
        </w:rPr>
        <w:t>K</w:t>
      </w:r>
      <w:r w:rsidRPr="00180DCC">
        <w:rPr>
          <w:lang w:val="fr-FR"/>
        </w:rPr>
        <w:t xml:space="preserve"> qui rend compte des compromis auxquels on a consenti lors de la conception d</w:t>
      </w:r>
      <w:r w:rsidR="00C73875" w:rsidRPr="00180DCC">
        <w:rPr>
          <w:lang w:val="fr-FR"/>
        </w:rPr>
        <w:t>'</w:t>
      </w:r>
      <w:r w:rsidRPr="00180DCC">
        <w:rPr>
          <w:lang w:val="fr-FR"/>
        </w:rPr>
        <w:t>un système. Les décisions relatives à ces compromis portent généralement sur la puissance du système, sa largeur de bande et ses caractéristiques de qualité (taux d</w:t>
      </w:r>
      <w:r w:rsidR="00C73875" w:rsidRPr="00180DCC">
        <w:rPr>
          <w:lang w:val="fr-FR"/>
        </w:rPr>
        <w:t>'</w:t>
      </w:r>
      <w:r w:rsidRPr="00180DCC">
        <w:rPr>
          <w:lang w:val="fr-FR"/>
        </w:rPr>
        <w:t>erreur binaire). Par exemple, lorsqu</w:t>
      </w:r>
      <w:r w:rsidR="00C73875" w:rsidRPr="00180DCC">
        <w:rPr>
          <w:lang w:val="fr-FR"/>
        </w:rPr>
        <w:t>'</w:t>
      </w:r>
      <w:r w:rsidRPr="00180DCC">
        <w:rPr>
          <w:lang w:val="fr-FR"/>
        </w:rPr>
        <w:t>on utilise des niveaux de modulation élevés, dans le cas de systèmes numériques à visibilité directe, on préfère employer une puissance élevée plutôt qu</w:t>
      </w:r>
      <w:r w:rsidR="00C73875" w:rsidRPr="00180DCC">
        <w:rPr>
          <w:lang w:val="fr-FR"/>
        </w:rPr>
        <w:t>'</w:t>
      </w:r>
      <w:r w:rsidRPr="00180DCC">
        <w:rPr>
          <w:lang w:val="fr-FR"/>
        </w:rPr>
        <w:t>une grande largeur de bande. Les modulations numériques à niveau élevé telles que les modulations MAQ-16, MAQ-64 et MAQ-256 peuvent transférer pour une valeur donnée de bandes de spectre de fréquences, davantage de bit/s que les modulations numériques à faible niveau, mais elles nécessitent davantage de puissance (c</w:t>
      </w:r>
      <w:r w:rsidR="00C73875" w:rsidRPr="00180DCC">
        <w:rPr>
          <w:lang w:val="fr-FR"/>
        </w:rPr>
        <w:t>'</w:t>
      </w:r>
      <w:r w:rsidRPr="00180DCC">
        <w:rPr>
          <w:lang w:val="fr-FR"/>
        </w:rPr>
        <w:t>est-à-dire un rapport porteuse/bruit plus élevé). Inversement, dans les systèmes à satellites où la puissance à bord est limitée, on préfère employer un spectre plus étendu et une puissance moins forte et l</w:t>
      </w:r>
      <w:r w:rsidR="00C73875" w:rsidRPr="00180DCC">
        <w:rPr>
          <w:lang w:val="fr-FR"/>
        </w:rPr>
        <w:t>'</w:t>
      </w:r>
      <w:r w:rsidRPr="00180DCC">
        <w:rPr>
          <w:lang w:val="fr-FR"/>
        </w:rPr>
        <w:t>on utilise de faibles niveaux de modulation. Les signaux numériques nécessitent souvent un filtrage important pour satisfaire aux spécifications de protection des canaux adjacents.</w:t>
      </w:r>
    </w:p>
    <w:p w14:paraId="032F07C0" w14:textId="224C724F" w:rsidR="00AA41BC" w:rsidRPr="00180DCC" w:rsidRDefault="00AA41BC" w:rsidP="00037A27">
      <w:pPr>
        <w:rPr>
          <w:lang w:val="fr-FR"/>
        </w:rPr>
      </w:pPr>
      <w:r w:rsidRPr="00180DCC">
        <w:rPr>
          <w:lang w:val="fr-FR"/>
        </w:rPr>
        <w:t>Le filtrage des signaux numériques peut s</w:t>
      </w:r>
      <w:r w:rsidR="00C73875" w:rsidRPr="00180DCC">
        <w:rPr>
          <w:lang w:val="fr-FR"/>
        </w:rPr>
        <w:t>'</w:t>
      </w:r>
      <w:r w:rsidRPr="00180DCC">
        <w:rPr>
          <w:lang w:val="fr-FR"/>
        </w:rPr>
        <w:t>effectuer en tant que filtrage de prémodulation du signal à l</w:t>
      </w:r>
      <w:r w:rsidR="00C73875" w:rsidRPr="00180DCC">
        <w:rPr>
          <w:lang w:val="fr-FR"/>
        </w:rPr>
        <w:t>'</w:t>
      </w:r>
      <w:r w:rsidRPr="00180DCC">
        <w:rPr>
          <w:lang w:val="fr-FR"/>
        </w:rPr>
        <w:t>émetteur dans la bande de base ou bien en un ou plusieurs autres points à l</w:t>
      </w:r>
      <w:r w:rsidR="00C73875" w:rsidRPr="00180DCC">
        <w:rPr>
          <w:lang w:val="fr-FR"/>
        </w:rPr>
        <w:t>'</w:t>
      </w:r>
      <w:r w:rsidRPr="00180DCC">
        <w:rPr>
          <w:lang w:val="fr-FR"/>
        </w:rPr>
        <w:t>intérieur de l</w:t>
      </w:r>
      <w:r w:rsidR="00C73875" w:rsidRPr="00180DCC">
        <w:rPr>
          <w:lang w:val="fr-FR"/>
        </w:rPr>
        <w:t>'</w:t>
      </w:r>
      <w:r w:rsidRPr="00180DCC">
        <w:rPr>
          <w:lang w:val="fr-FR"/>
        </w:rPr>
        <w:t>émetteur ou du récepteur. En compensation de l</w:t>
      </w:r>
      <w:r w:rsidR="00C73875" w:rsidRPr="00180DCC">
        <w:rPr>
          <w:lang w:val="fr-FR"/>
        </w:rPr>
        <w:t>'</w:t>
      </w:r>
      <w:r w:rsidRPr="00180DCC">
        <w:rPr>
          <w:lang w:val="fr-FR"/>
        </w:rPr>
        <w:t xml:space="preserve">adjonction de ce filtrage, on accroît le rapport porteuse/bruit, </w:t>
      </w:r>
      <w:r w:rsidRPr="00180DCC">
        <w:rPr>
          <w:i/>
          <w:lang w:val="fr-FR"/>
        </w:rPr>
        <w:t>C/N</w:t>
      </w:r>
      <w:r w:rsidRPr="00180DCC">
        <w:rPr>
          <w:lang w:val="fr-FR"/>
        </w:rPr>
        <w:t xml:space="preserve">, du système. Les valeurs numériques du facteur </w:t>
      </w:r>
      <w:r w:rsidRPr="00180DCC">
        <w:rPr>
          <w:i/>
          <w:lang w:val="fr-FR"/>
        </w:rPr>
        <w:t>K</w:t>
      </w:r>
      <w:r w:rsidRPr="00180DCC">
        <w:rPr>
          <w:lang w:val="fr-FR"/>
        </w:rPr>
        <w:t xml:space="preserve"> dépendent de la grandeur et de la forme de la caractéristique de sélectivité du filtre. Les caractéristiques des filtres sont définies cas par cas. Ainsi, il n</w:t>
      </w:r>
      <w:r w:rsidR="00C73875" w:rsidRPr="00180DCC">
        <w:rPr>
          <w:lang w:val="fr-FR"/>
        </w:rPr>
        <w:t>'</w:t>
      </w:r>
      <w:r w:rsidRPr="00180DCC">
        <w:rPr>
          <w:lang w:val="fr-FR"/>
        </w:rPr>
        <w:t>est ni pratique, ni profitable d</w:t>
      </w:r>
      <w:r w:rsidR="00C73875" w:rsidRPr="00180DCC">
        <w:rPr>
          <w:lang w:val="fr-FR"/>
        </w:rPr>
        <w:t>'</w:t>
      </w:r>
      <w:r w:rsidRPr="00180DCC">
        <w:rPr>
          <w:lang w:val="fr-FR"/>
        </w:rPr>
        <w:t>incorporer dans les formules permettant de déterminer les largeurs de bande nécessaires, des valeurs numériques uniques pour </w:t>
      </w:r>
      <w:r w:rsidRPr="00180DCC">
        <w:rPr>
          <w:i/>
          <w:lang w:val="fr-FR"/>
        </w:rPr>
        <w:t>K</w:t>
      </w:r>
      <w:r w:rsidRPr="00180DCC">
        <w:rPr>
          <w:lang w:val="fr-FR"/>
        </w:rPr>
        <w:t>.</w:t>
      </w:r>
    </w:p>
    <w:p w14:paraId="3E48FF5B" w14:textId="3D87991C" w:rsidR="00AA41BC" w:rsidRPr="00180DCC" w:rsidRDefault="00AA41BC" w:rsidP="00037A27">
      <w:pPr>
        <w:rPr>
          <w:lang w:val="fr-FR"/>
        </w:rPr>
      </w:pPr>
      <w:r w:rsidRPr="00180DCC">
        <w:rPr>
          <w:lang w:val="fr-FR"/>
        </w:rPr>
        <w:lastRenderedPageBreak/>
        <w:t xml:space="preserve">Dans le Tableau 2 figurent un certain nombre de valeurs de </w:t>
      </w:r>
      <w:r w:rsidRPr="00180DCC">
        <w:rPr>
          <w:i/>
          <w:lang w:val="fr-FR"/>
        </w:rPr>
        <w:t>K</w:t>
      </w:r>
      <w:r w:rsidRPr="00180DCC">
        <w:rPr>
          <w:lang w:val="fr-FR"/>
        </w:rPr>
        <w:t xml:space="preserve"> données à titre d</w:t>
      </w:r>
      <w:r w:rsidR="00C73875" w:rsidRPr="00180DCC">
        <w:rPr>
          <w:lang w:val="fr-FR"/>
        </w:rPr>
        <w:t>'</w:t>
      </w:r>
      <w:r w:rsidRPr="00180DCC">
        <w:rPr>
          <w:lang w:val="fr-FR"/>
        </w:rPr>
        <w:t xml:space="preserve">exemple pour plusieurs modulations numériques. Les valeurs de </w:t>
      </w:r>
      <w:r w:rsidRPr="00180DCC">
        <w:rPr>
          <w:i/>
          <w:lang w:val="fr-FR"/>
        </w:rPr>
        <w:t>K</w:t>
      </w:r>
      <w:r w:rsidRPr="00180DCC">
        <w:rPr>
          <w:lang w:val="fr-FR"/>
        </w:rPr>
        <w:t xml:space="preserve"> correspondent soit à des valeurs de spectres de fréquences calculées, soit à des valeurs de spectres de fréquences mesurées. Le Tableau 2 contient les formules pour la détermination des largeurs de bande nécessaires utilisées, la valeur de </w:t>
      </w:r>
      <w:r w:rsidRPr="00180DCC">
        <w:rPr>
          <w:i/>
          <w:lang w:val="fr-FR"/>
        </w:rPr>
        <w:t>K</w:t>
      </w:r>
      <w:r w:rsidRPr="00180DCC">
        <w:rPr>
          <w:lang w:val="fr-FR"/>
        </w:rPr>
        <w:t xml:space="preserve"> et d</w:t>
      </w:r>
      <w:r w:rsidR="00C73875" w:rsidRPr="00180DCC">
        <w:rPr>
          <w:lang w:val="fr-FR"/>
        </w:rPr>
        <w:t>'</w:t>
      </w:r>
      <w:r w:rsidRPr="00180DCC">
        <w:rPr>
          <w:lang w:val="fr-FR"/>
        </w:rPr>
        <w:t xml:space="preserve">autres paramètres comme la puissance, le rapport </w:t>
      </w:r>
      <w:r w:rsidR="000E0670" w:rsidRPr="00180DCC">
        <w:rPr>
          <w:i/>
          <w:iCs/>
          <w:lang w:val="fr-FR"/>
        </w:rPr>
        <w:t>E</w:t>
      </w:r>
      <w:r w:rsidR="000E0670" w:rsidRPr="00180DCC">
        <w:rPr>
          <w:i/>
          <w:position w:val="-4"/>
          <w:sz w:val="14"/>
          <w:lang w:val="fr-FR"/>
        </w:rPr>
        <w:t>b</w:t>
      </w:r>
      <w:r w:rsidR="000E0670" w:rsidRPr="00180DCC">
        <w:rPr>
          <w:sz w:val="8"/>
          <w:lang w:val="fr-FR"/>
        </w:rPr>
        <w:t> </w:t>
      </w:r>
      <w:r w:rsidR="000E0670" w:rsidRPr="00180DCC">
        <w:rPr>
          <w:lang w:val="fr-FR"/>
        </w:rPr>
        <w:t>/</w:t>
      </w:r>
      <w:r w:rsidR="000E0670" w:rsidRPr="00180DCC">
        <w:rPr>
          <w:i/>
          <w:iCs/>
          <w:lang w:val="fr-FR"/>
        </w:rPr>
        <w:t>N</w:t>
      </w:r>
      <w:r w:rsidR="000E0670" w:rsidRPr="00180DCC">
        <w:rPr>
          <w:position w:val="-4"/>
          <w:sz w:val="14"/>
          <w:lang w:val="fr-FR"/>
        </w:rPr>
        <w:t>0</w:t>
      </w:r>
      <w:r w:rsidRPr="00180DCC">
        <w:rPr>
          <w:lang w:val="fr-FR"/>
        </w:rPr>
        <w:t xml:space="preserve"> et le TEB. La formule pour la détermination de la largeur de bande </w:t>
      </w:r>
      <w:r w:rsidRPr="00180DCC">
        <w:rPr>
          <w:i/>
          <w:lang w:val="fr-FR"/>
        </w:rPr>
        <w:t>B</w:t>
      </w:r>
      <w:r w:rsidRPr="00180DCC">
        <w:rPr>
          <w:i/>
          <w:position w:val="-3"/>
          <w:sz w:val="16"/>
          <w:lang w:val="fr-FR"/>
        </w:rPr>
        <w:t>n</w:t>
      </w:r>
      <w:r w:rsidRPr="00180DCC">
        <w:rPr>
          <w:lang w:val="fr-FR"/>
        </w:rPr>
        <w:t xml:space="preserve"> nécessaire dans le cas de MF numérique provient de la Recommandation </w:t>
      </w:r>
      <w:hyperlink r:id="rId22" w:history="1">
        <w:r w:rsidRPr="00180DCC">
          <w:rPr>
            <w:rStyle w:val="Hyperlink"/>
            <w:color w:val="auto"/>
            <w:u w:val="none"/>
            <w:lang w:val="fr-FR"/>
          </w:rPr>
          <w:t>UIT</w:t>
        </w:r>
        <w:r w:rsidRPr="00180DCC">
          <w:rPr>
            <w:rStyle w:val="Hyperlink"/>
            <w:color w:val="auto"/>
            <w:u w:val="none"/>
            <w:lang w:val="fr-FR"/>
          </w:rPr>
          <w:noBreakHyphen/>
          <w:t>R SM.1138</w:t>
        </w:r>
      </w:hyperlink>
      <w:r w:rsidRPr="00180DCC">
        <w:rPr>
          <w:lang w:val="fr-FR"/>
        </w:rPr>
        <w:t xml:space="preserve">. </w:t>
      </w:r>
      <w:r w:rsidRPr="00180DCC">
        <w:rPr>
          <w:i/>
          <w:lang w:val="fr-FR"/>
        </w:rPr>
        <w:t>R</w:t>
      </w:r>
      <w:r w:rsidRPr="00180DCC">
        <w:rPr>
          <w:lang w:val="fr-FR"/>
        </w:rPr>
        <w:t xml:space="preserve"> est le débit binaire, </w:t>
      </w:r>
      <w:r w:rsidRPr="00180DCC">
        <w:rPr>
          <w:i/>
          <w:lang w:val="fr-FR"/>
        </w:rPr>
        <w:t xml:space="preserve">S </w:t>
      </w:r>
      <w:r w:rsidRPr="00180DCC">
        <w:rPr>
          <w:lang w:val="fr-FR"/>
        </w:rPr>
        <w:t>est le nombre d</w:t>
      </w:r>
      <w:r w:rsidR="00C73875" w:rsidRPr="00180DCC">
        <w:rPr>
          <w:lang w:val="fr-FR"/>
        </w:rPr>
        <w:t>'</w:t>
      </w:r>
      <w:r w:rsidRPr="00180DCC">
        <w:rPr>
          <w:lang w:val="fr-FR"/>
        </w:rPr>
        <w:t xml:space="preserve">états de signalisation et </w:t>
      </w:r>
      <w:r w:rsidRPr="00180DCC">
        <w:rPr>
          <w:i/>
          <w:lang w:val="fr-FR"/>
        </w:rPr>
        <w:t>D</w:t>
      </w:r>
      <w:r w:rsidRPr="00180DCC">
        <w:rPr>
          <w:lang w:val="fr-FR"/>
        </w:rPr>
        <w:t xml:space="preserve"> est l</w:t>
      </w:r>
      <w:r w:rsidR="00C73875" w:rsidRPr="00180DCC">
        <w:rPr>
          <w:lang w:val="fr-FR"/>
        </w:rPr>
        <w:t>'</w:t>
      </w:r>
      <w:r w:rsidRPr="00180DCC">
        <w:rPr>
          <w:lang w:val="fr-FR"/>
        </w:rPr>
        <w:t>excursion de fréquence. La formule pour la détermination de la largeur de bande nécessaire dans le cas de la MDP est établie à partir du principe que cette largeur de bande devra être un multiple du débit numérique en ligne.</w:t>
      </w:r>
    </w:p>
    <w:p w14:paraId="11791F27" w14:textId="7CF3E0C7" w:rsidR="00AA41BC" w:rsidRPr="00794379" w:rsidRDefault="00AA41BC" w:rsidP="00037A27">
      <w:pPr>
        <w:rPr>
          <w:lang w:val="fr-FR"/>
        </w:rPr>
      </w:pPr>
      <w:r w:rsidRPr="00180DCC">
        <w:rPr>
          <w:lang w:val="fr-FR"/>
        </w:rPr>
        <w:t>Les modulations MDM, MDMG et MF numérique sont des exemples d</w:t>
      </w:r>
      <w:r w:rsidR="00C73875" w:rsidRPr="00180DCC">
        <w:rPr>
          <w:lang w:val="fr-FR"/>
        </w:rPr>
        <w:t>'</w:t>
      </w:r>
      <w:r w:rsidRPr="00180DCC">
        <w:rPr>
          <w:lang w:val="fr-FR"/>
        </w:rPr>
        <w:t xml:space="preserve">une classe des modulations qui sont à amplitude constante et à phase continue. Ces signaux à phase continue peuvent être considérés comme une modulation à la fois de phase et de fréquence. Chacune des formules permettant la détermination de la largeur de bande nécessaire (fréquence ou phase) pourra être employée pour cette classe de modulation. </w:t>
      </w:r>
      <w:r w:rsidR="00B902A3" w:rsidRPr="00180DCC">
        <w:rPr>
          <w:lang w:val="fr-FR"/>
        </w:rPr>
        <w:t>Étant</w:t>
      </w:r>
      <w:r w:rsidRPr="00180DCC">
        <w:rPr>
          <w:lang w:val="fr-FR"/>
        </w:rPr>
        <w:t xml:space="preserve"> donné que ces signaux sont caractérisés par un indice de modulation (2</w:t>
      </w:r>
      <w:r w:rsidRPr="00180DCC">
        <w:rPr>
          <w:i/>
          <w:lang w:val="fr-FR"/>
        </w:rPr>
        <w:t>D</w:t>
      </w:r>
      <w:r w:rsidRPr="00180DCC">
        <w:rPr>
          <w:lang w:val="fr-FR"/>
        </w:rPr>
        <w:t>/</w:t>
      </w:r>
      <w:r w:rsidRPr="00180DCC">
        <w:rPr>
          <w:i/>
          <w:lang w:val="fr-FR"/>
        </w:rPr>
        <w:t>R</w:t>
      </w:r>
      <w:r w:rsidRPr="00180DCC">
        <w:rPr>
          <w:lang w:val="fr-FR"/>
        </w:rPr>
        <w:t>), la formule pour la détermination de la largeur de bande dans le cas de la MDF a été employée pour ces signaux dans le Tableau 2. De même, pour la modulation MAQ, on emploie la formule pour la détermination de la largeur de bande dans le cas de la MDP. La raison d</w:t>
      </w:r>
      <w:r w:rsidR="00C73875" w:rsidRPr="00180DCC">
        <w:rPr>
          <w:lang w:val="fr-FR"/>
        </w:rPr>
        <w:t>'</w:t>
      </w:r>
      <w:r w:rsidRPr="00180DCC">
        <w:rPr>
          <w:lang w:val="fr-FR"/>
        </w:rPr>
        <w:t>être en est que les signaux MAQ-</w:t>
      </w:r>
      <w:r w:rsidRPr="00180DCC">
        <w:rPr>
          <w:i/>
          <w:lang w:val="fr-FR"/>
        </w:rPr>
        <w:t>m</w:t>
      </w:r>
      <w:r w:rsidRPr="00180DCC">
        <w:rPr>
          <w:lang w:val="fr-FR"/>
        </w:rPr>
        <w:t xml:space="preserve"> se composent d</w:t>
      </w:r>
      <w:r w:rsidR="00C73875" w:rsidRPr="00180DCC">
        <w:rPr>
          <w:lang w:val="fr-FR"/>
        </w:rPr>
        <w:t>'</w:t>
      </w:r>
      <w:r w:rsidRPr="00180DCC">
        <w:rPr>
          <w:lang w:val="fr-FR"/>
        </w:rPr>
        <w:t xml:space="preserve">une somme statistique de </w:t>
      </w:r>
      <w:r w:rsidRPr="00180DCC">
        <w:rPr>
          <w:i/>
          <w:lang w:val="fr-FR"/>
        </w:rPr>
        <w:t>m</w:t>
      </w:r>
      <w:r w:rsidRPr="00180DCC">
        <w:rPr>
          <w:lang w:val="fr-FR"/>
        </w:rPr>
        <w:t>/2 signaux MDP-2 avec des amplitudes de signal différentes, un débit de (</w:t>
      </w:r>
      <w:r w:rsidRPr="00180DCC">
        <w:rPr>
          <w:i/>
          <w:lang w:val="fr-FR"/>
        </w:rPr>
        <w:t>R</w:t>
      </w:r>
      <w:r w:rsidRPr="00180DCC">
        <w:rPr>
          <w:lang w:val="fr-FR"/>
        </w:rPr>
        <w:t>/log</w:t>
      </w:r>
      <w:r w:rsidRPr="00180DCC">
        <w:rPr>
          <w:position w:val="-4"/>
          <w:sz w:val="12"/>
          <w:lang w:val="fr-FR"/>
        </w:rPr>
        <w:t>2 </w:t>
      </w:r>
      <w:r w:rsidRPr="00180DCC">
        <w:rPr>
          <w:i/>
          <w:lang w:val="fr-FR"/>
        </w:rPr>
        <w:t>m</w:t>
      </w:r>
      <w:r w:rsidRPr="00180DCC">
        <w:rPr>
          <w:lang w:val="fr-FR"/>
        </w:rPr>
        <w:t>) et le même filtrage.</w:t>
      </w:r>
    </w:p>
    <w:p w14:paraId="658D67AF" w14:textId="77777777" w:rsidR="00530F47" w:rsidRPr="00794379" w:rsidRDefault="00530F47" w:rsidP="00530F47">
      <w:pPr>
        <w:pStyle w:val="Line"/>
        <w:rPr>
          <w:lang w:val="fr-FR"/>
        </w:rPr>
      </w:pPr>
    </w:p>
    <w:sectPr w:rsidR="00530F47" w:rsidRPr="00794379" w:rsidSect="00AA41BC">
      <w:headerReference w:type="even" r:id="rId23"/>
      <w:headerReference w:type="default" r:id="rId24"/>
      <w:footerReference w:type="default" r:id="rId25"/>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B2AC4" w14:textId="77777777" w:rsidR="00530F47" w:rsidRDefault="00530F47">
      <w:r>
        <w:separator/>
      </w:r>
    </w:p>
  </w:endnote>
  <w:endnote w:type="continuationSeparator" w:id="0">
    <w:p w14:paraId="2C7BE975" w14:textId="77777777" w:rsidR="00530F47" w:rsidRDefault="00530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panose1 w:val="020B0604020202020204"/>
    <w:charset w:val="00"/>
    <w:family w:val="swiss"/>
    <w:notTrueType/>
    <w:pitch w:val="variable"/>
    <w:sig w:usb0="800000AF" w:usb1="5000204A" w:usb2="00000000" w:usb3="00000000" w:csb0="00000093" w:csb1="00000000"/>
  </w:font>
  <w:font w:name="AvenirNext LT Pro Regular">
    <w:panose1 w:val="020B0504020202020204"/>
    <w:charset w:val="00"/>
    <w:family w:val="swiss"/>
    <w:notTrueType/>
    <w:pitch w:val="variable"/>
    <w:sig w:usb0="800000AF" w:usb1="5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9A34" w14:textId="77777777" w:rsidR="00530F47" w:rsidRDefault="00530F47">
    <w:pPr>
      <w:pStyle w:val="Footer"/>
    </w:pPr>
    <w:r>
      <w:drawing>
        <wp:anchor distT="0" distB="0" distL="0" distR="0" simplePos="0" relativeHeight="251659264" behindDoc="0" locked="0" layoutInCell="1" allowOverlap="1" wp14:anchorId="68F8B492" wp14:editId="28342B78">
          <wp:simplePos x="0" y="0"/>
          <wp:positionH relativeFrom="page">
            <wp:posOffset>6346209</wp:posOffset>
          </wp:positionH>
          <wp:positionV relativeFrom="page">
            <wp:posOffset>9501505</wp:posOffset>
          </wp:positionV>
          <wp:extent cx="738000" cy="813600"/>
          <wp:effectExtent l="0" t="0" r="0" b="0"/>
          <wp:wrapNone/>
          <wp:docPr id="1" name="image1.png" descr="International Telecommunicatio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nternational Telecommunication Union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168D" w14:textId="4C651ACE" w:rsidR="00AA41BC" w:rsidRDefault="00AA4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9F4EF" w14:textId="77777777" w:rsidR="00530F47" w:rsidRDefault="00530F47">
      <w:r>
        <w:separator/>
      </w:r>
    </w:p>
  </w:footnote>
  <w:footnote w:type="continuationSeparator" w:id="0">
    <w:p w14:paraId="5511D21D" w14:textId="77777777" w:rsidR="00530F47" w:rsidRDefault="00530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89B9" w14:textId="77777777" w:rsidR="00530F47" w:rsidRDefault="00530F47">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530F47" w:rsidRPr="00A239D1" w14:paraId="4AFC9BD8" w14:textId="77777777" w:rsidTr="0019307B">
      <w:tc>
        <w:tcPr>
          <w:tcW w:w="4634" w:type="dxa"/>
          <w:vAlign w:val="center"/>
        </w:tcPr>
        <w:p w14:paraId="73B185AA" w14:textId="77777777" w:rsidR="00530F47" w:rsidRPr="005B0371" w:rsidRDefault="00530F4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7C61B228" w14:textId="77777777" w:rsidR="00530F47" w:rsidRPr="00260B24" w:rsidRDefault="00530F47" w:rsidP="00744F8B">
          <w:pPr>
            <w:pStyle w:val="Header"/>
            <w:jc w:val="right"/>
            <w:rPr>
              <w:rFonts w:asciiTheme="minorBidi" w:hAnsiTheme="minorBidi"/>
              <w:b/>
              <w:spacing w:val="4"/>
              <w:szCs w:val="24"/>
            </w:rPr>
          </w:pPr>
          <w:r w:rsidRPr="00260B24">
            <w:rPr>
              <w:rFonts w:asciiTheme="minorBidi" w:hAnsiTheme="minorBidi"/>
              <w:b/>
              <w:spacing w:val="4"/>
              <w:szCs w:val="24"/>
            </w:rPr>
            <w:t>Union</w:t>
          </w:r>
          <w:r>
            <w:rPr>
              <w:rFonts w:asciiTheme="minorBidi" w:hAnsiTheme="minorBidi"/>
              <w:b/>
              <w:spacing w:val="4"/>
              <w:szCs w:val="24"/>
            </w:rPr>
            <w:t xml:space="preserve"> i</w:t>
          </w:r>
          <w:r w:rsidRPr="00260B24">
            <w:rPr>
              <w:rFonts w:asciiTheme="minorBidi" w:hAnsiTheme="minorBidi"/>
              <w:b/>
              <w:spacing w:val="4"/>
              <w:szCs w:val="24"/>
            </w:rPr>
            <w:t>nternational</w:t>
          </w:r>
          <w:r>
            <w:rPr>
              <w:rFonts w:asciiTheme="minorBidi" w:hAnsiTheme="minorBidi"/>
              <w:b/>
              <w:spacing w:val="4"/>
              <w:szCs w:val="24"/>
            </w:rPr>
            <w:t>e</w:t>
          </w:r>
          <w:r w:rsidRPr="00260B24">
            <w:rPr>
              <w:rFonts w:asciiTheme="minorBidi" w:hAnsiTheme="minorBidi"/>
              <w:b/>
              <w:spacing w:val="4"/>
              <w:szCs w:val="24"/>
            </w:rPr>
            <w:t xml:space="preserve"> </w:t>
          </w:r>
          <w:r>
            <w:rPr>
              <w:rFonts w:asciiTheme="minorBidi" w:hAnsiTheme="minorBidi"/>
              <w:b/>
              <w:spacing w:val="4"/>
              <w:szCs w:val="24"/>
            </w:rPr>
            <w:t>des té</w:t>
          </w:r>
          <w:r w:rsidRPr="00260B24">
            <w:rPr>
              <w:rFonts w:asciiTheme="minorBidi" w:hAnsiTheme="minorBidi"/>
              <w:b/>
              <w:spacing w:val="4"/>
              <w:szCs w:val="24"/>
            </w:rPr>
            <w:t>l</w:t>
          </w:r>
          <w:r>
            <w:rPr>
              <w:rFonts w:asciiTheme="minorBidi" w:hAnsiTheme="minorBidi"/>
              <w:b/>
              <w:spacing w:val="4"/>
              <w:szCs w:val="24"/>
            </w:rPr>
            <w:t>é</w:t>
          </w:r>
          <w:r w:rsidRPr="00260B24">
            <w:rPr>
              <w:rFonts w:asciiTheme="minorBidi" w:hAnsiTheme="minorBidi"/>
              <w:b/>
              <w:spacing w:val="4"/>
              <w:szCs w:val="24"/>
            </w:rPr>
            <w:t>communication</w:t>
          </w:r>
          <w:r>
            <w:rPr>
              <w:rFonts w:asciiTheme="minorBidi" w:hAnsiTheme="minorBidi"/>
              <w:b/>
              <w:spacing w:val="4"/>
              <w:szCs w:val="24"/>
            </w:rPr>
            <w:t>s</w:t>
          </w:r>
        </w:p>
      </w:tc>
    </w:tr>
    <w:tr w:rsidR="00530F47" w:rsidRPr="00A239D1" w14:paraId="4AE3EE49" w14:textId="77777777" w:rsidTr="0019307B">
      <w:tc>
        <w:tcPr>
          <w:tcW w:w="4634" w:type="dxa"/>
          <w:vAlign w:val="center"/>
        </w:tcPr>
        <w:p w14:paraId="57F39C49" w14:textId="77777777" w:rsidR="00530F47" w:rsidRPr="00260B24" w:rsidRDefault="00530F47" w:rsidP="00744F8B">
          <w:pPr>
            <w:pStyle w:val="Header"/>
            <w:jc w:val="left"/>
            <w:rPr>
              <w:rFonts w:asciiTheme="minorBidi" w:hAnsiTheme="minorBidi"/>
              <w:spacing w:val="4"/>
              <w:sz w:val="21"/>
              <w:szCs w:val="21"/>
            </w:rPr>
          </w:pPr>
          <w:r w:rsidRPr="00260B24">
            <w:rPr>
              <w:rFonts w:asciiTheme="minorBidi" w:hAnsiTheme="minorBidi"/>
              <w:spacing w:val="4"/>
              <w:szCs w:val="24"/>
            </w:rPr>
            <w:t>Recomm</w:t>
          </w:r>
          <w:r>
            <w:rPr>
              <w:rFonts w:asciiTheme="minorBidi" w:hAnsiTheme="minorBidi"/>
              <w:spacing w:val="4"/>
              <w:szCs w:val="24"/>
            </w:rPr>
            <w:t>a</w:t>
          </w:r>
          <w:r w:rsidRPr="00260B24">
            <w:rPr>
              <w:rFonts w:asciiTheme="minorBidi" w:hAnsiTheme="minorBidi"/>
              <w:spacing w:val="4"/>
              <w:szCs w:val="24"/>
            </w:rPr>
            <w:t>ndations</w:t>
          </w:r>
        </w:p>
      </w:tc>
      <w:tc>
        <w:tcPr>
          <w:tcW w:w="5998" w:type="dxa"/>
          <w:vAlign w:val="center"/>
        </w:tcPr>
        <w:p w14:paraId="37BF8F29" w14:textId="29C4AC37" w:rsidR="00530F47" w:rsidRPr="00260B24" w:rsidRDefault="00530F47" w:rsidP="00744F8B">
          <w:pPr>
            <w:pStyle w:val="Header"/>
            <w:jc w:val="right"/>
            <w:rPr>
              <w:rFonts w:asciiTheme="minorBidi" w:hAnsiTheme="minorBidi"/>
              <w:spacing w:val="4"/>
              <w:szCs w:val="24"/>
            </w:rPr>
          </w:pPr>
          <w:r>
            <w:rPr>
              <w:rFonts w:asciiTheme="minorBidi" w:hAnsiTheme="minorBidi"/>
              <w:spacing w:val="4"/>
              <w:szCs w:val="24"/>
            </w:rPr>
            <w:t xml:space="preserve">Secteur des </w:t>
          </w:r>
          <w:r w:rsidR="00AA41BC">
            <w:rPr>
              <w:rFonts w:asciiTheme="minorBidi" w:hAnsiTheme="minorBidi"/>
              <w:spacing w:val="4"/>
              <w:szCs w:val="24"/>
            </w:rPr>
            <w:t>r</w:t>
          </w:r>
          <w:r w:rsidRPr="00260B24">
            <w:rPr>
              <w:rFonts w:asciiTheme="minorBidi" w:hAnsiTheme="minorBidi"/>
              <w:spacing w:val="4"/>
              <w:szCs w:val="24"/>
            </w:rPr>
            <w:t>adiocommunication</w:t>
          </w:r>
          <w:r>
            <w:rPr>
              <w:rFonts w:asciiTheme="minorBidi" w:hAnsiTheme="minorBidi"/>
              <w:spacing w:val="4"/>
              <w:szCs w:val="24"/>
            </w:rPr>
            <w:t>s</w:t>
          </w:r>
        </w:p>
      </w:tc>
    </w:tr>
  </w:tbl>
  <w:p w14:paraId="253950EB" w14:textId="77777777" w:rsidR="00530F47" w:rsidRDefault="00530F47" w:rsidP="004A6FEB">
    <w:pPr>
      <w:pStyle w:val="Header"/>
    </w:pPr>
    <w:r>
      <w:rPr>
        <w:rFonts w:ascii="Arial Black" w:hAnsi="Arial Black" w:cs="Arial"/>
        <w:noProof/>
        <w:sz w:val="32"/>
        <w:szCs w:val="32"/>
      </w:rPr>
      <w:drawing>
        <wp:anchor distT="0" distB="0" distL="114300" distR="114300" simplePos="0" relativeHeight="251660288" behindDoc="0" locked="0" layoutInCell="1" allowOverlap="1" wp14:anchorId="2F89BA72" wp14:editId="51C27B55">
          <wp:simplePos x="0" y="0"/>
          <wp:positionH relativeFrom="column">
            <wp:posOffset>-358302</wp:posOffset>
          </wp:positionH>
          <wp:positionV relativeFrom="paragraph">
            <wp:posOffset>-534670</wp:posOffset>
          </wp:positionV>
          <wp:extent cx="1945758" cy="414616"/>
          <wp:effectExtent l="0" t="0" r="0" b="0"/>
          <wp:wrapNone/>
          <wp:docPr id="5" name="Picture 5" descr="ITU Publ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 Publica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mc:AlternateContent>
        <mc:Choice Requires="wps">
          <w:drawing>
            <wp:anchor distT="0" distB="0" distL="114300" distR="114300" simplePos="0" relativeHeight="251661312" behindDoc="0" locked="0" layoutInCell="1" allowOverlap="1" wp14:anchorId="2D025681" wp14:editId="4DBD588C">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CCC6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22E21E84" w14:textId="77777777" w:rsidR="00530F47" w:rsidRDefault="00530F47" w:rsidP="004A6FEB">
    <w:pPr>
      <w:pStyle w:val="Header"/>
      <w:ind w:right="360"/>
      <w:jc w:val="both"/>
    </w:pPr>
    <w:r>
      <w:rPr>
        <w:noProof/>
      </w:rPr>
      <mc:AlternateContent>
        <mc:Choice Requires="wpg">
          <w:drawing>
            <wp:anchor distT="0" distB="0" distL="114300" distR="114300" simplePos="0" relativeHeight="251662336" behindDoc="0" locked="0" layoutInCell="1" allowOverlap="1" wp14:anchorId="73FAC9D9" wp14:editId="771E859C">
              <wp:simplePos x="0" y="0"/>
              <wp:positionH relativeFrom="page">
                <wp:posOffset>0</wp:posOffset>
              </wp:positionH>
              <wp:positionV relativeFrom="page">
                <wp:posOffset>1196340</wp:posOffset>
              </wp:positionV>
              <wp:extent cx="7560310" cy="236220"/>
              <wp:effectExtent l="9525" t="5715" r="12065" b="5715"/>
              <wp:wrapNone/>
              <wp:docPr id="2"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4CCAC8" id="docshapegroup6" o:spid="_x0000_s1026" alt="Header separator line" style="position:absolute;margin-left:0;margin-top:94.2pt;width:595.3pt;height:18.6pt;z-index:251662336;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FDC7F" w14:textId="6AD35DB6" w:rsidR="00530F47" w:rsidRPr="00D72623" w:rsidRDefault="00530F47"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Pr="004F3F6F">
      <w:rPr>
        <w:rStyle w:val="PageNumber"/>
        <w:b/>
        <w:bCs/>
      </w:rPr>
      <w:t>ii</w:t>
    </w:r>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E66236">
      <w:rPr>
        <w:b/>
        <w:bCs/>
        <w:lang w:val="en-US"/>
      </w:rPr>
      <w:t xml:space="preserve">Rec. </w:t>
    </w:r>
    <w:r>
      <w:rPr>
        <w:b/>
        <w:bCs/>
        <w:lang w:val="en-US"/>
      </w:rPr>
      <w:fldChar w:fldCharType="end"/>
    </w:r>
    <w:r w:rsidRPr="004F3F6F">
      <w:rPr>
        <w:b/>
        <w:bCs/>
      </w:rPr>
      <w:t xml:space="preserve"> </w:t>
    </w:r>
    <w:r>
      <w:rPr>
        <w:b/>
        <w:bCs/>
      </w:rPr>
      <w:fldChar w:fldCharType="begin"/>
    </w:r>
    <w:r>
      <w:rPr>
        <w:b/>
        <w:bCs/>
        <w:lang w:val="en-US"/>
      </w:rPr>
      <w:instrText>styleref href</w:instrText>
    </w:r>
    <w:r>
      <w:rPr>
        <w:b/>
        <w:bCs/>
      </w:rPr>
      <w:fldChar w:fldCharType="separate"/>
    </w:r>
    <w:r w:rsidR="000F451E">
      <w:rPr>
        <w:b/>
        <w:bCs/>
        <w:noProof/>
        <w:lang w:val="en-US"/>
      </w:rPr>
      <w:t>UIT-R  SM.853-2</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7211C" w14:textId="3837EC99" w:rsidR="00530F47" w:rsidRDefault="00530F47">
    <w:pPr>
      <w:pStyle w:val="Header"/>
    </w:pPr>
    <w:r>
      <w:tab/>
    </w:r>
    <w:r>
      <w:rPr>
        <w:b/>
        <w:bCs/>
      </w:rPr>
      <w:fldChar w:fldCharType="begin"/>
    </w:r>
    <w:r>
      <w:rPr>
        <w:b/>
        <w:bCs/>
      </w:rPr>
      <w:instrText xml:space="preserve"> DOCPROPERTY "Header" \* MERGEFORMAT </w:instrText>
    </w:r>
    <w:r>
      <w:rPr>
        <w:b/>
        <w:bCs/>
      </w:rPr>
      <w:fldChar w:fldCharType="separate"/>
    </w:r>
    <w:r w:rsidR="00E66236">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E66236">
      <w:rPr>
        <w:b/>
        <w:bCs/>
        <w:noProof/>
      </w:rPr>
      <w:t>UIT-R  SM.853-2</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4F446" w14:textId="6F0FE761" w:rsidR="00607D68" w:rsidRDefault="00607D68">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2</w:t>
    </w:r>
    <w:r>
      <w:rPr>
        <w:rStyle w:val="PageNumber"/>
        <w:b/>
        <w:bCs/>
      </w:rPr>
      <w:fldChar w:fldCharType="end"/>
    </w:r>
    <w:r>
      <w:rPr>
        <w:lang w:val="en-US"/>
      </w:rPr>
      <w:tab/>
    </w:r>
    <w:r w:rsidR="009E00A8">
      <w:rPr>
        <w:lang w:val="fr-FR"/>
      </w:rPr>
      <w:fldChar w:fldCharType="begin"/>
    </w:r>
    <w:r w:rsidR="009E00A8" w:rsidRPr="009E00A8">
      <w:rPr>
        <w:lang w:val="en-US"/>
      </w:rPr>
      <w:instrText xml:space="preserve"> DOCPROPERTY "Header" \* MERGEFORMAT </w:instrText>
    </w:r>
    <w:r w:rsidR="009E00A8">
      <w:rPr>
        <w:lang w:val="fr-FR"/>
      </w:rPr>
      <w:fldChar w:fldCharType="separate"/>
    </w:r>
    <w:r w:rsidR="00E66236" w:rsidRPr="00E66236">
      <w:rPr>
        <w:b/>
        <w:bCs/>
        <w:lang w:val="en-US"/>
      </w:rPr>
      <w:t xml:space="preserve">Rec. </w:t>
    </w:r>
    <w:r w:rsidR="009E00A8">
      <w:rPr>
        <w:b/>
        <w:bCs/>
        <w:lang w:val="en-US"/>
      </w:rPr>
      <w:fldChar w:fldCharType="end"/>
    </w:r>
    <w:r w:rsidRPr="009E00A8">
      <w:rPr>
        <w:b/>
        <w:bCs/>
        <w:lang w:val="en-US"/>
      </w:rPr>
      <w:t xml:space="preserve"> </w:t>
    </w:r>
    <w:r>
      <w:rPr>
        <w:b/>
        <w:bCs/>
      </w:rPr>
      <w:fldChar w:fldCharType="begin"/>
    </w:r>
    <w:r>
      <w:rPr>
        <w:b/>
        <w:bCs/>
        <w:lang w:val="en-US"/>
      </w:rPr>
      <w:instrText>styleref href</w:instrText>
    </w:r>
    <w:r>
      <w:rPr>
        <w:b/>
        <w:bCs/>
      </w:rPr>
      <w:fldChar w:fldCharType="separate"/>
    </w:r>
    <w:r w:rsidR="000F451E">
      <w:rPr>
        <w:b/>
        <w:bCs/>
        <w:noProof/>
        <w:lang w:val="en-US"/>
      </w:rPr>
      <w:t>UIT-R  SM.853-2</w:t>
    </w:r>
    <w:r>
      <w:rP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A45B" w14:textId="7B955CCE" w:rsidR="00607D68" w:rsidRDefault="00607D68">
    <w:pPr>
      <w:pStyle w:val="Header"/>
    </w:pPr>
    <w:r>
      <w:tab/>
    </w:r>
    <w:fldSimple w:instr=" DOCPROPERTY &quot;Header&quot; \* MERGEFORMAT ">
      <w:r w:rsidR="00E66236" w:rsidRPr="00E66236">
        <w:rPr>
          <w:b/>
          <w:bCs/>
        </w:rPr>
        <w:t xml:space="preserve">Rec. </w:t>
      </w:r>
    </w:fldSimple>
    <w:r>
      <w:rPr>
        <w:b/>
        <w:bCs/>
      </w:rPr>
      <w:t xml:space="preserve"> </w:t>
    </w:r>
    <w:r>
      <w:rPr>
        <w:b/>
        <w:bCs/>
      </w:rPr>
      <w:fldChar w:fldCharType="begin"/>
    </w:r>
    <w:r>
      <w:rPr>
        <w:b/>
        <w:bCs/>
      </w:rPr>
      <w:instrText>styleref href</w:instrText>
    </w:r>
    <w:r>
      <w:rPr>
        <w:b/>
        <w:bCs/>
      </w:rPr>
      <w:fldChar w:fldCharType="separate"/>
    </w:r>
    <w:r w:rsidR="000F451E">
      <w:rPr>
        <w:b/>
        <w:bCs/>
        <w:noProof/>
      </w:rPr>
      <w:t>UIT-R  SM.853-2</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242AEE">
      <w:rPr>
        <w:rStyle w:val="PageNumber"/>
        <w:b/>
        <w:bCs/>
        <w:noProof/>
      </w:rPr>
      <w:t>1</w:t>
    </w:r>
    <w:r>
      <w:rPr>
        <w:rStyle w:val="PageNumber"/>
        <w:b/>
        <w:bC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F47"/>
    <w:rsid w:val="00037A27"/>
    <w:rsid w:val="000C573B"/>
    <w:rsid w:val="000E0670"/>
    <w:rsid w:val="000F076E"/>
    <w:rsid w:val="000F451E"/>
    <w:rsid w:val="001218E2"/>
    <w:rsid w:val="00180DCC"/>
    <w:rsid w:val="00217EBF"/>
    <w:rsid w:val="00242AEE"/>
    <w:rsid w:val="002660D8"/>
    <w:rsid w:val="00273525"/>
    <w:rsid w:val="002D76C4"/>
    <w:rsid w:val="003A22EE"/>
    <w:rsid w:val="003E0BF4"/>
    <w:rsid w:val="00450E22"/>
    <w:rsid w:val="0052529D"/>
    <w:rsid w:val="00530F47"/>
    <w:rsid w:val="0053557E"/>
    <w:rsid w:val="005835A4"/>
    <w:rsid w:val="00607D68"/>
    <w:rsid w:val="006323EF"/>
    <w:rsid w:val="007468DA"/>
    <w:rsid w:val="00787975"/>
    <w:rsid w:val="00794379"/>
    <w:rsid w:val="00802534"/>
    <w:rsid w:val="0082279F"/>
    <w:rsid w:val="009E00A8"/>
    <w:rsid w:val="00A4449E"/>
    <w:rsid w:val="00A6617B"/>
    <w:rsid w:val="00AA41BC"/>
    <w:rsid w:val="00AB0DC8"/>
    <w:rsid w:val="00B44E24"/>
    <w:rsid w:val="00B902A3"/>
    <w:rsid w:val="00C73875"/>
    <w:rsid w:val="00C84DD5"/>
    <w:rsid w:val="00CB19FB"/>
    <w:rsid w:val="00CF23CD"/>
    <w:rsid w:val="00D60406"/>
    <w:rsid w:val="00DC2B47"/>
    <w:rsid w:val="00DF4176"/>
    <w:rsid w:val="00E66236"/>
    <w:rsid w:val="00F07F2A"/>
    <w:rsid w:val="00F834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5FC655C"/>
  <w15:docId w15:val="{AC5C20E4-55CF-4C30-887A-E4CA75CD6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1BC"/>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qFormat/>
    <w:rsid w:val="00AA41BC"/>
    <w:pPr>
      <w:keepNext/>
      <w:keepLines/>
      <w:spacing w:before="480"/>
      <w:ind w:left="794" w:hanging="794"/>
      <w:outlineLvl w:val="0"/>
    </w:pPr>
    <w:rPr>
      <w:b/>
    </w:rPr>
  </w:style>
  <w:style w:type="paragraph" w:styleId="Heading2">
    <w:name w:val="heading 2"/>
    <w:basedOn w:val="Heading1"/>
    <w:next w:val="Normal"/>
    <w:qFormat/>
    <w:rsid w:val="00AA41BC"/>
    <w:pPr>
      <w:spacing w:before="320"/>
      <w:outlineLvl w:val="1"/>
    </w:pPr>
  </w:style>
  <w:style w:type="paragraph" w:styleId="Heading3">
    <w:name w:val="heading 3"/>
    <w:basedOn w:val="Heading1"/>
    <w:next w:val="Normal"/>
    <w:qFormat/>
    <w:rsid w:val="00AA41BC"/>
    <w:pPr>
      <w:spacing w:before="200"/>
      <w:outlineLvl w:val="2"/>
    </w:pPr>
  </w:style>
  <w:style w:type="paragraph" w:styleId="Heading4">
    <w:name w:val="heading 4"/>
    <w:basedOn w:val="Heading3"/>
    <w:next w:val="Normal"/>
    <w:qFormat/>
    <w:rsid w:val="00AA41BC"/>
    <w:pPr>
      <w:tabs>
        <w:tab w:val="clear" w:pos="794"/>
        <w:tab w:val="left" w:pos="992"/>
      </w:tabs>
      <w:ind w:left="992" w:hanging="992"/>
      <w:outlineLvl w:val="3"/>
    </w:pPr>
  </w:style>
  <w:style w:type="paragraph" w:styleId="Heading5">
    <w:name w:val="heading 5"/>
    <w:basedOn w:val="Heading4"/>
    <w:next w:val="Normal"/>
    <w:qFormat/>
    <w:rsid w:val="00AA41BC"/>
    <w:pPr>
      <w:outlineLvl w:val="4"/>
    </w:pPr>
  </w:style>
  <w:style w:type="paragraph" w:styleId="Heading6">
    <w:name w:val="heading 6"/>
    <w:basedOn w:val="Heading4"/>
    <w:next w:val="Normal"/>
    <w:qFormat/>
    <w:rsid w:val="00AA41BC"/>
    <w:pPr>
      <w:tabs>
        <w:tab w:val="clear" w:pos="992"/>
        <w:tab w:val="clear" w:pos="1191"/>
      </w:tabs>
      <w:ind w:left="1588" w:hanging="1588"/>
      <w:outlineLvl w:val="5"/>
    </w:pPr>
  </w:style>
  <w:style w:type="paragraph" w:styleId="Heading7">
    <w:name w:val="heading 7"/>
    <w:basedOn w:val="Heading6"/>
    <w:next w:val="Normal"/>
    <w:qFormat/>
    <w:rsid w:val="00AA41BC"/>
    <w:pPr>
      <w:outlineLvl w:val="6"/>
    </w:pPr>
  </w:style>
  <w:style w:type="paragraph" w:styleId="Heading8">
    <w:name w:val="heading 8"/>
    <w:basedOn w:val="Heading6"/>
    <w:next w:val="Normal"/>
    <w:qFormat/>
    <w:rsid w:val="00AA41BC"/>
    <w:pPr>
      <w:outlineLvl w:val="7"/>
    </w:pPr>
  </w:style>
  <w:style w:type="paragraph" w:styleId="Heading9">
    <w:name w:val="heading 9"/>
    <w:basedOn w:val="Heading6"/>
    <w:next w:val="Normal"/>
    <w:qFormat/>
    <w:rsid w:val="00AA41BC"/>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A41BC"/>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rsid w:val="00AA41BC"/>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AA41BC"/>
  </w:style>
  <w:style w:type="paragraph" w:customStyle="1" w:styleId="Headingb">
    <w:name w:val="Heading_b"/>
    <w:basedOn w:val="Heading3"/>
    <w:next w:val="Normal"/>
    <w:link w:val="HeadingbChar"/>
    <w:rsid w:val="00AA41BC"/>
    <w:pPr>
      <w:spacing w:before="160"/>
      <w:ind w:left="0" w:firstLine="0"/>
      <w:outlineLvl w:val="9"/>
    </w:pPr>
  </w:style>
  <w:style w:type="paragraph" w:customStyle="1" w:styleId="Headingi">
    <w:name w:val="Heading_i"/>
    <w:basedOn w:val="Heading3"/>
    <w:next w:val="Normal"/>
    <w:rsid w:val="00AA41BC"/>
    <w:pPr>
      <w:spacing w:before="160"/>
      <w:ind w:left="0" w:firstLine="0"/>
    </w:pPr>
    <w:rPr>
      <w:b w:val="0"/>
      <w:i/>
    </w:rPr>
  </w:style>
  <w:style w:type="character" w:customStyle="1" w:styleId="href">
    <w:name w:val="href"/>
    <w:basedOn w:val="DefaultParagraphFont"/>
    <w:rsid w:val="00AA41BC"/>
  </w:style>
  <w:style w:type="paragraph" w:customStyle="1" w:styleId="enumlev1">
    <w:name w:val="enumlev1"/>
    <w:basedOn w:val="Normal"/>
    <w:link w:val="enumlev1Char"/>
    <w:rsid w:val="00AA41BC"/>
    <w:pPr>
      <w:spacing w:before="80"/>
      <w:ind w:left="794" w:hanging="794"/>
    </w:pPr>
  </w:style>
  <w:style w:type="paragraph" w:customStyle="1" w:styleId="enumlev2">
    <w:name w:val="enumlev2"/>
    <w:basedOn w:val="enumlev1"/>
    <w:rsid w:val="00AA41BC"/>
    <w:pPr>
      <w:ind w:left="1191" w:hanging="397"/>
    </w:pPr>
  </w:style>
  <w:style w:type="paragraph" w:customStyle="1" w:styleId="enumlev3">
    <w:name w:val="enumlev3"/>
    <w:basedOn w:val="enumlev2"/>
    <w:rsid w:val="00AA41BC"/>
    <w:pPr>
      <w:ind w:left="1588"/>
    </w:pPr>
  </w:style>
  <w:style w:type="paragraph" w:customStyle="1" w:styleId="Normalaftertitle">
    <w:name w:val="Normal_after_title"/>
    <w:basedOn w:val="Normal"/>
    <w:next w:val="Normal"/>
    <w:link w:val="NormalaftertitleChar"/>
    <w:rsid w:val="00AA41BC"/>
    <w:pPr>
      <w:spacing w:before="320"/>
    </w:pPr>
  </w:style>
  <w:style w:type="paragraph" w:customStyle="1" w:styleId="Note">
    <w:name w:val="Note"/>
    <w:basedOn w:val="Normal"/>
    <w:link w:val="NoteChar"/>
    <w:rsid w:val="00AA41BC"/>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AA41BC"/>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AA41BC"/>
    <w:pPr>
      <w:spacing w:before="240"/>
    </w:pPr>
    <w:rPr>
      <w:sz w:val="22"/>
      <w:lang w:val="es-ES_tradnl"/>
    </w:rPr>
  </w:style>
  <w:style w:type="paragraph" w:customStyle="1" w:styleId="Recref">
    <w:name w:val="Rec_ref"/>
    <w:basedOn w:val="Normal"/>
    <w:next w:val="Recdate"/>
    <w:rsid w:val="00AA41BC"/>
    <w:pPr>
      <w:jc w:val="center"/>
    </w:pPr>
  </w:style>
  <w:style w:type="paragraph" w:customStyle="1" w:styleId="Recdate">
    <w:name w:val="Rec_date"/>
    <w:basedOn w:val="Recref"/>
    <w:next w:val="Normalaftertitle"/>
    <w:rsid w:val="00AA41BC"/>
    <w:pPr>
      <w:jc w:val="right"/>
    </w:pPr>
  </w:style>
  <w:style w:type="paragraph" w:customStyle="1" w:styleId="AnnexNoTitle">
    <w:name w:val="Annex_NoTitle"/>
    <w:basedOn w:val="Normal"/>
    <w:next w:val="Normalaftertitle"/>
    <w:rsid w:val="00AA41BC"/>
    <w:pPr>
      <w:keepNext/>
      <w:keepLines/>
      <w:spacing w:before="480" w:after="80"/>
      <w:jc w:val="center"/>
    </w:pPr>
    <w:rPr>
      <w:b/>
      <w:sz w:val="28"/>
    </w:rPr>
  </w:style>
  <w:style w:type="paragraph" w:customStyle="1" w:styleId="AppendixNoTitle">
    <w:name w:val="Appendix_NoTitle"/>
    <w:basedOn w:val="AnnexNoTitle"/>
    <w:next w:val="Normal"/>
    <w:rsid w:val="00AA41BC"/>
  </w:style>
  <w:style w:type="paragraph" w:customStyle="1" w:styleId="Tablefin">
    <w:name w:val="Table_fin"/>
    <w:basedOn w:val="Normal"/>
    <w:next w:val="Normal"/>
    <w:rsid w:val="00AA41BC"/>
    <w:pPr>
      <w:spacing w:before="0"/>
    </w:pPr>
    <w:rPr>
      <w:sz w:val="20"/>
    </w:rPr>
  </w:style>
  <w:style w:type="paragraph" w:customStyle="1" w:styleId="Tablehead">
    <w:name w:val="Table_head"/>
    <w:basedOn w:val="Normal"/>
    <w:next w:val="Normal"/>
    <w:link w:val="TableheadChar"/>
    <w:rsid w:val="00AA41B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AA41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rsid w:val="00AA41BC"/>
    <w:pPr>
      <w:keepNext/>
      <w:spacing w:before="360" w:after="120"/>
      <w:jc w:val="center"/>
    </w:pPr>
  </w:style>
  <w:style w:type="paragraph" w:customStyle="1" w:styleId="Tabletext">
    <w:name w:val="Table_text"/>
    <w:basedOn w:val="Normal"/>
    <w:link w:val="TabletextChar"/>
    <w:rsid w:val="00AA41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Char"/>
    <w:rsid w:val="00AA41BC"/>
    <w:pPr>
      <w:tabs>
        <w:tab w:val="clear" w:pos="1191"/>
        <w:tab w:val="clear" w:pos="1588"/>
        <w:tab w:val="clear" w:pos="1985"/>
        <w:tab w:val="center" w:pos="4820"/>
        <w:tab w:val="right" w:pos="9639"/>
      </w:tabs>
    </w:pPr>
  </w:style>
  <w:style w:type="paragraph" w:customStyle="1" w:styleId="Equationlegend">
    <w:name w:val="Equation_legend"/>
    <w:basedOn w:val="NormalIndent"/>
    <w:rsid w:val="00AA41BC"/>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AA41BC"/>
    <w:pPr>
      <w:ind w:left="794"/>
    </w:pPr>
  </w:style>
  <w:style w:type="paragraph" w:customStyle="1" w:styleId="Figurelegend">
    <w:name w:val="Figure_legend"/>
    <w:basedOn w:val="Normal"/>
    <w:rsid w:val="00AA41BC"/>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AA41BC"/>
    <w:pPr>
      <w:keepNext/>
      <w:keepLines/>
      <w:spacing w:before="480" w:after="80"/>
      <w:jc w:val="center"/>
    </w:pPr>
    <w:rPr>
      <w:caps/>
      <w:sz w:val="18"/>
    </w:rPr>
  </w:style>
  <w:style w:type="paragraph" w:customStyle="1" w:styleId="tocpart">
    <w:name w:val="tocpart"/>
    <w:basedOn w:val="Normal"/>
    <w:rsid w:val="00AA41BC"/>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AA41BC"/>
    <w:pPr>
      <w:keepNext/>
      <w:keepLines/>
      <w:spacing w:before="480"/>
      <w:jc w:val="center"/>
    </w:pPr>
    <w:rPr>
      <w:sz w:val="28"/>
    </w:rPr>
  </w:style>
  <w:style w:type="paragraph" w:customStyle="1" w:styleId="Arttitle">
    <w:name w:val="Art_title"/>
    <w:basedOn w:val="Normal"/>
    <w:next w:val="Normalaftertitle"/>
    <w:rsid w:val="00AA41BC"/>
    <w:pPr>
      <w:keepNext/>
      <w:keepLines/>
      <w:spacing w:before="240"/>
      <w:jc w:val="center"/>
    </w:pPr>
    <w:rPr>
      <w:b/>
      <w:sz w:val="28"/>
    </w:rPr>
  </w:style>
  <w:style w:type="paragraph" w:customStyle="1" w:styleId="Blanc">
    <w:name w:val="Blanc"/>
    <w:basedOn w:val="Normal"/>
    <w:next w:val="Tabletext"/>
    <w:rsid w:val="00AA41BC"/>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rsid w:val="00AA41BC"/>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AA41BC"/>
    <w:pPr>
      <w:keepNext/>
      <w:keepLines/>
      <w:spacing w:before="160"/>
      <w:ind w:left="794"/>
    </w:pPr>
    <w:rPr>
      <w:i/>
    </w:rPr>
  </w:style>
  <w:style w:type="paragraph" w:customStyle="1" w:styleId="ChapNo">
    <w:name w:val="Chap_No"/>
    <w:basedOn w:val="ArtNo"/>
    <w:next w:val="Chaptitle"/>
    <w:rsid w:val="00AA41BC"/>
    <w:rPr>
      <w:b/>
    </w:rPr>
  </w:style>
  <w:style w:type="paragraph" w:customStyle="1" w:styleId="Chaptitle">
    <w:name w:val="Chap_title"/>
    <w:basedOn w:val="Arttitle"/>
    <w:next w:val="Normalaftertitle"/>
    <w:rsid w:val="00AA41BC"/>
  </w:style>
  <w:style w:type="character" w:styleId="FootnoteReference">
    <w:name w:val="footnote reference"/>
    <w:basedOn w:val="DefaultParagraphFont"/>
    <w:semiHidden/>
    <w:rsid w:val="00AA41BC"/>
    <w:rPr>
      <w:position w:val="6"/>
      <w:sz w:val="18"/>
    </w:rPr>
  </w:style>
  <w:style w:type="paragraph" w:styleId="FootnoteText">
    <w:name w:val="footnote text"/>
    <w:basedOn w:val="Normal"/>
    <w:semiHidden/>
    <w:rsid w:val="00AA41BC"/>
    <w:pPr>
      <w:keepLines/>
      <w:tabs>
        <w:tab w:val="left" w:pos="255"/>
      </w:tabs>
      <w:ind w:left="255" w:hanging="255"/>
    </w:pPr>
    <w:rPr>
      <w:sz w:val="22"/>
    </w:rPr>
  </w:style>
  <w:style w:type="paragraph" w:styleId="Index1">
    <w:name w:val="index 1"/>
    <w:basedOn w:val="Normal"/>
    <w:next w:val="Normal"/>
    <w:semiHidden/>
    <w:rsid w:val="00AA41BC"/>
  </w:style>
  <w:style w:type="paragraph" w:styleId="Index2">
    <w:name w:val="index 2"/>
    <w:basedOn w:val="Normal"/>
    <w:next w:val="Normal"/>
    <w:semiHidden/>
    <w:rsid w:val="00AA41BC"/>
    <w:pPr>
      <w:ind w:left="283"/>
    </w:pPr>
  </w:style>
  <w:style w:type="paragraph" w:styleId="Index3">
    <w:name w:val="index 3"/>
    <w:basedOn w:val="Normal"/>
    <w:next w:val="Normal"/>
    <w:semiHidden/>
    <w:rsid w:val="00AA41BC"/>
    <w:pPr>
      <w:ind w:left="566"/>
    </w:pPr>
  </w:style>
  <w:style w:type="paragraph" w:styleId="IndexHeading">
    <w:name w:val="index heading"/>
    <w:basedOn w:val="Normal"/>
    <w:next w:val="Index1"/>
    <w:semiHidden/>
    <w:rsid w:val="00AA41BC"/>
  </w:style>
  <w:style w:type="paragraph" w:customStyle="1" w:styleId="Line">
    <w:name w:val="Line"/>
    <w:basedOn w:val="Normal"/>
    <w:next w:val="Normal"/>
    <w:rsid w:val="00AA41BC"/>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rsid w:val="00AA41BC"/>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AA41BC"/>
  </w:style>
  <w:style w:type="paragraph" w:customStyle="1" w:styleId="Partref">
    <w:name w:val="Part_ref"/>
    <w:basedOn w:val="Normal"/>
    <w:next w:val="Normal"/>
    <w:rsid w:val="00AA41BC"/>
    <w:pPr>
      <w:keepNext/>
      <w:keepLines/>
      <w:spacing w:after="280"/>
      <w:jc w:val="center"/>
    </w:pPr>
  </w:style>
  <w:style w:type="paragraph" w:customStyle="1" w:styleId="Parttitle">
    <w:name w:val="Part_title"/>
    <w:basedOn w:val="Normal"/>
    <w:next w:val="Normalaftertitle"/>
    <w:rsid w:val="00AA41BC"/>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AA41BC"/>
  </w:style>
  <w:style w:type="paragraph" w:customStyle="1" w:styleId="QuestionNo">
    <w:name w:val="Question_No"/>
    <w:basedOn w:val="RecNo"/>
    <w:next w:val="Normal"/>
    <w:rsid w:val="00AA41BC"/>
  </w:style>
  <w:style w:type="paragraph" w:customStyle="1" w:styleId="Questionref">
    <w:name w:val="Question_ref"/>
    <w:basedOn w:val="Recref"/>
    <w:next w:val="Questiondate"/>
    <w:rsid w:val="00AA41BC"/>
  </w:style>
  <w:style w:type="paragraph" w:customStyle="1" w:styleId="Questiontitle">
    <w:name w:val="Question_title"/>
    <w:basedOn w:val="Normal"/>
    <w:next w:val="Questionref"/>
    <w:rsid w:val="00AA41BC"/>
  </w:style>
  <w:style w:type="paragraph" w:customStyle="1" w:styleId="Reftext">
    <w:name w:val="Ref_text"/>
    <w:basedOn w:val="Normal"/>
    <w:rsid w:val="00AA41BC"/>
    <w:pPr>
      <w:ind w:left="794" w:hanging="794"/>
    </w:pPr>
    <w:rPr>
      <w:sz w:val="22"/>
    </w:rPr>
  </w:style>
  <w:style w:type="paragraph" w:customStyle="1" w:styleId="Reftitle">
    <w:name w:val="Ref_title"/>
    <w:basedOn w:val="Normal"/>
    <w:next w:val="Reftext"/>
    <w:rsid w:val="00AA41BC"/>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AA41BC"/>
  </w:style>
  <w:style w:type="paragraph" w:customStyle="1" w:styleId="RepNo">
    <w:name w:val="Rep_No"/>
    <w:basedOn w:val="RecNo"/>
    <w:next w:val="Reptitle"/>
    <w:rsid w:val="00AA41BC"/>
  </w:style>
  <w:style w:type="paragraph" w:customStyle="1" w:styleId="Repref">
    <w:name w:val="Rep_ref"/>
    <w:basedOn w:val="Recref"/>
    <w:next w:val="Repdate"/>
    <w:rsid w:val="00AA41BC"/>
  </w:style>
  <w:style w:type="paragraph" w:customStyle="1" w:styleId="Reptitle">
    <w:name w:val="Rep_title"/>
    <w:basedOn w:val="Rectitle"/>
    <w:next w:val="Repref"/>
    <w:rsid w:val="00AA41BC"/>
  </w:style>
  <w:style w:type="paragraph" w:customStyle="1" w:styleId="Resdate">
    <w:name w:val="Res_date"/>
    <w:basedOn w:val="Recdate"/>
    <w:next w:val="Normalaftertitle"/>
    <w:rsid w:val="00AA41BC"/>
  </w:style>
  <w:style w:type="paragraph" w:customStyle="1" w:styleId="ResNo">
    <w:name w:val="Res_No"/>
    <w:basedOn w:val="RecNo"/>
    <w:next w:val="Restitle"/>
    <w:rsid w:val="00AA41BC"/>
  </w:style>
  <w:style w:type="paragraph" w:customStyle="1" w:styleId="Resref">
    <w:name w:val="Res_ref"/>
    <w:basedOn w:val="Recref"/>
    <w:next w:val="Resdate"/>
    <w:rsid w:val="00AA41BC"/>
  </w:style>
  <w:style w:type="paragraph" w:customStyle="1" w:styleId="Restitle">
    <w:name w:val="Res_title"/>
    <w:basedOn w:val="Normal"/>
    <w:next w:val="Resref"/>
    <w:rsid w:val="00AA41BC"/>
    <w:pPr>
      <w:spacing w:before="240"/>
      <w:jc w:val="center"/>
    </w:pPr>
    <w:rPr>
      <w:b/>
      <w:sz w:val="28"/>
    </w:rPr>
  </w:style>
  <w:style w:type="paragraph" w:customStyle="1" w:styleId="SectionNo">
    <w:name w:val="Section_No"/>
    <w:basedOn w:val="Normal"/>
    <w:next w:val="Normal"/>
    <w:rsid w:val="00AA41BC"/>
  </w:style>
  <w:style w:type="paragraph" w:customStyle="1" w:styleId="Sectiontitle">
    <w:name w:val="Section_title"/>
    <w:basedOn w:val="Normal"/>
    <w:next w:val="Normalaftertitle"/>
    <w:rsid w:val="00AA41BC"/>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AA41BC"/>
    <w:pPr>
      <w:tabs>
        <w:tab w:val="clear" w:pos="794"/>
        <w:tab w:val="clear" w:pos="1191"/>
        <w:tab w:val="clear" w:pos="1588"/>
        <w:tab w:val="clear" w:pos="1985"/>
        <w:tab w:val="right" w:pos="9611"/>
      </w:tabs>
    </w:pPr>
    <w:rPr>
      <w:i/>
    </w:rPr>
  </w:style>
  <w:style w:type="paragraph" w:styleId="TOC1">
    <w:name w:val="toc 1"/>
    <w:basedOn w:val="Normal"/>
    <w:semiHidden/>
    <w:rsid w:val="00AA41BC"/>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rsid w:val="00AA41BC"/>
    <w:pPr>
      <w:tabs>
        <w:tab w:val="clear" w:pos="567"/>
        <w:tab w:val="left" w:pos="1276"/>
      </w:tabs>
      <w:spacing w:before="160"/>
      <w:ind w:left="1276" w:hanging="709"/>
    </w:pPr>
  </w:style>
  <w:style w:type="paragraph" w:styleId="TOC3">
    <w:name w:val="toc 3"/>
    <w:basedOn w:val="TOC2"/>
    <w:semiHidden/>
    <w:rsid w:val="00AA41BC"/>
    <w:pPr>
      <w:tabs>
        <w:tab w:val="clear" w:pos="1276"/>
        <w:tab w:val="left" w:pos="2155"/>
      </w:tabs>
      <w:ind w:left="2155" w:hanging="879"/>
    </w:pPr>
  </w:style>
  <w:style w:type="paragraph" w:styleId="TOC4">
    <w:name w:val="toc 4"/>
    <w:basedOn w:val="TOC3"/>
    <w:semiHidden/>
    <w:rsid w:val="00AA41BC"/>
    <w:pPr>
      <w:tabs>
        <w:tab w:val="left" w:pos="3261"/>
      </w:tabs>
      <w:spacing w:before="80"/>
      <w:ind w:left="3261" w:hanging="993"/>
    </w:pPr>
  </w:style>
  <w:style w:type="paragraph" w:styleId="TOC5">
    <w:name w:val="toc 5"/>
    <w:basedOn w:val="TOC4"/>
    <w:semiHidden/>
    <w:rsid w:val="00AA41BC"/>
  </w:style>
  <w:style w:type="paragraph" w:styleId="TOC6">
    <w:name w:val="toc 6"/>
    <w:basedOn w:val="TOC4"/>
    <w:semiHidden/>
    <w:rsid w:val="00AA41BC"/>
  </w:style>
  <w:style w:type="paragraph" w:styleId="TOC7">
    <w:name w:val="toc 7"/>
    <w:basedOn w:val="TOC4"/>
    <w:semiHidden/>
    <w:rsid w:val="00AA41BC"/>
  </w:style>
  <w:style w:type="paragraph" w:styleId="TOC8">
    <w:name w:val="toc 8"/>
    <w:basedOn w:val="TOC4"/>
    <w:semiHidden/>
    <w:rsid w:val="00AA41BC"/>
  </w:style>
  <w:style w:type="paragraph" w:customStyle="1" w:styleId="Rectitle">
    <w:name w:val="Rec_title"/>
    <w:basedOn w:val="Normal"/>
    <w:next w:val="Recref"/>
    <w:link w:val="RectitleChar"/>
    <w:rsid w:val="00AA41BC"/>
    <w:pPr>
      <w:keepNext/>
      <w:keepLines/>
      <w:spacing w:before="240"/>
      <w:jc w:val="center"/>
    </w:pPr>
    <w:rPr>
      <w:b/>
      <w:sz w:val="28"/>
    </w:rPr>
  </w:style>
  <w:style w:type="paragraph" w:customStyle="1" w:styleId="Annexref">
    <w:name w:val="Annex_ref"/>
    <w:basedOn w:val="Normal"/>
    <w:next w:val="Normalaftertitle"/>
    <w:rsid w:val="00AA41BC"/>
    <w:pPr>
      <w:keepNext/>
      <w:keepLines/>
      <w:spacing w:after="280"/>
      <w:jc w:val="center"/>
    </w:pPr>
  </w:style>
  <w:style w:type="paragraph" w:customStyle="1" w:styleId="Appendixref">
    <w:name w:val="Appendix_ref"/>
    <w:basedOn w:val="Annexref"/>
    <w:next w:val="Normalaftertitle"/>
    <w:rsid w:val="00AA41BC"/>
  </w:style>
  <w:style w:type="paragraph" w:customStyle="1" w:styleId="Figuretitle">
    <w:name w:val="Figure_title"/>
    <w:basedOn w:val="Normal"/>
    <w:next w:val="Figure"/>
    <w:rsid w:val="00AA41BC"/>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Char"/>
    <w:rsid w:val="00AA41BC"/>
    <w:pPr>
      <w:keepNext/>
      <w:spacing w:before="0" w:after="120"/>
      <w:jc w:val="center"/>
    </w:pPr>
    <w:rPr>
      <w:b/>
    </w:rPr>
  </w:style>
  <w:style w:type="paragraph" w:customStyle="1" w:styleId="Summary">
    <w:name w:val="Summary"/>
    <w:basedOn w:val="Normal"/>
    <w:next w:val="Normalaftertitle"/>
    <w:autoRedefine/>
    <w:rsid w:val="00AA41BC"/>
    <w:pPr>
      <w:spacing w:after="480"/>
    </w:pPr>
    <w:rPr>
      <w:sz w:val="22"/>
      <w:lang w:val="es-ES_tradnl"/>
    </w:rPr>
  </w:style>
  <w:style w:type="paragraph" w:customStyle="1" w:styleId="TableLegendNote">
    <w:name w:val="Table_Legend_Note"/>
    <w:basedOn w:val="Tablelegend"/>
    <w:next w:val="Tablelegend"/>
    <w:rsid w:val="00AA41BC"/>
    <w:pPr>
      <w:ind w:left="-85" w:firstLine="0"/>
    </w:pPr>
    <w:rPr>
      <w:lang w:val="en-US"/>
    </w:rPr>
  </w:style>
  <w:style w:type="paragraph" w:customStyle="1" w:styleId="Figure">
    <w:name w:val="Figure"/>
    <w:basedOn w:val="FigureNo"/>
    <w:next w:val="Normal"/>
    <w:rsid w:val="00AA41BC"/>
    <w:pPr>
      <w:keepNext w:val="0"/>
      <w:spacing w:before="0" w:after="240"/>
    </w:pPr>
  </w:style>
  <w:style w:type="character" w:styleId="Hyperlink">
    <w:name w:val="Hyperlink"/>
    <w:basedOn w:val="DefaultParagraphFont"/>
    <w:rsid w:val="00530F47"/>
    <w:rPr>
      <w:color w:val="0000FF"/>
      <w:u w:val="single"/>
    </w:rPr>
  </w:style>
  <w:style w:type="character" w:customStyle="1" w:styleId="HeaderChar">
    <w:name w:val="Header Char"/>
    <w:basedOn w:val="DefaultParagraphFont"/>
    <w:link w:val="Header"/>
    <w:rsid w:val="00530F47"/>
    <w:rPr>
      <w:sz w:val="24"/>
      <w:lang w:val="en-GB" w:eastAsia="en-US"/>
    </w:rPr>
  </w:style>
  <w:style w:type="table" w:styleId="TableGrid">
    <w:name w:val="Table Grid"/>
    <w:basedOn w:val="TableNormal"/>
    <w:uiPriority w:val="39"/>
    <w:rsid w:val="00530F4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530F47"/>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530F47"/>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530F47"/>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530F47"/>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Heading1Char">
    <w:name w:val="Heading 1 Char"/>
    <w:basedOn w:val="DefaultParagraphFont"/>
    <w:link w:val="Heading1"/>
    <w:rsid w:val="00AA41BC"/>
    <w:rPr>
      <w:b/>
      <w:sz w:val="24"/>
      <w:lang w:val="en-GB" w:eastAsia="en-US"/>
    </w:rPr>
  </w:style>
  <w:style w:type="paragraph" w:customStyle="1" w:styleId="Figurewithouttitle">
    <w:name w:val="Figure_without_title"/>
    <w:basedOn w:val="FigureNo"/>
    <w:next w:val="Normal"/>
    <w:rsid w:val="00AA41BC"/>
    <w:pPr>
      <w:keepNext w:val="0"/>
      <w:tabs>
        <w:tab w:val="clear" w:pos="794"/>
        <w:tab w:val="clear" w:pos="1191"/>
        <w:tab w:val="clear" w:pos="1588"/>
        <w:tab w:val="clear" w:pos="1985"/>
        <w:tab w:val="left" w:pos="1134"/>
        <w:tab w:val="left" w:pos="1871"/>
        <w:tab w:val="left" w:pos="2268"/>
      </w:tabs>
      <w:spacing w:after="120"/>
    </w:pPr>
    <w:rPr>
      <w:sz w:val="20"/>
    </w:rPr>
  </w:style>
  <w:style w:type="character" w:customStyle="1" w:styleId="HeadingbChar">
    <w:name w:val="Heading_b Char"/>
    <w:basedOn w:val="DefaultParagraphFont"/>
    <w:link w:val="Headingb"/>
    <w:qFormat/>
    <w:locked/>
    <w:rsid w:val="00AA41BC"/>
    <w:rPr>
      <w:b/>
      <w:sz w:val="24"/>
      <w:lang w:val="en-GB" w:eastAsia="en-US"/>
    </w:rPr>
  </w:style>
  <w:style w:type="character" w:customStyle="1" w:styleId="enumlev1Char">
    <w:name w:val="enumlev1 Char"/>
    <w:basedOn w:val="DefaultParagraphFont"/>
    <w:link w:val="enumlev1"/>
    <w:locked/>
    <w:rsid w:val="00AA41BC"/>
    <w:rPr>
      <w:sz w:val="24"/>
      <w:lang w:val="en-GB" w:eastAsia="en-US"/>
    </w:rPr>
  </w:style>
  <w:style w:type="character" w:customStyle="1" w:styleId="NormalaftertitleChar">
    <w:name w:val="Normal_after_title Char"/>
    <w:basedOn w:val="DefaultParagraphFont"/>
    <w:link w:val="Normalaftertitle"/>
    <w:locked/>
    <w:rsid w:val="00AA41BC"/>
    <w:rPr>
      <w:sz w:val="24"/>
      <w:lang w:val="en-GB" w:eastAsia="en-US"/>
    </w:rPr>
  </w:style>
  <w:style w:type="character" w:customStyle="1" w:styleId="RectitleChar">
    <w:name w:val="Rec_title Char"/>
    <w:link w:val="Rectitle"/>
    <w:locked/>
    <w:rsid w:val="00AA41BC"/>
    <w:rPr>
      <w:b/>
      <w:sz w:val="28"/>
      <w:lang w:val="en-GB" w:eastAsia="en-US"/>
    </w:rPr>
  </w:style>
  <w:style w:type="character" w:customStyle="1" w:styleId="NoteChar">
    <w:name w:val="Note Char"/>
    <w:basedOn w:val="DefaultParagraphFont"/>
    <w:link w:val="Note"/>
    <w:locked/>
    <w:rsid w:val="00AA41BC"/>
    <w:rPr>
      <w:sz w:val="22"/>
      <w:lang w:val="en-GB" w:eastAsia="en-US"/>
    </w:rPr>
  </w:style>
  <w:style w:type="character" w:customStyle="1" w:styleId="CallChar">
    <w:name w:val="Call Char"/>
    <w:link w:val="Call"/>
    <w:locked/>
    <w:rsid w:val="00AA41BC"/>
    <w:rPr>
      <w:i/>
      <w:sz w:val="24"/>
      <w:lang w:val="en-GB" w:eastAsia="en-US"/>
    </w:rPr>
  </w:style>
  <w:style w:type="character" w:customStyle="1" w:styleId="TableheadChar">
    <w:name w:val="Table_head Char"/>
    <w:link w:val="Tablehead"/>
    <w:locked/>
    <w:rsid w:val="00AA41BC"/>
    <w:rPr>
      <w:b/>
      <w:sz w:val="22"/>
      <w:lang w:val="en-GB" w:eastAsia="en-US"/>
    </w:rPr>
  </w:style>
  <w:style w:type="character" w:customStyle="1" w:styleId="TabletextChar">
    <w:name w:val="Table_text Char"/>
    <w:link w:val="Tabletext"/>
    <w:locked/>
    <w:rsid w:val="00AA41BC"/>
    <w:rPr>
      <w:sz w:val="22"/>
      <w:lang w:val="en-GB" w:eastAsia="en-US"/>
    </w:rPr>
  </w:style>
  <w:style w:type="character" w:customStyle="1" w:styleId="TabletitleChar">
    <w:name w:val="Table_title Char"/>
    <w:link w:val="Tabletitle"/>
    <w:qFormat/>
    <w:rsid w:val="00AA41BC"/>
    <w:rPr>
      <w:b/>
      <w:sz w:val="24"/>
      <w:lang w:val="en-GB" w:eastAsia="en-US"/>
    </w:rPr>
  </w:style>
  <w:style w:type="character" w:customStyle="1" w:styleId="EquationChar">
    <w:name w:val="Equation Char"/>
    <w:link w:val="Equation"/>
    <w:locked/>
    <w:rsid w:val="00AA41BC"/>
    <w:rPr>
      <w:sz w:val="24"/>
      <w:lang w:val="en-GB" w:eastAsia="en-US"/>
    </w:rPr>
  </w:style>
  <w:style w:type="paragraph" w:customStyle="1" w:styleId="TableText0">
    <w:name w:val="Table_Text"/>
    <w:basedOn w:val="TableLegend0"/>
    <w:rsid w:val="00AA41BC"/>
    <w:pPr>
      <w:spacing w:before="100" w:after="100" w:line="190" w:lineRule="exact"/>
      <w:ind w:left="0" w:right="0"/>
    </w:pPr>
  </w:style>
  <w:style w:type="paragraph" w:customStyle="1" w:styleId="TableLegend0">
    <w:name w:val="Table_Legend"/>
    <w:basedOn w:val="Normal"/>
    <w:next w:val="Normal"/>
    <w:rsid w:val="00AA41BC"/>
    <w:pPr>
      <w:keepNext/>
      <w:spacing w:before="86" w:line="199" w:lineRule="exact"/>
      <w:ind w:left="-85" w:right="-85"/>
    </w:pPr>
    <w:rPr>
      <w:rFonts w:eastAsia="MS Mincho"/>
      <w:sz w:val="18"/>
    </w:rPr>
  </w:style>
  <w:style w:type="paragraph" w:customStyle="1" w:styleId="AnnexNotitle0">
    <w:name w:val="Annex_No &amp; title"/>
    <w:basedOn w:val="Normal"/>
    <w:next w:val="Normal"/>
    <w:rsid w:val="00AA41BC"/>
    <w:pPr>
      <w:keepNext/>
      <w:keepLines/>
      <w:spacing w:before="480"/>
      <w:jc w:val="center"/>
    </w:pPr>
    <w:rPr>
      <w:rFonts w:eastAsia="MS Mincho"/>
      <w:b/>
      <w:sz w:val="28"/>
    </w:rPr>
  </w:style>
  <w:style w:type="paragraph" w:customStyle="1" w:styleId="TableNoBR">
    <w:name w:val="Table_No_BR"/>
    <w:basedOn w:val="Normal"/>
    <w:next w:val="TabletitleBR"/>
    <w:rsid w:val="00AA41BC"/>
    <w:pPr>
      <w:keepNext/>
      <w:spacing w:before="560" w:after="120"/>
      <w:jc w:val="center"/>
    </w:pPr>
    <w:rPr>
      <w:rFonts w:eastAsia="MS Mincho"/>
      <w:caps/>
      <w:lang w:val="fr-FR"/>
    </w:rPr>
  </w:style>
  <w:style w:type="paragraph" w:customStyle="1" w:styleId="TabletitleBR">
    <w:name w:val="Table_title_BR"/>
    <w:basedOn w:val="Normal"/>
    <w:next w:val="Tablehead"/>
    <w:rsid w:val="00AA41BC"/>
    <w:pPr>
      <w:keepNext/>
      <w:keepLines/>
      <w:spacing w:before="0" w:after="120"/>
      <w:jc w:val="center"/>
    </w:pPr>
    <w:rPr>
      <w:rFonts w:eastAsia="MS Mincho"/>
      <w:b/>
      <w:lang w:val="fr-FR"/>
    </w:rPr>
  </w:style>
  <w:style w:type="paragraph" w:customStyle="1" w:styleId="FiguretitleBR">
    <w:name w:val="Figure_title_BR"/>
    <w:basedOn w:val="TabletitleBR"/>
    <w:next w:val="Figurewithouttitle"/>
    <w:rsid w:val="00AA41BC"/>
    <w:pPr>
      <w:keepNext w:val="0"/>
      <w:spacing w:after="480"/>
    </w:pPr>
  </w:style>
  <w:style w:type="paragraph" w:customStyle="1" w:styleId="FigureNoBR">
    <w:name w:val="Figure_No_BR"/>
    <w:basedOn w:val="Normal"/>
    <w:next w:val="FiguretitleBR"/>
    <w:rsid w:val="00AA41BC"/>
    <w:pPr>
      <w:keepNext/>
      <w:keepLines/>
      <w:spacing w:before="480" w:after="120"/>
      <w:jc w:val="center"/>
    </w:pPr>
    <w:rPr>
      <w:rFonts w:eastAsia="MS Mincho"/>
      <w:caps/>
      <w:lang w:val="fr-FR"/>
    </w:rPr>
  </w:style>
  <w:style w:type="character" w:styleId="CommentReference">
    <w:name w:val="annotation reference"/>
    <w:basedOn w:val="DefaultParagraphFont"/>
    <w:semiHidden/>
    <w:unhideWhenUsed/>
    <w:rsid w:val="005835A4"/>
    <w:rPr>
      <w:sz w:val="16"/>
      <w:szCs w:val="16"/>
    </w:rPr>
  </w:style>
  <w:style w:type="paragraph" w:styleId="CommentText">
    <w:name w:val="annotation text"/>
    <w:basedOn w:val="Normal"/>
    <w:link w:val="CommentTextChar"/>
    <w:unhideWhenUsed/>
    <w:rsid w:val="005835A4"/>
    <w:rPr>
      <w:sz w:val="20"/>
    </w:rPr>
  </w:style>
  <w:style w:type="character" w:customStyle="1" w:styleId="CommentTextChar">
    <w:name w:val="Comment Text Char"/>
    <w:basedOn w:val="DefaultParagraphFont"/>
    <w:link w:val="CommentText"/>
    <w:rsid w:val="005835A4"/>
    <w:rPr>
      <w:lang w:val="en-GB" w:eastAsia="en-US"/>
    </w:rPr>
  </w:style>
  <w:style w:type="paragraph" w:styleId="CommentSubject">
    <w:name w:val="annotation subject"/>
    <w:basedOn w:val="CommentText"/>
    <w:next w:val="CommentText"/>
    <w:link w:val="CommentSubjectChar"/>
    <w:semiHidden/>
    <w:unhideWhenUsed/>
    <w:rsid w:val="005835A4"/>
    <w:rPr>
      <w:b/>
      <w:bCs/>
    </w:rPr>
  </w:style>
  <w:style w:type="character" w:customStyle="1" w:styleId="CommentSubjectChar">
    <w:name w:val="Comment Subject Char"/>
    <w:basedOn w:val="CommentTextChar"/>
    <w:link w:val="CommentSubject"/>
    <w:semiHidden/>
    <w:rsid w:val="005835A4"/>
    <w:rPr>
      <w:b/>
      <w:bCs/>
      <w:lang w:val="en-GB" w:eastAsia="en-US"/>
    </w:rPr>
  </w:style>
  <w:style w:type="character" w:styleId="FollowedHyperlink">
    <w:name w:val="FollowedHyperlink"/>
    <w:basedOn w:val="DefaultParagraphFont"/>
    <w:semiHidden/>
    <w:unhideWhenUsed/>
    <w:rsid w:val="005835A4"/>
    <w:rPr>
      <w:color w:val="800080" w:themeColor="followedHyperlink"/>
      <w:u w:val="single"/>
    </w:rPr>
  </w:style>
  <w:style w:type="character" w:styleId="UnresolvedMention">
    <w:name w:val="Unresolved Mention"/>
    <w:basedOn w:val="DefaultParagraphFont"/>
    <w:uiPriority w:val="99"/>
    <w:semiHidden/>
    <w:unhideWhenUsed/>
    <w:rsid w:val="00802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itu.int/rec/R-REC-SM.1138/en" TargetMode="External"/><Relationship Id="rId18" Type="http://schemas.openxmlformats.org/officeDocument/2006/relationships/hyperlink" Target="https://www.itu.int/rec/R-REC-SM.1138/en"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itu.int/rec/R-REC-SM.1138/en" TargetMode="Externa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image" Target="media/image3.png"/><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www.itu.int/rec/R-REC-F.1191/en" TargetMode="External"/><Relationship Id="rId20" Type="http://schemas.openxmlformats.org/officeDocument/2006/relationships/oleObject" Target="embeddings/oleObject1.bin"/><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24" Type="http://schemas.openxmlformats.org/officeDocument/2006/relationships/header" Target="header6.xml"/><Relationship Id="rId5" Type="http://schemas.openxmlformats.org/officeDocument/2006/relationships/endnotes" Target="endnotes.xml"/><Relationship Id="rId15" Type="http://schemas.openxmlformats.org/officeDocument/2006/relationships/hyperlink" Target="https://www.itu.int/rec/R-REC-SM.1138/en" TargetMode="External"/><Relationship Id="rId23" Type="http://schemas.openxmlformats.org/officeDocument/2006/relationships/header" Target="header5.xml"/><Relationship Id="rId10" Type="http://schemas.openxmlformats.org/officeDocument/2006/relationships/hyperlink" Target="https://www.itu.int/publ/R-REC/en" TargetMode="External"/><Relationship Id="rId19" Type="http://schemas.openxmlformats.org/officeDocument/2006/relationships/image" Target="media/image4.wmf"/><Relationship Id="rId4" Type="http://schemas.openxmlformats.org/officeDocument/2006/relationships/footnotes" Target="footnotes.xml"/><Relationship Id="rId9" Type="http://schemas.openxmlformats.org/officeDocument/2006/relationships/hyperlink" Target="https://www.itu.int/ITU-R/go/patents/en" TargetMode="External"/><Relationship Id="rId14" Type="http://schemas.openxmlformats.org/officeDocument/2006/relationships/hyperlink" Target="https://www.itu.int/pub/R-REP-SM.2048" TargetMode="External"/><Relationship Id="rId22" Type="http://schemas.openxmlformats.org/officeDocument/2006/relationships/hyperlink" Target="https://www.itu.int/rec/R-REC-SM.1138/en"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onge\AppData\Roaming\Microsoft\Templates\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BR_Rec_2005.dotm</Template>
  <TotalTime>116</TotalTime>
  <Pages>12</Pages>
  <Words>4486</Words>
  <Characters>24223</Characters>
  <Application>Microsoft Office Word</Application>
  <DocSecurity>0</DocSecurity>
  <Lines>474</Lines>
  <Paragraphs>263</Paragraphs>
  <ScaleCrop>false</ScaleCrop>
  <HeadingPairs>
    <vt:vector size="2" baseType="variant">
      <vt:variant>
        <vt:lpstr>Title</vt:lpstr>
      </vt:variant>
      <vt:variant>
        <vt:i4>1</vt:i4>
      </vt:variant>
    </vt:vector>
  </HeadingPairs>
  <TitlesOfParts>
    <vt:vector size="1" baseType="lpstr">
      <vt:lpstr>Recommandation UIT-R SM.853-2 (09/2024) – Largeur de bande nécessaire</vt:lpstr>
    </vt:vector>
  </TitlesOfParts>
  <Manager/>
  <Company>ITU</Company>
  <LinksUpToDate>false</LinksUpToDate>
  <CharactersWithSpaces>28446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UIT-R SM.853-2 (09/2024) – Largeur de bande nécessaire</dc:title>
  <dc:subject/>
  <dc:creator>French</dc:creator>
  <cp:keywords/>
  <dc:description/>
  <cp:lastModifiedBy>Gachet, Christelle</cp:lastModifiedBy>
  <cp:revision>24</cp:revision>
  <cp:lastPrinted>2025-02-14T09:40:00Z</cp:lastPrinted>
  <dcterms:created xsi:type="dcterms:W3CDTF">2025-02-14T07:03:00Z</dcterms:created>
  <dcterms:modified xsi:type="dcterms:W3CDTF">2025-02-14T09:44:00Z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