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6A38E" w14:textId="77777777" w:rsidR="00A6617B" w:rsidRPr="00D54E02" w:rsidRDefault="00A6617B" w:rsidP="00D56E53">
      <w:pPr>
        <w:rPr>
          <w:lang w:val="es-ES_tradnl"/>
        </w:rPr>
      </w:pPr>
    </w:p>
    <w:p w14:paraId="5E5D665C" w14:textId="77777777" w:rsidR="00D56E53" w:rsidRPr="00D54E02" w:rsidRDefault="00D56E53" w:rsidP="00D56E53">
      <w:pPr>
        <w:rPr>
          <w:lang w:val="es-ES_tradnl"/>
        </w:rPr>
      </w:pPr>
      <w:bookmarkStart w:id="0" w:name="dbreak"/>
      <w:bookmarkEnd w:id="0"/>
    </w:p>
    <w:p w14:paraId="402CC737" w14:textId="77777777" w:rsidR="00D56E53" w:rsidRPr="00D54E02" w:rsidRDefault="00D56E53" w:rsidP="00D56E53">
      <w:pPr>
        <w:rPr>
          <w:lang w:val="es-ES_tradnl"/>
        </w:rPr>
      </w:pPr>
    </w:p>
    <w:p w14:paraId="10E3631F" w14:textId="77777777" w:rsidR="00D56E53" w:rsidRPr="00D54E02" w:rsidRDefault="00D56E53" w:rsidP="00D56E53">
      <w:pPr>
        <w:rPr>
          <w:lang w:val="es-ES_tradnl"/>
        </w:rPr>
      </w:pPr>
    </w:p>
    <w:p w14:paraId="7E5E6371" w14:textId="77777777" w:rsidR="00D56E53" w:rsidRPr="00D54E02" w:rsidRDefault="00D56E53" w:rsidP="00D56E53">
      <w:pPr>
        <w:rPr>
          <w:lang w:val="es-ES_tradnl"/>
        </w:rPr>
      </w:pPr>
    </w:p>
    <w:p w14:paraId="0619D553" w14:textId="77777777" w:rsidR="00D56E53" w:rsidRPr="00D54E02" w:rsidRDefault="00D56E53" w:rsidP="00D56E53">
      <w:pPr>
        <w:rPr>
          <w:lang w:val="es-ES_tradnl"/>
        </w:rPr>
      </w:pPr>
    </w:p>
    <w:p w14:paraId="28197A97" w14:textId="77777777" w:rsidR="00D56E53" w:rsidRPr="00D54E02" w:rsidRDefault="00D56E53" w:rsidP="00D56E53">
      <w:pPr>
        <w:rPr>
          <w:lang w:val="es-ES_tradnl"/>
        </w:rPr>
      </w:pPr>
    </w:p>
    <w:p w14:paraId="7480B77D" w14:textId="77777777" w:rsidR="00D56E53" w:rsidRPr="00D54E02" w:rsidRDefault="00D56E53" w:rsidP="00D56E53">
      <w:pPr>
        <w:rPr>
          <w:lang w:val="es-ES_tradnl"/>
        </w:rPr>
      </w:pPr>
    </w:p>
    <w:p w14:paraId="090C1EF0" w14:textId="77777777" w:rsidR="00D56E53" w:rsidRPr="00D54E02" w:rsidRDefault="00D56E53" w:rsidP="00D56E53">
      <w:pPr>
        <w:rPr>
          <w:lang w:val="es-ES_tradnl"/>
        </w:rPr>
      </w:pPr>
    </w:p>
    <w:p w14:paraId="310B9FA6" w14:textId="77777777" w:rsidR="00D56E53" w:rsidRPr="00D54E02" w:rsidRDefault="00D56E53" w:rsidP="00D56E53">
      <w:pPr>
        <w:rPr>
          <w:lang w:val="es-ES_tradnl"/>
        </w:rPr>
      </w:pPr>
    </w:p>
    <w:p w14:paraId="25F88191" w14:textId="77777777" w:rsidR="00D56E53" w:rsidRPr="00D54E02" w:rsidRDefault="00D56E53" w:rsidP="00D56E53">
      <w:pPr>
        <w:rPr>
          <w:lang w:val="es-ES_tradnl"/>
        </w:rPr>
      </w:pPr>
    </w:p>
    <w:tbl>
      <w:tblPr>
        <w:tblW w:w="10089" w:type="dxa"/>
        <w:tblLook w:val="01E0" w:firstRow="1" w:lastRow="1" w:firstColumn="1" w:lastColumn="1" w:noHBand="0" w:noVBand="0"/>
      </w:tblPr>
      <w:tblGrid>
        <w:gridCol w:w="10089"/>
      </w:tblGrid>
      <w:tr w:rsidR="00D56E53" w:rsidRPr="00715CE0" w14:paraId="50BDFFAD" w14:textId="77777777" w:rsidTr="00EB6F1F">
        <w:tc>
          <w:tcPr>
            <w:tcW w:w="10089" w:type="dxa"/>
          </w:tcPr>
          <w:p w14:paraId="498F5E7C" w14:textId="77777777" w:rsidR="00D56E53" w:rsidRPr="00D54E02" w:rsidRDefault="00D56E53" w:rsidP="00EB6F1F">
            <w:pPr>
              <w:spacing w:before="380" w:line="280" w:lineRule="exact"/>
              <w:jc w:val="right"/>
              <w:rPr>
                <w:rFonts w:ascii="Tahoma" w:hAnsi="Tahoma" w:cs="Tahoma"/>
                <w:b/>
                <w:bCs/>
                <w:iCs/>
                <w:color w:val="243285"/>
                <w:sz w:val="32"/>
                <w:szCs w:val="32"/>
                <w:lang w:val="es-ES_tradnl"/>
              </w:rPr>
            </w:pPr>
          </w:p>
          <w:p w14:paraId="1C28877A" w14:textId="77777777" w:rsidR="00D56E53" w:rsidRPr="00D54E02" w:rsidRDefault="00D56E53" w:rsidP="00D56E53">
            <w:pPr>
              <w:spacing w:before="380" w:line="280" w:lineRule="exact"/>
              <w:jc w:val="right"/>
              <w:rPr>
                <w:rFonts w:ascii="Tahoma" w:hAnsi="Tahoma" w:cs="Tahoma"/>
                <w:b/>
                <w:bCs/>
                <w:iCs/>
                <w:color w:val="243285"/>
                <w:sz w:val="36"/>
                <w:szCs w:val="36"/>
                <w:lang w:val="es-ES_tradnl"/>
              </w:rPr>
            </w:pPr>
            <w:proofErr w:type="gramStart"/>
            <w:r w:rsidRPr="00D54E02">
              <w:rPr>
                <w:rFonts w:ascii="Tahoma" w:hAnsi="Tahoma" w:cs="Tahoma"/>
                <w:b/>
                <w:bCs/>
                <w:iCs/>
                <w:color w:val="243285"/>
                <w:sz w:val="36"/>
                <w:szCs w:val="36"/>
                <w:lang w:val="es-ES_tradnl"/>
              </w:rPr>
              <w:t>Recomendación  UIT</w:t>
            </w:r>
            <w:proofErr w:type="gramEnd"/>
            <w:r w:rsidRPr="00D54E02">
              <w:rPr>
                <w:rFonts w:ascii="Tahoma" w:hAnsi="Tahoma" w:cs="Tahoma"/>
                <w:b/>
                <w:bCs/>
                <w:iCs/>
                <w:color w:val="243285"/>
                <w:sz w:val="36"/>
                <w:szCs w:val="36"/>
                <w:lang w:val="es-ES_tradnl"/>
              </w:rPr>
              <w:t>-R  SM.575-2</w:t>
            </w:r>
          </w:p>
          <w:p w14:paraId="59E21149" w14:textId="77777777" w:rsidR="00D56E53" w:rsidRPr="00D54E02" w:rsidRDefault="008C56E4" w:rsidP="00D56E53">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(10/2</w:t>
            </w:r>
            <w:r w:rsidR="00D56E53" w:rsidRPr="00D54E02">
              <w:rPr>
                <w:rFonts w:ascii="Tahoma" w:hAnsi="Tahoma" w:cs="Tahoma"/>
                <w:b/>
                <w:bCs/>
                <w:iCs/>
                <w:color w:val="243285"/>
                <w:szCs w:val="24"/>
                <w:lang w:val="es-ES_tradnl"/>
              </w:rPr>
              <w:t>013)</w:t>
            </w:r>
          </w:p>
        </w:tc>
      </w:tr>
      <w:tr w:rsidR="00D56E53" w:rsidRPr="00D57534" w14:paraId="720DB6E7" w14:textId="77777777" w:rsidTr="00EB6F1F">
        <w:tc>
          <w:tcPr>
            <w:tcW w:w="10089" w:type="dxa"/>
          </w:tcPr>
          <w:p w14:paraId="240667BE" w14:textId="77777777" w:rsidR="00D56E53" w:rsidRPr="00D54E02" w:rsidRDefault="00D56E53" w:rsidP="00EB6F1F">
            <w:pPr>
              <w:spacing w:before="80" w:line="500" w:lineRule="exact"/>
              <w:jc w:val="right"/>
              <w:rPr>
                <w:rFonts w:ascii="Tahoma" w:hAnsi="Tahoma" w:cs="Tahoma"/>
                <w:b/>
                <w:bCs/>
                <w:iCs/>
                <w:color w:val="243285"/>
                <w:sz w:val="44"/>
                <w:szCs w:val="44"/>
                <w:lang w:val="es-ES_tradnl"/>
              </w:rPr>
            </w:pPr>
          </w:p>
          <w:p w14:paraId="24C699F9" w14:textId="77777777" w:rsidR="00D56E53" w:rsidRPr="00D54E02" w:rsidRDefault="00D56E53" w:rsidP="00D56E53">
            <w:pPr>
              <w:spacing w:before="80" w:line="500" w:lineRule="exact"/>
              <w:jc w:val="right"/>
              <w:rPr>
                <w:rFonts w:ascii="Tahoma" w:hAnsi="Tahoma" w:cs="Tahoma"/>
                <w:b/>
                <w:bCs/>
                <w:iCs/>
                <w:color w:val="243285"/>
                <w:sz w:val="44"/>
                <w:szCs w:val="44"/>
                <w:lang w:val="es-ES_tradnl"/>
              </w:rPr>
            </w:pPr>
            <w:r w:rsidRPr="00D54E02">
              <w:rPr>
                <w:rFonts w:ascii="Tahoma" w:hAnsi="Tahoma" w:cs="Tahoma"/>
                <w:b/>
                <w:bCs/>
                <w:color w:val="243285"/>
                <w:sz w:val="44"/>
                <w:szCs w:val="44"/>
                <w:lang w:val="es-ES_tradnl"/>
              </w:rPr>
              <w:t xml:space="preserve">Protección de las estaciones fijas </w:t>
            </w:r>
            <w:r w:rsidRPr="00D54E02">
              <w:rPr>
                <w:rFonts w:ascii="Tahoma" w:hAnsi="Tahoma" w:cs="Tahoma"/>
                <w:b/>
                <w:bCs/>
                <w:color w:val="243285"/>
                <w:sz w:val="44"/>
                <w:szCs w:val="44"/>
                <w:lang w:val="es-ES_tradnl"/>
              </w:rPr>
              <w:br/>
              <w:t xml:space="preserve">de comprobación técnica contra </w:t>
            </w:r>
            <w:r w:rsidRPr="00D54E02">
              <w:rPr>
                <w:rFonts w:ascii="Tahoma" w:hAnsi="Tahoma" w:cs="Tahoma"/>
                <w:b/>
                <w:bCs/>
                <w:color w:val="243285"/>
                <w:sz w:val="44"/>
                <w:szCs w:val="44"/>
                <w:lang w:val="es-ES_tradnl"/>
              </w:rPr>
              <w:br/>
              <w:t xml:space="preserve">la interferencia ocasionada por </w:t>
            </w:r>
            <w:r w:rsidRPr="00D54E02">
              <w:rPr>
                <w:rFonts w:ascii="Tahoma" w:hAnsi="Tahoma" w:cs="Tahoma"/>
                <w:b/>
                <w:bCs/>
                <w:color w:val="243285"/>
                <w:sz w:val="44"/>
                <w:szCs w:val="44"/>
                <w:lang w:val="es-ES_tradnl"/>
              </w:rPr>
              <w:br/>
              <w:t>transmisores cercanos y potentes</w:t>
            </w:r>
          </w:p>
        </w:tc>
      </w:tr>
      <w:tr w:rsidR="00D56E53" w:rsidRPr="00FC59FB" w14:paraId="05A89137" w14:textId="77777777" w:rsidTr="00EB6F1F">
        <w:tc>
          <w:tcPr>
            <w:tcW w:w="10089" w:type="dxa"/>
          </w:tcPr>
          <w:p w14:paraId="132EA6C5" w14:textId="77777777" w:rsidR="00D56E53" w:rsidRPr="00D54E02" w:rsidRDefault="00D56E53" w:rsidP="00EB6F1F">
            <w:pPr>
              <w:spacing w:before="80" w:line="280" w:lineRule="exact"/>
              <w:ind w:right="640"/>
              <w:rPr>
                <w:rFonts w:ascii="Tahoma" w:hAnsi="Tahoma" w:cs="Tahoma"/>
                <w:b/>
                <w:bCs/>
                <w:iCs/>
                <w:color w:val="243285"/>
                <w:sz w:val="32"/>
                <w:szCs w:val="32"/>
                <w:lang w:val="es-ES_tradnl"/>
              </w:rPr>
            </w:pPr>
          </w:p>
          <w:p w14:paraId="7FC087F0" w14:textId="77777777" w:rsidR="00D56E53" w:rsidRDefault="00D56E53" w:rsidP="00EB6F1F">
            <w:pPr>
              <w:spacing w:before="80" w:line="280" w:lineRule="exact"/>
              <w:ind w:right="640"/>
              <w:rPr>
                <w:rFonts w:ascii="Tahoma" w:hAnsi="Tahoma" w:cs="Tahoma"/>
                <w:b/>
                <w:bCs/>
                <w:iCs/>
                <w:color w:val="243285"/>
                <w:sz w:val="32"/>
                <w:szCs w:val="32"/>
                <w:lang w:val="es-ES_tradnl"/>
              </w:rPr>
            </w:pPr>
          </w:p>
          <w:p w14:paraId="182C011E" w14:textId="77777777" w:rsidR="00236F78" w:rsidRPr="00D54E02" w:rsidRDefault="00236F78" w:rsidP="00EB6F1F">
            <w:pPr>
              <w:spacing w:before="80" w:line="280" w:lineRule="exact"/>
              <w:ind w:right="640"/>
              <w:rPr>
                <w:rFonts w:ascii="Tahoma" w:hAnsi="Tahoma" w:cs="Tahoma"/>
                <w:b/>
                <w:bCs/>
                <w:iCs/>
                <w:color w:val="243285"/>
                <w:sz w:val="32"/>
                <w:szCs w:val="32"/>
                <w:lang w:val="es-ES_tradnl"/>
              </w:rPr>
            </w:pPr>
          </w:p>
          <w:p w14:paraId="6B33AA59" w14:textId="77777777" w:rsidR="00D56E53" w:rsidRPr="00D54E02" w:rsidRDefault="00D56E53" w:rsidP="00EB6F1F">
            <w:pPr>
              <w:spacing w:before="80" w:after="180" w:line="360" w:lineRule="exact"/>
              <w:ind w:right="720"/>
              <w:rPr>
                <w:rFonts w:ascii="Tahoma" w:hAnsi="Tahoma" w:cs="Tahoma"/>
                <w:b/>
                <w:bCs/>
                <w:iCs/>
                <w:color w:val="243285"/>
                <w:sz w:val="36"/>
                <w:szCs w:val="36"/>
                <w:lang w:val="es-ES_tradnl"/>
              </w:rPr>
            </w:pPr>
          </w:p>
          <w:p w14:paraId="381AF8FE" w14:textId="77777777" w:rsidR="00D56E53" w:rsidRPr="00D54E02" w:rsidRDefault="00D56E53" w:rsidP="00EB6F1F">
            <w:pPr>
              <w:spacing w:before="80" w:after="180" w:line="360" w:lineRule="exact"/>
              <w:jc w:val="right"/>
              <w:rPr>
                <w:rFonts w:ascii="Tahoma" w:hAnsi="Tahoma" w:cs="Tahoma"/>
                <w:b/>
                <w:bCs/>
                <w:iCs/>
                <w:color w:val="243285"/>
                <w:sz w:val="36"/>
                <w:szCs w:val="36"/>
                <w:lang w:val="es-ES_tradnl"/>
              </w:rPr>
            </w:pPr>
            <w:r w:rsidRPr="00D54E02">
              <w:rPr>
                <w:rFonts w:ascii="Tahoma" w:hAnsi="Tahoma" w:cs="Tahoma"/>
                <w:b/>
                <w:bCs/>
                <w:iCs/>
                <w:color w:val="243285"/>
                <w:sz w:val="36"/>
                <w:szCs w:val="36"/>
                <w:lang w:val="es-ES_tradnl"/>
              </w:rPr>
              <w:t>Serie SM</w:t>
            </w:r>
          </w:p>
          <w:p w14:paraId="7DCEE809" w14:textId="77777777" w:rsidR="00D56E53" w:rsidRPr="00D54E02" w:rsidRDefault="00D56E53" w:rsidP="00EB6F1F">
            <w:pPr>
              <w:spacing w:before="80" w:line="420" w:lineRule="exact"/>
              <w:jc w:val="right"/>
              <w:rPr>
                <w:rFonts w:ascii="Tahoma" w:hAnsi="Tahoma" w:cs="Tahoma"/>
                <w:b/>
                <w:bCs/>
                <w:iCs/>
                <w:color w:val="243285"/>
                <w:sz w:val="36"/>
                <w:szCs w:val="36"/>
                <w:lang w:val="es-ES_tradnl"/>
              </w:rPr>
            </w:pPr>
            <w:r w:rsidRPr="00D54E02">
              <w:rPr>
                <w:rFonts w:ascii="Tahoma" w:hAnsi="Tahoma" w:cs="Tahoma"/>
                <w:b/>
                <w:bCs/>
                <w:iCs/>
                <w:color w:val="243285"/>
                <w:sz w:val="36"/>
                <w:szCs w:val="36"/>
                <w:lang w:val="es-ES_tradnl"/>
              </w:rPr>
              <w:t>Gestión del espectro</w:t>
            </w:r>
          </w:p>
        </w:tc>
      </w:tr>
    </w:tbl>
    <w:p w14:paraId="2ED7ACD8" w14:textId="77777777" w:rsidR="00D56E53" w:rsidRPr="00D54E02" w:rsidRDefault="00D56E53" w:rsidP="00D56E53">
      <w:pPr>
        <w:spacing w:before="80"/>
        <w:rPr>
          <w:i/>
          <w:sz w:val="22"/>
          <w:lang w:val="es-ES_tradnl"/>
        </w:rPr>
      </w:pPr>
    </w:p>
    <w:p w14:paraId="230EA759" w14:textId="77777777" w:rsidR="00D56E53" w:rsidRPr="00D54E02" w:rsidRDefault="00D56E53" w:rsidP="00D56E53">
      <w:pPr>
        <w:spacing w:before="80"/>
        <w:rPr>
          <w:i/>
          <w:sz w:val="22"/>
          <w:lang w:val="es-ES_tradnl"/>
        </w:rPr>
      </w:pPr>
    </w:p>
    <w:p w14:paraId="0436C2C0" w14:textId="77777777" w:rsidR="00D56E53" w:rsidRPr="00D54E02" w:rsidRDefault="00D56E53" w:rsidP="00D56E53">
      <w:pPr>
        <w:spacing w:before="80"/>
        <w:rPr>
          <w:i/>
          <w:sz w:val="22"/>
          <w:lang w:val="es-ES_tradnl"/>
        </w:rPr>
      </w:pPr>
    </w:p>
    <w:p w14:paraId="43D9E2D1" w14:textId="77777777" w:rsidR="00D56E53" w:rsidRDefault="00D56E53" w:rsidP="00D56E53">
      <w:pPr>
        <w:spacing w:before="80"/>
        <w:rPr>
          <w:i/>
          <w:sz w:val="22"/>
          <w:lang w:val="es-ES_tradnl"/>
        </w:rPr>
      </w:pPr>
    </w:p>
    <w:p w14:paraId="18DF4611" w14:textId="77777777" w:rsidR="00236F78" w:rsidRDefault="00236F78" w:rsidP="00D56E53">
      <w:pPr>
        <w:spacing w:before="80"/>
        <w:rPr>
          <w:i/>
          <w:sz w:val="22"/>
          <w:lang w:val="es-ES_tradnl"/>
        </w:rPr>
      </w:pPr>
    </w:p>
    <w:p w14:paraId="488FC15C" w14:textId="77777777" w:rsidR="00236F78" w:rsidRPr="00D54E02" w:rsidRDefault="00236F78" w:rsidP="00D56E53">
      <w:pPr>
        <w:spacing w:before="80"/>
        <w:rPr>
          <w:i/>
          <w:sz w:val="22"/>
          <w:lang w:val="es-ES_tradnl"/>
        </w:rPr>
      </w:pPr>
    </w:p>
    <w:p w14:paraId="4DF9AF54" w14:textId="77777777" w:rsidR="00D56E53" w:rsidRPr="00715CE0" w:rsidRDefault="00D56E53" w:rsidP="00D56E53">
      <w:pPr>
        <w:spacing w:before="80"/>
        <w:rPr>
          <w:lang w:val="es-ES_tradnl"/>
        </w:rPr>
      </w:pPr>
    </w:p>
    <w:p w14:paraId="7EC7F93C" w14:textId="77777777" w:rsidR="00D56E53" w:rsidRPr="00D54E02" w:rsidRDefault="00D56E53" w:rsidP="00D56E53">
      <w:pPr>
        <w:spacing w:before="80"/>
        <w:rPr>
          <w:i/>
          <w:sz w:val="22"/>
          <w:lang w:val="es-ES_tradnl"/>
        </w:rPr>
      </w:pPr>
    </w:p>
    <w:p w14:paraId="58B17D30" w14:textId="77777777" w:rsidR="00D56E53" w:rsidRPr="00D54E02" w:rsidRDefault="00D56E53" w:rsidP="00D56E53">
      <w:pPr>
        <w:pStyle w:val="Equation"/>
        <w:tabs>
          <w:tab w:val="clear" w:pos="4820"/>
          <w:tab w:val="clear" w:pos="9639"/>
          <w:tab w:val="left" w:pos="1191"/>
          <w:tab w:val="left" w:pos="1588"/>
          <w:tab w:val="left" w:pos="1985"/>
        </w:tabs>
        <w:rPr>
          <w:rFonts w:ascii="Palatino Linotype" w:hAnsi="Palatino Linotype"/>
          <w:lang w:val="es-ES_tradnl"/>
        </w:rPr>
        <w:sectPr w:rsidR="00D56E53" w:rsidRPr="00D54E02">
          <w:headerReference w:type="even" r:id="rId6"/>
          <w:headerReference w:type="default" r:id="rId7"/>
          <w:headerReference w:type="first" r:id="rId8"/>
          <w:pgSz w:w="11907" w:h="16840" w:code="9"/>
          <w:pgMar w:top="1089" w:right="1089" w:bottom="284" w:left="1089" w:header="567" w:footer="284" w:gutter="0"/>
          <w:pgNumType w:start="1"/>
          <w:cols w:space="720"/>
        </w:sectPr>
      </w:pPr>
    </w:p>
    <w:p w14:paraId="2C1C8729" w14:textId="77777777" w:rsidR="00D56E53" w:rsidRPr="00D54E02" w:rsidRDefault="00D56E53" w:rsidP="00D56E5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D54E02">
        <w:rPr>
          <w:bCs/>
          <w:sz w:val="24"/>
          <w:szCs w:val="24"/>
          <w:lang w:val="es-ES_tradnl"/>
        </w:rPr>
        <w:lastRenderedPageBreak/>
        <w:t>Prólogo</w:t>
      </w:r>
    </w:p>
    <w:p w14:paraId="5D79F8E0" w14:textId="77777777" w:rsidR="00D56E53" w:rsidRPr="00D54E02" w:rsidRDefault="00D56E53" w:rsidP="00D56E53">
      <w:pPr>
        <w:spacing w:before="180"/>
        <w:rPr>
          <w:sz w:val="20"/>
          <w:lang w:val="es-ES_tradnl"/>
        </w:rPr>
      </w:pPr>
      <w:r w:rsidRPr="00D54E0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B4D8012" w14:textId="77777777" w:rsidR="00D56E53" w:rsidRPr="00D54E02" w:rsidRDefault="00D56E53" w:rsidP="00D56E53">
      <w:pPr>
        <w:rPr>
          <w:sz w:val="20"/>
          <w:lang w:val="es-ES_tradnl"/>
        </w:rPr>
      </w:pPr>
      <w:r w:rsidRPr="00D54E0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5736EC15" w14:textId="77777777" w:rsidR="00D56E53" w:rsidRPr="00D54E02" w:rsidRDefault="00D56E53" w:rsidP="00D56E53">
      <w:pPr>
        <w:pStyle w:val="Heading1"/>
        <w:spacing w:before="340"/>
        <w:jc w:val="center"/>
        <w:rPr>
          <w:szCs w:val="24"/>
          <w:lang w:val="es-ES_tradnl"/>
        </w:rPr>
      </w:pPr>
      <w:r w:rsidRPr="00D54E02">
        <w:rPr>
          <w:lang w:val="es-ES_tradnl"/>
        </w:rPr>
        <w:t>Política sobre Derechos de Propiedad Intelectual</w:t>
      </w:r>
      <w:r w:rsidRPr="00D54E02">
        <w:rPr>
          <w:szCs w:val="24"/>
          <w:lang w:val="es-ES_tradnl"/>
        </w:rPr>
        <w:t xml:space="preserve"> (IPR)</w:t>
      </w:r>
    </w:p>
    <w:p w14:paraId="710BCEA6" w14:textId="2A0DA4ED" w:rsidR="00D56E53" w:rsidRPr="00D54E02" w:rsidRDefault="00D56E53" w:rsidP="00D56E53">
      <w:pPr>
        <w:spacing w:before="180"/>
        <w:rPr>
          <w:sz w:val="20"/>
          <w:lang w:val="es-ES_tradnl"/>
        </w:rPr>
      </w:pPr>
      <w:r w:rsidRPr="00D54E02">
        <w:rPr>
          <w:sz w:val="20"/>
          <w:lang w:val="es-ES_tradnl"/>
        </w:rPr>
        <w:t>La política del UIT</w:t>
      </w:r>
      <w:r w:rsidRPr="00D54E02">
        <w:rPr>
          <w:sz w:val="20"/>
          <w:lang w:val="es-ES_tradnl"/>
        </w:rPr>
        <w:noBreakHyphen/>
        <w:t>R sobre Derechos de Propiedad Intelectual se describe en la Política Común de Patentes UIT</w:t>
      </w:r>
      <w:r w:rsidRPr="00D54E02">
        <w:rPr>
          <w:sz w:val="20"/>
          <w:lang w:val="es-ES_tradnl"/>
        </w:rPr>
        <w:noBreakHyphen/>
        <w:t>T/UIT</w:t>
      </w:r>
      <w:r w:rsidRPr="00D54E02">
        <w:rPr>
          <w:sz w:val="20"/>
          <w:lang w:val="es-ES_tradnl"/>
        </w:rPr>
        <w:noBreakHyphen/>
        <w:t>R/ISO/CEI a la que se hace referencia en la Resolución UIT</w:t>
      </w:r>
      <w:r w:rsidRPr="00D54E02">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D54E02">
          <w:rPr>
            <w:rStyle w:val="Hyperlink"/>
            <w:sz w:val="20"/>
            <w:lang w:val="es-ES_tradnl"/>
          </w:rPr>
          <w:t>http://www.itu.int/ITU-R/go/patents/es</w:t>
        </w:r>
      </w:hyperlink>
      <w:r w:rsidRPr="00D54E02">
        <w:rPr>
          <w:sz w:val="20"/>
          <w:lang w:val="es-ES_tradnl"/>
        </w:rPr>
        <w:t>, donde también aparecen las Directrices para la implementación de la Política Común de Patentes UIT</w:t>
      </w:r>
      <w:r w:rsidRPr="00D54E02">
        <w:rPr>
          <w:sz w:val="20"/>
          <w:lang w:val="es-ES_tradnl"/>
        </w:rPr>
        <w:noBreakHyphen/>
        <w:t>T/UIT</w:t>
      </w:r>
      <w:r w:rsidRPr="00D54E02">
        <w:rPr>
          <w:sz w:val="20"/>
          <w:lang w:val="es-ES_tradnl"/>
        </w:rPr>
        <w:noBreakHyphen/>
        <w:t>R/ISO/CEI y la base de datos sobre información de patentes del UIT</w:t>
      </w:r>
      <w:r w:rsidRPr="00D54E02">
        <w:rPr>
          <w:sz w:val="20"/>
          <w:lang w:val="es-ES_tradnl"/>
        </w:rPr>
        <w:noBreakHyphen/>
        <w:t>R sobre este asunto.</w:t>
      </w:r>
    </w:p>
    <w:p w14:paraId="6D039B28" w14:textId="77777777" w:rsidR="00D56E53" w:rsidRPr="00D54E02" w:rsidRDefault="00D56E53" w:rsidP="00D56E53">
      <w:pPr>
        <w:spacing w:before="0"/>
        <w:jc w:val="center"/>
        <w:rPr>
          <w:sz w:val="22"/>
          <w:lang w:val="es-ES_tradnl"/>
        </w:rPr>
      </w:pPr>
    </w:p>
    <w:p w14:paraId="3E643A41" w14:textId="77777777" w:rsidR="00D56E53" w:rsidRPr="00D54E02" w:rsidRDefault="00D56E53" w:rsidP="00D56E5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56E53" w:rsidRPr="00D57534" w14:paraId="61969571" w14:textId="77777777" w:rsidTr="00EB6F1F">
        <w:tc>
          <w:tcPr>
            <w:tcW w:w="9360" w:type="dxa"/>
            <w:gridSpan w:val="2"/>
          </w:tcPr>
          <w:p w14:paraId="261B98AC" w14:textId="77777777" w:rsidR="00D56E53" w:rsidRPr="00D54E02" w:rsidRDefault="00D56E53" w:rsidP="00EB6F1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D54E02">
              <w:rPr>
                <w:sz w:val="22"/>
                <w:szCs w:val="22"/>
                <w:lang w:val="es-ES_tradnl"/>
              </w:rPr>
              <w:t xml:space="preserve">Series de las Recomendaciones UIT-R </w:t>
            </w:r>
          </w:p>
          <w:p w14:paraId="0BBCB5C9" w14:textId="77777777" w:rsidR="00D56E53" w:rsidRPr="00D54E02" w:rsidRDefault="00D56E53" w:rsidP="00EB6F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D54E02">
              <w:rPr>
                <w:b w:val="0"/>
                <w:sz w:val="18"/>
                <w:szCs w:val="18"/>
                <w:lang w:val="es-ES_tradnl"/>
              </w:rPr>
              <w:t xml:space="preserve">(También disponible en línea en </w:t>
            </w:r>
            <w:hyperlink r:id="rId10" w:history="1">
              <w:r w:rsidRPr="00D54E02">
                <w:rPr>
                  <w:rStyle w:val="Hyperlink"/>
                  <w:b w:val="0"/>
                  <w:bCs/>
                  <w:sz w:val="18"/>
                  <w:szCs w:val="18"/>
                  <w:lang w:val="es-ES_tradnl"/>
                </w:rPr>
                <w:t>http://www.itu.int/publ/R-REC/es</w:t>
              </w:r>
            </w:hyperlink>
            <w:r w:rsidRPr="00D54E02">
              <w:rPr>
                <w:b w:val="0"/>
                <w:bCs/>
                <w:sz w:val="18"/>
                <w:szCs w:val="18"/>
                <w:lang w:val="es-ES_tradnl"/>
              </w:rPr>
              <w:t>)</w:t>
            </w:r>
          </w:p>
        </w:tc>
      </w:tr>
      <w:tr w:rsidR="00D56E53" w:rsidRPr="00D54E02" w14:paraId="3CC67A5A" w14:textId="77777777" w:rsidTr="00EB6F1F">
        <w:tc>
          <w:tcPr>
            <w:tcW w:w="1140" w:type="dxa"/>
            <w:tcBorders>
              <w:bottom w:val="nil"/>
            </w:tcBorders>
          </w:tcPr>
          <w:p w14:paraId="68EFFD72" w14:textId="77777777" w:rsidR="00D56E53" w:rsidRPr="00D54E02" w:rsidRDefault="00D56E53" w:rsidP="00EB6F1F">
            <w:pPr>
              <w:spacing w:before="180" w:after="100"/>
              <w:ind w:left="57"/>
              <w:rPr>
                <w:b/>
                <w:bCs/>
                <w:sz w:val="20"/>
                <w:lang w:val="es-ES_tradnl"/>
              </w:rPr>
            </w:pPr>
            <w:r w:rsidRPr="00D54E02">
              <w:rPr>
                <w:b/>
                <w:bCs/>
                <w:sz w:val="20"/>
                <w:lang w:val="es-ES_tradnl"/>
              </w:rPr>
              <w:t>Series</w:t>
            </w:r>
          </w:p>
        </w:tc>
        <w:tc>
          <w:tcPr>
            <w:tcW w:w="8220" w:type="dxa"/>
            <w:tcBorders>
              <w:bottom w:val="nil"/>
            </w:tcBorders>
          </w:tcPr>
          <w:p w14:paraId="59DADFBF" w14:textId="77777777" w:rsidR="00D56E53" w:rsidRPr="00D54E02" w:rsidRDefault="00D56E53" w:rsidP="00EB6F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D54E02">
              <w:rPr>
                <w:bCs/>
                <w:sz w:val="20"/>
                <w:lang w:val="es-ES_tradnl"/>
              </w:rPr>
              <w:t>Título</w:t>
            </w:r>
          </w:p>
        </w:tc>
      </w:tr>
      <w:tr w:rsidR="00D56E53" w:rsidRPr="00D54E02" w14:paraId="607523AA" w14:textId="77777777" w:rsidTr="00EB6F1F">
        <w:tc>
          <w:tcPr>
            <w:tcW w:w="1140" w:type="dxa"/>
            <w:tcBorders>
              <w:top w:val="nil"/>
              <w:bottom w:val="nil"/>
            </w:tcBorders>
            <w:shd w:val="clear" w:color="auto" w:fill="auto"/>
          </w:tcPr>
          <w:p w14:paraId="2550B1FA" w14:textId="77777777" w:rsidR="00D56E53" w:rsidRPr="00D54E02" w:rsidRDefault="00D56E53" w:rsidP="00EB6F1F">
            <w:pPr>
              <w:spacing w:before="30" w:after="30"/>
              <w:ind w:left="57"/>
              <w:jc w:val="left"/>
              <w:rPr>
                <w:b/>
                <w:bCs/>
                <w:sz w:val="20"/>
                <w:lang w:val="es-ES_tradnl"/>
              </w:rPr>
            </w:pPr>
            <w:r w:rsidRPr="00D54E02">
              <w:rPr>
                <w:b/>
                <w:bCs/>
                <w:sz w:val="20"/>
                <w:lang w:val="es-ES_tradnl"/>
              </w:rPr>
              <w:t>BO</w:t>
            </w:r>
          </w:p>
        </w:tc>
        <w:tc>
          <w:tcPr>
            <w:tcW w:w="8220" w:type="dxa"/>
            <w:tcBorders>
              <w:top w:val="nil"/>
              <w:bottom w:val="nil"/>
            </w:tcBorders>
            <w:shd w:val="clear" w:color="auto" w:fill="auto"/>
          </w:tcPr>
          <w:p w14:paraId="23C89126" w14:textId="77777777" w:rsidR="00D56E53" w:rsidRPr="00D54E02" w:rsidRDefault="00D56E53" w:rsidP="00EB6F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54E02">
              <w:rPr>
                <w:b w:val="0"/>
                <w:sz w:val="20"/>
                <w:lang w:val="es-ES_tradnl"/>
              </w:rPr>
              <w:t>Distribución por satélite</w:t>
            </w:r>
          </w:p>
        </w:tc>
      </w:tr>
      <w:tr w:rsidR="00D56E53" w:rsidRPr="00D57534" w14:paraId="1D3F860D" w14:textId="77777777" w:rsidTr="00EB6F1F">
        <w:tc>
          <w:tcPr>
            <w:tcW w:w="1140" w:type="dxa"/>
            <w:tcBorders>
              <w:top w:val="nil"/>
              <w:bottom w:val="nil"/>
            </w:tcBorders>
            <w:shd w:val="clear" w:color="auto" w:fill="auto"/>
          </w:tcPr>
          <w:p w14:paraId="08E607D4" w14:textId="77777777" w:rsidR="00D56E53" w:rsidRPr="00D54E02" w:rsidRDefault="00D56E53" w:rsidP="00EB6F1F">
            <w:pPr>
              <w:spacing w:before="30" w:after="30"/>
              <w:ind w:left="57"/>
              <w:jc w:val="left"/>
              <w:rPr>
                <w:b/>
                <w:bCs/>
                <w:sz w:val="20"/>
                <w:lang w:val="es-ES_tradnl"/>
              </w:rPr>
            </w:pPr>
            <w:r w:rsidRPr="00D54E02">
              <w:rPr>
                <w:b/>
                <w:bCs/>
                <w:sz w:val="20"/>
                <w:lang w:val="es-ES_tradnl"/>
              </w:rPr>
              <w:t>BR</w:t>
            </w:r>
          </w:p>
        </w:tc>
        <w:tc>
          <w:tcPr>
            <w:tcW w:w="8220" w:type="dxa"/>
            <w:tcBorders>
              <w:top w:val="nil"/>
              <w:bottom w:val="nil"/>
            </w:tcBorders>
            <w:shd w:val="clear" w:color="auto" w:fill="auto"/>
          </w:tcPr>
          <w:p w14:paraId="7BC70609" w14:textId="77777777" w:rsidR="00D56E53" w:rsidRPr="00D54E02" w:rsidRDefault="00D56E53" w:rsidP="00EB6F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54E02">
              <w:rPr>
                <w:b w:val="0"/>
                <w:sz w:val="20"/>
                <w:lang w:val="es-ES_tradnl"/>
              </w:rPr>
              <w:t>Registro para producción, archivo y reproducción; películas en televisión</w:t>
            </w:r>
          </w:p>
        </w:tc>
      </w:tr>
      <w:tr w:rsidR="00D56E53" w:rsidRPr="00D54E02" w14:paraId="2052751D" w14:textId="77777777" w:rsidTr="00EB6F1F">
        <w:tc>
          <w:tcPr>
            <w:tcW w:w="1140" w:type="dxa"/>
            <w:tcBorders>
              <w:top w:val="nil"/>
              <w:bottom w:val="nil"/>
            </w:tcBorders>
            <w:shd w:val="clear" w:color="auto" w:fill="auto"/>
          </w:tcPr>
          <w:p w14:paraId="29066116" w14:textId="77777777" w:rsidR="00D56E53" w:rsidRPr="00D54E02" w:rsidRDefault="00D56E53" w:rsidP="00EB6F1F">
            <w:pPr>
              <w:spacing w:before="30" w:after="30"/>
              <w:ind w:left="57"/>
              <w:jc w:val="left"/>
              <w:rPr>
                <w:b/>
                <w:bCs/>
                <w:sz w:val="20"/>
                <w:lang w:val="es-ES_tradnl"/>
              </w:rPr>
            </w:pPr>
            <w:r w:rsidRPr="00D54E02">
              <w:rPr>
                <w:b/>
                <w:bCs/>
                <w:sz w:val="20"/>
                <w:lang w:val="es-ES_tradnl"/>
              </w:rPr>
              <w:t>BS</w:t>
            </w:r>
          </w:p>
        </w:tc>
        <w:tc>
          <w:tcPr>
            <w:tcW w:w="8220" w:type="dxa"/>
            <w:tcBorders>
              <w:top w:val="nil"/>
              <w:bottom w:val="nil"/>
            </w:tcBorders>
            <w:shd w:val="clear" w:color="auto" w:fill="auto"/>
          </w:tcPr>
          <w:p w14:paraId="74C763F4" w14:textId="77777777" w:rsidR="00D56E53" w:rsidRPr="00D54E02" w:rsidRDefault="00D56E53" w:rsidP="00EB6F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D54E02">
              <w:rPr>
                <w:b w:val="0"/>
                <w:bCs/>
                <w:sz w:val="20"/>
                <w:lang w:val="es-ES_tradnl"/>
              </w:rPr>
              <w:t>Servicio de radiodifusión (sonora)</w:t>
            </w:r>
          </w:p>
        </w:tc>
      </w:tr>
      <w:tr w:rsidR="00D56E53" w:rsidRPr="00D54E02" w14:paraId="3EB2BA05" w14:textId="77777777" w:rsidTr="00EB6F1F">
        <w:tc>
          <w:tcPr>
            <w:tcW w:w="1140" w:type="dxa"/>
            <w:tcBorders>
              <w:top w:val="nil"/>
              <w:bottom w:val="nil"/>
            </w:tcBorders>
            <w:shd w:val="clear" w:color="auto" w:fill="auto"/>
          </w:tcPr>
          <w:p w14:paraId="16639B8D" w14:textId="77777777" w:rsidR="00D56E53" w:rsidRPr="00D54E02" w:rsidRDefault="00D56E53" w:rsidP="00EB6F1F">
            <w:pPr>
              <w:spacing w:before="30" w:after="30"/>
              <w:ind w:left="57"/>
              <w:jc w:val="left"/>
              <w:rPr>
                <w:b/>
                <w:bCs/>
                <w:sz w:val="20"/>
                <w:lang w:val="es-ES_tradnl"/>
              </w:rPr>
            </w:pPr>
            <w:r w:rsidRPr="00D54E02">
              <w:rPr>
                <w:b/>
                <w:bCs/>
                <w:sz w:val="20"/>
                <w:lang w:val="es-ES_tradnl"/>
              </w:rPr>
              <w:t>BT</w:t>
            </w:r>
          </w:p>
        </w:tc>
        <w:tc>
          <w:tcPr>
            <w:tcW w:w="8220" w:type="dxa"/>
            <w:tcBorders>
              <w:top w:val="nil"/>
              <w:bottom w:val="nil"/>
            </w:tcBorders>
            <w:shd w:val="clear" w:color="auto" w:fill="auto"/>
          </w:tcPr>
          <w:p w14:paraId="065324AD" w14:textId="77777777" w:rsidR="00D56E53" w:rsidRPr="00D54E02" w:rsidRDefault="00D56E53" w:rsidP="00EB6F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D54E02">
              <w:rPr>
                <w:b w:val="0"/>
                <w:bCs/>
                <w:sz w:val="20"/>
                <w:lang w:val="es-ES_tradnl"/>
              </w:rPr>
              <w:t>Servicio de radiodifusión (televisión)</w:t>
            </w:r>
          </w:p>
        </w:tc>
      </w:tr>
      <w:tr w:rsidR="00D56E53" w:rsidRPr="00D54E02" w14:paraId="2B9C68A2" w14:textId="77777777" w:rsidTr="00EB6F1F">
        <w:tc>
          <w:tcPr>
            <w:tcW w:w="1140" w:type="dxa"/>
            <w:tcBorders>
              <w:top w:val="nil"/>
              <w:bottom w:val="nil"/>
            </w:tcBorders>
            <w:shd w:val="clear" w:color="auto" w:fill="auto"/>
          </w:tcPr>
          <w:p w14:paraId="69971BFE" w14:textId="77777777" w:rsidR="00D56E53" w:rsidRPr="00D54E02" w:rsidRDefault="00D56E53" w:rsidP="00EB6F1F">
            <w:pPr>
              <w:spacing w:before="30" w:after="30"/>
              <w:ind w:left="57"/>
              <w:jc w:val="left"/>
              <w:rPr>
                <w:b/>
                <w:bCs/>
                <w:sz w:val="20"/>
                <w:lang w:val="es-ES_tradnl"/>
              </w:rPr>
            </w:pPr>
            <w:r w:rsidRPr="00D54E02">
              <w:rPr>
                <w:b/>
                <w:bCs/>
                <w:sz w:val="20"/>
                <w:lang w:val="es-ES_tradnl"/>
              </w:rPr>
              <w:t>F</w:t>
            </w:r>
          </w:p>
        </w:tc>
        <w:tc>
          <w:tcPr>
            <w:tcW w:w="8220" w:type="dxa"/>
            <w:tcBorders>
              <w:top w:val="nil"/>
              <w:bottom w:val="nil"/>
            </w:tcBorders>
            <w:shd w:val="clear" w:color="auto" w:fill="auto"/>
          </w:tcPr>
          <w:p w14:paraId="6519D8BB" w14:textId="77777777" w:rsidR="00D56E53" w:rsidRPr="00D54E02" w:rsidRDefault="00D56E53" w:rsidP="00EB6F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54E02">
              <w:rPr>
                <w:sz w:val="20"/>
                <w:lang w:val="es-ES_tradnl"/>
              </w:rPr>
              <w:t>Servicio fijo</w:t>
            </w:r>
          </w:p>
        </w:tc>
      </w:tr>
      <w:tr w:rsidR="00D56E53" w:rsidRPr="00D57534" w14:paraId="5B122017" w14:textId="77777777" w:rsidTr="00EB6F1F">
        <w:tc>
          <w:tcPr>
            <w:tcW w:w="1140" w:type="dxa"/>
            <w:tcBorders>
              <w:top w:val="nil"/>
              <w:bottom w:val="nil"/>
            </w:tcBorders>
            <w:shd w:val="clear" w:color="auto" w:fill="auto"/>
          </w:tcPr>
          <w:p w14:paraId="2A66DB81" w14:textId="77777777" w:rsidR="00D56E53" w:rsidRPr="00D54E02" w:rsidRDefault="00D56E53" w:rsidP="00EB6F1F">
            <w:pPr>
              <w:spacing w:before="30" w:after="30"/>
              <w:ind w:left="57"/>
              <w:jc w:val="left"/>
              <w:rPr>
                <w:rFonts w:hAnsi="Times New Roman Bold"/>
                <w:b/>
                <w:bCs/>
                <w:sz w:val="20"/>
                <w:lang w:val="es-ES_tradnl"/>
              </w:rPr>
            </w:pPr>
            <w:r w:rsidRPr="00D54E02">
              <w:rPr>
                <w:rFonts w:hAnsi="Times New Roman Bold"/>
                <w:b/>
                <w:bCs/>
                <w:sz w:val="20"/>
                <w:lang w:val="es-ES_tradnl"/>
              </w:rPr>
              <w:t>M</w:t>
            </w:r>
          </w:p>
        </w:tc>
        <w:tc>
          <w:tcPr>
            <w:tcW w:w="8220" w:type="dxa"/>
            <w:tcBorders>
              <w:top w:val="nil"/>
              <w:bottom w:val="nil"/>
            </w:tcBorders>
            <w:shd w:val="clear" w:color="auto" w:fill="auto"/>
          </w:tcPr>
          <w:p w14:paraId="46FFB6BC" w14:textId="77777777" w:rsidR="00D56E53" w:rsidRPr="00D54E02" w:rsidRDefault="00D56E53" w:rsidP="00EB6F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D54E02">
              <w:rPr>
                <w:rFonts w:hAnsi="Times New Roman Bold"/>
                <w:b w:val="0"/>
                <w:sz w:val="20"/>
                <w:lang w:val="es-ES_tradnl"/>
              </w:rPr>
              <w:t>Servicios m</w:t>
            </w:r>
            <w:r w:rsidRPr="00D54E02">
              <w:rPr>
                <w:rFonts w:hAnsi="Times New Roman Bold"/>
                <w:b w:val="0"/>
                <w:sz w:val="20"/>
                <w:lang w:val="es-ES_tradnl"/>
              </w:rPr>
              <w:t>ó</w:t>
            </w:r>
            <w:r w:rsidRPr="00D54E02">
              <w:rPr>
                <w:rFonts w:hAnsi="Times New Roman Bold"/>
                <w:b w:val="0"/>
                <w:sz w:val="20"/>
                <w:lang w:val="es-ES_tradnl"/>
              </w:rPr>
              <w:t>viles, de radiodeterminaci</w:t>
            </w:r>
            <w:r w:rsidRPr="00D54E02">
              <w:rPr>
                <w:rFonts w:hAnsi="Times New Roman Bold"/>
                <w:b w:val="0"/>
                <w:sz w:val="20"/>
                <w:lang w:val="es-ES_tradnl"/>
              </w:rPr>
              <w:t>ó</w:t>
            </w:r>
            <w:r w:rsidRPr="00D54E02">
              <w:rPr>
                <w:rFonts w:hAnsi="Times New Roman Bold"/>
                <w:b w:val="0"/>
                <w:sz w:val="20"/>
                <w:lang w:val="es-ES_tradnl"/>
              </w:rPr>
              <w:t>n, de aficionados y otros servicios por sat</w:t>
            </w:r>
            <w:r w:rsidRPr="00D54E02">
              <w:rPr>
                <w:rFonts w:hAnsi="Times New Roman Bold"/>
                <w:b w:val="0"/>
                <w:sz w:val="20"/>
                <w:lang w:val="es-ES_tradnl"/>
              </w:rPr>
              <w:t>é</w:t>
            </w:r>
            <w:r w:rsidRPr="00D54E02">
              <w:rPr>
                <w:rFonts w:hAnsi="Times New Roman Bold"/>
                <w:b w:val="0"/>
                <w:sz w:val="20"/>
                <w:lang w:val="es-ES_tradnl"/>
              </w:rPr>
              <w:t>lite conexos</w:t>
            </w:r>
          </w:p>
        </w:tc>
      </w:tr>
      <w:tr w:rsidR="00D56E53" w:rsidRPr="00D57534" w14:paraId="04835D57" w14:textId="77777777" w:rsidTr="00EB6F1F">
        <w:tc>
          <w:tcPr>
            <w:tcW w:w="1140" w:type="dxa"/>
            <w:tcBorders>
              <w:top w:val="nil"/>
              <w:bottom w:val="nil"/>
            </w:tcBorders>
            <w:shd w:val="clear" w:color="auto" w:fill="auto"/>
          </w:tcPr>
          <w:p w14:paraId="6165EB5E" w14:textId="77777777" w:rsidR="00D56E53" w:rsidRPr="00D54E02" w:rsidRDefault="00D56E53" w:rsidP="00EB6F1F">
            <w:pPr>
              <w:spacing w:before="30" w:after="30"/>
              <w:ind w:left="57"/>
              <w:jc w:val="left"/>
              <w:rPr>
                <w:b/>
                <w:bCs/>
                <w:sz w:val="20"/>
                <w:lang w:val="es-ES_tradnl"/>
              </w:rPr>
            </w:pPr>
            <w:r w:rsidRPr="00D54E02">
              <w:rPr>
                <w:b/>
                <w:bCs/>
                <w:sz w:val="20"/>
                <w:lang w:val="es-ES_tradnl"/>
              </w:rPr>
              <w:t>P</w:t>
            </w:r>
          </w:p>
        </w:tc>
        <w:tc>
          <w:tcPr>
            <w:tcW w:w="8220" w:type="dxa"/>
            <w:tcBorders>
              <w:top w:val="nil"/>
              <w:bottom w:val="nil"/>
            </w:tcBorders>
            <w:shd w:val="clear" w:color="auto" w:fill="auto"/>
          </w:tcPr>
          <w:p w14:paraId="1E036D43" w14:textId="77777777" w:rsidR="00D56E53" w:rsidRPr="00D54E02" w:rsidRDefault="00D56E53" w:rsidP="00EB6F1F">
            <w:pPr>
              <w:spacing w:before="30" w:after="30"/>
              <w:jc w:val="left"/>
              <w:rPr>
                <w:sz w:val="20"/>
                <w:lang w:val="es-ES_tradnl"/>
              </w:rPr>
            </w:pPr>
            <w:r w:rsidRPr="00D54E02">
              <w:rPr>
                <w:sz w:val="20"/>
                <w:lang w:val="es-ES_tradnl"/>
              </w:rPr>
              <w:t>Propagación de las ondas radioeléctricas</w:t>
            </w:r>
          </w:p>
        </w:tc>
      </w:tr>
      <w:tr w:rsidR="00D56E53" w:rsidRPr="00D54E02" w14:paraId="01C37754" w14:textId="77777777" w:rsidTr="00EB6F1F">
        <w:tc>
          <w:tcPr>
            <w:tcW w:w="1140" w:type="dxa"/>
            <w:tcBorders>
              <w:top w:val="nil"/>
              <w:bottom w:val="nil"/>
            </w:tcBorders>
            <w:shd w:val="clear" w:color="auto" w:fill="auto"/>
          </w:tcPr>
          <w:p w14:paraId="3EA07659" w14:textId="77777777" w:rsidR="00D56E53" w:rsidRPr="00D54E02" w:rsidRDefault="00D56E53" w:rsidP="00EB6F1F">
            <w:pPr>
              <w:spacing w:before="30" w:after="30"/>
              <w:ind w:left="57"/>
              <w:jc w:val="left"/>
              <w:rPr>
                <w:b/>
                <w:bCs/>
                <w:sz w:val="20"/>
                <w:lang w:val="es-ES_tradnl"/>
              </w:rPr>
            </w:pPr>
            <w:r w:rsidRPr="00D54E02">
              <w:rPr>
                <w:b/>
                <w:bCs/>
                <w:sz w:val="20"/>
                <w:lang w:val="es-ES_tradnl"/>
              </w:rPr>
              <w:t>RA</w:t>
            </w:r>
          </w:p>
        </w:tc>
        <w:tc>
          <w:tcPr>
            <w:tcW w:w="8220" w:type="dxa"/>
            <w:tcBorders>
              <w:top w:val="nil"/>
              <w:bottom w:val="nil"/>
            </w:tcBorders>
            <w:shd w:val="clear" w:color="auto" w:fill="auto"/>
          </w:tcPr>
          <w:p w14:paraId="2CE90076" w14:textId="77777777" w:rsidR="00D56E53" w:rsidRPr="00D54E02" w:rsidRDefault="00D56E53" w:rsidP="00EB6F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54E02">
              <w:rPr>
                <w:sz w:val="20"/>
                <w:lang w:val="es-ES_tradnl"/>
              </w:rPr>
              <w:t>Radioastronomía</w:t>
            </w:r>
          </w:p>
        </w:tc>
      </w:tr>
      <w:tr w:rsidR="00D56E53" w:rsidRPr="00D57534" w14:paraId="4DD2B719" w14:textId="77777777" w:rsidTr="00EB6F1F">
        <w:tc>
          <w:tcPr>
            <w:tcW w:w="1140" w:type="dxa"/>
            <w:tcBorders>
              <w:top w:val="nil"/>
              <w:bottom w:val="nil"/>
            </w:tcBorders>
            <w:shd w:val="clear" w:color="auto" w:fill="auto"/>
          </w:tcPr>
          <w:p w14:paraId="42C5776E" w14:textId="77777777" w:rsidR="00D56E53" w:rsidRPr="00D54E02" w:rsidRDefault="00D56E53" w:rsidP="00EB6F1F">
            <w:pPr>
              <w:spacing w:before="30" w:after="30"/>
              <w:ind w:left="57"/>
              <w:jc w:val="left"/>
              <w:rPr>
                <w:b/>
                <w:bCs/>
                <w:sz w:val="20"/>
                <w:lang w:val="es-ES_tradnl"/>
              </w:rPr>
            </w:pPr>
            <w:r w:rsidRPr="00D54E02">
              <w:rPr>
                <w:b/>
                <w:bCs/>
                <w:sz w:val="20"/>
                <w:lang w:val="es-ES_tradnl"/>
              </w:rPr>
              <w:t>RS</w:t>
            </w:r>
          </w:p>
        </w:tc>
        <w:tc>
          <w:tcPr>
            <w:tcW w:w="8220" w:type="dxa"/>
            <w:tcBorders>
              <w:top w:val="nil"/>
              <w:bottom w:val="nil"/>
            </w:tcBorders>
            <w:shd w:val="clear" w:color="auto" w:fill="auto"/>
          </w:tcPr>
          <w:p w14:paraId="2C838D5B" w14:textId="77777777" w:rsidR="00D56E53" w:rsidRPr="00D54E02" w:rsidRDefault="00D56E53" w:rsidP="00EB6F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54E02">
              <w:rPr>
                <w:sz w:val="20"/>
                <w:lang w:val="es-ES_tradnl"/>
              </w:rPr>
              <w:t>Sistemas de detección a distancia</w:t>
            </w:r>
          </w:p>
        </w:tc>
      </w:tr>
      <w:tr w:rsidR="00D56E53" w:rsidRPr="00D54E02" w14:paraId="62BD7C56" w14:textId="77777777" w:rsidTr="00EB6F1F">
        <w:tc>
          <w:tcPr>
            <w:tcW w:w="1140" w:type="dxa"/>
            <w:tcBorders>
              <w:top w:val="nil"/>
              <w:bottom w:val="nil"/>
            </w:tcBorders>
            <w:shd w:val="clear" w:color="auto" w:fill="auto"/>
          </w:tcPr>
          <w:p w14:paraId="27C70829" w14:textId="77777777" w:rsidR="00D56E53" w:rsidRPr="00D54E02" w:rsidRDefault="00D56E53" w:rsidP="00EB6F1F">
            <w:pPr>
              <w:spacing w:before="30" w:after="30"/>
              <w:ind w:left="57"/>
              <w:jc w:val="left"/>
              <w:rPr>
                <w:b/>
                <w:bCs/>
                <w:sz w:val="20"/>
                <w:lang w:val="es-ES_tradnl"/>
              </w:rPr>
            </w:pPr>
            <w:r w:rsidRPr="00D54E02">
              <w:rPr>
                <w:b/>
                <w:bCs/>
                <w:sz w:val="20"/>
                <w:lang w:val="es-ES_tradnl"/>
              </w:rPr>
              <w:t>S</w:t>
            </w:r>
          </w:p>
        </w:tc>
        <w:tc>
          <w:tcPr>
            <w:tcW w:w="8220" w:type="dxa"/>
            <w:tcBorders>
              <w:top w:val="nil"/>
              <w:bottom w:val="nil"/>
            </w:tcBorders>
            <w:shd w:val="clear" w:color="auto" w:fill="auto"/>
          </w:tcPr>
          <w:p w14:paraId="1990CAB7" w14:textId="77777777" w:rsidR="00D56E53" w:rsidRPr="00D54E02" w:rsidRDefault="00D56E53" w:rsidP="00EB6F1F">
            <w:pPr>
              <w:spacing w:before="30" w:after="30"/>
              <w:jc w:val="left"/>
              <w:rPr>
                <w:sz w:val="20"/>
                <w:lang w:val="es-ES_tradnl"/>
              </w:rPr>
            </w:pPr>
            <w:r w:rsidRPr="00D54E02">
              <w:rPr>
                <w:sz w:val="20"/>
                <w:lang w:val="es-ES_tradnl"/>
              </w:rPr>
              <w:t>Servicio fijo por satélite</w:t>
            </w:r>
          </w:p>
        </w:tc>
      </w:tr>
      <w:tr w:rsidR="00D56E53" w:rsidRPr="00D54E02" w14:paraId="72FBAE2D" w14:textId="77777777" w:rsidTr="00EB6F1F">
        <w:tc>
          <w:tcPr>
            <w:tcW w:w="1140" w:type="dxa"/>
            <w:tcBorders>
              <w:top w:val="nil"/>
              <w:bottom w:val="nil"/>
            </w:tcBorders>
            <w:shd w:val="clear" w:color="auto" w:fill="auto"/>
          </w:tcPr>
          <w:p w14:paraId="1A57CF61" w14:textId="77777777" w:rsidR="00D56E53" w:rsidRPr="00D54E02" w:rsidRDefault="00D56E53" w:rsidP="00EB6F1F">
            <w:pPr>
              <w:spacing w:before="30" w:after="30"/>
              <w:ind w:left="57"/>
              <w:jc w:val="left"/>
              <w:rPr>
                <w:b/>
                <w:bCs/>
                <w:sz w:val="20"/>
                <w:lang w:val="es-ES_tradnl"/>
              </w:rPr>
            </w:pPr>
            <w:r w:rsidRPr="00D54E02">
              <w:rPr>
                <w:b/>
                <w:bCs/>
                <w:sz w:val="20"/>
                <w:lang w:val="es-ES_tradnl"/>
              </w:rPr>
              <w:t>SA</w:t>
            </w:r>
          </w:p>
        </w:tc>
        <w:tc>
          <w:tcPr>
            <w:tcW w:w="8220" w:type="dxa"/>
            <w:tcBorders>
              <w:top w:val="nil"/>
              <w:bottom w:val="nil"/>
            </w:tcBorders>
            <w:shd w:val="clear" w:color="auto" w:fill="auto"/>
          </w:tcPr>
          <w:p w14:paraId="35BB7170" w14:textId="77777777" w:rsidR="00D56E53" w:rsidRPr="00D54E02" w:rsidRDefault="00D56E53" w:rsidP="00EB6F1F">
            <w:pPr>
              <w:spacing w:before="30" w:after="30"/>
              <w:jc w:val="left"/>
              <w:rPr>
                <w:sz w:val="20"/>
                <w:lang w:val="es-ES_tradnl"/>
              </w:rPr>
            </w:pPr>
            <w:r w:rsidRPr="00D54E02">
              <w:rPr>
                <w:sz w:val="20"/>
                <w:lang w:val="es-ES_tradnl"/>
              </w:rPr>
              <w:t>Aplicaciones espaciales y meteorología</w:t>
            </w:r>
          </w:p>
        </w:tc>
      </w:tr>
      <w:tr w:rsidR="00D56E53" w:rsidRPr="00D57534" w14:paraId="7B207D95" w14:textId="77777777" w:rsidTr="00EB6F1F">
        <w:tc>
          <w:tcPr>
            <w:tcW w:w="1140" w:type="dxa"/>
            <w:tcBorders>
              <w:top w:val="nil"/>
              <w:bottom w:val="nil"/>
            </w:tcBorders>
            <w:shd w:val="clear" w:color="auto" w:fill="auto"/>
          </w:tcPr>
          <w:p w14:paraId="3C55E20B" w14:textId="77777777" w:rsidR="00D56E53" w:rsidRPr="00D54E02" w:rsidRDefault="00D56E53" w:rsidP="00EB6F1F">
            <w:pPr>
              <w:spacing w:before="30" w:after="30"/>
              <w:ind w:left="57"/>
              <w:jc w:val="left"/>
              <w:rPr>
                <w:b/>
                <w:bCs/>
                <w:sz w:val="20"/>
                <w:lang w:val="es-ES_tradnl"/>
              </w:rPr>
            </w:pPr>
            <w:r w:rsidRPr="00D54E02">
              <w:rPr>
                <w:b/>
                <w:bCs/>
                <w:sz w:val="20"/>
                <w:lang w:val="es-ES_tradnl"/>
              </w:rPr>
              <w:t>SF</w:t>
            </w:r>
          </w:p>
        </w:tc>
        <w:tc>
          <w:tcPr>
            <w:tcW w:w="8220" w:type="dxa"/>
            <w:tcBorders>
              <w:top w:val="nil"/>
              <w:bottom w:val="nil"/>
            </w:tcBorders>
            <w:shd w:val="clear" w:color="auto" w:fill="auto"/>
          </w:tcPr>
          <w:p w14:paraId="45CD96D7" w14:textId="77777777" w:rsidR="00D56E53" w:rsidRPr="00D54E02" w:rsidRDefault="00D56E53" w:rsidP="00EB6F1F">
            <w:pPr>
              <w:spacing w:before="30" w:after="30"/>
              <w:jc w:val="left"/>
              <w:rPr>
                <w:sz w:val="20"/>
                <w:lang w:val="es-ES_tradnl"/>
              </w:rPr>
            </w:pPr>
            <w:r w:rsidRPr="00D54E02">
              <w:rPr>
                <w:sz w:val="20"/>
                <w:lang w:val="es-ES_tradnl"/>
              </w:rPr>
              <w:t>Compartición de frecuencias y coordinación entre los sistemas del servicio fijo por satélite y del servicio fijo</w:t>
            </w:r>
          </w:p>
        </w:tc>
      </w:tr>
      <w:tr w:rsidR="00D56E53" w:rsidRPr="00D54E02" w14:paraId="02B53986" w14:textId="77777777" w:rsidTr="00EB6F1F">
        <w:tc>
          <w:tcPr>
            <w:tcW w:w="1140" w:type="dxa"/>
            <w:tcBorders>
              <w:top w:val="nil"/>
              <w:bottom w:val="nil"/>
            </w:tcBorders>
            <w:shd w:val="clear" w:color="auto" w:fill="F3F3F3"/>
          </w:tcPr>
          <w:p w14:paraId="287EC846" w14:textId="77777777" w:rsidR="00D56E53" w:rsidRPr="00D54E02" w:rsidRDefault="00D56E53" w:rsidP="00EB6F1F">
            <w:pPr>
              <w:spacing w:before="30" w:after="30"/>
              <w:ind w:left="57"/>
              <w:jc w:val="left"/>
              <w:rPr>
                <w:b/>
                <w:bCs/>
                <w:color w:val="000080"/>
                <w:sz w:val="20"/>
                <w:lang w:val="es-ES_tradnl"/>
              </w:rPr>
            </w:pPr>
            <w:r w:rsidRPr="00D54E02">
              <w:rPr>
                <w:b/>
                <w:bCs/>
                <w:color w:val="000080"/>
                <w:sz w:val="20"/>
                <w:lang w:val="es-ES_tradnl"/>
              </w:rPr>
              <w:t>SM</w:t>
            </w:r>
          </w:p>
        </w:tc>
        <w:tc>
          <w:tcPr>
            <w:tcW w:w="8220" w:type="dxa"/>
            <w:tcBorders>
              <w:top w:val="nil"/>
              <w:bottom w:val="nil"/>
            </w:tcBorders>
            <w:shd w:val="clear" w:color="auto" w:fill="F3F3F3"/>
          </w:tcPr>
          <w:p w14:paraId="22D5E4BF" w14:textId="77777777" w:rsidR="00D56E53" w:rsidRPr="00D54E02" w:rsidRDefault="00D56E53" w:rsidP="00EB6F1F">
            <w:pPr>
              <w:spacing w:before="30" w:after="30"/>
              <w:jc w:val="left"/>
              <w:rPr>
                <w:b/>
                <w:bCs/>
                <w:color w:val="000080"/>
                <w:sz w:val="20"/>
                <w:lang w:val="es-ES_tradnl"/>
              </w:rPr>
            </w:pPr>
            <w:r w:rsidRPr="00D54E02">
              <w:rPr>
                <w:b/>
                <w:bCs/>
                <w:color w:val="000080"/>
                <w:sz w:val="20"/>
                <w:lang w:val="es-ES_tradnl"/>
              </w:rPr>
              <w:t>Gestión del espectro</w:t>
            </w:r>
          </w:p>
        </w:tc>
      </w:tr>
      <w:tr w:rsidR="00D56E53" w:rsidRPr="00D54E02" w14:paraId="0374BF7D" w14:textId="77777777" w:rsidTr="00EB6F1F">
        <w:tc>
          <w:tcPr>
            <w:tcW w:w="1140" w:type="dxa"/>
            <w:tcBorders>
              <w:top w:val="nil"/>
            </w:tcBorders>
          </w:tcPr>
          <w:p w14:paraId="7D6C7DC0" w14:textId="77777777" w:rsidR="00D56E53" w:rsidRPr="00D54E02" w:rsidRDefault="00D56E53" w:rsidP="00EB6F1F">
            <w:pPr>
              <w:spacing w:before="30" w:after="30"/>
              <w:ind w:left="57"/>
              <w:jc w:val="left"/>
              <w:rPr>
                <w:b/>
                <w:bCs/>
                <w:sz w:val="20"/>
                <w:lang w:val="es-ES_tradnl"/>
              </w:rPr>
            </w:pPr>
            <w:r w:rsidRPr="00D54E02">
              <w:rPr>
                <w:b/>
                <w:bCs/>
                <w:sz w:val="20"/>
                <w:lang w:val="es-ES_tradnl"/>
              </w:rPr>
              <w:t>SNG</w:t>
            </w:r>
          </w:p>
        </w:tc>
        <w:tc>
          <w:tcPr>
            <w:tcW w:w="8220" w:type="dxa"/>
            <w:tcBorders>
              <w:top w:val="nil"/>
            </w:tcBorders>
          </w:tcPr>
          <w:p w14:paraId="4621382C" w14:textId="77777777" w:rsidR="00D56E53" w:rsidRPr="00D54E02" w:rsidRDefault="00D56E53" w:rsidP="00EB6F1F">
            <w:pPr>
              <w:spacing w:before="30" w:after="30"/>
              <w:jc w:val="left"/>
              <w:rPr>
                <w:bCs/>
                <w:sz w:val="20"/>
                <w:lang w:val="es-ES_tradnl"/>
              </w:rPr>
            </w:pPr>
            <w:r w:rsidRPr="00D54E02">
              <w:rPr>
                <w:bCs/>
                <w:sz w:val="20"/>
                <w:lang w:val="es-ES_tradnl"/>
              </w:rPr>
              <w:t>Periodismo electrónico por satélite</w:t>
            </w:r>
          </w:p>
        </w:tc>
      </w:tr>
      <w:tr w:rsidR="00D56E53" w:rsidRPr="00D57534" w14:paraId="1AE7C8BE" w14:textId="77777777" w:rsidTr="00EB6F1F">
        <w:tc>
          <w:tcPr>
            <w:tcW w:w="1140" w:type="dxa"/>
          </w:tcPr>
          <w:p w14:paraId="30E2C72C" w14:textId="77777777" w:rsidR="00D56E53" w:rsidRPr="00D54E02" w:rsidRDefault="00D56E53" w:rsidP="00EB6F1F">
            <w:pPr>
              <w:spacing w:before="30" w:after="30"/>
              <w:ind w:left="57"/>
              <w:jc w:val="left"/>
              <w:rPr>
                <w:b/>
                <w:bCs/>
                <w:sz w:val="20"/>
                <w:lang w:val="es-ES_tradnl"/>
              </w:rPr>
            </w:pPr>
            <w:r w:rsidRPr="00D54E02">
              <w:rPr>
                <w:b/>
                <w:bCs/>
                <w:sz w:val="20"/>
                <w:lang w:val="es-ES_tradnl"/>
              </w:rPr>
              <w:t>TF</w:t>
            </w:r>
          </w:p>
        </w:tc>
        <w:tc>
          <w:tcPr>
            <w:tcW w:w="8220" w:type="dxa"/>
          </w:tcPr>
          <w:p w14:paraId="06FFB5A2" w14:textId="77777777" w:rsidR="00D56E53" w:rsidRPr="00D54E02" w:rsidRDefault="00D56E53" w:rsidP="00EB6F1F">
            <w:pPr>
              <w:spacing w:before="30" w:after="30"/>
              <w:jc w:val="left"/>
              <w:rPr>
                <w:bCs/>
                <w:sz w:val="20"/>
                <w:lang w:val="es-ES_tradnl"/>
              </w:rPr>
            </w:pPr>
            <w:r w:rsidRPr="00D54E02">
              <w:rPr>
                <w:bCs/>
                <w:sz w:val="20"/>
                <w:lang w:val="es-ES_tradnl"/>
              </w:rPr>
              <w:t>Emisiones de frecuencias patrón y señales horarias</w:t>
            </w:r>
          </w:p>
        </w:tc>
      </w:tr>
      <w:tr w:rsidR="00D56E53" w:rsidRPr="00D54E02" w14:paraId="0BA5988A" w14:textId="77777777" w:rsidTr="00EB6F1F">
        <w:tc>
          <w:tcPr>
            <w:tcW w:w="1140" w:type="dxa"/>
          </w:tcPr>
          <w:p w14:paraId="490CE00A" w14:textId="77777777" w:rsidR="00D56E53" w:rsidRPr="00D54E02" w:rsidRDefault="00D56E53" w:rsidP="00EB6F1F">
            <w:pPr>
              <w:spacing w:before="30" w:after="30"/>
              <w:ind w:left="57"/>
              <w:jc w:val="left"/>
              <w:rPr>
                <w:b/>
                <w:bCs/>
                <w:sz w:val="20"/>
                <w:lang w:val="es-ES_tradnl"/>
              </w:rPr>
            </w:pPr>
            <w:r w:rsidRPr="00D54E02">
              <w:rPr>
                <w:b/>
                <w:bCs/>
                <w:sz w:val="20"/>
                <w:lang w:val="es-ES_tradnl"/>
              </w:rPr>
              <w:t>V</w:t>
            </w:r>
          </w:p>
        </w:tc>
        <w:tc>
          <w:tcPr>
            <w:tcW w:w="8220" w:type="dxa"/>
          </w:tcPr>
          <w:p w14:paraId="0DFBB042" w14:textId="77777777" w:rsidR="00D56E53" w:rsidRPr="00D54E02" w:rsidRDefault="00D56E53" w:rsidP="00EB6F1F">
            <w:pPr>
              <w:spacing w:before="30" w:after="140"/>
              <w:jc w:val="left"/>
              <w:rPr>
                <w:bCs/>
                <w:sz w:val="20"/>
                <w:lang w:val="es-ES_tradnl"/>
              </w:rPr>
            </w:pPr>
            <w:r w:rsidRPr="00D54E02">
              <w:rPr>
                <w:bCs/>
                <w:sz w:val="20"/>
                <w:lang w:val="es-ES_tradnl"/>
              </w:rPr>
              <w:t>Vocabulario y cuestiones afines</w:t>
            </w:r>
          </w:p>
        </w:tc>
      </w:tr>
    </w:tbl>
    <w:p w14:paraId="6AD9A153" w14:textId="77777777" w:rsidR="00D56E53" w:rsidRPr="00D54E02" w:rsidRDefault="00D56E53" w:rsidP="00D56E53">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D56E53" w:rsidRPr="00D54E02" w14:paraId="66CEEF2B" w14:textId="77777777" w:rsidTr="00EB6F1F">
        <w:tc>
          <w:tcPr>
            <w:tcW w:w="720" w:type="dxa"/>
          </w:tcPr>
          <w:p w14:paraId="3A0EDA06" w14:textId="77777777" w:rsidR="00D56E53" w:rsidRPr="00D54E02" w:rsidRDefault="00D56E53" w:rsidP="00EB6F1F">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56E53" w:rsidRPr="00D57534" w14:paraId="23458BF5" w14:textId="77777777" w:rsidTr="00EB6F1F">
        <w:tc>
          <w:tcPr>
            <w:tcW w:w="9360" w:type="dxa"/>
          </w:tcPr>
          <w:p w14:paraId="2BBA4067" w14:textId="77777777" w:rsidR="00D56E53" w:rsidRPr="00D54E02" w:rsidRDefault="00D56E53" w:rsidP="00EB6F1F">
            <w:pPr>
              <w:spacing w:before="92" w:after="92"/>
              <w:jc w:val="left"/>
              <w:rPr>
                <w:i/>
                <w:iCs/>
                <w:sz w:val="20"/>
                <w:lang w:val="es-ES_tradnl"/>
              </w:rPr>
            </w:pPr>
            <w:r w:rsidRPr="00D54E02">
              <w:rPr>
                <w:b/>
                <w:bCs/>
                <w:i/>
                <w:iCs/>
                <w:sz w:val="20"/>
                <w:lang w:val="es-ES_tradnl"/>
              </w:rPr>
              <w:t>Nota</w:t>
            </w:r>
            <w:r w:rsidRPr="00D54E02">
              <w:rPr>
                <w:i/>
                <w:iCs/>
                <w:sz w:val="20"/>
                <w:lang w:val="es-ES_tradnl"/>
              </w:rPr>
              <w:t xml:space="preserve">: Esta Recomendación UIT-R fue aprobada en inglés conforme al procedimiento detallado en la </w:t>
            </w:r>
            <w:r w:rsidRPr="00D54E02">
              <w:rPr>
                <w:i/>
                <w:iCs/>
                <w:sz w:val="20"/>
                <w:lang w:val="es-ES_tradnl"/>
              </w:rPr>
              <w:br/>
              <w:t>Resolución UIT-R 1.</w:t>
            </w:r>
          </w:p>
        </w:tc>
      </w:tr>
    </w:tbl>
    <w:p w14:paraId="3E16F5FE" w14:textId="77777777" w:rsidR="00D56E53" w:rsidRPr="00D54E02" w:rsidRDefault="00D56E53" w:rsidP="00D56E53">
      <w:pPr>
        <w:spacing w:before="0"/>
        <w:jc w:val="center"/>
        <w:rPr>
          <w:sz w:val="22"/>
          <w:lang w:val="es-ES_tradnl"/>
        </w:rPr>
      </w:pPr>
    </w:p>
    <w:p w14:paraId="11E7EFC3" w14:textId="77777777" w:rsidR="00D56E53" w:rsidRPr="00D54E02" w:rsidRDefault="00D56E53" w:rsidP="00D56E53">
      <w:pPr>
        <w:spacing w:before="60"/>
        <w:jc w:val="right"/>
        <w:rPr>
          <w:i/>
          <w:iCs/>
          <w:sz w:val="20"/>
          <w:lang w:val="es-ES_tradnl"/>
        </w:rPr>
      </w:pPr>
      <w:r w:rsidRPr="00D54E02">
        <w:rPr>
          <w:i/>
          <w:iCs/>
          <w:sz w:val="20"/>
          <w:lang w:val="es-ES_tradnl"/>
        </w:rPr>
        <w:t>Publicación electrónica</w:t>
      </w:r>
    </w:p>
    <w:p w14:paraId="09E5C131" w14:textId="77777777" w:rsidR="00D56E53" w:rsidRPr="00D54E02" w:rsidRDefault="00D56E53" w:rsidP="00D56E53">
      <w:pPr>
        <w:spacing w:before="0" w:after="40"/>
        <w:jc w:val="right"/>
        <w:rPr>
          <w:sz w:val="20"/>
          <w:lang w:val="es-ES_tradnl"/>
        </w:rPr>
      </w:pPr>
      <w:r w:rsidRPr="00D54E02">
        <w:rPr>
          <w:sz w:val="20"/>
          <w:lang w:val="es-ES_tradnl"/>
        </w:rPr>
        <w:t>Ginebra, 2014</w:t>
      </w:r>
    </w:p>
    <w:p w14:paraId="4E3134DD" w14:textId="77777777" w:rsidR="00D56E53" w:rsidRPr="00D54E02" w:rsidRDefault="00D56E53" w:rsidP="00D56E53">
      <w:pPr>
        <w:spacing w:before="0"/>
        <w:jc w:val="center"/>
        <w:rPr>
          <w:sz w:val="22"/>
          <w:lang w:val="es-ES_tradnl"/>
        </w:rPr>
      </w:pPr>
    </w:p>
    <w:p w14:paraId="50C5E7BD" w14:textId="77777777" w:rsidR="00D56E53" w:rsidRPr="00D54E02" w:rsidRDefault="00D56E53" w:rsidP="00D56E53">
      <w:pPr>
        <w:spacing w:before="0"/>
        <w:jc w:val="center"/>
        <w:rPr>
          <w:sz w:val="20"/>
          <w:lang w:val="es-ES_tradnl"/>
        </w:rPr>
      </w:pPr>
      <w:r w:rsidRPr="00D54E02">
        <w:rPr>
          <w:sz w:val="20"/>
          <w:lang w:val="es-ES_tradnl"/>
        </w:rPr>
        <w:sym w:font="Symbol" w:char="F0E3"/>
      </w:r>
      <w:r w:rsidRPr="00D54E02">
        <w:rPr>
          <w:sz w:val="20"/>
          <w:lang w:val="es-ES_tradnl"/>
        </w:rPr>
        <w:t xml:space="preserve"> UIT </w:t>
      </w:r>
      <w:bookmarkStart w:id="2" w:name="iiannee"/>
      <w:bookmarkEnd w:id="2"/>
      <w:r w:rsidRPr="00D54E02">
        <w:rPr>
          <w:sz w:val="20"/>
          <w:lang w:val="es-ES_tradnl"/>
        </w:rPr>
        <w:t>2014</w:t>
      </w:r>
    </w:p>
    <w:p w14:paraId="53581540" w14:textId="77777777" w:rsidR="00D56E53" w:rsidRPr="00D54E02" w:rsidRDefault="00D56E53" w:rsidP="00D56E53">
      <w:pPr>
        <w:spacing w:before="80"/>
        <w:rPr>
          <w:sz w:val="18"/>
          <w:szCs w:val="18"/>
          <w:lang w:val="es-ES_tradnl"/>
        </w:rPr>
      </w:pPr>
      <w:r w:rsidRPr="00D54E02">
        <w:rPr>
          <w:sz w:val="18"/>
          <w:szCs w:val="18"/>
          <w:lang w:val="es-ES_tradnl"/>
        </w:rPr>
        <w:t>Reservados todos los derechos. Ninguna parte de esta publicación puede reproducirse por ningún procedimiento sin previa autorización escrita por parte de la UIT.</w:t>
      </w:r>
    </w:p>
    <w:p w14:paraId="75341F0C" w14:textId="77777777" w:rsidR="00D56E53" w:rsidRPr="00D54E02" w:rsidRDefault="00D56E53" w:rsidP="00D56E53">
      <w:pPr>
        <w:spacing w:before="160"/>
        <w:rPr>
          <w:i/>
          <w:sz w:val="20"/>
          <w:highlight w:val="yellow"/>
          <w:lang w:val="es-ES_tradnl"/>
        </w:rPr>
        <w:sectPr w:rsidR="00D56E53" w:rsidRPr="00D54E02"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6B9817A7" w14:textId="09AC760B" w:rsidR="00D56E53" w:rsidRPr="00D54E02" w:rsidRDefault="00D56E53" w:rsidP="00D56E53">
      <w:pPr>
        <w:pStyle w:val="RecNo"/>
        <w:spacing w:before="0"/>
        <w:rPr>
          <w:lang w:val="es-ES_tradnl"/>
        </w:rPr>
      </w:pPr>
      <w:bookmarkStart w:id="3" w:name="irecnoe"/>
      <w:bookmarkEnd w:id="3"/>
      <w:proofErr w:type="gramStart"/>
      <w:r w:rsidRPr="00D54E02">
        <w:rPr>
          <w:lang w:val="es-ES_tradnl"/>
        </w:rPr>
        <w:t xml:space="preserve">RECOMENDACIÓN  </w:t>
      </w:r>
      <w:r w:rsidRPr="00D54E02">
        <w:rPr>
          <w:rStyle w:val="href"/>
          <w:lang w:val="es-ES_tradnl"/>
        </w:rPr>
        <w:t>UIT</w:t>
      </w:r>
      <w:proofErr w:type="gramEnd"/>
      <w:r w:rsidRPr="00D54E02">
        <w:rPr>
          <w:rStyle w:val="href"/>
          <w:lang w:val="es-ES_tradnl"/>
        </w:rPr>
        <w:t>-R  SM.575-2</w:t>
      </w:r>
      <w:r w:rsidR="00FC59FB" w:rsidRPr="00FC59FB">
        <w:rPr>
          <w:rStyle w:val="FootnoteReference"/>
          <w:b/>
          <w:bCs/>
          <w:lang w:val="es-ES_tradnl"/>
        </w:rPr>
        <w:footnoteReference w:customMarkFollows="1" w:id="1"/>
        <w:t>*</w:t>
      </w:r>
    </w:p>
    <w:p w14:paraId="44D04B18" w14:textId="77777777" w:rsidR="00D56E53" w:rsidRPr="00D54E02" w:rsidRDefault="00D56E53" w:rsidP="00D56E53">
      <w:pPr>
        <w:pStyle w:val="Rectitle"/>
        <w:rPr>
          <w:lang w:val="es-ES_tradnl"/>
        </w:rPr>
      </w:pPr>
      <w:r w:rsidRPr="00D54E02">
        <w:rPr>
          <w:lang w:val="es-ES_tradnl"/>
        </w:rPr>
        <w:t>Protección de las estaciones fijas de comprobación técnica</w:t>
      </w:r>
      <w:r w:rsidRPr="00D54E02">
        <w:rPr>
          <w:lang w:val="es-ES_tradnl"/>
        </w:rPr>
        <w:br/>
        <w:t>contra la interferencia ocasionada por</w:t>
      </w:r>
      <w:r w:rsidRPr="00D54E02">
        <w:rPr>
          <w:lang w:val="es-ES_tradnl"/>
        </w:rPr>
        <w:br/>
        <w:t>transmisores cercanos y potentes</w:t>
      </w:r>
    </w:p>
    <w:p w14:paraId="05DDA114" w14:textId="77777777" w:rsidR="00D56E53" w:rsidRPr="00D54E02" w:rsidRDefault="00D56E53" w:rsidP="00D56E53">
      <w:pPr>
        <w:pStyle w:val="Blanc"/>
        <w:rPr>
          <w:lang w:val="es-ES_tradnl"/>
        </w:rPr>
      </w:pPr>
    </w:p>
    <w:p w14:paraId="22792913" w14:textId="77777777" w:rsidR="00D56E53" w:rsidRPr="00D54E02" w:rsidRDefault="00D56E53" w:rsidP="00D56E53">
      <w:pPr>
        <w:pStyle w:val="Recdate"/>
        <w:rPr>
          <w:lang w:val="es-ES_tradnl"/>
        </w:rPr>
      </w:pPr>
      <w:r w:rsidRPr="00D54E02">
        <w:rPr>
          <w:lang w:val="es-ES_tradnl"/>
        </w:rPr>
        <w:t>(1982-2007-2013)</w:t>
      </w:r>
    </w:p>
    <w:p w14:paraId="1D298935" w14:textId="77777777" w:rsidR="00D56E53" w:rsidRPr="00D54E02" w:rsidRDefault="00D56E53" w:rsidP="00D56E53">
      <w:pPr>
        <w:pStyle w:val="Blanc"/>
        <w:rPr>
          <w:lang w:val="es-ES_tradnl"/>
        </w:rPr>
      </w:pPr>
    </w:p>
    <w:p w14:paraId="5D817EC8" w14:textId="77777777" w:rsidR="00D56E53" w:rsidRDefault="00D56E53" w:rsidP="00D56E53">
      <w:pPr>
        <w:pStyle w:val="HeadingSum"/>
      </w:pPr>
      <w:r w:rsidRPr="00D54E02">
        <w:t>Cometido</w:t>
      </w:r>
    </w:p>
    <w:p w14:paraId="4BE9B844" w14:textId="33659210" w:rsidR="00017BEB" w:rsidRDefault="00017BEB" w:rsidP="00017BEB">
      <w:pPr>
        <w:pStyle w:val="Summary"/>
      </w:pPr>
      <w:r w:rsidRPr="00D54E02">
        <w:t>Esta Recomendación especifica los máximos niveles de intensidad de campo en las estaciones de comprobación técnica para garantizar su funcionamiento sin interferencias.</w:t>
      </w:r>
    </w:p>
    <w:p w14:paraId="367701B2" w14:textId="77777777" w:rsidR="00FC59FB" w:rsidRPr="00FC59FB" w:rsidRDefault="00FC59FB" w:rsidP="00FC59FB">
      <w:pPr>
        <w:pStyle w:val="Headingb"/>
        <w:rPr>
          <w:lang w:val="es-ES_tradnl"/>
        </w:rPr>
      </w:pPr>
      <w:r w:rsidRPr="00FC59FB">
        <w:rPr>
          <w:lang w:val="es-ES_tradnl"/>
        </w:rPr>
        <w:t>Palabras clave</w:t>
      </w:r>
    </w:p>
    <w:p w14:paraId="5AA13B30" w14:textId="0E88E1B5" w:rsidR="00FC59FB" w:rsidRPr="00FC59FB" w:rsidRDefault="00FC59FB" w:rsidP="00FC59FB">
      <w:pPr>
        <w:rPr>
          <w:lang w:val="es-ES_tradnl"/>
        </w:rPr>
      </w:pPr>
      <w:r>
        <w:rPr>
          <w:rFonts w:eastAsia="Calibri"/>
          <w:lang w:val="es-ES_tradnl"/>
        </w:rPr>
        <w:t>N</w:t>
      </w:r>
      <w:r w:rsidRPr="00FC59FB">
        <w:rPr>
          <w:rFonts w:eastAsia="Calibri"/>
          <w:lang w:val="es-ES_tradnl"/>
        </w:rPr>
        <w:t>iveles de intensidad de campo, estaciones de comprobación técnica, zonas de protección</w:t>
      </w:r>
    </w:p>
    <w:p w14:paraId="604EDAF9" w14:textId="77777777" w:rsidR="00D56E53" w:rsidRPr="00D54E02" w:rsidRDefault="00D56E53" w:rsidP="00D56E53">
      <w:pPr>
        <w:pStyle w:val="Normalaftertitle"/>
        <w:rPr>
          <w:lang w:val="es-ES_tradnl"/>
        </w:rPr>
      </w:pPr>
      <w:r w:rsidRPr="00D54E02">
        <w:rPr>
          <w:lang w:val="es-ES_tradnl"/>
        </w:rPr>
        <w:t>La Asamblea de Radiocomunicaciones de la UIT,</w:t>
      </w:r>
    </w:p>
    <w:p w14:paraId="4C336D3B" w14:textId="77777777" w:rsidR="00D56E53" w:rsidRPr="00D54E02" w:rsidRDefault="00D56E53" w:rsidP="00D56E53">
      <w:pPr>
        <w:pStyle w:val="Call"/>
        <w:rPr>
          <w:lang w:val="es-ES_tradnl"/>
        </w:rPr>
      </w:pPr>
      <w:r w:rsidRPr="00D54E02">
        <w:rPr>
          <w:lang w:val="es-ES_tradnl"/>
        </w:rPr>
        <w:t>considerando</w:t>
      </w:r>
    </w:p>
    <w:p w14:paraId="6BF2440D" w14:textId="77777777" w:rsidR="00D56E53" w:rsidRPr="00D54E02" w:rsidRDefault="00D56E53" w:rsidP="00D56E53">
      <w:pPr>
        <w:rPr>
          <w:lang w:val="es-ES_tradnl"/>
        </w:rPr>
      </w:pPr>
      <w:r w:rsidRPr="00CF6141">
        <w:rPr>
          <w:i/>
          <w:lang w:val="es-ES_tradnl"/>
        </w:rPr>
        <w:t>a)</w:t>
      </w:r>
      <w:r w:rsidRPr="00D54E02">
        <w:rPr>
          <w:lang w:val="es-ES_tradnl"/>
        </w:rPr>
        <w:tab/>
        <w:t>que una información sobre comprobación técnica del espectro fiable y precisa forma parte vital en el proceso de gestión del espectro;</w:t>
      </w:r>
    </w:p>
    <w:p w14:paraId="48299BD6" w14:textId="77777777" w:rsidR="00D56E53" w:rsidRPr="00D54E02" w:rsidRDefault="00D56E53" w:rsidP="00D56E53">
      <w:pPr>
        <w:rPr>
          <w:lang w:val="es-ES_tradnl"/>
        </w:rPr>
      </w:pPr>
      <w:r w:rsidRPr="00CF6141">
        <w:rPr>
          <w:i/>
          <w:lang w:val="es-ES_tradnl"/>
        </w:rPr>
        <w:t>b)</w:t>
      </w:r>
      <w:r w:rsidRPr="00D54E02">
        <w:rPr>
          <w:lang w:val="es-ES_tradnl"/>
        </w:rPr>
        <w:tab/>
        <w:t>que la potencia radiada por los transmisores situados en las proximidades puede dar lugar a intensos campos electromagnéticos en las estaciones de comprobación técnica, lo que provoca efectos de desensibilización y bloqueo del receptor;</w:t>
      </w:r>
    </w:p>
    <w:p w14:paraId="7F4C36FB" w14:textId="77777777" w:rsidR="00D56E53" w:rsidRPr="00D54E02" w:rsidRDefault="00D56E53" w:rsidP="00D56E53">
      <w:pPr>
        <w:rPr>
          <w:lang w:val="es-ES_tradnl"/>
        </w:rPr>
      </w:pPr>
      <w:r w:rsidRPr="00CF6141">
        <w:rPr>
          <w:i/>
          <w:lang w:val="es-ES_tradnl"/>
        </w:rPr>
        <w:t>c)</w:t>
      </w:r>
      <w:r w:rsidRPr="00D54E02">
        <w:rPr>
          <w:lang w:val="es-ES_tradnl"/>
        </w:rPr>
        <w:tab/>
        <w:t>que estos efectos a su vez producen falsas emisiones que deben evitarse en la medida de lo posible;</w:t>
      </w:r>
    </w:p>
    <w:p w14:paraId="29E63E03" w14:textId="77777777" w:rsidR="00D56E53" w:rsidRPr="00D54E02" w:rsidRDefault="00D56E53" w:rsidP="00D56E53">
      <w:pPr>
        <w:rPr>
          <w:lang w:val="es-ES_tradnl"/>
        </w:rPr>
      </w:pPr>
      <w:r w:rsidRPr="00CF6141">
        <w:rPr>
          <w:i/>
          <w:lang w:val="es-ES_tradnl"/>
        </w:rPr>
        <w:t>d)</w:t>
      </w:r>
      <w:r w:rsidRPr="00D54E02">
        <w:rPr>
          <w:i/>
          <w:lang w:val="es-ES_tradnl"/>
        </w:rPr>
        <w:tab/>
      </w:r>
      <w:r w:rsidRPr="00D54E02">
        <w:rPr>
          <w:lang w:val="es-ES_tradnl"/>
        </w:rPr>
        <w:t>que la instalación de estaciones radioeléctricas celulares y de radiodifusión dificulta la tarea de encontrar emplazamientos adecuados para una estación de comprobación técnica del espectro;</w:t>
      </w:r>
    </w:p>
    <w:p w14:paraId="00E5B244" w14:textId="77777777" w:rsidR="00D56E53" w:rsidRPr="00D54E02" w:rsidRDefault="00D56E53" w:rsidP="00D56E53">
      <w:pPr>
        <w:rPr>
          <w:lang w:val="es-ES_tradnl"/>
        </w:rPr>
      </w:pPr>
      <w:r w:rsidRPr="00CF6141">
        <w:rPr>
          <w:i/>
          <w:iCs/>
          <w:lang w:val="es-ES_tradnl"/>
        </w:rPr>
        <w:t>e)</w:t>
      </w:r>
      <w:r w:rsidRPr="00D54E02">
        <w:rPr>
          <w:lang w:val="es-ES_tradnl"/>
        </w:rPr>
        <w:tab/>
        <w:t>que la intensidad de campo recibida es un parámetro importante a la hora de determinar la conveniencia de un emplazamiento de comprobación técnica;</w:t>
      </w:r>
    </w:p>
    <w:p w14:paraId="06F47E86" w14:textId="77777777" w:rsidR="00D56E53" w:rsidRPr="00D54E02" w:rsidRDefault="00D56E53" w:rsidP="00D56E53">
      <w:pPr>
        <w:rPr>
          <w:iCs/>
          <w:lang w:val="es-ES_tradnl"/>
        </w:rPr>
      </w:pPr>
      <w:r w:rsidRPr="00CF6141">
        <w:rPr>
          <w:i/>
          <w:iCs/>
          <w:lang w:val="es-ES_tradnl"/>
        </w:rPr>
        <w:t>f)</w:t>
      </w:r>
      <w:r w:rsidRPr="00D54E02">
        <w:rPr>
          <w:lang w:val="es-ES_tradnl"/>
        </w:rPr>
        <w:tab/>
        <w:t>que distintas gamas de frecuencia requieren diferentes limitaciones de intensidad de campo,</w:t>
      </w:r>
    </w:p>
    <w:p w14:paraId="6CA68769" w14:textId="77777777" w:rsidR="00D56E53" w:rsidRPr="00D54E02" w:rsidRDefault="00D56E53" w:rsidP="00D56E53">
      <w:pPr>
        <w:pStyle w:val="Call"/>
        <w:rPr>
          <w:lang w:val="es-ES_tradnl"/>
        </w:rPr>
      </w:pPr>
      <w:r w:rsidRPr="00D54E02">
        <w:rPr>
          <w:lang w:val="es-ES_tradnl"/>
        </w:rPr>
        <w:t>observando</w:t>
      </w:r>
    </w:p>
    <w:p w14:paraId="4BA5BD58" w14:textId="77777777" w:rsidR="00D56E53" w:rsidRPr="00D54E02" w:rsidRDefault="00D56E53" w:rsidP="006D7174">
      <w:pPr>
        <w:rPr>
          <w:lang w:val="es-ES_tradnl"/>
        </w:rPr>
      </w:pPr>
      <w:r w:rsidRPr="00CF6141">
        <w:rPr>
          <w:i/>
          <w:iCs/>
          <w:lang w:val="es-ES_tradnl"/>
        </w:rPr>
        <w:t>a)</w:t>
      </w:r>
      <w:r w:rsidRPr="00D54E02">
        <w:rPr>
          <w:lang w:val="es-ES_tradnl"/>
        </w:rPr>
        <w:tab/>
        <w:t xml:space="preserve">que el Manual de la UIT sobre </w:t>
      </w:r>
      <w:r w:rsidR="00332F79" w:rsidRPr="00D54E02">
        <w:rPr>
          <w:lang w:val="es-ES_tradnl"/>
        </w:rPr>
        <w:t xml:space="preserve">comprobación </w:t>
      </w:r>
      <w:r w:rsidR="006D7174" w:rsidRPr="00D54E02">
        <w:rPr>
          <w:lang w:val="es-ES_tradnl"/>
        </w:rPr>
        <w:t xml:space="preserve">técnica del espectro </w:t>
      </w:r>
      <w:r w:rsidRPr="00D54E02">
        <w:rPr>
          <w:lang w:val="es-ES_tradnl"/>
        </w:rPr>
        <w:t>(</w:t>
      </w:r>
      <w:r w:rsidR="006D7174" w:rsidRPr="00D54E02">
        <w:rPr>
          <w:lang w:val="es-ES_tradnl"/>
        </w:rPr>
        <w:t>edición de 2011</w:t>
      </w:r>
      <w:r w:rsidRPr="00D54E02">
        <w:rPr>
          <w:lang w:val="es-ES_tradnl"/>
        </w:rPr>
        <w:t>) proporciona consideraciones generales y específicas referentes al emplazamiento de las estaciones de comprobación técnica y una lista de verificación para examen del emplazamiento;</w:t>
      </w:r>
    </w:p>
    <w:p w14:paraId="305DB44F" w14:textId="77777777" w:rsidR="00D56E53" w:rsidRPr="00D54E02" w:rsidRDefault="00D56E53" w:rsidP="00D56E53">
      <w:pPr>
        <w:rPr>
          <w:lang w:val="es-ES_tradnl"/>
        </w:rPr>
      </w:pPr>
      <w:r w:rsidRPr="00CF6141">
        <w:rPr>
          <w:i/>
          <w:iCs/>
          <w:lang w:val="es-ES_tradnl"/>
        </w:rPr>
        <w:t>b)</w:t>
      </w:r>
      <w:r w:rsidRPr="00D54E02">
        <w:rPr>
          <w:lang w:val="es-ES_tradnl"/>
        </w:rPr>
        <w:tab/>
        <w:t>que el Informe UIT-R SM.2125 describe los procedimientos de medición para determinar los parámetros técnicos de los receptores y los sistemas de comprobación técnica,</w:t>
      </w:r>
    </w:p>
    <w:p w14:paraId="15DAFE4A" w14:textId="77777777" w:rsidR="00D56E53" w:rsidRPr="00D54E02" w:rsidRDefault="00D56E53" w:rsidP="00D56E53">
      <w:pPr>
        <w:pStyle w:val="Call"/>
        <w:rPr>
          <w:lang w:val="es-ES_tradnl"/>
        </w:rPr>
      </w:pPr>
      <w:r w:rsidRPr="00D54E02">
        <w:rPr>
          <w:lang w:val="es-ES_tradnl"/>
        </w:rPr>
        <w:t>recomienda</w:t>
      </w:r>
    </w:p>
    <w:p w14:paraId="0D5A0A38" w14:textId="77777777" w:rsidR="00D56E53" w:rsidRPr="00D54E02" w:rsidRDefault="00D56E53" w:rsidP="00D56E53">
      <w:pPr>
        <w:rPr>
          <w:lang w:val="es-ES_tradnl"/>
        </w:rPr>
      </w:pPr>
      <w:r w:rsidRPr="00D54E02">
        <w:rPr>
          <w:lang w:val="es-ES_tradnl"/>
        </w:rPr>
        <w:t>que a fin de calcular la máxima intensidad de campo admisible para proteger las estaciones de comprobación técnica radioeléctrica se utilice el método descrito en el Anexo 1.</w:t>
      </w:r>
    </w:p>
    <w:p w14:paraId="5246B5B3" w14:textId="77777777" w:rsidR="00D56E53" w:rsidRPr="00D54E02" w:rsidRDefault="00D56E53" w:rsidP="00D56E53">
      <w:pPr>
        <w:pStyle w:val="AnnexNoTitle"/>
        <w:rPr>
          <w:lang w:val="es-ES_tradnl"/>
        </w:rPr>
      </w:pPr>
      <w:r w:rsidRPr="00D54E02">
        <w:rPr>
          <w:lang w:val="es-ES_tradnl"/>
        </w:rPr>
        <w:t>Anexo 1</w:t>
      </w:r>
      <w:r w:rsidRPr="00D54E02">
        <w:rPr>
          <w:lang w:val="es-ES_tradnl"/>
        </w:rPr>
        <w:br/>
      </w:r>
      <w:r w:rsidRPr="00D54E02">
        <w:rPr>
          <w:lang w:val="es-ES_tradnl"/>
        </w:rPr>
        <w:br/>
        <w:t>Cálculo de la máxima intensidad de campo admisible para proteger</w:t>
      </w:r>
      <w:r w:rsidRPr="00D54E02">
        <w:rPr>
          <w:lang w:val="es-ES_tradnl"/>
        </w:rPr>
        <w:br/>
        <w:t>las estaciones de comprobación técnica radioeléctrica</w:t>
      </w:r>
    </w:p>
    <w:p w14:paraId="7DB56612" w14:textId="77777777" w:rsidR="00D56E53" w:rsidRPr="00D54E02" w:rsidRDefault="00D56E53" w:rsidP="00D56E53">
      <w:pPr>
        <w:pStyle w:val="Heading1"/>
        <w:rPr>
          <w:lang w:val="es-ES_tradnl"/>
        </w:rPr>
      </w:pPr>
      <w:r w:rsidRPr="00D54E02">
        <w:rPr>
          <w:lang w:val="es-ES_tradnl"/>
        </w:rPr>
        <w:t>1</w:t>
      </w:r>
      <w:r w:rsidRPr="00D54E02">
        <w:rPr>
          <w:lang w:val="es-ES_tradnl"/>
        </w:rPr>
        <w:tab/>
      </w:r>
      <w:proofErr w:type="gramStart"/>
      <w:r w:rsidRPr="00D54E02">
        <w:rPr>
          <w:lang w:val="es-ES_tradnl"/>
        </w:rPr>
        <w:t>Introducción</w:t>
      </w:r>
      <w:proofErr w:type="gramEnd"/>
    </w:p>
    <w:p w14:paraId="3319BCC5" w14:textId="77777777" w:rsidR="00D56E53" w:rsidRPr="00D54E02" w:rsidRDefault="00D56E53" w:rsidP="00D56E53">
      <w:pPr>
        <w:rPr>
          <w:lang w:val="es-ES_tradnl"/>
        </w:rPr>
      </w:pPr>
      <w:r w:rsidRPr="00D54E02">
        <w:rPr>
          <w:lang w:val="es-ES_tradnl"/>
        </w:rPr>
        <w:t>Unas señales de RF de gran intensidad pueden reducir la capacidad de una estación de comprobación técnica de recibir señales débiles y medirlas correctamente. La protección de las estaciones de comprobación técnica radioeléctrica contra las señales de RF intensas reviste especial importancia teniendo en cuenta el número cada vez mayor de emplazamientos de antenas para servicios móviles y para otros servicios de radiocomunicaciones. Como las estaciones de comprobación técnica a menudo están ubicadas en zonas urbanas y lugares expuestos, es cada vez más difícil identificar nuevos emplazamientos adecuados y proteger los ya existentes.</w:t>
      </w:r>
    </w:p>
    <w:p w14:paraId="7D6BB1B2" w14:textId="77777777" w:rsidR="00D56E53" w:rsidRPr="00D54E02" w:rsidRDefault="00D56E53" w:rsidP="00D56E53">
      <w:pPr>
        <w:rPr>
          <w:lang w:val="es-ES_tradnl"/>
        </w:rPr>
      </w:pPr>
      <w:r w:rsidRPr="00D54E02">
        <w:rPr>
          <w:lang w:val="es-ES_tradnl"/>
        </w:rPr>
        <w:t>Este Anexo describe los procedimientos y cálculos para el establecimiento de zonas de protección en torno a las estaciones de comprobación técnica radioeléctrica.</w:t>
      </w:r>
    </w:p>
    <w:p w14:paraId="278CFB97" w14:textId="77777777" w:rsidR="00D56E53" w:rsidRPr="00D54E02" w:rsidRDefault="00D56E53" w:rsidP="00D56E53">
      <w:pPr>
        <w:pStyle w:val="Heading1"/>
        <w:rPr>
          <w:lang w:val="es-ES_tradnl"/>
        </w:rPr>
      </w:pPr>
      <w:r w:rsidRPr="00D54E02">
        <w:rPr>
          <w:lang w:val="es-ES_tradnl"/>
        </w:rPr>
        <w:t>2</w:t>
      </w:r>
      <w:r w:rsidRPr="00D54E02">
        <w:rPr>
          <w:lang w:val="es-ES_tradnl"/>
        </w:rPr>
        <w:tab/>
      </w:r>
      <w:proofErr w:type="gramStart"/>
      <w:r w:rsidRPr="00D54E02">
        <w:rPr>
          <w:lang w:val="es-ES_tradnl"/>
        </w:rPr>
        <w:t>Consideraciones</w:t>
      </w:r>
      <w:proofErr w:type="gramEnd"/>
      <w:r w:rsidRPr="00D54E02">
        <w:rPr>
          <w:lang w:val="es-ES_tradnl"/>
        </w:rPr>
        <w:t xml:space="preserve"> generales</w:t>
      </w:r>
    </w:p>
    <w:p w14:paraId="669CA87E" w14:textId="77777777" w:rsidR="00D56E53" w:rsidRPr="00D54E02" w:rsidRDefault="00D56E53" w:rsidP="00D56E53">
      <w:pPr>
        <w:rPr>
          <w:lang w:val="es-ES_tradnl"/>
        </w:rPr>
      </w:pPr>
      <w:r w:rsidRPr="00D54E02">
        <w:rPr>
          <w:lang w:val="es-ES_tradnl"/>
        </w:rPr>
        <w:t>La especificación de los criterios de protección para las estaciones de comprobación técnica radioeléctrica supone fundamentalmente considerar los aspectos técnicos y se basa en el principio de que las emisiones procedentes de estaciones de transmisión adyacentes no pueden causar ninguna interferencia a las estaciones de comprobación técnica.</w:t>
      </w:r>
    </w:p>
    <w:p w14:paraId="22F8E568" w14:textId="77777777" w:rsidR="00D56E53" w:rsidRPr="00D54E02" w:rsidRDefault="00D56E53" w:rsidP="00D56E53">
      <w:pPr>
        <w:rPr>
          <w:lang w:val="es-ES_tradnl"/>
        </w:rPr>
      </w:pPr>
      <w:r w:rsidRPr="00D54E02">
        <w:rPr>
          <w:lang w:val="es-ES_tradnl"/>
        </w:rPr>
        <w:t>Aunque principalmente hay varios efectos posibles de interferencia tales como las emisiones en banda lateral, el efecto más severo son los productos de intermodulación de 3</w:t>
      </w:r>
      <w:r w:rsidRPr="00D54E02">
        <w:rPr>
          <w:vertAlign w:val="superscript"/>
          <w:lang w:val="es-ES_tradnl"/>
        </w:rPr>
        <w:t>er</w:t>
      </w:r>
      <w:r w:rsidRPr="00D54E02">
        <w:rPr>
          <w:lang w:val="es-ES_tradnl"/>
        </w:rPr>
        <w:t xml:space="preserve"> orden que pueden generarse en un receptor dando lugar a emisiones falsas. Este es, por tanto, el único efecto considerado en la presente Recomendación.</w:t>
      </w:r>
    </w:p>
    <w:p w14:paraId="41859562" w14:textId="77777777" w:rsidR="00D56E53" w:rsidRPr="00D54E02" w:rsidRDefault="00D56E53" w:rsidP="00D56E53">
      <w:pPr>
        <w:rPr>
          <w:lang w:val="es-ES_tradnl"/>
        </w:rPr>
      </w:pPr>
      <w:r w:rsidRPr="00D54E02">
        <w:rPr>
          <w:lang w:val="es-ES_tradnl"/>
        </w:rPr>
        <w:t>Dada una cierta inmunidad contra señales intensas, la aparición de la intermodulación depende directamente de la potencia de entrada en el receptor de comprobación técnica. Sería, por consiguiente, más fácil especificar como criterio de protección la máxima potencia de entrada en el receptor que los transmisores circundantes pueden crear en el receptor de comprobación técnica. Este método, sin embargo, tiene el inconveniente de que la distancia de protección resultante dependería de las propiedades técnicas del receptor de comprobación técnica y la antena, que no son conocidas por el operador de un transmisor cercano ni son iguales en todos los emplazamientos de comprobación técnica. Además, sólo se proporcionaría protección a los actuales equipos de comprobación técnica. Si se cambian en el futuro (por ejemplo, instalando antenas de diferente ganancia) los criterios de protección también cambiarían dando lugar a una zona de protección distinta.</w:t>
      </w:r>
    </w:p>
    <w:p w14:paraId="3CC098D5" w14:textId="77777777" w:rsidR="00D56E53" w:rsidRPr="00D54E02" w:rsidRDefault="00D56E53" w:rsidP="00D56E53">
      <w:pPr>
        <w:rPr>
          <w:lang w:val="es-ES_tradnl"/>
        </w:rPr>
      </w:pPr>
      <w:r w:rsidRPr="00D54E02">
        <w:rPr>
          <w:lang w:val="es-ES_tradnl"/>
        </w:rPr>
        <w:t>Además de los aspectos técnicos, también revisten gran importancia los temas económicos y de gestión. Para reducir los gastos administrativos debe establecerse un procedimiento de control sencillo y eficaz. Los operadores de los transmisores aceptarán con más facilidad un proceso sencillo.</w:t>
      </w:r>
    </w:p>
    <w:p w14:paraId="43B4011D" w14:textId="77777777" w:rsidR="00D56E53" w:rsidRPr="00D54E02" w:rsidRDefault="00D56E53" w:rsidP="00D56E53">
      <w:pPr>
        <w:rPr>
          <w:lang w:val="es-ES_tradnl"/>
        </w:rPr>
      </w:pPr>
      <w:r w:rsidRPr="00D54E02">
        <w:rPr>
          <w:lang w:val="es-ES_tradnl"/>
        </w:rPr>
        <w:t>Por estas razones, deberán aplicarse criterios de protección uniformes independientemente del emplazamiento de las estaciones de comprobación técnica y de sus especificaciones técnicas (radiogoniómetro o antena giratoria, tipo de receptor, ganancia de antena). Esto lleva al método de criterio de protección consistente en definir una intensidad de campo concreta que no debe rebasarse. Se trata también del método más transparente para las otras partes implicadas porque puede calcularse o medirse fácilmente la intensidad de campo que produce un transmisor en el emplazamiento de las estaciones de comprobación técnica.</w:t>
      </w:r>
    </w:p>
    <w:p w14:paraId="6B9B984A" w14:textId="77777777" w:rsidR="00D56E53" w:rsidRPr="00D54E02" w:rsidRDefault="00D56E53" w:rsidP="002E5279">
      <w:pPr>
        <w:keepNext/>
        <w:keepLines/>
        <w:rPr>
          <w:lang w:val="es-ES_tradnl"/>
        </w:rPr>
      </w:pPr>
      <w:r w:rsidRPr="00D54E02">
        <w:rPr>
          <w:lang w:val="es-ES_tradnl"/>
        </w:rPr>
        <w:t>No obstante, el hecho de que la máxima intensidad de campo produzca o no realmente interferencia en el receptor de comprobación técnica depende de los siguientes parámetros:</w:t>
      </w:r>
    </w:p>
    <w:p w14:paraId="4B2E3828" w14:textId="77777777" w:rsidR="00D56E53" w:rsidRPr="00D54E02" w:rsidRDefault="00D56E53" w:rsidP="00D56E53">
      <w:pPr>
        <w:pStyle w:val="enumlev1"/>
        <w:rPr>
          <w:lang w:val="es-ES_tradnl"/>
        </w:rPr>
      </w:pPr>
      <w:r w:rsidRPr="00D54E02">
        <w:rPr>
          <w:lang w:val="es-ES_tradnl"/>
        </w:rPr>
        <w:t>–</w:t>
      </w:r>
      <w:r w:rsidRPr="00D54E02">
        <w:rPr>
          <w:lang w:val="es-ES_tradnl"/>
        </w:rPr>
        <w:tab/>
        <w:t>inmunidad del receptor contra señales de gran intensidad;</w:t>
      </w:r>
    </w:p>
    <w:p w14:paraId="472D3850" w14:textId="77777777" w:rsidR="00D56E53" w:rsidRPr="00D54E02" w:rsidRDefault="00D56E53" w:rsidP="00D56E53">
      <w:pPr>
        <w:pStyle w:val="enumlev1"/>
        <w:rPr>
          <w:lang w:val="es-ES_tradnl"/>
        </w:rPr>
      </w:pPr>
      <w:r w:rsidRPr="00D54E02">
        <w:rPr>
          <w:lang w:val="es-ES_tradnl"/>
        </w:rPr>
        <w:t>–</w:t>
      </w:r>
      <w:r w:rsidRPr="00D54E02">
        <w:rPr>
          <w:lang w:val="es-ES_tradnl"/>
        </w:rPr>
        <w:tab/>
        <w:t>sensibilidad del receptor;</w:t>
      </w:r>
    </w:p>
    <w:p w14:paraId="2CD6307A" w14:textId="77777777" w:rsidR="00D56E53" w:rsidRPr="00D54E02" w:rsidRDefault="00D56E53" w:rsidP="00D56E53">
      <w:pPr>
        <w:pStyle w:val="enumlev1"/>
        <w:rPr>
          <w:lang w:val="es-ES_tradnl"/>
        </w:rPr>
      </w:pPr>
      <w:r w:rsidRPr="00D54E02">
        <w:rPr>
          <w:lang w:val="es-ES_tradnl"/>
        </w:rPr>
        <w:t>–</w:t>
      </w:r>
      <w:r w:rsidRPr="00D54E02">
        <w:rPr>
          <w:lang w:val="es-ES_tradnl"/>
        </w:rPr>
        <w:tab/>
        <w:t>nivel de ruido externo;</w:t>
      </w:r>
    </w:p>
    <w:p w14:paraId="300E82E0" w14:textId="77777777" w:rsidR="00D56E53" w:rsidRPr="00D54E02" w:rsidRDefault="00D56E53" w:rsidP="00D56E53">
      <w:pPr>
        <w:pStyle w:val="enumlev1"/>
        <w:rPr>
          <w:lang w:val="es-ES_tradnl"/>
        </w:rPr>
      </w:pPr>
      <w:r w:rsidRPr="00D54E02">
        <w:rPr>
          <w:lang w:val="es-ES_tradnl"/>
        </w:rPr>
        <w:t>–</w:t>
      </w:r>
      <w:r w:rsidRPr="00D54E02">
        <w:rPr>
          <w:lang w:val="es-ES_tradnl"/>
        </w:rPr>
        <w:tab/>
        <w:t>ganancia de antena;</w:t>
      </w:r>
    </w:p>
    <w:p w14:paraId="37BF9AF3" w14:textId="77777777" w:rsidR="00D56E53" w:rsidRPr="00D54E02" w:rsidRDefault="00D56E53" w:rsidP="00D56E53">
      <w:pPr>
        <w:pStyle w:val="enumlev1"/>
        <w:rPr>
          <w:lang w:val="es-ES_tradnl"/>
        </w:rPr>
      </w:pPr>
      <w:r w:rsidRPr="00D54E02">
        <w:rPr>
          <w:lang w:val="es-ES_tradnl"/>
        </w:rPr>
        <w:t>–</w:t>
      </w:r>
      <w:r w:rsidRPr="00D54E02">
        <w:rPr>
          <w:lang w:val="es-ES_tradnl"/>
        </w:rPr>
        <w:tab/>
        <w:t>atenuación del cable de RF entre la antena y el receptor;</w:t>
      </w:r>
    </w:p>
    <w:p w14:paraId="4CA8325F" w14:textId="77777777" w:rsidR="00D56E53" w:rsidRPr="00D54E02" w:rsidRDefault="00D56E53" w:rsidP="00D56E53">
      <w:pPr>
        <w:pStyle w:val="enumlev1"/>
        <w:rPr>
          <w:lang w:val="es-ES_tradnl"/>
        </w:rPr>
      </w:pPr>
      <w:r w:rsidRPr="00D54E02">
        <w:rPr>
          <w:lang w:val="es-ES_tradnl"/>
        </w:rPr>
        <w:t>–</w:t>
      </w:r>
      <w:r w:rsidRPr="00D54E02">
        <w:rPr>
          <w:lang w:val="es-ES_tradnl"/>
        </w:rPr>
        <w:tab/>
        <w:t>anchura de banda y frecuencia de las señales perturbadoras.</w:t>
      </w:r>
    </w:p>
    <w:p w14:paraId="6BA13509" w14:textId="77777777" w:rsidR="00D56E53" w:rsidRPr="00D54E02" w:rsidRDefault="00D56E53" w:rsidP="00D56E53">
      <w:pPr>
        <w:rPr>
          <w:lang w:val="es-ES_tradnl"/>
        </w:rPr>
      </w:pPr>
      <w:r w:rsidRPr="00D54E02">
        <w:rPr>
          <w:lang w:val="es-ES_tradnl"/>
        </w:rPr>
        <w:t>Como estos parámetros pueden variar dentro de una amplia gama, un cierto valor definido de máxima intensidad de campo no garantiza un funcionamiento sin interferencias de las estaciones de comprobación técnica para todas las posibles combinaciones de estos parámetros. Por ejemplo, un receptor muy sensible combinado con una antena de elevada ganancia daría lugar a un valor de máxima intensidad de campo tan bajo que no podría encontrarse en todo el territorio del país un emplazamiento adecuado para las instalaciones de comprobación técnica.</w:t>
      </w:r>
    </w:p>
    <w:p w14:paraId="227C81E6" w14:textId="77777777" w:rsidR="00D56E53" w:rsidRPr="00D54E02" w:rsidRDefault="00D56E53" w:rsidP="00D56E53">
      <w:pPr>
        <w:rPr>
          <w:lang w:val="es-ES_tradnl"/>
        </w:rPr>
      </w:pPr>
      <w:r w:rsidRPr="00D54E02">
        <w:rPr>
          <w:lang w:val="es-ES_tradnl"/>
        </w:rPr>
        <w:t>El siguiente procedimiento proporciona un método general para calcular la máxima intensidad de campo admisible. El valor resultante de esta intensidad de campo depende de la elección de unos valores razonables y típicos para los anteriores parámetros.</w:t>
      </w:r>
    </w:p>
    <w:p w14:paraId="1D901020" w14:textId="77777777" w:rsidR="00D56E53" w:rsidRPr="00D54E02" w:rsidRDefault="00D56E53" w:rsidP="00D56E53">
      <w:pPr>
        <w:pStyle w:val="Heading1"/>
        <w:rPr>
          <w:lang w:val="es-ES_tradnl"/>
        </w:rPr>
      </w:pPr>
      <w:r w:rsidRPr="00D54E02">
        <w:rPr>
          <w:lang w:val="es-ES_tradnl"/>
        </w:rPr>
        <w:t>3</w:t>
      </w:r>
      <w:r w:rsidRPr="00D54E02">
        <w:rPr>
          <w:lang w:val="es-ES_tradnl"/>
        </w:rPr>
        <w:tab/>
      </w:r>
      <w:proofErr w:type="gramStart"/>
      <w:r w:rsidRPr="00D54E02">
        <w:rPr>
          <w:lang w:val="es-ES_tradnl"/>
        </w:rPr>
        <w:t>Determinación</w:t>
      </w:r>
      <w:proofErr w:type="gramEnd"/>
      <w:r w:rsidRPr="00D54E02">
        <w:rPr>
          <w:lang w:val="es-ES_tradnl"/>
        </w:rPr>
        <w:t xml:space="preserve"> de la máxima intensidad de campo admisible</w:t>
      </w:r>
    </w:p>
    <w:p w14:paraId="3AC75E9D" w14:textId="77777777" w:rsidR="00D56E53" w:rsidRPr="00D54E02" w:rsidRDefault="00D56E53" w:rsidP="00D56E53">
      <w:pPr>
        <w:rPr>
          <w:lang w:val="es-ES_tradnl"/>
        </w:rPr>
      </w:pPr>
      <w:r w:rsidRPr="00D54E02">
        <w:rPr>
          <w:lang w:val="es-ES_tradnl"/>
        </w:rPr>
        <w:t>El cálculo de la máxima intensidad de campo admisible incluye:</w:t>
      </w:r>
    </w:p>
    <w:p w14:paraId="0D856F5A" w14:textId="77777777" w:rsidR="00D56E53" w:rsidRPr="00D54E02" w:rsidRDefault="00D56E53" w:rsidP="00D56E53">
      <w:pPr>
        <w:pStyle w:val="enumlev1"/>
        <w:rPr>
          <w:lang w:val="es-ES_tradnl"/>
        </w:rPr>
      </w:pPr>
      <w:r w:rsidRPr="00D54E02">
        <w:rPr>
          <w:lang w:val="es-ES_tradnl"/>
        </w:rPr>
        <w:t>–</w:t>
      </w:r>
      <w:r w:rsidRPr="00D54E02">
        <w:rPr>
          <w:lang w:val="es-ES_tradnl"/>
        </w:rPr>
        <w:tab/>
        <w:t>la inmunidad (3</w:t>
      </w:r>
      <w:r w:rsidRPr="00D54E02">
        <w:rPr>
          <w:vertAlign w:val="superscript"/>
          <w:lang w:val="es-ES_tradnl"/>
        </w:rPr>
        <w:t>er</w:t>
      </w:r>
      <w:r w:rsidRPr="00D54E02">
        <w:rPr>
          <w:lang w:val="es-ES_tradnl"/>
        </w:rPr>
        <w:t xml:space="preserve"> orden) del receptor contra señales de gran intensidad;</w:t>
      </w:r>
    </w:p>
    <w:p w14:paraId="530D79A8" w14:textId="77777777" w:rsidR="00D56E53" w:rsidRPr="00D54E02" w:rsidRDefault="00D56E53" w:rsidP="00D56E53">
      <w:pPr>
        <w:pStyle w:val="enumlev1"/>
        <w:rPr>
          <w:lang w:val="es-ES_tradnl"/>
        </w:rPr>
      </w:pPr>
      <w:r w:rsidRPr="00D54E02">
        <w:rPr>
          <w:lang w:val="es-ES_tradnl"/>
        </w:rPr>
        <w:t>–</w:t>
      </w:r>
      <w:r w:rsidRPr="00D54E02">
        <w:rPr>
          <w:lang w:val="es-ES_tradnl"/>
        </w:rPr>
        <w:tab/>
        <w:t>la sensibilidad del receptor;</w:t>
      </w:r>
    </w:p>
    <w:p w14:paraId="4700F115" w14:textId="77777777" w:rsidR="00D56E53" w:rsidRPr="00D54E02" w:rsidRDefault="00D56E53" w:rsidP="00D56E53">
      <w:pPr>
        <w:pStyle w:val="enumlev1"/>
        <w:rPr>
          <w:lang w:val="es-ES_tradnl"/>
        </w:rPr>
      </w:pPr>
      <w:r w:rsidRPr="00D54E02">
        <w:rPr>
          <w:lang w:val="es-ES_tradnl"/>
        </w:rPr>
        <w:t>–</w:t>
      </w:r>
      <w:r w:rsidRPr="00D54E02">
        <w:rPr>
          <w:lang w:val="es-ES_tradnl"/>
        </w:rPr>
        <w:tab/>
        <w:t>la anchura de banda y la frecuencia de las señales perturbadoras;</w:t>
      </w:r>
    </w:p>
    <w:p w14:paraId="0A2D7E4F" w14:textId="77777777" w:rsidR="00D56E53" w:rsidRPr="00D54E02" w:rsidRDefault="00D56E53" w:rsidP="00D56E53">
      <w:pPr>
        <w:pStyle w:val="enumlev1"/>
        <w:rPr>
          <w:lang w:val="es-ES_tradnl"/>
        </w:rPr>
      </w:pPr>
      <w:r w:rsidRPr="00D54E02">
        <w:rPr>
          <w:lang w:val="es-ES_tradnl"/>
        </w:rPr>
        <w:t>–</w:t>
      </w:r>
      <w:r w:rsidRPr="00D54E02">
        <w:rPr>
          <w:lang w:val="es-ES_tradnl"/>
        </w:rPr>
        <w:tab/>
        <w:t>la ganancia de antena;</w:t>
      </w:r>
    </w:p>
    <w:p w14:paraId="0E5361B6" w14:textId="77777777" w:rsidR="00D56E53" w:rsidRPr="00D54E02" w:rsidRDefault="00D56E53" w:rsidP="00D56E53">
      <w:pPr>
        <w:pStyle w:val="enumlev1"/>
        <w:rPr>
          <w:lang w:val="es-ES_tradnl"/>
        </w:rPr>
      </w:pPr>
      <w:r w:rsidRPr="00D54E02">
        <w:rPr>
          <w:lang w:val="es-ES_tradnl"/>
        </w:rPr>
        <w:t>–</w:t>
      </w:r>
      <w:r w:rsidRPr="00D54E02">
        <w:rPr>
          <w:lang w:val="es-ES_tradnl"/>
        </w:rPr>
        <w:tab/>
        <w:t>el nivel de ruido externo.</w:t>
      </w:r>
    </w:p>
    <w:p w14:paraId="2FD841C2" w14:textId="77777777" w:rsidR="00D56E53" w:rsidRPr="00D54E02" w:rsidRDefault="00D56E53" w:rsidP="00D56E53">
      <w:pPr>
        <w:pStyle w:val="Heading2"/>
        <w:rPr>
          <w:lang w:val="es-ES_tradnl"/>
        </w:rPr>
      </w:pPr>
      <w:r w:rsidRPr="00D54E02">
        <w:rPr>
          <w:lang w:val="es-ES_tradnl"/>
        </w:rPr>
        <w:t>3.1</w:t>
      </w:r>
      <w:r w:rsidRPr="00D54E02">
        <w:rPr>
          <w:lang w:val="es-ES_tradnl"/>
        </w:rPr>
        <w:tab/>
        <w:t>Inmunidad del receptor contra señales de gran intensidad</w:t>
      </w:r>
    </w:p>
    <w:p w14:paraId="165F83A0" w14:textId="77777777" w:rsidR="00D56E53" w:rsidRPr="00D54E02" w:rsidRDefault="00D56E53" w:rsidP="00D56E53">
      <w:pPr>
        <w:rPr>
          <w:lang w:val="es-ES_tradnl"/>
        </w:rPr>
      </w:pPr>
      <w:r w:rsidRPr="00D54E02">
        <w:rPr>
          <w:lang w:val="es-ES_tradnl"/>
        </w:rPr>
        <w:t>El nivel de los productos e intermodulación de 3</w:t>
      </w:r>
      <w:r w:rsidRPr="00D54E02">
        <w:rPr>
          <w:vertAlign w:val="superscript"/>
          <w:lang w:val="es-ES_tradnl"/>
        </w:rPr>
        <w:t>er</w:t>
      </w:r>
      <w:r w:rsidRPr="00D54E02">
        <w:rPr>
          <w:lang w:val="es-ES_tradnl"/>
        </w:rPr>
        <w:t xml:space="preserve"> orden se calcula generalmente a partir de la potencia de entrada y el punto de intercepción de 3</w:t>
      </w:r>
      <w:r w:rsidRPr="00D54E02">
        <w:rPr>
          <w:vertAlign w:val="superscript"/>
          <w:lang w:val="es-ES_tradnl"/>
        </w:rPr>
        <w:t>er</w:t>
      </w:r>
      <w:r w:rsidRPr="00D54E02">
        <w:rPr>
          <w:lang w:val="es-ES_tradnl"/>
        </w:rPr>
        <w:t xml:space="preserve"> orden del receptor de comprobación técnica. La combinación más crítica es la intermodulación de tres señales de la misma potencia.</w:t>
      </w:r>
    </w:p>
    <w:p w14:paraId="694943ED" w14:textId="77777777" w:rsidR="00D56E53" w:rsidRPr="00D54E02" w:rsidRDefault="00D56E53" w:rsidP="008E564F">
      <w:pPr>
        <w:rPr>
          <w:lang w:val="es-ES_tradnl"/>
        </w:rPr>
      </w:pPr>
      <w:r w:rsidRPr="00D54E02">
        <w:rPr>
          <w:lang w:val="es-ES_tradnl"/>
        </w:rPr>
        <w:t>De acuerdo con la Recomendación UIT-R SM.1134-1, Cuadro</w:t>
      </w:r>
      <w:r w:rsidR="008E564F">
        <w:rPr>
          <w:lang w:val="es-ES_tradnl"/>
        </w:rPr>
        <w:t> </w:t>
      </w:r>
      <w:r w:rsidRPr="00D54E02">
        <w:rPr>
          <w:lang w:val="es-ES_tradnl"/>
        </w:rPr>
        <w:t>2, la potencia del producto de intermodulación en nuestro caso puede calcularse con la fórmula para IM3(1;1;1) (caso de tres</w:t>
      </w:r>
      <w:r w:rsidR="008E564F">
        <w:rPr>
          <w:lang w:val="es-ES_tradnl"/>
        </w:rPr>
        <w:t> </w:t>
      </w:r>
      <w:r w:rsidRPr="00D54E02">
        <w:rPr>
          <w:lang w:val="es-ES_tradnl"/>
        </w:rPr>
        <w:t>señales)</w:t>
      </w:r>
      <w:r w:rsidR="00D44CB1">
        <w:rPr>
          <w:lang w:val="es-ES_tradnl"/>
        </w:rPr>
        <w:t>:</w:t>
      </w:r>
    </w:p>
    <w:p w14:paraId="3ABFBAC8" w14:textId="77777777" w:rsidR="00D56E53" w:rsidRPr="00D54E02" w:rsidRDefault="00D56E53" w:rsidP="00D56E53">
      <w:pPr>
        <w:pStyle w:val="Equation"/>
        <w:rPr>
          <w:lang w:val="es-ES_tradnl"/>
        </w:rPr>
      </w:pPr>
      <w:r w:rsidRPr="00D54E02">
        <w:rPr>
          <w:lang w:val="es-ES_tradnl"/>
        </w:rPr>
        <w:tab/>
      </w:r>
      <w:r w:rsidRPr="00D54E02">
        <w:rPr>
          <w:lang w:val="es-ES_tradnl"/>
        </w:rPr>
        <w:tab/>
      </w:r>
      <w:r w:rsidRPr="00D54E02">
        <w:rPr>
          <w:position w:val="-12"/>
          <w:lang w:val="es-ES_tradnl"/>
        </w:rPr>
        <w:object w:dxaOrig="2299" w:dyaOrig="360" w14:anchorId="4DFC6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21.5pt" o:ole="">
            <v:imagedata r:id="rId13" o:title=""/>
          </v:shape>
          <o:OLEObject Type="Embed" ProgID="Equation.3" ShapeID="_x0000_i1025" DrawAspect="Content" ObjectID="_1652586369" r:id="rId14"/>
        </w:object>
      </w:r>
      <w:r w:rsidRPr="00D54E02">
        <w:rPr>
          <w:lang w:val="es-ES_tradnl"/>
        </w:rPr>
        <w:t>dB</w:t>
      </w:r>
      <w:r w:rsidRPr="00D54E02">
        <w:rPr>
          <w:lang w:val="es-ES_tradnl"/>
        </w:rPr>
        <w:tab/>
        <w:t>(1)</w:t>
      </w:r>
    </w:p>
    <w:p w14:paraId="686D62C5" w14:textId="77777777" w:rsidR="00D56E53" w:rsidRPr="00D54E02" w:rsidRDefault="00D56E53" w:rsidP="00D56E53">
      <w:pPr>
        <w:rPr>
          <w:lang w:val="es-ES_tradnl"/>
        </w:rPr>
      </w:pPr>
      <w:r w:rsidRPr="00D54E02">
        <w:rPr>
          <w:lang w:val="es-ES_tradnl"/>
        </w:rPr>
        <w:t>siendo</w:t>
      </w:r>
    </w:p>
    <w:p w14:paraId="477310C8" w14:textId="77777777" w:rsidR="00D56E53" w:rsidRPr="00D54E02" w:rsidRDefault="00D56E53" w:rsidP="00D56E53">
      <w:pPr>
        <w:pStyle w:val="Equationlegend"/>
        <w:rPr>
          <w:lang w:val="es-ES_tradnl"/>
        </w:rPr>
      </w:pPr>
      <w:r w:rsidRPr="00D54E02">
        <w:rPr>
          <w:i/>
          <w:lang w:val="es-ES_tradnl"/>
        </w:rPr>
        <w:tab/>
        <w:t>P</w:t>
      </w:r>
      <w:r w:rsidRPr="00D54E02">
        <w:rPr>
          <w:i/>
          <w:vertAlign w:val="subscript"/>
          <w:lang w:val="es-ES_tradnl"/>
        </w:rPr>
        <w:t>IM</w:t>
      </w:r>
      <w:r w:rsidRPr="00D54E02">
        <w:rPr>
          <w:iCs/>
          <w:vertAlign w:val="subscript"/>
          <w:lang w:val="es-ES_tradnl"/>
        </w:rPr>
        <w:t>3</w:t>
      </w:r>
      <w:r w:rsidRPr="00D54E02">
        <w:rPr>
          <w:lang w:val="es-ES_tradnl"/>
        </w:rPr>
        <w:t xml:space="preserve">: </w:t>
      </w:r>
      <w:r w:rsidRPr="00D54E02">
        <w:rPr>
          <w:lang w:val="es-ES_tradnl"/>
        </w:rPr>
        <w:tab/>
        <w:t>la potencia del producto de intermodulación de 3</w:t>
      </w:r>
      <w:r w:rsidRPr="00D54E02">
        <w:rPr>
          <w:vertAlign w:val="superscript"/>
          <w:lang w:val="es-ES_tradnl"/>
        </w:rPr>
        <w:t>er</w:t>
      </w:r>
      <w:r w:rsidRPr="00D54E02">
        <w:rPr>
          <w:lang w:val="es-ES_tradnl"/>
        </w:rPr>
        <w:t xml:space="preserve"> orden IM3(1;1;1) (dBm);</w:t>
      </w:r>
    </w:p>
    <w:p w14:paraId="2457B41B" w14:textId="77777777" w:rsidR="00D56E53" w:rsidRPr="00D54E02" w:rsidRDefault="00D56E53" w:rsidP="00D56E53">
      <w:pPr>
        <w:pStyle w:val="Equationlegend"/>
        <w:rPr>
          <w:lang w:val="es-ES_tradnl"/>
        </w:rPr>
      </w:pPr>
      <w:r w:rsidRPr="00D54E02">
        <w:rPr>
          <w:i/>
          <w:lang w:val="es-ES_tradnl"/>
        </w:rPr>
        <w:tab/>
        <w:t>P</w:t>
      </w:r>
      <w:r w:rsidRPr="00D54E02">
        <w:rPr>
          <w:i/>
          <w:vertAlign w:val="subscript"/>
          <w:lang w:val="es-ES_tradnl"/>
        </w:rPr>
        <w:t>S</w:t>
      </w:r>
      <w:r w:rsidRPr="00D54E02">
        <w:rPr>
          <w:lang w:val="es-ES_tradnl"/>
        </w:rPr>
        <w:t xml:space="preserve">: </w:t>
      </w:r>
      <w:r w:rsidRPr="00D54E02">
        <w:rPr>
          <w:lang w:val="es-ES_tradnl"/>
        </w:rPr>
        <w:tab/>
        <w:t>la potencia de cada una de las señales que intervienen en la intermodulación (dBm);</w:t>
      </w:r>
    </w:p>
    <w:p w14:paraId="53A5356B" w14:textId="77777777" w:rsidR="00D56E53" w:rsidRPr="00D54E02" w:rsidRDefault="00D56E53" w:rsidP="00D56E53">
      <w:pPr>
        <w:pStyle w:val="Equationlegend"/>
        <w:rPr>
          <w:lang w:val="es-ES_tradnl"/>
        </w:rPr>
      </w:pPr>
      <w:r w:rsidRPr="00D54E02">
        <w:rPr>
          <w:lang w:val="es-ES_tradnl"/>
        </w:rPr>
        <w:tab/>
      </w:r>
      <w:r w:rsidRPr="00D54E02">
        <w:rPr>
          <w:i/>
          <w:lang w:val="es-ES_tradnl"/>
        </w:rPr>
        <w:t>P</w:t>
      </w:r>
      <w:r w:rsidRPr="00D54E02">
        <w:rPr>
          <w:i/>
          <w:vertAlign w:val="subscript"/>
          <w:lang w:val="es-ES_tradnl"/>
        </w:rPr>
        <w:t>IP</w:t>
      </w:r>
      <w:r w:rsidRPr="00D54E02">
        <w:rPr>
          <w:iCs/>
          <w:vertAlign w:val="subscript"/>
          <w:lang w:val="es-ES_tradnl"/>
        </w:rPr>
        <w:t>3</w:t>
      </w:r>
      <w:r w:rsidRPr="00D54E02">
        <w:rPr>
          <w:lang w:val="es-ES_tradnl"/>
        </w:rPr>
        <w:t xml:space="preserve">: </w:t>
      </w:r>
      <w:r w:rsidRPr="00D54E02">
        <w:rPr>
          <w:lang w:val="es-ES_tradnl"/>
        </w:rPr>
        <w:tab/>
        <w:t>el punto de intercepción de 3</w:t>
      </w:r>
      <w:r w:rsidRPr="00D54E02">
        <w:rPr>
          <w:vertAlign w:val="superscript"/>
          <w:lang w:val="es-ES_tradnl"/>
        </w:rPr>
        <w:t>er</w:t>
      </w:r>
      <w:r w:rsidRPr="00D54E02">
        <w:rPr>
          <w:lang w:val="es-ES_tradnl"/>
        </w:rPr>
        <w:t xml:space="preserve"> orden (IP3) del receptor (dBm).</w:t>
      </w:r>
    </w:p>
    <w:p w14:paraId="03FF19E6" w14:textId="77777777" w:rsidR="00D56E53" w:rsidRPr="00D54E02" w:rsidRDefault="00D56E53" w:rsidP="00D56E53">
      <w:pPr>
        <w:rPr>
          <w:lang w:val="es-ES_tradnl"/>
        </w:rPr>
      </w:pPr>
      <w:r w:rsidRPr="00D54E02">
        <w:rPr>
          <w:lang w:val="es-ES_tradnl"/>
        </w:rPr>
        <w:t>El valor de IP3 figura en la hoja de especificaciones del receptor. Se trata de la potencia de las señales de entrada en el punto donde el nivel del producto de intermodulación de 3</w:t>
      </w:r>
      <w:r w:rsidRPr="00D54E02">
        <w:rPr>
          <w:vertAlign w:val="superscript"/>
          <w:lang w:val="es-ES_tradnl"/>
        </w:rPr>
        <w:t>er</w:t>
      </w:r>
      <w:r w:rsidRPr="00D54E02">
        <w:rPr>
          <w:lang w:val="es-ES_tradnl"/>
        </w:rPr>
        <w:t xml:space="preserve"> orden es igual al nivel de entrada de las señales de gran intensidad que contribuyen a esta intermodulación.</w:t>
      </w:r>
    </w:p>
    <w:p w14:paraId="6C913FBA" w14:textId="77777777" w:rsidR="00D56E53" w:rsidRPr="00D54E02" w:rsidRDefault="00D56E53" w:rsidP="00D56E53">
      <w:pPr>
        <w:pStyle w:val="Heading2"/>
        <w:rPr>
          <w:lang w:val="es-ES_tradnl"/>
        </w:rPr>
      </w:pPr>
      <w:r w:rsidRPr="00D54E02">
        <w:rPr>
          <w:lang w:val="es-ES_tradnl"/>
        </w:rPr>
        <w:t>3.2</w:t>
      </w:r>
      <w:r w:rsidRPr="00D54E02">
        <w:rPr>
          <w:lang w:val="es-ES_tradnl"/>
        </w:rPr>
        <w:tab/>
        <w:t>Sensibilidad del receptor</w:t>
      </w:r>
    </w:p>
    <w:p w14:paraId="1B46C519" w14:textId="77777777" w:rsidR="00D56E53" w:rsidRPr="00D54E02" w:rsidRDefault="00D56E53" w:rsidP="00D56E53">
      <w:pPr>
        <w:rPr>
          <w:lang w:val="es-ES_tradnl"/>
        </w:rPr>
      </w:pPr>
      <w:r w:rsidRPr="00D54E02">
        <w:rPr>
          <w:lang w:val="es-ES_tradnl"/>
        </w:rPr>
        <w:t>Una señal débil puede detectarse con un receptor cuando su nivel rebasa el ruido interno del propio receptor. Es el nivel indicado cuando no se conecta ninguna antena y el receptor funciona en su modo más sensible (por ejemplo, sin atenuación a la entrada).</w:t>
      </w:r>
    </w:p>
    <w:p w14:paraId="050413BF" w14:textId="77777777" w:rsidR="00D56E53" w:rsidRPr="00D54E02" w:rsidRDefault="00D56E53" w:rsidP="00D56E53">
      <w:pPr>
        <w:rPr>
          <w:lang w:val="es-ES_tradnl"/>
        </w:rPr>
      </w:pPr>
      <w:r w:rsidRPr="00D54E02">
        <w:rPr>
          <w:lang w:val="es-ES_tradnl"/>
        </w:rPr>
        <w:t>El valor cuadrático medio (eficaz) del ruido interno del receptor se calcula generalmente como sigue:</w:t>
      </w:r>
    </w:p>
    <w:p w14:paraId="08763AB1" w14:textId="77777777" w:rsidR="00332F79" w:rsidRPr="00715CE0" w:rsidRDefault="00332F79" w:rsidP="00332F79">
      <w:pPr>
        <w:pStyle w:val="Blanc"/>
        <w:rPr>
          <w:lang w:val="es-ES_tradnl"/>
        </w:rPr>
      </w:pPr>
    </w:p>
    <w:p w14:paraId="3AB64389" w14:textId="77777777" w:rsidR="00332F79" w:rsidRPr="00332F79" w:rsidRDefault="00332F79" w:rsidP="00332F79">
      <w:pPr>
        <w:pStyle w:val="Equation"/>
        <w:rPr>
          <w:lang w:val="fr-CH"/>
        </w:rPr>
      </w:pPr>
      <w:r w:rsidRPr="00D54E02">
        <w:rPr>
          <w:lang w:val="es-ES_tradnl"/>
        </w:rPr>
        <w:tab/>
      </w:r>
      <w:r w:rsidRPr="00D54E02">
        <w:rPr>
          <w:lang w:val="es-ES_tradnl"/>
        </w:rPr>
        <w:tab/>
      </w:r>
      <w:r w:rsidRPr="00332F79">
        <w:rPr>
          <w:i/>
          <w:iCs/>
          <w:lang w:val="fr-CH"/>
        </w:rPr>
        <w:t>P</w:t>
      </w:r>
      <w:r w:rsidRPr="00332F79">
        <w:rPr>
          <w:i/>
          <w:iCs/>
          <w:vertAlign w:val="subscript"/>
          <w:lang w:val="fr-CH"/>
        </w:rPr>
        <w:t>R</w:t>
      </w:r>
      <w:r>
        <w:t xml:space="preserve"> = </w:t>
      </w:r>
      <w:r w:rsidRPr="00332F79">
        <w:rPr>
          <w:lang w:val="fr-CH"/>
        </w:rPr>
        <w:t>(</w:t>
      </w:r>
      <w:r w:rsidRPr="00332F79">
        <w:rPr>
          <w:i/>
          <w:iCs/>
          <w:lang w:val="fr-CH"/>
        </w:rPr>
        <w:t>f</w:t>
      </w:r>
      <w:r>
        <w:rPr>
          <w:lang w:val="fr-CH"/>
        </w:rPr>
        <w:t xml:space="preserve"> – </w:t>
      </w:r>
      <w:proofErr w:type="gramStart"/>
      <w:r>
        <w:rPr>
          <w:lang w:val="fr-CH"/>
        </w:rPr>
        <w:t>1</w:t>
      </w:r>
      <w:r w:rsidRPr="00332F79">
        <w:rPr>
          <w:lang w:val="fr-CH"/>
        </w:rPr>
        <w:t>)</w:t>
      </w:r>
      <w:r w:rsidRPr="00332F79">
        <w:rPr>
          <w:i/>
          <w:iCs/>
          <w:lang w:val="fr-CH"/>
        </w:rPr>
        <w:t>kt</w:t>
      </w:r>
      <w:proofErr w:type="gramEnd"/>
      <w:r w:rsidRPr="00332F79">
        <w:rPr>
          <w:vertAlign w:val="subscript"/>
          <w:lang w:val="fr-CH"/>
        </w:rPr>
        <w:t>0</w:t>
      </w:r>
      <w:r w:rsidRPr="00332F79">
        <w:rPr>
          <w:i/>
          <w:iCs/>
          <w:lang w:val="fr-CH"/>
        </w:rPr>
        <w:t>B</w:t>
      </w:r>
      <w:r w:rsidRPr="00332F79">
        <w:rPr>
          <w:i/>
          <w:iCs/>
          <w:vertAlign w:val="subscript"/>
          <w:lang w:val="fr-CH"/>
        </w:rPr>
        <w:t>n</w:t>
      </w:r>
      <w:r w:rsidRPr="00332F79">
        <w:rPr>
          <w:lang w:val="fr-CH"/>
        </w:rPr>
        <w:t xml:space="preserve"> </w:t>
      </w:r>
      <w:r>
        <w:rPr>
          <w:lang w:val="fr-CH"/>
        </w:rPr>
        <w:t>=</w:t>
      </w:r>
      <w:r w:rsidRPr="00332F79">
        <w:rPr>
          <w:lang w:val="fr-CH"/>
        </w:rPr>
        <w:t xml:space="preserve"> (</w:t>
      </w:r>
      <w:r w:rsidRPr="00332F79">
        <w:rPr>
          <w:i/>
          <w:iCs/>
          <w:lang w:val="fr-CH"/>
        </w:rPr>
        <w:t>f</w:t>
      </w:r>
      <w:r>
        <w:rPr>
          <w:lang w:val="fr-CH"/>
        </w:rPr>
        <w:t xml:space="preserve"> – 1</w:t>
      </w:r>
      <w:r w:rsidRPr="00332F79">
        <w:rPr>
          <w:lang w:val="fr-CH"/>
        </w:rPr>
        <w:t xml:space="preserve">) </w:t>
      </w:r>
      <w:r w:rsidRPr="00332F79">
        <w:rPr>
          <w:i/>
          <w:iCs/>
          <w:lang w:val="fr-CH"/>
        </w:rPr>
        <w:t>p</w:t>
      </w:r>
      <w:r w:rsidRPr="00332F79">
        <w:rPr>
          <w:i/>
          <w:iCs/>
          <w:vertAlign w:val="subscript"/>
          <w:lang w:val="fr-CH"/>
        </w:rPr>
        <w:t>n</w:t>
      </w:r>
      <w:r w:rsidRPr="00332F79">
        <w:rPr>
          <w:i/>
          <w:iCs/>
          <w:lang w:val="fr-CH"/>
        </w:rPr>
        <w:t>B</w:t>
      </w:r>
      <w:r w:rsidRPr="00332F79">
        <w:rPr>
          <w:i/>
          <w:iCs/>
          <w:vertAlign w:val="subscript"/>
          <w:lang w:val="fr-CH"/>
        </w:rPr>
        <w:t>n</w:t>
      </w:r>
      <w:r w:rsidRPr="00332F79">
        <w:rPr>
          <w:lang w:val="fr-CH"/>
        </w:rPr>
        <w:tab/>
        <w:t>(2)</w:t>
      </w:r>
    </w:p>
    <w:p w14:paraId="7D49B130" w14:textId="77777777" w:rsidR="00332F79" w:rsidRPr="00D57534" w:rsidRDefault="00332F79" w:rsidP="00332F79">
      <w:pPr>
        <w:pStyle w:val="Blanc"/>
        <w:rPr>
          <w:lang w:val="fr-CH"/>
        </w:rPr>
      </w:pPr>
    </w:p>
    <w:p w14:paraId="0F1F7726" w14:textId="77777777" w:rsidR="00D56E53" w:rsidRPr="00D54E02" w:rsidRDefault="00D56E53" w:rsidP="00D56E53">
      <w:pPr>
        <w:rPr>
          <w:lang w:val="es-ES_tradnl"/>
        </w:rPr>
      </w:pPr>
      <w:r w:rsidRPr="00D54E02">
        <w:rPr>
          <w:lang w:val="es-ES_tradnl"/>
        </w:rPr>
        <w:t>siendo</w:t>
      </w:r>
      <w:r w:rsidR="00D44CB1">
        <w:rPr>
          <w:lang w:val="es-ES_tradnl"/>
        </w:rPr>
        <w:t>:</w:t>
      </w:r>
    </w:p>
    <w:p w14:paraId="452AB842" w14:textId="77777777" w:rsidR="00D56E53" w:rsidRPr="00D54E02" w:rsidRDefault="00D56E53" w:rsidP="008E564F">
      <w:pPr>
        <w:pStyle w:val="Equationlegend"/>
        <w:rPr>
          <w:lang w:val="es-ES_tradnl"/>
        </w:rPr>
      </w:pPr>
      <w:r w:rsidRPr="00D54E02">
        <w:rPr>
          <w:lang w:val="es-ES_tradnl"/>
        </w:rPr>
        <w:tab/>
      </w:r>
      <w:r w:rsidRPr="00D54E02">
        <w:rPr>
          <w:i/>
          <w:lang w:val="es-ES_tradnl"/>
        </w:rPr>
        <w:t>f</w:t>
      </w:r>
      <w:r w:rsidRPr="00D54E02">
        <w:rPr>
          <w:lang w:val="es-ES_tradnl"/>
        </w:rPr>
        <w:t xml:space="preserve">: </w:t>
      </w:r>
      <w:r w:rsidRPr="00D54E02">
        <w:rPr>
          <w:lang w:val="es-ES_tradnl"/>
        </w:rPr>
        <w:tab/>
        <w:t>el factor de ruido del receptor;</w:t>
      </w:r>
    </w:p>
    <w:p w14:paraId="12EB9272" w14:textId="77777777" w:rsidR="00D56E53" w:rsidRPr="00D54E02" w:rsidRDefault="00D56E53" w:rsidP="00D56E53">
      <w:pPr>
        <w:pStyle w:val="Equationlegend"/>
        <w:rPr>
          <w:lang w:val="es-ES_tradnl"/>
        </w:rPr>
      </w:pPr>
      <w:r w:rsidRPr="00D54E02">
        <w:rPr>
          <w:lang w:val="es-ES_tradnl"/>
        </w:rPr>
        <w:tab/>
      </w:r>
      <w:r w:rsidRPr="00D54E02">
        <w:rPr>
          <w:i/>
          <w:lang w:val="es-ES_tradnl"/>
        </w:rPr>
        <w:t>k</w:t>
      </w:r>
      <w:r w:rsidRPr="00D54E02">
        <w:rPr>
          <w:lang w:val="es-ES_tradnl"/>
        </w:rPr>
        <w:t xml:space="preserve">: </w:t>
      </w:r>
      <w:r w:rsidRPr="00D54E02">
        <w:rPr>
          <w:lang w:val="es-ES_tradnl"/>
        </w:rPr>
        <w:tab/>
        <w:t>la constante de Boltzmann;</w:t>
      </w:r>
    </w:p>
    <w:p w14:paraId="725DEA6A" w14:textId="77777777" w:rsidR="00D56E53" w:rsidRPr="00D54E02" w:rsidRDefault="00D56E53" w:rsidP="00D56E53">
      <w:pPr>
        <w:pStyle w:val="Equationlegend"/>
        <w:rPr>
          <w:lang w:val="es-ES_tradnl"/>
        </w:rPr>
      </w:pPr>
      <w:r w:rsidRPr="00D54E02">
        <w:rPr>
          <w:lang w:val="es-ES_tradnl"/>
        </w:rPr>
        <w:tab/>
      </w:r>
      <w:r w:rsidRPr="00D54E02">
        <w:rPr>
          <w:position w:val="-12"/>
          <w:lang w:val="es-ES_tradnl"/>
        </w:rPr>
        <w:object w:dxaOrig="220" w:dyaOrig="360" w14:anchorId="66186729">
          <v:shape id="_x0000_i1026" type="#_x0000_t75" style="width:7.5pt;height:21.5pt" o:ole="">
            <v:imagedata r:id="rId15" o:title=""/>
          </v:shape>
          <o:OLEObject Type="Embed" ProgID="Equation.3" ShapeID="_x0000_i1026" DrawAspect="Content" ObjectID="_1652586370" r:id="rId16"/>
        </w:object>
      </w:r>
      <w:r w:rsidRPr="00D54E02">
        <w:rPr>
          <w:lang w:val="es-ES_tradnl"/>
        </w:rPr>
        <w:t xml:space="preserve">: </w:t>
      </w:r>
      <w:r w:rsidRPr="00D54E02">
        <w:rPr>
          <w:lang w:val="es-ES_tradnl"/>
        </w:rPr>
        <w:tab/>
        <w:t>la temperatura de referencia que se considera con un valor de 290 K;</w:t>
      </w:r>
    </w:p>
    <w:p w14:paraId="17F6DDE5" w14:textId="77777777" w:rsidR="00D56E53" w:rsidRDefault="00D56E53" w:rsidP="008E564F">
      <w:pPr>
        <w:pStyle w:val="Equationlegend"/>
        <w:rPr>
          <w:lang w:val="es-ES_tradnl"/>
        </w:rPr>
      </w:pPr>
      <w:r w:rsidRPr="00D54E02">
        <w:rPr>
          <w:lang w:val="es-ES_tradnl"/>
        </w:rPr>
        <w:tab/>
      </w:r>
      <w:r w:rsidRPr="00D54E02">
        <w:rPr>
          <w:i/>
          <w:lang w:val="es-ES_tradnl"/>
        </w:rPr>
        <w:t>B</w:t>
      </w:r>
      <w:r w:rsidRPr="00D54E02">
        <w:rPr>
          <w:i/>
          <w:vertAlign w:val="subscript"/>
          <w:lang w:val="es-ES_tradnl"/>
        </w:rPr>
        <w:t>n</w:t>
      </w:r>
      <w:r w:rsidRPr="00D54E02">
        <w:rPr>
          <w:lang w:val="es-ES_tradnl"/>
        </w:rPr>
        <w:t xml:space="preserve">: </w:t>
      </w:r>
      <w:r w:rsidRPr="00D54E02">
        <w:rPr>
          <w:lang w:val="es-ES_tradnl"/>
        </w:rPr>
        <w:tab/>
        <w:t>la anchura de banda de ruido del receptor;</w:t>
      </w:r>
    </w:p>
    <w:p w14:paraId="74AB578E" w14:textId="77777777" w:rsidR="008E564F" w:rsidRPr="00D54E02" w:rsidRDefault="008E564F" w:rsidP="008E564F">
      <w:pPr>
        <w:pStyle w:val="Equationlegend"/>
        <w:rPr>
          <w:lang w:val="es-ES_tradnl"/>
        </w:rPr>
      </w:pPr>
      <w:r>
        <w:rPr>
          <w:lang w:val="es-ES_tradnl"/>
        </w:rPr>
        <w:tab/>
      </w:r>
      <w:r w:rsidRPr="008E564F">
        <w:rPr>
          <w:i/>
          <w:iCs/>
          <w:lang w:val="es-ES_tradnl"/>
        </w:rPr>
        <w:t>p</w:t>
      </w:r>
      <w:r w:rsidRPr="008E564F">
        <w:rPr>
          <w:i/>
          <w:iCs/>
          <w:vertAlign w:val="subscript"/>
          <w:lang w:val="es-ES_tradnl"/>
        </w:rPr>
        <w:t>n</w:t>
      </w:r>
      <w:r>
        <w:rPr>
          <w:lang w:val="es-ES_tradnl"/>
        </w:rPr>
        <w:t xml:space="preserve"> = </w:t>
      </w:r>
      <w:r w:rsidRPr="008E564F">
        <w:rPr>
          <w:i/>
          <w:iCs/>
          <w:lang w:val="es-ES_tradnl"/>
        </w:rPr>
        <w:t>kt</w:t>
      </w:r>
      <w:r w:rsidRPr="008E564F">
        <w:rPr>
          <w:vertAlign w:val="subscript"/>
          <w:lang w:val="es-ES_tradnl"/>
        </w:rPr>
        <w:t>0</w:t>
      </w:r>
      <w:r>
        <w:rPr>
          <w:vertAlign w:val="subscript"/>
          <w:lang w:val="es-ES_tradnl"/>
        </w:rPr>
        <w:tab/>
      </w:r>
      <w:r w:rsidRPr="00D54E02">
        <w:rPr>
          <w:lang w:val="es-ES_tradnl"/>
        </w:rPr>
        <w:t>la potencia de ruido térmico disponible (W) en una anchura de banda de 1 Hz.</w:t>
      </w:r>
    </w:p>
    <w:p w14:paraId="6C4AD9B8" w14:textId="77777777" w:rsidR="00D56E53" w:rsidRPr="00D54E02" w:rsidRDefault="00D56E53" w:rsidP="00D56E53">
      <w:pPr>
        <w:rPr>
          <w:lang w:val="es-ES_tradnl"/>
        </w:rPr>
      </w:pPr>
      <w:r w:rsidRPr="00D54E02">
        <w:rPr>
          <w:lang w:val="es-ES_tradnl"/>
        </w:rPr>
        <w:t xml:space="preserve">La sensibilidad de un receptor se caracteriza en las hojas de datos por el factor de ruido, </w:t>
      </w:r>
      <w:r w:rsidRPr="00D54E02">
        <w:rPr>
          <w:i/>
          <w:iCs/>
          <w:lang w:val="es-ES_tradnl"/>
        </w:rPr>
        <w:t>NF</w:t>
      </w:r>
      <w:r w:rsidRPr="00D54E02">
        <w:rPr>
          <w:lang w:val="es-ES_tradnl"/>
        </w:rPr>
        <w:t>. Por consiguiente, la ecuación (2) puede expresarse de la forma siguiente:</w:t>
      </w:r>
    </w:p>
    <w:p w14:paraId="0E8F60DB" w14:textId="77777777" w:rsidR="00715CE0" w:rsidRPr="00715CE0" w:rsidRDefault="00715CE0" w:rsidP="00715CE0">
      <w:pPr>
        <w:pStyle w:val="Blanc"/>
        <w:rPr>
          <w:lang w:val="es-ES_tradnl"/>
        </w:rPr>
      </w:pPr>
    </w:p>
    <w:p w14:paraId="2D837286" w14:textId="77777777" w:rsidR="00D56E53" w:rsidRPr="00D54E02" w:rsidRDefault="00D56E53" w:rsidP="00D56E53">
      <w:pPr>
        <w:pStyle w:val="Equation"/>
        <w:rPr>
          <w:lang w:val="es-ES_tradnl"/>
        </w:rPr>
      </w:pPr>
      <w:r w:rsidRPr="00D54E02">
        <w:rPr>
          <w:lang w:val="es-ES_tradnl"/>
        </w:rPr>
        <w:tab/>
      </w:r>
      <w:r w:rsidRPr="00D54E02">
        <w:rPr>
          <w:lang w:val="es-ES_tradnl"/>
        </w:rPr>
        <w:tab/>
      </w:r>
      <w:r w:rsidRPr="00D54E02">
        <w:rPr>
          <w:position w:val="-12"/>
          <w:lang w:val="es-ES_tradnl"/>
        </w:rPr>
        <w:object w:dxaOrig="2140" w:dyaOrig="639" w14:anchorId="513A7FB0">
          <v:shape id="_x0000_i1027" type="#_x0000_t75" style="width:108pt;height:36pt" o:ole="">
            <v:imagedata r:id="rId17" o:title=""/>
          </v:shape>
          <o:OLEObject Type="Embed" ProgID="Equation.3" ShapeID="_x0000_i1027" DrawAspect="Content" ObjectID="_1652586371" r:id="rId18"/>
        </w:object>
      </w:r>
      <w:r w:rsidRPr="00D54E02">
        <w:rPr>
          <w:lang w:val="es-ES_tradnl"/>
        </w:rPr>
        <w:tab/>
        <w:t>(3)</w:t>
      </w:r>
    </w:p>
    <w:p w14:paraId="26CD44AA" w14:textId="77777777" w:rsidR="00332F79" w:rsidRPr="00715CE0" w:rsidRDefault="00332F79" w:rsidP="00332F79">
      <w:pPr>
        <w:pStyle w:val="Blanc"/>
        <w:rPr>
          <w:lang w:val="es-ES_tradnl"/>
        </w:rPr>
      </w:pPr>
    </w:p>
    <w:p w14:paraId="2BCFFA43" w14:textId="77777777" w:rsidR="00D56E53" w:rsidRPr="00D54E02" w:rsidRDefault="00D56E53" w:rsidP="001A2829">
      <w:pPr>
        <w:rPr>
          <w:lang w:val="es-ES_tradnl"/>
        </w:rPr>
      </w:pPr>
      <w:r w:rsidRPr="00D54E02">
        <w:rPr>
          <w:lang w:val="es-ES_tradnl"/>
        </w:rPr>
        <w:t>siendo</w:t>
      </w:r>
      <w:r w:rsidR="00D44CB1">
        <w:rPr>
          <w:lang w:val="es-ES_tradnl"/>
        </w:rPr>
        <w:t>:</w:t>
      </w:r>
      <w:r w:rsidRPr="00D54E02">
        <w:rPr>
          <w:lang w:val="es-ES_tradnl"/>
        </w:rPr>
        <w:tab/>
      </w:r>
      <w:r w:rsidRPr="00D54E02">
        <w:rPr>
          <w:i/>
          <w:lang w:val="es-ES_tradnl"/>
        </w:rPr>
        <w:t xml:space="preserve">NF </w:t>
      </w:r>
      <w:r w:rsidRPr="00D54E02">
        <w:rPr>
          <w:lang w:val="es-ES_tradnl"/>
        </w:rPr>
        <w:t xml:space="preserve">= 10 </w:t>
      </w:r>
      <w:r w:rsidRPr="00D54E02">
        <w:rPr>
          <w:iCs/>
          <w:lang w:val="es-ES_tradnl"/>
        </w:rPr>
        <w:t>log</w:t>
      </w:r>
      <w:r w:rsidRPr="00D54E02">
        <w:rPr>
          <w:i/>
          <w:lang w:val="es-ES_tradnl"/>
        </w:rPr>
        <w:t xml:space="preserve"> (f)</w:t>
      </w:r>
      <w:r w:rsidRPr="00D54E02">
        <w:rPr>
          <w:lang w:val="es-ES_tradnl"/>
        </w:rPr>
        <w:t>: factor de ruido del receptor (dB)</w:t>
      </w:r>
    </w:p>
    <w:p w14:paraId="64C0A146" w14:textId="77777777" w:rsidR="00D56E53" w:rsidRPr="00D54E02" w:rsidRDefault="00D56E53" w:rsidP="00D56E53">
      <w:pPr>
        <w:rPr>
          <w:lang w:val="es-ES_tradnl"/>
        </w:rPr>
      </w:pPr>
      <w:r w:rsidRPr="00D54E02">
        <w:rPr>
          <w:lang w:val="es-ES_tradnl" w:eastAsia="de-DE"/>
        </w:rPr>
        <w:t>Expresado en dBm, el valor cuadrático medio (eficaz) del ruido interno del receptor es:</w:t>
      </w:r>
    </w:p>
    <w:p w14:paraId="4CF7D877" w14:textId="77777777" w:rsidR="002E5279" w:rsidRPr="00715CE0" w:rsidRDefault="002E5279" w:rsidP="002E5279">
      <w:pPr>
        <w:pStyle w:val="Blanc"/>
        <w:rPr>
          <w:lang w:val="es-ES_tradnl"/>
        </w:rPr>
      </w:pPr>
    </w:p>
    <w:p w14:paraId="5B38257F" w14:textId="77777777" w:rsidR="00D56E53" w:rsidRPr="00D54E02" w:rsidRDefault="00D56E53" w:rsidP="00D56E53">
      <w:pPr>
        <w:pStyle w:val="Equation"/>
        <w:rPr>
          <w:lang w:val="es-ES_tradnl"/>
        </w:rPr>
      </w:pPr>
      <w:r w:rsidRPr="00D54E02">
        <w:rPr>
          <w:lang w:val="es-ES_tradnl"/>
        </w:rPr>
        <w:tab/>
      </w:r>
      <w:r w:rsidRPr="00D54E02">
        <w:rPr>
          <w:lang w:val="es-ES_tradnl"/>
        </w:rPr>
        <w:tab/>
      </w:r>
      <w:r w:rsidRPr="00D54E02">
        <w:rPr>
          <w:position w:val="-12"/>
          <w:lang w:val="es-ES_tradnl"/>
        </w:rPr>
        <w:object w:dxaOrig="5179" w:dyaOrig="639" w14:anchorId="4C415D13">
          <v:shape id="_x0000_i1028" type="#_x0000_t75" style="width:259.5pt;height:36pt" o:ole="">
            <v:imagedata r:id="rId19" o:title=""/>
          </v:shape>
          <o:OLEObject Type="Embed" ProgID="Equation.3" ShapeID="_x0000_i1028" DrawAspect="Content" ObjectID="_1652586372" r:id="rId20"/>
        </w:object>
      </w:r>
      <w:r w:rsidRPr="00D54E02">
        <w:rPr>
          <w:lang w:val="es-ES_tradnl"/>
        </w:rPr>
        <w:tab/>
        <w:t>(4)</w:t>
      </w:r>
    </w:p>
    <w:p w14:paraId="140351EE" w14:textId="77777777" w:rsidR="00332F79" w:rsidRPr="00715CE0" w:rsidRDefault="00332F79" w:rsidP="00332F79">
      <w:pPr>
        <w:pStyle w:val="Blanc"/>
        <w:rPr>
          <w:lang w:val="es-ES_tradnl"/>
        </w:rPr>
      </w:pPr>
    </w:p>
    <w:p w14:paraId="5E6AD44D" w14:textId="77777777" w:rsidR="00D56E53" w:rsidRPr="00D54E02" w:rsidRDefault="00D56E53" w:rsidP="00D56E53">
      <w:pPr>
        <w:rPr>
          <w:lang w:val="es-ES_tradnl"/>
        </w:rPr>
      </w:pPr>
      <w:r w:rsidRPr="00D54E02">
        <w:rPr>
          <w:lang w:val="es-ES_tradnl"/>
        </w:rPr>
        <w:t>siendo</w:t>
      </w:r>
      <w:r w:rsidR="00D44CB1">
        <w:rPr>
          <w:lang w:val="es-ES_tradnl"/>
        </w:rPr>
        <w:t>:</w:t>
      </w:r>
    </w:p>
    <w:p w14:paraId="435F7AB2" w14:textId="77777777" w:rsidR="00D44CB1" w:rsidRPr="00D54E02" w:rsidRDefault="00D44CB1" w:rsidP="00D44CB1">
      <w:pPr>
        <w:pStyle w:val="Equationlegend"/>
        <w:rPr>
          <w:lang w:val="es-ES_tradnl"/>
        </w:rPr>
      </w:pPr>
      <w:r w:rsidRPr="00D54E02">
        <w:rPr>
          <w:lang w:val="es-ES_tradnl"/>
        </w:rPr>
        <w:tab/>
        <w:t>–174 dBm</w:t>
      </w:r>
      <w:r>
        <w:rPr>
          <w:lang w:val="es-ES_tradnl"/>
        </w:rPr>
        <w:tab/>
      </w:r>
      <w:r w:rsidRPr="00D54E02">
        <w:rPr>
          <w:lang w:val="es-ES_tradnl"/>
        </w:rPr>
        <w:t>la potencia de ruido térmico disponible a la temperatura ambiente en una anchura de banda de 1 Hz</w:t>
      </w:r>
    </w:p>
    <w:p w14:paraId="40F2C7A5" w14:textId="77777777" w:rsidR="00D56E53" w:rsidRPr="00D54E02" w:rsidRDefault="00D56E53" w:rsidP="00332F79">
      <w:pPr>
        <w:rPr>
          <w:lang w:val="es-ES_tradnl"/>
        </w:rPr>
      </w:pPr>
      <w:r w:rsidRPr="00D54E02">
        <w:rPr>
          <w:lang w:val="es-ES_tradnl"/>
        </w:rPr>
        <w:t>Normalmente, la anchura de banda de medición de un receptor es aproximadamente igual a su anchura de banda de ruido. Además, los factores de ruido (</w:t>
      </w:r>
      <w:r w:rsidRPr="00D54E02">
        <w:rPr>
          <w:i/>
          <w:iCs/>
          <w:lang w:val="es-ES_tradnl"/>
        </w:rPr>
        <w:t>NF</w:t>
      </w:r>
      <w:r w:rsidRPr="00D54E02">
        <w:rPr>
          <w:lang w:val="es-ES_tradnl"/>
        </w:rPr>
        <w:t>) de los receptores típicos de comprobación técnica presentan valores de 10</w:t>
      </w:r>
      <w:r w:rsidR="00332F79">
        <w:rPr>
          <w:lang w:val="es-ES_tradnl"/>
        </w:rPr>
        <w:t> </w:t>
      </w:r>
      <w:r w:rsidRPr="00D54E02">
        <w:rPr>
          <w:lang w:val="es-ES_tradnl"/>
        </w:rPr>
        <w:t>dB o superiores. Teniendo esto en cuenta, la fórmula del valor cuadrático medio (eficaz) del ruido interno del receptor es menos compleja:</w:t>
      </w:r>
    </w:p>
    <w:p w14:paraId="3CE1DBA2" w14:textId="77777777" w:rsidR="004820E7" w:rsidRPr="00715CE0" w:rsidRDefault="004820E7" w:rsidP="004820E7">
      <w:pPr>
        <w:pStyle w:val="Blanc"/>
        <w:rPr>
          <w:lang w:val="es-ES_tradnl"/>
        </w:rPr>
      </w:pPr>
    </w:p>
    <w:p w14:paraId="3FB3B5C3" w14:textId="77777777" w:rsidR="00332F79" w:rsidRPr="00FC59FB" w:rsidRDefault="00332F79" w:rsidP="00332F79">
      <w:pPr>
        <w:pStyle w:val="Equation"/>
        <w:rPr>
          <w:lang w:val="es-ES_tradnl"/>
        </w:rPr>
      </w:pPr>
      <w:r w:rsidRPr="00D54E02">
        <w:rPr>
          <w:lang w:val="es-ES_tradnl"/>
        </w:rPr>
        <w:tab/>
      </w:r>
      <w:r w:rsidRPr="00D54E02">
        <w:rPr>
          <w:lang w:val="es-ES_tradnl"/>
        </w:rPr>
        <w:tab/>
      </w:r>
      <w:proofErr w:type="gramStart"/>
      <w:r w:rsidRPr="00FC59FB">
        <w:rPr>
          <w:i/>
          <w:iCs/>
          <w:lang w:val="es-ES_tradnl"/>
        </w:rPr>
        <w:t>P</w:t>
      </w:r>
      <w:r w:rsidRPr="00FC59FB">
        <w:rPr>
          <w:i/>
          <w:iCs/>
          <w:vertAlign w:val="subscript"/>
          <w:lang w:val="es-ES_tradnl"/>
        </w:rPr>
        <w:t>R</w:t>
      </w:r>
      <w:r w:rsidRPr="00FC59FB">
        <w:rPr>
          <w:lang w:val="es-ES_tradnl"/>
        </w:rPr>
        <w:t>(</w:t>
      </w:r>
      <w:proofErr w:type="gramEnd"/>
      <w:r w:rsidRPr="00FC59FB">
        <w:rPr>
          <w:lang w:val="es-ES_tradnl"/>
        </w:rPr>
        <w:t xml:space="preserve">dBm) = </w:t>
      </w:r>
      <w:r w:rsidRPr="00FC59FB">
        <w:rPr>
          <w:i/>
          <w:iCs/>
          <w:lang w:val="es-ES_tradnl"/>
        </w:rPr>
        <w:t>P</w:t>
      </w:r>
      <w:r w:rsidRPr="00FC59FB">
        <w:rPr>
          <w:i/>
          <w:iCs/>
          <w:vertAlign w:val="subscript"/>
          <w:lang w:val="es-ES_tradnl"/>
        </w:rPr>
        <w:t>n</w:t>
      </w:r>
      <w:r w:rsidRPr="00FC59FB">
        <w:rPr>
          <w:lang w:val="es-ES_tradnl"/>
        </w:rPr>
        <w:t xml:space="preserve"> + </w:t>
      </w:r>
      <w:r w:rsidRPr="00FC59FB">
        <w:rPr>
          <w:i/>
          <w:iCs/>
          <w:lang w:val="es-ES_tradnl"/>
        </w:rPr>
        <w:t>NF</w:t>
      </w:r>
      <w:r w:rsidRPr="00FC59FB">
        <w:rPr>
          <w:lang w:val="es-ES_tradnl"/>
        </w:rPr>
        <w:t xml:space="preserve"> 10log(</w:t>
      </w:r>
      <w:r w:rsidRPr="00FC59FB">
        <w:rPr>
          <w:i/>
          <w:iCs/>
          <w:lang w:val="es-ES_tradnl"/>
        </w:rPr>
        <w:t>B</w:t>
      </w:r>
      <w:r w:rsidRPr="00FC59FB">
        <w:rPr>
          <w:lang w:val="es-ES_tradnl"/>
        </w:rPr>
        <w:t>)</w:t>
      </w:r>
      <w:r w:rsidRPr="00FC59FB">
        <w:rPr>
          <w:lang w:val="es-ES_tradnl"/>
        </w:rPr>
        <w:tab/>
        <w:t>(5)</w:t>
      </w:r>
    </w:p>
    <w:p w14:paraId="6C50C07F" w14:textId="77777777" w:rsidR="00332F79" w:rsidRPr="00FC59FB" w:rsidRDefault="00332F79" w:rsidP="00332F79">
      <w:pPr>
        <w:pStyle w:val="Blanc"/>
        <w:rPr>
          <w:lang w:val="es-ES_tradnl"/>
        </w:rPr>
      </w:pPr>
    </w:p>
    <w:p w14:paraId="70F5ACFD" w14:textId="77777777" w:rsidR="00D56E53" w:rsidRPr="00D54E02" w:rsidRDefault="00D56E53" w:rsidP="00D56E53">
      <w:pPr>
        <w:rPr>
          <w:lang w:val="es-ES_tradnl"/>
        </w:rPr>
      </w:pPr>
      <w:r w:rsidRPr="00D54E02">
        <w:rPr>
          <w:lang w:val="es-ES_tradnl"/>
        </w:rPr>
        <w:t>siendo</w:t>
      </w:r>
      <w:r w:rsidR="00D44CB1">
        <w:rPr>
          <w:lang w:val="es-ES_tradnl"/>
        </w:rPr>
        <w:t>:</w:t>
      </w:r>
    </w:p>
    <w:p w14:paraId="1BFA52A2" w14:textId="77777777" w:rsidR="00D56E53" w:rsidRPr="00D54E02" w:rsidRDefault="00D56E53" w:rsidP="001A2829">
      <w:pPr>
        <w:pStyle w:val="Equationlegend"/>
        <w:rPr>
          <w:lang w:val="es-ES_tradnl"/>
        </w:rPr>
      </w:pPr>
      <w:r w:rsidRPr="00D54E02">
        <w:rPr>
          <w:i/>
          <w:iCs/>
          <w:lang w:val="es-ES_tradnl"/>
        </w:rPr>
        <w:tab/>
        <w:t>P</w:t>
      </w:r>
      <w:r w:rsidRPr="00D54E02">
        <w:rPr>
          <w:i/>
          <w:iCs/>
          <w:vertAlign w:val="subscript"/>
          <w:lang w:val="es-ES_tradnl"/>
        </w:rPr>
        <w:t>n</w:t>
      </w:r>
      <w:r w:rsidRPr="00D54E02">
        <w:rPr>
          <w:lang w:val="es-ES_tradnl"/>
        </w:rPr>
        <w:t>:</w:t>
      </w:r>
      <w:r w:rsidRPr="00D54E02">
        <w:rPr>
          <w:lang w:val="es-ES_tradnl"/>
        </w:rPr>
        <w:tab/>
        <w:t>la potencia de ruido térmico disponible a la temperatura ambiente en una anchura de banda de 1 Hz (–174 dBm);</w:t>
      </w:r>
    </w:p>
    <w:p w14:paraId="6D40D9E7" w14:textId="77777777" w:rsidR="00D56E53" w:rsidRPr="00D54E02" w:rsidRDefault="00D56E53" w:rsidP="001A2829">
      <w:pPr>
        <w:pStyle w:val="Equationlegend"/>
        <w:rPr>
          <w:lang w:val="es-ES_tradnl"/>
        </w:rPr>
      </w:pPr>
      <w:r w:rsidRPr="00D54E02">
        <w:rPr>
          <w:lang w:val="es-ES_tradnl"/>
        </w:rPr>
        <w:tab/>
      </w:r>
      <w:r w:rsidRPr="00D54E02">
        <w:rPr>
          <w:i/>
          <w:iCs/>
          <w:lang w:val="es-ES_tradnl"/>
        </w:rPr>
        <w:t>B</w:t>
      </w:r>
      <w:r w:rsidRPr="00D54E02">
        <w:rPr>
          <w:lang w:val="es-ES_tradnl"/>
        </w:rPr>
        <w:t xml:space="preserve">: </w:t>
      </w:r>
      <w:r w:rsidRPr="00D54E02">
        <w:rPr>
          <w:lang w:val="es-ES_tradnl"/>
        </w:rPr>
        <w:tab/>
        <w:t>la anchura de banda de medición (Hz).</w:t>
      </w:r>
    </w:p>
    <w:p w14:paraId="6BF476F0" w14:textId="77777777" w:rsidR="00D56E53" w:rsidRPr="00D54E02" w:rsidRDefault="00D56E53" w:rsidP="00D56E53">
      <w:pPr>
        <w:rPr>
          <w:lang w:val="es-ES_tradnl"/>
        </w:rPr>
      </w:pPr>
      <w:r w:rsidRPr="00D54E02">
        <w:rPr>
          <w:lang w:val="es-ES_tradnl"/>
        </w:rPr>
        <w:t xml:space="preserve">El valor del factor de ruido puede consultarse en la hoja de especificaciones del receptor. El parámetro </w:t>
      </w:r>
      <w:r w:rsidRPr="00D54E02">
        <w:rPr>
          <w:i/>
          <w:iCs/>
          <w:lang w:val="es-ES_tradnl"/>
        </w:rPr>
        <w:t>P</w:t>
      </w:r>
      <w:r w:rsidRPr="00D54E02">
        <w:rPr>
          <w:i/>
          <w:iCs/>
          <w:vertAlign w:val="subscript"/>
          <w:lang w:val="es-ES_tradnl"/>
        </w:rPr>
        <w:t>R</w:t>
      </w:r>
      <w:r w:rsidRPr="008C56E4">
        <w:rPr>
          <w:lang w:val="es-ES_tradnl"/>
        </w:rPr>
        <w:t xml:space="preserve"> </w:t>
      </w:r>
      <w:r w:rsidRPr="00D54E02">
        <w:rPr>
          <w:lang w:val="es-ES_tradnl"/>
        </w:rPr>
        <w:t>también se conoce con el nombre de «nivel de ruido medio visualizado» (DANL).</w:t>
      </w:r>
    </w:p>
    <w:p w14:paraId="1C83D77E" w14:textId="77777777" w:rsidR="00D56E53" w:rsidRPr="00D54E02" w:rsidRDefault="00D56E53" w:rsidP="00D56E53">
      <w:pPr>
        <w:pStyle w:val="Heading2"/>
        <w:rPr>
          <w:lang w:val="es-ES_tradnl"/>
        </w:rPr>
      </w:pPr>
      <w:r w:rsidRPr="00D54E02">
        <w:rPr>
          <w:lang w:val="es-ES_tradnl"/>
        </w:rPr>
        <w:t>3.3</w:t>
      </w:r>
      <w:r w:rsidRPr="00D54E02">
        <w:rPr>
          <w:lang w:val="es-ES_tradnl"/>
        </w:rPr>
        <w:tab/>
        <w:t>Anchura de banda del receptor</w:t>
      </w:r>
    </w:p>
    <w:p w14:paraId="08EEAB75" w14:textId="77777777" w:rsidR="00D56E53" w:rsidRPr="00D54E02" w:rsidRDefault="00D56E53" w:rsidP="00D56E53">
      <w:pPr>
        <w:rPr>
          <w:lang w:val="es-ES_tradnl"/>
        </w:rPr>
      </w:pPr>
      <w:r w:rsidRPr="00D54E02">
        <w:rPr>
          <w:lang w:val="es-ES_tradnl"/>
        </w:rPr>
        <w:t>Siempre que se especifican los niveles de las señales de RF, también debe especificarse la anchura de banda de referencia empleada para medir este nivel. Sin otra información adicional, la máxima intensidad de campo para proteger una estación de comprobación técnica normalmente se mediría en la anchura de banda total de la señal respectiva.</w:t>
      </w:r>
    </w:p>
    <w:p w14:paraId="47346133" w14:textId="77777777" w:rsidR="00D56E53" w:rsidRPr="00D54E02" w:rsidRDefault="00D56E53" w:rsidP="00D56E53">
      <w:pPr>
        <w:pStyle w:val="Heading2"/>
        <w:rPr>
          <w:lang w:val="es-ES_tradnl"/>
        </w:rPr>
      </w:pPr>
      <w:r w:rsidRPr="00D54E02">
        <w:rPr>
          <w:lang w:val="es-ES_tradnl"/>
        </w:rPr>
        <w:t>3.4</w:t>
      </w:r>
      <w:r w:rsidRPr="00D54E02">
        <w:rPr>
          <w:lang w:val="es-ES_tradnl"/>
        </w:rPr>
        <w:tab/>
        <w:t>Ganancia de antena</w:t>
      </w:r>
    </w:p>
    <w:p w14:paraId="3F81B61F" w14:textId="77777777" w:rsidR="00D56E53" w:rsidRPr="00D54E02" w:rsidRDefault="00D56E53" w:rsidP="00D56E53">
      <w:pPr>
        <w:rPr>
          <w:lang w:val="es-ES_tradnl"/>
        </w:rPr>
      </w:pPr>
      <w:r w:rsidRPr="00D54E02">
        <w:rPr>
          <w:lang w:val="es-ES_tradnl"/>
        </w:rPr>
        <w:t>Para convertir los niveles de entrada medidos en intensidad de campo, es importante conocer las propiedades de la antena. La ganancia de antena está relacionada con el factor de antena de acuerdo con la siguiente expresión:</w:t>
      </w:r>
    </w:p>
    <w:p w14:paraId="6E349FDF" w14:textId="77777777" w:rsidR="004820E7" w:rsidRPr="00715CE0" w:rsidRDefault="004820E7" w:rsidP="004820E7">
      <w:pPr>
        <w:pStyle w:val="Blanc"/>
        <w:rPr>
          <w:lang w:val="es-ES_tradnl"/>
        </w:rPr>
      </w:pPr>
    </w:p>
    <w:p w14:paraId="73E61B54" w14:textId="77777777" w:rsidR="001A2829" w:rsidRPr="00D54E02" w:rsidRDefault="001A2829" w:rsidP="001A2829">
      <w:pPr>
        <w:pStyle w:val="Equation"/>
        <w:rPr>
          <w:lang w:val="es-ES_tradnl"/>
        </w:rPr>
      </w:pPr>
      <w:r>
        <w:rPr>
          <w:lang w:val="es-ES_tradnl"/>
        </w:rPr>
        <w:tab/>
      </w:r>
      <w:r>
        <w:rPr>
          <w:lang w:val="es-ES_tradnl"/>
        </w:rPr>
        <w:tab/>
      </w:r>
      <w:r w:rsidRPr="001A2829">
        <w:rPr>
          <w:i/>
          <w:iCs/>
          <w:lang w:val="es-ES_tradnl"/>
        </w:rPr>
        <w:t>G</w:t>
      </w:r>
      <w:r w:rsidRPr="001A2829">
        <w:rPr>
          <w:i/>
          <w:iCs/>
          <w:vertAlign w:val="subscript"/>
          <w:lang w:val="es-ES_tradnl"/>
        </w:rPr>
        <w:t>i</w:t>
      </w:r>
      <w:r>
        <w:rPr>
          <w:lang w:val="es-ES_tradnl"/>
        </w:rPr>
        <w:t xml:space="preserve"> = 20log(</w:t>
      </w:r>
      <w:r w:rsidRPr="001A2829">
        <w:rPr>
          <w:i/>
          <w:iCs/>
          <w:lang w:val="es-ES_tradnl"/>
        </w:rPr>
        <w:t>f</w:t>
      </w:r>
      <w:r>
        <w:rPr>
          <w:lang w:val="es-ES_tradnl"/>
        </w:rPr>
        <w:t xml:space="preserve">) – </w:t>
      </w:r>
      <w:r w:rsidRPr="001A2829">
        <w:rPr>
          <w:i/>
          <w:iCs/>
          <w:lang w:val="es-ES_tradnl"/>
        </w:rPr>
        <w:t>k</w:t>
      </w:r>
      <w:r>
        <w:rPr>
          <w:lang w:val="es-ES_tradnl"/>
        </w:rPr>
        <w:t xml:space="preserve"> – 30 dB</w:t>
      </w:r>
      <w:r>
        <w:rPr>
          <w:lang w:val="es-ES_tradnl"/>
        </w:rPr>
        <w:tab/>
        <w:t>(6)</w:t>
      </w:r>
    </w:p>
    <w:p w14:paraId="5DB36651" w14:textId="77777777" w:rsidR="00332F79" w:rsidRPr="00715CE0" w:rsidRDefault="00332F79" w:rsidP="00332F79">
      <w:pPr>
        <w:pStyle w:val="Blanc"/>
        <w:rPr>
          <w:lang w:val="es-ES_tradnl"/>
        </w:rPr>
      </w:pPr>
    </w:p>
    <w:p w14:paraId="4669148E" w14:textId="77777777" w:rsidR="00D56E53" w:rsidRPr="00D54E02" w:rsidRDefault="00D56E53" w:rsidP="00D56E53">
      <w:pPr>
        <w:spacing w:after="120"/>
        <w:rPr>
          <w:lang w:val="es-ES_tradnl"/>
        </w:rPr>
      </w:pPr>
      <w:r w:rsidRPr="00D54E02">
        <w:rPr>
          <w:lang w:val="es-ES_tradnl"/>
        </w:rPr>
        <w:t>siendo</w:t>
      </w:r>
      <w:r w:rsidR="00D44CB1">
        <w:rPr>
          <w:lang w:val="es-ES_tradnl"/>
        </w:rPr>
        <w:t>:</w:t>
      </w:r>
    </w:p>
    <w:p w14:paraId="48467157" w14:textId="77777777" w:rsidR="00D56E53" w:rsidRPr="00D54E02" w:rsidRDefault="00D56E53" w:rsidP="00715CE0">
      <w:pPr>
        <w:pStyle w:val="Equationlegend"/>
        <w:rPr>
          <w:lang w:val="es-ES_tradnl"/>
        </w:rPr>
      </w:pPr>
      <w:r w:rsidRPr="00D54E02">
        <w:rPr>
          <w:i/>
          <w:lang w:val="es-ES_tradnl"/>
        </w:rPr>
        <w:tab/>
        <w:t>G</w:t>
      </w:r>
      <w:r w:rsidRPr="00D54E02">
        <w:rPr>
          <w:i/>
          <w:vertAlign w:val="subscript"/>
          <w:lang w:val="es-ES_tradnl"/>
        </w:rPr>
        <w:t>i</w:t>
      </w:r>
      <w:r w:rsidRPr="00D54E02">
        <w:rPr>
          <w:lang w:val="es-ES_tradnl"/>
        </w:rPr>
        <w:t xml:space="preserve">: </w:t>
      </w:r>
      <w:r w:rsidRPr="00D54E02">
        <w:rPr>
          <w:lang w:val="es-ES_tradnl"/>
        </w:rPr>
        <w:tab/>
        <w:t>la ganancia de antena en la dirección del haz principal (dBi);</w:t>
      </w:r>
    </w:p>
    <w:p w14:paraId="5176E3B5" w14:textId="77777777" w:rsidR="00D56E53" w:rsidRPr="00D54E02" w:rsidRDefault="00D56E53" w:rsidP="00715CE0">
      <w:pPr>
        <w:pStyle w:val="Equationlegend"/>
        <w:rPr>
          <w:lang w:val="es-ES_tradnl"/>
        </w:rPr>
      </w:pPr>
      <w:r w:rsidRPr="00D54E02">
        <w:rPr>
          <w:lang w:val="es-ES_tradnl"/>
        </w:rPr>
        <w:tab/>
      </w:r>
      <w:r w:rsidRPr="00D54E02">
        <w:rPr>
          <w:i/>
          <w:lang w:val="es-ES_tradnl"/>
        </w:rPr>
        <w:t>f</w:t>
      </w:r>
      <w:r w:rsidRPr="00D54E02">
        <w:rPr>
          <w:lang w:val="es-ES_tradnl"/>
        </w:rPr>
        <w:t>:</w:t>
      </w:r>
      <w:r w:rsidRPr="00D54E02">
        <w:rPr>
          <w:lang w:val="es-ES_tradnl"/>
        </w:rPr>
        <w:tab/>
        <w:t>la frecuencia (MHz);</w:t>
      </w:r>
    </w:p>
    <w:p w14:paraId="590A6D12" w14:textId="77777777" w:rsidR="00D56E53" w:rsidRPr="00D54E02" w:rsidRDefault="00D56E53" w:rsidP="00715CE0">
      <w:pPr>
        <w:pStyle w:val="Equationlegend"/>
        <w:rPr>
          <w:lang w:val="es-ES_tradnl"/>
        </w:rPr>
      </w:pPr>
      <w:r w:rsidRPr="00D54E02">
        <w:rPr>
          <w:lang w:val="es-ES_tradnl"/>
        </w:rPr>
        <w:tab/>
      </w:r>
      <w:r w:rsidRPr="00D54E02">
        <w:rPr>
          <w:i/>
          <w:lang w:val="es-ES_tradnl"/>
        </w:rPr>
        <w:t>k</w:t>
      </w:r>
      <w:r w:rsidRPr="00D54E02">
        <w:rPr>
          <w:lang w:val="es-ES_tradnl"/>
        </w:rPr>
        <w:t>:</w:t>
      </w:r>
      <w:r w:rsidRPr="00D54E02">
        <w:rPr>
          <w:lang w:val="es-ES_tradnl"/>
        </w:rPr>
        <w:tab/>
        <w:t>el factor de antena (dB/m).</w:t>
      </w:r>
    </w:p>
    <w:p w14:paraId="00072EF9" w14:textId="77777777" w:rsidR="00D56E53" w:rsidRPr="00D54E02" w:rsidRDefault="00D56E53" w:rsidP="00D56E53">
      <w:pPr>
        <w:rPr>
          <w:lang w:val="es-ES_tradnl"/>
        </w:rPr>
      </w:pPr>
      <w:r w:rsidRPr="00D54E02">
        <w:rPr>
          <w:lang w:val="es-ES_tradnl"/>
        </w:rPr>
        <w:t>El factor de antena puede utilizarse para calcular la intensidad de campo a partir de la tensión en el conector de ant</w:t>
      </w:r>
      <w:r w:rsidR="001A2829">
        <w:rPr>
          <w:lang w:val="es-ES_tradnl"/>
        </w:rPr>
        <w:t>ena de acuerdo con la ecuación:</w:t>
      </w:r>
    </w:p>
    <w:p w14:paraId="2EA1BB5C" w14:textId="77777777" w:rsidR="004820E7" w:rsidRPr="00715CE0" w:rsidRDefault="004820E7" w:rsidP="004820E7">
      <w:pPr>
        <w:pStyle w:val="Blanc"/>
        <w:rPr>
          <w:lang w:val="es-ES_tradnl"/>
        </w:rPr>
      </w:pPr>
    </w:p>
    <w:p w14:paraId="0D9D750B" w14:textId="77777777" w:rsidR="00EC2DF2" w:rsidRPr="00D54E02" w:rsidRDefault="00EC2DF2" w:rsidP="00EC2DF2">
      <w:pPr>
        <w:pStyle w:val="Equation"/>
        <w:rPr>
          <w:lang w:val="es-ES_tradnl"/>
        </w:rPr>
      </w:pPr>
      <w:r>
        <w:rPr>
          <w:lang w:val="es-ES_tradnl"/>
        </w:rPr>
        <w:tab/>
      </w:r>
      <w:r>
        <w:rPr>
          <w:lang w:val="es-ES_tradnl"/>
        </w:rPr>
        <w:tab/>
      </w:r>
      <w:r w:rsidRPr="00EC2DF2">
        <w:rPr>
          <w:i/>
          <w:iCs/>
          <w:lang w:val="es-ES_tradnl"/>
        </w:rPr>
        <w:t>E</w:t>
      </w:r>
      <w:r>
        <w:rPr>
          <w:lang w:val="es-ES_tradnl"/>
        </w:rPr>
        <w:t xml:space="preserve"> = </w:t>
      </w:r>
      <w:r w:rsidRPr="00EC2DF2">
        <w:rPr>
          <w:i/>
          <w:iCs/>
          <w:lang w:val="es-ES_tradnl"/>
        </w:rPr>
        <w:t>U</w:t>
      </w:r>
      <w:r>
        <w:rPr>
          <w:lang w:val="es-ES_tradnl"/>
        </w:rPr>
        <w:t xml:space="preserve"> + </w:t>
      </w:r>
      <w:r w:rsidRPr="00EC2DF2">
        <w:rPr>
          <w:i/>
          <w:iCs/>
          <w:lang w:val="es-ES_tradnl"/>
        </w:rPr>
        <w:t>k</w:t>
      </w:r>
      <w:r w:rsidRPr="00D54E02">
        <w:rPr>
          <w:lang w:val="es-ES_tradnl"/>
        </w:rPr>
        <w:tab/>
        <w:t>(7)</w:t>
      </w:r>
    </w:p>
    <w:p w14:paraId="6C9FE615" w14:textId="77777777" w:rsidR="00332F79" w:rsidRPr="00715CE0" w:rsidRDefault="00332F79" w:rsidP="00332F79">
      <w:pPr>
        <w:pStyle w:val="Blanc"/>
        <w:rPr>
          <w:lang w:val="es-ES_tradnl"/>
        </w:rPr>
      </w:pPr>
    </w:p>
    <w:p w14:paraId="4D4AB195" w14:textId="77777777" w:rsidR="00D56E53" w:rsidRPr="00D54E02" w:rsidRDefault="00D56E53" w:rsidP="00D56E53">
      <w:pPr>
        <w:rPr>
          <w:lang w:val="es-ES_tradnl"/>
        </w:rPr>
      </w:pPr>
      <w:r w:rsidRPr="00D54E02">
        <w:rPr>
          <w:lang w:val="es-ES_tradnl"/>
        </w:rPr>
        <w:t>siendo</w:t>
      </w:r>
      <w:r w:rsidR="00D44CB1">
        <w:rPr>
          <w:lang w:val="es-ES_tradnl"/>
        </w:rPr>
        <w:t>:</w:t>
      </w:r>
    </w:p>
    <w:p w14:paraId="458B8801" w14:textId="77777777" w:rsidR="00D56E53" w:rsidRPr="00D54E02" w:rsidRDefault="00D56E53" w:rsidP="00715CE0">
      <w:pPr>
        <w:pStyle w:val="Equationlegend"/>
        <w:rPr>
          <w:lang w:val="es-ES_tradnl"/>
        </w:rPr>
      </w:pPr>
      <w:r w:rsidRPr="00D54E02">
        <w:rPr>
          <w:lang w:val="es-ES_tradnl"/>
        </w:rPr>
        <w:tab/>
      </w:r>
      <w:r w:rsidRPr="00D54E02">
        <w:rPr>
          <w:i/>
          <w:lang w:val="es-ES_tradnl"/>
        </w:rPr>
        <w:t>E</w:t>
      </w:r>
      <w:r w:rsidRPr="00D54E02">
        <w:rPr>
          <w:lang w:val="es-ES_tradnl"/>
        </w:rPr>
        <w:t>:</w:t>
      </w:r>
      <w:r w:rsidRPr="00D54E02">
        <w:rPr>
          <w:lang w:val="es-ES_tradnl"/>
        </w:rPr>
        <w:tab/>
        <w:t>la intensidad de campo eléctrico (dBµV/m);</w:t>
      </w:r>
    </w:p>
    <w:p w14:paraId="14ED7744" w14:textId="77777777" w:rsidR="00D56E53" w:rsidRPr="00D54E02" w:rsidRDefault="00D56E53" w:rsidP="00715CE0">
      <w:pPr>
        <w:pStyle w:val="Equationlegend"/>
        <w:rPr>
          <w:lang w:val="es-ES_tradnl"/>
        </w:rPr>
      </w:pPr>
      <w:r w:rsidRPr="00D54E02">
        <w:rPr>
          <w:lang w:val="es-ES_tradnl"/>
        </w:rPr>
        <w:tab/>
      </w:r>
      <w:r w:rsidRPr="00D54E02">
        <w:rPr>
          <w:i/>
          <w:lang w:val="es-ES_tradnl"/>
        </w:rPr>
        <w:t>U</w:t>
      </w:r>
      <w:r w:rsidRPr="00D54E02">
        <w:rPr>
          <w:lang w:val="es-ES_tradnl"/>
        </w:rPr>
        <w:t>:</w:t>
      </w:r>
      <w:r w:rsidRPr="00D54E02">
        <w:rPr>
          <w:lang w:val="es-ES_tradnl"/>
        </w:rPr>
        <w:tab/>
        <w:t>la tensión a la salida de antena (dBµV).</w:t>
      </w:r>
    </w:p>
    <w:p w14:paraId="75052A91" w14:textId="77777777" w:rsidR="00D56E53" w:rsidRPr="00D54E02" w:rsidRDefault="00D56E53" w:rsidP="00D56E53">
      <w:pPr>
        <w:rPr>
          <w:lang w:val="es-ES_tradnl"/>
        </w:rPr>
      </w:pPr>
      <w:r w:rsidRPr="00D54E02">
        <w:rPr>
          <w:lang w:val="es-ES_tradnl"/>
        </w:rPr>
        <w:t>Los valores del factor de antena y/o de la ganancia de antena pueden extraerse de la hoja de especificaciones de la antena.</w:t>
      </w:r>
    </w:p>
    <w:p w14:paraId="623EE5B9" w14:textId="77777777" w:rsidR="00D56E53" w:rsidRPr="00D54E02" w:rsidRDefault="00D56E53" w:rsidP="00D56E53">
      <w:pPr>
        <w:pStyle w:val="Equation"/>
        <w:rPr>
          <w:lang w:val="es-ES_tradnl"/>
        </w:rPr>
      </w:pPr>
      <w:r w:rsidRPr="00D54E02">
        <w:rPr>
          <w:lang w:val="es-ES_tradnl"/>
        </w:rPr>
        <w:t>Para sistemas de 50 ohmios, la potencia de RF y la tensión de RF están relacionadas por la expresión</w:t>
      </w:r>
      <w:r w:rsidR="00F90907">
        <w:rPr>
          <w:lang w:val="es-ES_tradnl"/>
        </w:rPr>
        <w:t>:</w:t>
      </w:r>
    </w:p>
    <w:p w14:paraId="21FFDD86" w14:textId="77777777" w:rsidR="004820E7" w:rsidRPr="00715CE0" w:rsidRDefault="004820E7" w:rsidP="004820E7">
      <w:pPr>
        <w:pStyle w:val="Blanc"/>
        <w:rPr>
          <w:lang w:val="es-ES_tradnl"/>
        </w:rPr>
      </w:pPr>
    </w:p>
    <w:p w14:paraId="6FE2260F" w14:textId="77777777" w:rsidR="00EC2DF2" w:rsidRPr="00D54E02" w:rsidRDefault="00EC2DF2" w:rsidP="00EC2DF2">
      <w:pPr>
        <w:pStyle w:val="Equation"/>
        <w:rPr>
          <w:lang w:val="es-ES_tradnl"/>
        </w:rPr>
      </w:pPr>
      <w:r>
        <w:rPr>
          <w:lang w:val="es-ES_tradnl"/>
        </w:rPr>
        <w:tab/>
      </w:r>
      <w:r>
        <w:rPr>
          <w:lang w:val="es-ES_tradnl"/>
        </w:rPr>
        <w:tab/>
      </w:r>
      <w:r w:rsidRPr="00EC2DF2">
        <w:rPr>
          <w:i/>
          <w:iCs/>
          <w:lang w:val="es-ES_tradnl"/>
        </w:rPr>
        <w:t>P</w:t>
      </w:r>
      <w:r>
        <w:rPr>
          <w:lang w:val="es-ES_tradnl"/>
        </w:rPr>
        <w:t xml:space="preserve">(dBm) = </w:t>
      </w:r>
      <w:r w:rsidRPr="00EC2DF2">
        <w:rPr>
          <w:i/>
          <w:iCs/>
          <w:lang w:val="es-ES_tradnl"/>
        </w:rPr>
        <w:t>U</w:t>
      </w:r>
      <w:r>
        <w:rPr>
          <w:lang w:val="es-ES_tradnl"/>
        </w:rPr>
        <w:t>(dB</w:t>
      </w:r>
      <w:r>
        <w:rPr>
          <w:lang w:val="es-ES_tradnl"/>
        </w:rPr>
        <w:sym w:font="Symbol" w:char="F06D"/>
      </w:r>
      <w:r>
        <w:rPr>
          <w:lang w:val="es-ES_tradnl"/>
        </w:rPr>
        <w:t>V) – 107 dB</w:t>
      </w:r>
      <w:r w:rsidRPr="00D54E02">
        <w:rPr>
          <w:lang w:val="es-ES_tradnl"/>
        </w:rPr>
        <w:tab/>
        <w:t>(8)</w:t>
      </w:r>
    </w:p>
    <w:p w14:paraId="51DAF91F" w14:textId="77777777" w:rsidR="00332F79" w:rsidRPr="00715CE0" w:rsidRDefault="00332F79" w:rsidP="00332F79">
      <w:pPr>
        <w:pStyle w:val="Blanc"/>
        <w:rPr>
          <w:lang w:val="es-ES_tradnl"/>
        </w:rPr>
      </w:pPr>
    </w:p>
    <w:p w14:paraId="5893F4D9" w14:textId="77777777" w:rsidR="00D56E53" w:rsidRPr="00D54E02" w:rsidRDefault="00D56E53" w:rsidP="00D56E53">
      <w:pPr>
        <w:rPr>
          <w:lang w:val="es-ES_tradnl"/>
        </w:rPr>
      </w:pPr>
      <w:r w:rsidRPr="00D54E02">
        <w:rPr>
          <w:lang w:val="es-ES_tradnl"/>
        </w:rPr>
        <w:t>de manera que</w:t>
      </w:r>
      <w:r w:rsidR="00D44CB1">
        <w:rPr>
          <w:lang w:val="es-ES_tradnl"/>
        </w:rPr>
        <w:t>:</w:t>
      </w:r>
    </w:p>
    <w:p w14:paraId="3F2519D3" w14:textId="77777777" w:rsidR="004820E7" w:rsidRPr="00715CE0" w:rsidRDefault="004820E7" w:rsidP="004820E7">
      <w:pPr>
        <w:pStyle w:val="Blanc"/>
        <w:rPr>
          <w:lang w:val="es-ES_tradnl"/>
        </w:rPr>
      </w:pPr>
    </w:p>
    <w:p w14:paraId="0D5C8A33" w14:textId="77777777" w:rsidR="00332F79" w:rsidRPr="00D54E02" w:rsidRDefault="00332F79" w:rsidP="00332F79">
      <w:pPr>
        <w:pStyle w:val="Equation"/>
        <w:rPr>
          <w:lang w:val="es-ES_tradnl"/>
        </w:rPr>
      </w:pPr>
      <w:r>
        <w:rPr>
          <w:lang w:val="es-ES_tradnl"/>
        </w:rPr>
        <w:tab/>
      </w:r>
      <w:r>
        <w:rPr>
          <w:lang w:val="es-ES_tradnl"/>
        </w:rPr>
        <w:tab/>
      </w:r>
      <w:r>
        <w:rPr>
          <w:i/>
          <w:iCs/>
          <w:lang w:val="es-ES_tradnl"/>
        </w:rPr>
        <w:t>E</w:t>
      </w:r>
      <w:r>
        <w:rPr>
          <w:lang w:val="es-ES_tradnl"/>
        </w:rPr>
        <w:t>(dB</w:t>
      </w:r>
      <w:r>
        <w:rPr>
          <w:lang w:val="es-ES_tradnl"/>
        </w:rPr>
        <w:sym w:font="Symbol" w:char="F06D"/>
      </w:r>
      <w:r>
        <w:rPr>
          <w:lang w:val="es-ES_tradnl"/>
        </w:rPr>
        <w:t xml:space="preserve">V/m) = </w:t>
      </w:r>
      <w:r>
        <w:rPr>
          <w:i/>
          <w:iCs/>
          <w:lang w:val="es-ES_tradnl"/>
        </w:rPr>
        <w:t>P</w:t>
      </w:r>
      <w:r>
        <w:rPr>
          <w:lang w:val="es-ES_tradnl"/>
        </w:rPr>
        <w:t>(dBm) + 20log(</w:t>
      </w:r>
      <w:r w:rsidRPr="00332F79">
        <w:rPr>
          <w:i/>
          <w:iCs/>
          <w:lang w:val="es-ES_tradnl"/>
        </w:rPr>
        <w:t>f</w:t>
      </w:r>
      <w:r>
        <w:rPr>
          <w:lang w:val="es-ES_tradnl"/>
        </w:rPr>
        <w:t xml:space="preserve">(MHz)) – </w:t>
      </w:r>
      <w:r w:rsidRPr="00332F79">
        <w:rPr>
          <w:i/>
          <w:iCs/>
          <w:lang w:val="es-ES_tradnl"/>
        </w:rPr>
        <w:t>G</w:t>
      </w:r>
      <w:r w:rsidRPr="00332F79">
        <w:rPr>
          <w:i/>
          <w:iCs/>
          <w:vertAlign w:val="subscript"/>
          <w:lang w:val="es-ES_tradnl"/>
        </w:rPr>
        <w:t>i</w:t>
      </w:r>
      <w:r>
        <w:rPr>
          <w:lang w:val="es-ES_tradnl"/>
        </w:rPr>
        <w:t xml:space="preserve"> (dB) + 77 dB</w:t>
      </w:r>
      <w:r w:rsidRPr="00D54E02">
        <w:rPr>
          <w:lang w:val="es-ES_tradnl"/>
        </w:rPr>
        <w:tab/>
        <w:t>(8)</w:t>
      </w:r>
    </w:p>
    <w:p w14:paraId="322E7223" w14:textId="77777777" w:rsidR="00332F79" w:rsidRPr="00715CE0" w:rsidRDefault="00332F79" w:rsidP="00332F79">
      <w:pPr>
        <w:pStyle w:val="Blanc"/>
        <w:rPr>
          <w:lang w:val="es-ES_tradnl"/>
        </w:rPr>
      </w:pPr>
    </w:p>
    <w:p w14:paraId="3ADD779D" w14:textId="77777777" w:rsidR="00D56E53" w:rsidRPr="00D54E02" w:rsidRDefault="00D56E53" w:rsidP="00D56E53">
      <w:pPr>
        <w:pStyle w:val="Heading2"/>
        <w:rPr>
          <w:lang w:val="es-ES_tradnl"/>
        </w:rPr>
      </w:pPr>
      <w:r w:rsidRPr="00D54E02">
        <w:rPr>
          <w:lang w:val="es-ES_tradnl"/>
        </w:rPr>
        <w:t>3.5</w:t>
      </w:r>
      <w:r w:rsidRPr="00D54E02">
        <w:rPr>
          <w:lang w:val="es-ES_tradnl"/>
        </w:rPr>
        <w:tab/>
        <w:t>Ruido externo</w:t>
      </w:r>
    </w:p>
    <w:p w14:paraId="5D42A623" w14:textId="77777777" w:rsidR="00D56E53" w:rsidRPr="00D54E02" w:rsidRDefault="00D56E53" w:rsidP="00D56E53">
      <w:pPr>
        <w:rPr>
          <w:lang w:val="es-ES_tradnl"/>
        </w:rPr>
      </w:pPr>
      <w:r w:rsidRPr="00D54E02">
        <w:rPr>
          <w:lang w:val="es-ES_tradnl"/>
        </w:rPr>
        <w:t>El ruido externo en este contexto es el nivel de todas las emisiones no deseadas, ya sean artificiales o naturales, que le llegan al receptor de comprobación técnica a través de la antena. Para frecuencias por encima de unos 30 MHz, la componente principal es el ruido artificial. Sin embargo, en la mayoría de los casos el nivel de ruido artificial es inferior al nivel de ruido del receptor, especialmente en zonas rurales, y por tanto puede despreciarse en el proceso de cálculo.</w:t>
      </w:r>
    </w:p>
    <w:p w14:paraId="60EC8054" w14:textId="77777777" w:rsidR="00D56E53" w:rsidRPr="00D54E02" w:rsidRDefault="00D56E53" w:rsidP="00D56E53">
      <w:pPr>
        <w:rPr>
          <w:lang w:val="es-ES_tradnl"/>
        </w:rPr>
      </w:pPr>
      <w:r w:rsidRPr="00D54E02">
        <w:rPr>
          <w:lang w:val="es-ES_tradnl"/>
        </w:rPr>
        <w:t>No obstante, para frecuencias por debajo de 30 MHz, la sensibilidad del montaje de comprobación técnica se determina mediante el ruido externo en vez del ruido del receptor. El nivel real de ruido externo depende en gran medida del emplazamiento de la estación de comprobación técnica e incluso de la hora del día.</w:t>
      </w:r>
    </w:p>
    <w:p w14:paraId="6C03FAC4" w14:textId="77777777" w:rsidR="00D56E53" w:rsidRPr="00D54E02" w:rsidRDefault="00D56E53" w:rsidP="00017BEB">
      <w:pPr>
        <w:keepNext/>
        <w:keepLines/>
        <w:rPr>
          <w:lang w:val="es-ES_tradnl"/>
        </w:rPr>
      </w:pPr>
      <w:r w:rsidRPr="00D54E02">
        <w:rPr>
          <w:lang w:val="es-ES_tradnl"/>
        </w:rPr>
        <w:t>Además, la propagación por onda ionosférica de las señales por debajo de 30 MHz normalmente produce las señales de mayor intensidad recibidas de las estaciones de radiodifusión con AM. Aunque el nivel de recepción de estas estaciones puede ser tan alto que se reduce considerablemente la calidad de la comprobación técnica, la administración que realiza esta comprobación técnica no tiene influencia legal sobre la presencia de estas señales. Por otra parte, están presentes en cualquier posible emplazamiento de comprobación técnica. Por consiguiente, no parece sensato calcular las intensidades de campo de protección para frecuencias por debajo de 30 MHz.</w:t>
      </w:r>
    </w:p>
    <w:p w14:paraId="6FB832C0" w14:textId="77777777" w:rsidR="00D56E53" w:rsidRPr="00D54E02" w:rsidRDefault="00D56E53" w:rsidP="00D56E53">
      <w:pPr>
        <w:rPr>
          <w:lang w:val="es-ES_tradnl"/>
        </w:rPr>
      </w:pPr>
      <w:r w:rsidRPr="00D54E02">
        <w:rPr>
          <w:lang w:val="es-ES_tradnl"/>
        </w:rPr>
        <w:t>El siguiente cálculo sólo es válido para frecuencias por encima de 30 MHz en las que el ruido térmico no es dominante.</w:t>
      </w:r>
    </w:p>
    <w:p w14:paraId="087FF234" w14:textId="77777777" w:rsidR="00D56E53" w:rsidRPr="00D54E02" w:rsidRDefault="00D56E53" w:rsidP="00D56E53">
      <w:pPr>
        <w:pStyle w:val="Heading2"/>
        <w:rPr>
          <w:lang w:val="es-ES_tradnl"/>
        </w:rPr>
      </w:pPr>
      <w:r w:rsidRPr="00D54E02">
        <w:rPr>
          <w:lang w:val="es-ES_tradnl"/>
        </w:rPr>
        <w:t>3.6</w:t>
      </w:r>
      <w:r w:rsidRPr="00D54E02">
        <w:rPr>
          <w:lang w:val="es-ES_tradnl"/>
        </w:rPr>
        <w:tab/>
        <w:t>Proceso de cálculo</w:t>
      </w:r>
    </w:p>
    <w:p w14:paraId="2F7B7182" w14:textId="77777777" w:rsidR="00D56E53" w:rsidRPr="00D54E02" w:rsidRDefault="00D56E53" w:rsidP="00D56E53">
      <w:pPr>
        <w:rPr>
          <w:lang w:val="es-ES_tradnl"/>
        </w:rPr>
      </w:pPr>
      <w:r w:rsidRPr="00D54E02">
        <w:rPr>
          <w:lang w:val="es-ES_tradnl"/>
        </w:rPr>
        <w:t>Para calcular la potencia del producto de intermodulación de 3</w:t>
      </w:r>
      <w:r w:rsidRPr="00D54E02">
        <w:rPr>
          <w:vertAlign w:val="superscript"/>
          <w:lang w:val="es-ES_tradnl"/>
        </w:rPr>
        <w:t>er</w:t>
      </w:r>
      <w:r w:rsidRPr="00D54E02">
        <w:rPr>
          <w:lang w:val="es-ES_tradnl"/>
        </w:rPr>
        <w:t xml:space="preserve"> orden (IM3) se supone que en el circuito de entrada del receptor interactúan tres señales de igual potencia y anchura de banda.</w:t>
      </w:r>
    </w:p>
    <w:p w14:paraId="2DBE600B" w14:textId="77777777" w:rsidR="00D56E53" w:rsidRPr="00D54E02" w:rsidRDefault="00D56E53" w:rsidP="00D56E53">
      <w:pPr>
        <w:rPr>
          <w:lang w:val="es-ES_tradnl"/>
        </w:rPr>
      </w:pPr>
      <w:r w:rsidRPr="00D54E02">
        <w:rPr>
          <w:lang w:val="es-ES_tradnl"/>
        </w:rPr>
        <w:t xml:space="preserve">La anchura de banda de un producto de intermodulación procedente de tres señales es tres veces la anchura de banda de la señal </w:t>
      </w:r>
      <w:r w:rsidRPr="00D54E02">
        <w:rPr>
          <w:i/>
          <w:iCs/>
          <w:lang w:val="es-ES_tradnl"/>
        </w:rPr>
        <w:t>B</w:t>
      </w:r>
      <w:r w:rsidRPr="00D54E02">
        <w:rPr>
          <w:i/>
          <w:iCs/>
          <w:vertAlign w:val="subscript"/>
          <w:lang w:val="es-ES_tradnl"/>
        </w:rPr>
        <w:t>s</w:t>
      </w:r>
      <w:r w:rsidRPr="00D54E02">
        <w:rPr>
          <w:lang w:val="es-ES_tradnl"/>
        </w:rPr>
        <w:t>.</w:t>
      </w:r>
    </w:p>
    <w:p w14:paraId="7B775B56" w14:textId="77777777" w:rsidR="00D56E53" w:rsidRPr="00D54E02" w:rsidRDefault="00D56E53" w:rsidP="00D56E53">
      <w:pPr>
        <w:rPr>
          <w:lang w:val="es-ES_tradnl"/>
        </w:rPr>
      </w:pPr>
      <w:r w:rsidRPr="00D54E02">
        <w:rPr>
          <w:lang w:val="es-ES_tradnl"/>
        </w:rPr>
        <w:t>No es fácil determinar la anchura de banda de un producto de intermodulación cuando interactúan señales reales (por ejemplo, DVB-T o LTE). Normalmente estos espectros no tienen mínimos y máximos significativos. Por tanto, es posible suponer, sin temor a error, que el espectro de este producto de intermodulación es rectangular.</w:t>
      </w:r>
    </w:p>
    <w:p w14:paraId="2CF7EE2D" w14:textId="77777777" w:rsidR="00D56E53" w:rsidRDefault="00D56E53" w:rsidP="00D56E53">
      <w:pPr>
        <w:rPr>
          <w:lang w:val="es-ES_tradnl"/>
        </w:rPr>
      </w:pPr>
      <w:r w:rsidRPr="00D54E02">
        <w:rPr>
          <w:lang w:val="es-ES_tradnl"/>
        </w:rPr>
        <w:t>La parte de potencia ∆</w:t>
      </w:r>
      <w:r w:rsidRPr="00D54E02">
        <w:rPr>
          <w:i/>
          <w:iCs/>
          <w:lang w:val="es-ES_tradnl"/>
        </w:rPr>
        <w:t>P</w:t>
      </w:r>
      <w:r w:rsidRPr="00D54E02">
        <w:rPr>
          <w:rFonts w:ascii="(Asiatische Schriftart verwende" w:hAnsi="(Asiatische Schriftart verwende"/>
          <w:i/>
          <w:iCs/>
          <w:vertAlign w:val="subscript"/>
          <w:lang w:val="es-ES_tradnl"/>
        </w:rPr>
        <w:t>IM</w:t>
      </w:r>
      <w:r w:rsidRPr="00D54E02">
        <w:rPr>
          <w:rFonts w:ascii="(Asiatische Schriftart verwende" w:hAnsi="(Asiatische Schriftart verwende"/>
          <w:vertAlign w:val="subscript"/>
          <w:lang w:val="es-ES_tradnl"/>
        </w:rPr>
        <w:t xml:space="preserve">3 </w:t>
      </w:r>
      <w:r w:rsidRPr="00D54E02">
        <w:rPr>
          <w:lang w:val="es-ES_tradnl"/>
        </w:rPr>
        <w:t xml:space="preserve">del producto de intermodulación medida en la anchura de banda </w:t>
      </w:r>
      <w:r w:rsidRPr="00D54E02">
        <w:rPr>
          <w:i/>
          <w:iCs/>
          <w:lang w:val="es-ES_tradnl"/>
        </w:rPr>
        <w:t>B</w:t>
      </w:r>
      <w:r w:rsidRPr="00D54E02">
        <w:rPr>
          <w:lang w:val="es-ES_tradnl"/>
        </w:rPr>
        <w:t xml:space="preserve"> puede calcularse como sigue:</w:t>
      </w:r>
    </w:p>
    <w:p w14:paraId="3E78F89C" w14:textId="77777777" w:rsidR="00D56E53" w:rsidRPr="00D54E02" w:rsidRDefault="00D56E53" w:rsidP="00D56E53">
      <w:pPr>
        <w:pStyle w:val="Equation"/>
        <w:rPr>
          <w:lang w:val="es-ES_tradnl"/>
        </w:rPr>
      </w:pPr>
      <w:r w:rsidRPr="00D54E02">
        <w:rPr>
          <w:lang w:val="es-ES_tradnl"/>
        </w:rPr>
        <w:tab/>
      </w:r>
      <w:r w:rsidRPr="00D54E02">
        <w:rPr>
          <w:lang w:val="es-ES_tradnl"/>
        </w:rPr>
        <w:tab/>
      </w:r>
      <w:r w:rsidRPr="00D54E02">
        <w:rPr>
          <w:position w:val="-30"/>
          <w:lang w:val="es-ES_tradnl"/>
        </w:rPr>
        <w:object w:dxaOrig="3519" w:dyaOrig="720" w14:anchorId="029C8F74">
          <v:shape id="_x0000_i1029" type="#_x0000_t75" style="width:172.5pt;height:36pt" o:ole="">
            <v:imagedata r:id="rId21" o:title=""/>
          </v:shape>
          <o:OLEObject Type="Embed" ProgID="Equation.3" ShapeID="_x0000_i1029" DrawAspect="Content" ObjectID="_1652586373" r:id="rId22"/>
        </w:object>
      </w:r>
      <w:r w:rsidRPr="00D54E02">
        <w:rPr>
          <w:lang w:val="es-ES_tradnl"/>
        </w:rPr>
        <w:tab/>
        <w:t>(10)</w:t>
      </w:r>
    </w:p>
    <w:p w14:paraId="41E63E5B" w14:textId="77777777" w:rsidR="00D56E53" w:rsidRPr="00D54E02" w:rsidRDefault="00D56E53" w:rsidP="00D56E53">
      <w:pPr>
        <w:rPr>
          <w:lang w:val="es-ES_tradnl"/>
        </w:rPr>
      </w:pPr>
      <w:r w:rsidRPr="00D54E02">
        <w:rPr>
          <w:lang w:val="es-ES_tradnl"/>
        </w:rPr>
        <w:t>Utilizando la fórmula (1) este término pasa a ser:</w:t>
      </w:r>
    </w:p>
    <w:p w14:paraId="38F3000D" w14:textId="77777777" w:rsidR="00D56E53" w:rsidRPr="00D54E02" w:rsidRDefault="00D56E53" w:rsidP="00D56E53">
      <w:pPr>
        <w:pStyle w:val="Equation"/>
        <w:rPr>
          <w:lang w:val="es-ES_tradnl"/>
        </w:rPr>
      </w:pPr>
      <w:r w:rsidRPr="00D54E02">
        <w:rPr>
          <w:position w:val="-30"/>
          <w:lang w:val="es-ES_tradnl"/>
        </w:rPr>
        <w:object w:dxaOrig="9360" w:dyaOrig="720" w14:anchorId="4B37F7AF">
          <v:shape id="_x0000_i1030" type="#_x0000_t75" style="width:461pt;height:36pt" o:ole="">
            <v:imagedata r:id="rId23" o:title=""/>
          </v:shape>
          <o:OLEObject Type="Embed" ProgID="Equation.3" ShapeID="_x0000_i1030" DrawAspect="Content" ObjectID="_1652586374" r:id="rId24"/>
        </w:object>
      </w:r>
      <w:r w:rsidRPr="00D54E02">
        <w:rPr>
          <w:lang w:val="es-ES_tradnl"/>
        </w:rPr>
        <w:tab/>
        <w:t>(11)</w:t>
      </w:r>
    </w:p>
    <w:p w14:paraId="5D55C824" w14:textId="77777777" w:rsidR="00D56E53" w:rsidRPr="00D54E02" w:rsidRDefault="00D56E53" w:rsidP="00D56E53">
      <w:pPr>
        <w:rPr>
          <w:lang w:val="es-ES_tradnl"/>
        </w:rPr>
      </w:pPr>
      <w:r w:rsidRPr="00D54E02">
        <w:rPr>
          <w:lang w:val="es-ES_tradnl"/>
        </w:rPr>
        <w:t>La inferencia debida a los productos de IM empieza a ser visible cuando el nivel de ∆</w:t>
      </w:r>
      <w:r w:rsidRPr="00D54E02">
        <w:rPr>
          <w:i/>
          <w:lang w:val="es-ES_tradnl"/>
        </w:rPr>
        <w:t>P</w:t>
      </w:r>
      <w:r w:rsidRPr="00D54E02">
        <w:rPr>
          <w:i/>
          <w:vertAlign w:val="subscript"/>
          <w:lang w:val="es-ES_tradnl"/>
        </w:rPr>
        <w:t>IM</w:t>
      </w:r>
      <w:r w:rsidRPr="00D54E02">
        <w:rPr>
          <w:iCs/>
          <w:vertAlign w:val="subscript"/>
          <w:lang w:val="es-ES_tradnl"/>
        </w:rPr>
        <w:t>3</w:t>
      </w:r>
      <w:r w:rsidRPr="00D54E02">
        <w:rPr>
          <w:lang w:val="es-ES_tradnl"/>
        </w:rPr>
        <w:t xml:space="preserve"> rebasa el umbral de ruido del receptor:</w:t>
      </w:r>
    </w:p>
    <w:p w14:paraId="3EEBE99D" w14:textId="77777777" w:rsidR="00D56E53" w:rsidRPr="00D54E02" w:rsidRDefault="00017BEB" w:rsidP="00017BEB">
      <w:pPr>
        <w:pStyle w:val="Equation"/>
        <w:rPr>
          <w:lang w:val="es-ES_tradnl"/>
        </w:rPr>
      </w:pPr>
      <w:r w:rsidRPr="008C56E4">
        <w:rPr>
          <w:lang w:val="es-ES_tradnl"/>
        </w:rPr>
        <w:tab/>
      </w:r>
      <w:r w:rsidRPr="008C56E4">
        <w:rPr>
          <w:lang w:val="es-ES_tradnl"/>
        </w:rPr>
        <w:tab/>
      </w:r>
      <w:r>
        <w:rPr>
          <w:lang w:val="es-ES_tradnl"/>
        </w:rPr>
        <w:sym w:font="Symbol" w:char="F044"/>
      </w:r>
      <w:r w:rsidRPr="00017BEB">
        <w:rPr>
          <w:i/>
          <w:iCs/>
          <w:lang w:val="es-ES_tradnl"/>
        </w:rPr>
        <w:t>P</w:t>
      </w:r>
      <w:r w:rsidRPr="00017BEB">
        <w:rPr>
          <w:i/>
          <w:iCs/>
          <w:vertAlign w:val="subscript"/>
          <w:lang w:val="es-ES_tradnl"/>
        </w:rPr>
        <w:t>IM</w:t>
      </w:r>
      <w:r w:rsidRPr="00017BEB">
        <w:rPr>
          <w:vertAlign w:val="subscript"/>
          <w:lang w:val="es-ES_tradnl"/>
        </w:rPr>
        <w:t>3</w:t>
      </w:r>
      <w:r w:rsidRPr="008C56E4">
        <w:rPr>
          <w:lang w:val="es-ES_tradnl"/>
        </w:rPr>
        <w:t xml:space="preserve"> ≥ </w:t>
      </w:r>
      <w:r w:rsidRPr="008C56E4">
        <w:rPr>
          <w:i/>
          <w:iCs/>
          <w:lang w:val="es-ES_tradnl"/>
        </w:rPr>
        <w:t>P</w:t>
      </w:r>
      <w:r w:rsidRPr="008C56E4">
        <w:rPr>
          <w:i/>
          <w:iCs/>
          <w:vertAlign w:val="subscript"/>
          <w:lang w:val="es-ES_tradnl"/>
        </w:rPr>
        <w:t>R</w:t>
      </w:r>
      <w:r w:rsidR="00D56E53" w:rsidRPr="00D54E02">
        <w:rPr>
          <w:lang w:val="es-ES_tradnl"/>
        </w:rPr>
        <w:tab/>
        <w:t>(12)</w:t>
      </w:r>
    </w:p>
    <w:p w14:paraId="7B6E1262" w14:textId="77777777" w:rsidR="00D56E53" w:rsidRDefault="00D56E53" w:rsidP="00D56E53">
      <w:pPr>
        <w:rPr>
          <w:lang w:val="es-ES_tradnl"/>
        </w:rPr>
      </w:pPr>
      <w:r w:rsidRPr="00D54E02">
        <w:rPr>
          <w:lang w:val="es-ES_tradnl"/>
        </w:rPr>
        <w:t>El punto «crítico» en el que aparece esta situación puede determinarse utilizando las formulas (5) y (11), como sigue:</w:t>
      </w:r>
    </w:p>
    <w:p w14:paraId="48C43E73" w14:textId="77777777" w:rsidR="004E1E71" w:rsidRPr="00D54E02" w:rsidRDefault="00DA3944" w:rsidP="004E1E71">
      <w:pPr>
        <w:pStyle w:val="Equation"/>
        <w:rPr>
          <w:lang w:val="es-ES_tradnl"/>
        </w:rPr>
      </w:pPr>
      <w:r>
        <w:rPr>
          <w:lang w:val="es-ES_tradnl"/>
        </w:rPr>
        <w:tab/>
      </w:r>
      <w:r w:rsidR="004E1E71">
        <w:rPr>
          <w:lang w:val="es-ES_tradnl"/>
        </w:rPr>
        <w:tab/>
      </w:r>
      <w:r w:rsidR="004E1E71" w:rsidRPr="004E1E71">
        <w:rPr>
          <w:lang w:val="es-ES_tradnl"/>
        </w:rPr>
        <w:t>3</w:t>
      </w:r>
      <w:r w:rsidR="004E1E71" w:rsidRPr="004E1E71">
        <w:rPr>
          <w:i/>
          <w:iCs/>
          <w:lang w:val="es-ES_tradnl"/>
        </w:rPr>
        <w:t>P</w:t>
      </w:r>
      <w:r w:rsidR="004E1E71" w:rsidRPr="004E1E71">
        <w:rPr>
          <w:i/>
          <w:iCs/>
          <w:vertAlign w:val="subscript"/>
          <w:lang w:val="es-ES_tradnl"/>
        </w:rPr>
        <w:t>s</w:t>
      </w:r>
      <w:r w:rsidR="004E1E71" w:rsidRPr="004E1E71">
        <w:rPr>
          <w:lang w:val="es-ES_tradnl"/>
        </w:rPr>
        <w:t xml:space="preserve"> – 2</w:t>
      </w:r>
      <w:r w:rsidR="004E1E71" w:rsidRPr="004E1E71">
        <w:rPr>
          <w:i/>
          <w:iCs/>
          <w:lang w:val="es-ES_tradnl"/>
        </w:rPr>
        <w:t>P</w:t>
      </w:r>
      <w:r w:rsidR="004E1E71" w:rsidRPr="004E1E71">
        <w:rPr>
          <w:i/>
          <w:iCs/>
          <w:vertAlign w:val="subscript"/>
          <w:lang w:val="es-ES_tradnl"/>
        </w:rPr>
        <w:t>IP</w:t>
      </w:r>
      <w:r w:rsidR="004E1E71" w:rsidRPr="004E1E71">
        <w:rPr>
          <w:vertAlign w:val="subscript"/>
          <w:lang w:val="es-ES_tradnl"/>
        </w:rPr>
        <w:t>3</w:t>
      </w:r>
      <w:r w:rsidR="004E1E71" w:rsidRPr="004E1E71">
        <w:rPr>
          <w:lang w:val="es-ES_tradnl"/>
        </w:rPr>
        <w:t xml:space="preserve"> + 6dB + 10log(B) – 10log(3</w:t>
      </w:r>
      <w:r w:rsidR="004E1E71" w:rsidRPr="004E1E71">
        <w:rPr>
          <w:i/>
          <w:iCs/>
          <w:lang w:val="es-ES_tradnl"/>
        </w:rPr>
        <w:t>B</w:t>
      </w:r>
      <w:r w:rsidR="004E1E71" w:rsidRPr="004E1E71">
        <w:rPr>
          <w:i/>
          <w:iCs/>
          <w:vertAlign w:val="subscript"/>
          <w:lang w:val="es-ES_tradnl"/>
        </w:rPr>
        <w:t>s</w:t>
      </w:r>
      <w:r w:rsidR="004E1E71" w:rsidRPr="004E1E71">
        <w:rPr>
          <w:lang w:val="es-ES_tradnl"/>
        </w:rPr>
        <w:t xml:space="preserve">) = </w:t>
      </w:r>
      <w:r w:rsidR="004E1E71" w:rsidRPr="004E1E71">
        <w:rPr>
          <w:i/>
          <w:iCs/>
          <w:lang w:val="es-ES_tradnl"/>
        </w:rPr>
        <w:t>NF</w:t>
      </w:r>
      <w:r w:rsidR="004E1E71" w:rsidRPr="004E1E71">
        <w:rPr>
          <w:lang w:val="es-ES_tradnl"/>
        </w:rPr>
        <w:t xml:space="preserve"> + 10log(B) </w:t>
      </w:r>
      <w:r w:rsidR="004E1E71">
        <w:rPr>
          <w:lang w:val="es-ES_tradnl"/>
        </w:rPr>
        <w:t>– 174 dBm</w:t>
      </w:r>
      <w:r w:rsidR="004E1E71">
        <w:rPr>
          <w:lang w:val="es-ES_tradnl"/>
        </w:rPr>
        <w:tab/>
        <w:t>(13)</w:t>
      </w:r>
    </w:p>
    <w:p w14:paraId="2B9C9D91" w14:textId="77777777" w:rsidR="00D56E53" w:rsidRPr="00D54E02" w:rsidRDefault="00D56E53" w:rsidP="00D56E53">
      <w:pPr>
        <w:pStyle w:val="Blanc"/>
        <w:rPr>
          <w:lang w:val="es-ES_tradnl"/>
        </w:rPr>
      </w:pPr>
    </w:p>
    <w:p w14:paraId="32558AB5" w14:textId="77777777" w:rsidR="00D56E53" w:rsidRPr="00D54E02" w:rsidRDefault="00DA3944" w:rsidP="00D56E53">
      <w:pPr>
        <w:pStyle w:val="Equation"/>
        <w:jc w:val="center"/>
        <w:rPr>
          <w:lang w:val="es-ES_tradnl"/>
        </w:rPr>
      </w:pPr>
      <w:r>
        <w:rPr>
          <w:lang w:val="es-ES_tradnl"/>
        </w:rPr>
        <w:tab/>
      </w:r>
      <w:r w:rsidR="00D56E53" w:rsidRPr="00D54E02">
        <w:rPr>
          <w:lang w:val="es-ES_tradnl"/>
        </w:rPr>
        <w:tab/>
      </w:r>
      <w:r w:rsidR="00717E1A" w:rsidRPr="00D54E02">
        <w:rPr>
          <w:position w:val="-24"/>
          <w:lang w:val="es-ES_tradnl"/>
        </w:rPr>
        <w:object w:dxaOrig="5400" w:dyaOrig="620" w14:anchorId="3D25C44D">
          <v:shape id="_x0000_i1031" type="#_x0000_t75" style="width:269.3pt;height:28.5pt" o:ole="">
            <v:imagedata r:id="rId25" o:title=""/>
          </v:shape>
          <o:OLEObject Type="Embed" ProgID="Equation.3" ShapeID="_x0000_i1031" DrawAspect="Content" ObjectID="_1652586375" r:id="rId26"/>
        </w:object>
      </w:r>
      <w:r w:rsidR="00D56E53" w:rsidRPr="00D54E02">
        <w:rPr>
          <w:lang w:val="es-ES_tradnl"/>
        </w:rPr>
        <w:tab/>
        <w:t>(14)</w:t>
      </w:r>
    </w:p>
    <w:p w14:paraId="16B72317" w14:textId="77777777" w:rsidR="00D56E53" w:rsidRPr="00D54E02" w:rsidRDefault="00D56E53" w:rsidP="00D56E53">
      <w:pPr>
        <w:pStyle w:val="Blanc"/>
        <w:rPr>
          <w:lang w:val="es-ES_tradnl"/>
        </w:rPr>
      </w:pPr>
    </w:p>
    <w:p w14:paraId="0AC9DAF6" w14:textId="77777777" w:rsidR="00D56E53" w:rsidRPr="00D54E02" w:rsidRDefault="00DA3944" w:rsidP="00D56E53">
      <w:pPr>
        <w:pStyle w:val="Equation"/>
        <w:jc w:val="center"/>
        <w:rPr>
          <w:lang w:val="es-ES_tradnl"/>
        </w:rPr>
      </w:pPr>
      <w:r>
        <w:rPr>
          <w:lang w:val="es-ES_tradnl"/>
        </w:rPr>
        <w:tab/>
      </w:r>
      <w:r w:rsidR="00D56E53" w:rsidRPr="00D54E02">
        <w:rPr>
          <w:lang w:val="es-ES_tradnl"/>
        </w:rPr>
        <w:tab/>
      </w:r>
      <w:r w:rsidR="00717E1A" w:rsidRPr="00D54E02">
        <w:rPr>
          <w:position w:val="-24"/>
          <w:lang w:val="es-ES_tradnl"/>
        </w:rPr>
        <w:object w:dxaOrig="3980" w:dyaOrig="620" w14:anchorId="6CE892A4">
          <v:shape id="_x0000_i1032" type="#_x0000_t75" style="width:196.85pt;height:28.5pt" o:ole="">
            <v:imagedata r:id="rId27" o:title=""/>
          </v:shape>
          <o:OLEObject Type="Embed" ProgID="Equation.3" ShapeID="_x0000_i1032" DrawAspect="Content" ObjectID="_1652586376" r:id="rId28"/>
        </w:object>
      </w:r>
      <w:r>
        <w:rPr>
          <w:lang w:val="es-ES_tradnl"/>
        </w:rPr>
        <w:tab/>
      </w:r>
      <w:r w:rsidR="00D56E53" w:rsidRPr="00D54E02">
        <w:rPr>
          <w:lang w:val="es-ES_tradnl"/>
        </w:rPr>
        <w:t>(15)</w:t>
      </w:r>
    </w:p>
    <w:p w14:paraId="7CE1CC48" w14:textId="77777777" w:rsidR="00D56E53" w:rsidRDefault="00D56E53" w:rsidP="00D56E53">
      <w:pPr>
        <w:keepNext/>
        <w:keepLines/>
        <w:rPr>
          <w:lang w:val="es-ES_tradnl"/>
        </w:rPr>
      </w:pPr>
      <w:r w:rsidRPr="00D54E02">
        <w:rPr>
          <w:lang w:val="es-ES_tradnl"/>
        </w:rPr>
        <w:t xml:space="preserve">Suponiendo que no se produce una fuerte atenuación por cable entre la antena y el receptor, la intensidad de campo correspondiente a </w:t>
      </w:r>
      <w:r w:rsidRPr="00D54E02">
        <w:rPr>
          <w:i/>
          <w:iCs/>
          <w:lang w:val="es-ES_tradnl"/>
        </w:rPr>
        <w:t>P</w:t>
      </w:r>
      <w:r w:rsidRPr="00D54E02">
        <w:rPr>
          <w:i/>
          <w:iCs/>
          <w:vertAlign w:val="subscript"/>
          <w:lang w:val="es-ES_tradnl"/>
        </w:rPr>
        <w:t>S</w:t>
      </w:r>
      <w:r w:rsidRPr="00D54E02">
        <w:rPr>
          <w:lang w:val="es-ES_tradnl"/>
        </w:rPr>
        <w:t xml:space="preserve"> puede calcularse utilizando la fórmula (9):</w:t>
      </w:r>
    </w:p>
    <w:p w14:paraId="7D66D9D8" w14:textId="77777777" w:rsidR="00017BEB" w:rsidRPr="00D54E02" w:rsidRDefault="00017BEB" w:rsidP="00017BEB">
      <w:pPr>
        <w:pStyle w:val="Blanc"/>
        <w:rPr>
          <w:lang w:val="es-ES_tradnl"/>
        </w:rPr>
      </w:pPr>
    </w:p>
    <w:p w14:paraId="6DC01EB0" w14:textId="77777777" w:rsidR="00D56E53" w:rsidRPr="00D54E02" w:rsidRDefault="00D56E53" w:rsidP="00D56E53">
      <w:pPr>
        <w:pStyle w:val="Equation"/>
        <w:rPr>
          <w:lang w:val="es-ES_tradnl"/>
        </w:rPr>
      </w:pPr>
      <w:r w:rsidRPr="00D54E02">
        <w:rPr>
          <w:position w:val="-24"/>
          <w:lang w:val="es-ES_tradnl"/>
        </w:rPr>
        <w:object w:dxaOrig="9060" w:dyaOrig="620" w14:anchorId="314E8129">
          <v:shape id="_x0000_i1033" type="#_x0000_t75" style="width:446.05pt;height:28.5pt" o:ole="">
            <v:imagedata r:id="rId29" o:title=""/>
          </v:shape>
          <o:OLEObject Type="Embed" ProgID="Equation.3" ShapeID="_x0000_i1033" DrawAspect="Content" ObjectID="_1652586377" r:id="rId30"/>
        </w:object>
      </w:r>
      <w:r w:rsidRPr="00D54E02">
        <w:rPr>
          <w:lang w:val="es-ES_tradnl"/>
        </w:rPr>
        <w:tab/>
        <w:t>(16)</w:t>
      </w:r>
    </w:p>
    <w:p w14:paraId="7E664370" w14:textId="77777777" w:rsidR="00D56E53" w:rsidRPr="00D54E02" w:rsidRDefault="00D56E53" w:rsidP="00D56E53">
      <w:pPr>
        <w:pStyle w:val="Heading2"/>
        <w:rPr>
          <w:lang w:val="es-ES_tradnl"/>
        </w:rPr>
      </w:pPr>
      <w:r w:rsidRPr="00D54E02">
        <w:rPr>
          <w:lang w:val="es-ES_tradnl"/>
        </w:rPr>
        <w:t>3.7</w:t>
      </w:r>
      <w:r w:rsidRPr="00D54E02">
        <w:rPr>
          <w:lang w:val="es-ES_tradnl"/>
        </w:rPr>
        <w:tab/>
        <w:t>Efecto de la interferencia causada por un gran número de estaciones</w:t>
      </w:r>
    </w:p>
    <w:p w14:paraId="3436297B" w14:textId="77777777" w:rsidR="00D56E53" w:rsidRPr="00D54E02" w:rsidRDefault="00D56E53" w:rsidP="00D56E53">
      <w:pPr>
        <w:rPr>
          <w:lang w:val="es-ES_tradnl"/>
        </w:rPr>
      </w:pPr>
      <w:r w:rsidRPr="00D54E02">
        <w:rPr>
          <w:lang w:val="es-ES_tradnl"/>
        </w:rPr>
        <w:t>La fórmula (16) ya revela la máxima intensidad de campo admisible de cada transmisor perturbador que puede estar implicado en un posible producto de intermodulación.</w:t>
      </w:r>
    </w:p>
    <w:p w14:paraId="1CE22F06" w14:textId="77777777" w:rsidR="00D56E53" w:rsidRPr="00D54E02" w:rsidRDefault="00D56E53" w:rsidP="00D56E53">
      <w:pPr>
        <w:rPr>
          <w:lang w:val="es-ES_tradnl"/>
        </w:rPr>
      </w:pPr>
      <w:r w:rsidRPr="00D54E02">
        <w:rPr>
          <w:lang w:val="es-ES_tradnl"/>
        </w:rPr>
        <w:t xml:space="preserve">Si se reciben más de tres trasmisiones con esta máxima intensidad de campo, el único efecto será que los productos de intermodulación adicional aparecerán a distintas </w:t>
      </w:r>
      <w:proofErr w:type="gramStart"/>
      <w:r w:rsidRPr="00D54E02">
        <w:rPr>
          <w:lang w:val="es-ES_tradnl"/>
        </w:rPr>
        <w:t>frecuencias</w:t>
      </w:r>
      <w:proofErr w:type="gramEnd"/>
      <w:r w:rsidRPr="00D54E02">
        <w:rPr>
          <w:lang w:val="es-ES_tradnl"/>
        </w:rPr>
        <w:t xml:space="preserve"> pero el nivel de cada uno de estos productos de intermodulación no se incrementará. Por tanto, no es necesaria una adaptación adicional de los máximos valores de intensidad de campo admisible.</w:t>
      </w:r>
    </w:p>
    <w:p w14:paraId="2C32BCC4" w14:textId="77777777" w:rsidR="00D56E53" w:rsidRPr="00D54E02" w:rsidRDefault="00D56E53" w:rsidP="00D56E53">
      <w:pPr>
        <w:pStyle w:val="Heading1"/>
        <w:rPr>
          <w:lang w:val="es-ES_tradnl"/>
        </w:rPr>
      </w:pPr>
      <w:r w:rsidRPr="00D54E02">
        <w:rPr>
          <w:lang w:val="es-ES_tradnl"/>
        </w:rPr>
        <w:t>4</w:t>
      </w:r>
      <w:r w:rsidRPr="00D54E02">
        <w:rPr>
          <w:lang w:val="es-ES_tradnl"/>
        </w:rPr>
        <w:tab/>
      </w:r>
      <w:proofErr w:type="gramStart"/>
      <w:r w:rsidRPr="00D54E02">
        <w:rPr>
          <w:lang w:val="es-ES_tradnl"/>
        </w:rPr>
        <w:t>Valores</w:t>
      </w:r>
      <w:proofErr w:type="gramEnd"/>
      <w:r w:rsidRPr="00D54E02">
        <w:rPr>
          <w:lang w:val="es-ES_tradnl"/>
        </w:rPr>
        <w:t xml:space="preserve"> típicos de los parámetros</w:t>
      </w:r>
    </w:p>
    <w:p w14:paraId="31807EE6" w14:textId="77777777" w:rsidR="00D56E53" w:rsidRPr="00D54E02" w:rsidRDefault="00D56E53" w:rsidP="00D56E53">
      <w:pPr>
        <w:rPr>
          <w:lang w:val="es-ES_tradnl"/>
        </w:rPr>
      </w:pPr>
      <w:r w:rsidRPr="00D54E02">
        <w:rPr>
          <w:lang w:val="es-ES_tradnl"/>
        </w:rPr>
        <w:t>Para conseguir un valor numérico de la máxima intensidad de campo admisible a partir de la fórmula (16) deben elegirse valores realistas para los parámetros de factor de ruido del receptor, punto de intercepción de 3</w:t>
      </w:r>
      <w:r w:rsidRPr="00D54E02">
        <w:rPr>
          <w:vertAlign w:val="superscript"/>
          <w:lang w:val="es-ES_tradnl"/>
        </w:rPr>
        <w:t>er</w:t>
      </w:r>
      <w:r w:rsidRPr="00D54E02">
        <w:rPr>
          <w:lang w:val="es-ES_tradnl"/>
        </w:rPr>
        <w:t xml:space="preserve"> orden, anchura de banda de referencia y ganancia de antena. Este punto ofrece orientaciones sobre la forma de seleccionar estos valores.</w:t>
      </w:r>
    </w:p>
    <w:p w14:paraId="29911346" w14:textId="77777777" w:rsidR="00D56E53" w:rsidRPr="00D54E02" w:rsidRDefault="00D56E53" w:rsidP="00D56E53">
      <w:pPr>
        <w:pStyle w:val="Heading2"/>
        <w:rPr>
          <w:lang w:val="es-ES_tradnl"/>
        </w:rPr>
      </w:pPr>
      <w:r w:rsidRPr="00D54E02">
        <w:rPr>
          <w:lang w:val="es-ES_tradnl"/>
        </w:rPr>
        <w:t>4.1</w:t>
      </w:r>
      <w:r w:rsidRPr="00D54E02">
        <w:rPr>
          <w:lang w:val="es-ES_tradnl"/>
        </w:rPr>
        <w:tab/>
        <w:t>Factor de ruido del receptor</w:t>
      </w:r>
    </w:p>
    <w:p w14:paraId="3D9D367A" w14:textId="77777777" w:rsidR="00D56E53" w:rsidRPr="00D54E02" w:rsidRDefault="00D56E53" w:rsidP="00E22C67">
      <w:pPr>
        <w:rPr>
          <w:lang w:val="es-ES_tradnl"/>
        </w:rPr>
      </w:pPr>
      <w:r w:rsidRPr="00D54E02">
        <w:rPr>
          <w:lang w:val="es-ES_tradnl"/>
        </w:rPr>
        <w:t>Los factores de ruido de los receptores de comprobación técnica y de los analizadores de espectro a menudo se encuentran en la gama entre 7 y 24 dB. El factor de ruido global del montaje de medición puede mejorarse hasta descender a un valor de 1 dB utilizando amplificadores de bajo nivel de ruido (LNA), pero para una estación de comprobación técnica fija, esto no es una configuración típica. Suponiendo que amplificadores incorporados, se sugiere utilizar un factor de ruido típico de unos</w:t>
      </w:r>
      <w:r w:rsidR="00E22C67">
        <w:rPr>
          <w:lang w:val="es-ES_tradnl"/>
        </w:rPr>
        <w:t xml:space="preserve"> </w:t>
      </w:r>
      <w:r w:rsidRPr="00D54E02">
        <w:rPr>
          <w:lang w:val="es-ES_tradnl"/>
        </w:rPr>
        <w:t>10 dB cuando se calcule la máxima intensidad de campo admisible en el contexto de la presente Recomendación.</w:t>
      </w:r>
    </w:p>
    <w:p w14:paraId="533FBC30" w14:textId="77777777" w:rsidR="00D56E53" w:rsidRPr="00D54E02" w:rsidRDefault="00D56E53" w:rsidP="00D56E53">
      <w:pPr>
        <w:pStyle w:val="Heading2"/>
        <w:rPr>
          <w:lang w:val="es-ES_tradnl"/>
        </w:rPr>
      </w:pPr>
      <w:r w:rsidRPr="00D54E02">
        <w:rPr>
          <w:lang w:val="es-ES_tradnl"/>
        </w:rPr>
        <w:t>4.2</w:t>
      </w:r>
      <w:r w:rsidRPr="00D54E02">
        <w:rPr>
          <w:lang w:val="es-ES_tradnl"/>
        </w:rPr>
        <w:tab/>
        <w:t>IP3</w:t>
      </w:r>
    </w:p>
    <w:p w14:paraId="4F235D6C" w14:textId="77777777" w:rsidR="00D56E53" w:rsidRPr="00D54E02" w:rsidRDefault="00D56E53" w:rsidP="00D56E53">
      <w:pPr>
        <w:rPr>
          <w:lang w:val="es-ES_tradnl"/>
        </w:rPr>
      </w:pPr>
      <w:r w:rsidRPr="00D54E02">
        <w:rPr>
          <w:lang w:val="es-ES_tradnl"/>
        </w:rPr>
        <w:t xml:space="preserve">Los niveles IP3 de los receptores de comprobación técnica y de los analizadores de espectro a menudo se encuentran en la gama entre +10 y +30 dBm. Un valor de +15 dBm puede considerarse </w:t>
      </w:r>
      <w:proofErr w:type="gramStart"/>
      <w:r w:rsidRPr="00D54E02">
        <w:rPr>
          <w:lang w:val="es-ES_tradnl"/>
        </w:rPr>
        <w:t>típico</w:t>
      </w:r>
      <w:proofErr w:type="gramEnd"/>
      <w:r w:rsidRPr="00D54E02">
        <w:rPr>
          <w:lang w:val="es-ES_tradnl"/>
        </w:rPr>
        <w:t xml:space="preserve"> aunque los receptores de banda ancha digitales especiales sin ninguna preselección y una baja gama dinámica pueden tener menores niveles de IP3.</w:t>
      </w:r>
    </w:p>
    <w:p w14:paraId="1AC3C5DD" w14:textId="77777777" w:rsidR="00D56E53" w:rsidRPr="00D54E02" w:rsidRDefault="00D56E53" w:rsidP="00D56E53">
      <w:pPr>
        <w:pStyle w:val="Heading2"/>
        <w:rPr>
          <w:lang w:val="es-ES_tradnl"/>
        </w:rPr>
      </w:pPr>
      <w:r w:rsidRPr="00D54E02">
        <w:rPr>
          <w:lang w:val="es-ES_tradnl"/>
        </w:rPr>
        <w:t>4.3</w:t>
      </w:r>
      <w:r w:rsidRPr="00D54E02">
        <w:rPr>
          <w:lang w:val="es-ES_tradnl"/>
        </w:rPr>
        <w:tab/>
        <w:t>Anchura de banda de la señal</w:t>
      </w:r>
    </w:p>
    <w:p w14:paraId="638A69A7" w14:textId="77777777" w:rsidR="00D56E53" w:rsidRPr="00D54E02" w:rsidRDefault="00D56E53" w:rsidP="00D56E53">
      <w:pPr>
        <w:rPr>
          <w:lang w:val="es-ES_tradnl"/>
        </w:rPr>
      </w:pPr>
      <w:r w:rsidRPr="00D54E02">
        <w:rPr>
          <w:lang w:val="es-ES_tradnl"/>
        </w:rPr>
        <w:t xml:space="preserve">Cuando se miden señales débiles, el valor más elevado de </w:t>
      </w:r>
      <w:r w:rsidRPr="00D54E02">
        <w:rPr>
          <w:i/>
          <w:iCs/>
          <w:lang w:val="es-ES_tradnl"/>
        </w:rPr>
        <w:t>S/N</w:t>
      </w:r>
      <w:r w:rsidRPr="00D54E02">
        <w:rPr>
          <w:lang w:val="es-ES_tradnl"/>
        </w:rPr>
        <w:t xml:space="preserve"> se logra cuando se utiliza la anchura de banda de medición más estrecha posible porque ello se traduciría en el DANL más bajo posible. Sin embargo, esto sólo es cierto para portadoras sin modular. Cuando se miden señales digitales, por ejemplo, las anchuras de banda de medición más estrechas no incrementan la relación señal/ruido (</w:t>
      </w:r>
      <w:r w:rsidRPr="00D54E02">
        <w:rPr>
          <w:i/>
          <w:iCs/>
          <w:lang w:val="es-ES_tradnl"/>
        </w:rPr>
        <w:t>S/N</w:t>
      </w:r>
      <w:r w:rsidRPr="00D54E02">
        <w:rPr>
          <w:lang w:val="es-ES_tradnl"/>
        </w:rPr>
        <w:t>) y, por tanto, no aumentaría la sensibilidad de la medición. Además, los productos de IM que interfieren con una medición no son portadoras sin modular. Tienen una anchura de banda incluso mayor que las señales de gran intensidad implicadas, de manera que la posible interferencia no aumenta cuando se utiliza una anchura de banda de medición más estrecha que la anchura de banda de la señal.</w:t>
      </w:r>
    </w:p>
    <w:p w14:paraId="5004189D" w14:textId="77777777" w:rsidR="00D56E53" w:rsidRPr="00D54E02" w:rsidRDefault="00D56E53" w:rsidP="00D56E53">
      <w:pPr>
        <w:rPr>
          <w:lang w:val="es-ES_tradnl"/>
        </w:rPr>
      </w:pPr>
      <w:r w:rsidRPr="00D54E02">
        <w:rPr>
          <w:lang w:val="es-ES_tradnl"/>
        </w:rPr>
        <w:t xml:space="preserve">Por </w:t>
      </w:r>
      <w:proofErr w:type="gramStart"/>
      <w:r w:rsidRPr="00D54E02">
        <w:rPr>
          <w:lang w:val="es-ES_tradnl"/>
        </w:rPr>
        <w:t>tanto</w:t>
      </w:r>
      <w:proofErr w:type="gramEnd"/>
      <w:r w:rsidRPr="00D54E02">
        <w:rPr>
          <w:lang w:val="es-ES_tradnl"/>
        </w:rPr>
        <w:t xml:space="preserve"> se recomienda especificar una anchura de banda de la señal típica en la respectiva banda de frecuencias cuando se calcula la máxima intensidad de campo para proteger a las estaciones de comprobación técnica.</w:t>
      </w:r>
    </w:p>
    <w:p w14:paraId="48311CEC" w14:textId="77777777" w:rsidR="00D56E53" w:rsidRPr="00D54E02" w:rsidRDefault="00D56E53" w:rsidP="00D56E53">
      <w:pPr>
        <w:pStyle w:val="Heading2"/>
        <w:rPr>
          <w:lang w:val="es-ES_tradnl"/>
        </w:rPr>
      </w:pPr>
      <w:r w:rsidRPr="00D54E02">
        <w:rPr>
          <w:lang w:val="es-ES_tradnl"/>
        </w:rPr>
        <w:t>4.4</w:t>
      </w:r>
      <w:r w:rsidRPr="00D54E02">
        <w:rPr>
          <w:lang w:val="es-ES_tradnl"/>
        </w:rPr>
        <w:tab/>
        <w:t>Ganancia de antena</w:t>
      </w:r>
    </w:p>
    <w:p w14:paraId="1F2F5411" w14:textId="77777777" w:rsidR="00D56E53" w:rsidRPr="00D54E02" w:rsidRDefault="00D56E53" w:rsidP="00715CE0">
      <w:pPr>
        <w:keepNext/>
        <w:keepLines/>
        <w:rPr>
          <w:lang w:val="es-ES_tradnl"/>
        </w:rPr>
      </w:pPr>
      <w:r w:rsidRPr="00D54E02">
        <w:rPr>
          <w:lang w:val="es-ES_tradnl"/>
        </w:rPr>
        <w:t>Una antena dipolo sintonizada tiene una ganancia de 2,15</w:t>
      </w:r>
      <w:r w:rsidR="00715CE0">
        <w:rPr>
          <w:lang w:val="es-ES_tradnl"/>
        </w:rPr>
        <w:t> </w:t>
      </w:r>
      <w:r w:rsidRPr="00D54E02">
        <w:rPr>
          <w:lang w:val="es-ES_tradnl"/>
        </w:rPr>
        <w:t>dBi. Muchas antenas de comprobación técnica son omnidireccionales y no tienen una ganancia elevada. Además, normalmente puede considerarse que las antenas utilizadas en los radiogoniómetros tienen la ganancia de los dipolos. Sin embargo, muchas estaciones de comprobación técnica también van equipadas con antenas directivas. La ganancia de estas antenas reduciría a su vez la intensidad de campo admisible. No obstante, se recomienda suponer una antena dipolo en el cálculo de la máxima intensidad de campo admisible, por las siguientes razones:</w:t>
      </w:r>
    </w:p>
    <w:p w14:paraId="75B8CAD7" w14:textId="77777777" w:rsidR="00D56E53" w:rsidRPr="00D54E02" w:rsidRDefault="00D56E53" w:rsidP="00D56E53">
      <w:pPr>
        <w:pStyle w:val="enumlev1"/>
        <w:rPr>
          <w:lang w:val="es-ES_tradnl"/>
        </w:rPr>
      </w:pPr>
      <w:r w:rsidRPr="00D54E02">
        <w:rPr>
          <w:lang w:val="es-ES_tradnl"/>
        </w:rPr>
        <w:t>–</w:t>
      </w:r>
      <w:r w:rsidRPr="00D54E02">
        <w:rPr>
          <w:lang w:val="es-ES_tradnl"/>
        </w:rPr>
        <w:tab/>
        <w:t>si se consideran antenas directivas se obtendría una intensidad de campo admisible que depende de los equipos de comprobación técnica, lo cual se pretende evitar (véase el § 2) para lograr unos límites de intensidad de campo transparentes y uniformes;</w:t>
      </w:r>
    </w:p>
    <w:p w14:paraId="4D4AA2ED" w14:textId="77777777" w:rsidR="00D56E53" w:rsidRPr="00D54E02" w:rsidRDefault="00D56E53" w:rsidP="00D56E53">
      <w:pPr>
        <w:pStyle w:val="enumlev1"/>
        <w:rPr>
          <w:lang w:val="es-ES_tradnl"/>
        </w:rPr>
      </w:pPr>
      <w:r w:rsidRPr="00D54E02">
        <w:rPr>
          <w:lang w:val="es-ES_tradnl"/>
        </w:rPr>
        <w:t>–</w:t>
      </w:r>
      <w:r w:rsidRPr="00D54E02">
        <w:rPr>
          <w:lang w:val="es-ES_tradnl"/>
        </w:rPr>
        <w:tab/>
        <w:t>los productos de intermodulación aquí considerados siempre suponen al menos dos señales intensas. El cálculo con la ganancia de una antena directiva en su haz principal supone que todas las señales intensas se reciben de la misma dirección, lo cual no es siempre realista y se sobrestima la posible interferencia;</w:t>
      </w:r>
    </w:p>
    <w:p w14:paraId="43592BA6" w14:textId="77777777" w:rsidR="00D56E53" w:rsidRPr="00D54E02" w:rsidRDefault="00D56E53" w:rsidP="00D56E53">
      <w:pPr>
        <w:pStyle w:val="enumlev1"/>
        <w:rPr>
          <w:lang w:val="es-ES_tradnl"/>
        </w:rPr>
      </w:pPr>
      <w:r w:rsidRPr="00D54E02">
        <w:rPr>
          <w:lang w:val="es-ES_tradnl"/>
        </w:rPr>
        <w:t>–</w:t>
      </w:r>
      <w:r w:rsidRPr="00D54E02">
        <w:rPr>
          <w:lang w:val="es-ES_tradnl"/>
        </w:rPr>
        <w:tab/>
        <w:t xml:space="preserve">la posible interferencia debida a un incremento del nivel de señal con antenas directivas sólo sería efectiva en cierta dirección mientras que en el resto de </w:t>
      </w:r>
      <w:proofErr w:type="gramStart"/>
      <w:r w:rsidRPr="00D54E02">
        <w:rPr>
          <w:lang w:val="es-ES_tradnl"/>
        </w:rPr>
        <w:t>direcciones</w:t>
      </w:r>
      <w:proofErr w:type="gramEnd"/>
      <w:r w:rsidRPr="00D54E02">
        <w:rPr>
          <w:lang w:val="es-ES_tradnl"/>
        </w:rPr>
        <w:t xml:space="preserve"> la intensidad de campo, y por tanto la posible interferencia, es incluso inferior que en el caso de antenas omnidireccionales.</w:t>
      </w:r>
    </w:p>
    <w:p w14:paraId="4EEC5911" w14:textId="77777777" w:rsidR="00D56E53" w:rsidRPr="00D54E02" w:rsidRDefault="00D56E53" w:rsidP="00D56E53">
      <w:pPr>
        <w:rPr>
          <w:lang w:val="es-ES_tradnl"/>
        </w:rPr>
      </w:pPr>
      <w:r w:rsidRPr="00D54E02">
        <w:rPr>
          <w:lang w:val="es-ES_tradnl"/>
        </w:rPr>
        <w:t>Cabe señalar que el uso de antenas directivas de alta ganancia puede dar lugar a efectos de interferencia en ciertas direcciones debido a unos niveles de intensidad de campo superiores a los calculados cuando se suponen antenas omnidireccionales. Si estos efectos no son tolerables, pueden instalarse filtros de banda eliminada o atenuadores para evitar mediciones incorrectas.</w:t>
      </w:r>
    </w:p>
    <w:p w14:paraId="5C21D23E" w14:textId="77777777" w:rsidR="00D56E53" w:rsidRPr="00D54E02" w:rsidRDefault="00D56E53" w:rsidP="00D56E53">
      <w:pPr>
        <w:pStyle w:val="Heading1"/>
        <w:rPr>
          <w:lang w:val="es-ES_tradnl"/>
        </w:rPr>
      </w:pPr>
      <w:r w:rsidRPr="00D54E02">
        <w:rPr>
          <w:lang w:val="es-ES_tradnl"/>
        </w:rPr>
        <w:t>5</w:t>
      </w:r>
      <w:r w:rsidRPr="00D54E02">
        <w:rPr>
          <w:lang w:val="es-ES_tradnl"/>
        </w:rPr>
        <w:tab/>
      </w:r>
      <w:proofErr w:type="gramStart"/>
      <w:r w:rsidRPr="00D54E02">
        <w:rPr>
          <w:lang w:val="es-ES_tradnl"/>
        </w:rPr>
        <w:t>Ejemplo</w:t>
      </w:r>
      <w:proofErr w:type="gramEnd"/>
      <w:r w:rsidRPr="00D54E02">
        <w:rPr>
          <w:lang w:val="es-ES_tradnl"/>
        </w:rPr>
        <w:t xml:space="preserve"> de cálculo utilizando valores típicos</w:t>
      </w:r>
    </w:p>
    <w:p w14:paraId="188B7209" w14:textId="77777777" w:rsidR="00D56E53" w:rsidRPr="00D54E02" w:rsidRDefault="00D56E53" w:rsidP="00D56E53">
      <w:pPr>
        <w:rPr>
          <w:lang w:val="es-ES_tradnl"/>
        </w:rPr>
      </w:pPr>
      <w:r w:rsidRPr="00D54E02">
        <w:rPr>
          <w:lang w:val="es-ES_tradnl"/>
        </w:rPr>
        <w:t>En este punto aparece un ejemplo de cálculo empleando valores de los parámetros típicos sugeridos en el § 4. Aplicando la formula (16) y considerando las diferentes anchuras de banda de referencia, es evidente que la máxima intensidad de campo resultante será dependiente de la frecuencia.</w:t>
      </w:r>
    </w:p>
    <w:p w14:paraId="38A2911F" w14:textId="77777777" w:rsidR="00D56E53" w:rsidRDefault="00D56E53" w:rsidP="00D56E53">
      <w:pPr>
        <w:rPr>
          <w:lang w:val="es-ES_tradnl"/>
        </w:rPr>
      </w:pPr>
      <w:r w:rsidRPr="00D54E02">
        <w:rPr>
          <w:lang w:val="es-ES_tradnl"/>
        </w:rPr>
        <w:t>Para la gama de frecuencias GSM en torno a 950 MHz, por ejemplo, la fórmula (16) arroja el siguiente resultado:</w:t>
      </w:r>
    </w:p>
    <w:p w14:paraId="4FA62189" w14:textId="77777777" w:rsidR="004820E7" w:rsidRPr="00715CE0" w:rsidRDefault="004820E7" w:rsidP="004820E7">
      <w:pPr>
        <w:pStyle w:val="Blanc"/>
        <w:rPr>
          <w:lang w:val="es-ES_tradnl"/>
        </w:rPr>
      </w:pPr>
    </w:p>
    <w:p w14:paraId="3361655A" w14:textId="77777777" w:rsidR="00D56E53" w:rsidRPr="00D54E02" w:rsidRDefault="00DA3944" w:rsidP="00D56E53">
      <w:pPr>
        <w:pStyle w:val="Equation"/>
        <w:spacing w:before="240"/>
        <w:rPr>
          <w:lang w:val="es-ES_tradnl"/>
        </w:rPr>
      </w:pPr>
      <w:r>
        <w:rPr>
          <w:lang w:val="es-ES_tradnl"/>
        </w:rPr>
        <w:t>      </w:t>
      </w:r>
      <w:r w:rsidR="00D56E53" w:rsidRPr="00D54E02">
        <w:rPr>
          <w:position w:val="-44"/>
          <w:lang w:val="es-ES_tradnl"/>
        </w:rPr>
        <w:object w:dxaOrig="9180" w:dyaOrig="999" w14:anchorId="2BBDC4CF">
          <v:shape id="_x0000_i1034" type="#_x0000_t75" style="width:460.5pt;height:50.5pt" o:ole="">
            <v:imagedata r:id="rId31" o:title=""/>
          </v:shape>
          <o:OLEObject Type="Embed" ProgID="Equation.3" ShapeID="_x0000_i1034" DrawAspect="Content" ObjectID="_1652586378" r:id="rId32"/>
        </w:object>
      </w:r>
    </w:p>
    <w:p w14:paraId="3A7A0CB4" w14:textId="77777777" w:rsidR="00D54E02" w:rsidRDefault="00D54E02" w:rsidP="00FC59FB">
      <w:pPr>
        <w:pStyle w:val="Line"/>
      </w:pPr>
      <w:bookmarkStart w:id="4" w:name="_GoBack"/>
      <w:bookmarkEnd w:id="4"/>
    </w:p>
    <w:sectPr w:rsidR="00D54E02" w:rsidSect="00005D0C">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A78C1" w14:textId="77777777" w:rsidR="00D56E53" w:rsidRDefault="00D56E53">
      <w:r>
        <w:separator/>
      </w:r>
    </w:p>
  </w:endnote>
  <w:endnote w:type="continuationSeparator" w:id="0">
    <w:p w14:paraId="36DBEF40" w14:textId="77777777" w:rsidR="00D56E53" w:rsidRDefault="00D56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siatische Schriftart verwend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3F48B" w14:textId="77777777" w:rsidR="00D56E53" w:rsidRDefault="00D56E53">
      <w:r>
        <w:separator/>
      </w:r>
    </w:p>
  </w:footnote>
  <w:footnote w:type="continuationSeparator" w:id="0">
    <w:p w14:paraId="7F498839" w14:textId="77777777" w:rsidR="00D56E53" w:rsidRDefault="00D56E53">
      <w:r>
        <w:continuationSeparator/>
      </w:r>
    </w:p>
  </w:footnote>
  <w:footnote w:id="1">
    <w:p w14:paraId="3839415D" w14:textId="77777777" w:rsidR="00FC59FB" w:rsidRPr="00FC59FB" w:rsidRDefault="00FC59FB" w:rsidP="00FC59FB">
      <w:pPr>
        <w:pStyle w:val="FootnoteText"/>
        <w:rPr>
          <w:lang w:val="es-ES"/>
        </w:rPr>
      </w:pPr>
      <w:r w:rsidRPr="00FC59FB">
        <w:rPr>
          <w:rStyle w:val="FootnoteReference"/>
          <w:lang w:val="es-ES"/>
        </w:rPr>
        <w:t>*</w:t>
      </w:r>
      <w:r w:rsidRPr="00FC59FB">
        <w:rPr>
          <w:lang w:val="es-ES"/>
        </w:rPr>
        <w:tab/>
      </w:r>
      <w:r w:rsidRPr="00CE0235">
        <w:rPr>
          <w:lang w:val="es-ES"/>
        </w:rPr>
        <w:t>La Comisión de Estudio 1 de Radiocomunicaciones introdujo algunas modificaciones redaccionales en esta Recomendación en 2019,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4AD5F" w14:textId="77777777" w:rsidR="00D56E53" w:rsidRDefault="00D56E5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D698" w14:textId="77777777" w:rsidR="00D56E53" w:rsidRDefault="00D56E53" w:rsidP="00D62884">
    <w:pPr>
      <w:pStyle w:val="Header"/>
      <w:ind w:right="360" w:firstLine="360"/>
    </w:pPr>
    <w:r>
      <w:rPr>
        <w:noProof/>
        <w:lang w:val="en-US" w:eastAsia="zh-CN"/>
      </w:rPr>
      <w:drawing>
        <wp:anchor distT="0" distB="0" distL="114300" distR="114300" simplePos="0" relativeHeight="251657216" behindDoc="1" locked="0" layoutInCell="1" allowOverlap="1" wp14:anchorId="257A1B03" wp14:editId="586B066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C2BC" w14:textId="77777777" w:rsidR="00D56E53" w:rsidRDefault="00D56E53" w:rsidP="007F3B59">
    <w:pPr>
      <w:pStyle w:val="Header"/>
      <w:jc w:val="both"/>
    </w:pPr>
    <w:r>
      <w:tab/>
    </w:r>
    <w:fldSimple w:instr=" DOCPROPERTY &quot;Header&quot; \* MERGEFORMAT ">
      <w:r w:rsidR="004C687F" w:rsidRPr="004C68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C687F">
      <w:rPr>
        <w:b/>
        <w:bCs/>
        <w:noProof/>
      </w:rPr>
      <w:t>UIT-R  SM.575-2</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C67FC" w14:textId="1469235A" w:rsidR="00D56E53" w:rsidRDefault="00D56E5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05D0C">
      <w:rPr>
        <w:rStyle w:val="PageNumber"/>
        <w:b/>
        <w:bCs/>
        <w:noProof/>
      </w:rPr>
      <w:t>ii</w:t>
    </w:r>
    <w:r>
      <w:rPr>
        <w:rStyle w:val="PageNumber"/>
        <w:b/>
        <w:bCs/>
      </w:rPr>
      <w:fldChar w:fldCharType="end"/>
    </w:r>
    <w:r>
      <w:tab/>
    </w:r>
    <w:fldSimple w:instr=" DOCPROPERTY &quot;Header&quot; \* MERGEFORMAT ">
      <w:r w:rsidR="004C687F" w:rsidRPr="004C687F">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BA5357">
      <w:rPr>
        <w:b/>
        <w:bCs/>
        <w:noProof/>
      </w:rPr>
      <w:t>UIT-R  SM.575-2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D7178" w14:textId="77777777" w:rsidR="00D56E53" w:rsidRDefault="00D56E53"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4C687F" w:rsidRPr="004C68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C687F">
      <w:rPr>
        <w:b/>
        <w:bCs/>
        <w:noProof/>
      </w:rPr>
      <w:t>UIT-R  SM.575-2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0BE9F" w14:textId="2D7657B2"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5D0C">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C687F" w:rsidRPr="004C687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A5357">
      <w:rPr>
        <w:b/>
        <w:bCs/>
        <w:noProof/>
        <w:lang w:val="en-US"/>
      </w:rPr>
      <w:t>UIT-R  SM.575-2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D9388" w14:textId="5646E997" w:rsidR="00607D68" w:rsidRDefault="00607D68">
    <w:pPr>
      <w:pStyle w:val="Header"/>
    </w:pPr>
    <w:r>
      <w:tab/>
    </w:r>
    <w:fldSimple w:instr=" DOCPROPERTY &quot;Header&quot; \* MERGEFORMAT ">
      <w:r w:rsidR="004C687F" w:rsidRPr="004C687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A5357">
      <w:rPr>
        <w:b/>
        <w:bCs/>
        <w:noProof/>
      </w:rPr>
      <w:t>UIT-R  SM.575-2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5D0C">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E53"/>
    <w:rsid w:val="00005D0C"/>
    <w:rsid w:val="00017BEB"/>
    <w:rsid w:val="000A36AD"/>
    <w:rsid w:val="001670C0"/>
    <w:rsid w:val="001A2829"/>
    <w:rsid w:val="00217EBF"/>
    <w:rsid w:val="00224996"/>
    <w:rsid w:val="00236F78"/>
    <w:rsid w:val="00242AEE"/>
    <w:rsid w:val="002D76C4"/>
    <w:rsid w:val="002E5279"/>
    <w:rsid w:val="0030769D"/>
    <w:rsid w:val="00332F79"/>
    <w:rsid w:val="004820E7"/>
    <w:rsid w:val="004C687F"/>
    <w:rsid w:val="004E1E71"/>
    <w:rsid w:val="0052529D"/>
    <w:rsid w:val="00607D68"/>
    <w:rsid w:val="006D7174"/>
    <w:rsid w:val="00715CE0"/>
    <w:rsid w:val="00717E1A"/>
    <w:rsid w:val="007468DA"/>
    <w:rsid w:val="007533D9"/>
    <w:rsid w:val="00867A2F"/>
    <w:rsid w:val="008C56E4"/>
    <w:rsid w:val="008E564F"/>
    <w:rsid w:val="009E00A8"/>
    <w:rsid w:val="00A024F7"/>
    <w:rsid w:val="00A6617B"/>
    <w:rsid w:val="00AB0DC8"/>
    <w:rsid w:val="00B44E24"/>
    <w:rsid w:val="00BA5357"/>
    <w:rsid w:val="00BD2CC4"/>
    <w:rsid w:val="00C925EE"/>
    <w:rsid w:val="00C96091"/>
    <w:rsid w:val="00CF0287"/>
    <w:rsid w:val="00CF6141"/>
    <w:rsid w:val="00D44CB1"/>
    <w:rsid w:val="00D54E02"/>
    <w:rsid w:val="00D56E53"/>
    <w:rsid w:val="00D57534"/>
    <w:rsid w:val="00DA3944"/>
    <w:rsid w:val="00DF4176"/>
    <w:rsid w:val="00E22C67"/>
    <w:rsid w:val="00E75832"/>
    <w:rsid w:val="00EC2DF2"/>
    <w:rsid w:val="00F0785D"/>
    <w:rsid w:val="00F90907"/>
    <w:rsid w:val="00FC59FB"/>
    <w:rsid w:val="00FE4E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312D7A1F"/>
  <w15:docId w15:val="{E8376837-E32B-48C0-BF6C-96B2CC2B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6E5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C59FB"/>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56E53"/>
    <w:rPr>
      <w:color w:val="0000FF"/>
      <w:u w:val="single"/>
    </w:rPr>
  </w:style>
  <w:style w:type="character" w:customStyle="1" w:styleId="Heading1Char">
    <w:name w:val="Heading 1 Char"/>
    <w:basedOn w:val="DefaultParagraphFont"/>
    <w:link w:val="Heading1"/>
    <w:rsid w:val="00D56E53"/>
    <w:rPr>
      <w:b/>
      <w:sz w:val="24"/>
      <w:lang w:val="fr-FR" w:eastAsia="en-US"/>
    </w:rPr>
  </w:style>
  <w:style w:type="character" w:customStyle="1" w:styleId="HeaderChar">
    <w:name w:val="Header Char"/>
    <w:basedOn w:val="DefaultParagraphFont"/>
    <w:link w:val="Header"/>
    <w:rsid w:val="00D56E53"/>
    <w:rPr>
      <w:sz w:val="24"/>
      <w:lang w:val="fr-FR" w:eastAsia="en-US"/>
    </w:rPr>
  </w:style>
  <w:style w:type="character" w:customStyle="1" w:styleId="Heading2Char">
    <w:name w:val="Heading 2 Char"/>
    <w:basedOn w:val="DefaultParagraphFont"/>
    <w:link w:val="Heading2"/>
    <w:rsid w:val="00D56E53"/>
    <w:rPr>
      <w:b/>
      <w:sz w:val="24"/>
      <w:lang w:val="fr-FR" w:eastAsia="en-US"/>
    </w:rPr>
  </w:style>
  <w:style w:type="character" w:styleId="PlaceholderText">
    <w:name w:val="Placeholder Text"/>
    <w:basedOn w:val="DefaultParagraphFont"/>
    <w:uiPriority w:val="99"/>
    <w:semiHidden/>
    <w:rsid w:val="00017BEB"/>
    <w:rPr>
      <w:color w:val="808080"/>
    </w:rPr>
  </w:style>
  <w:style w:type="character" w:customStyle="1" w:styleId="Artref">
    <w:name w:val="Art_ref"/>
    <w:basedOn w:val="DefaultParagraphFont"/>
    <w:rsid w:val="00FC59FB"/>
  </w:style>
  <w:style w:type="character" w:customStyle="1" w:styleId="HeadingbChar">
    <w:name w:val="Heading_b Char"/>
    <w:link w:val="Headingb"/>
    <w:locked/>
    <w:rsid w:val="00FC59FB"/>
    <w:rPr>
      <w:b/>
      <w:sz w:val="24"/>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FC59FB"/>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image" Target="media/image6.wmf"/><Relationship Id="rId34" Type="http://schemas.openxmlformats.org/officeDocument/2006/relationships/header" Target="header7.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158</TotalTime>
  <Pages>10</Pages>
  <Words>3510</Words>
  <Characters>18943</Characters>
  <Application>Microsoft Office Word</Application>
  <DocSecurity>0</DocSecurity>
  <Lines>407</Lines>
  <Paragraphs>190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SM.575-2* - Protección de las estaciones fijas de comprobación técnica contra la interferencia ocasionada por transmisores cercanos y potentes</dc:title>
  <dc:subject>Serie SM = Gestión del espectro</dc:subject>
  <dc:creator>Oficina de Radiocomunicaciones del UIT (BR)</dc:creator>
  <cp:keywords>SM,575-2*</cp:keywords>
  <dc:description>Gachetc, 02/06/2020, ITU51013811</dc:description>
  <cp:lastModifiedBy>Gachet, Christelle</cp:lastModifiedBy>
  <cp:revision>34</cp:revision>
  <cp:lastPrinted>2014-12-02T12:45:00Z</cp:lastPrinted>
  <dcterms:created xsi:type="dcterms:W3CDTF">2014-12-01T08:04:00Z</dcterms:created>
  <dcterms:modified xsi:type="dcterms:W3CDTF">2020-06-02T04:58:00Z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02 June 2020</vt:lpwstr>
  </property>
</Properties>
</file>