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677C7" w14:textId="77777777" w:rsidR="000A6F04" w:rsidRPr="00575CB8" w:rsidRDefault="000A6F04" w:rsidP="00A531CE">
      <w:pPr>
        <w:rPr>
          <w:lang w:val="en-US"/>
        </w:rPr>
      </w:pPr>
      <w:bookmarkStart w:id="0" w:name="irecnoe"/>
      <w:bookmarkStart w:id="1" w:name="dbreak"/>
      <w:bookmarkEnd w:id="0"/>
      <w:bookmarkEnd w:id="1"/>
    </w:p>
    <w:p w14:paraId="3E9DEDE0" w14:textId="77777777" w:rsidR="000A6F04" w:rsidRDefault="000A6F04" w:rsidP="00A531CE"/>
    <w:p w14:paraId="4BBB8962" w14:textId="77777777" w:rsidR="000A6F04" w:rsidRDefault="000A6F04" w:rsidP="00A531CE"/>
    <w:p w14:paraId="74925ABA" w14:textId="77777777" w:rsidR="000A6F04" w:rsidRDefault="000A6F04" w:rsidP="00A531CE"/>
    <w:p w14:paraId="2DAF8184" w14:textId="77777777" w:rsidR="000A6F04" w:rsidRDefault="000A6F04" w:rsidP="00A531CE"/>
    <w:p w14:paraId="410866D1" w14:textId="77777777" w:rsidR="000A6F04" w:rsidRDefault="000A6F04" w:rsidP="00A531CE"/>
    <w:p w14:paraId="7A5D2CCD" w14:textId="77777777" w:rsidR="000A6F04" w:rsidRDefault="000A6F04" w:rsidP="00A531CE"/>
    <w:p w14:paraId="638C9C3F" w14:textId="77777777" w:rsidR="000A6F04" w:rsidRDefault="000A6F04" w:rsidP="00A531CE"/>
    <w:p w14:paraId="24530CC2" w14:textId="77777777" w:rsidR="000A6F04" w:rsidRDefault="000A6F04" w:rsidP="00A531CE"/>
    <w:p w14:paraId="211D2939" w14:textId="77777777" w:rsidR="000A6F04" w:rsidRDefault="000A6F04" w:rsidP="00A531CE"/>
    <w:p w14:paraId="76C332C4" w14:textId="77777777" w:rsidR="000A6F04" w:rsidRDefault="000A6F04" w:rsidP="00A531CE"/>
    <w:p w14:paraId="397F78D9" w14:textId="77777777" w:rsidR="000A6F04" w:rsidRDefault="000A6F04" w:rsidP="00A531C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0A6F04" w:rsidRPr="000A6F04" w14:paraId="507B0889" w14:textId="77777777" w:rsidTr="00A531CE">
        <w:tc>
          <w:tcPr>
            <w:tcW w:w="10089" w:type="dxa"/>
          </w:tcPr>
          <w:p w14:paraId="6A4BE92F" w14:textId="77777777" w:rsidR="000A6F04" w:rsidRPr="0010336F" w:rsidRDefault="000A6F04" w:rsidP="00A531CE">
            <w:pPr>
              <w:spacing w:before="380" w:line="280" w:lineRule="exact"/>
              <w:jc w:val="right"/>
              <w:rPr>
                <w:rFonts w:ascii="Tahoma" w:hAnsi="Tahoma" w:cs="Tahoma"/>
                <w:b/>
                <w:bCs/>
                <w:iCs/>
                <w:color w:val="243285"/>
                <w:sz w:val="32"/>
                <w:szCs w:val="32"/>
                <w:lang w:val="en-US"/>
              </w:rPr>
            </w:pPr>
          </w:p>
          <w:p w14:paraId="7D3D8D6E" w14:textId="77777777" w:rsidR="000A6F04" w:rsidRPr="0010336F" w:rsidRDefault="000A6F04" w:rsidP="00313F0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sidR="00313F08">
              <w:rPr>
                <w:rFonts w:ascii="Tahoma" w:hAnsi="Tahoma" w:cs="Tahoma"/>
                <w:b/>
                <w:bCs/>
                <w:iCs/>
                <w:color w:val="243285"/>
                <w:sz w:val="36"/>
                <w:szCs w:val="36"/>
                <w:lang w:val="es-ES_tradnl"/>
              </w:rPr>
              <w:t>443-4</w:t>
            </w:r>
          </w:p>
          <w:p w14:paraId="3D67C19A" w14:textId="77777777" w:rsidR="000A6F04" w:rsidRPr="0010336F" w:rsidRDefault="000A6F04" w:rsidP="00313F0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13F08">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313F08">
              <w:rPr>
                <w:rFonts w:ascii="Tahoma" w:hAnsi="Tahoma" w:cs="Tahoma"/>
                <w:b/>
                <w:bCs/>
                <w:iCs/>
                <w:color w:val="243285"/>
                <w:szCs w:val="24"/>
                <w:lang w:val="es-ES_tradnl"/>
              </w:rPr>
              <w:t>2007</w:t>
            </w:r>
            <w:r w:rsidRPr="0010336F">
              <w:rPr>
                <w:rFonts w:ascii="Tahoma" w:hAnsi="Tahoma" w:cs="Tahoma"/>
                <w:b/>
                <w:bCs/>
                <w:iCs/>
                <w:color w:val="243285"/>
                <w:szCs w:val="24"/>
                <w:lang w:val="es-ES_tradnl"/>
              </w:rPr>
              <w:t>)</w:t>
            </w:r>
          </w:p>
        </w:tc>
      </w:tr>
      <w:tr w:rsidR="000A6F04" w:rsidRPr="00652033" w14:paraId="24E5BEBA" w14:textId="77777777" w:rsidTr="00A531CE">
        <w:tc>
          <w:tcPr>
            <w:tcW w:w="10089" w:type="dxa"/>
          </w:tcPr>
          <w:p w14:paraId="1B035693" w14:textId="77777777" w:rsidR="000A6F04" w:rsidRPr="0010336F" w:rsidRDefault="000A6F04" w:rsidP="00A531CE">
            <w:pPr>
              <w:spacing w:before="80" w:line="500" w:lineRule="exact"/>
              <w:jc w:val="right"/>
              <w:rPr>
                <w:rFonts w:ascii="Tahoma" w:hAnsi="Tahoma" w:cs="Tahoma"/>
                <w:b/>
                <w:bCs/>
                <w:iCs/>
                <w:color w:val="243285"/>
                <w:sz w:val="44"/>
                <w:szCs w:val="44"/>
                <w:lang w:val="es-ES_tradnl"/>
              </w:rPr>
            </w:pPr>
          </w:p>
          <w:p w14:paraId="6A1D00F8" w14:textId="77777777" w:rsidR="000A6F04" w:rsidRDefault="00313F08" w:rsidP="000B4D5D">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Mediciones de anchura de banda en</w:t>
            </w:r>
            <w:r w:rsidR="000B4D5D">
              <w:rPr>
                <w:rFonts w:ascii="Tahoma" w:hAnsi="Tahoma" w:cs="Tahoma"/>
                <w:b/>
                <w:bCs/>
                <w:color w:val="243285"/>
                <w:sz w:val="44"/>
                <w:szCs w:val="44"/>
                <w:lang w:val="es-ES_tradnl"/>
              </w:rPr>
              <w:br/>
            </w:r>
            <w:r>
              <w:rPr>
                <w:rFonts w:ascii="Tahoma" w:hAnsi="Tahoma" w:cs="Tahoma"/>
                <w:b/>
                <w:bCs/>
                <w:color w:val="243285"/>
                <w:sz w:val="44"/>
                <w:szCs w:val="44"/>
                <w:lang w:val="es-ES_tradnl"/>
              </w:rPr>
              <w:t xml:space="preserve">las estaciones de comprobación </w:t>
            </w:r>
            <w:r>
              <w:rPr>
                <w:rFonts w:ascii="Tahoma" w:hAnsi="Tahoma" w:cs="Tahoma"/>
                <w:b/>
                <w:bCs/>
                <w:color w:val="243285"/>
                <w:sz w:val="44"/>
                <w:szCs w:val="44"/>
                <w:lang w:val="es-ES_tradnl"/>
              </w:rPr>
              <w:br/>
              <w:t>técnica de las emisiones</w:t>
            </w:r>
          </w:p>
          <w:p w14:paraId="75BB1371" w14:textId="77777777" w:rsidR="000A6F04" w:rsidRPr="0010336F" w:rsidRDefault="000A6F04" w:rsidP="00A531CE">
            <w:pPr>
              <w:spacing w:before="80" w:line="500" w:lineRule="exact"/>
              <w:jc w:val="right"/>
              <w:rPr>
                <w:rFonts w:ascii="Tahoma" w:hAnsi="Tahoma" w:cs="Tahoma"/>
                <w:b/>
                <w:bCs/>
                <w:iCs/>
                <w:color w:val="243285"/>
                <w:sz w:val="44"/>
                <w:szCs w:val="44"/>
                <w:lang w:val="es-ES_tradnl"/>
              </w:rPr>
            </w:pPr>
          </w:p>
        </w:tc>
      </w:tr>
      <w:tr w:rsidR="000A6F04" w:rsidRPr="00905DB5" w14:paraId="711156FF" w14:textId="77777777" w:rsidTr="00A531CE">
        <w:tc>
          <w:tcPr>
            <w:tcW w:w="10089" w:type="dxa"/>
          </w:tcPr>
          <w:p w14:paraId="1CD2B5F9" w14:textId="77777777" w:rsidR="000A6F04" w:rsidRPr="0010336F" w:rsidRDefault="000A6F04" w:rsidP="00A531CE">
            <w:pPr>
              <w:spacing w:before="80" w:line="280" w:lineRule="exact"/>
              <w:ind w:right="640"/>
              <w:rPr>
                <w:rFonts w:ascii="Tahoma" w:hAnsi="Tahoma" w:cs="Tahoma"/>
                <w:b/>
                <w:bCs/>
                <w:iCs/>
                <w:color w:val="243285"/>
                <w:sz w:val="32"/>
                <w:szCs w:val="32"/>
                <w:lang w:val="es-ES_tradnl"/>
              </w:rPr>
            </w:pPr>
          </w:p>
          <w:p w14:paraId="5A9BC11C" w14:textId="77777777" w:rsidR="000A6F04" w:rsidRPr="0010336F" w:rsidRDefault="000A6F04" w:rsidP="00A531CE">
            <w:pPr>
              <w:spacing w:before="80" w:line="280" w:lineRule="exact"/>
              <w:ind w:right="640"/>
              <w:rPr>
                <w:rFonts w:ascii="Tahoma" w:hAnsi="Tahoma" w:cs="Tahoma"/>
                <w:b/>
                <w:bCs/>
                <w:iCs/>
                <w:color w:val="243285"/>
                <w:sz w:val="32"/>
                <w:szCs w:val="32"/>
                <w:lang w:val="es-ES_tradnl"/>
              </w:rPr>
            </w:pPr>
          </w:p>
          <w:p w14:paraId="244C3D18" w14:textId="77777777" w:rsidR="000A6F04" w:rsidRPr="0010336F" w:rsidRDefault="000A6F04" w:rsidP="00A531CE">
            <w:pPr>
              <w:spacing w:before="80" w:after="180" w:line="360" w:lineRule="exact"/>
              <w:ind w:right="720"/>
              <w:rPr>
                <w:rFonts w:ascii="Tahoma" w:hAnsi="Tahoma" w:cs="Tahoma"/>
                <w:b/>
                <w:bCs/>
                <w:iCs/>
                <w:color w:val="243285"/>
                <w:sz w:val="36"/>
                <w:szCs w:val="36"/>
                <w:lang w:val="es-ES_tradnl"/>
              </w:rPr>
            </w:pPr>
          </w:p>
          <w:p w14:paraId="1BD0871B" w14:textId="77777777" w:rsidR="000A6F04" w:rsidRPr="0010336F" w:rsidRDefault="000A6F04" w:rsidP="00A531C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14:paraId="29DBD1EE" w14:textId="77777777" w:rsidR="000A6F04" w:rsidRPr="0010336F" w:rsidRDefault="000A6F04" w:rsidP="00A531C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14:paraId="4143760A" w14:textId="77777777" w:rsidR="000A6F04" w:rsidRPr="0026666F" w:rsidRDefault="000A6F04" w:rsidP="00A531CE">
      <w:pPr>
        <w:spacing w:before="80"/>
        <w:rPr>
          <w:i/>
          <w:sz w:val="22"/>
          <w:lang w:val="es-ES_tradnl"/>
        </w:rPr>
      </w:pPr>
    </w:p>
    <w:p w14:paraId="54142BC8" w14:textId="77777777" w:rsidR="000A6F04" w:rsidRPr="0026666F" w:rsidRDefault="000A6F04" w:rsidP="00A531CE">
      <w:pPr>
        <w:spacing w:before="80"/>
        <w:rPr>
          <w:i/>
          <w:sz w:val="22"/>
          <w:lang w:val="es-ES_tradnl"/>
        </w:rPr>
      </w:pPr>
    </w:p>
    <w:p w14:paraId="24E082CE" w14:textId="77777777" w:rsidR="000A6F04" w:rsidRPr="0026666F" w:rsidRDefault="000A6F04" w:rsidP="00A531CE">
      <w:pPr>
        <w:spacing w:before="80"/>
        <w:rPr>
          <w:i/>
          <w:sz w:val="22"/>
          <w:lang w:val="es-ES_tradnl"/>
        </w:rPr>
      </w:pPr>
    </w:p>
    <w:p w14:paraId="5406E8EF" w14:textId="77777777" w:rsidR="000A6F04" w:rsidRPr="0026666F" w:rsidRDefault="000A6F04" w:rsidP="00A531CE">
      <w:pPr>
        <w:spacing w:before="80"/>
        <w:rPr>
          <w:i/>
          <w:sz w:val="22"/>
          <w:lang w:val="es-ES_tradnl"/>
        </w:rPr>
      </w:pPr>
    </w:p>
    <w:p w14:paraId="2822F955" w14:textId="77777777" w:rsidR="000A6F04" w:rsidRPr="0026666F" w:rsidRDefault="000A6F04" w:rsidP="00A531CE">
      <w:pPr>
        <w:spacing w:before="80"/>
        <w:rPr>
          <w:i/>
          <w:sz w:val="22"/>
          <w:lang w:val="es-ES_tradnl"/>
        </w:rPr>
      </w:pPr>
    </w:p>
    <w:p w14:paraId="60C409EB" w14:textId="77777777" w:rsidR="000A6F04" w:rsidRPr="0026666F" w:rsidRDefault="000A6F04" w:rsidP="00A531CE">
      <w:pPr>
        <w:spacing w:before="80"/>
        <w:rPr>
          <w:i/>
          <w:sz w:val="22"/>
          <w:lang w:val="es-ES_tradnl"/>
        </w:rPr>
      </w:pPr>
    </w:p>
    <w:p w14:paraId="5BBD669E" w14:textId="77777777" w:rsidR="000A6F04" w:rsidRPr="0026666F" w:rsidRDefault="000A6F04" w:rsidP="00A531CE">
      <w:pPr>
        <w:pStyle w:val="Equation"/>
        <w:tabs>
          <w:tab w:val="clear" w:pos="4820"/>
          <w:tab w:val="clear" w:pos="9639"/>
          <w:tab w:val="left" w:pos="1191"/>
          <w:tab w:val="left" w:pos="1588"/>
          <w:tab w:val="left" w:pos="1985"/>
        </w:tabs>
        <w:rPr>
          <w:rFonts w:ascii="Palatino Linotype" w:hAnsi="Palatino Linotype"/>
          <w:lang w:val="es-ES_tradnl"/>
        </w:rPr>
        <w:sectPr w:rsidR="000A6F04" w:rsidRPr="0026666F" w:rsidSect="00A531CE">
          <w:headerReference w:type="even" r:id="rId7"/>
          <w:headerReference w:type="default" r:id="rId8"/>
          <w:pgSz w:w="11907" w:h="16834" w:code="9"/>
          <w:pgMar w:top="1418" w:right="1134" w:bottom="1134" w:left="1134" w:header="720" w:footer="482" w:gutter="0"/>
          <w:paperSrc w:first="15" w:other="15"/>
          <w:pgNumType w:start="1"/>
          <w:cols w:space="720"/>
        </w:sectPr>
      </w:pPr>
    </w:p>
    <w:p w14:paraId="0C16AAF8" w14:textId="77777777" w:rsidR="000A6F04" w:rsidRPr="006C718C" w:rsidRDefault="000A6F04" w:rsidP="00A531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14:paraId="5CA9B153" w14:textId="77777777" w:rsidR="000A6F04" w:rsidRPr="006C718C" w:rsidRDefault="000A6F04" w:rsidP="00A531C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504B70F" w14:textId="77777777" w:rsidR="000A6F04" w:rsidRPr="006C718C" w:rsidRDefault="000A6F04" w:rsidP="00A531C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0EFA898" w14:textId="77777777" w:rsidR="000A6F04" w:rsidRPr="00021E8A" w:rsidRDefault="000A6F04" w:rsidP="00A531C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1523A9A9" w14:textId="60BB615D" w:rsidR="000A6F04" w:rsidRPr="00021E8A" w:rsidRDefault="000A6F04" w:rsidP="00A531C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4307517" w14:textId="77777777" w:rsidR="000A6F04" w:rsidRPr="007C36CA" w:rsidRDefault="000A6F04" w:rsidP="00A531CE">
      <w:pPr>
        <w:spacing w:before="0"/>
        <w:jc w:val="center"/>
        <w:rPr>
          <w:sz w:val="22"/>
          <w:lang w:val="es-ES_tradnl"/>
        </w:rPr>
      </w:pPr>
    </w:p>
    <w:p w14:paraId="2208ABC7" w14:textId="77777777" w:rsidR="000A6F04" w:rsidRPr="007C36CA" w:rsidRDefault="000A6F04" w:rsidP="00A531C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A6F04" w:rsidRPr="00652033" w14:paraId="19EA9325" w14:textId="77777777" w:rsidTr="00A531CE">
        <w:tc>
          <w:tcPr>
            <w:tcW w:w="9360" w:type="dxa"/>
            <w:gridSpan w:val="2"/>
          </w:tcPr>
          <w:p w14:paraId="41B2C284" w14:textId="77777777" w:rsidR="000A6F04" w:rsidRPr="00021E8A" w:rsidRDefault="000A6F04" w:rsidP="00A531C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1DD17E6" w14:textId="77777777" w:rsidR="000A6F04" w:rsidRPr="00763D08" w:rsidRDefault="000A6F04" w:rsidP="00A531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A6F04" w:rsidRPr="00036EE3" w14:paraId="2DAD658A" w14:textId="77777777" w:rsidTr="00A531CE">
        <w:tc>
          <w:tcPr>
            <w:tcW w:w="1140" w:type="dxa"/>
            <w:tcBorders>
              <w:bottom w:val="nil"/>
            </w:tcBorders>
          </w:tcPr>
          <w:p w14:paraId="571BBBF3" w14:textId="77777777" w:rsidR="000A6F04" w:rsidRPr="00036EE3" w:rsidRDefault="000A6F04" w:rsidP="00A531CE">
            <w:pPr>
              <w:spacing w:before="180" w:after="100"/>
              <w:ind w:left="57"/>
              <w:rPr>
                <w:b/>
                <w:bCs/>
                <w:sz w:val="20"/>
                <w:lang w:val="en-US"/>
              </w:rPr>
            </w:pPr>
            <w:r w:rsidRPr="00036EE3">
              <w:rPr>
                <w:b/>
                <w:bCs/>
                <w:sz w:val="20"/>
                <w:lang w:val="en-US"/>
              </w:rPr>
              <w:t>Series</w:t>
            </w:r>
          </w:p>
        </w:tc>
        <w:tc>
          <w:tcPr>
            <w:tcW w:w="8220" w:type="dxa"/>
            <w:tcBorders>
              <w:bottom w:val="nil"/>
            </w:tcBorders>
          </w:tcPr>
          <w:p w14:paraId="5E062B06" w14:textId="77777777" w:rsidR="000A6F04" w:rsidRPr="00036EE3" w:rsidRDefault="000A6F04" w:rsidP="00A531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A6F04" w:rsidRPr="004532F7" w14:paraId="58DA4056" w14:textId="77777777" w:rsidTr="00A531CE">
        <w:tc>
          <w:tcPr>
            <w:tcW w:w="1140" w:type="dxa"/>
            <w:tcBorders>
              <w:top w:val="nil"/>
              <w:bottom w:val="nil"/>
            </w:tcBorders>
            <w:shd w:val="clear" w:color="auto" w:fill="auto"/>
          </w:tcPr>
          <w:p w14:paraId="701D293C" w14:textId="77777777" w:rsidR="000A6F04" w:rsidRPr="004532F7" w:rsidRDefault="000A6F04" w:rsidP="00A531C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9C3D54A" w14:textId="77777777" w:rsidR="000A6F04" w:rsidRPr="004532F7" w:rsidRDefault="000A6F04" w:rsidP="00A531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A6F04" w:rsidRPr="00652033" w14:paraId="2C9BAD2C" w14:textId="77777777" w:rsidTr="00A531CE">
        <w:tc>
          <w:tcPr>
            <w:tcW w:w="1140" w:type="dxa"/>
            <w:tcBorders>
              <w:top w:val="nil"/>
              <w:bottom w:val="nil"/>
            </w:tcBorders>
            <w:shd w:val="clear" w:color="auto" w:fill="auto"/>
          </w:tcPr>
          <w:p w14:paraId="47E315E2" w14:textId="77777777" w:rsidR="000A6F04" w:rsidRPr="006B22C3" w:rsidRDefault="000A6F04" w:rsidP="00A531C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6DCB557E" w14:textId="77777777" w:rsidR="000A6F04" w:rsidRPr="006B22C3" w:rsidRDefault="000A6F04" w:rsidP="00A531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A6F04" w:rsidRPr="00847DD5" w14:paraId="11DA2FA2" w14:textId="77777777" w:rsidTr="00A531CE">
        <w:tc>
          <w:tcPr>
            <w:tcW w:w="1140" w:type="dxa"/>
            <w:tcBorders>
              <w:top w:val="nil"/>
              <w:bottom w:val="nil"/>
            </w:tcBorders>
            <w:shd w:val="clear" w:color="auto" w:fill="auto"/>
          </w:tcPr>
          <w:p w14:paraId="6B4F4820" w14:textId="77777777" w:rsidR="000A6F04" w:rsidRPr="00847DD5" w:rsidRDefault="000A6F04" w:rsidP="00A531C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5B8ED6FB" w14:textId="77777777" w:rsidR="000A6F04" w:rsidRPr="00847DD5" w:rsidRDefault="000A6F04" w:rsidP="00A531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0A6F04" w:rsidRPr="00ED2695" w14:paraId="37586632" w14:textId="77777777" w:rsidTr="00A531CE">
        <w:tc>
          <w:tcPr>
            <w:tcW w:w="1140" w:type="dxa"/>
            <w:tcBorders>
              <w:top w:val="nil"/>
              <w:bottom w:val="nil"/>
            </w:tcBorders>
            <w:shd w:val="clear" w:color="auto" w:fill="auto"/>
          </w:tcPr>
          <w:p w14:paraId="7A620229" w14:textId="77777777" w:rsidR="000A6F04" w:rsidRPr="00ED2695" w:rsidRDefault="000A6F04" w:rsidP="00A531C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CF9D476" w14:textId="77777777" w:rsidR="000A6F04" w:rsidRPr="00021E8A" w:rsidRDefault="000A6F04" w:rsidP="00A531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A6F04" w:rsidRPr="00366CEE" w14:paraId="6ECB5AE9" w14:textId="77777777" w:rsidTr="00A531CE">
        <w:tc>
          <w:tcPr>
            <w:tcW w:w="1140" w:type="dxa"/>
            <w:tcBorders>
              <w:top w:val="nil"/>
              <w:bottom w:val="nil"/>
            </w:tcBorders>
            <w:shd w:val="clear" w:color="auto" w:fill="auto"/>
          </w:tcPr>
          <w:p w14:paraId="55554FE6" w14:textId="77777777" w:rsidR="000A6F04" w:rsidRPr="00366CEE" w:rsidRDefault="000A6F04" w:rsidP="00A531C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44E70C30" w14:textId="77777777" w:rsidR="000A6F04" w:rsidRPr="00366CEE" w:rsidRDefault="000A6F04" w:rsidP="00A531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A6F04" w:rsidRPr="00652033" w14:paraId="3C2DE667" w14:textId="77777777" w:rsidTr="00A531CE">
        <w:tc>
          <w:tcPr>
            <w:tcW w:w="1140" w:type="dxa"/>
            <w:tcBorders>
              <w:top w:val="nil"/>
              <w:bottom w:val="nil"/>
            </w:tcBorders>
            <w:shd w:val="clear" w:color="auto" w:fill="auto"/>
          </w:tcPr>
          <w:p w14:paraId="0A6B95CF" w14:textId="77777777" w:rsidR="000A6F04" w:rsidRPr="0010336F" w:rsidRDefault="000A6F04" w:rsidP="00A531C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5C5ECEBC" w14:textId="77777777" w:rsidR="000A6F04" w:rsidRPr="0010336F" w:rsidRDefault="000A6F04" w:rsidP="00A531C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A6F04" w:rsidRPr="00652033" w14:paraId="2FBDCC10" w14:textId="77777777" w:rsidTr="00A531CE">
        <w:tc>
          <w:tcPr>
            <w:tcW w:w="1140" w:type="dxa"/>
            <w:tcBorders>
              <w:top w:val="nil"/>
              <w:bottom w:val="nil"/>
            </w:tcBorders>
            <w:shd w:val="clear" w:color="auto" w:fill="auto"/>
          </w:tcPr>
          <w:p w14:paraId="47ECCAAB" w14:textId="77777777" w:rsidR="000A6F04" w:rsidRPr="00F95576" w:rsidRDefault="000A6F04" w:rsidP="00A531CE">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6227E660" w14:textId="77777777" w:rsidR="000A6F04" w:rsidRPr="00F95576" w:rsidRDefault="000A6F04" w:rsidP="00A531CE">
            <w:pPr>
              <w:spacing w:before="30" w:after="30"/>
              <w:jc w:val="left"/>
              <w:rPr>
                <w:sz w:val="20"/>
                <w:lang w:val="es-ES_tradnl"/>
              </w:rPr>
            </w:pPr>
            <w:r w:rsidRPr="00F95576">
              <w:rPr>
                <w:sz w:val="20"/>
                <w:lang w:val="es-ES_tradnl"/>
              </w:rPr>
              <w:t>Propagación de las ondas radioeléctricas</w:t>
            </w:r>
          </w:p>
        </w:tc>
      </w:tr>
      <w:tr w:rsidR="000A6F04" w:rsidRPr="00DE71F7" w14:paraId="6F73CCD2" w14:textId="77777777" w:rsidTr="00A531CE">
        <w:tc>
          <w:tcPr>
            <w:tcW w:w="1140" w:type="dxa"/>
            <w:tcBorders>
              <w:top w:val="nil"/>
              <w:bottom w:val="nil"/>
            </w:tcBorders>
            <w:shd w:val="clear" w:color="auto" w:fill="auto"/>
          </w:tcPr>
          <w:p w14:paraId="1F4A5DD4" w14:textId="77777777" w:rsidR="000A6F04" w:rsidRPr="00DE71F7" w:rsidRDefault="000A6F04" w:rsidP="00A531CE">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02FE4398" w14:textId="77777777" w:rsidR="000A6F04" w:rsidRPr="00DE71F7" w:rsidRDefault="000A6F04" w:rsidP="00A531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0A6F04" w:rsidRPr="00652033" w14:paraId="5A0B7F31" w14:textId="77777777" w:rsidTr="00A531CE">
        <w:tc>
          <w:tcPr>
            <w:tcW w:w="1140" w:type="dxa"/>
            <w:tcBorders>
              <w:top w:val="nil"/>
              <w:bottom w:val="nil"/>
            </w:tcBorders>
            <w:shd w:val="clear" w:color="auto" w:fill="auto"/>
          </w:tcPr>
          <w:p w14:paraId="488593BF" w14:textId="77777777" w:rsidR="000A6F04" w:rsidRPr="00D12388" w:rsidRDefault="000A6F04" w:rsidP="00A531CE">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4781CFBE" w14:textId="77777777" w:rsidR="000A6F04" w:rsidRPr="00D12388" w:rsidRDefault="000A6F04" w:rsidP="00A531C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0A6F04" w:rsidRPr="00025336" w14:paraId="249A9EDF" w14:textId="77777777" w:rsidTr="00A531CE">
        <w:tc>
          <w:tcPr>
            <w:tcW w:w="1140" w:type="dxa"/>
            <w:tcBorders>
              <w:top w:val="nil"/>
              <w:bottom w:val="nil"/>
            </w:tcBorders>
            <w:shd w:val="clear" w:color="auto" w:fill="auto"/>
          </w:tcPr>
          <w:p w14:paraId="061B6C79" w14:textId="77777777" w:rsidR="000A6F04" w:rsidRPr="00025336" w:rsidRDefault="000A6F04" w:rsidP="00A531CE">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651D001F" w14:textId="77777777" w:rsidR="000A6F04" w:rsidRPr="00025336" w:rsidRDefault="000A6F04" w:rsidP="00A531CE">
            <w:pPr>
              <w:spacing w:before="30" w:after="30"/>
              <w:jc w:val="left"/>
              <w:rPr>
                <w:sz w:val="20"/>
                <w:lang w:val="en-US"/>
              </w:rPr>
            </w:pPr>
            <w:r w:rsidRPr="00025336">
              <w:rPr>
                <w:sz w:val="20"/>
              </w:rPr>
              <w:t>Servicio fijo por satélite</w:t>
            </w:r>
          </w:p>
        </w:tc>
      </w:tr>
      <w:tr w:rsidR="000A6F04" w:rsidRPr="00975AEB" w14:paraId="3150DD15" w14:textId="77777777" w:rsidTr="00A531CE">
        <w:tc>
          <w:tcPr>
            <w:tcW w:w="1140" w:type="dxa"/>
            <w:tcBorders>
              <w:top w:val="nil"/>
              <w:bottom w:val="nil"/>
            </w:tcBorders>
            <w:shd w:val="clear" w:color="auto" w:fill="auto"/>
          </w:tcPr>
          <w:p w14:paraId="5ACDA348" w14:textId="77777777" w:rsidR="000A6F04" w:rsidRPr="00975AEB" w:rsidRDefault="000A6F04" w:rsidP="00A531CE">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14:paraId="1DFDEBEE" w14:textId="77777777" w:rsidR="000A6F04" w:rsidRPr="00975AEB" w:rsidRDefault="000A6F04" w:rsidP="00A531CE">
            <w:pPr>
              <w:spacing w:before="30" w:after="30"/>
              <w:jc w:val="left"/>
              <w:rPr>
                <w:sz w:val="20"/>
                <w:lang w:val="en-US"/>
              </w:rPr>
            </w:pPr>
            <w:r w:rsidRPr="00975AEB">
              <w:rPr>
                <w:sz w:val="20"/>
              </w:rPr>
              <w:t>Aplicaciones espaciales y meteorología</w:t>
            </w:r>
          </w:p>
        </w:tc>
      </w:tr>
      <w:tr w:rsidR="000A6F04" w:rsidRPr="00652033" w14:paraId="610ED346" w14:textId="77777777" w:rsidTr="00A531CE">
        <w:tc>
          <w:tcPr>
            <w:tcW w:w="1140" w:type="dxa"/>
            <w:tcBorders>
              <w:top w:val="nil"/>
              <w:bottom w:val="nil"/>
            </w:tcBorders>
            <w:shd w:val="clear" w:color="auto" w:fill="auto"/>
          </w:tcPr>
          <w:p w14:paraId="063E3D62" w14:textId="77777777" w:rsidR="000A6F04" w:rsidRPr="00746AC6" w:rsidRDefault="000A6F04" w:rsidP="00A531CE">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14:paraId="1CC58869" w14:textId="77777777" w:rsidR="000A6F04" w:rsidRPr="00746AC6" w:rsidRDefault="000A6F04" w:rsidP="00A531CE">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0A6F04" w:rsidRPr="00746AC6" w14:paraId="40AE7DF2" w14:textId="77777777" w:rsidTr="00A531CE">
        <w:tc>
          <w:tcPr>
            <w:tcW w:w="1140" w:type="dxa"/>
            <w:tcBorders>
              <w:top w:val="nil"/>
              <w:bottom w:val="nil"/>
            </w:tcBorders>
            <w:shd w:val="clear" w:color="auto" w:fill="F3F3F3"/>
          </w:tcPr>
          <w:p w14:paraId="10CC07F0" w14:textId="77777777" w:rsidR="000A6F04" w:rsidRPr="00746AC6" w:rsidRDefault="000A6F04" w:rsidP="00A531CE">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14:paraId="7E593E0D" w14:textId="77777777" w:rsidR="000A6F04" w:rsidRPr="00746AC6" w:rsidRDefault="000A6F04" w:rsidP="00A531CE">
            <w:pPr>
              <w:spacing w:before="30" w:after="30"/>
              <w:jc w:val="left"/>
              <w:rPr>
                <w:b/>
                <w:bCs/>
                <w:color w:val="000080"/>
                <w:sz w:val="20"/>
                <w:lang w:val="en-US"/>
              </w:rPr>
            </w:pPr>
            <w:r w:rsidRPr="00746AC6">
              <w:rPr>
                <w:b/>
                <w:bCs/>
                <w:color w:val="000080"/>
                <w:sz w:val="20"/>
              </w:rPr>
              <w:t>Gestión del espectro</w:t>
            </w:r>
          </w:p>
        </w:tc>
      </w:tr>
      <w:tr w:rsidR="000A6F04" w:rsidRPr="00036EE3" w14:paraId="68EB9198" w14:textId="77777777" w:rsidTr="00A531CE">
        <w:tc>
          <w:tcPr>
            <w:tcW w:w="1140" w:type="dxa"/>
            <w:tcBorders>
              <w:top w:val="nil"/>
            </w:tcBorders>
          </w:tcPr>
          <w:p w14:paraId="01228542" w14:textId="77777777" w:rsidR="000A6F04" w:rsidRPr="00036EE3" w:rsidRDefault="000A6F04" w:rsidP="00A531CE">
            <w:pPr>
              <w:spacing w:before="30" w:after="30"/>
              <w:ind w:left="57"/>
              <w:jc w:val="left"/>
              <w:rPr>
                <w:b/>
                <w:bCs/>
                <w:sz w:val="20"/>
                <w:lang w:val="en-US"/>
              </w:rPr>
            </w:pPr>
            <w:r w:rsidRPr="00036EE3">
              <w:rPr>
                <w:b/>
                <w:bCs/>
                <w:sz w:val="20"/>
                <w:lang w:val="en-US"/>
              </w:rPr>
              <w:t>SNG</w:t>
            </w:r>
          </w:p>
        </w:tc>
        <w:tc>
          <w:tcPr>
            <w:tcW w:w="8220" w:type="dxa"/>
            <w:tcBorders>
              <w:top w:val="nil"/>
            </w:tcBorders>
          </w:tcPr>
          <w:p w14:paraId="245EEE60" w14:textId="77777777" w:rsidR="000A6F04" w:rsidRPr="00021E8A" w:rsidRDefault="000A6F04" w:rsidP="00A531CE">
            <w:pPr>
              <w:spacing w:before="30" w:after="30"/>
              <w:jc w:val="left"/>
              <w:rPr>
                <w:bCs/>
                <w:sz w:val="20"/>
                <w:lang w:val="en-US"/>
              </w:rPr>
            </w:pPr>
            <w:r w:rsidRPr="00021E8A">
              <w:rPr>
                <w:bCs/>
                <w:sz w:val="20"/>
              </w:rPr>
              <w:t>Periodismo electrónico por satélite</w:t>
            </w:r>
          </w:p>
        </w:tc>
      </w:tr>
      <w:tr w:rsidR="000A6F04" w:rsidRPr="00652033" w14:paraId="54B045D5" w14:textId="77777777" w:rsidTr="00A531CE">
        <w:tc>
          <w:tcPr>
            <w:tcW w:w="1140" w:type="dxa"/>
          </w:tcPr>
          <w:p w14:paraId="303D6CD1" w14:textId="77777777" w:rsidR="000A6F04" w:rsidRPr="00036EE3" w:rsidRDefault="000A6F04" w:rsidP="00A531CE">
            <w:pPr>
              <w:spacing w:before="30" w:after="30"/>
              <w:ind w:left="57"/>
              <w:jc w:val="left"/>
              <w:rPr>
                <w:b/>
                <w:bCs/>
                <w:sz w:val="20"/>
                <w:lang w:val="en-US"/>
              </w:rPr>
            </w:pPr>
            <w:r w:rsidRPr="00036EE3">
              <w:rPr>
                <w:b/>
                <w:bCs/>
                <w:sz w:val="20"/>
                <w:lang w:val="en-US"/>
              </w:rPr>
              <w:t>TF</w:t>
            </w:r>
          </w:p>
        </w:tc>
        <w:tc>
          <w:tcPr>
            <w:tcW w:w="8220" w:type="dxa"/>
          </w:tcPr>
          <w:p w14:paraId="3F8461FF" w14:textId="77777777" w:rsidR="000A6F04" w:rsidRPr="00021E8A" w:rsidRDefault="000A6F04" w:rsidP="00A531CE">
            <w:pPr>
              <w:spacing w:before="30" w:after="30"/>
              <w:jc w:val="left"/>
              <w:rPr>
                <w:bCs/>
                <w:sz w:val="20"/>
                <w:lang w:val="es-ES_tradnl"/>
              </w:rPr>
            </w:pPr>
            <w:r w:rsidRPr="00021E8A">
              <w:rPr>
                <w:bCs/>
                <w:sz w:val="20"/>
                <w:lang w:val="es-ES_tradnl"/>
              </w:rPr>
              <w:t>Emisiones de frecuencias patrón y señales horarias</w:t>
            </w:r>
          </w:p>
        </w:tc>
      </w:tr>
      <w:tr w:rsidR="000A6F04" w:rsidRPr="00036EE3" w14:paraId="7D4C1A4C" w14:textId="77777777" w:rsidTr="00A531CE">
        <w:tc>
          <w:tcPr>
            <w:tcW w:w="1140" w:type="dxa"/>
          </w:tcPr>
          <w:p w14:paraId="0973E030" w14:textId="77777777" w:rsidR="000A6F04" w:rsidRPr="00036EE3" w:rsidRDefault="000A6F04" w:rsidP="00A531CE">
            <w:pPr>
              <w:spacing w:before="30" w:after="30"/>
              <w:ind w:left="57"/>
              <w:jc w:val="left"/>
              <w:rPr>
                <w:b/>
                <w:bCs/>
                <w:sz w:val="20"/>
                <w:lang w:val="en-US"/>
              </w:rPr>
            </w:pPr>
            <w:r w:rsidRPr="00036EE3">
              <w:rPr>
                <w:b/>
                <w:bCs/>
                <w:sz w:val="20"/>
                <w:lang w:val="en-US"/>
              </w:rPr>
              <w:t>V</w:t>
            </w:r>
          </w:p>
        </w:tc>
        <w:tc>
          <w:tcPr>
            <w:tcW w:w="8220" w:type="dxa"/>
          </w:tcPr>
          <w:p w14:paraId="3D6C42D1" w14:textId="77777777" w:rsidR="000A6F04" w:rsidRPr="00021E8A" w:rsidRDefault="000A6F04" w:rsidP="00A531CE">
            <w:pPr>
              <w:spacing w:before="30" w:after="140"/>
              <w:jc w:val="left"/>
              <w:rPr>
                <w:bCs/>
                <w:sz w:val="20"/>
                <w:lang w:val="en-US"/>
              </w:rPr>
            </w:pPr>
            <w:r w:rsidRPr="00021E8A">
              <w:rPr>
                <w:bCs/>
                <w:sz w:val="20"/>
              </w:rPr>
              <w:t>Vocabulario y cuestiones afines</w:t>
            </w:r>
          </w:p>
        </w:tc>
      </w:tr>
    </w:tbl>
    <w:p w14:paraId="6B99D5A9" w14:textId="77777777" w:rsidR="000A6F04" w:rsidRPr="00036EE3" w:rsidRDefault="000A6F04" w:rsidP="00A531C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A6F04" w14:paraId="1E1E095A" w14:textId="77777777" w:rsidTr="00A531CE">
        <w:tc>
          <w:tcPr>
            <w:tcW w:w="720" w:type="dxa"/>
          </w:tcPr>
          <w:p w14:paraId="07A69E92" w14:textId="77777777" w:rsidR="000A6F04" w:rsidRDefault="000A6F04" w:rsidP="00A531CE">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0A6F04" w:rsidRPr="00652033" w14:paraId="644398DD" w14:textId="77777777" w:rsidTr="00A531CE">
        <w:tc>
          <w:tcPr>
            <w:tcW w:w="9360" w:type="dxa"/>
          </w:tcPr>
          <w:p w14:paraId="01599206" w14:textId="77777777" w:rsidR="000A6F04" w:rsidRPr="00763D08" w:rsidRDefault="000A6F04" w:rsidP="00A531CE">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14:paraId="104C4855" w14:textId="77777777" w:rsidR="000A6F04" w:rsidRPr="00763D08" w:rsidRDefault="000A6F04" w:rsidP="00A531CE">
      <w:pPr>
        <w:spacing w:before="0"/>
        <w:jc w:val="center"/>
        <w:rPr>
          <w:sz w:val="22"/>
          <w:lang w:val="es-ES_tradnl"/>
        </w:rPr>
      </w:pPr>
    </w:p>
    <w:p w14:paraId="597F8EFD" w14:textId="77777777" w:rsidR="000A6F04" w:rsidRPr="00763D08" w:rsidRDefault="000A6F04" w:rsidP="00A531CE">
      <w:pPr>
        <w:spacing w:before="60"/>
        <w:jc w:val="right"/>
        <w:rPr>
          <w:i/>
          <w:iCs/>
          <w:sz w:val="20"/>
          <w:lang w:val="es-ES_tradnl"/>
        </w:rPr>
      </w:pPr>
      <w:r w:rsidRPr="00763D08">
        <w:rPr>
          <w:i/>
          <w:iCs/>
          <w:sz w:val="20"/>
          <w:lang w:val="es-ES_tradnl"/>
        </w:rPr>
        <w:t>Publicación electrónica</w:t>
      </w:r>
    </w:p>
    <w:p w14:paraId="0D9D5CE6" w14:textId="77777777" w:rsidR="000A6F04" w:rsidRPr="00763D08" w:rsidRDefault="000A6F04" w:rsidP="00A531CE">
      <w:pPr>
        <w:spacing w:before="0" w:after="40"/>
        <w:jc w:val="right"/>
        <w:rPr>
          <w:sz w:val="20"/>
          <w:lang w:val="es-ES_tradnl"/>
        </w:rPr>
      </w:pPr>
      <w:r w:rsidRPr="00763D08">
        <w:rPr>
          <w:sz w:val="20"/>
          <w:lang w:val="es-ES_tradnl"/>
        </w:rPr>
        <w:t>Ginebra, 20</w:t>
      </w:r>
      <w:r>
        <w:rPr>
          <w:sz w:val="20"/>
          <w:lang w:val="es-ES_tradnl"/>
        </w:rPr>
        <w:t>11</w:t>
      </w:r>
    </w:p>
    <w:p w14:paraId="6901A6FD" w14:textId="77777777" w:rsidR="000A6F04" w:rsidRPr="00763D08" w:rsidRDefault="000A6F04" w:rsidP="00A531CE">
      <w:pPr>
        <w:spacing w:before="0"/>
        <w:jc w:val="center"/>
        <w:rPr>
          <w:sz w:val="22"/>
          <w:lang w:val="es-ES_tradnl"/>
        </w:rPr>
      </w:pPr>
    </w:p>
    <w:p w14:paraId="7F702407" w14:textId="77777777" w:rsidR="000A6F04" w:rsidRPr="00763D08" w:rsidRDefault="000A6F04" w:rsidP="00A531C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11</w:t>
      </w:r>
    </w:p>
    <w:p w14:paraId="0C2324DF" w14:textId="77777777" w:rsidR="000A6F04" w:rsidRPr="006C718C" w:rsidRDefault="000A6F04" w:rsidP="00A531C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B4A2A19" w14:textId="77777777" w:rsidR="000A6F04" w:rsidRPr="006C718C" w:rsidRDefault="000A6F04" w:rsidP="00A531CE">
      <w:pPr>
        <w:spacing w:before="160"/>
        <w:rPr>
          <w:i/>
          <w:sz w:val="20"/>
          <w:highlight w:val="yellow"/>
          <w:lang w:val="es-ES_tradnl"/>
        </w:rPr>
        <w:sectPr w:rsidR="000A6F04" w:rsidRPr="006C718C" w:rsidSect="00A531CE">
          <w:headerReference w:type="even" r:id="rId11"/>
          <w:headerReference w:type="default" r:id="rId12"/>
          <w:pgSz w:w="11907" w:h="16834" w:code="9"/>
          <w:pgMar w:top="1418" w:right="1134" w:bottom="1134" w:left="1134" w:header="720" w:footer="482" w:gutter="0"/>
          <w:pgNumType w:fmt="lowerRoman" w:start="2"/>
          <w:cols w:space="720"/>
        </w:sectPr>
      </w:pPr>
    </w:p>
    <w:p w14:paraId="273DC591" w14:textId="77777777" w:rsidR="00424FF6" w:rsidRPr="005010A3" w:rsidRDefault="00424FF6" w:rsidP="00C62E73">
      <w:pPr>
        <w:pStyle w:val="RecNo"/>
        <w:spacing w:before="0"/>
        <w:rPr>
          <w:lang w:val="es-ES_tradnl"/>
        </w:rPr>
      </w:pPr>
      <w:r w:rsidRPr="005010A3">
        <w:rPr>
          <w:lang w:val="es-ES_tradnl"/>
        </w:rPr>
        <w:t>RECOM</w:t>
      </w:r>
      <w:r w:rsidR="005010A3" w:rsidRPr="005010A3">
        <w:rPr>
          <w:lang w:val="es-ES_tradnl"/>
        </w:rPr>
        <w:t>E</w:t>
      </w:r>
      <w:r w:rsidRPr="005010A3">
        <w:rPr>
          <w:lang w:val="es-ES_tradnl"/>
        </w:rPr>
        <w:t>NDA</w:t>
      </w:r>
      <w:r w:rsidR="005010A3" w:rsidRPr="005010A3">
        <w:rPr>
          <w:lang w:val="es-ES_tradnl"/>
        </w:rPr>
        <w:t>CIÓ</w:t>
      </w:r>
      <w:r w:rsidRPr="005010A3">
        <w:rPr>
          <w:lang w:val="es-ES_tradnl"/>
        </w:rPr>
        <w:t xml:space="preserve">N  </w:t>
      </w:r>
      <w:r w:rsidRPr="005010A3">
        <w:rPr>
          <w:rStyle w:val="href"/>
          <w:lang w:val="es-ES_tradnl"/>
        </w:rPr>
        <w:t>UIT-R  SM.443-4</w:t>
      </w:r>
      <w:r w:rsidR="009D6573">
        <w:rPr>
          <w:rStyle w:val="FootnoteReference"/>
          <w:lang w:val="es-ES_tradnl"/>
        </w:rPr>
        <w:footnoteReference w:customMarkFollows="1" w:id="1"/>
        <w:t>*</w:t>
      </w:r>
    </w:p>
    <w:p w14:paraId="07D12645" w14:textId="77777777" w:rsidR="005010A3" w:rsidRDefault="005010A3" w:rsidP="005010A3">
      <w:pPr>
        <w:pStyle w:val="Rectitle"/>
        <w:rPr>
          <w:lang w:val="es-ES_tradnl"/>
        </w:rPr>
      </w:pPr>
      <w:r w:rsidRPr="005010A3">
        <w:rPr>
          <w:lang w:val="es-ES_tradnl"/>
        </w:rPr>
        <w:t>Mediciones de anchura de banda en las estaciones</w:t>
      </w:r>
      <w:r w:rsidRPr="005010A3">
        <w:rPr>
          <w:lang w:val="es-ES_tradnl"/>
        </w:rPr>
        <w:br/>
        <w:t>de comprobación técnica de las emisiones</w:t>
      </w:r>
    </w:p>
    <w:p w14:paraId="7DB5C954" w14:textId="77777777" w:rsidR="000B4D5D" w:rsidRPr="00905DB5" w:rsidRDefault="000B4D5D" w:rsidP="004D23BC">
      <w:pPr>
        <w:pStyle w:val="Blanc"/>
        <w:rPr>
          <w:lang w:val="fr-CH"/>
        </w:rPr>
      </w:pPr>
    </w:p>
    <w:p w14:paraId="41F9986C" w14:textId="77777777" w:rsidR="005010A3" w:rsidRDefault="005010A3" w:rsidP="005010A3">
      <w:pPr>
        <w:pStyle w:val="Recdate"/>
        <w:rPr>
          <w:lang w:val="es-ES_tradnl"/>
        </w:rPr>
      </w:pPr>
      <w:r w:rsidRPr="005010A3">
        <w:rPr>
          <w:lang w:val="es-ES_tradnl"/>
        </w:rPr>
        <w:t>(1966-1978-1995-2005</w:t>
      </w:r>
      <w:r w:rsidR="00DC02B3">
        <w:rPr>
          <w:lang w:val="es-ES_tradnl"/>
        </w:rPr>
        <w:t>-2007</w:t>
      </w:r>
      <w:r w:rsidRPr="005010A3">
        <w:rPr>
          <w:lang w:val="es-ES_tradnl"/>
        </w:rPr>
        <w:t>)</w:t>
      </w:r>
    </w:p>
    <w:p w14:paraId="3CF75506" w14:textId="77777777" w:rsidR="005010A3" w:rsidRPr="005010A3" w:rsidRDefault="00DC02B3" w:rsidP="00DC02B3">
      <w:pPr>
        <w:pStyle w:val="HeadingSum"/>
      </w:pPr>
      <w:r>
        <w:t>Cometido</w:t>
      </w:r>
    </w:p>
    <w:p w14:paraId="7785A729" w14:textId="77777777" w:rsidR="005010A3" w:rsidRPr="005010A3" w:rsidRDefault="005010A3" w:rsidP="00DC02B3">
      <w:pPr>
        <w:pStyle w:val="Summary"/>
      </w:pPr>
      <w:r w:rsidRPr="005010A3">
        <w:t>En la presente Recomendación aparecen métodos para determinar la anchura de banda ocupada en las estaciones de comprobación técnica, para diferentes clases de emisión.</w:t>
      </w:r>
    </w:p>
    <w:p w14:paraId="27CF5D14" w14:textId="77777777" w:rsidR="00905DB5" w:rsidRPr="00905DB5" w:rsidRDefault="00905DB5" w:rsidP="00905DB5">
      <w:pPr>
        <w:pStyle w:val="Headingb"/>
        <w:rPr>
          <w:lang w:val="es-ES_tradnl"/>
        </w:rPr>
      </w:pPr>
      <w:r w:rsidRPr="00905DB5">
        <w:rPr>
          <w:lang w:val="es-ES_tradnl"/>
        </w:rPr>
        <w:t>Palabras clave</w:t>
      </w:r>
    </w:p>
    <w:p w14:paraId="59327F09" w14:textId="2D74BBF1" w:rsidR="00905DB5" w:rsidRPr="00905DB5" w:rsidRDefault="00905DB5" w:rsidP="00905DB5">
      <w:pPr>
        <w:rPr>
          <w:lang w:val="es-ES_tradnl"/>
        </w:rPr>
      </w:pPr>
      <w:r>
        <w:rPr>
          <w:rFonts w:eastAsia="Calibri"/>
          <w:lang w:val="es-ES_tradnl"/>
        </w:rPr>
        <w:t>M</w:t>
      </w:r>
      <w:r w:rsidRPr="00905DB5">
        <w:rPr>
          <w:rFonts w:eastAsia="Calibri"/>
          <w:lang w:val="es-ES_tradnl"/>
        </w:rPr>
        <w:t>ediciones de la anchura de banda, método x dB, estaciones de comprobación técnica</w:t>
      </w:r>
    </w:p>
    <w:p w14:paraId="63E995D5" w14:textId="77777777" w:rsidR="005010A3" w:rsidRPr="005010A3" w:rsidRDefault="005010A3" w:rsidP="005010A3">
      <w:pPr>
        <w:pStyle w:val="Normalaftertitle"/>
        <w:rPr>
          <w:lang w:val="es-ES_tradnl"/>
        </w:rPr>
      </w:pPr>
      <w:r w:rsidRPr="005010A3">
        <w:rPr>
          <w:lang w:val="es-ES_tradnl"/>
        </w:rPr>
        <w:t>La Asamblea de Radiocomunicaciones de la UIT,</w:t>
      </w:r>
    </w:p>
    <w:p w14:paraId="1325F954" w14:textId="77777777" w:rsidR="005010A3" w:rsidRPr="005010A3" w:rsidRDefault="005010A3" w:rsidP="005010A3">
      <w:pPr>
        <w:pStyle w:val="Call"/>
        <w:rPr>
          <w:lang w:val="es-ES_tradnl"/>
        </w:rPr>
      </w:pPr>
      <w:r w:rsidRPr="005010A3">
        <w:rPr>
          <w:lang w:val="es-ES_tradnl"/>
        </w:rPr>
        <w:t>considerando</w:t>
      </w:r>
    </w:p>
    <w:p w14:paraId="32DAC30A" w14:textId="77777777" w:rsidR="005010A3" w:rsidRPr="005010A3" w:rsidRDefault="005010A3" w:rsidP="005010A3">
      <w:pPr>
        <w:rPr>
          <w:lang w:val="es-ES_tradnl"/>
        </w:rPr>
      </w:pPr>
      <w:r w:rsidRPr="005010A3">
        <w:rPr>
          <w:lang w:val="es-ES_tradnl"/>
        </w:rPr>
        <w:t>a)</w:t>
      </w:r>
      <w:r w:rsidRPr="005010A3">
        <w:rPr>
          <w:lang w:val="es-ES_tradnl"/>
        </w:rPr>
        <w:tab/>
        <w:t>que para favorecer la utilización racional del espectro de frecuencias radioeléctricas es necesario que las estaciones de comprobación técnica puedan medir la anchura de banda de las emisiones;</w:t>
      </w:r>
    </w:p>
    <w:p w14:paraId="0D7920F7" w14:textId="77777777" w:rsidR="005010A3" w:rsidRPr="005010A3" w:rsidRDefault="005010A3" w:rsidP="005010A3">
      <w:pPr>
        <w:rPr>
          <w:lang w:val="es-ES_tradnl"/>
        </w:rPr>
      </w:pPr>
      <w:r w:rsidRPr="005010A3">
        <w:rPr>
          <w:lang w:val="es-ES_tradnl"/>
        </w:rPr>
        <w:t>b)</w:t>
      </w:r>
      <w:r w:rsidRPr="005010A3">
        <w:rPr>
          <w:lang w:val="es-ES_tradnl"/>
        </w:rPr>
        <w:tab/>
        <w:t>que es necesario que en las estaciones de comprobación técnica se realicen mediciones de las anchuras de banda fáciles de aplicar y con resultados fiables a fin de que puedan compararse los resultados obtenidos por estaciones diferentes;</w:t>
      </w:r>
    </w:p>
    <w:p w14:paraId="7AF25E65" w14:textId="77777777" w:rsidR="005010A3" w:rsidRPr="005010A3" w:rsidRDefault="005010A3" w:rsidP="005010A3">
      <w:pPr>
        <w:rPr>
          <w:lang w:val="es-ES_tradnl"/>
        </w:rPr>
      </w:pPr>
      <w:r w:rsidRPr="005010A3">
        <w:rPr>
          <w:lang w:val="es-ES_tradnl"/>
        </w:rPr>
        <w:t>c)</w:t>
      </w:r>
      <w:r w:rsidRPr="005010A3">
        <w:rPr>
          <w:lang w:val="es-ES_tradnl"/>
        </w:rPr>
        <w:tab/>
        <w:t>las definiciones de diferentes anchuras de banda que aparecen en el Reglamento de Radiocomunicaciones (RR) y en la Recomendación UIT</w:t>
      </w:r>
      <w:r w:rsidRPr="005010A3">
        <w:rPr>
          <w:lang w:val="es-ES_tradnl"/>
        </w:rPr>
        <w:noBreakHyphen/>
        <w:t xml:space="preserve">R SM.328, especialmente las definiciones de anchura de banda ocupada y anchura de banda entre puntos a </w:t>
      </w:r>
      <w:r w:rsidRPr="005010A3">
        <w:rPr>
          <w:i/>
          <w:lang w:val="es-ES_tradnl"/>
        </w:rPr>
        <w:t>x </w:t>
      </w:r>
      <w:r w:rsidRPr="005010A3">
        <w:rPr>
          <w:lang w:val="es-ES_tradnl"/>
        </w:rPr>
        <w:t>dB;</w:t>
      </w:r>
    </w:p>
    <w:p w14:paraId="3F1C5183" w14:textId="77777777" w:rsidR="005010A3" w:rsidRPr="005010A3" w:rsidRDefault="005010A3" w:rsidP="00DC02B3">
      <w:pPr>
        <w:rPr>
          <w:lang w:val="es-ES_tradnl"/>
        </w:rPr>
      </w:pPr>
      <w:r w:rsidRPr="005010A3">
        <w:rPr>
          <w:lang w:val="es-ES_tradnl"/>
        </w:rPr>
        <w:t>d)</w:t>
      </w:r>
      <w:r w:rsidRPr="005010A3">
        <w:rPr>
          <w:lang w:val="es-ES_tradnl"/>
        </w:rPr>
        <w:tab/>
        <w:t>la disponibilidad cada vez mayor de equipos capaces de medir directamente la anchura de banda ocupada, incluidos los equipos que utilizan técnicas de procesamiento de la señal digital y de transformada rápida de Fourier (</w:t>
      </w:r>
      <w:r w:rsidR="00DC02B3">
        <w:rPr>
          <w:lang w:val="es-ES_tradnl"/>
        </w:rPr>
        <w:t>TRF</w:t>
      </w:r>
      <w:r w:rsidRPr="005010A3">
        <w:rPr>
          <w:lang w:val="es-ES_tradnl"/>
        </w:rPr>
        <w:t>);</w:t>
      </w:r>
    </w:p>
    <w:p w14:paraId="3C6FDC24" w14:textId="77777777" w:rsidR="009D6573" w:rsidRPr="005010A3" w:rsidRDefault="009D6573" w:rsidP="000F5DC3">
      <w:pPr>
        <w:rPr>
          <w:lang w:val="es-ES_tradnl"/>
        </w:rPr>
      </w:pPr>
      <w:r w:rsidRPr="005010A3">
        <w:rPr>
          <w:lang w:val="es-ES_tradnl"/>
        </w:rPr>
        <w:t>e)</w:t>
      </w:r>
      <w:r w:rsidRPr="005010A3">
        <w:rPr>
          <w:lang w:val="es-ES_tradnl"/>
        </w:rPr>
        <w:tab/>
      </w:r>
      <w:r w:rsidRPr="00633912">
        <w:rPr>
          <w:lang w:val="es-ES"/>
        </w:rPr>
        <w:t>el Capítulo 4.5 sobre medición de la anchura de banda del Manual del UIT-R</w:t>
      </w:r>
      <w:r>
        <w:rPr>
          <w:lang w:val="es-ES"/>
        </w:rPr>
        <w:t xml:space="preserve">, </w:t>
      </w:r>
      <w:r w:rsidRPr="00633912">
        <w:rPr>
          <w:lang w:val="es-ES"/>
        </w:rPr>
        <w:t>Comprobación técnica del espectro (</w:t>
      </w:r>
      <w:r w:rsidR="000F5DC3">
        <w:rPr>
          <w:lang w:val="es-ES"/>
        </w:rPr>
        <w:t>E</w:t>
      </w:r>
      <w:r w:rsidRPr="00633912">
        <w:rPr>
          <w:lang w:val="es-ES"/>
        </w:rPr>
        <w:t>dición de 20</w:t>
      </w:r>
      <w:r>
        <w:rPr>
          <w:lang w:val="es-ES"/>
        </w:rPr>
        <w:t>11</w:t>
      </w:r>
      <w:r w:rsidRPr="00633912">
        <w:rPr>
          <w:lang w:val="es-ES"/>
        </w:rPr>
        <w:t>),</w:t>
      </w:r>
    </w:p>
    <w:p w14:paraId="2A5D2AD8" w14:textId="77777777" w:rsidR="005010A3" w:rsidRPr="005010A3" w:rsidRDefault="005010A3" w:rsidP="005010A3">
      <w:pPr>
        <w:pStyle w:val="Call"/>
        <w:rPr>
          <w:lang w:val="es-ES_tradnl"/>
        </w:rPr>
      </w:pPr>
      <w:r w:rsidRPr="005010A3">
        <w:rPr>
          <w:lang w:val="es-ES_tradnl"/>
        </w:rPr>
        <w:t>recomienda</w:t>
      </w:r>
    </w:p>
    <w:p w14:paraId="53416B2C" w14:textId="77777777" w:rsidR="005010A3" w:rsidRPr="005010A3" w:rsidRDefault="005010A3" w:rsidP="005010A3">
      <w:pPr>
        <w:rPr>
          <w:lang w:val="es-ES_tradnl"/>
        </w:rPr>
      </w:pPr>
      <w:r w:rsidRPr="005010A3">
        <w:rPr>
          <w:b/>
          <w:bCs/>
          <w:lang w:val="es-ES_tradnl"/>
        </w:rPr>
        <w:t>1</w:t>
      </w:r>
      <w:r w:rsidRPr="005010A3">
        <w:rPr>
          <w:b/>
          <w:bCs/>
          <w:lang w:val="es-ES_tradnl"/>
        </w:rPr>
        <w:tab/>
      </w:r>
      <w:r w:rsidRPr="005010A3">
        <w:rPr>
          <w:lang w:val="es-ES_tradnl"/>
        </w:rPr>
        <w:t xml:space="preserve">que para medir la anchura de banda ocupada, las estaciones de comprobación técnica utilicen el «método de </w:t>
      </w:r>
      <w:r>
        <w:t>β</w:t>
      </w:r>
      <w:r w:rsidRPr="005010A3">
        <w:rPr>
          <w:lang w:val="es-ES_tradnl"/>
        </w:rPr>
        <w:t>%» directo especificado en el Anexo 1;</w:t>
      </w:r>
    </w:p>
    <w:p w14:paraId="0FB95480" w14:textId="77777777" w:rsidR="005010A3" w:rsidRPr="005010A3" w:rsidRDefault="005010A3" w:rsidP="005010A3">
      <w:pPr>
        <w:rPr>
          <w:lang w:val="es-ES_tradnl" w:eastAsia="ko-KR"/>
        </w:rPr>
      </w:pPr>
      <w:r w:rsidRPr="005010A3">
        <w:rPr>
          <w:b/>
          <w:bCs/>
          <w:lang w:val="es-ES_tradnl"/>
        </w:rPr>
        <w:t>2</w:t>
      </w:r>
      <w:r w:rsidRPr="005010A3">
        <w:rPr>
          <w:b/>
          <w:bCs/>
          <w:lang w:val="es-ES_tradnl"/>
        </w:rPr>
        <w:tab/>
      </w:r>
      <w:r w:rsidRPr="005010A3">
        <w:rPr>
          <w:lang w:val="es-ES_tradnl"/>
        </w:rPr>
        <w:t xml:space="preserve">que para medir la anchura de banda entre puntos a </w:t>
      </w:r>
      <w:r w:rsidRPr="005010A3">
        <w:rPr>
          <w:rFonts w:hint="eastAsia"/>
          <w:i/>
          <w:lang w:val="es-ES_tradnl" w:eastAsia="ko-KR"/>
        </w:rPr>
        <w:t>x</w:t>
      </w:r>
      <w:r w:rsidRPr="005010A3">
        <w:rPr>
          <w:i/>
          <w:lang w:val="es-ES_tradnl" w:eastAsia="ko-KR"/>
        </w:rPr>
        <w:t> </w:t>
      </w:r>
      <w:r w:rsidRPr="005010A3">
        <w:rPr>
          <w:rFonts w:hint="eastAsia"/>
          <w:lang w:val="es-ES_tradnl" w:eastAsia="ko-KR"/>
        </w:rPr>
        <w:t>dB</w:t>
      </w:r>
      <w:r w:rsidRPr="005010A3">
        <w:rPr>
          <w:lang w:val="es-ES_tradnl" w:eastAsia="ko-KR"/>
        </w:rPr>
        <w:t>, las estaciones de comprobación técnica</w:t>
      </w:r>
      <w:r w:rsidRPr="005010A3">
        <w:rPr>
          <w:lang w:val="es-ES_tradnl"/>
        </w:rPr>
        <w:t xml:space="preserve"> utilicen el «método de </w:t>
      </w:r>
      <w:r w:rsidRPr="005010A3">
        <w:rPr>
          <w:rFonts w:hint="eastAsia"/>
          <w:i/>
          <w:lang w:val="es-ES_tradnl" w:eastAsia="ko-KR"/>
        </w:rPr>
        <w:t>x</w:t>
      </w:r>
      <w:r w:rsidRPr="005010A3">
        <w:rPr>
          <w:i/>
          <w:lang w:val="es-ES_tradnl" w:eastAsia="ko-KR"/>
        </w:rPr>
        <w:t> </w:t>
      </w:r>
      <w:r w:rsidRPr="005010A3">
        <w:rPr>
          <w:rFonts w:hint="eastAsia"/>
          <w:lang w:val="es-ES_tradnl" w:eastAsia="ko-KR"/>
        </w:rPr>
        <w:t>dB</w:t>
      </w:r>
      <w:r w:rsidRPr="005010A3">
        <w:rPr>
          <w:lang w:val="es-ES_tradnl"/>
        </w:rPr>
        <w:t>» especificado en el Anexo 2;</w:t>
      </w:r>
    </w:p>
    <w:p w14:paraId="53EB59FC" w14:textId="77777777" w:rsidR="005010A3" w:rsidRPr="005010A3" w:rsidRDefault="005010A3" w:rsidP="005010A3">
      <w:pPr>
        <w:rPr>
          <w:lang w:val="es-ES_tradnl"/>
        </w:rPr>
      </w:pPr>
      <w:r w:rsidRPr="005010A3">
        <w:rPr>
          <w:b/>
          <w:bCs/>
          <w:lang w:val="es-ES_tradnl"/>
        </w:rPr>
        <w:t>3</w:t>
      </w:r>
      <w:r w:rsidRPr="005010A3">
        <w:rPr>
          <w:b/>
          <w:bCs/>
          <w:lang w:val="es-ES_tradnl"/>
        </w:rPr>
        <w:tab/>
      </w:r>
      <w:r w:rsidRPr="005010A3">
        <w:rPr>
          <w:lang w:val="es-ES_tradnl" w:eastAsia="ko-KR"/>
        </w:rPr>
        <w:t xml:space="preserve">que se realice una estimación de la anchura de banda ocupada a partir de la anchura de banda entre puntos a </w:t>
      </w:r>
      <w:r w:rsidRPr="005010A3">
        <w:rPr>
          <w:rFonts w:hint="eastAsia"/>
          <w:i/>
          <w:lang w:val="es-ES_tradnl" w:eastAsia="ko-KR"/>
        </w:rPr>
        <w:t>x</w:t>
      </w:r>
      <w:r w:rsidRPr="005010A3">
        <w:rPr>
          <w:i/>
          <w:lang w:val="es-ES_tradnl" w:eastAsia="ko-KR"/>
        </w:rPr>
        <w:t> </w:t>
      </w:r>
      <w:r w:rsidRPr="005010A3">
        <w:rPr>
          <w:lang w:val="es-ES_tradnl"/>
        </w:rPr>
        <w:t>dB utilizando el procedimiento descrito en el Anexo </w:t>
      </w:r>
      <w:r w:rsidRPr="005010A3">
        <w:rPr>
          <w:rFonts w:hint="eastAsia"/>
          <w:lang w:val="es-ES_tradnl" w:eastAsia="ko-KR"/>
        </w:rPr>
        <w:t xml:space="preserve">3 </w:t>
      </w:r>
      <w:r w:rsidRPr="005010A3">
        <w:rPr>
          <w:lang w:val="es-ES_tradnl"/>
        </w:rPr>
        <w:t xml:space="preserve">cuando no se satisfacen las condiciones para realizar una medición precisa de la anchura de banda ocupada o si no se dispone de equipos capaces de llevar a cabo la </w:t>
      </w:r>
      <w:r w:rsidRPr="005010A3">
        <w:rPr>
          <w:lang w:val="es-ES_tradnl" w:eastAsia="ko-KR"/>
        </w:rPr>
        <w:t xml:space="preserve">medición del </w:t>
      </w:r>
      <w:r>
        <w:t>β</w:t>
      </w:r>
      <w:r w:rsidRPr="005010A3">
        <w:rPr>
          <w:lang w:val="es-ES_tradnl"/>
        </w:rPr>
        <w:t>%.</w:t>
      </w:r>
    </w:p>
    <w:p w14:paraId="06E80E30" w14:textId="77777777" w:rsidR="005010A3" w:rsidRPr="005010A3" w:rsidRDefault="005010A3" w:rsidP="000B4D5D">
      <w:pPr>
        <w:pStyle w:val="AnnexNoTitle"/>
        <w:rPr>
          <w:lang w:val="es-ES_tradnl"/>
        </w:rPr>
      </w:pPr>
      <w:bookmarkStart w:id="4" w:name="source"/>
      <w:bookmarkStart w:id="5" w:name="_Toc105920536"/>
      <w:bookmarkStart w:id="6" w:name="_Toc107985145"/>
      <w:bookmarkEnd w:id="4"/>
      <w:r w:rsidRPr="005010A3">
        <w:rPr>
          <w:lang w:val="es-ES_tradnl"/>
        </w:rPr>
        <w:t>Anexo 1</w:t>
      </w:r>
      <w:r w:rsidRPr="005010A3">
        <w:rPr>
          <w:lang w:val="es-ES_tradnl"/>
        </w:rPr>
        <w:br/>
      </w:r>
      <w:r w:rsidRPr="005010A3">
        <w:rPr>
          <w:lang w:val="es-ES_tradnl"/>
        </w:rPr>
        <w:br/>
        <w:t>Método de medición de la anchura de</w:t>
      </w:r>
      <w:r w:rsidR="000B4D5D">
        <w:rPr>
          <w:lang w:val="es-ES_tradnl"/>
        </w:rPr>
        <w:t xml:space="preserve"> </w:t>
      </w:r>
      <w:r w:rsidRPr="005010A3">
        <w:rPr>
          <w:lang w:val="es-ES_tradnl"/>
        </w:rPr>
        <w:t>banda ocupada</w:t>
      </w:r>
      <w:r w:rsidR="000B4D5D">
        <w:rPr>
          <w:lang w:val="es-ES_tradnl"/>
        </w:rPr>
        <w:br/>
      </w:r>
      <w:r w:rsidRPr="005010A3">
        <w:rPr>
          <w:lang w:val="es-ES_tradnl"/>
        </w:rPr>
        <w:t>(método de </w:t>
      </w:r>
      <w:r>
        <w:t>β</w:t>
      </w:r>
      <w:r w:rsidRPr="005010A3">
        <w:rPr>
          <w:lang w:val="es-ES_tradnl"/>
        </w:rPr>
        <w:t>%)</w:t>
      </w:r>
      <w:bookmarkEnd w:id="5"/>
      <w:bookmarkEnd w:id="6"/>
    </w:p>
    <w:p w14:paraId="0F7501A9" w14:textId="77777777" w:rsidR="005010A3" w:rsidRPr="005010A3" w:rsidRDefault="005010A3" w:rsidP="005010A3">
      <w:pPr>
        <w:pStyle w:val="Heading1"/>
        <w:rPr>
          <w:lang w:val="es-ES_tradnl"/>
        </w:rPr>
      </w:pPr>
      <w:bookmarkStart w:id="7" w:name="_Toc105920537"/>
      <w:bookmarkStart w:id="8" w:name="_Toc107985146"/>
      <w:r w:rsidRPr="005010A3">
        <w:rPr>
          <w:lang w:val="es-ES_tradnl"/>
        </w:rPr>
        <w:t>1</w:t>
      </w:r>
      <w:r w:rsidRPr="005010A3">
        <w:rPr>
          <w:lang w:val="es-ES_tradnl"/>
        </w:rPr>
        <w:tab/>
        <w:t>Introducción</w:t>
      </w:r>
      <w:bookmarkEnd w:id="7"/>
      <w:bookmarkEnd w:id="8"/>
    </w:p>
    <w:p w14:paraId="16CD690B" w14:textId="77777777" w:rsidR="005010A3" w:rsidRPr="005010A3" w:rsidRDefault="005010A3" w:rsidP="005010A3">
      <w:pPr>
        <w:rPr>
          <w:lang w:val="es-ES_tradnl"/>
        </w:rPr>
      </w:pPr>
      <w:r w:rsidRPr="005010A3">
        <w:rPr>
          <w:lang w:val="es-ES_tradnl"/>
        </w:rPr>
        <w:t>El número 1</w:t>
      </w:r>
      <w:r w:rsidRPr="005010A3">
        <w:rPr>
          <w:rFonts w:hint="eastAsia"/>
          <w:lang w:val="es-ES_tradnl" w:eastAsia="ko-KR"/>
        </w:rPr>
        <w:t>.</w:t>
      </w:r>
      <w:r w:rsidRPr="005010A3">
        <w:rPr>
          <w:lang w:val="es-ES_tradnl"/>
        </w:rPr>
        <w:t>153 del RR y la Recomendación UIT</w:t>
      </w:r>
      <w:r w:rsidRPr="005010A3">
        <w:rPr>
          <w:lang w:val="es-ES_tradnl"/>
        </w:rPr>
        <w:noBreakHyphen/>
        <w:t>R SM.328</w:t>
      </w:r>
      <w:r w:rsidRPr="005010A3">
        <w:rPr>
          <w:rFonts w:hint="eastAsia"/>
          <w:lang w:val="es-ES_tradnl" w:eastAsia="ko-KR"/>
        </w:rPr>
        <w:t xml:space="preserve"> </w:t>
      </w:r>
      <w:r w:rsidRPr="005010A3">
        <w:rPr>
          <w:lang w:val="es-ES_tradnl" w:eastAsia="ko-KR"/>
        </w:rPr>
        <w:t>definen el término anchura de banda ocupada de la forma siguiente</w:t>
      </w:r>
      <w:r w:rsidRPr="005010A3">
        <w:rPr>
          <w:rFonts w:hint="eastAsia"/>
          <w:lang w:val="es-ES_tradnl" w:eastAsia="ko-KR"/>
        </w:rPr>
        <w:t>:</w:t>
      </w:r>
    </w:p>
    <w:p w14:paraId="61438AC2" w14:textId="77777777" w:rsidR="005010A3" w:rsidRPr="005010A3" w:rsidRDefault="00DC02B3" w:rsidP="000F5DC3">
      <w:pPr>
        <w:pStyle w:val="enumlev1"/>
        <w:rPr>
          <w:lang w:val="es-ES_tradnl" w:eastAsia="ko-KR"/>
        </w:rPr>
      </w:pPr>
      <w:r>
        <w:rPr>
          <w:lang w:val="es-ES_tradnl"/>
        </w:rPr>
        <w:tab/>
      </w:r>
      <w:r w:rsidR="005010A3" w:rsidRPr="005010A3">
        <w:rPr>
          <w:lang w:val="es-ES_tradnl"/>
        </w:rPr>
        <w:t>«</w:t>
      </w:r>
      <w:r w:rsidR="005010A3" w:rsidRPr="005010A3">
        <w:rPr>
          <w:i/>
          <w:iCs/>
          <w:lang w:val="es-ES_tradnl"/>
        </w:rPr>
        <w:t>Anchura de banda ocupada</w:t>
      </w:r>
      <w:r w:rsidR="005010A3" w:rsidRPr="005010A3">
        <w:rPr>
          <w:lang w:val="es-ES_tradnl"/>
        </w:rPr>
        <w:t xml:space="preserve">: Anchura de la banda de frecuencias tal que, por debajo de su frecuencia límite inferior y por encima de su frecuencia límite superior, se emitan </w:t>
      </w:r>
      <w:r w:rsidR="005010A3" w:rsidRPr="005010A3">
        <w:rPr>
          <w:i/>
          <w:lang w:val="es-ES_tradnl"/>
        </w:rPr>
        <w:t>potencias medias</w:t>
      </w:r>
      <w:r w:rsidR="005010A3" w:rsidRPr="005010A3">
        <w:rPr>
          <w:lang w:val="es-ES_tradnl"/>
        </w:rPr>
        <w:t xml:space="preserve"> iguales cada una a un porcentaje especificado, </w:t>
      </w:r>
      <w:r w:rsidR="005010A3">
        <w:t>β</w:t>
      </w:r>
      <w:r w:rsidR="005010A3" w:rsidRPr="005010A3">
        <w:rPr>
          <w:lang w:val="es-ES_tradnl"/>
        </w:rPr>
        <w:t xml:space="preserve">/2, de la </w:t>
      </w:r>
      <w:r w:rsidR="005010A3" w:rsidRPr="005010A3">
        <w:rPr>
          <w:i/>
          <w:lang w:val="es-ES_tradnl"/>
        </w:rPr>
        <w:t>potencia media</w:t>
      </w:r>
      <w:r w:rsidR="005010A3" w:rsidRPr="005010A3">
        <w:rPr>
          <w:lang w:val="es-ES_tradnl"/>
        </w:rPr>
        <w:t xml:space="preserve"> total de una </w:t>
      </w:r>
      <w:r w:rsidR="005010A3" w:rsidRPr="005010A3">
        <w:rPr>
          <w:i/>
          <w:lang w:val="es-ES_tradnl"/>
        </w:rPr>
        <w:t>emisión</w:t>
      </w:r>
      <w:r w:rsidR="005010A3" w:rsidRPr="005010A3">
        <w:rPr>
          <w:lang w:val="es-ES_tradnl"/>
        </w:rPr>
        <w:t xml:space="preserve"> dada.</w:t>
      </w:r>
    </w:p>
    <w:p w14:paraId="772F246B" w14:textId="77777777" w:rsidR="005010A3" w:rsidRPr="005010A3" w:rsidRDefault="00DC02B3" w:rsidP="000F5DC3">
      <w:pPr>
        <w:pStyle w:val="enumlev1"/>
        <w:rPr>
          <w:lang w:val="es-ES_tradnl"/>
        </w:rPr>
      </w:pPr>
      <w:r>
        <w:rPr>
          <w:lang w:val="es-ES_tradnl" w:eastAsia="ko-KR"/>
        </w:rPr>
        <w:tab/>
      </w:r>
      <w:r w:rsidR="005010A3" w:rsidRPr="005010A3">
        <w:rPr>
          <w:lang w:val="es-ES_tradnl" w:eastAsia="ko-KR"/>
        </w:rPr>
        <w:t xml:space="preserve">En ausencia de especificaciones en una Recomendación UIT-R para la </w:t>
      </w:r>
      <w:r w:rsidR="005010A3" w:rsidRPr="005010A3">
        <w:rPr>
          <w:i/>
          <w:lang w:val="es-ES_tradnl" w:eastAsia="ko-KR"/>
        </w:rPr>
        <w:t>clase de emisión</w:t>
      </w:r>
      <w:r w:rsidR="005010A3" w:rsidRPr="005010A3">
        <w:rPr>
          <w:lang w:val="es-ES_tradnl" w:eastAsia="ko-KR"/>
        </w:rPr>
        <w:t xml:space="preserve"> considerada, se tomará un valor de </w:t>
      </w:r>
      <w:r w:rsidR="005010A3">
        <w:t>β</w:t>
      </w:r>
      <w:r w:rsidR="005010A3" w:rsidRPr="005010A3">
        <w:rPr>
          <w:lang w:val="es-ES_tradnl"/>
        </w:rPr>
        <w:t>/2 igual a 0,5%.»</w:t>
      </w:r>
    </w:p>
    <w:p w14:paraId="669504F2" w14:textId="77777777" w:rsidR="005010A3" w:rsidRPr="005010A3" w:rsidRDefault="005010A3" w:rsidP="005010A3">
      <w:pPr>
        <w:rPr>
          <w:lang w:val="es-ES_tradnl"/>
        </w:rPr>
      </w:pPr>
      <w:r w:rsidRPr="005010A3">
        <w:rPr>
          <w:lang w:val="es-ES_tradnl"/>
        </w:rPr>
        <w:t>De conformidad con el § 2 de la Recomendación UIT</w:t>
      </w:r>
      <w:r w:rsidRPr="005010A3">
        <w:rPr>
          <w:lang w:val="es-ES_tradnl"/>
        </w:rPr>
        <w:noBreakHyphen/>
        <w:t>R SM.328 sobre emisiones del transmisor, la emisión óptima desde el punto de vista de la eficacia de utilización del espectro se alcanza cuando la anchura de banda ocupada es igual a la anchura de banda necesaria para esa clase de emisión, indicada por la Recomendación UIT</w:t>
      </w:r>
      <w:r w:rsidRPr="005010A3">
        <w:rPr>
          <w:lang w:val="es-ES_tradnl"/>
        </w:rPr>
        <w:noBreakHyphen/>
        <w:t>R SM.1138, que se incorpora al RR por referencia.</w:t>
      </w:r>
    </w:p>
    <w:p w14:paraId="7DEB9D4A" w14:textId="77777777" w:rsidR="005010A3" w:rsidRPr="005010A3" w:rsidRDefault="005010A3" w:rsidP="00DC02B3">
      <w:pPr>
        <w:rPr>
          <w:lang w:val="es-ES_tradnl"/>
        </w:rPr>
      </w:pPr>
      <w:r w:rsidRPr="005010A3">
        <w:rPr>
          <w:lang w:val="es-ES_tradnl"/>
        </w:rPr>
        <w:t>De acuerdo con la definición anterior, la anchura de banda ocupada puede medirse utilizando analizadores digitales de barrido de espectro o receptores digitales de comprobación técnica, que permitan almacenar en memoria las trazas registradas para su posterior procesamiento gráfico, o empleando analizadores que utilicen técnicas</w:t>
      </w:r>
      <w:r w:rsidR="00DC02B3">
        <w:rPr>
          <w:lang w:val="es-ES_tradnl"/>
        </w:rPr>
        <w:t>TRF</w:t>
      </w:r>
      <w:r w:rsidRPr="005010A3">
        <w:rPr>
          <w:lang w:val="es-ES_tradnl"/>
        </w:rPr>
        <w:t>.</w:t>
      </w:r>
    </w:p>
    <w:p w14:paraId="52FE16DE" w14:textId="77777777" w:rsidR="005010A3" w:rsidRPr="005010A3" w:rsidRDefault="005010A3" w:rsidP="005010A3">
      <w:pPr>
        <w:pStyle w:val="Heading1"/>
        <w:rPr>
          <w:lang w:val="es-ES_tradnl"/>
        </w:rPr>
      </w:pPr>
      <w:bookmarkStart w:id="9" w:name="_Toc105920538"/>
      <w:bookmarkStart w:id="10" w:name="_Toc107985147"/>
      <w:r w:rsidRPr="005010A3">
        <w:rPr>
          <w:lang w:val="es-ES_tradnl"/>
        </w:rPr>
        <w:t>2</w:t>
      </w:r>
      <w:r w:rsidRPr="005010A3">
        <w:rPr>
          <w:lang w:val="es-ES_tradnl"/>
        </w:rPr>
        <w:tab/>
        <w:t>Condiciones generales para la medición de la anchura de banda</w:t>
      </w:r>
      <w:bookmarkEnd w:id="9"/>
      <w:bookmarkEnd w:id="10"/>
    </w:p>
    <w:p w14:paraId="78C02D91" w14:textId="77777777" w:rsidR="005010A3" w:rsidRPr="005010A3" w:rsidRDefault="005010A3" w:rsidP="005010A3">
      <w:pPr>
        <w:rPr>
          <w:lang w:val="es-ES_tradnl"/>
        </w:rPr>
      </w:pPr>
      <w:r w:rsidRPr="005010A3">
        <w:rPr>
          <w:lang w:val="es-ES_tradnl"/>
        </w:rPr>
        <w:t>Las condiciones generales para medir la anchura de banda son las siguientes:</w:t>
      </w:r>
    </w:p>
    <w:p w14:paraId="7FA11B98" w14:textId="77777777" w:rsidR="005010A3" w:rsidRPr="005010A3" w:rsidRDefault="005010A3" w:rsidP="005010A3">
      <w:pPr>
        <w:pStyle w:val="enumlev1"/>
        <w:rPr>
          <w:lang w:val="es-ES_tradnl"/>
        </w:rPr>
      </w:pPr>
      <w:r w:rsidRPr="005010A3">
        <w:rPr>
          <w:lang w:val="es-ES_tradnl"/>
        </w:rPr>
        <w:t>–</w:t>
      </w:r>
      <w:r w:rsidRPr="005010A3">
        <w:rPr>
          <w:lang w:val="es-ES_tradnl"/>
        </w:rPr>
        <w:tab/>
        <w:t xml:space="preserve">Debe asegurarse la línea de visibilidad </w:t>
      </w:r>
      <w:r w:rsidR="00DC02B3">
        <w:rPr>
          <w:lang w:val="es-ES_tradnl"/>
        </w:rPr>
        <w:t xml:space="preserve">(LoS) </w:t>
      </w:r>
      <w:r w:rsidRPr="005010A3">
        <w:rPr>
          <w:lang w:val="es-ES_tradnl"/>
        </w:rPr>
        <w:t>con la curva de Fresnel entre la antena transmisora y receptora a fin de garantizar un alto grado de discriminación de la fuente de emisión.</w:t>
      </w:r>
    </w:p>
    <w:p w14:paraId="62AC833D" w14:textId="77777777" w:rsidR="005010A3" w:rsidRPr="005010A3" w:rsidRDefault="005010A3" w:rsidP="005010A3">
      <w:pPr>
        <w:pStyle w:val="enumlev1"/>
        <w:rPr>
          <w:lang w:val="es-ES_tradnl"/>
        </w:rPr>
      </w:pPr>
      <w:r w:rsidRPr="005010A3">
        <w:rPr>
          <w:lang w:val="es-ES_tradnl"/>
        </w:rPr>
        <w:t>–</w:t>
      </w:r>
      <w:r w:rsidRPr="005010A3">
        <w:rPr>
          <w:lang w:val="es-ES_tradnl"/>
        </w:rPr>
        <w:tab/>
        <w:t>Debe utilizarse una antena directiva con una fuerte directividad y un elevado valor de la relación lóbulo frontal-lóbulo posterior con objeto de minimizar la influencia de los efectos de desvanecimiento por multitrayecto.</w:t>
      </w:r>
    </w:p>
    <w:p w14:paraId="0F33A018" w14:textId="77777777" w:rsidR="005010A3" w:rsidRPr="005010A3" w:rsidRDefault="005010A3" w:rsidP="005010A3">
      <w:pPr>
        <w:pStyle w:val="enumlev1"/>
        <w:rPr>
          <w:lang w:val="es-ES_tradnl"/>
        </w:rPr>
      </w:pPr>
      <w:r w:rsidRPr="005010A3">
        <w:rPr>
          <w:lang w:val="es-ES_tradnl"/>
        </w:rPr>
        <w:t>–</w:t>
      </w:r>
      <w:r w:rsidRPr="005010A3">
        <w:rPr>
          <w:lang w:val="es-ES_tradnl"/>
        </w:rPr>
        <w:tab/>
        <w:t>Puede utilizarse cualquier analizador de espectro o receptor digital de comprobación técnica adecuado.</w:t>
      </w:r>
    </w:p>
    <w:p w14:paraId="4A915F88" w14:textId="77777777" w:rsidR="005010A3" w:rsidRPr="005010A3" w:rsidRDefault="005010A3" w:rsidP="005010A3">
      <w:pPr>
        <w:pStyle w:val="enumlev1"/>
        <w:rPr>
          <w:lang w:val="es-ES_tradnl"/>
        </w:rPr>
      </w:pPr>
      <w:r w:rsidRPr="005010A3">
        <w:rPr>
          <w:lang w:val="es-ES_tradnl"/>
        </w:rPr>
        <w:t>–</w:t>
      </w:r>
      <w:r w:rsidRPr="005010A3">
        <w:rPr>
          <w:lang w:val="es-ES_tradnl"/>
        </w:rPr>
        <w:tab/>
        <w:t>No deben aparecer interferencias impulsivas (por ejemplo, interferencias procedentes de una fuente de encendido).</w:t>
      </w:r>
    </w:p>
    <w:p w14:paraId="460AC1B1" w14:textId="77777777" w:rsidR="005010A3" w:rsidRPr="005010A3" w:rsidRDefault="005010A3" w:rsidP="005010A3">
      <w:pPr>
        <w:pStyle w:val="Heading1"/>
        <w:rPr>
          <w:lang w:val="es-ES_tradnl"/>
        </w:rPr>
      </w:pPr>
      <w:bookmarkStart w:id="11" w:name="_Toc105920539"/>
      <w:bookmarkStart w:id="12" w:name="_Toc107985148"/>
      <w:r w:rsidRPr="005010A3">
        <w:rPr>
          <w:lang w:val="es-ES_tradnl"/>
        </w:rPr>
        <w:t>3</w:t>
      </w:r>
      <w:r w:rsidRPr="005010A3">
        <w:rPr>
          <w:lang w:val="es-ES_tradnl"/>
        </w:rPr>
        <w:tab/>
        <w:t>Procedimiento de medición</w:t>
      </w:r>
      <w:bookmarkEnd w:id="11"/>
      <w:bookmarkEnd w:id="12"/>
    </w:p>
    <w:p w14:paraId="25B5829D" w14:textId="77777777" w:rsidR="005010A3" w:rsidRPr="005010A3" w:rsidRDefault="005010A3" w:rsidP="005010A3">
      <w:pPr>
        <w:rPr>
          <w:lang w:val="es-ES_tradnl"/>
        </w:rPr>
      </w:pPr>
      <w:r w:rsidRPr="005010A3">
        <w:rPr>
          <w:lang w:val="es-ES_tradnl"/>
        </w:rPr>
        <w:t>El analizador de espectro o el receptor digital de comprobación técnica debe ajustarse de la siguiente forma:</w:t>
      </w:r>
    </w:p>
    <w:p w14:paraId="3F60764F" w14:textId="77777777" w:rsidR="005010A3" w:rsidRPr="005010A3" w:rsidRDefault="005010A3" w:rsidP="005010A3">
      <w:pPr>
        <w:pStyle w:val="enumlev1"/>
        <w:rPr>
          <w:lang w:val="es-ES_tradnl"/>
        </w:rPr>
      </w:pPr>
      <w:r w:rsidRPr="005010A3">
        <w:rPr>
          <w:lang w:val="es-ES_tradnl"/>
        </w:rPr>
        <w:t>–</w:t>
      </w:r>
      <w:r w:rsidRPr="005010A3">
        <w:rPr>
          <w:lang w:val="es-ES_tradnl"/>
        </w:rPr>
        <w:tab/>
        <w:t>Frecuencia: frecuencia central estimada de la emisión.</w:t>
      </w:r>
    </w:p>
    <w:p w14:paraId="72A79428" w14:textId="77777777" w:rsidR="005010A3" w:rsidRPr="005010A3" w:rsidRDefault="005010A3" w:rsidP="00DC02B3">
      <w:pPr>
        <w:pStyle w:val="enumlev1"/>
        <w:rPr>
          <w:lang w:val="es-ES_tradnl"/>
        </w:rPr>
      </w:pPr>
      <w:r w:rsidRPr="005010A3">
        <w:rPr>
          <w:lang w:val="es-ES_tradnl"/>
        </w:rPr>
        <w:t>–</w:t>
      </w:r>
      <w:r w:rsidRPr="005010A3">
        <w:rPr>
          <w:lang w:val="es-ES_tradnl"/>
        </w:rPr>
        <w:tab/>
        <w:t>Margen de medición: 1,5 a 2 veces la anchura de banda estimada de la emisión.</w:t>
      </w:r>
    </w:p>
    <w:p w14:paraId="21EBAC1B" w14:textId="77777777" w:rsidR="005010A3" w:rsidRPr="005010A3" w:rsidRDefault="005010A3" w:rsidP="005010A3">
      <w:pPr>
        <w:pStyle w:val="enumlev1"/>
        <w:rPr>
          <w:lang w:val="es-ES_tradnl"/>
        </w:rPr>
      </w:pPr>
      <w:r w:rsidRPr="005010A3">
        <w:rPr>
          <w:lang w:val="es-ES_tradnl"/>
        </w:rPr>
        <w:t>–</w:t>
      </w:r>
      <w:r w:rsidRPr="005010A3">
        <w:rPr>
          <w:lang w:val="es-ES_tradnl"/>
        </w:rPr>
        <w:tab/>
        <w:t>Anchura de banda de resolución (RBW</w:t>
      </w:r>
      <w:r w:rsidR="00DC02B3">
        <w:rPr>
          <w:lang w:val="es-ES_tradnl"/>
        </w:rPr>
        <w:t xml:space="preserve">, </w:t>
      </w:r>
      <w:r w:rsidR="00DC02B3" w:rsidRPr="00DC02B3">
        <w:rPr>
          <w:i/>
          <w:iCs/>
          <w:lang w:val="es-ES_tradnl"/>
        </w:rPr>
        <w:t>resolution bandwidth</w:t>
      </w:r>
      <w:r w:rsidRPr="005010A3">
        <w:rPr>
          <w:lang w:val="es-ES_tradnl"/>
        </w:rPr>
        <w:t>): menos del 3% del margen de medición.</w:t>
      </w:r>
    </w:p>
    <w:p w14:paraId="69365F19" w14:textId="77777777" w:rsidR="005010A3" w:rsidRPr="005010A3" w:rsidRDefault="005010A3" w:rsidP="005010A3">
      <w:pPr>
        <w:pStyle w:val="enumlev1"/>
        <w:rPr>
          <w:lang w:val="es-ES_tradnl"/>
        </w:rPr>
      </w:pPr>
      <w:r w:rsidRPr="005010A3">
        <w:rPr>
          <w:lang w:val="es-ES_tradnl"/>
        </w:rPr>
        <w:t>–</w:t>
      </w:r>
      <w:r w:rsidRPr="005010A3">
        <w:rPr>
          <w:lang w:val="es-ES_tradnl"/>
        </w:rPr>
        <w:tab/>
        <w:t xml:space="preserve">Anchura de banda de vídeo: 3 veces </w:t>
      </w:r>
      <w:r w:rsidR="00DC02B3">
        <w:rPr>
          <w:lang w:val="es-ES_tradnl"/>
        </w:rPr>
        <w:t>(</w:t>
      </w:r>
      <w:r w:rsidRPr="005010A3">
        <w:rPr>
          <w:lang w:val="es-ES_tradnl"/>
        </w:rPr>
        <w:t>RBW</w:t>
      </w:r>
      <w:r w:rsidR="00DC02B3">
        <w:rPr>
          <w:lang w:val="es-ES_tradnl"/>
        </w:rPr>
        <w:t xml:space="preserve">, </w:t>
      </w:r>
      <w:r w:rsidR="00DC02B3" w:rsidRPr="00DC02B3">
        <w:rPr>
          <w:i/>
          <w:iCs/>
          <w:lang w:val="es-ES_tradnl"/>
        </w:rPr>
        <w:t>video bandwidth</w:t>
      </w:r>
      <w:r w:rsidR="00DC02B3">
        <w:rPr>
          <w:lang w:val="es-ES_tradnl"/>
        </w:rPr>
        <w:t>)</w:t>
      </w:r>
      <w:r w:rsidRPr="005010A3">
        <w:rPr>
          <w:lang w:val="es-ES_tradnl"/>
        </w:rPr>
        <w:t xml:space="preserve"> o más.</w:t>
      </w:r>
    </w:p>
    <w:p w14:paraId="65EB335F" w14:textId="77777777" w:rsidR="005010A3" w:rsidRPr="005010A3" w:rsidRDefault="005010A3" w:rsidP="006A243D">
      <w:pPr>
        <w:pStyle w:val="enumlev1"/>
        <w:rPr>
          <w:lang w:val="es-ES_tradnl"/>
        </w:rPr>
      </w:pPr>
      <w:r w:rsidRPr="005010A3">
        <w:rPr>
          <w:lang w:val="es-ES_tradnl"/>
        </w:rPr>
        <w:t>–</w:t>
      </w:r>
      <w:r w:rsidRPr="005010A3">
        <w:rPr>
          <w:lang w:val="es-ES_tradnl"/>
        </w:rPr>
        <w:tab/>
        <w:t xml:space="preserve">Nivel de atenuación: </w:t>
      </w:r>
      <w:r w:rsidR="006A243D">
        <w:rPr>
          <w:lang w:val="es-ES_tradnl"/>
        </w:rPr>
        <w:t>ajustado</w:t>
      </w:r>
      <w:r w:rsidRPr="005010A3">
        <w:rPr>
          <w:lang w:val="es-ES_tradnl"/>
        </w:rPr>
        <w:t xml:space="preserve"> de manera que la relación </w:t>
      </w:r>
      <w:r w:rsidRPr="005010A3">
        <w:rPr>
          <w:i/>
          <w:iCs/>
          <w:lang w:val="es-ES_tradnl"/>
        </w:rPr>
        <w:t>S</w:t>
      </w:r>
      <w:r w:rsidRPr="005010A3">
        <w:rPr>
          <w:lang w:val="es-ES_tradnl"/>
        </w:rPr>
        <w:t>/</w:t>
      </w:r>
      <w:r w:rsidRPr="005010A3">
        <w:rPr>
          <w:i/>
          <w:iCs/>
          <w:lang w:val="es-ES_tradnl"/>
        </w:rPr>
        <w:t>N</w:t>
      </w:r>
      <w:r w:rsidRPr="005010A3">
        <w:rPr>
          <w:lang w:val="es-ES_tradnl"/>
        </w:rPr>
        <w:t xml:space="preserve"> sea superior a 30 dB.</w:t>
      </w:r>
    </w:p>
    <w:p w14:paraId="0B1EB5EE" w14:textId="77777777" w:rsidR="005010A3" w:rsidRPr="005010A3" w:rsidRDefault="005010A3" w:rsidP="00DC02B3">
      <w:pPr>
        <w:pStyle w:val="enumlev1"/>
        <w:rPr>
          <w:lang w:val="es-ES_tradnl"/>
        </w:rPr>
      </w:pPr>
      <w:r w:rsidRPr="005010A3">
        <w:rPr>
          <w:lang w:val="es-ES_tradnl"/>
        </w:rPr>
        <w:t>–</w:t>
      </w:r>
      <w:r w:rsidRPr="005010A3">
        <w:rPr>
          <w:lang w:val="es-ES_tradnl"/>
        </w:rPr>
        <w:tab/>
        <w:t>Detector: cresta o de muestreo.</w:t>
      </w:r>
    </w:p>
    <w:p w14:paraId="34362CF3" w14:textId="77777777" w:rsidR="005010A3" w:rsidRPr="005010A3" w:rsidRDefault="005010A3" w:rsidP="005010A3">
      <w:pPr>
        <w:pStyle w:val="enumlev1"/>
        <w:rPr>
          <w:lang w:val="es-ES_tradnl"/>
        </w:rPr>
      </w:pPr>
      <w:r w:rsidRPr="005010A3">
        <w:rPr>
          <w:lang w:val="es-ES_tradnl"/>
        </w:rPr>
        <w:t>–</w:t>
      </w:r>
      <w:r w:rsidRPr="005010A3">
        <w:rPr>
          <w:lang w:val="es-ES_tradnl"/>
        </w:rPr>
        <w:tab/>
        <w:t>Tiempo de barrido o tiempo de adquisición: automático (para emisiones impulsivas lo suficientemente largas de forma que pueda registrarse un impulso por cada píxel en la pantalla).</w:t>
      </w:r>
    </w:p>
    <w:p w14:paraId="1D6736AE" w14:textId="77777777" w:rsidR="005010A3" w:rsidRPr="005010A3" w:rsidRDefault="005010A3" w:rsidP="005010A3">
      <w:pPr>
        <w:pStyle w:val="enumlev1"/>
        <w:rPr>
          <w:lang w:val="es-ES_tradnl"/>
        </w:rPr>
      </w:pPr>
      <w:r w:rsidRPr="005010A3">
        <w:rPr>
          <w:lang w:val="es-ES_tradnl"/>
        </w:rPr>
        <w:t>–</w:t>
      </w:r>
      <w:r w:rsidRPr="005010A3">
        <w:rPr>
          <w:lang w:val="es-ES_tradnl"/>
        </w:rPr>
        <w:tab/>
        <w:t>Traza: persistencia máxima, MaxHold, (para modulación analógica), impresión tras borrado, ClearWrite, (para modulación digital).</w:t>
      </w:r>
    </w:p>
    <w:p w14:paraId="1BA960DE" w14:textId="77777777" w:rsidR="005010A3" w:rsidRPr="005010A3" w:rsidRDefault="005010A3" w:rsidP="005010A3">
      <w:pPr>
        <w:rPr>
          <w:lang w:val="es-ES_tradnl"/>
        </w:rPr>
      </w:pPr>
      <w:r w:rsidRPr="005010A3">
        <w:rPr>
          <w:lang w:val="es-ES_tradnl"/>
        </w:rPr>
        <w:t>En la mayoría de los sistemas digitales, la anchura de banda ocupada permanece constante a lo largo del tiempo porque normalmente se transmiten los trenes de datos con una velocidad de símbolo constante. En estos casos, el valor transitorio de la anchura de banda calculada será relativamente constante para cada traza registrada. Para igualar los resultados de distintas medidas consecutivas puede fijarse un tiempo de barrido mayor, lo que facilitará la lectura de los resultados.</w:t>
      </w:r>
    </w:p>
    <w:p w14:paraId="4BF5EC34" w14:textId="77777777" w:rsidR="005010A3" w:rsidRPr="005010A3" w:rsidRDefault="005010A3" w:rsidP="00DC02B3">
      <w:pPr>
        <w:rPr>
          <w:lang w:val="es-ES_tradnl"/>
        </w:rPr>
      </w:pPr>
      <w:r w:rsidRPr="005010A3">
        <w:rPr>
          <w:lang w:val="es-ES_tradnl"/>
        </w:rPr>
        <w:t>En los sistemas analógicos, especialmente cuando se transmiten señales de audio (F3E, A3E, J3E), el valor transitorio de la anchura de banda ocupada varía rápidamente con la modulación. En estos casos, las estaciones de comprobación técnica sólo están interesadas en la máxima anchura de banda ocupada durante un cierto tiempo de observación (por ejemplo, una hora). Para conseguir este resultado, debe aplicarse la función «</w:t>
      </w:r>
      <w:r w:rsidR="00DC02B3" w:rsidRPr="005010A3" w:rsidDel="00DC02B3">
        <w:rPr>
          <w:lang w:val="es-ES_tradnl"/>
        </w:rPr>
        <w:t xml:space="preserve"> </w:t>
      </w:r>
      <w:r w:rsidR="00DC02B3">
        <w:rPr>
          <w:lang w:val="es-ES_tradnl"/>
        </w:rPr>
        <w:t>MaxHold</w:t>
      </w:r>
      <w:r w:rsidRPr="005010A3">
        <w:rPr>
          <w:lang w:val="es-ES_tradnl"/>
        </w:rPr>
        <w:t>».</w:t>
      </w:r>
    </w:p>
    <w:p w14:paraId="347372A3" w14:textId="77777777" w:rsidR="005010A3" w:rsidRPr="005010A3" w:rsidRDefault="005010A3" w:rsidP="005010A3">
      <w:pPr>
        <w:rPr>
          <w:lang w:val="es-ES_tradnl"/>
        </w:rPr>
      </w:pPr>
      <w:r w:rsidRPr="005010A3">
        <w:rPr>
          <w:lang w:val="es-ES_tradnl"/>
        </w:rPr>
        <w:t>Una vez registrada la traza, el espectro mostrado se analiza matemáticamente para calcular la anchura de banda ocupada, de la forma siguiente:</w:t>
      </w:r>
    </w:p>
    <w:p w14:paraId="4C01B8B2" w14:textId="77777777" w:rsidR="005010A3" w:rsidRPr="005010A3" w:rsidRDefault="005010A3" w:rsidP="005010A3">
      <w:pPr>
        <w:rPr>
          <w:lang w:val="es-ES_tradnl"/>
        </w:rPr>
      </w:pPr>
      <w:r w:rsidRPr="005010A3">
        <w:rPr>
          <w:lang w:val="es-ES_tradnl"/>
        </w:rPr>
        <w:t>Se suma la potencia (o nivel) espectral de cada línea de frecuencia de la traza almacenada a lo largo del margen de medición ajustado para obtener el 100% de potencia de referencia. En un segundo cálculo, empezando por la frecuencia más baja registrada, se suma nuevamente la potencia espectral de cada línea de frecuencia hasta que esta suma alcance el 0,5% de la potencia total predeterminada. En este punto, se hace una marca. A continuación, se realiza el mismo cálculo empezando desde la frecuencia más alta registrada (el borde derecho de la pantalla) hasta alcanzar nuevamente el 0,5% de la potencia total y se hace una segunda marca. La anchura de banda ocupada es la diferencia de frecuencia entre las dos marcas.</w:t>
      </w:r>
    </w:p>
    <w:p w14:paraId="79176A90" w14:textId="77777777" w:rsidR="005010A3" w:rsidRPr="005010A3" w:rsidRDefault="005010A3" w:rsidP="005010A3">
      <w:pPr>
        <w:pStyle w:val="Heading1"/>
        <w:rPr>
          <w:lang w:val="es-ES_tradnl"/>
        </w:rPr>
      </w:pPr>
      <w:bookmarkStart w:id="13" w:name="_Toc105920540"/>
      <w:bookmarkStart w:id="14" w:name="_Toc107985149"/>
      <w:r w:rsidRPr="005010A3">
        <w:rPr>
          <w:rFonts w:hint="eastAsia"/>
          <w:lang w:val="es-ES_tradnl" w:eastAsia="ko-KR"/>
        </w:rPr>
        <w:t>4</w:t>
      </w:r>
      <w:r w:rsidRPr="005010A3">
        <w:rPr>
          <w:lang w:val="es-ES_tradnl"/>
        </w:rPr>
        <w:tab/>
      </w:r>
      <w:r w:rsidRPr="005010A3">
        <w:rPr>
          <w:lang w:val="es-ES_tradnl" w:eastAsia="ko-KR"/>
        </w:rPr>
        <w:t>Condiciones de la medición y precisión</w:t>
      </w:r>
      <w:bookmarkEnd w:id="13"/>
      <w:bookmarkEnd w:id="14"/>
    </w:p>
    <w:p w14:paraId="126017B7" w14:textId="77777777" w:rsidR="005010A3" w:rsidRPr="005010A3" w:rsidRDefault="005010A3" w:rsidP="005010A3">
      <w:pPr>
        <w:rPr>
          <w:lang w:val="es-ES_tradnl" w:eastAsia="ko-KR"/>
        </w:rPr>
      </w:pPr>
      <w:r w:rsidRPr="005010A3">
        <w:rPr>
          <w:lang w:val="es-ES_tradnl"/>
        </w:rPr>
        <w:t>La precisión relativa depende de:</w:t>
      </w:r>
    </w:p>
    <w:p w14:paraId="0B7A95A2" w14:textId="77777777" w:rsidR="005010A3" w:rsidRPr="005010A3" w:rsidRDefault="005010A3" w:rsidP="005010A3">
      <w:pPr>
        <w:pStyle w:val="enumlev1"/>
        <w:rPr>
          <w:lang w:val="es-ES_tradnl"/>
        </w:rPr>
      </w:pPr>
      <w:r w:rsidRPr="005010A3">
        <w:rPr>
          <w:lang w:val="es-ES_tradnl"/>
        </w:rPr>
        <w:t>–</w:t>
      </w:r>
      <w:r w:rsidRPr="005010A3">
        <w:rPr>
          <w:lang w:val="es-ES_tradnl"/>
        </w:rPr>
        <w:tab/>
      </w:r>
      <w:r w:rsidRPr="005010A3">
        <w:rPr>
          <w:i/>
          <w:iCs/>
          <w:lang w:val="es-ES_tradnl"/>
        </w:rPr>
        <w:t>La forma espectral de la señal</w:t>
      </w:r>
    </w:p>
    <w:p w14:paraId="78CB2CA2" w14:textId="77777777" w:rsidR="005010A3" w:rsidRPr="005010A3" w:rsidRDefault="005010A3" w:rsidP="005010A3">
      <w:pPr>
        <w:pStyle w:val="enumlev1"/>
        <w:rPr>
          <w:lang w:val="es-ES_tradnl"/>
        </w:rPr>
      </w:pPr>
      <w:r w:rsidRPr="005010A3">
        <w:rPr>
          <w:lang w:val="es-ES_tradnl"/>
        </w:rPr>
        <w:tab/>
        <w:t>Cuando la señal aumenta y disminuye abruptamente hacia los bordes del canal utilizado, la precisión es mayor.</w:t>
      </w:r>
    </w:p>
    <w:p w14:paraId="257C3951" w14:textId="77777777" w:rsidR="005010A3" w:rsidRPr="005010A3" w:rsidRDefault="005010A3" w:rsidP="00DC02B3">
      <w:pPr>
        <w:pStyle w:val="enumlev1"/>
        <w:rPr>
          <w:lang w:val="es-ES_tradnl"/>
        </w:rPr>
      </w:pPr>
      <w:r w:rsidRPr="005010A3">
        <w:rPr>
          <w:lang w:val="es-ES_tradnl"/>
        </w:rPr>
        <w:t>–</w:t>
      </w:r>
      <w:r w:rsidRPr="005010A3">
        <w:rPr>
          <w:lang w:val="es-ES_tradnl"/>
        </w:rPr>
        <w:tab/>
      </w:r>
      <w:r w:rsidRPr="005010A3">
        <w:rPr>
          <w:i/>
          <w:iCs/>
          <w:lang w:val="es-ES_tradnl"/>
        </w:rPr>
        <w:t>La anchura de banda de resolución</w:t>
      </w:r>
    </w:p>
    <w:p w14:paraId="29AF92A6" w14:textId="77777777" w:rsidR="005010A3" w:rsidRPr="005010A3" w:rsidRDefault="005010A3" w:rsidP="005010A3">
      <w:pPr>
        <w:pStyle w:val="enumlev1"/>
        <w:rPr>
          <w:lang w:val="es-ES_tradnl"/>
        </w:rPr>
      </w:pPr>
      <w:r w:rsidRPr="005010A3">
        <w:rPr>
          <w:lang w:val="es-ES_tradnl"/>
        </w:rPr>
        <w:tab/>
        <w:t>Con una RBW más pequeña se obtiene una mayor precisión porque el cálculo de la anchura de banda se basa en la forma gráfica de la traza mostrada, que siempre está ampliada por el filtro de medición.</w:t>
      </w:r>
    </w:p>
    <w:p w14:paraId="4F99A2F3" w14:textId="77777777" w:rsidR="005010A3" w:rsidRPr="005010A3" w:rsidRDefault="005010A3" w:rsidP="005010A3">
      <w:pPr>
        <w:pStyle w:val="enumlev1"/>
        <w:rPr>
          <w:lang w:val="es-ES_tradnl"/>
        </w:rPr>
      </w:pPr>
      <w:r w:rsidRPr="005010A3">
        <w:rPr>
          <w:lang w:val="es-ES_tradnl"/>
        </w:rPr>
        <w:t>–</w:t>
      </w:r>
      <w:r w:rsidRPr="005010A3">
        <w:rPr>
          <w:lang w:val="es-ES_tradnl"/>
        </w:rPr>
        <w:tab/>
      </w:r>
      <w:r w:rsidRPr="005010A3">
        <w:rPr>
          <w:i/>
          <w:iCs/>
          <w:lang w:val="es-ES_tradnl"/>
        </w:rPr>
        <w:t>La gama de frecuencias</w:t>
      </w:r>
    </w:p>
    <w:p w14:paraId="540D2A67" w14:textId="77777777" w:rsidR="005010A3" w:rsidRPr="005010A3" w:rsidRDefault="005010A3" w:rsidP="005010A3">
      <w:pPr>
        <w:pStyle w:val="enumlev1"/>
        <w:rPr>
          <w:lang w:val="es-ES_tradnl"/>
        </w:rPr>
      </w:pPr>
      <w:r w:rsidRPr="005010A3">
        <w:rPr>
          <w:lang w:val="es-ES_tradnl"/>
        </w:rPr>
        <w:tab/>
        <w:t>Si la gama de frecuencias es demasiado amplia cada vez entrará más ruido en el proceso de cálculo, lo que hace disminuir la precisión. Sin embargo, la gama debe ser lo suficientemente amplia como para incluir al menos algunas componentes espectrales por debajo de los puntos del 0,5% (o −26 dB).</w:t>
      </w:r>
    </w:p>
    <w:p w14:paraId="1820A15D" w14:textId="77777777" w:rsidR="005010A3" w:rsidRPr="005010A3" w:rsidRDefault="005010A3" w:rsidP="00D34516">
      <w:pPr>
        <w:pStyle w:val="enumlev1"/>
        <w:keepNext/>
        <w:keepLines/>
        <w:rPr>
          <w:lang w:val="es-ES_tradnl"/>
        </w:rPr>
      </w:pPr>
      <w:r w:rsidRPr="005010A3">
        <w:rPr>
          <w:lang w:val="es-ES_tradnl"/>
        </w:rPr>
        <w:t>–</w:t>
      </w:r>
      <w:r w:rsidRPr="005010A3">
        <w:rPr>
          <w:lang w:val="es-ES_tradnl"/>
        </w:rPr>
        <w:tab/>
      </w:r>
      <w:r w:rsidRPr="005010A3">
        <w:rPr>
          <w:i/>
          <w:iCs/>
          <w:lang w:val="es-ES_tradnl"/>
        </w:rPr>
        <w:t>El ruido y el nivel de interferencia</w:t>
      </w:r>
    </w:p>
    <w:p w14:paraId="36DB2E80" w14:textId="77777777" w:rsidR="005010A3" w:rsidRDefault="005010A3" w:rsidP="00D34516">
      <w:pPr>
        <w:pStyle w:val="enumlev1"/>
        <w:keepNext/>
        <w:keepLines/>
        <w:rPr>
          <w:lang w:val="es-ES_tradnl"/>
        </w:rPr>
      </w:pPr>
      <w:r w:rsidRPr="005010A3">
        <w:rPr>
          <w:lang w:val="es-ES_tradnl"/>
        </w:rPr>
        <w:tab/>
        <w:t>Como el ruido y la interferencia fuera del canal utilizado se incluyen en el proceso de cálculo, una gran diferencia entre la señal útil y la interferencia aumentará la precisión. Por consiguiente, para asegurar un error en la medición inferior al 10%</w:t>
      </w:r>
      <w:r w:rsidRPr="005010A3">
        <w:rPr>
          <w:rFonts w:hint="eastAsia"/>
          <w:lang w:val="es-ES_tradnl" w:eastAsia="ko-KR"/>
        </w:rPr>
        <w:t xml:space="preserve"> </w:t>
      </w:r>
      <w:r w:rsidRPr="005010A3">
        <w:rPr>
          <w:lang w:val="es-ES_tradnl" w:eastAsia="ko-KR"/>
        </w:rPr>
        <w:t>se recomienda una mínima relación de potencia de canal adyacente</w:t>
      </w:r>
      <w:r w:rsidRPr="005010A3">
        <w:rPr>
          <w:rFonts w:hint="eastAsia"/>
          <w:lang w:val="es-ES_tradnl" w:eastAsia="ko-KR"/>
        </w:rPr>
        <w:t xml:space="preserve"> (ACPR</w:t>
      </w:r>
      <w:r w:rsidR="00DC02B3">
        <w:rPr>
          <w:lang w:val="es-ES_tradnl" w:eastAsia="ko-KR"/>
        </w:rPr>
        <w:t xml:space="preserve">, </w:t>
      </w:r>
      <w:r w:rsidR="00DC02B3" w:rsidRPr="00DC02B3">
        <w:rPr>
          <w:i/>
          <w:iCs/>
          <w:lang w:val="es-ES_tradnl" w:eastAsia="ko-KR"/>
        </w:rPr>
        <w:t>adjacent channel power ratio</w:t>
      </w:r>
      <w:r w:rsidRPr="005010A3">
        <w:rPr>
          <w:rFonts w:hint="eastAsia"/>
          <w:lang w:val="es-ES_tradnl" w:eastAsia="ko-KR"/>
        </w:rPr>
        <w:t>)</w:t>
      </w:r>
      <w:r w:rsidRPr="005010A3">
        <w:rPr>
          <w:lang w:val="es-ES_tradnl"/>
        </w:rPr>
        <w:t xml:space="preserve"> </w:t>
      </w:r>
      <w:r w:rsidRPr="005010A3">
        <w:rPr>
          <w:lang w:val="es-ES_tradnl" w:eastAsia="ko-KR"/>
        </w:rPr>
        <w:t xml:space="preserve">o una mínima diferencia entre el nivel de cresta y el nivel de las frecuencias extremas de </w:t>
      </w:r>
      <w:r w:rsidRPr="005010A3">
        <w:rPr>
          <w:lang w:val="es-ES_tradnl"/>
        </w:rPr>
        <w:t xml:space="preserve">30 dB </w:t>
      </w:r>
      <w:r w:rsidRPr="005010A3">
        <w:rPr>
          <w:rFonts w:hint="eastAsia"/>
          <w:lang w:val="es-ES_tradnl" w:eastAsia="ko-KR"/>
        </w:rPr>
        <w:t>(</w:t>
      </w:r>
      <w:r w:rsidRPr="005010A3">
        <w:rPr>
          <w:lang w:val="es-ES_tradnl" w:eastAsia="ko-KR"/>
        </w:rPr>
        <w:t>véanse las Figs. </w:t>
      </w:r>
      <w:r w:rsidRPr="005010A3">
        <w:rPr>
          <w:rFonts w:hint="eastAsia"/>
          <w:lang w:val="es-ES_tradnl" w:eastAsia="ko-KR"/>
        </w:rPr>
        <w:t xml:space="preserve">1 </w:t>
      </w:r>
      <w:r w:rsidRPr="005010A3">
        <w:rPr>
          <w:lang w:val="es-ES_tradnl" w:eastAsia="ko-KR"/>
        </w:rPr>
        <w:t xml:space="preserve">y </w:t>
      </w:r>
      <w:r w:rsidRPr="005010A3">
        <w:rPr>
          <w:rFonts w:hint="eastAsia"/>
          <w:lang w:val="es-ES_tradnl" w:eastAsia="ko-KR"/>
        </w:rPr>
        <w:t>2)</w:t>
      </w:r>
      <w:r w:rsidRPr="005010A3">
        <w:rPr>
          <w:lang w:val="es-ES_tradnl"/>
        </w:rPr>
        <w:t>.</w:t>
      </w:r>
    </w:p>
    <w:p w14:paraId="1193A371" w14:textId="77777777" w:rsidR="00246370" w:rsidRPr="005010A3" w:rsidRDefault="00246370" w:rsidP="00246370">
      <w:pPr>
        <w:pStyle w:val="enumlev1"/>
        <w:rPr>
          <w:lang w:val="es-ES_tradnl"/>
        </w:rPr>
      </w:pPr>
      <w:r w:rsidRPr="005010A3">
        <w:rPr>
          <w:lang w:val="es-ES_tradnl" w:eastAsia="ko-KR"/>
        </w:rPr>
        <w:t>–</w:t>
      </w:r>
      <w:r w:rsidRPr="005010A3">
        <w:rPr>
          <w:lang w:val="es-ES_tradnl" w:eastAsia="ko-KR"/>
        </w:rPr>
        <w:tab/>
      </w:r>
      <w:r w:rsidRPr="005010A3">
        <w:rPr>
          <w:i/>
          <w:iCs/>
          <w:lang w:val="es-ES_tradnl" w:eastAsia="ko-KR"/>
        </w:rPr>
        <w:t>Pruebas de medición</w:t>
      </w:r>
    </w:p>
    <w:p w14:paraId="67F1EFB4" w14:textId="77777777" w:rsidR="00246370" w:rsidRPr="005010A3" w:rsidRDefault="00246370" w:rsidP="00246370">
      <w:pPr>
        <w:pStyle w:val="enumlev1"/>
        <w:rPr>
          <w:lang w:val="es-ES_tradnl" w:eastAsia="ko-KR"/>
        </w:rPr>
      </w:pPr>
      <w:r w:rsidRPr="005010A3">
        <w:rPr>
          <w:lang w:val="es-ES_tradnl" w:eastAsia="ko-KR"/>
        </w:rPr>
        <w:tab/>
        <w:t xml:space="preserve">La fluctuación de la señal digital debida a una señal de modulación no constante puede dar lugar a incertidumbres en los resultados de la medición. En consecuencia, se recomienda realizar al menos </w:t>
      </w:r>
      <w:r w:rsidRPr="005010A3">
        <w:rPr>
          <w:rFonts w:hint="eastAsia"/>
          <w:lang w:val="es-ES_tradnl" w:eastAsia="ko-KR"/>
        </w:rPr>
        <w:t>400</w:t>
      </w:r>
      <w:r w:rsidRPr="005010A3">
        <w:rPr>
          <w:lang w:val="es-ES_tradnl"/>
        </w:rPr>
        <w:t> </w:t>
      </w:r>
      <w:r w:rsidRPr="005010A3">
        <w:rPr>
          <w:lang w:val="es-ES_tradnl" w:eastAsia="ko-KR"/>
        </w:rPr>
        <w:t>veces las pruebas de medición para obtener el valor medio de la anchura de banda ocupada</w:t>
      </w:r>
      <w:r w:rsidRPr="005010A3">
        <w:rPr>
          <w:rFonts w:hint="eastAsia"/>
          <w:lang w:val="es-ES_tradnl" w:eastAsia="ko-KR"/>
        </w:rPr>
        <w:t>.</w:t>
      </w:r>
    </w:p>
    <w:p w14:paraId="4785BB6F" w14:textId="77777777" w:rsidR="00246370" w:rsidRPr="005010A3" w:rsidRDefault="00246370" w:rsidP="00246370">
      <w:pPr>
        <w:rPr>
          <w:lang w:val="es-ES_tradnl"/>
        </w:rPr>
      </w:pPr>
      <w:r w:rsidRPr="005010A3">
        <w:rPr>
          <w:lang w:val="es-ES_tradnl"/>
        </w:rPr>
        <w:t>Debe tenerse la precaución de que no aparezca ninguna señal interferente dentro de la gama registrada porque se consideraría parte de la señal deseada y ello daría lugar a un elevado error de medición.</w:t>
      </w:r>
    </w:p>
    <w:p w14:paraId="70747281" w14:textId="77777777" w:rsidR="005010A3" w:rsidRDefault="00DC02B3" w:rsidP="00246370">
      <w:pPr>
        <w:pStyle w:val="FigureNo"/>
      </w:pPr>
      <w:r>
        <w:object w:dxaOrig="5456" w:dyaOrig="4234" w14:anchorId="4F2B0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5pt;height:211.5pt" o:ole="" o:allowoverlap="f">
            <v:imagedata r:id="rId13" o:title=""/>
          </v:shape>
          <o:OLEObject Type="Embed" ProgID="CorelDraw.Graphic.12" ShapeID="_x0000_i1025" DrawAspect="Content" ObjectID="_1652586195" r:id="rId14"/>
        </w:object>
      </w:r>
    </w:p>
    <w:p w14:paraId="3E59AF42" w14:textId="77777777" w:rsidR="00246370" w:rsidRPr="00246370" w:rsidRDefault="00246370" w:rsidP="00246370">
      <w:pPr>
        <w:spacing w:before="0"/>
      </w:pPr>
    </w:p>
    <w:p w14:paraId="11A53C23" w14:textId="77777777" w:rsidR="005010A3" w:rsidRDefault="00DC02B3" w:rsidP="00246370">
      <w:pPr>
        <w:pStyle w:val="FigureNo"/>
        <w:keepNext w:val="0"/>
        <w:keepLines w:val="0"/>
        <w:rPr>
          <w:lang w:val="en-US" w:eastAsia="ko-KR"/>
        </w:rPr>
      </w:pPr>
      <w:r>
        <w:object w:dxaOrig="6382" w:dyaOrig="4180" w14:anchorId="413B8E9A">
          <v:shape id="_x0000_i1026" type="#_x0000_t75" style="width:319pt;height:209pt" o:ole="" o:allowoverlap="f">
            <v:imagedata r:id="rId15" o:title=""/>
          </v:shape>
          <o:OLEObject Type="Embed" ProgID="CorelDraw.Graphic.12" ShapeID="_x0000_i1026" DrawAspect="Content" ObjectID="_1652586196" r:id="rId16"/>
        </w:object>
      </w:r>
      <w:r w:rsidR="006A7220">
        <w:rPr>
          <w:noProof/>
          <w:lang w:val="es-ES_tradnl" w:eastAsia="zh-CN"/>
        </w:rPr>
        <mc:AlternateContent>
          <mc:Choice Requires="wps">
            <w:drawing>
              <wp:anchor distT="0" distB="0" distL="114300" distR="114300" simplePos="0" relativeHeight="251658752" behindDoc="0" locked="0" layoutInCell="1" allowOverlap="1" wp14:anchorId="24DA7AB8" wp14:editId="6CA2B756">
                <wp:simplePos x="0" y="0"/>
                <wp:positionH relativeFrom="column">
                  <wp:posOffset>1952625</wp:posOffset>
                </wp:positionH>
                <wp:positionV relativeFrom="paragraph">
                  <wp:posOffset>1496060</wp:posOffset>
                </wp:positionV>
                <wp:extent cx="198120" cy="9398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919A4" w14:textId="77777777" w:rsidR="00A531CE" w:rsidRDefault="00A531CE" w:rsidP="00501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A7AB8" id="_x0000_t202" coordsize="21600,21600" o:spt="202" path="m,l,21600r21600,l21600,xe">
                <v:stroke joinstyle="miter"/>
                <v:path gradientshapeok="t" o:connecttype="rect"/>
              </v:shapetype>
              <v:shape id="Text Box 4" o:spid="_x0000_s1026" type="#_x0000_t202" style="position:absolute;left:0;text-align:left;margin-left:153.75pt;margin-top:117.8pt;width:15.6pt;height: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" stroked="f">
                <v:textbox>
                  <w:txbxContent>
                    <w:p w14:paraId="673919A4" w14:textId="77777777" w:rsidR="00A531CE" w:rsidRDefault="00A531CE" w:rsidP="005010A3"/>
                  </w:txbxContent>
                </v:textbox>
              </v:shape>
            </w:pict>
          </mc:Fallback>
        </mc:AlternateContent>
      </w:r>
      <w:r w:rsidR="006A7220">
        <w:rPr>
          <w:noProof/>
          <w:lang w:val="es-ES_tradnl" w:eastAsia="zh-CN"/>
        </w:rPr>
        <mc:AlternateContent>
          <mc:Choice Requires="wps">
            <w:drawing>
              <wp:anchor distT="0" distB="0" distL="114300" distR="114300" simplePos="0" relativeHeight="251656704" behindDoc="0" locked="0" layoutInCell="1" allowOverlap="1" wp14:anchorId="39605DEC" wp14:editId="40FFEDFE">
                <wp:simplePos x="0" y="0"/>
                <wp:positionH relativeFrom="column">
                  <wp:posOffset>3964940</wp:posOffset>
                </wp:positionH>
                <wp:positionV relativeFrom="paragraph">
                  <wp:posOffset>1438275</wp:posOffset>
                </wp:positionV>
                <wp:extent cx="198120" cy="93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77402" w14:textId="77777777" w:rsidR="00A531CE" w:rsidRDefault="00A531CE" w:rsidP="00501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05DEC" id="Text Box 2" o:spid="_x0000_s1027" type="#_x0000_t202" style="position:absolute;left:0;text-align:left;margin-left:312.2pt;margin-top:113.25pt;width:15.6pt;height: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" stroked="f">
                <v:textbox>
                  <w:txbxContent>
                    <w:p w14:paraId="65C77402" w14:textId="77777777" w:rsidR="00A531CE" w:rsidRDefault="00A531CE" w:rsidP="005010A3"/>
                  </w:txbxContent>
                </v:textbox>
              </v:shape>
            </w:pict>
          </mc:Fallback>
        </mc:AlternateContent>
      </w:r>
      <w:r w:rsidR="006A7220">
        <w:rPr>
          <w:noProof/>
          <w:lang w:val="es-ES_tradnl" w:eastAsia="zh-CN"/>
        </w:rPr>
        <mc:AlternateContent>
          <mc:Choice Requires="wps">
            <w:drawing>
              <wp:anchor distT="0" distB="0" distL="114300" distR="114300" simplePos="0" relativeHeight="251657728" behindDoc="0" locked="0" layoutInCell="1" allowOverlap="1" wp14:anchorId="3559F926" wp14:editId="57B7F268">
                <wp:simplePos x="0" y="0"/>
                <wp:positionH relativeFrom="column">
                  <wp:posOffset>2990215</wp:posOffset>
                </wp:positionH>
                <wp:positionV relativeFrom="paragraph">
                  <wp:posOffset>1421765</wp:posOffset>
                </wp:positionV>
                <wp:extent cx="198120" cy="9398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1B4DF" w14:textId="77777777" w:rsidR="00A531CE" w:rsidRDefault="00A531CE" w:rsidP="00501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9F926" id="Text Box 3" o:spid="_x0000_s1028" type="#_x0000_t202" style="position:absolute;left:0;text-align:left;margin-left:235.45pt;margin-top:111.95pt;width:15.6pt;height: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" stroked="f">
                <v:textbox>
                  <w:txbxContent>
                    <w:p w14:paraId="1B01B4DF" w14:textId="77777777" w:rsidR="00A531CE" w:rsidRDefault="00A531CE" w:rsidP="005010A3"/>
                  </w:txbxContent>
                </v:textbox>
              </v:shape>
            </w:pict>
          </mc:Fallback>
        </mc:AlternateContent>
      </w:r>
    </w:p>
    <w:p w14:paraId="0B00D74C" w14:textId="77777777" w:rsidR="005010A3" w:rsidRPr="005010A3" w:rsidRDefault="005010A3" w:rsidP="000B4D5D">
      <w:pPr>
        <w:pStyle w:val="AnnexNoTitle"/>
        <w:rPr>
          <w:lang w:val="es-ES_tradnl"/>
        </w:rPr>
      </w:pPr>
      <w:bookmarkStart w:id="15" w:name="_Toc105920541"/>
      <w:bookmarkStart w:id="16" w:name="_Toc107985150"/>
      <w:r w:rsidRPr="005010A3">
        <w:rPr>
          <w:lang w:val="es-ES_tradnl"/>
        </w:rPr>
        <w:t xml:space="preserve">Anexo </w:t>
      </w:r>
      <w:r w:rsidRPr="005010A3">
        <w:rPr>
          <w:rFonts w:hint="eastAsia"/>
          <w:lang w:val="es-ES_tradnl"/>
        </w:rPr>
        <w:t>2</w:t>
      </w:r>
      <w:r w:rsidRPr="005010A3">
        <w:rPr>
          <w:lang w:val="es-ES_tradnl"/>
        </w:rPr>
        <w:br/>
      </w:r>
      <w:r w:rsidRPr="005010A3">
        <w:rPr>
          <w:lang w:val="es-ES_tradnl"/>
        </w:rPr>
        <w:br/>
        <w:t>Método de medición de anchura de banda entre</w:t>
      </w:r>
      <w:r w:rsidR="000B4D5D">
        <w:rPr>
          <w:lang w:val="es-ES_tradnl"/>
        </w:rPr>
        <w:t xml:space="preserve"> </w:t>
      </w:r>
      <w:r w:rsidRPr="005010A3">
        <w:rPr>
          <w:lang w:val="es-ES_tradnl"/>
        </w:rPr>
        <w:t>puntos a</w:t>
      </w:r>
      <w:r w:rsidRPr="005010A3">
        <w:rPr>
          <w:rFonts w:hint="eastAsia"/>
          <w:lang w:val="es-ES_tradnl"/>
        </w:rPr>
        <w:t xml:space="preserve"> </w:t>
      </w:r>
      <w:r w:rsidRPr="005010A3">
        <w:rPr>
          <w:i/>
          <w:iCs/>
          <w:lang w:val="es-ES_tradnl"/>
        </w:rPr>
        <w:t>x </w:t>
      </w:r>
      <w:r w:rsidRPr="005010A3">
        <w:rPr>
          <w:rFonts w:hint="eastAsia"/>
          <w:lang w:val="es-ES_tradnl"/>
        </w:rPr>
        <w:t>dB</w:t>
      </w:r>
      <w:r w:rsidR="000B4D5D">
        <w:rPr>
          <w:lang w:val="es-ES_tradnl"/>
        </w:rPr>
        <w:br/>
      </w:r>
      <w:r w:rsidRPr="005010A3">
        <w:rPr>
          <w:rFonts w:hint="eastAsia"/>
          <w:lang w:val="es-ES_tradnl"/>
        </w:rPr>
        <w:t>(</w:t>
      </w:r>
      <w:r w:rsidRPr="005010A3">
        <w:rPr>
          <w:lang w:val="es-ES_tradnl"/>
        </w:rPr>
        <w:t xml:space="preserve">método de </w:t>
      </w:r>
      <w:r w:rsidRPr="005010A3">
        <w:rPr>
          <w:i/>
          <w:iCs/>
          <w:lang w:val="es-ES_tradnl"/>
        </w:rPr>
        <w:t xml:space="preserve">x </w:t>
      </w:r>
      <w:r w:rsidRPr="005010A3">
        <w:rPr>
          <w:rFonts w:hint="eastAsia"/>
          <w:lang w:val="es-ES_tradnl"/>
        </w:rPr>
        <w:t>dB)</w:t>
      </w:r>
      <w:bookmarkEnd w:id="15"/>
      <w:bookmarkEnd w:id="16"/>
    </w:p>
    <w:p w14:paraId="3A502426" w14:textId="77777777" w:rsidR="005010A3" w:rsidRPr="005010A3" w:rsidRDefault="005010A3" w:rsidP="005010A3">
      <w:pPr>
        <w:pStyle w:val="Heading1"/>
        <w:rPr>
          <w:lang w:val="es-ES_tradnl"/>
        </w:rPr>
      </w:pPr>
      <w:bookmarkStart w:id="17" w:name="_Toc105920542"/>
      <w:bookmarkStart w:id="18" w:name="_Toc107985151"/>
      <w:r w:rsidRPr="005010A3">
        <w:rPr>
          <w:lang w:val="es-ES_tradnl"/>
        </w:rPr>
        <w:t>1</w:t>
      </w:r>
      <w:r w:rsidRPr="005010A3">
        <w:rPr>
          <w:lang w:val="es-ES_tradnl"/>
        </w:rPr>
        <w:tab/>
        <w:t>Introducción</w:t>
      </w:r>
      <w:bookmarkEnd w:id="17"/>
      <w:bookmarkEnd w:id="18"/>
    </w:p>
    <w:p w14:paraId="2F879FB8" w14:textId="77777777" w:rsidR="000F5DC3" w:rsidRPr="005010A3" w:rsidRDefault="000F5DC3" w:rsidP="000F5DC3">
      <w:pPr>
        <w:rPr>
          <w:lang w:val="es-ES_tradnl"/>
        </w:rPr>
      </w:pPr>
      <w:r w:rsidRPr="007E0299">
        <w:rPr>
          <w:lang w:val="es-ES_tradnl"/>
        </w:rPr>
        <w:t xml:space="preserve">La «anchura de banda entre puntos a </w:t>
      </w:r>
      <w:r w:rsidRPr="007B74C9">
        <w:rPr>
          <w:i/>
          <w:iCs/>
          <w:lang w:val="es-ES_tradnl"/>
        </w:rPr>
        <w:t>x</w:t>
      </w:r>
      <w:r w:rsidRPr="007E0299">
        <w:rPr>
          <w:lang w:val="es-ES_tradnl"/>
        </w:rPr>
        <w:t xml:space="preserve"> dB» (Recomendación UIT-R SM.328 (§ 1.8)) se define</w:t>
      </w:r>
      <w:r>
        <w:rPr>
          <w:lang w:val="es-ES_tradnl"/>
        </w:rPr>
        <w:t xml:space="preserve"> </w:t>
      </w:r>
      <w:r w:rsidRPr="007E0299">
        <w:rPr>
          <w:lang w:val="es-ES_tradnl"/>
        </w:rPr>
        <w:t>como la anchura de una banda de frecuencias fuera de cuyos límites inferior y superior, las</w:t>
      </w:r>
      <w:r>
        <w:rPr>
          <w:lang w:val="es-ES_tradnl"/>
        </w:rPr>
        <w:t xml:space="preserve"> </w:t>
      </w:r>
      <w:r w:rsidRPr="007E0299">
        <w:rPr>
          <w:lang w:val="es-ES_tradnl"/>
        </w:rPr>
        <w:t>componentes discretas del espectro o la densidad de potencia del espectro continuo son inferiores en</w:t>
      </w:r>
      <w:r>
        <w:rPr>
          <w:lang w:val="es-ES_tradnl"/>
        </w:rPr>
        <w:t xml:space="preserve"> </w:t>
      </w:r>
      <w:r w:rsidRPr="007E0299">
        <w:rPr>
          <w:lang w:val="es-ES_tradnl"/>
        </w:rPr>
        <w:t xml:space="preserve">por lo menos </w:t>
      </w:r>
      <w:r w:rsidRPr="007B74C9">
        <w:rPr>
          <w:i/>
          <w:iCs/>
          <w:lang w:val="es-ES_tradnl"/>
        </w:rPr>
        <w:t>x</w:t>
      </w:r>
      <w:r w:rsidRPr="007E0299">
        <w:rPr>
          <w:lang w:val="es-ES_tradnl"/>
        </w:rPr>
        <w:t xml:space="preserve"> dB con relación a un nivel predeterminado de referencia de 0 dB.</w:t>
      </w:r>
    </w:p>
    <w:p w14:paraId="01072E7D" w14:textId="77777777" w:rsidR="005010A3" w:rsidRPr="005010A3" w:rsidRDefault="005010A3" w:rsidP="005010A3">
      <w:pPr>
        <w:rPr>
          <w:lang w:val="es-ES_tradnl" w:eastAsia="ko-KR"/>
        </w:rPr>
      </w:pPr>
      <w:r w:rsidRPr="005010A3">
        <w:rPr>
          <w:lang w:val="es-ES_tradnl"/>
        </w:rPr>
        <w:t xml:space="preserve">En los casos en que se necesite específicamente, por ejemplo para determinar el límite del dominio fuera de banda en las emisiones de radar, la anchura de banda entre puntos a </w:t>
      </w:r>
      <w:r w:rsidRPr="005010A3">
        <w:rPr>
          <w:rFonts w:hint="eastAsia"/>
          <w:i/>
          <w:lang w:val="es-ES_tradnl" w:eastAsia="ko-KR"/>
        </w:rPr>
        <w:t>x</w:t>
      </w:r>
      <w:r w:rsidRPr="005010A3">
        <w:rPr>
          <w:i/>
          <w:lang w:val="es-ES_tradnl" w:eastAsia="ko-KR"/>
        </w:rPr>
        <w:t> </w:t>
      </w:r>
      <w:r w:rsidRPr="005010A3">
        <w:rPr>
          <w:lang w:val="es-ES_tradnl"/>
        </w:rPr>
        <w:t>dB puede medirse utilizando cualquier analizador de espectro o receptor digital de comprobación técnica.</w:t>
      </w:r>
    </w:p>
    <w:p w14:paraId="0B8F2052" w14:textId="77777777" w:rsidR="005010A3" w:rsidRPr="005010A3" w:rsidRDefault="005010A3" w:rsidP="00DC02B3">
      <w:pPr>
        <w:rPr>
          <w:lang w:val="es-ES_tradnl" w:eastAsia="ko-KR"/>
        </w:rPr>
      </w:pPr>
      <w:r w:rsidRPr="005010A3">
        <w:rPr>
          <w:lang w:val="es-ES_tradnl" w:eastAsia="ko-KR"/>
        </w:rPr>
        <w:t xml:space="preserve">Además, de conformidad con los requisitos del </w:t>
      </w:r>
      <w:r w:rsidR="00DC02B3">
        <w:rPr>
          <w:lang w:val="es-ES_tradnl"/>
        </w:rPr>
        <w:t>punto</w:t>
      </w:r>
      <w:r w:rsidRPr="005010A3">
        <w:rPr>
          <w:lang w:val="es-ES_tradnl"/>
        </w:rPr>
        <w:t xml:space="preserve"> 2 de la Recomendación UIT</w:t>
      </w:r>
      <w:r w:rsidRPr="005010A3">
        <w:rPr>
          <w:lang w:val="es-ES_tradnl"/>
        </w:rPr>
        <w:noBreakHyphen/>
        <w:t xml:space="preserve">R SM.328 sobre emisiones óptimas de un transmisor desde el punto de vista de la eficacia en la utilización del espectro, la anchura de banda entre puntos a </w:t>
      </w:r>
      <w:r w:rsidRPr="005010A3">
        <w:rPr>
          <w:i/>
          <w:lang w:val="es-ES_tradnl"/>
        </w:rPr>
        <w:t xml:space="preserve">x </w:t>
      </w:r>
      <w:r w:rsidRPr="005010A3">
        <w:rPr>
          <w:lang w:val="es-ES_tradnl"/>
        </w:rPr>
        <w:t>dB puede también relacionarse con la anchura de banda necesaria de la clase de emisión pertinente indicada por la Recomendación UIT</w:t>
      </w:r>
      <w:r w:rsidRPr="005010A3">
        <w:rPr>
          <w:lang w:val="es-ES_tradnl"/>
        </w:rPr>
        <w:noBreakHyphen/>
        <w:t>R SM.1138, incorporada al RR por referencia.</w:t>
      </w:r>
    </w:p>
    <w:p w14:paraId="0CD79208" w14:textId="77777777" w:rsidR="005010A3" w:rsidRPr="005010A3" w:rsidRDefault="005010A3" w:rsidP="005010A3">
      <w:pPr>
        <w:pStyle w:val="Heading1"/>
        <w:rPr>
          <w:lang w:val="es-ES_tradnl"/>
        </w:rPr>
      </w:pPr>
      <w:bookmarkStart w:id="19" w:name="_Toc105920543"/>
      <w:bookmarkStart w:id="20" w:name="_Toc107985152"/>
      <w:r w:rsidRPr="005010A3">
        <w:rPr>
          <w:rFonts w:hint="eastAsia"/>
          <w:lang w:val="es-ES_tradnl" w:eastAsia="ko-KR"/>
        </w:rPr>
        <w:t>2</w:t>
      </w:r>
      <w:r w:rsidRPr="005010A3">
        <w:rPr>
          <w:lang w:val="es-ES_tradnl"/>
        </w:rPr>
        <w:tab/>
        <w:t>Procedimiento de medición</w:t>
      </w:r>
      <w:bookmarkEnd w:id="19"/>
      <w:bookmarkEnd w:id="20"/>
    </w:p>
    <w:p w14:paraId="4509EA46" w14:textId="77777777" w:rsidR="005010A3" w:rsidRPr="005010A3" w:rsidRDefault="005010A3" w:rsidP="005010A3">
      <w:pPr>
        <w:rPr>
          <w:lang w:val="es-ES_tradnl"/>
        </w:rPr>
      </w:pPr>
      <w:r w:rsidRPr="005010A3">
        <w:rPr>
          <w:lang w:val="es-ES_tradnl"/>
        </w:rPr>
        <w:t>En primer lugar, debe determinarse el nivel de referencia de 0 dB. Normalmente se trata del nivel de la raya espectral más alta cuando el espectro se registra con una RBW estrecha en el analizador. Suponiendo que durante el tiempo de registro la potencia del transmisor vuelve a la portadora al menos una vez, este nivel es igual a la potencia emitida total. Sin embargo, en las señales con modulación digital, esta hipótesis no puede realizarse. Aunque la referencia de 0 dB sigue ajustada al nivel de la raya espectral más elevada, no es la potencia emitida total, por lo que los valores de </w:t>
      </w:r>
      <w:r w:rsidRPr="005010A3">
        <w:rPr>
          <w:i/>
          <w:lang w:val="es-ES_tradnl"/>
        </w:rPr>
        <w:t>x</w:t>
      </w:r>
      <w:r w:rsidRPr="005010A3">
        <w:rPr>
          <w:lang w:val="es-ES_tradnl"/>
        </w:rPr>
        <w:t>, para obtener resultados comparables, son distintos en el caso emisiones analógicas y digitales.</w:t>
      </w:r>
    </w:p>
    <w:p w14:paraId="286D6BD1" w14:textId="77777777" w:rsidR="005010A3" w:rsidRPr="005010A3" w:rsidRDefault="005010A3" w:rsidP="005010A3">
      <w:pPr>
        <w:rPr>
          <w:lang w:val="es-ES_tradnl"/>
        </w:rPr>
      </w:pPr>
      <w:r w:rsidRPr="005010A3">
        <w:rPr>
          <w:lang w:val="es-ES_tradnl"/>
        </w:rPr>
        <w:t>El analizador de espectro/receptor digital debe ajustarse como sigue:</w:t>
      </w:r>
    </w:p>
    <w:p w14:paraId="08CDEDC5" w14:textId="77777777" w:rsidR="005010A3" w:rsidRPr="005010A3" w:rsidRDefault="005010A3" w:rsidP="005010A3">
      <w:pPr>
        <w:pStyle w:val="enumlev1"/>
        <w:rPr>
          <w:lang w:val="es-ES_tradnl"/>
        </w:rPr>
      </w:pPr>
      <w:r w:rsidRPr="005010A3">
        <w:rPr>
          <w:lang w:val="es-ES_tradnl"/>
        </w:rPr>
        <w:t>–</w:t>
      </w:r>
      <w:r w:rsidRPr="005010A3">
        <w:rPr>
          <w:lang w:val="es-ES_tradnl"/>
        </w:rPr>
        <w:tab/>
        <w:t xml:space="preserve">Frecuencia central: </w:t>
      </w:r>
      <w:r w:rsidRPr="005010A3">
        <w:rPr>
          <w:i/>
          <w:lang w:val="es-ES_tradnl"/>
        </w:rPr>
        <w:t>f</w:t>
      </w:r>
      <w:r w:rsidRPr="005010A3">
        <w:rPr>
          <w:vertAlign w:val="subscript"/>
          <w:lang w:val="es-ES_tradnl"/>
        </w:rPr>
        <w:t>0</w:t>
      </w:r>
      <w:r w:rsidRPr="005010A3">
        <w:rPr>
          <w:lang w:val="es-ES_tradnl"/>
        </w:rPr>
        <w:t xml:space="preserve"> (frecuencia portadora o frecuencia central estimada de la emisión).</w:t>
      </w:r>
    </w:p>
    <w:p w14:paraId="5F2764EC" w14:textId="77777777" w:rsidR="005010A3" w:rsidRPr="005010A3" w:rsidRDefault="005010A3" w:rsidP="005010A3">
      <w:pPr>
        <w:pStyle w:val="enumlev1"/>
        <w:rPr>
          <w:lang w:val="es-ES_tradnl"/>
        </w:rPr>
      </w:pPr>
      <w:r w:rsidRPr="005010A3">
        <w:rPr>
          <w:lang w:val="es-ES_tradnl"/>
        </w:rPr>
        <w:t>–</w:t>
      </w:r>
      <w:r w:rsidRPr="005010A3">
        <w:rPr>
          <w:lang w:val="es-ES_tradnl"/>
        </w:rPr>
        <w:tab/>
        <w:t xml:space="preserve">Margen de medición: 1,5 veces la anchura de banda estimada de la emisión. </w:t>
      </w:r>
    </w:p>
    <w:p w14:paraId="0557A115" w14:textId="77777777" w:rsidR="005010A3" w:rsidRPr="005010A3" w:rsidRDefault="005010A3" w:rsidP="005010A3">
      <w:pPr>
        <w:pStyle w:val="enumlev1"/>
        <w:rPr>
          <w:lang w:val="es-ES_tradnl" w:eastAsia="ko-KR"/>
        </w:rPr>
      </w:pPr>
      <w:r w:rsidRPr="005010A3">
        <w:rPr>
          <w:lang w:val="es-ES_tradnl"/>
        </w:rPr>
        <w:t>–</w:t>
      </w:r>
      <w:r w:rsidRPr="005010A3">
        <w:rPr>
          <w:lang w:val="es-ES_tradnl"/>
        </w:rPr>
        <w:tab/>
        <w:t>RBW:</w:t>
      </w:r>
      <w:r w:rsidRPr="005010A3">
        <w:rPr>
          <w:rFonts w:hint="eastAsia"/>
          <w:lang w:val="es-ES_tradnl" w:eastAsia="ko-KR"/>
        </w:rPr>
        <w:t xml:space="preserve"> </w:t>
      </w:r>
      <w:r w:rsidRPr="005010A3">
        <w:rPr>
          <w:lang w:val="es-ES_tradnl" w:eastAsia="ko-KR"/>
        </w:rPr>
        <w:t xml:space="preserve">menos del </w:t>
      </w:r>
      <w:r w:rsidRPr="005010A3">
        <w:rPr>
          <w:rFonts w:hint="eastAsia"/>
          <w:lang w:val="es-ES_tradnl" w:eastAsia="ko-KR"/>
        </w:rPr>
        <w:t>3</w:t>
      </w:r>
      <w:r w:rsidRPr="005010A3">
        <w:rPr>
          <w:lang w:val="es-ES_tradnl"/>
        </w:rPr>
        <w:t>% del margen de medición.</w:t>
      </w:r>
    </w:p>
    <w:p w14:paraId="0DCB52F6" w14:textId="77777777" w:rsidR="005010A3" w:rsidRPr="005010A3" w:rsidRDefault="005010A3" w:rsidP="00DC02B3">
      <w:pPr>
        <w:pStyle w:val="enumlev1"/>
        <w:rPr>
          <w:lang w:val="es-ES_tradnl" w:eastAsia="ko-KR"/>
        </w:rPr>
      </w:pPr>
      <w:r w:rsidRPr="005010A3">
        <w:rPr>
          <w:lang w:val="es-ES_tradnl" w:eastAsia="ko-KR"/>
        </w:rPr>
        <w:t>–</w:t>
      </w:r>
      <w:r w:rsidRPr="005010A3">
        <w:rPr>
          <w:lang w:val="es-ES_tradnl" w:eastAsia="ko-KR"/>
        </w:rPr>
        <w:tab/>
      </w:r>
      <w:r w:rsidR="00DC02B3">
        <w:rPr>
          <w:lang w:val="es-ES_tradnl" w:eastAsia="ko-KR"/>
        </w:rPr>
        <w:t>VBW</w:t>
      </w:r>
      <w:r w:rsidRPr="005010A3">
        <w:rPr>
          <w:lang w:val="es-ES_tradnl"/>
        </w:rPr>
        <w:t>:</w:t>
      </w:r>
      <w:r w:rsidRPr="005010A3">
        <w:rPr>
          <w:rFonts w:hint="eastAsia"/>
          <w:lang w:val="es-ES_tradnl" w:eastAsia="ko-KR"/>
        </w:rPr>
        <w:t xml:space="preserve"> 3 </w:t>
      </w:r>
      <w:r w:rsidRPr="005010A3">
        <w:rPr>
          <w:lang w:val="es-ES_tradnl" w:eastAsia="ko-KR"/>
        </w:rPr>
        <w:t xml:space="preserve">veces </w:t>
      </w:r>
      <w:r w:rsidRPr="005010A3">
        <w:rPr>
          <w:rFonts w:hint="eastAsia"/>
          <w:lang w:val="es-ES_tradnl" w:eastAsia="ko-KR"/>
        </w:rPr>
        <w:t xml:space="preserve">RBW </w:t>
      </w:r>
      <w:r w:rsidRPr="005010A3">
        <w:rPr>
          <w:lang w:val="es-ES_tradnl" w:eastAsia="ko-KR"/>
        </w:rPr>
        <w:t>o más.</w:t>
      </w:r>
    </w:p>
    <w:p w14:paraId="4C3A60E9" w14:textId="77777777" w:rsidR="005010A3" w:rsidRPr="005010A3" w:rsidRDefault="005010A3" w:rsidP="00DC02B3">
      <w:pPr>
        <w:pStyle w:val="enumlev1"/>
        <w:rPr>
          <w:lang w:val="es-ES_tradnl" w:eastAsia="ko-KR"/>
        </w:rPr>
      </w:pPr>
      <w:r w:rsidRPr="005010A3">
        <w:rPr>
          <w:lang w:val="es-ES_tradnl"/>
        </w:rPr>
        <w:t>–</w:t>
      </w:r>
      <w:r w:rsidRPr="005010A3">
        <w:rPr>
          <w:lang w:val="es-ES_tradnl"/>
        </w:rPr>
        <w:tab/>
        <w:t>Detector:</w:t>
      </w:r>
      <w:r w:rsidRPr="005010A3">
        <w:rPr>
          <w:rFonts w:hint="eastAsia"/>
          <w:lang w:val="es-ES_tradnl" w:eastAsia="ko-KR"/>
        </w:rPr>
        <w:t xml:space="preserve"> </w:t>
      </w:r>
      <w:r w:rsidRPr="005010A3">
        <w:rPr>
          <w:lang w:val="es-ES_tradnl" w:eastAsia="ko-KR"/>
        </w:rPr>
        <w:t>cresta.</w:t>
      </w:r>
    </w:p>
    <w:p w14:paraId="76A4B7AA" w14:textId="77777777" w:rsidR="005010A3" w:rsidRPr="005010A3" w:rsidRDefault="005010A3" w:rsidP="00DC02B3">
      <w:pPr>
        <w:pStyle w:val="enumlev1"/>
        <w:rPr>
          <w:lang w:val="es-ES_tradnl" w:eastAsia="ko-KR"/>
        </w:rPr>
      </w:pPr>
      <w:r w:rsidRPr="005010A3">
        <w:rPr>
          <w:lang w:val="es-ES_tradnl"/>
        </w:rPr>
        <w:t>–</w:t>
      </w:r>
      <w:r w:rsidRPr="005010A3">
        <w:rPr>
          <w:lang w:val="es-ES_tradnl"/>
        </w:rPr>
        <w:tab/>
        <w:t>Traza:</w:t>
      </w:r>
      <w:r w:rsidR="00DC02B3">
        <w:rPr>
          <w:lang w:val="es-ES_tradnl" w:eastAsia="ko-KR"/>
        </w:rPr>
        <w:t>MaxHold</w:t>
      </w:r>
      <w:r w:rsidRPr="005010A3">
        <w:rPr>
          <w:lang w:val="es-ES_tradnl" w:eastAsia="ko-KR"/>
        </w:rPr>
        <w:t>.</w:t>
      </w:r>
    </w:p>
    <w:p w14:paraId="2826D99D" w14:textId="77777777" w:rsidR="005010A3" w:rsidRPr="005010A3" w:rsidRDefault="005010A3" w:rsidP="005010A3">
      <w:pPr>
        <w:rPr>
          <w:lang w:val="es-ES_tradnl" w:eastAsia="ko-KR"/>
        </w:rPr>
      </w:pPr>
      <w:r w:rsidRPr="005010A3">
        <w:rPr>
          <w:lang w:val="es-ES_tradnl"/>
        </w:rPr>
        <w:t xml:space="preserve">Una vez construida la traza se busca el nivel de cresta. El valor de la anchura de banda entre puntos a </w:t>
      </w:r>
      <w:r w:rsidRPr="005010A3">
        <w:rPr>
          <w:i/>
          <w:lang w:val="es-ES_tradnl"/>
        </w:rPr>
        <w:t xml:space="preserve">x </w:t>
      </w:r>
      <w:r w:rsidRPr="005010A3">
        <w:rPr>
          <w:lang w:val="es-ES_tradnl"/>
        </w:rPr>
        <w:t xml:space="preserve">dB se lee en la pantalla del equipo como la anchura de una banda de frecuencias tal que más allá de sus límites inferior y superior cualquier componente discreta del espectro se encuentre al menos </w:t>
      </w:r>
      <w:r w:rsidRPr="005010A3">
        <w:rPr>
          <w:i/>
          <w:lang w:val="es-ES_tradnl"/>
        </w:rPr>
        <w:t xml:space="preserve">x </w:t>
      </w:r>
      <w:r w:rsidRPr="005010A3">
        <w:rPr>
          <w:lang w:val="es-ES_tradnl"/>
        </w:rPr>
        <w:t>dB por debajo que un nivel predeterminado de referencia de 0 dB.</w:t>
      </w:r>
      <w:r w:rsidRPr="005010A3">
        <w:rPr>
          <w:rFonts w:hint="eastAsia"/>
          <w:lang w:val="es-ES_tradnl" w:eastAsia="ko-KR"/>
        </w:rPr>
        <w:t xml:space="preserve"> </w:t>
      </w:r>
      <w:r w:rsidRPr="005010A3">
        <w:rPr>
          <w:lang w:val="es-ES_tradnl" w:eastAsia="ko-KR"/>
        </w:rPr>
        <w:t>Si en este nivel hay más de dos rayas espectrales</w:t>
      </w:r>
      <w:r w:rsidRPr="005010A3">
        <w:rPr>
          <w:lang w:val="es-ES_tradnl"/>
        </w:rPr>
        <w:t xml:space="preserve">, se toman las frecuencias extremas. La diferencia de frecuencias entre las dos marcas es la anchura de banda entre puntos a </w:t>
      </w:r>
      <w:r w:rsidRPr="005010A3">
        <w:rPr>
          <w:i/>
          <w:lang w:val="es-ES_tradnl"/>
        </w:rPr>
        <w:t xml:space="preserve">x </w:t>
      </w:r>
      <w:r w:rsidRPr="005010A3">
        <w:rPr>
          <w:lang w:val="es-ES_tradnl"/>
        </w:rPr>
        <w:t>dB.</w:t>
      </w:r>
    </w:p>
    <w:p w14:paraId="75772264" w14:textId="77777777" w:rsidR="005010A3" w:rsidRDefault="000B4D5D" w:rsidP="00307FF5">
      <w:pPr>
        <w:pStyle w:val="FigureNo"/>
        <w:rPr>
          <w:lang w:eastAsia="ko-KR"/>
        </w:rPr>
      </w:pPr>
      <w:r>
        <w:object w:dxaOrig="6206" w:dyaOrig="4201" w14:anchorId="46DB642F">
          <v:shape id="_x0000_i1027" type="#_x0000_t75" style="width:310.5pt;height:210pt" o:ole="">
            <v:imagedata r:id="rId17" o:title=""/>
          </v:shape>
          <o:OLEObject Type="Embed" ProgID="CorelDRAW.Graphic.14" ShapeID="_x0000_i1027" DrawAspect="Content" ObjectID="_1652586197" r:id="rId18"/>
        </w:object>
      </w:r>
    </w:p>
    <w:p w14:paraId="766F45AB" w14:textId="77777777" w:rsidR="006A243D" w:rsidRDefault="006A243D" w:rsidP="006A243D">
      <w:pPr>
        <w:rPr>
          <w:lang w:val="es-ES_tradnl" w:eastAsia="ko-KR"/>
        </w:rPr>
      </w:pPr>
      <w:bookmarkStart w:id="21" w:name="_Toc105920544"/>
      <w:bookmarkStart w:id="22" w:name="_Toc107985153"/>
    </w:p>
    <w:p w14:paraId="25D0AE54" w14:textId="77777777" w:rsidR="000B4D5D" w:rsidRDefault="000B4D5D" w:rsidP="000B4D5D">
      <w:pPr>
        <w:spacing w:before="0"/>
        <w:rPr>
          <w:lang w:val="es-ES_tradnl" w:eastAsia="ko-KR"/>
        </w:rPr>
      </w:pPr>
    </w:p>
    <w:p w14:paraId="51BC9412" w14:textId="77777777" w:rsidR="005010A3" w:rsidRPr="005010A3" w:rsidRDefault="005010A3" w:rsidP="005010A3">
      <w:pPr>
        <w:pStyle w:val="Heading1"/>
        <w:rPr>
          <w:lang w:val="es-ES_tradnl"/>
        </w:rPr>
      </w:pPr>
      <w:r w:rsidRPr="005010A3">
        <w:rPr>
          <w:rFonts w:hint="eastAsia"/>
          <w:lang w:val="es-ES_tradnl" w:eastAsia="ko-KR"/>
        </w:rPr>
        <w:t>3</w:t>
      </w:r>
      <w:r w:rsidRPr="005010A3">
        <w:rPr>
          <w:lang w:val="es-ES_tradnl"/>
        </w:rPr>
        <w:tab/>
        <w:t>Condiciones de la medición y precisión</w:t>
      </w:r>
      <w:bookmarkEnd w:id="21"/>
      <w:bookmarkEnd w:id="22"/>
    </w:p>
    <w:p w14:paraId="4A896249" w14:textId="77777777" w:rsidR="005010A3" w:rsidRPr="005010A3" w:rsidRDefault="005010A3" w:rsidP="00DC02B3">
      <w:pPr>
        <w:rPr>
          <w:lang w:val="es-ES_tradnl"/>
        </w:rPr>
      </w:pPr>
      <w:r w:rsidRPr="005010A3">
        <w:rPr>
          <w:lang w:val="es-ES_tradnl"/>
        </w:rPr>
        <w:t xml:space="preserve">La precisión del método </w:t>
      </w:r>
      <w:r w:rsidRPr="005010A3">
        <w:rPr>
          <w:i/>
          <w:lang w:val="es-ES_tradnl"/>
        </w:rPr>
        <w:t>x</w:t>
      </w:r>
      <w:r w:rsidRPr="005010A3">
        <w:rPr>
          <w:lang w:val="es-ES_tradnl"/>
        </w:rPr>
        <w:t> dB depende de:</w:t>
      </w:r>
    </w:p>
    <w:p w14:paraId="138C6C01" w14:textId="77777777" w:rsidR="005010A3" w:rsidRPr="005010A3" w:rsidRDefault="005010A3" w:rsidP="005010A3">
      <w:pPr>
        <w:pStyle w:val="enumlev1"/>
        <w:rPr>
          <w:lang w:val="es-ES_tradnl" w:eastAsia="ko-KR"/>
        </w:rPr>
      </w:pPr>
      <w:r w:rsidRPr="005010A3">
        <w:rPr>
          <w:lang w:val="es-ES_tradnl"/>
        </w:rPr>
        <w:t>–</w:t>
      </w:r>
      <w:r w:rsidRPr="005010A3">
        <w:rPr>
          <w:lang w:val="es-ES_tradnl"/>
        </w:rPr>
        <w:tab/>
      </w:r>
      <w:r w:rsidRPr="005010A3">
        <w:rPr>
          <w:i/>
          <w:iCs/>
          <w:lang w:val="es-ES_tradnl"/>
        </w:rPr>
        <w:t>La forma espectral de la señal</w:t>
      </w:r>
    </w:p>
    <w:p w14:paraId="0D1821E8" w14:textId="77777777" w:rsidR="005010A3" w:rsidRPr="005010A3" w:rsidRDefault="005010A3" w:rsidP="005010A3">
      <w:pPr>
        <w:pStyle w:val="enumlev1"/>
        <w:rPr>
          <w:lang w:val="es-ES_tradnl" w:eastAsia="ko-KR"/>
        </w:rPr>
      </w:pPr>
      <w:r w:rsidRPr="005010A3">
        <w:rPr>
          <w:lang w:val="es-ES_tradnl"/>
        </w:rPr>
        <w:tab/>
        <w:t>Cuando la señal aumenta y disminuye abruptamente hacia los bordes del canal utilizado la precisión es mayor.</w:t>
      </w:r>
    </w:p>
    <w:p w14:paraId="71D975F4" w14:textId="77777777" w:rsidR="005010A3" w:rsidRPr="005010A3" w:rsidRDefault="005010A3" w:rsidP="00DC02B3">
      <w:pPr>
        <w:pStyle w:val="enumlev1"/>
        <w:rPr>
          <w:lang w:val="es-ES_tradnl"/>
        </w:rPr>
      </w:pPr>
      <w:r w:rsidRPr="005010A3">
        <w:rPr>
          <w:lang w:val="es-ES_tradnl"/>
        </w:rPr>
        <w:t>–</w:t>
      </w:r>
      <w:r w:rsidRPr="005010A3">
        <w:rPr>
          <w:lang w:val="es-ES_tradnl"/>
        </w:rPr>
        <w:tab/>
      </w:r>
      <w:r w:rsidRPr="005010A3">
        <w:rPr>
          <w:i/>
          <w:iCs/>
          <w:lang w:val="es-ES_tradnl"/>
        </w:rPr>
        <w:t>La anchura de banda de resolución</w:t>
      </w:r>
    </w:p>
    <w:p w14:paraId="3E8F0614" w14:textId="77777777" w:rsidR="005010A3" w:rsidRPr="005010A3" w:rsidRDefault="005010A3" w:rsidP="005010A3">
      <w:pPr>
        <w:pStyle w:val="enumlev1"/>
        <w:rPr>
          <w:lang w:val="es-ES_tradnl" w:eastAsia="ko-KR"/>
        </w:rPr>
      </w:pPr>
      <w:r w:rsidRPr="005010A3">
        <w:rPr>
          <w:lang w:val="es-ES_tradnl"/>
        </w:rPr>
        <w:tab/>
        <w:t>Con una RBW más pequeña se obtiene una mayor precisión porque la forma mostrada de la señal siempre es ampliada por el filtro de medición.</w:t>
      </w:r>
    </w:p>
    <w:p w14:paraId="0FE91199" w14:textId="77777777" w:rsidR="005010A3" w:rsidRPr="005010A3" w:rsidRDefault="005010A3" w:rsidP="005010A3">
      <w:pPr>
        <w:pStyle w:val="enumlev1"/>
        <w:rPr>
          <w:lang w:val="es-ES_tradnl" w:eastAsia="ko-KR"/>
        </w:rPr>
      </w:pPr>
      <w:r w:rsidRPr="005010A3">
        <w:rPr>
          <w:lang w:val="es-ES_tradnl"/>
        </w:rPr>
        <w:t>–</w:t>
      </w:r>
      <w:r w:rsidRPr="005010A3">
        <w:rPr>
          <w:lang w:val="es-ES_tradnl"/>
        </w:rPr>
        <w:tab/>
      </w:r>
      <w:r w:rsidRPr="005010A3">
        <w:rPr>
          <w:i/>
          <w:iCs/>
          <w:lang w:val="es-ES_tradnl"/>
        </w:rPr>
        <w:t>La gama de frecuencias</w:t>
      </w:r>
    </w:p>
    <w:p w14:paraId="7B54D65F" w14:textId="77777777" w:rsidR="005010A3" w:rsidRPr="005010A3" w:rsidRDefault="005010A3" w:rsidP="005010A3">
      <w:pPr>
        <w:pStyle w:val="enumlev1"/>
        <w:rPr>
          <w:lang w:val="es-ES_tradnl" w:eastAsia="ko-KR"/>
        </w:rPr>
      </w:pPr>
      <w:r w:rsidRPr="005010A3">
        <w:rPr>
          <w:lang w:val="es-ES_tradnl"/>
        </w:rPr>
        <w:tab/>
        <w:t>Si la gama de frecuencias es demasiado amplia, están disponible menos líneas de presentación para mostrar la señal y fijar los marcadores. Una menor resolución aumenta la incertidumbre de la medición.</w:t>
      </w:r>
    </w:p>
    <w:p w14:paraId="00B0F8C5" w14:textId="77777777" w:rsidR="005010A3" w:rsidRPr="005010A3" w:rsidRDefault="005010A3" w:rsidP="005010A3">
      <w:pPr>
        <w:pStyle w:val="enumlev1"/>
        <w:rPr>
          <w:lang w:val="es-ES_tradnl" w:eastAsia="ko-KR"/>
        </w:rPr>
      </w:pPr>
      <w:r w:rsidRPr="005010A3">
        <w:rPr>
          <w:lang w:val="es-ES_tradnl"/>
        </w:rPr>
        <w:t>–</w:t>
      </w:r>
      <w:r w:rsidRPr="005010A3">
        <w:rPr>
          <w:lang w:val="es-ES_tradnl"/>
        </w:rPr>
        <w:tab/>
      </w:r>
      <w:r w:rsidRPr="005010A3">
        <w:rPr>
          <w:i/>
          <w:iCs/>
          <w:lang w:val="es-ES_tradnl"/>
        </w:rPr>
        <w:t>El ruido y el nivel de interferencia</w:t>
      </w:r>
    </w:p>
    <w:p w14:paraId="20445398" w14:textId="77777777" w:rsidR="005010A3" w:rsidRPr="005010A3" w:rsidRDefault="005010A3" w:rsidP="005010A3">
      <w:pPr>
        <w:pStyle w:val="enumlev1"/>
        <w:rPr>
          <w:lang w:val="es-ES_tradnl" w:eastAsia="ko-KR"/>
        </w:rPr>
      </w:pPr>
      <w:r w:rsidRPr="005010A3">
        <w:rPr>
          <w:lang w:val="es-ES_tradnl"/>
        </w:rPr>
        <w:tab/>
        <w:t xml:space="preserve">La relación </w:t>
      </w:r>
      <w:r w:rsidRPr="005010A3">
        <w:rPr>
          <w:i/>
          <w:iCs/>
          <w:lang w:val="es-ES_tradnl"/>
        </w:rPr>
        <w:t>S</w:t>
      </w:r>
      <w:r w:rsidRPr="005010A3">
        <w:rPr>
          <w:lang w:val="es-ES_tradnl"/>
        </w:rPr>
        <w:t>/</w:t>
      </w:r>
      <w:r w:rsidRPr="005010A3">
        <w:rPr>
          <w:i/>
          <w:iCs/>
          <w:lang w:val="es-ES_tradnl"/>
        </w:rPr>
        <w:t>N</w:t>
      </w:r>
      <w:r w:rsidRPr="005010A3">
        <w:rPr>
          <w:lang w:val="es-ES_tradnl"/>
        </w:rPr>
        <w:t xml:space="preserve"> debe ser suficiente de acuerdo con la emisión analizada. Se recomienda un valor mínimo de </w:t>
      </w:r>
      <w:r w:rsidRPr="005010A3">
        <w:rPr>
          <w:i/>
          <w:lang w:val="es-ES_tradnl"/>
        </w:rPr>
        <w:t>x</w:t>
      </w:r>
      <w:r w:rsidRPr="005010A3">
        <w:rPr>
          <w:lang w:val="es-ES_tradnl"/>
        </w:rPr>
        <w:t> + </w:t>
      </w:r>
      <w:r w:rsidRPr="005010A3">
        <w:rPr>
          <w:rFonts w:hint="eastAsia"/>
          <w:lang w:val="es-ES_tradnl" w:eastAsia="ko-KR"/>
        </w:rPr>
        <w:t>5</w:t>
      </w:r>
      <w:r w:rsidRPr="005010A3">
        <w:rPr>
          <w:lang w:val="es-ES_tradnl"/>
        </w:rPr>
        <w:t> dB para asegurar un error de medición inferior al 10%.</w:t>
      </w:r>
      <w:r w:rsidRPr="005010A3">
        <w:rPr>
          <w:rFonts w:hint="eastAsia"/>
          <w:lang w:val="es-ES_tradnl" w:eastAsia="ko-KR"/>
        </w:rPr>
        <w:t xml:space="preserve"> </w:t>
      </w:r>
      <w:r w:rsidRPr="005010A3">
        <w:rPr>
          <w:lang w:val="es-ES_tradnl" w:eastAsia="ko-KR"/>
        </w:rPr>
        <w:t>Uno de los mejores métodos</w:t>
      </w:r>
      <w:r w:rsidRPr="005010A3">
        <w:rPr>
          <w:lang w:val="es-ES_tradnl"/>
        </w:rPr>
        <w:t>, cuando la dinámica de la señal no es suficiente en la estación de comprobación técnica, es efectuar la medición con una estación móvil que pueda desplazarse hasta las proximidades del transmisor.</w:t>
      </w:r>
      <w:r w:rsidRPr="005010A3">
        <w:rPr>
          <w:rFonts w:hint="eastAsia"/>
          <w:lang w:val="es-ES_tradnl" w:eastAsia="ko-KR"/>
        </w:rPr>
        <w:t xml:space="preserve"> </w:t>
      </w:r>
    </w:p>
    <w:p w14:paraId="7847A045" w14:textId="77777777" w:rsidR="005010A3" w:rsidRPr="005010A3" w:rsidRDefault="005010A3" w:rsidP="005010A3">
      <w:pPr>
        <w:rPr>
          <w:lang w:val="es-ES_tradnl" w:eastAsia="ko-KR"/>
        </w:rPr>
      </w:pPr>
      <w:r w:rsidRPr="005010A3">
        <w:rPr>
          <w:lang w:val="es-ES_tradnl"/>
        </w:rPr>
        <w:t xml:space="preserve">Las señales interferentes que caen dentro de la gama mostrada pueden tolerarse y no tendrán repercusión en los resultados de una medición de </w:t>
      </w:r>
      <w:r w:rsidRPr="005010A3">
        <w:rPr>
          <w:i/>
          <w:lang w:val="es-ES_tradnl"/>
        </w:rPr>
        <w:t>x </w:t>
      </w:r>
      <w:r w:rsidRPr="005010A3">
        <w:rPr>
          <w:lang w:val="es-ES_tradnl"/>
        </w:rPr>
        <w:t xml:space="preserve">dB manual, siempre que sean estrechas comparadas con la anchura de banda de la señal deseada y siempre que la frecuencia de interferencia no caiga en uno de los puntos a </w:t>
      </w:r>
      <w:r w:rsidRPr="005010A3">
        <w:rPr>
          <w:i/>
          <w:lang w:val="es-ES_tradnl"/>
        </w:rPr>
        <w:t>x </w:t>
      </w:r>
      <w:r w:rsidRPr="005010A3">
        <w:rPr>
          <w:lang w:val="es-ES_tradnl"/>
        </w:rPr>
        <w:t>dB.</w:t>
      </w:r>
    </w:p>
    <w:p w14:paraId="6EDC694B" w14:textId="77777777" w:rsidR="005010A3" w:rsidRPr="005010A3" w:rsidRDefault="005010A3" w:rsidP="005010A3">
      <w:pPr>
        <w:pStyle w:val="Heading1"/>
        <w:rPr>
          <w:color w:val="000000"/>
          <w:lang w:val="es-ES_tradnl"/>
        </w:rPr>
      </w:pPr>
      <w:bookmarkStart w:id="23" w:name="_Toc105920545"/>
      <w:bookmarkStart w:id="24" w:name="_Toc107985154"/>
      <w:r w:rsidRPr="005010A3">
        <w:rPr>
          <w:rFonts w:hint="eastAsia"/>
          <w:lang w:val="es-ES_tradnl" w:eastAsia="ko-KR"/>
        </w:rPr>
        <w:t>4</w:t>
      </w:r>
      <w:r w:rsidRPr="005010A3">
        <w:rPr>
          <w:lang w:val="es-ES_tradnl"/>
        </w:rPr>
        <w:tab/>
        <w:t xml:space="preserve">Medición de anchuras de banda entre puntos a </w:t>
      </w:r>
      <w:r>
        <w:rPr>
          <w:i/>
        </w:rPr>
        <w:t>х</w:t>
      </w:r>
      <w:r w:rsidRPr="005010A3">
        <w:rPr>
          <w:i/>
          <w:lang w:val="es-ES_tradnl"/>
        </w:rPr>
        <w:t> </w:t>
      </w:r>
      <w:r w:rsidRPr="005010A3">
        <w:rPr>
          <w:lang w:val="es-ES_tradnl"/>
        </w:rPr>
        <w:t>dB en condiciones de influencia de las interferencias</w:t>
      </w:r>
      <w:bookmarkEnd w:id="23"/>
      <w:bookmarkEnd w:id="24"/>
    </w:p>
    <w:p w14:paraId="18C04BF9" w14:textId="77777777" w:rsidR="005010A3" w:rsidRDefault="005010A3" w:rsidP="000B4D5D">
      <w:pPr>
        <w:keepNext/>
        <w:keepLines/>
        <w:rPr>
          <w:bCs/>
          <w:i/>
          <w:iCs/>
          <w:vertAlign w:val="subscript"/>
          <w:lang w:val="es-ES_tradnl"/>
        </w:rPr>
      </w:pPr>
      <w:r w:rsidRPr="005010A3">
        <w:rPr>
          <w:lang w:val="es-ES_tradnl"/>
        </w:rPr>
        <w:t xml:space="preserve">En algunos casos pueden medirse los valores de la anchura de banda entre puntos a </w:t>
      </w:r>
      <w:r>
        <w:rPr>
          <w:i/>
        </w:rPr>
        <w:t>х</w:t>
      </w:r>
      <w:r w:rsidRPr="005010A3">
        <w:rPr>
          <w:i/>
          <w:lang w:val="es-ES_tradnl"/>
        </w:rPr>
        <w:t> </w:t>
      </w:r>
      <w:r w:rsidRPr="005010A3">
        <w:rPr>
          <w:lang w:val="es-ES_tradnl"/>
        </w:rPr>
        <w:t xml:space="preserve">dB o, al menos, estimarse en presencia de interferencias cuyos niveles rebasan el valor de un nivel medido de </w:t>
      </w:r>
      <w:r>
        <w:rPr>
          <w:i/>
        </w:rPr>
        <w:t>х</w:t>
      </w:r>
      <w:r w:rsidRPr="005010A3">
        <w:rPr>
          <w:i/>
          <w:lang w:val="es-ES_tradnl"/>
        </w:rPr>
        <w:t> </w:t>
      </w:r>
      <w:r w:rsidRPr="005010A3">
        <w:rPr>
          <w:lang w:val="es-ES_tradnl"/>
        </w:rPr>
        <w:t>dB. Como se representa en la Fig. </w:t>
      </w:r>
      <w:r w:rsidRPr="005010A3">
        <w:rPr>
          <w:rFonts w:hint="eastAsia"/>
          <w:lang w:val="es-ES_tradnl" w:eastAsia="ko-KR"/>
        </w:rPr>
        <w:t>4</w:t>
      </w:r>
      <w:r w:rsidRPr="005010A3">
        <w:rPr>
          <w:lang w:val="es-ES_tradnl"/>
        </w:rPr>
        <w:t xml:space="preserve">, cuando los extremos de la anchura entre puntos a </w:t>
      </w:r>
      <w:r>
        <w:rPr>
          <w:i/>
        </w:rPr>
        <w:t>х</w:t>
      </w:r>
      <w:r w:rsidRPr="005010A3">
        <w:rPr>
          <w:i/>
          <w:lang w:val="es-ES_tradnl"/>
        </w:rPr>
        <w:t> </w:t>
      </w:r>
      <w:r w:rsidRPr="005010A3">
        <w:rPr>
          <w:lang w:val="es-ES_tradnl"/>
        </w:rPr>
        <w:t>dB desde cada borde de un espectro de la emisión considerada no están enmascarados por las interferencias (espectros 1 y 2), se mide la anchura de banda de este espectro particular sin tener en cuenta los espectros de la interferencia. En otras palabras, en el caso mostrado en la Fig.</w:t>
      </w:r>
      <w:r w:rsidRPr="005010A3">
        <w:rPr>
          <w:lang w:val="es-ES_tradnl" w:eastAsia="ko-KR"/>
        </w:rPr>
        <w:t> </w:t>
      </w:r>
      <w:r w:rsidRPr="005010A3">
        <w:rPr>
          <w:rFonts w:hint="eastAsia"/>
          <w:lang w:val="es-ES_tradnl" w:eastAsia="ko-KR"/>
        </w:rPr>
        <w:t>4</w:t>
      </w:r>
      <w:r w:rsidRPr="005010A3">
        <w:rPr>
          <w:lang w:val="es-ES_tradnl"/>
        </w:rPr>
        <w:t xml:space="preserve">, la anchura de banda entre puntos a </w:t>
      </w:r>
      <w:r>
        <w:rPr>
          <w:i/>
        </w:rPr>
        <w:t>х</w:t>
      </w:r>
      <w:r w:rsidRPr="005010A3">
        <w:rPr>
          <w:i/>
          <w:lang w:val="es-ES_tradnl"/>
        </w:rPr>
        <w:t> </w:t>
      </w:r>
      <w:r w:rsidRPr="005010A3">
        <w:rPr>
          <w:lang w:val="es-ES_tradnl"/>
        </w:rPr>
        <w:t xml:space="preserve">dB, </w:t>
      </w:r>
      <w:r>
        <w:rPr>
          <w:bCs/>
          <w:i/>
          <w:iCs/>
        </w:rPr>
        <w:t>В</w:t>
      </w:r>
      <w:r>
        <w:rPr>
          <w:bCs/>
          <w:i/>
          <w:iCs/>
          <w:vertAlign w:val="subscript"/>
        </w:rPr>
        <w:t>ох</w:t>
      </w:r>
      <w:r w:rsidRPr="005010A3">
        <w:rPr>
          <w:bCs/>
          <w:lang w:val="es-ES_tradnl"/>
        </w:rPr>
        <w:t>,</w:t>
      </w:r>
      <w:r w:rsidRPr="005010A3">
        <w:rPr>
          <w:lang w:val="es-ES_tradnl"/>
        </w:rPr>
        <w:t xml:space="preserve"> es igual a </w:t>
      </w:r>
      <w:r>
        <w:rPr>
          <w:bCs/>
          <w:i/>
          <w:iCs/>
        </w:rPr>
        <w:t>В</w:t>
      </w:r>
      <w:r w:rsidRPr="005010A3">
        <w:rPr>
          <w:bCs/>
          <w:i/>
          <w:iCs/>
          <w:vertAlign w:val="subscript"/>
          <w:lang w:val="es-ES_tradnl"/>
        </w:rPr>
        <w:t>m</w:t>
      </w:r>
      <w:r w:rsidRPr="005010A3">
        <w:rPr>
          <w:bCs/>
          <w:lang w:val="es-ES_tradnl"/>
        </w:rPr>
        <w:t xml:space="preserve"> y no a </w:t>
      </w:r>
      <w:r w:rsidRPr="005010A3">
        <w:rPr>
          <w:bCs/>
          <w:i/>
          <w:lang w:val="es-ES_tradnl"/>
        </w:rPr>
        <w:t>B</w:t>
      </w:r>
      <w:r>
        <w:rPr>
          <w:bCs/>
          <w:vertAlign w:val="subscript"/>
        </w:rPr>
        <w:t>Σ</w:t>
      </w:r>
      <w:r w:rsidRPr="005010A3">
        <w:rPr>
          <w:bCs/>
          <w:i/>
          <w:iCs/>
          <w:vertAlign w:val="subscript"/>
          <w:lang w:val="es-ES_tradnl"/>
        </w:rPr>
        <w:t>.</w:t>
      </w:r>
    </w:p>
    <w:p w14:paraId="242F4E53" w14:textId="77777777" w:rsidR="00944DAA" w:rsidRPr="005010A3" w:rsidRDefault="00944DAA" w:rsidP="00652033">
      <w:pPr>
        <w:rPr>
          <w:color w:val="000000"/>
          <w:lang w:val="es-ES_tradnl"/>
        </w:rPr>
      </w:pPr>
      <w:r w:rsidRPr="005010A3">
        <w:rPr>
          <w:lang w:val="es-ES_tradnl" w:eastAsia="ko-KR"/>
        </w:rPr>
        <w:t xml:space="preserve">En caso de dudas sobre si los espectros </w:t>
      </w:r>
      <w:r w:rsidRPr="005010A3">
        <w:rPr>
          <w:lang w:val="es-ES_tradnl"/>
        </w:rPr>
        <w:t>1 y 2 pertenecen a señales interferentes, los transmisores que causan la interferencia pueden determinarse utilizando un dispositivo medidor de correlación de dos canales con un pequeño valor del factor de correlación mutua entre la señal correspondiente a un espectro de la emisión considerada y la señal de la interferencia potencial (§ 4.</w:t>
      </w:r>
      <w:r w:rsidR="00652033">
        <w:rPr>
          <w:lang w:val="es-ES_tradnl"/>
        </w:rPr>
        <w:t>4.5.4, 4.8.5.5 y 4.8.5.6)</w:t>
      </w:r>
      <w:r w:rsidRPr="005010A3">
        <w:rPr>
          <w:lang w:val="es-ES_tradnl"/>
        </w:rPr>
        <w:t xml:space="preserve"> del Manual del UIT-R – Comprobación técnica del espectro (Edición de 20</w:t>
      </w:r>
      <w:r w:rsidR="00652033">
        <w:rPr>
          <w:lang w:val="es-ES_tradnl"/>
        </w:rPr>
        <w:t>11</w:t>
      </w:r>
      <w:r w:rsidRPr="005010A3">
        <w:rPr>
          <w:lang w:val="es-ES_tradnl"/>
        </w:rPr>
        <w:t>).</w:t>
      </w:r>
    </w:p>
    <w:p w14:paraId="45DC88D7" w14:textId="77777777" w:rsidR="00944DAA" w:rsidRDefault="00944DAA" w:rsidP="00944DAA">
      <w:pPr>
        <w:rPr>
          <w:bCs/>
          <w:lang w:val="es-ES_tradnl"/>
        </w:rPr>
      </w:pPr>
      <w:r w:rsidRPr="005010A3">
        <w:rPr>
          <w:iCs/>
          <w:lang w:val="es-ES_tradnl"/>
        </w:rPr>
        <w:t xml:space="preserve">Incluso en el caso del enmascaramiento del borde de la anchura de banda entre puntos a </w:t>
      </w:r>
      <w:r>
        <w:rPr>
          <w:i/>
        </w:rPr>
        <w:t>х</w:t>
      </w:r>
      <w:r w:rsidRPr="005010A3">
        <w:rPr>
          <w:i/>
          <w:lang w:val="es-ES_tradnl"/>
        </w:rPr>
        <w:t> </w:t>
      </w:r>
      <w:r w:rsidRPr="005010A3">
        <w:rPr>
          <w:lang w:val="es-ES_tradnl"/>
        </w:rPr>
        <w:t>dB por un espectro interferente, como muestra la Fig. </w:t>
      </w:r>
      <w:r w:rsidRPr="005010A3">
        <w:rPr>
          <w:rFonts w:hint="eastAsia"/>
          <w:lang w:val="es-ES_tradnl" w:eastAsia="ko-KR"/>
        </w:rPr>
        <w:t>5</w:t>
      </w:r>
      <w:r w:rsidRPr="005010A3">
        <w:rPr>
          <w:lang w:val="es-ES_tradnl"/>
        </w:rPr>
        <w:t xml:space="preserve"> (espectro 3), si el espectro de la señal deseada es simétrico, como sucede en la mayoría de los casos, puede realizarse una estimación del valor de la anchura de banda basándose en la semianchura del espectro; es decir, </w:t>
      </w:r>
      <w:r>
        <w:rPr>
          <w:bCs/>
          <w:i/>
          <w:iCs/>
        </w:rPr>
        <w:t>В</w:t>
      </w:r>
      <w:r>
        <w:rPr>
          <w:bCs/>
          <w:i/>
          <w:iCs/>
          <w:vertAlign w:val="subscript"/>
        </w:rPr>
        <w:t>ох</w:t>
      </w:r>
      <w:r w:rsidRPr="005010A3">
        <w:rPr>
          <w:lang w:val="es-ES_tradnl"/>
        </w:rPr>
        <w:t> </w:t>
      </w:r>
      <w:r w:rsidRPr="005010A3">
        <w:rPr>
          <w:bCs/>
          <w:i/>
          <w:iCs/>
          <w:lang w:val="es-ES_tradnl"/>
        </w:rPr>
        <w:t>=</w:t>
      </w:r>
      <w:r w:rsidRPr="005010A3">
        <w:rPr>
          <w:lang w:val="es-ES_tradnl"/>
        </w:rPr>
        <w:t> </w:t>
      </w:r>
      <w:r w:rsidRPr="005010A3">
        <w:rPr>
          <w:bCs/>
          <w:lang w:val="es-ES_tradnl"/>
        </w:rPr>
        <w:t>2 </w:t>
      </w:r>
      <w:r>
        <w:rPr>
          <w:bCs/>
          <w:i/>
          <w:iCs/>
        </w:rPr>
        <w:t>В</w:t>
      </w:r>
      <w:r w:rsidRPr="005010A3">
        <w:rPr>
          <w:bCs/>
          <w:i/>
          <w:iCs/>
          <w:vertAlign w:val="subscript"/>
          <w:lang w:val="es-ES_tradnl"/>
        </w:rPr>
        <w:t>k</w:t>
      </w:r>
      <w:r w:rsidRPr="005010A3">
        <w:rPr>
          <w:bCs/>
          <w:lang w:val="es-ES_tradnl"/>
        </w:rPr>
        <w:t>.</w:t>
      </w:r>
    </w:p>
    <w:p w14:paraId="387A6CE8" w14:textId="77777777" w:rsidR="00944DAA" w:rsidRPr="005010A3" w:rsidRDefault="00944DAA" w:rsidP="00944DAA">
      <w:pPr>
        <w:rPr>
          <w:lang w:val="es-ES_tradnl"/>
        </w:rPr>
      </w:pPr>
      <w:r w:rsidRPr="005010A3">
        <w:rPr>
          <w:lang w:val="es-ES_tradnl"/>
        </w:rPr>
        <w:t>Es lógico que en las mediciones realizadas en condiciones de influencia de las interferencias aparezcan más errores que en las mediciones realizadas en ausencia de interferencia. No obstante, las estimaciones obtenidas en algunos casos son bastante adecuadas para aplicaciones prácticas.</w:t>
      </w:r>
    </w:p>
    <w:p w14:paraId="4BB0E117" w14:textId="77777777" w:rsidR="00944DAA" w:rsidRPr="005010A3" w:rsidRDefault="00944DAA" w:rsidP="00944DAA">
      <w:pPr>
        <w:rPr>
          <w:bCs/>
          <w:color w:val="000000"/>
          <w:lang w:val="es-ES_tradnl"/>
        </w:rPr>
      </w:pPr>
    </w:p>
    <w:p w14:paraId="5BB7FCE8" w14:textId="77777777" w:rsidR="005010A3" w:rsidRDefault="00DC02B3" w:rsidP="00307FF5">
      <w:pPr>
        <w:pStyle w:val="FigureNo"/>
        <w:rPr>
          <w:lang w:eastAsia="ko-KR"/>
        </w:rPr>
      </w:pPr>
      <w:r>
        <w:object w:dxaOrig="6277" w:dyaOrig="5244" w14:anchorId="699F4832">
          <v:shape id="_x0000_i1028" type="#_x0000_t75" style="width:314pt;height:262pt" o:ole="" o:allowoverlap="f">
            <v:imagedata r:id="rId19" o:title=""/>
          </v:shape>
          <o:OLEObject Type="Embed" ProgID="CorelDraw.Graphic.12" ShapeID="_x0000_i1028" DrawAspect="Content" ObjectID="_1652586198" r:id="rId20"/>
        </w:object>
      </w:r>
    </w:p>
    <w:p w14:paraId="3C6E2A0C" w14:textId="77777777" w:rsidR="006A243D" w:rsidRDefault="006A243D" w:rsidP="00307FF5">
      <w:pPr>
        <w:pStyle w:val="Normalaftertitle"/>
        <w:rPr>
          <w:lang w:val="es-ES_tradnl" w:eastAsia="ko-KR"/>
        </w:rPr>
      </w:pPr>
    </w:p>
    <w:p w14:paraId="694FD910" w14:textId="77777777" w:rsidR="005010A3" w:rsidRDefault="00DC02B3" w:rsidP="00307FF5">
      <w:pPr>
        <w:pStyle w:val="FigureNo"/>
      </w:pPr>
      <w:r>
        <w:object w:dxaOrig="5681" w:dyaOrig="5433" w14:anchorId="1EA1A04D">
          <v:shape id="_x0000_i1029" type="#_x0000_t75" style="width:284.5pt;height:271pt" o:ole="" o:allowoverlap="f">
            <v:imagedata r:id="rId21" o:title=""/>
          </v:shape>
          <o:OLEObject Type="Embed" ProgID="CorelDraw.Graphic.12" ShapeID="_x0000_i1029" DrawAspect="Content" ObjectID="_1652586199" r:id="rId22"/>
        </w:object>
      </w:r>
    </w:p>
    <w:p w14:paraId="37471853" w14:textId="77777777" w:rsidR="005010A3" w:rsidRDefault="005010A3" w:rsidP="005010A3">
      <w:pPr>
        <w:rPr>
          <w:lang w:val="es-ES_tradnl"/>
        </w:rPr>
      </w:pPr>
    </w:p>
    <w:p w14:paraId="3D7CF601" w14:textId="77777777" w:rsidR="00944DAA" w:rsidRDefault="00944DAA" w:rsidP="005010A3">
      <w:pPr>
        <w:rPr>
          <w:lang w:val="es-ES_tradnl"/>
        </w:rPr>
      </w:pPr>
    </w:p>
    <w:p w14:paraId="7DF653A2" w14:textId="77777777" w:rsidR="00944DAA" w:rsidRDefault="00944DAA" w:rsidP="00944DAA">
      <w:pPr>
        <w:rPr>
          <w:lang w:val="es-ES_tradnl"/>
        </w:rPr>
      </w:pPr>
    </w:p>
    <w:p w14:paraId="6DF374CC" w14:textId="77777777" w:rsidR="005010A3" w:rsidRPr="005010A3" w:rsidRDefault="005010A3" w:rsidP="00DC02B3">
      <w:pPr>
        <w:pStyle w:val="AnnexNoTitle"/>
        <w:rPr>
          <w:lang w:val="es-ES_tradnl"/>
        </w:rPr>
      </w:pPr>
      <w:bookmarkStart w:id="25" w:name="_Toc105920546"/>
      <w:bookmarkStart w:id="26" w:name="_Toc107985155"/>
      <w:r w:rsidRPr="005010A3">
        <w:rPr>
          <w:lang w:val="es-ES_tradnl"/>
        </w:rPr>
        <w:t>Anexo 3</w:t>
      </w:r>
      <w:r w:rsidRPr="005010A3">
        <w:rPr>
          <w:lang w:val="es-ES_tradnl"/>
        </w:rPr>
        <w:br/>
      </w:r>
      <w:r w:rsidRPr="005010A3">
        <w:rPr>
          <w:lang w:val="es-ES_tradnl"/>
        </w:rPr>
        <w:br/>
        <w:t>Estimación de la anchura de banda ocupada</w:t>
      </w:r>
      <w:r w:rsidRPr="005010A3">
        <w:rPr>
          <w:lang w:val="es-ES_tradnl"/>
        </w:rPr>
        <w:br/>
        <w:t>utilizando el método de </w:t>
      </w:r>
      <w:r w:rsidRPr="005010A3">
        <w:rPr>
          <w:i/>
          <w:iCs/>
          <w:lang w:val="es-ES_tradnl"/>
        </w:rPr>
        <w:t>x </w:t>
      </w:r>
      <w:r w:rsidRPr="005010A3">
        <w:rPr>
          <w:lang w:val="es-ES_tradnl"/>
        </w:rPr>
        <w:t>dB</w:t>
      </w:r>
      <w:bookmarkEnd w:id="25"/>
      <w:bookmarkEnd w:id="26"/>
    </w:p>
    <w:p w14:paraId="2FD49532" w14:textId="77777777" w:rsidR="005010A3" w:rsidRPr="005010A3" w:rsidRDefault="005010A3" w:rsidP="005010A3">
      <w:pPr>
        <w:pStyle w:val="Heading1"/>
        <w:rPr>
          <w:lang w:val="es-ES_tradnl"/>
        </w:rPr>
      </w:pPr>
      <w:bookmarkStart w:id="27" w:name="_Toc105920547"/>
      <w:bookmarkStart w:id="28" w:name="_Toc107985156"/>
      <w:r w:rsidRPr="005010A3">
        <w:rPr>
          <w:lang w:val="es-ES_tradnl"/>
        </w:rPr>
        <w:t>1</w:t>
      </w:r>
      <w:r w:rsidRPr="005010A3">
        <w:rPr>
          <w:lang w:val="es-ES_tradnl"/>
        </w:rPr>
        <w:tab/>
        <w:t>Introducción</w:t>
      </w:r>
      <w:bookmarkEnd w:id="27"/>
      <w:bookmarkEnd w:id="28"/>
    </w:p>
    <w:p w14:paraId="096C65FA" w14:textId="77777777" w:rsidR="005010A3" w:rsidRPr="005010A3" w:rsidRDefault="005010A3" w:rsidP="005010A3">
      <w:pPr>
        <w:rPr>
          <w:lang w:val="es-ES_tradnl"/>
        </w:rPr>
      </w:pPr>
      <w:r w:rsidRPr="005010A3">
        <w:rPr>
          <w:lang w:val="es-ES_tradnl"/>
        </w:rPr>
        <w:t xml:space="preserve">En las siguientes situaciones, no puede aplicarse el método de </w:t>
      </w:r>
      <w:r>
        <w:t>β</w:t>
      </w:r>
      <w:r w:rsidRPr="005010A3">
        <w:rPr>
          <w:lang w:val="es-ES_tradnl"/>
        </w:rPr>
        <w:t>% para medir directamente la anchura de banda ocupada:</w:t>
      </w:r>
    </w:p>
    <w:p w14:paraId="1E90CDE3" w14:textId="77777777" w:rsidR="005010A3" w:rsidRPr="005010A3" w:rsidRDefault="005010A3" w:rsidP="005010A3">
      <w:pPr>
        <w:pStyle w:val="enumlev1"/>
        <w:rPr>
          <w:lang w:val="es-ES_tradnl"/>
        </w:rPr>
      </w:pPr>
      <w:r w:rsidRPr="005010A3">
        <w:rPr>
          <w:lang w:val="es-ES_tradnl"/>
        </w:rPr>
        <w:t>–</w:t>
      </w:r>
      <w:r w:rsidRPr="005010A3">
        <w:rPr>
          <w:lang w:val="es-ES_tradnl"/>
        </w:rPr>
        <w:tab/>
        <w:t>interferencia dentro de banda con niveles superiores al de la señal deseada;</w:t>
      </w:r>
    </w:p>
    <w:p w14:paraId="34373B6E" w14:textId="77777777" w:rsidR="005010A3" w:rsidRPr="005010A3" w:rsidRDefault="005010A3" w:rsidP="005010A3">
      <w:pPr>
        <w:pStyle w:val="enumlev1"/>
        <w:rPr>
          <w:lang w:val="es-ES_tradnl"/>
        </w:rPr>
      </w:pPr>
      <w:r w:rsidRPr="005010A3">
        <w:rPr>
          <w:lang w:val="es-ES_tradnl"/>
        </w:rPr>
        <w:t>–</w:t>
      </w:r>
      <w:r w:rsidRPr="005010A3">
        <w:rPr>
          <w:lang w:val="es-ES_tradnl"/>
        </w:rPr>
        <w:tab/>
        <w:t xml:space="preserve">no se dispone </w:t>
      </w:r>
      <w:r w:rsidR="006A243D">
        <w:rPr>
          <w:lang w:val="es-ES_tradnl"/>
        </w:rPr>
        <w:t>d</w:t>
      </w:r>
      <w:r w:rsidRPr="005010A3">
        <w:rPr>
          <w:lang w:val="es-ES_tradnl"/>
        </w:rPr>
        <w:t xml:space="preserve">el equipo adecuado capaz de utilizar el método de </w:t>
      </w:r>
      <w:r>
        <w:t>β</w:t>
      </w:r>
      <w:r w:rsidRPr="005010A3">
        <w:rPr>
          <w:lang w:val="es-ES_tradnl"/>
        </w:rPr>
        <w:t>%.</w:t>
      </w:r>
    </w:p>
    <w:p w14:paraId="45EFCD1E" w14:textId="77777777" w:rsidR="005010A3" w:rsidRPr="005010A3" w:rsidRDefault="005010A3" w:rsidP="00DC02B3">
      <w:pPr>
        <w:rPr>
          <w:lang w:val="es-ES_tradnl"/>
        </w:rPr>
      </w:pPr>
      <w:r w:rsidRPr="005010A3">
        <w:rPr>
          <w:lang w:val="es-ES_tradnl"/>
        </w:rPr>
        <w:t xml:space="preserve">En estos casos, puede utilizarse el método de </w:t>
      </w:r>
      <w:r w:rsidRPr="005010A3">
        <w:rPr>
          <w:i/>
          <w:iCs/>
          <w:lang w:val="es-ES_tradnl"/>
        </w:rPr>
        <w:t>x </w:t>
      </w:r>
      <w:r w:rsidRPr="005010A3">
        <w:rPr>
          <w:lang w:val="es-ES_tradnl"/>
        </w:rPr>
        <w:t>dB descrito en el Anexo 2 para realizar una estimación de la anchura de banda ocupada.</w:t>
      </w:r>
    </w:p>
    <w:p w14:paraId="1B9CCFCB" w14:textId="77777777" w:rsidR="005010A3" w:rsidRPr="005010A3" w:rsidRDefault="005010A3" w:rsidP="00DC02B3">
      <w:pPr>
        <w:rPr>
          <w:lang w:val="es-ES_tradnl"/>
        </w:rPr>
      </w:pPr>
      <w:r w:rsidRPr="005010A3">
        <w:rPr>
          <w:lang w:val="es-ES_tradnl"/>
        </w:rPr>
        <w:t xml:space="preserve">Para estimar la anchura de banda ocupada como resultado del método de </w:t>
      </w:r>
      <w:r w:rsidRPr="005010A3">
        <w:rPr>
          <w:i/>
          <w:iCs/>
          <w:lang w:val="es-ES_tradnl"/>
        </w:rPr>
        <w:t>x </w:t>
      </w:r>
      <w:r w:rsidRPr="005010A3">
        <w:rPr>
          <w:lang w:val="es-ES_tradnl"/>
        </w:rPr>
        <w:t xml:space="preserve">dB, deben seleccionarse adecuadamente los valores para el nivel de referencia de 0 dB y para </w:t>
      </w:r>
      <w:r w:rsidRPr="005010A3">
        <w:rPr>
          <w:i/>
          <w:iCs/>
          <w:lang w:val="es-ES_tradnl"/>
        </w:rPr>
        <w:t>x</w:t>
      </w:r>
      <w:r w:rsidRPr="005010A3">
        <w:rPr>
          <w:lang w:val="es-ES_tradnl"/>
        </w:rPr>
        <w:t>.</w:t>
      </w:r>
    </w:p>
    <w:p w14:paraId="69DC54B1" w14:textId="77777777" w:rsidR="005010A3" w:rsidRPr="005010A3" w:rsidRDefault="005010A3" w:rsidP="005010A3">
      <w:pPr>
        <w:rPr>
          <w:lang w:val="es-ES_tradnl"/>
        </w:rPr>
      </w:pPr>
      <w:r w:rsidRPr="005010A3">
        <w:rPr>
          <w:lang w:val="es-ES_tradnl"/>
        </w:rPr>
        <w:t>Generalmente, existen dos enfoques distintos para comparar la anchura de banda medida con la anchura de banda necesaria u ocupada:</w:t>
      </w:r>
    </w:p>
    <w:p w14:paraId="44AA021C" w14:textId="77777777" w:rsidR="005010A3" w:rsidRPr="005010A3" w:rsidRDefault="005010A3" w:rsidP="005010A3">
      <w:pPr>
        <w:pStyle w:val="enumlev1"/>
        <w:rPr>
          <w:lang w:val="es-ES_tradnl"/>
        </w:rPr>
      </w:pPr>
      <w:r w:rsidRPr="005010A3">
        <w:rPr>
          <w:lang w:val="es-ES_tradnl"/>
        </w:rPr>
        <w:t>–</w:t>
      </w:r>
      <w:r w:rsidRPr="005010A3">
        <w:rPr>
          <w:lang w:val="es-ES_tradnl"/>
        </w:rPr>
        <w:tab/>
        <w:t>Se mide siempre la anchura de banda entre puntos a –26 dB y se aplica un factor de conversión.</w:t>
      </w:r>
    </w:p>
    <w:p w14:paraId="491FD705" w14:textId="77777777" w:rsidR="005010A3" w:rsidRPr="005010A3" w:rsidRDefault="005010A3" w:rsidP="005010A3">
      <w:pPr>
        <w:pStyle w:val="enumlev1"/>
        <w:rPr>
          <w:lang w:val="es-ES_tradnl"/>
        </w:rPr>
      </w:pPr>
      <w:r w:rsidRPr="005010A3">
        <w:rPr>
          <w:lang w:val="es-ES_tradnl"/>
        </w:rPr>
        <w:t>–</w:t>
      </w:r>
      <w:r w:rsidRPr="005010A3">
        <w:rPr>
          <w:lang w:val="es-ES_tradnl"/>
        </w:rPr>
        <w:tab/>
        <w:t xml:space="preserve">Se mide la señal para valores específicos de </w:t>
      </w:r>
      <w:r w:rsidRPr="005010A3">
        <w:rPr>
          <w:i/>
          <w:lang w:val="es-ES_tradnl"/>
        </w:rPr>
        <w:t>x</w:t>
      </w:r>
      <w:r w:rsidRPr="005010A3">
        <w:rPr>
          <w:iCs/>
          <w:lang w:val="es-ES_tradnl"/>
        </w:rPr>
        <w:t> dB</w:t>
      </w:r>
      <w:r w:rsidRPr="005010A3">
        <w:rPr>
          <w:lang w:val="es-ES_tradnl"/>
        </w:rPr>
        <w:t xml:space="preserve"> que son distintos para cada clase de emisión.</w:t>
      </w:r>
    </w:p>
    <w:p w14:paraId="6588B567" w14:textId="77777777" w:rsidR="005010A3" w:rsidRPr="005010A3" w:rsidRDefault="005010A3" w:rsidP="005010A3">
      <w:pPr>
        <w:pStyle w:val="Heading1"/>
        <w:rPr>
          <w:lang w:val="es-ES_tradnl"/>
        </w:rPr>
      </w:pPr>
      <w:bookmarkStart w:id="29" w:name="_Toc105920548"/>
      <w:bookmarkStart w:id="30" w:name="_Toc107985157"/>
      <w:r w:rsidRPr="005010A3">
        <w:rPr>
          <w:lang w:val="es-ES_tradnl"/>
        </w:rPr>
        <w:t>2</w:t>
      </w:r>
      <w:r w:rsidRPr="005010A3">
        <w:rPr>
          <w:lang w:val="es-ES_tradnl"/>
        </w:rPr>
        <w:tab/>
        <w:t>Estimación de la anchura de banda ocupada a partir de la anchura de banda entre puntos a –26 dB</w:t>
      </w:r>
      <w:bookmarkEnd w:id="29"/>
      <w:bookmarkEnd w:id="30"/>
    </w:p>
    <w:p w14:paraId="48A42169" w14:textId="77777777" w:rsidR="005010A3" w:rsidRDefault="005010A3" w:rsidP="008E2F15">
      <w:pPr>
        <w:rPr>
          <w:lang w:val="es-ES_tradnl"/>
        </w:rPr>
      </w:pPr>
      <w:r w:rsidRPr="005010A3">
        <w:rPr>
          <w:lang w:val="es-ES_tradnl"/>
        </w:rPr>
        <w:t xml:space="preserve">Con este método, la anchura de banda se mide siempre en puntos a –26 dB siguiendo el procedimiento del Anexo 2. Para estimar la anchura de banda ocupada o la anchura de banda necesaria deben utilizarse los factores de conversión entre la anchura de banda entre puntos a 26 dB, </w:t>
      </w:r>
      <w:r w:rsidRPr="005010A3">
        <w:rPr>
          <w:i/>
          <w:lang w:val="es-ES_tradnl"/>
        </w:rPr>
        <w:t>B</w:t>
      </w:r>
      <w:r w:rsidRPr="005010A3">
        <w:rPr>
          <w:vertAlign w:val="subscript"/>
          <w:lang w:val="es-ES_tradnl"/>
        </w:rPr>
        <w:t>26</w:t>
      </w:r>
      <w:r w:rsidRPr="005010A3">
        <w:rPr>
          <w:lang w:val="es-ES_tradnl"/>
        </w:rPr>
        <w:t xml:space="preserve">, y la anchura de banda necesaria, </w:t>
      </w:r>
      <w:r w:rsidRPr="005010A3">
        <w:rPr>
          <w:i/>
          <w:lang w:val="es-ES_tradnl"/>
        </w:rPr>
        <w:t>B</w:t>
      </w:r>
      <w:r w:rsidRPr="005010A3">
        <w:rPr>
          <w:i/>
          <w:vertAlign w:val="subscript"/>
          <w:lang w:val="es-ES_tradnl"/>
        </w:rPr>
        <w:t>n</w:t>
      </w:r>
      <w:r w:rsidRPr="005010A3">
        <w:rPr>
          <w:lang w:val="es-ES_tradnl"/>
        </w:rPr>
        <w:t>, que figuran en el Cuadro 1.</w:t>
      </w:r>
    </w:p>
    <w:p w14:paraId="5BA28FAF" w14:textId="77777777" w:rsidR="000B4D5D" w:rsidRPr="00652033" w:rsidRDefault="000B4D5D" w:rsidP="000B4D5D">
      <w:pPr>
        <w:pStyle w:val="Blanc"/>
        <w:rPr>
          <w:lang w:val="es-ES_tradnl"/>
        </w:rPr>
      </w:pPr>
    </w:p>
    <w:p w14:paraId="066F24EA" w14:textId="77777777" w:rsidR="005010A3" w:rsidRDefault="005010A3" w:rsidP="005010A3">
      <w:pPr>
        <w:pStyle w:val="TableNo"/>
      </w:pPr>
      <w:r>
        <w:t>CUADRO 1</w:t>
      </w:r>
    </w:p>
    <w:tbl>
      <w:tblPr>
        <w:tblW w:w="0" w:type="auto"/>
        <w:jc w:val="center"/>
        <w:tblLayout w:type="fixed"/>
        <w:tblLook w:val="0000" w:firstRow="0" w:lastRow="0" w:firstColumn="0" w:lastColumn="0" w:noHBand="0" w:noVBand="0"/>
      </w:tblPr>
      <w:tblGrid>
        <w:gridCol w:w="2570"/>
        <w:gridCol w:w="3256"/>
      </w:tblGrid>
      <w:tr w:rsidR="005010A3" w:rsidRPr="00652033" w14:paraId="330CAE33" w14:textId="77777777" w:rsidTr="00DC02B3">
        <w:trPr>
          <w:cantSplit/>
          <w:jc w:val="center"/>
        </w:trPr>
        <w:tc>
          <w:tcPr>
            <w:tcW w:w="2570" w:type="dxa"/>
            <w:tcBorders>
              <w:top w:val="single" w:sz="6" w:space="0" w:color="auto"/>
              <w:left w:val="single" w:sz="6" w:space="0" w:color="auto"/>
              <w:bottom w:val="single" w:sz="6" w:space="0" w:color="auto"/>
              <w:right w:val="single" w:sz="6" w:space="0" w:color="auto"/>
            </w:tcBorders>
          </w:tcPr>
          <w:p w14:paraId="70E7CD8B" w14:textId="77777777" w:rsidR="005010A3" w:rsidRDefault="005010A3" w:rsidP="00D34516">
            <w:pPr>
              <w:pStyle w:val="Tablehead"/>
            </w:pPr>
            <w:r>
              <w:t>Clase de emisión</w:t>
            </w:r>
          </w:p>
        </w:tc>
        <w:tc>
          <w:tcPr>
            <w:tcW w:w="3256" w:type="dxa"/>
            <w:tcBorders>
              <w:top w:val="single" w:sz="6" w:space="0" w:color="auto"/>
              <w:left w:val="single" w:sz="6" w:space="0" w:color="auto"/>
              <w:bottom w:val="single" w:sz="6" w:space="0" w:color="auto"/>
              <w:right w:val="single" w:sz="6" w:space="0" w:color="auto"/>
            </w:tcBorders>
          </w:tcPr>
          <w:p w14:paraId="07C5319B" w14:textId="77777777" w:rsidR="005010A3" w:rsidRPr="005010A3" w:rsidRDefault="005010A3" w:rsidP="00D34516">
            <w:pPr>
              <w:pStyle w:val="Tablehead"/>
              <w:rPr>
                <w:lang w:val="es-ES_tradnl"/>
              </w:rPr>
            </w:pPr>
            <w:r w:rsidRPr="005010A3">
              <w:rPr>
                <w:lang w:val="es-ES_tradnl"/>
              </w:rPr>
              <w:t xml:space="preserve">Relación entre </w:t>
            </w:r>
            <w:r w:rsidRPr="005010A3">
              <w:rPr>
                <w:i/>
                <w:lang w:val="es-ES_tradnl"/>
              </w:rPr>
              <w:t>B</w:t>
            </w:r>
            <w:r w:rsidRPr="005010A3">
              <w:rPr>
                <w:vertAlign w:val="subscript"/>
                <w:lang w:val="es-ES_tradnl"/>
              </w:rPr>
              <w:t>26</w:t>
            </w:r>
            <w:r w:rsidRPr="005010A3">
              <w:rPr>
                <w:lang w:val="es-ES_tradnl"/>
              </w:rPr>
              <w:t xml:space="preserve"> y </w:t>
            </w:r>
            <w:r w:rsidRPr="005010A3">
              <w:rPr>
                <w:i/>
                <w:lang w:val="es-ES_tradnl"/>
              </w:rPr>
              <w:t>B</w:t>
            </w:r>
            <w:r w:rsidRPr="005010A3">
              <w:rPr>
                <w:i/>
                <w:vertAlign w:val="subscript"/>
                <w:lang w:val="es-ES_tradnl"/>
              </w:rPr>
              <w:t>n</w:t>
            </w:r>
          </w:p>
        </w:tc>
      </w:tr>
      <w:tr w:rsidR="005010A3" w14:paraId="7CF04775" w14:textId="77777777" w:rsidTr="00DC02B3">
        <w:trPr>
          <w:cantSplit/>
          <w:jc w:val="center"/>
        </w:trPr>
        <w:tc>
          <w:tcPr>
            <w:tcW w:w="2570" w:type="dxa"/>
            <w:tcBorders>
              <w:top w:val="single" w:sz="6" w:space="0" w:color="auto"/>
              <w:left w:val="single" w:sz="6" w:space="0" w:color="auto"/>
              <w:bottom w:val="single" w:sz="6" w:space="0" w:color="auto"/>
              <w:right w:val="single" w:sz="6" w:space="0" w:color="auto"/>
            </w:tcBorders>
          </w:tcPr>
          <w:p w14:paraId="0883986C" w14:textId="77777777" w:rsidR="005010A3" w:rsidRDefault="005010A3" w:rsidP="00D34516">
            <w:pPr>
              <w:pStyle w:val="Tabletext"/>
              <w:rPr>
                <w:lang w:val="en-US"/>
              </w:rPr>
            </w:pPr>
            <w:r>
              <w:rPr>
                <w:lang w:val="en-US"/>
              </w:rPr>
              <w:t>A1A, A1B, A2A, A2B</w:t>
            </w:r>
          </w:p>
        </w:tc>
        <w:tc>
          <w:tcPr>
            <w:tcW w:w="3256" w:type="dxa"/>
            <w:tcBorders>
              <w:top w:val="single" w:sz="6" w:space="0" w:color="auto"/>
              <w:left w:val="single" w:sz="6" w:space="0" w:color="auto"/>
              <w:bottom w:val="single" w:sz="6" w:space="0" w:color="auto"/>
              <w:right w:val="single" w:sz="6" w:space="0" w:color="auto"/>
            </w:tcBorders>
          </w:tcPr>
          <w:p w14:paraId="3B7B1C0F" w14:textId="77777777" w:rsidR="005010A3" w:rsidRDefault="005010A3" w:rsidP="00D34516">
            <w:pPr>
              <w:pStyle w:val="Tabletext"/>
              <w:rPr>
                <w:lang w:val="en-US"/>
              </w:rPr>
            </w:pPr>
            <w:r>
              <w:rPr>
                <w:i/>
                <w:iCs/>
                <w:lang w:val="en-US"/>
              </w:rPr>
              <w:t>B</w:t>
            </w:r>
            <w:r>
              <w:rPr>
                <w:vertAlign w:val="subscript"/>
                <w:lang w:val="en-US"/>
              </w:rPr>
              <w:t>26</w:t>
            </w:r>
            <w:r>
              <w:rPr>
                <w:lang w:val="en-US"/>
              </w:rPr>
              <w:t xml:space="preserve"> = 0,9 </w:t>
            </w:r>
            <w:r>
              <w:rPr>
                <w:i/>
                <w:iCs/>
                <w:lang w:val="en-US"/>
              </w:rPr>
              <w:t>B</w:t>
            </w:r>
            <w:r>
              <w:rPr>
                <w:i/>
                <w:iCs/>
                <w:vertAlign w:val="subscript"/>
                <w:lang w:val="en-US"/>
              </w:rPr>
              <w:t>n</w:t>
            </w:r>
          </w:p>
        </w:tc>
      </w:tr>
      <w:tr w:rsidR="005010A3" w14:paraId="70A65BCB" w14:textId="77777777" w:rsidTr="00DC02B3">
        <w:trPr>
          <w:cantSplit/>
          <w:jc w:val="center"/>
        </w:trPr>
        <w:tc>
          <w:tcPr>
            <w:tcW w:w="2570" w:type="dxa"/>
            <w:tcBorders>
              <w:top w:val="single" w:sz="6" w:space="0" w:color="auto"/>
              <w:left w:val="single" w:sz="6" w:space="0" w:color="auto"/>
              <w:bottom w:val="single" w:sz="6" w:space="0" w:color="auto"/>
              <w:right w:val="single" w:sz="6" w:space="0" w:color="auto"/>
            </w:tcBorders>
          </w:tcPr>
          <w:p w14:paraId="28F255CE" w14:textId="77777777" w:rsidR="005010A3" w:rsidRDefault="005010A3" w:rsidP="00D34516">
            <w:pPr>
              <w:pStyle w:val="Tabletext"/>
              <w:rPr>
                <w:lang w:val="en-US"/>
              </w:rPr>
            </w:pPr>
            <w:r>
              <w:rPr>
                <w:lang w:val="en-US"/>
              </w:rPr>
              <w:t>F1B</w:t>
            </w:r>
          </w:p>
        </w:tc>
        <w:tc>
          <w:tcPr>
            <w:tcW w:w="3256" w:type="dxa"/>
            <w:tcBorders>
              <w:top w:val="single" w:sz="6" w:space="0" w:color="auto"/>
              <w:left w:val="single" w:sz="6" w:space="0" w:color="auto"/>
              <w:bottom w:val="single" w:sz="6" w:space="0" w:color="auto"/>
              <w:right w:val="single" w:sz="6" w:space="0" w:color="auto"/>
            </w:tcBorders>
          </w:tcPr>
          <w:p w14:paraId="73D294E0" w14:textId="77777777" w:rsidR="005010A3" w:rsidRDefault="005010A3" w:rsidP="00D34516">
            <w:pPr>
              <w:pStyle w:val="Tabletext"/>
              <w:rPr>
                <w:lang w:val="en-US"/>
              </w:rPr>
            </w:pPr>
            <w:r>
              <w:rPr>
                <w:i/>
                <w:iCs/>
                <w:lang w:val="en-US"/>
              </w:rPr>
              <w:t>B</w:t>
            </w:r>
            <w:r>
              <w:rPr>
                <w:vertAlign w:val="subscript"/>
                <w:lang w:val="en-US"/>
              </w:rPr>
              <w:t>26</w:t>
            </w:r>
            <w:r>
              <w:rPr>
                <w:lang w:val="en-US"/>
              </w:rPr>
              <w:t xml:space="preserve"> = </w:t>
            </w:r>
            <w:r>
              <w:rPr>
                <w:i/>
                <w:iCs/>
                <w:lang w:val="en-US"/>
              </w:rPr>
              <w:t>B</w:t>
            </w:r>
            <w:r>
              <w:rPr>
                <w:i/>
                <w:iCs/>
                <w:vertAlign w:val="subscript"/>
                <w:lang w:val="en-US"/>
              </w:rPr>
              <w:t>n</w:t>
            </w:r>
          </w:p>
        </w:tc>
      </w:tr>
      <w:tr w:rsidR="005010A3" w14:paraId="63923BF8" w14:textId="77777777" w:rsidTr="00DC02B3">
        <w:trPr>
          <w:cantSplit/>
          <w:jc w:val="center"/>
        </w:trPr>
        <w:tc>
          <w:tcPr>
            <w:tcW w:w="2570" w:type="dxa"/>
            <w:tcBorders>
              <w:top w:val="single" w:sz="6" w:space="0" w:color="auto"/>
              <w:left w:val="single" w:sz="6" w:space="0" w:color="auto"/>
              <w:bottom w:val="single" w:sz="6" w:space="0" w:color="auto"/>
              <w:right w:val="single" w:sz="6" w:space="0" w:color="auto"/>
            </w:tcBorders>
          </w:tcPr>
          <w:p w14:paraId="391C75DB" w14:textId="77777777" w:rsidR="005010A3" w:rsidRDefault="005010A3" w:rsidP="00D34516">
            <w:pPr>
              <w:pStyle w:val="Tabletext"/>
              <w:rPr>
                <w:lang w:val="en-US"/>
              </w:rPr>
            </w:pPr>
            <w:r>
              <w:rPr>
                <w:lang w:val="en-US"/>
              </w:rPr>
              <w:t>F3C</w:t>
            </w:r>
          </w:p>
        </w:tc>
        <w:tc>
          <w:tcPr>
            <w:tcW w:w="3256" w:type="dxa"/>
            <w:tcBorders>
              <w:top w:val="single" w:sz="6" w:space="0" w:color="auto"/>
              <w:left w:val="single" w:sz="6" w:space="0" w:color="auto"/>
              <w:bottom w:val="single" w:sz="6" w:space="0" w:color="auto"/>
              <w:right w:val="single" w:sz="6" w:space="0" w:color="auto"/>
            </w:tcBorders>
          </w:tcPr>
          <w:p w14:paraId="13E216D2" w14:textId="77777777" w:rsidR="005010A3" w:rsidRDefault="005010A3" w:rsidP="00D34516">
            <w:pPr>
              <w:pStyle w:val="Tabletext"/>
              <w:rPr>
                <w:lang w:val="en-US"/>
              </w:rPr>
            </w:pPr>
            <w:r>
              <w:rPr>
                <w:i/>
                <w:iCs/>
                <w:lang w:val="en-US"/>
              </w:rPr>
              <w:t>B</w:t>
            </w:r>
            <w:r>
              <w:rPr>
                <w:vertAlign w:val="subscript"/>
                <w:lang w:val="en-US"/>
              </w:rPr>
              <w:t>26</w:t>
            </w:r>
            <w:r>
              <w:rPr>
                <w:lang w:val="en-US"/>
              </w:rPr>
              <w:t xml:space="preserve"> = </w:t>
            </w:r>
            <w:r>
              <w:rPr>
                <w:i/>
                <w:iCs/>
                <w:lang w:val="en-US"/>
              </w:rPr>
              <w:t>B</w:t>
            </w:r>
            <w:r>
              <w:rPr>
                <w:i/>
                <w:iCs/>
                <w:vertAlign w:val="subscript"/>
                <w:lang w:val="en-US"/>
              </w:rPr>
              <w:t>n</w:t>
            </w:r>
          </w:p>
        </w:tc>
      </w:tr>
      <w:tr w:rsidR="005010A3" w14:paraId="36A54DB4" w14:textId="77777777" w:rsidTr="00DC02B3">
        <w:trPr>
          <w:cantSplit/>
          <w:jc w:val="center"/>
        </w:trPr>
        <w:tc>
          <w:tcPr>
            <w:tcW w:w="2570" w:type="dxa"/>
            <w:tcBorders>
              <w:top w:val="single" w:sz="6" w:space="0" w:color="auto"/>
              <w:left w:val="single" w:sz="6" w:space="0" w:color="auto"/>
              <w:bottom w:val="single" w:sz="6" w:space="0" w:color="auto"/>
              <w:right w:val="single" w:sz="6" w:space="0" w:color="auto"/>
            </w:tcBorders>
          </w:tcPr>
          <w:p w14:paraId="7C139672" w14:textId="77777777" w:rsidR="005010A3" w:rsidRDefault="005010A3" w:rsidP="00D34516">
            <w:pPr>
              <w:pStyle w:val="Tabletext"/>
              <w:rPr>
                <w:lang w:val="en-US"/>
              </w:rPr>
            </w:pPr>
            <w:r>
              <w:rPr>
                <w:lang w:val="en-US"/>
              </w:rPr>
              <w:t>F7BDX</w:t>
            </w:r>
          </w:p>
        </w:tc>
        <w:tc>
          <w:tcPr>
            <w:tcW w:w="3256" w:type="dxa"/>
            <w:tcBorders>
              <w:top w:val="single" w:sz="6" w:space="0" w:color="auto"/>
              <w:left w:val="single" w:sz="6" w:space="0" w:color="auto"/>
              <w:bottom w:val="single" w:sz="6" w:space="0" w:color="auto"/>
              <w:right w:val="single" w:sz="6" w:space="0" w:color="auto"/>
            </w:tcBorders>
          </w:tcPr>
          <w:p w14:paraId="167F8F33" w14:textId="77777777" w:rsidR="005010A3" w:rsidRDefault="005010A3" w:rsidP="00D34516">
            <w:pPr>
              <w:pStyle w:val="Tabletext"/>
            </w:pPr>
            <w:r>
              <w:rPr>
                <w:i/>
                <w:iCs/>
              </w:rPr>
              <w:t>B</w:t>
            </w:r>
            <w:r>
              <w:rPr>
                <w:vertAlign w:val="subscript"/>
              </w:rPr>
              <w:t>26</w:t>
            </w:r>
            <w:r>
              <w:t xml:space="preserve"> = 0,9 </w:t>
            </w:r>
            <w:r>
              <w:rPr>
                <w:i/>
                <w:iCs/>
              </w:rPr>
              <w:t>B</w:t>
            </w:r>
            <w:r>
              <w:rPr>
                <w:i/>
                <w:iCs/>
                <w:vertAlign w:val="subscript"/>
              </w:rPr>
              <w:t>n</w:t>
            </w:r>
          </w:p>
        </w:tc>
      </w:tr>
    </w:tbl>
    <w:p w14:paraId="7EA2B260" w14:textId="77777777" w:rsidR="000B4D5D" w:rsidRDefault="000B4D5D" w:rsidP="000B4D5D">
      <w:pPr>
        <w:pStyle w:val="Tablefin"/>
      </w:pPr>
      <w:bookmarkStart w:id="31" w:name="_Toc105920549"/>
      <w:bookmarkStart w:id="32" w:name="_Toc107985158"/>
    </w:p>
    <w:p w14:paraId="42A211B9" w14:textId="77777777" w:rsidR="005010A3" w:rsidRPr="005010A3" w:rsidRDefault="005010A3" w:rsidP="005010A3">
      <w:pPr>
        <w:pStyle w:val="Heading1"/>
        <w:rPr>
          <w:lang w:val="es-ES_tradnl"/>
        </w:rPr>
      </w:pPr>
      <w:r w:rsidRPr="005010A3">
        <w:rPr>
          <w:lang w:val="es-ES_tradnl"/>
        </w:rPr>
        <w:t>3</w:t>
      </w:r>
      <w:r w:rsidRPr="005010A3">
        <w:rPr>
          <w:lang w:val="es-ES_tradnl"/>
        </w:rPr>
        <w:tab/>
        <w:t xml:space="preserve">Estimación directa de la anchura de banda ocupada a partir de la medición de la anchura de banda entre puntos a </w:t>
      </w:r>
      <w:r w:rsidRPr="005010A3">
        <w:rPr>
          <w:i/>
          <w:lang w:val="es-ES_tradnl"/>
        </w:rPr>
        <w:t>x </w:t>
      </w:r>
      <w:r w:rsidRPr="005010A3">
        <w:rPr>
          <w:iCs/>
          <w:lang w:val="es-ES_tradnl"/>
        </w:rPr>
        <w:t>dB</w:t>
      </w:r>
      <w:bookmarkEnd w:id="31"/>
      <w:bookmarkEnd w:id="32"/>
    </w:p>
    <w:p w14:paraId="5E8EC1FE" w14:textId="77777777" w:rsidR="005010A3" w:rsidRPr="005010A3" w:rsidRDefault="005010A3" w:rsidP="00DC02B3">
      <w:pPr>
        <w:rPr>
          <w:lang w:val="es-ES_tradnl"/>
        </w:rPr>
      </w:pPr>
      <w:r w:rsidRPr="005010A3">
        <w:rPr>
          <w:lang w:val="es-ES_tradnl"/>
        </w:rPr>
        <w:t xml:space="preserve">Con este método, la anchura de banda se mide utilizando el método </w:t>
      </w:r>
      <w:r w:rsidRPr="005010A3">
        <w:rPr>
          <w:i/>
          <w:lang w:val="es-ES_tradnl"/>
        </w:rPr>
        <w:t>x </w:t>
      </w:r>
      <w:r w:rsidRPr="005010A3">
        <w:rPr>
          <w:lang w:val="es-ES_tradnl"/>
        </w:rPr>
        <w:t>dB descrito en el Anexo 2.</w:t>
      </w:r>
    </w:p>
    <w:p w14:paraId="25B51AAC" w14:textId="77777777" w:rsidR="005010A3" w:rsidRPr="005010A3" w:rsidRDefault="005010A3" w:rsidP="005010A3">
      <w:pPr>
        <w:rPr>
          <w:lang w:val="es-ES_tradnl"/>
        </w:rPr>
      </w:pPr>
      <w:r w:rsidRPr="005010A3">
        <w:rPr>
          <w:lang w:val="es-ES_tradnl"/>
        </w:rPr>
        <w:t xml:space="preserve">El nivel de referencia de 0 dB se ajusta siempre al nivel de cresta de la curva resultante. Los valores de </w:t>
      </w:r>
      <w:r w:rsidRPr="005010A3">
        <w:rPr>
          <w:i/>
          <w:lang w:val="es-ES_tradnl"/>
        </w:rPr>
        <w:t>x</w:t>
      </w:r>
      <w:r w:rsidRPr="005010A3">
        <w:rPr>
          <w:lang w:val="es-ES_tradnl"/>
        </w:rPr>
        <w:t xml:space="preserve"> deben tomarse del Cuadro 2 de acuerdo con la modulación de la señal.</w:t>
      </w:r>
    </w:p>
    <w:p w14:paraId="2FCCF374" w14:textId="77777777" w:rsidR="000B4D5D" w:rsidRPr="00652033" w:rsidRDefault="000B4D5D" w:rsidP="000B4D5D">
      <w:pPr>
        <w:pStyle w:val="Blanc"/>
        <w:rPr>
          <w:lang w:val="es-ES_tradnl"/>
        </w:rPr>
      </w:pPr>
    </w:p>
    <w:p w14:paraId="64A4811B" w14:textId="77777777" w:rsidR="005010A3" w:rsidRDefault="005010A3" w:rsidP="005010A3">
      <w:pPr>
        <w:pStyle w:val="TableNo"/>
      </w:pPr>
      <w:r>
        <w:t>CUADRO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3969"/>
        <w:gridCol w:w="3402"/>
      </w:tblGrid>
      <w:tr w:rsidR="005010A3" w14:paraId="3A813264"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vAlign w:val="center"/>
          </w:tcPr>
          <w:p w14:paraId="15F9CC17" w14:textId="77777777" w:rsidR="005010A3" w:rsidRPr="005010A3" w:rsidRDefault="005010A3" w:rsidP="00273BB8">
            <w:pPr>
              <w:pStyle w:val="Tablehead"/>
              <w:rPr>
                <w:lang w:val="es-ES_tradnl"/>
              </w:rPr>
            </w:pPr>
            <w:r w:rsidRPr="005010A3">
              <w:rPr>
                <w:lang w:val="es-ES_tradnl"/>
              </w:rPr>
              <w:t>Clase de emisión</w:t>
            </w:r>
            <w:r w:rsidRPr="005010A3">
              <w:rPr>
                <w:lang w:val="es-ES_tradnl"/>
              </w:rPr>
              <w:br/>
              <w:t>(Véase el</w:t>
            </w:r>
            <w:r w:rsidR="00273BB8">
              <w:rPr>
                <w:lang w:val="es-ES_tradnl"/>
              </w:rPr>
              <w:t xml:space="preserve"> </w:t>
            </w:r>
            <w:r w:rsidRPr="005010A3">
              <w:rPr>
                <w:lang w:val="es-ES_tradnl"/>
              </w:rPr>
              <w:t>Apéndice 1</w:t>
            </w:r>
            <w:r w:rsidR="00273BB8">
              <w:rPr>
                <w:lang w:val="es-ES_tradnl"/>
              </w:rPr>
              <w:br/>
            </w:r>
            <w:r w:rsidRPr="005010A3">
              <w:rPr>
                <w:lang w:val="es-ES_tradnl"/>
              </w:rPr>
              <w:t>del RR)</w:t>
            </w:r>
          </w:p>
        </w:tc>
        <w:tc>
          <w:tcPr>
            <w:tcW w:w="3969" w:type="dxa"/>
            <w:tcBorders>
              <w:top w:val="single" w:sz="6" w:space="0" w:color="auto"/>
              <w:left w:val="single" w:sz="6" w:space="0" w:color="auto"/>
              <w:bottom w:val="single" w:sz="6" w:space="0" w:color="auto"/>
              <w:right w:val="single" w:sz="6" w:space="0" w:color="auto"/>
            </w:tcBorders>
            <w:vAlign w:val="center"/>
          </w:tcPr>
          <w:p w14:paraId="2B175BAF" w14:textId="77777777" w:rsidR="005010A3" w:rsidRPr="005010A3" w:rsidRDefault="00273BB8" w:rsidP="00DC02B3">
            <w:pPr>
              <w:pStyle w:val="Tablehead"/>
              <w:rPr>
                <w:lang w:val="es-ES_tradnl"/>
              </w:rPr>
            </w:pPr>
            <w:r w:rsidRPr="005010A3">
              <w:rPr>
                <w:lang w:val="es-ES_tradnl"/>
              </w:rPr>
              <w:t xml:space="preserve">Valores de </w:t>
            </w:r>
            <w:r>
              <w:rPr>
                <w:lang w:val="es-ES_tradnl"/>
              </w:rPr>
              <w:t>«</w:t>
            </w:r>
            <w:r w:rsidRPr="005010A3">
              <w:rPr>
                <w:i/>
                <w:lang w:val="es-ES_tradnl"/>
              </w:rPr>
              <w:t>x</w:t>
            </w:r>
            <w:r w:rsidRPr="005010A3">
              <w:rPr>
                <w:iCs/>
                <w:lang w:val="es-ES_tradnl"/>
              </w:rPr>
              <w:t> dB</w:t>
            </w:r>
            <w:r>
              <w:rPr>
                <w:iCs/>
                <w:lang w:val="es-ES_tradnl"/>
              </w:rPr>
              <w:t>»</w:t>
            </w:r>
            <w:r w:rsidRPr="005010A3">
              <w:rPr>
                <w:lang w:val="es-ES_tradnl"/>
              </w:rPr>
              <w:t xml:space="preserve"> que deben utilizarse cuando se mide la anchura de banda entre puntos a </w:t>
            </w:r>
            <w:r w:rsidRPr="005010A3">
              <w:rPr>
                <w:i/>
                <w:lang w:val="es-ES_tradnl"/>
              </w:rPr>
              <w:t>x</w:t>
            </w:r>
            <w:r w:rsidRPr="005010A3">
              <w:rPr>
                <w:lang w:val="es-ES_tradnl"/>
              </w:rPr>
              <w:t> dB</w:t>
            </w:r>
            <w:r>
              <w:rPr>
                <w:lang w:val="es-ES_tradnl"/>
              </w:rPr>
              <w:t xml:space="preserve"> </w:t>
            </w:r>
            <w:r w:rsidRPr="005010A3">
              <w:rPr>
                <w:lang w:val="es-ES_tradnl"/>
              </w:rPr>
              <w:t>a fin de realizar una estimación</w:t>
            </w:r>
            <w:r>
              <w:rPr>
                <w:lang w:val="es-ES_tradnl"/>
              </w:rPr>
              <w:t xml:space="preserve"> </w:t>
            </w:r>
            <w:r w:rsidRPr="005010A3">
              <w:rPr>
                <w:lang w:val="es-ES_tradnl"/>
              </w:rPr>
              <w:t>de la anchura</w:t>
            </w:r>
            <w:r>
              <w:rPr>
                <w:lang w:val="es-ES_tradnl"/>
              </w:rPr>
              <w:br/>
            </w:r>
            <w:r w:rsidRPr="005010A3">
              <w:rPr>
                <w:lang w:val="es-ES_tradnl"/>
              </w:rPr>
              <w:t>de banda ocupada</w:t>
            </w:r>
          </w:p>
        </w:tc>
        <w:tc>
          <w:tcPr>
            <w:tcW w:w="3402" w:type="dxa"/>
            <w:tcBorders>
              <w:top w:val="single" w:sz="4" w:space="0" w:color="auto"/>
              <w:bottom w:val="single" w:sz="4" w:space="0" w:color="auto"/>
              <w:right w:val="single" w:sz="4" w:space="0" w:color="auto"/>
            </w:tcBorders>
            <w:shd w:val="clear" w:color="auto" w:fill="auto"/>
            <w:vAlign w:val="center"/>
          </w:tcPr>
          <w:p w14:paraId="3A250D6F" w14:textId="77777777" w:rsidR="005010A3" w:rsidRPr="0007459A" w:rsidRDefault="005010A3" w:rsidP="00DC02B3">
            <w:pPr>
              <w:pStyle w:val="Tablehead"/>
              <w:rPr>
                <w:bCs/>
              </w:rPr>
            </w:pPr>
            <w:r w:rsidRPr="0007459A">
              <w:rPr>
                <w:bCs/>
              </w:rPr>
              <w:t>Comentarios</w:t>
            </w:r>
          </w:p>
        </w:tc>
      </w:tr>
      <w:tr w:rsidR="005010A3" w14:paraId="15357B56"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097702B8" w14:textId="77777777" w:rsidR="005010A3" w:rsidRDefault="005010A3" w:rsidP="00D9525E">
            <w:pPr>
              <w:pStyle w:val="Tabletext"/>
              <w:jc w:val="center"/>
            </w:pPr>
            <w:r>
              <w:t>A1A</w:t>
            </w:r>
            <w:r>
              <w:br/>
              <w:t>A1B</w:t>
            </w:r>
          </w:p>
        </w:tc>
        <w:tc>
          <w:tcPr>
            <w:tcW w:w="3969" w:type="dxa"/>
            <w:tcBorders>
              <w:top w:val="single" w:sz="6" w:space="0" w:color="auto"/>
              <w:left w:val="single" w:sz="6" w:space="0" w:color="auto"/>
              <w:bottom w:val="single" w:sz="6" w:space="0" w:color="auto"/>
              <w:right w:val="single" w:sz="6" w:space="0" w:color="auto"/>
            </w:tcBorders>
          </w:tcPr>
          <w:p w14:paraId="35AFFEE6" w14:textId="77777777" w:rsidR="005010A3" w:rsidRDefault="005010A3" w:rsidP="00D9525E">
            <w:pPr>
              <w:pStyle w:val="Tabletext"/>
              <w:jc w:val="center"/>
            </w:pPr>
            <w:r>
              <w:t>–30</w:t>
            </w:r>
          </w:p>
        </w:tc>
        <w:tc>
          <w:tcPr>
            <w:tcW w:w="3402" w:type="dxa"/>
            <w:tcBorders>
              <w:top w:val="single" w:sz="4" w:space="0" w:color="auto"/>
              <w:bottom w:val="single" w:sz="4" w:space="0" w:color="auto"/>
              <w:right w:val="single" w:sz="4" w:space="0" w:color="auto"/>
            </w:tcBorders>
            <w:shd w:val="clear" w:color="auto" w:fill="auto"/>
          </w:tcPr>
          <w:p w14:paraId="3BD27DEB" w14:textId="77777777" w:rsidR="005010A3" w:rsidRDefault="005010A3" w:rsidP="00D9525E">
            <w:pPr>
              <w:jc w:val="center"/>
            </w:pPr>
          </w:p>
        </w:tc>
      </w:tr>
      <w:tr w:rsidR="005010A3" w14:paraId="4A556D52"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3FC95959" w14:textId="77777777" w:rsidR="005010A3" w:rsidRDefault="005010A3" w:rsidP="00D9525E">
            <w:pPr>
              <w:pStyle w:val="Tabletext"/>
              <w:jc w:val="center"/>
            </w:pPr>
            <w:r>
              <w:t>A2A</w:t>
            </w:r>
            <w:r>
              <w:br/>
              <w:t>A2B</w:t>
            </w:r>
          </w:p>
        </w:tc>
        <w:tc>
          <w:tcPr>
            <w:tcW w:w="3969" w:type="dxa"/>
            <w:tcBorders>
              <w:top w:val="single" w:sz="6" w:space="0" w:color="auto"/>
              <w:left w:val="single" w:sz="6" w:space="0" w:color="auto"/>
              <w:bottom w:val="single" w:sz="6" w:space="0" w:color="auto"/>
              <w:right w:val="single" w:sz="6" w:space="0" w:color="auto"/>
            </w:tcBorders>
          </w:tcPr>
          <w:p w14:paraId="2A7593A2" w14:textId="77777777" w:rsidR="005010A3" w:rsidRDefault="005010A3" w:rsidP="00D9525E">
            <w:pPr>
              <w:pStyle w:val="Tabletext"/>
              <w:jc w:val="center"/>
            </w:pPr>
            <w:r>
              <w:t>–32</w:t>
            </w:r>
          </w:p>
        </w:tc>
        <w:tc>
          <w:tcPr>
            <w:tcW w:w="3402" w:type="dxa"/>
            <w:tcBorders>
              <w:top w:val="single" w:sz="4" w:space="0" w:color="auto"/>
              <w:bottom w:val="single" w:sz="4" w:space="0" w:color="auto"/>
              <w:right w:val="single" w:sz="4" w:space="0" w:color="auto"/>
            </w:tcBorders>
            <w:shd w:val="clear" w:color="auto" w:fill="auto"/>
          </w:tcPr>
          <w:p w14:paraId="7BAD81B1" w14:textId="77777777" w:rsidR="005010A3" w:rsidRDefault="005010A3" w:rsidP="00D9525E">
            <w:pPr>
              <w:jc w:val="center"/>
            </w:pPr>
          </w:p>
        </w:tc>
      </w:tr>
      <w:tr w:rsidR="005010A3" w14:paraId="5E9A47D5"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4A4FACBE" w14:textId="77777777" w:rsidR="005010A3" w:rsidRDefault="005010A3" w:rsidP="00D9525E">
            <w:pPr>
              <w:pStyle w:val="Tabletext"/>
              <w:jc w:val="center"/>
            </w:pPr>
            <w:r>
              <w:t>A3E</w:t>
            </w:r>
          </w:p>
        </w:tc>
        <w:tc>
          <w:tcPr>
            <w:tcW w:w="3969" w:type="dxa"/>
            <w:tcBorders>
              <w:top w:val="single" w:sz="6" w:space="0" w:color="auto"/>
              <w:left w:val="single" w:sz="6" w:space="0" w:color="auto"/>
              <w:bottom w:val="single" w:sz="6" w:space="0" w:color="auto"/>
              <w:right w:val="single" w:sz="6" w:space="0" w:color="auto"/>
            </w:tcBorders>
          </w:tcPr>
          <w:p w14:paraId="6DA2D993" w14:textId="77777777" w:rsidR="005010A3" w:rsidRDefault="005010A3" w:rsidP="00D9525E">
            <w:pPr>
              <w:pStyle w:val="Tabletext"/>
              <w:jc w:val="center"/>
            </w:pPr>
            <w:r>
              <w:t>–35</w:t>
            </w:r>
          </w:p>
        </w:tc>
        <w:tc>
          <w:tcPr>
            <w:tcW w:w="3402" w:type="dxa"/>
            <w:tcBorders>
              <w:top w:val="single" w:sz="4" w:space="0" w:color="auto"/>
              <w:bottom w:val="single" w:sz="4" w:space="0" w:color="auto"/>
              <w:right w:val="single" w:sz="4" w:space="0" w:color="auto"/>
            </w:tcBorders>
            <w:shd w:val="clear" w:color="auto" w:fill="auto"/>
          </w:tcPr>
          <w:p w14:paraId="1B81D377" w14:textId="77777777" w:rsidR="005010A3" w:rsidRDefault="005010A3" w:rsidP="00D9525E">
            <w:pPr>
              <w:jc w:val="center"/>
            </w:pPr>
          </w:p>
        </w:tc>
      </w:tr>
      <w:tr w:rsidR="005010A3" w14:paraId="04D5F94A"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5FC29AC8" w14:textId="77777777" w:rsidR="005010A3" w:rsidRDefault="005010A3" w:rsidP="00D9525E">
            <w:pPr>
              <w:pStyle w:val="Tabletext"/>
              <w:jc w:val="center"/>
            </w:pPr>
            <w:r>
              <w:t>B8E</w:t>
            </w:r>
          </w:p>
        </w:tc>
        <w:tc>
          <w:tcPr>
            <w:tcW w:w="3969" w:type="dxa"/>
            <w:tcBorders>
              <w:top w:val="single" w:sz="6" w:space="0" w:color="auto"/>
              <w:left w:val="single" w:sz="6" w:space="0" w:color="auto"/>
              <w:bottom w:val="single" w:sz="6" w:space="0" w:color="auto"/>
              <w:right w:val="single" w:sz="6" w:space="0" w:color="auto"/>
            </w:tcBorders>
          </w:tcPr>
          <w:p w14:paraId="47B8D3C8" w14:textId="77777777" w:rsidR="005010A3" w:rsidRDefault="005010A3" w:rsidP="00D9525E">
            <w:pPr>
              <w:pStyle w:val="Tabletext"/>
              <w:jc w:val="center"/>
            </w:pPr>
            <w:r>
              <w:t>–26</w:t>
            </w:r>
          </w:p>
        </w:tc>
        <w:tc>
          <w:tcPr>
            <w:tcW w:w="3402" w:type="dxa"/>
            <w:tcBorders>
              <w:top w:val="single" w:sz="4" w:space="0" w:color="auto"/>
              <w:bottom w:val="single" w:sz="4" w:space="0" w:color="auto"/>
              <w:right w:val="single" w:sz="4" w:space="0" w:color="auto"/>
            </w:tcBorders>
            <w:shd w:val="clear" w:color="auto" w:fill="auto"/>
          </w:tcPr>
          <w:p w14:paraId="18A1736E" w14:textId="77777777" w:rsidR="005010A3" w:rsidRDefault="005010A3" w:rsidP="00D9525E">
            <w:pPr>
              <w:jc w:val="center"/>
            </w:pPr>
          </w:p>
        </w:tc>
      </w:tr>
      <w:tr w:rsidR="005010A3" w14:paraId="2B098829"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1FC93372" w14:textId="77777777" w:rsidR="005010A3" w:rsidRDefault="005010A3" w:rsidP="00D9525E">
            <w:pPr>
              <w:pStyle w:val="Tabletext"/>
              <w:jc w:val="center"/>
            </w:pPr>
            <w:r>
              <w:t>F1B</w:t>
            </w:r>
          </w:p>
        </w:tc>
        <w:tc>
          <w:tcPr>
            <w:tcW w:w="3969" w:type="dxa"/>
            <w:tcBorders>
              <w:top w:val="single" w:sz="6" w:space="0" w:color="auto"/>
              <w:left w:val="single" w:sz="6" w:space="0" w:color="auto"/>
              <w:bottom w:val="single" w:sz="6" w:space="0" w:color="auto"/>
              <w:right w:val="single" w:sz="6" w:space="0" w:color="auto"/>
            </w:tcBorders>
          </w:tcPr>
          <w:p w14:paraId="04C772A9" w14:textId="77777777" w:rsidR="005010A3" w:rsidRDefault="005010A3" w:rsidP="00D9525E">
            <w:pPr>
              <w:pStyle w:val="Tabletext"/>
              <w:jc w:val="center"/>
            </w:pPr>
            <w:r>
              <w:t>–25</w:t>
            </w:r>
          </w:p>
        </w:tc>
        <w:tc>
          <w:tcPr>
            <w:tcW w:w="3402" w:type="dxa"/>
            <w:tcBorders>
              <w:top w:val="single" w:sz="4" w:space="0" w:color="auto"/>
              <w:bottom w:val="single" w:sz="4" w:space="0" w:color="auto"/>
              <w:right w:val="single" w:sz="4" w:space="0" w:color="auto"/>
            </w:tcBorders>
            <w:shd w:val="clear" w:color="auto" w:fill="auto"/>
          </w:tcPr>
          <w:p w14:paraId="7286737D" w14:textId="77777777" w:rsidR="005010A3" w:rsidRDefault="005010A3" w:rsidP="00D9525E">
            <w:pPr>
              <w:jc w:val="center"/>
            </w:pPr>
          </w:p>
        </w:tc>
      </w:tr>
      <w:tr w:rsidR="005010A3" w14:paraId="5E8FAD61"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27B94937" w14:textId="77777777" w:rsidR="005010A3" w:rsidRDefault="005010A3" w:rsidP="00D9525E">
            <w:pPr>
              <w:pStyle w:val="Tabletext"/>
              <w:jc w:val="center"/>
            </w:pPr>
            <w:r>
              <w:t>F3C</w:t>
            </w:r>
          </w:p>
        </w:tc>
        <w:tc>
          <w:tcPr>
            <w:tcW w:w="3969" w:type="dxa"/>
            <w:tcBorders>
              <w:top w:val="single" w:sz="6" w:space="0" w:color="auto"/>
              <w:left w:val="single" w:sz="6" w:space="0" w:color="auto"/>
              <w:bottom w:val="single" w:sz="6" w:space="0" w:color="auto"/>
              <w:right w:val="single" w:sz="6" w:space="0" w:color="auto"/>
            </w:tcBorders>
          </w:tcPr>
          <w:p w14:paraId="0A3A7EED" w14:textId="77777777" w:rsidR="005010A3" w:rsidRDefault="005010A3" w:rsidP="00D9525E">
            <w:pPr>
              <w:pStyle w:val="Tabletext"/>
              <w:jc w:val="center"/>
            </w:pPr>
            <w:r>
              <w:t>–25</w:t>
            </w:r>
          </w:p>
        </w:tc>
        <w:tc>
          <w:tcPr>
            <w:tcW w:w="3402" w:type="dxa"/>
            <w:tcBorders>
              <w:top w:val="single" w:sz="4" w:space="0" w:color="auto"/>
              <w:bottom w:val="single" w:sz="4" w:space="0" w:color="auto"/>
              <w:right w:val="single" w:sz="4" w:space="0" w:color="auto"/>
            </w:tcBorders>
            <w:shd w:val="clear" w:color="auto" w:fill="auto"/>
          </w:tcPr>
          <w:p w14:paraId="01240991" w14:textId="77777777" w:rsidR="005010A3" w:rsidRDefault="005010A3" w:rsidP="00D9525E">
            <w:pPr>
              <w:jc w:val="center"/>
            </w:pPr>
          </w:p>
        </w:tc>
      </w:tr>
      <w:tr w:rsidR="005010A3" w14:paraId="2ECEC466"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48FB5ACD" w14:textId="77777777" w:rsidR="005010A3" w:rsidRDefault="005010A3" w:rsidP="00D9525E">
            <w:pPr>
              <w:pStyle w:val="Tabletext"/>
              <w:jc w:val="center"/>
            </w:pPr>
            <w:r>
              <w:t>F3E</w:t>
            </w:r>
            <w:r>
              <w:br/>
              <w:t>G3E</w:t>
            </w:r>
          </w:p>
        </w:tc>
        <w:tc>
          <w:tcPr>
            <w:tcW w:w="3969" w:type="dxa"/>
            <w:tcBorders>
              <w:top w:val="single" w:sz="6" w:space="0" w:color="auto"/>
              <w:left w:val="single" w:sz="6" w:space="0" w:color="auto"/>
              <w:bottom w:val="single" w:sz="6" w:space="0" w:color="auto"/>
              <w:right w:val="single" w:sz="6" w:space="0" w:color="auto"/>
            </w:tcBorders>
          </w:tcPr>
          <w:p w14:paraId="6DD73360" w14:textId="77777777" w:rsidR="005010A3" w:rsidRDefault="005010A3" w:rsidP="00D9525E">
            <w:pPr>
              <w:pStyle w:val="Tabletext"/>
              <w:jc w:val="center"/>
            </w:pPr>
            <w:r>
              <w:t>–26</w:t>
            </w:r>
          </w:p>
        </w:tc>
        <w:tc>
          <w:tcPr>
            <w:tcW w:w="3402" w:type="dxa"/>
            <w:tcBorders>
              <w:top w:val="single" w:sz="4" w:space="0" w:color="auto"/>
              <w:bottom w:val="single" w:sz="4" w:space="0" w:color="auto"/>
              <w:right w:val="single" w:sz="4" w:space="0" w:color="auto"/>
            </w:tcBorders>
            <w:shd w:val="clear" w:color="auto" w:fill="auto"/>
          </w:tcPr>
          <w:p w14:paraId="73DADFF6" w14:textId="77777777" w:rsidR="005010A3" w:rsidRDefault="005010A3" w:rsidP="00D9525E">
            <w:pPr>
              <w:jc w:val="center"/>
            </w:pPr>
          </w:p>
        </w:tc>
      </w:tr>
      <w:tr w:rsidR="005010A3" w14:paraId="65E4615A"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4D514369" w14:textId="77777777" w:rsidR="005010A3" w:rsidRDefault="005010A3" w:rsidP="00D9525E">
            <w:pPr>
              <w:pStyle w:val="Tabletext"/>
              <w:jc w:val="center"/>
            </w:pPr>
            <w:r>
              <w:t>F7B</w:t>
            </w:r>
          </w:p>
        </w:tc>
        <w:tc>
          <w:tcPr>
            <w:tcW w:w="3969" w:type="dxa"/>
            <w:tcBorders>
              <w:top w:val="single" w:sz="6" w:space="0" w:color="auto"/>
              <w:left w:val="single" w:sz="6" w:space="0" w:color="auto"/>
              <w:bottom w:val="single" w:sz="6" w:space="0" w:color="auto"/>
              <w:right w:val="single" w:sz="6" w:space="0" w:color="auto"/>
            </w:tcBorders>
          </w:tcPr>
          <w:p w14:paraId="4194027D" w14:textId="77777777" w:rsidR="005010A3" w:rsidRDefault="005010A3" w:rsidP="00D9525E">
            <w:pPr>
              <w:pStyle w:val="Tabletext"/>
              <w:jc w:val="center"/>
            </w:pPr>
            <w:r>
              <w:t>–28</w:t>
            </w:r>
          </w:p>
        </w:tc>
        <w:tc>
          <w:tcPr>
            <w:tcW w:w="3402" w:type="dxa"/>
            <w:tcBorders>
              <w:top w:val="single" w:sz="4" w:space="0" w:color="auto"/>
              <w:bottom w:val="single" w:sz="4" w:space="0" w:color="auto"/>
              <w:right w:val="single" w:sz="4" w:space="0" w:color="auto"/>
            </w:tcBorders>
            <w:shd w:val="clear" w:color="auto" w:fill="auto"/>
          </w:tcPr>
          <w:p w14:paraId="66304C1A" w14:textId="77777777" w:rsidR="005010A3" w:rsidRDefault="005010A3" w:rsidP="00D9525E">
            <w:pPr>
              <w:jc w:val="center"/>
            </w:pPr>
          </w:p>
        </w:tc>
      </w:tr>
      <w:tr w:rsidR="005010A3" w14:paraId="2F01592F"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0577A6B8" w14:textId="77777777" w:rsidR="005010A3" w:rsidRDefault="005010A3" w:rsidP="00D9525E">
            <w:pPr>
              <w:pStyle w:val="Tabletext"/>
              <w:jc w:val="center"/>
            </w:pPr>
            <w:r>
              <w:t>H2B</w:t>
            </w:r>
          </w:p>
        </w:tc>
        <w:tc>
          <w:tcPr>
            <w:tcW w:w="3969" w:type="dxa"/>
            <w:tcBorders>
              <w:top w:val="single" w:sz="6" w:space="0" w:color="auto"/>
              <w:left w:val="single" w:sz="6" w:space="0" w:color="auto"/>
              <w:bottom w:val="single" w:sz="6" w:space="0" w:color="auto"/>
              <w:right w:val="single" w:sz="6" w:space="0" w:color="auto"/>
            </w:tcBorders>
          </w:tcPr>
          <w:p w14:paraId="5A439F55" w14:textId="77777777" w:rsidR="005010A3" w:rsidRDefault="005010A3" w:rsidP="00D9525E">
            <w:pPr>
              <w:pStyle w:val="Tabletext"/>
              <w:jc w:val="center"/>
            </w:pPr>
            <w:r>
              <w:t>–26</w:t>
            </w:r>
          </w:p>
        </w:tc>
        <w:tc>
          <w:tcPr>
            <w:tcW w:w="3402" w:type="dxa"/>
            <w:tcBorders>
              <w:top w:val="single" w:sz="4" w:space="0" w:color="auto"/>
              <w:bottom w:val="single" w:sz="4" w:space="0" w:color="auto"/>
              <w:right w:val="single" w:sz="4" w:space="0" w:color="auto"/>
            </w:tcBorders>
            <w:shd w:val="clear" w:color="auto" w:fill="auto"/>
          </w:tcPr>
          <w:p w14:paraId="6F446C73" w14:textId="77777777" w:rsidR="005010A3" w:rsidRDefault="005010A3" w:rsidP="00D9525E">
            <w:pPr>
              <w:jc w:val="center"/>
            </w:pPr>
          </w:p>
        </w:tc>
      </w:tr>
    </w:tbl>
    <w:p w14:paraId="61C73F02" w14:textId="77777777" w:rsidR="000B4D5D" w:rsidRDefault="000B4D5D" w:rsidP="000B4D5D">
      <w:pPr>
        <w:pStyle w:val="Tablefin"/>
      </w:pPr>
    </w:p>
    <w:p w14:paraId="33C90EE3" w14:textId="77777777" w:rsidR="000B4D5D" w:rsidRDefault="000B4D5D" w:rsidP="000B4D5D">
      <w:pPr>
        <w:pStyle w:val="TableNo"/>
      </w:pPr>
      <w:r>
        <w:t>CUADRO 2 (</w:t>
      </w:r>
      <w:r>
        <w:rPr>
          <w:i/>
          <w:iCs/>
        </w:rPr>
        <w:t>F</w:t>
      </w:r>
      <w:r w:rsidRPr="00DC02B3">
        <w:rPr>
          <w:i/>
          <w:iCs/>
        </w:rPr>
        <w:t>in</w:t>
      </w:r>
      <w: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3969"/>
        <w:gridCol w:w="3402"/>
      </w:tblGrid>
      <w:tr w:rsidR="000B4D5D" w14:paraId="338A305A"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vAlign w:val="center"/>
          </w:tcPr>
          <w:p w14:paraId="434CE82A" w14:textId="77777777" w:rsidR="000B4D5D" w:rsidRPr="005010A3" w:rsidRDefault="000B4D5D" w:rsidP="00273BB8">
            <w:pPr>
              <w:pStyle w:val="Tablehead"/>
              <w:rPr>
                <w:lang w:val="es-ES_tradnl"/>
              </w:rPr>
            </w:pPr>
            <w:r w:rsidRPr="005010A3">
              <w:rPr>
                <w:lang w:val="es-ES_tradnl"/>
              </w:rPr>
              <w:t>Clase de emisión</w:t>
            </w:r>
            <w:r w:rsidRPr="005010A3">
              <w:rPr>
                <w:lang w:val="es-ES_tradnl"/>
              </w:rPr>
              <w:br/>
              <w:t>(Véase el</w:t>
            </w:r>
            <w:r w:rsidR="00273BB8">
              <w:rPr>
                <w:lang w:val="es-ES_tradnl"/>
              </w:rPr>
              <w:t xml:space="preserve"> </w:t>
            </w:r>
            <w:r w:rsidRPr="005010A3">
              <w:rPr>
                <w:lang w:val="es-ES_tradnl"/>
              </w:rPr>
              <w:t>Apéndice 1</w:t>
            </w:r>
            <w:r>
              <w:rPr>
                <w:lang w:val="es-ES_tradnl"/>
              </w:rPr>
              <w:br/>
            </w:r>
            <w:r w:rsidRPr="005010A3">
              <w:rPr>
                <w:lang w:val="es-ES_tradnl"/>
              </w:rPr>
              <w:t>del RR)</w:t>
            </w:r>
          </w:p>
        </w:tc>
        <w:tc>
          <w:tcPr>
            <w:tcW w:w="3969" w:type="dxa"/>
            <w:tcBorders>
              <w:top w:val="single" w:sz="6" w:space="0" w:color="auto"/>
              <w:left w:val="single" w:sz="6" w:space="0" w:color="auto"/>
              <w:bottom w:val="single" w:sz="6" w:space="0" w:color="auto"/>
              <w:right w:val="single" w:sz="6" w:space="0" w:color="auto"/>
            </w:tcBorders>
            <w:vAlign w:val="center"/>
          </w:tcPr>
          <w:p w14:paraId="78737AF5" w14:textId="77777777" w:rsidR="000B4D5D" w:rsidRPr="005010A3" w:rsidRDefault="000B4D5D" w:rsidP="00273BB8">
            <w:pPr>
              <w:pStyle w:val="Tablehead"/>
              <w:rPr>
                <w:lang w:val="es-ES_tradnl"/>
              </w:rPr>
            </w:pPr>
            <w:r w:rsidRPr="005010A3">
              <w:rPr>
                <w:lang w:val="es-ES_tradnl"/>
              </w:rPr>
              <w:t xml:space="preserve">Valores de </w:t>
            </w:r>
            <w:r>
              <w:rPr>
                <w:lang w:val="es-ES_tradnl"/>
              </w:rPr>
              <w:t>«</w:t>
            </w:r>
            <w:r w:rsidRPr="005010A3">
              <w:rPr>
                <w:i/>
                <w:lang w:val="es-ES_tradnl"/>
              </w:rPr>
              <w:t>x</w:t>
            </w:r>
            <w:r w:rsidRPr="005010A3">
              <w:rPr>
                <w:iCs/>
                <w:lang w:val="es-ES_tradnl"/>
              </w:rPr>
              <w:t> dB</w:t>
            </w:r>
            <w:r>
              <w:rPr>
                <w:iCs/>
                <w:lang w:val="es-ES_tradnl"/>
              </w:rPr>
              <w:t>»</w:t>
            </w:r>
            <w:r w:rsidRPr="005010A3">
              <w:rPr>
                <w:lang w:val="es-ES_tradnl"/>
              </w:rPr>
              <w:t xml:space="preserve"> que deben utilizarse cuando se mide la anchura de banda entre puntos a </w:t>
            </w:r>
            <w:r w:rsidRPr="005010A3">
              <w:rPr>
                <w:i/>
                <w:lang w:val="es-ES_tradnl"/>
              </w:rPr>
              <w:t>x</w:t>
            </w:r>
            <w:r w:rsidRPr="005010A3">
              <w:rPr>
                <w:lang w:val="es-ES_tradnl"/>
              </w:rPr>
              <w:t> dB</w:t>
            </w:r>
            <w:r w:rsidR="00273BB8">
              <w:rPr>
                <w:lang w:val="es-ES_tradnl"/>
              </w:rPr>
              <w:t xml:space="preserve"> </w:t>
            </w:r>
            <w:r w:rsidRPr="005010A3">
              <w:rPr>
                <w:lang w:val="es-ES_tradnl"/>
              </w:rPr>
              <w:t>a fin de realizar una estimación</w:t>
            </w:r>
            <w:r w:rsidR="00273BB8">
              <w:rPr>
                <w:lang w:val="es-ES_tradnl"/>
              </w:rPr>
              <w:t xml:space="preserve"> </w:t>
            </w:r>
            <w:r w:rsidRPr="005010A3">
              <w:rPr>
                <w:lang w:val="es-ES_tradnl"/>
              </w:rPr>
              <w:t>de la anchura</w:t>
            </w:r>
            <w:r w:rsidR="00273BB8">
              <w:rPr>
                <w:lang w:val="es-ES_tradnl"/>
              </w:rPr>
              <w:br/>
            </w:r>
            <w:r w:rsidRPr="005010A3">
              <w:rPr>
                <w:lang w:val="es-ES_tradnl"/>
              </w:rPr>
              <w:t>de banda ocupada</w:t>
            </w:r>
          </w:p>
        </w:tc>
        <w:tc>
          <w:tcPr>
            <w:tcW w:w="3402" w:type="dxa"/>
            <w:tcBorders>
              <w:top w:val="single" w:sz="4" w:space="0" w:color="auto"/>
              <w:bottom w:val="single" w:sz="4" w:space="0" w:color="auto"/>
              <w:right w:val="single" w:sz="4" w:space="0" w:color="auto"/>
            </w:tcBorders>
            <w:shd w:val="clear" w:color="auto" w:fill="auto"/>
            <w:vAlign w:val="center"/>
          </w:tcPr>
          <w:p w14:paraId="0140F1D5" w14:textId="77777777" w:rsidR="000B4D5D" w:rsidRPr="0007459A" w:rsidRDefault="000B4D5D" w:rsidP="00D33680">
            <w:pPr>
              <w:pStyle w:val="Tablehead"/>
              <w:rPr>
                <w:bCs/>
              </w:rPr>
            </w:pPr>
            <w:r w:rsidRPr="0007459A">
              <w:rPr>
                <w:bCs/>
              </w:rPr>
              <w:t>Comentarios</w:t>
            </w:r>
          </w:p>
        </w:tc>
      </w:tr>
      <w:tr w:rsidR="005010A3" w14:paraId="6993A1C8"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576DBA79" w14:textId="77777777" w:rsidR="005010A3" w:rsidRDefault="005010A3" w:rsidP="000B4D5D">
            <w:pPr>
              <w:pStyle w:val="Tabletext"/>
              <w:keepNext/>
              <w:keepLines/>
              <w:jc w:val="center"/>
            </w:pPr>
            <w:r>
              <w:t>H3E</w:t>
            </w:r>
          </w:p>
        </w:tc>
        <w:tc>
          <w:tcPr>
            <w:tcW w:w="3969" w:type="dxa"/>
            <w:tcBorders>
              <w:top w:val="single" w:sz="6" w:space="0" w:color="auto"/>
              <w:left w:val="single" w:sz="6" w:space="0" w:color="auto"/>
              <w:bottom w:val="single" w:sz="6" w:space="0" w:color="auto"/>
              <w:right w:val="single" w:sz="6" w:space="0" w:color="auto"/>
            </w:tcBorders>
          </w:tcPr>
          <w:p w14:paraId="279787C4" w14:textId="77777777" w:rsidR="005010A3" w:rsidRDefault="005010A3" w:rsidP="000B4D5D">
            <w:pPr>
              <w:pStyle w:val="Tabletext"/>
              <w:keepNext/>
              <w:keepLines/>
              <w:jc w:val="center"/>
            </w:pPr>
            <w:r>
              <w:t>–26</w:t>
            </w:r>
          </w:p>
        </w:tc>
        <w:tc>
          <w:tcPr>
            <w:tcW w:w="3402" w:type="dxa"/>
            <w:tcBorders>
              <w:top w:val="single" w:sz="4" w:space="0" w:color="auto"/>
              <w:bottom w:val="single" w:sz="4" w:space="0" w:color="auto"/>
              <w:right w:val="single" w:sz="4" w:space="0" w:color="auto"/>
            </w:tcBorders>
            <w:shd w:val="clear" w:color="auto" w:fill="auto"/>
          </w:tcPr>
          <w:p w14:paraId="7B40373A" w14:textId="77777777" w:rsidR="005010A3" w:rsidRDefault="005010A3" w:rsidP="000B4D5D">
            <w:pPr>
              <w:keepNext/>
              <w:keepLines/>
              <w:jc w:val="center"/>
            </w:pPr>
          </w:p>
        </w:tc>
      </w:tr>
      <w:tr w:rsidR="005010A3" w14:paraId="5B4AA663"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5FB25D48" w14:textId="77777777" w:rsidR="005010A3" w:rsidRDefault="005010A3" w:rsidP="00D9525E">
            <w:pPr>
              <w:pStyle w:val="Tabletext"/>
              <w:jc w:val="center"/>
            </w:pPr>
            <w:r>
              <w:t>J2B</w:t>
            </w:r>
          </w:p>
        </w:tc>
        <w:tc>
          <w:tcPr>
            <w:tcW w:w="3969" w:type="dxa"/>
            <w:tcBorders>
              <w:top w:val="single" w:sz="6" w:space="0" w:color="auto"/>
              <w:left w:val="single" w:sz="6" w:space="0" w:color="auto"/>
              <w:bottom w:val="single" w:sz="6" w:space="0" w:color="auto"/>
              <w:right w:val="single" w:sz="6" w:space="0" w:color="auto"/>
            </w:tcBorders>
          </w:tcPr>
          <w:p w14:paraId="58B17503" w14:textId="77777777" w:rsidR="005010A3" w:rsidRDefault="005010A3" w:rsidP="00D9525E">
            <w:pPr>
              <w:pStyle w:val="Tabletext"/>
              <w:jc w:val="center"/>
            </w:pPr>
            <w:r>
              <w:t>–26</w:t>
            </w:r>
          </w:p>
        </w:tc>
        <w:tc>
          <w:tcPr>
            <w:tcW w:w="3402" w:type="dxa"/>
            <w:tcBorders>
              <w:top w:val="single" w:sz="4" w:space="0" w:color="auto"/>
              <w:bottom w:val="single" w:sz="4" w:space="0" w:color="auto"/>
              <w:right w:val="single" w:sz="4" w:space="0" w:color="auto"/>
            </w:tcBorders>
            <w:shd w:val="clear" w:color="auto" w:fill="auto"/>
          </w:tcPr>
          <w:p w14:paraId="2AE2D679" w14:textId="77777777" w:rsidR="005010A3" w:rsidRDefault="005010A3" w:rsidP="00D9525E">
            <w:pPr>
              <w:jc w:val="center"/>
            </w:pPr>
          </w:p>
        </w:tc>
      </w:tr>
      <w:tr w:rsidR="005010A3" w14:paraId="43DD2DAD"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59DE1A46" w14:textId="77777777" w:rsidR="005010A3" w:rsidRDefault="005010A3" w:rsidP="00D9525E">
            <w:pPr>
              <w:pStyle w:val="Tabletext"/>
              <w:jc w:val="center"/>
            </w:pPr>
            <w:r>
              <w:t>J3E</w:t>
            </w:r>
          </w:p>
        </w:tc>
        <w:tc>
          <w:tcPr>
            <w:tcW w:w="3969" w:type="dxa"/>
            <w:tcBorders>
              <w:top w:val="single" w:sz="6" w:space="0" w:color="auto"/>
              <w:left w:val="single" w:sz="6" w:space="0" w:color="auto"/>
              <w:bottom w:val="single" w:sz="6" w:space="0" w:color="auto"/>
              <w:right w:val="single" w:sz="6" w:space="0" w:color="auto"/>
            </w:tcBorders>
          </w:tcPr>
          <w:p w14:paraId="38A2E85D" w14:textId="77777777" w:rsidR="005010A3" w:rsidRDefault="005010A3" w:rsidP="00D9525E">
            <w:pPr>
              <w:pStyle w:val="Tabletext"/>
              <w:jc w:val="center"/>
            </w:pPr>
            <w:r>
              <w:t>–26</w:t>
            </w:r>
          </w:p>
        </w:tc>
        <w:tc>
          <w:tcPr>
            <w:tcW w:w="3402" w:type="dxa"/>
            <w:tcBorders>
              <w:top w:val="single" w:sz="4" w:space="0" w:color="auto"/>
              <w:bottom w:val="single" w:sz="4" w:space="0" w:color="auto"/>
              <w:right w:val="single" w:sz="4" w:space="0" w:color="auto"/>
            </w:tcBorders>
            <w:shd w:val="clear" w:color="auto" w:fill="auto"/>
          </w:tcPr>
          <w:p w14:paraId="5CB91811" w14:textId="77777777" w:rsidR="005010A3" w:rsidRDefault="005010A3" w:rsidP="00D34516"/>
        </w:tc>
      </w:tr>
      <w:tr w:rsidR="005010A3" w:rsidRPr="0007459A" w14:paraId="0ABD4016" w14:textId="77777777" w:rsidTr="00273BB8">
        <w:trPr>
          <w:jc w:val="center"/>
        </w:trPr>
        <w:tc>
          <w:tcPr>
            <w:tcW w:w="2268" w:type="dxa"/>
            <w:tcBorders>
              <w:top w:val="single" w:sz="6" w:space="0" w:color="auto"/>
              <w:left w:val="single" w:sz="6" w:space="0" w:color="auto"/>
              <w:bottom w:val="single" w:sz="6" w:space="0" w:color="auto"/>
              <w:right w:val="single" w:sz="6" w:space="0" w:color="auto"/>
            </w:tcBorders>
          </w:tcPr>
          <w:p w14:paraId="172E1619" w14:textId="77777777" w:rsidR="005010A3" w:rsidRDefault="005010A3" w:rsidP="00D9525E">
            <w:pPr>
              <w:pStyle w:val="Tabletext"/>
              <w:jc w:val="center"/>
            </w:pPr>
            <w:r>
              <w:t>R3E</w:t>
            </w:r>
          </w:p>
        </w:tc>
        <w:tc>
          <w:tcPr>
            <w:tcW w:w="3969" w:type="dxa"/>
            <w:tcBorders>
              <w:top w:val="single" w:sz="6" w:space="0" w:color="auto"/>
              <w:left w:val="single" w:sz="6" w:space="0" w:color="auto"/>
              <w:bottom w:val="single" w:sz="6" w:space="0" w:color="auto"/>
              <w:right w:val="single" w:sz="6" w:space="0" w:color="auto"/>
            </w:tcBorders>
          </w:tcPr>
          <w:p w14:paraId="5E128529" w14:textId="77777777" w:rsidR="005010A3" w:rsidRPr="0007459A" w:rsidRDefault="005010A3" w:rsidP="00D9525E">
            <w:pPr>
              <w:pStyle w:val="Tabletext"/>
              <w:jc w:val="center"/>
              <w:rPr>
                <w:lang w:val="en-US"/>
              </w:rPr>
            </w:pPr>
            <w:r>
              <w:t>–26</w:t>
            </w:r>
          </w:p>
        </w:tc>
        <w:tc>
          <w:tcPr>
            <w:tcW w:w="3402" w:type="dxa"/>
            <w:tcBorders>
              <w:top w:val="single" w:sz="4" w:space="0" w:color="auto"/>
              <w:bottom w:val="single" w:sz="4" w:space="0" w:color="auto"/>
              <w:right w:val="single" w:sz="4" w:space="0" w:color="auto"/>
            </w:tcBorders>
            <w:shd w:val="clear" w:color="auto" w:fill="auto"/>
          </w:tcPr>
          <w:p w14:paraId="078B6C0F" w14:textId="77777777" w:rsidR="005010A3" w:rsidRPr="0007459A" w:rsidRDefault="005010A3" w:rsidP="00D34516">
            <w:pPr>
              <w:rPr>
                <w:lang w:val="en-US"/>
              </w:rPr>
            </w:pPr>
          </w:p>
        </w:tc>
      </w:tr>
      <w:tr w:rsidR="005010A3" w:rsidRPr="00652033" w14:paraId="7CA9A0AF" w14:textId="77777777" w:rsidTr="00273BB8">
        <w:trPr>
          <w:trHeight w:val="56"/>
          <w:jc w:val="center"/>
        </w:trPr>
        <w:tc>
          <w:tcPr>
            <w:tcW w:w="2268" w:type="dxa"/>
            <w:tcBorders>
              <w:top w:val="single" w:sz="6" w:space="0" w:color="auto"/>
              <w:left w:val="single" w:sz="6" w:space="0" w:color="auto"/>
              <w:bottom w:val="single" w:sz="6" w:space="0" w:color="auto"/>
              <w:right w:val="single" w:sz="6" w:space="0" w:color="auto"/>
            </w:tcBorders>
            <w:vAlign w:val="center"/>
          </w:tcPr>
          <w:p w14:paraId="19504E28" w14:textId="77777777" w:rsidR="005010A3" w:rsidRPr="001E2213" w:rsidRDefault="005010A3" w:rsidP="00D9525E">
            <w:pPr>
              <w:pStyle w:val="Tabletext"/>
              <w:jc w:val="center"/>
              <w:rPr>
                <w:lang w:eastAsia="ko-KR"/>
              </w:rPr>
            </w:pPr>
            <w:r w:rsidRPr="001E2213">
              <w:rPr>
                <w:lang w:eastAsia="ko-KR"/>
              </w:rPr>
              <w:t>C7W (8-</w:t>
            </w:r>
            <w:r>
              <w:rPr>
                <w:lang w:eastAsia="ko-KR"/>
              </w:rPr>
              <w:t>BLR</w:t>
            </w:r>
            <w:r w:rsidRPr="001E2213">
              <w:rPr>
                <w:lang w:eastAsia="ko-KR"/>
              </w:rPr>
              <w:t>)</w:t>
            </w:r>
          </w:p>
        </w:tc>
        <w:tc>
          <w:tcPr>
            <w:tcW w:w="3969" w:type="dxa"/>
            <w:tcBorders>
              <w:top w:val="single" w:sz="6" w:space="0" w:color="auto"/>
              <w:left w:val="single" w:sz="6" w:space="0" w:color="auto"/>
              <w:bottom w:val="single" w:sz="6" w:space="0" w:color="auto"/>
              <w:right w:val="single" w:sz="6" w:space="0" w:color="auto"/>
            </w:tcBorders>
            <w:vAlign w:val="center"/>
          </w:tcPr>
          <w:p w14:paraId="38D316EB" w14:textId="77777777" w:rsidR="005010A3" w:rsidRPr="001E2213" w:rsidRDefault="005010A3" w:rsidP="00D9525E">
            <w:pPr>
              <w:pStyle w:val="Tabletext"/>
              <w:jc w:val="center"/>
              <w:rPr>
                <w:lang w:eastAsia="ko-KR"/>
              </w:rPr>
            </w:pPr>
            <w:r w:rsidRPr="001E2213">
              <w:t>–</w:t>
            </w:r>
            <w:r w:rsidRPr="001E2213">
              <w:rPr>
                <w:lang w:eastAsia="ko-KR"/>
              </w:rPr>
              <w:t>12</w:t>
            </w:r>
            <w:r w:rsidRPr="00DC02B3">
              <w:rPr>
                <w:vertAlign w:val="superscript"/>
              </w:rPr>
              <w:t>(1)</w:t>
            </w:r>
          </w:p>
        </w:tc>
        <w:tc>
          <w:tcPr>
            <w:tcW w:w="3402" w:type="dxa"/>
            <w:tcBorders>
              <w:top w:val="single" w:sz="6" w:space="0" w:color="auto"/>
              <w:left w:val="single" w:sz="6" w:space="0" w:color="auto"/>
              <w:bottom w:val="single" w:sz="6" w:space="0" w:color="auto"/>
              <w:right w:val="single" w:sz="6" w:space="0" w:color="auto"/>
            </w:tcBorders>
            <w:vAlign w:val="center"/>
          </w:tcPr>
          <w:p w14:paraId="15230CAA" w14:textId="77777777" w:rsidR="005010A3" w:rsidRPr="004C4A5E" w:rsidRDefault="005010A3" w:rsidP="00D9525E">
            <w:pPr>
              <w:pStyle w:val="Tabletext"/>
              <w:jc w:val="left"/>
              <w:rPr>
                <w:lang w:val="es-CO" w:eastAsia="ko-KR"/>
              </w:rPr>
            </w:pPr>
            <w:r w:rsidRPr="004C4A5E">
              <w:rPr>
                <w:lang w:val="es-CO" w:eastAsia="ko-KR"/>
              </w:rPr>
              <w:t xml:space="preserve">Más de 300 barridos en promedio </w:t>
            </w:r>
          </w:p>
        </w:tc>
      </w:tr>
      <w:tr w:rsidR="005010A3" w:rsidRPr="00652033" w14:paraId="0B623912" w14:textId="77777777" w:rsidTr="00273BB8">
        <w:trPr>
          <w:trHeight w:val="56"/>
          <w:jc w:val="center"/>
        </w:trPr>
        <w:tc>
          <w:tcPr>
            <w:tcW w:w="2268" w:type="dxa"/>
            <w:tcBorders>
              <w:top w:val="single" w:sz="6" w:space="0" w:color="auto"/>
              <w:left w:val="single" w:sz="6" w:space="0" w:color="auto"/>
              <w:bottom w:val="single" w:sz="4" w:space="0" w:color="auto"/>
              <w:right w:val="single" w:sz="6" w:space="0" w:color="auto"/>
            </w:tcBorders>
            <w:vAlign w:val="center"/>
          </w:tcPr>
          <w:p w14:paraId="12864BFE" w14:textId="77777777" w:rsidR="005010A3" w:rsidRPr="001E2213" w:rsidRDefault="005010A3" w:rsidP="00D9525E">
            <w:pPr>
              <w:pStyle w:val="Tabletext"/>
              <w:jc w:val="center"/>
              <w:rPr>
                <w:lang w:eastAsia="ko-KR"/>
              </w:rPr>
            </w:pPr>
            <w:r w:rsidRPr="001E2213">
              <w:rPr>
                <w:lang w:eastAsia="ko-KR"/>
              </w:rPr>
              <w:t>G7W</w:t>
            </w:r>
            <w:r>
              <w:rPr>
                <w:lang w:eastAsia="ko-KR"/>
              </w:rPr>
              <w:t xml:space="preserve"> </w:t>
            </w:r>
            <w:r w:rsidRPr="001E2213">
              <w:rPr>
                <w:lang w:eastAsia="ko-KR"/>
              </w:rPr>
              <w:t>(T-DAB)</w:t>
            </w:r>
          </w:p>
        </w:tc>
        <w:tc>
          <w:tcPr>
            <w:tcW w:w="3969" w:type="dxa"/>
            <w:tcBorders>
              <w:top w:val="single" w:sz="6" w:space="0" w:color="auto"/>
              <w:left w:val="single" w:sz="6" w:space="0" w:color="auto"/>
              <w:bottom w:val="single" w:sz="4" w:space="0" w:color="auto"/>
              <w:right w:val="single" w:sz="6" w:space="0" w:color="auto"/>
            </w:tcBorders>
            <w:vAlign w:val="center"/>
          </w:tcPr>
          <w:p w14:paraId="451E10D6" w14:textId="77777777" w:rsidR="005010A3" w:rsidRPr="00DC02B3" w:rsidRDefault="005010A3" w:rsidP="00D9525E">
            <w:pPr>
              <w:pStyle w:val="Tabletext"/>
              <w:jc w:val="center"/>
              <w:rPr>
                <w:lang w:eastAsia="ko-KR"/>
              </w:rPr>
            </w:pPr>
            <w:r w:rsidRPr="00DC02B3">
              <w:t>–</w:t>
            </w:r>
            <w:r w:rsidRPr="00DC02B3">
              <w:rPr>
                <w:lang w:eastAsia="ko-KR"/>
              </w:rPr>
              <w:t>8</w:t>
            </w:r>
            <w:r w:rsidRPr="00DC02B3">
              <w:rPr>
                <w:vertAlign w:val="superscript"/>
              </w:rPr>
              <w:t>(1)(2)</w:t>
            </w:r>
          </w:p>
        </w:tc>
        <w:tc>
          <w:tcPr>
            <w:tcW w:w="3402" w:type="dxa"/>
            <w:tcBorders>
              <w:top w:val="single" w:sz="6" w:space="0" w:color="auto"/>
              <w:left w:val="single" w:sz="6" w:space="0" w:color="auto"/>
              <w:bottom w:val="single" w:sz="4" w:space="0" w:color="auto"/>
              <w:right w:val="single" w:sz="6" w:space="0" w:color="auto"/>
            </w:tcBorders>
            <w:vAlign w:val="center"/>
          </w:tcPr>
          <w:p w14:paraId="2D78B91C" w14:textId="77777777" w:rsidR="005010A3" w:rsidRPr="004C4A5E" w:rsidRDefault="005010A3" w:rsidP="00D9525E">
            <w:pPr>
              <w:pStyle w:val="Tabletext"/>
              <w:jc w:val="left"/>
              <w:rPr>
                <w:lang w:val="es-CO" w:eastAsia="ko-KR"/>
              </w:rPr>
            </w:pPr>
            <w:r w:rsidRPr="004C4A5E">
              <w:rPr>
                <w:lang w:val="es-CO" w:eastAsia="ko-KR"/>
              </w:rPr>
              <w:t xml:space="preserve">Más de </w:t>
            </w:r>
            <w:r>
              <w:rPr>
                <w:lang w:val="es-CO" w:eastAsia="ko-KR"/>
              </w:rPr>
              <w:t>1</w:t>
            </w:r>
            <w:r w:rsidRPr="004C4A5E">
              <w:rPr>
                <w:lang w:val="es-CO" w:eastAsia="ko-KR"/>
              </w:rPr>
              <w:t xml:space="preserve">00 barridos en promedio </w:t>
            </w:r>
          </w:p>
        </w:tc>
      </w:tr>
      <w:tr w:rsidR="005010A3" w:rsidRPr="00905DB5" w14:paraId="2DC2A32B" w14:textId="77777777" w:rsidTr="00273BB8">
        <w:trPr>
          <w:trHeight w:val="56"/>
          <w:jc w:val="center"/>
        </w:trPr>
        <w:tc>
          <w:tcPr>
            <w:tcW w:w="9638" w:type="dxa"/>
            <w:gridSpan w:val="3"/>
            <w:tcBorders>
              <w:top w:val="single" w:sz="4" w:space="0" w:color="auto"/>
              <w:left w:val="nil"/>
              <w:bottom w:val="nil"/>
              <w:right w:val="nil"/>
            </w:tcBorders>
            <w:vAlign w:val="center"/>
          </w:tcPr>
          <w:p w14:paraId="52342F78" w14:textId="77777777" w:rsidR="005010A3" w:rsidRPr="00133CF5" w:rsidRDefault="005010A3" w:rsidP="00DC02B3">
            <w:pPr>
              <w:pStyle w:val="Tablelegend"/>
              <w:rPr>
                <w:lang w:val="es-CO" w:eastAsia="ko-KR"/>
              </w:rPr>
            </w:pPr>
            <w:r w:rsidRPr="00DC02B3">
              <w:rPr>
                <w:vertAlign w:val="superscript"/>
                <w:lang w:val="es-ES_tradnl"/>
              </w:rPr>
              <w:t>(1)</w:t>
            </w:r>
            <w:r w:rsidRPr="00133CF5">
              <w:rPr>
                <w:lang w:val="es-CO" w:eastAsia="ko-KR"/>
              </w:rPr>
              <w:tab/>
              <w:t>De acuerdo</w:t>
            </w:r>
            <w:r>
              <w:rPr>
                <w:lang w:val="es-CO" w:eastAsia="ko-KR"/>
              </w:rPr>
              <w:t xml:space="preserve"> </w:t>
            </w:r>
            <w:r w:rsidRPr="00133CF5">
              <w:rPr>
                <w:lang w:val="es-CO" w:eastAsia="ko-KR"/>
              </w:rPr>
              <w:t>con la Recome</w:t>
            </w:r>
            <w:r>
              <w:rPr>
                <w:lang w:val="es-CO" w:eastAsia="ko-KR"/>
              </w:rPr>
              <w:t>n</w:t>
            </w:r>
            <w:r w:rsidRPr="00133CF5">
              <w:rPr>
                <w:lang w:val="es-CO" w:eastAsia="ko-KR"/>
              </w:rPr>
              <w:t xml:space="preserve">dación UIT- R SM.328, las unidades de estos valores </w:t>
            </w:r>
            <w:r>
              <w:rPr>
                <w:lang w:val="es-CO" w:eastAsia="ko-KR"/>
              </w:rPr>
              <w:t>es</w:t>
            </w:r>
            <w:r w:rsidRPr="00133CF5">
              <w:rPr>
                <w:lang w:val="es-CO" w:eastAsia="ko-KR"/>
              </w:rPr>
              <w:t xml:space="preserve"> dBsd </w:t>
            </w:r>
            <w:r>
              <w:rPr>
                <w:lang w:val="es-CO" w:eastAsia="ko-KR"/>
              </w:rPr>
              <w:t>ya que el nivel de referencia elegido es el máximo valor de la densidad espectral de potencia</w:t>
            </w:r>
            <w:r w:rsidR="00DC02B3">
              <w:rPr>
                <w:lang w:val="es-CO" w:eastAsia="ko-KR"/>
              </w:rPr>
              <w:t xml:space="preserve"> (PSD)</w:t>
            </w:r>
            <w:r>
              <w:rPr>
                <w:lang w:val="es-CO" w:eastAsia="ko-KR"/>
              </w:rPr>
              <w:t xml:space="preserve"> dentro de la anchura de banda necesaria. </w:t>
            </w:r>
          </w:p>
          <w:p w14:paraId="370DF6D2" w14:textId="77777777" w:rsidR="005010A3" w:rsidRPr="004C4A5E" w:rsidRDefault="005010A3" w:rsidP="00DC02B3">
            <w:pPr>
              <w:pStyle w:val="Tablelegend"/>
              <w:rPr>
                <w:lang w:val="es-CO" w:eastAsia="ko-KR"/>
              </w:rPr>
            </w:pPr>
            <w:r w:rsidRPr="00A96FD6">
              <w:rPr>
                <w:vertAlign w:val="superscript"/>
                <w:lang w:val="es-ES_tradnl"/>
              </w:rPr>
              <w:t>(2)</w:t>
            </w:r>
            <w:r w:rsidRPr="0027036C">
              <w:rPr>
                <w:lang w:val="es-CO" w:eastAsia="ko-KR"/>
              </w:rPr>
              <w:tab/>
              <w:t xml:space="preserve">Este valor </w:t>
            </w:r>
            <w:r>
              <w:rPr>
                <w:lang w:val="es-CO" w:eastAsia="ko-KR"/>
              </w:rPr>
              <w:t>surge de experimentos realizados con T-DMB utilizando una red T-DAB, extraída del Informe UIT-R BT.2049.</w:t>
            </w:r>
          </w:p>
        </w:tc>
      </w:tr>
    </w:tbl>
    <w:p w14:paraId="1EFA6A09" w14:textId="77777777" w:rsidR="005010A3" w:rsidRPr="00A96FD6" w:rsidRDefault="005010A3" w:rsidP="00DC02B3">
      <w:pPr>
        <w:pStyle w:val="Tablefin"/>
        <w:rPr>
          <w:lang w:val="es-ES_tradnl"/>
        </w:rPr>
      </w:pPr>
    </w:p>
    <w:p w14:paraId="07C2A4B4" w14:textId="77777777" w:rsidR="00424FF6" w:rsidRPr="005010A3" w:rsidRDefault="005010A3" w:rsidP="005010A3">
      <w:pPr>
        <w:rPr>
          <w:lang w:val="es-ES_tradnl"/>
        </w:rPr>
      </w:pPr>
      <w:r w:rsidRPr="005010A3">
        <w:rPr>
          <w:lang w:val="es-ES_tradnl"/>
        </w:rPr>
        <w:t>El valor resultante de la medición es la estimación de la anchura de banda ocupada.</w:t>
      </w:r>
    </w:p>
    <w:p w14:paraId="5135412A" w14:textId="77777777" w:rsidR="00424FF6" w:rsidRPr="005010A3" w:rsidRDefault="00424FF6" w:rsidP="00424FF6">
      <w:pPr>
        <w:rPr>
          <w:lang w:val="es-ES_tradnl"/>
        </w:rPr>
      </w:pPr>
    </w:p>
    <w:p w14:paraId="0311D5CF" w14:textId="77777777" w:rsidR="00424FF6" w:rsidRPr="005010A3" w:rsidRDefault="00424FF6" w:rsidP="00424FF6">
      <w:pPr>
        <w:rPr>
          <w:lang w:val="es-ES_tradnl"/>
        </w:rPr>
      </w:pPr>
    </w:p>
    <w:p w14:paraId="5E4408BD" w14:textId="77777777" w:rsidR="00424FF6" w:rsidRPr="005010A3" w:rsidRDefault="00424FF6" w:rsidP="00424FF6">
      <w:pPr>
        <w:pStyle w:val="Line"/>
        <w:rPr>
          <w:lang w:val="es-ES_tradnl"/>
        </w:rPr>
      </w:pPr>
    </w:p>
    <w:p w14:paraId="731030BF" w14:textId="77777777" w:rsidR="00A6617B" w:rsidRPr="005010A3" w:rsidRDefault="00A6617B" w:rsidP="00A6617B">
      <w:pPr>
        <w:rPr>
          <w:lang w:val="es-ES_tradnl"/>
        </w:rPr>
      </w:pPr>
      <w:bookmarkStart w:id="33" w:name="_GoBack"/>
      <w:bookmarkEnd w:id="33"/>
    </w:p>
    <w:sectPr w:rsidR="00A6617B" w:rsidRPr="005010A3" w:rsidSect="00C33EF1">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8D69A" w14:textId="77777777" w:rsidR="00A531CE" w:rsidRDefault="00A531CE">
      <w:r>
        <w:separator/>
      </w:r>
    </w:p>
  </w:endnote>
  <w:endnote w:type="continuationSeparator" w:id="0">
    <w:p w14:paraId="3C941E59" w14:textId="77777777" w:rsidR="00A531CE" w:rsidRDefault="00A53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F604C" w14:textId="77777777" w:rsidR="00A531CE" w:rsidRDefault="00A531CE">
      <w:r>
        <w:separator/>
      </w:r>
    </w:p>
  </w:footnote>
  <w:footnote w:type="continuationSeparator" w:id="0">
    <w:p w14:paraId="35A38B03" w14:textId="77777777" w:rsidR="00A531CE" w:rsidRDefault="00A531CE">
      <w:r>
        <w:continuationSeparator/>
      </w:r>
    </w:p>
  </w:footnote>
  <w:footnote w:id="1">
    <w:p w14:paraId="60869CB2" w14:textId="233A40D4" w:rsidR="00A531CE" w:rsidRPr="001B5E78" w:rsidRDefault="00A531CE" w:rsidP="00652033">
      <w:pPr>
        <w:pStyle w:val="FootnoteText"/>
        <w:rPr>
          <w:lang w:val="es-ES_tradnl"/>
        </w:rPr>
      </w:pPr>
      <w:r w:rsidRPr="009D6573">
        <w:rPr>
          <w:rStyle w:val="FootnoteReference"/>
          <w:lang w:val="es-ES_tradnl"/>
        </w:rPr>
        <w:t>*</w:t>
      </w:r>
      <w:r w:rsidRPr="001B5E78">
        <w:rPr>
          <w:lang w:val="es-ES_tradnl"/>
        </w:rPr>
        <w:t xml:space="preserve"> </w:t>
      </w:r>
      <w:r>
        <w:rPr>
          <w:lang w:val="es-ES_tradnl"/>
        </w:rPr>
        <w:tab/>
      </w:r>
      <w:r w:rsidR="00652033" w:rsidRPr="00652033">
        <w:rPr>
          <w:lang w:val="es-ES_tradnl"/>
        </w:rPr>
        <w:t>La Comisión de Estudio 1 de Radiocomunicaciones introdujo en 2018</w:t>
      </w:r>
      <w:r w:rsidR="00905DB5">
        <w:rPr>
          <w:lang w:val="es-ES_tradnl"/>
        </w:rPr>
        <w:t xml:space="preserve"> y 2019</w:t>
      </w:r>
      <w:r w:rsidR="00652033" w:rsidRPr="00652033">
        <w:rPr>
          <w:lang w:val="es-ES_tradnl"/>
        </w:rPr>
        <w:t xml:space="preserve"> modificaciones de redacción en esta Recomendación, de conformidad con la Resolución UIT-T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2AE11" w14:textId="77777777" w:rsidR="00A531CE" w:rsidRDefault="00A531C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BFE3E" w14:textId="77777777" w:rsidR="00A531CE" w:rsidRDefault="00A531CE" w:rsidP="00A531CE">
    <w:pPr>
      <w:pStyle w:val="Header"/>
      <w:ind w:right="360" w:firstLine="360"/>
    </w:pPr>
    <w:r>
      <w:rPr>
        <w:noProof/>
        <w:lang w:val="es-ES_tradnl" w:eastAsia="zh-CN"/>
      </w:rPr>
      <w:drawing>
        <wp:anchor distT="0" distB="0" distL="114300" distR="114300" simplePos="0" relativeHeight="251659264" behindDoc="1" locked="0" layoutInCell="1" allowOverlap="1" wp14:anchorId="2F2E8799" wp14:editId="2714B593">
          <wp:simplePos x="0" y="0"/>
          <wp:positionH relativeFrom="page">
            <wp:posOffset>0</wp:posOffset>
          </wp:positionH>
          <wp:positionV relativeFrom="page">
            <wp:posOffset>0</wp:posOffset>
          </wp:positionV>
          <wp:extent cx="7592060" cy="10760075"/>
          <wp:effectExtent l="19050" t="0" r="8890" b="0"/>
          <wp:wrapNone/>
          <wp:docPr id="5" name="Picture 5"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0C65" w14:textId="5497AEB1" w:rsidR="00A531CE" w:rsidRDefault="00A531CE" w:rsidP="00A531C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124BD">
      <w:rPr>
        <w:rStyle w:val="PageNumber"/>
        <w:b/>
        <w:bCs/>
        <w:noProof/>
      </w:rPr>
      <w:t>ii</w:t>
    </w:r>
    <w:r>
      <w:rPr>
        <w:rStyle w:val="PageNumber"/>
        <w:b/>
        <w:bCs/>
      </w:rPr>
      <w:fldChar w:fldCharType="end"/>
    </w:r>
    <w:r>
      <w:tab/>
    </w:r>
    <w:r w:rsidR="006725B9">
      <w:fldChar w:fldCharType="begin"/>
    </w:r>
    <w:r w:rsidR="006725B9">
      <w:instrText xml:space="preserve"> DOCPROPERTY "Header" \* MERGEFORMAT </w:instrText>
    </w:r>
    <w:r w:rsidR="006725B9">
      <w:fldChar w:fldCharType="separate"/>
    </w:r>
    <w:r w:rsidR="006725B9" w:rsidRPr="006725B9">
      <w:rPr>
        <w:b/>
        <w:bCs/>
        <w:lang w:val="en-US"/>
      </w:rPr>
      <w:t xml:space="preserve">Rec. </w:t>
    </w:r>
    <w:r w:rsidR="006725B9">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6725B9">
      <w:rPr>
        <w:b/>
        <w:bCs/>
        <w:noProof/>
      </w:rPr>
      <w:t>UIT-R  SM.443-4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74522" w14:textId="5A43243D" w:rsidR="00A531CE" w:rsidRDefault="00A531CE">
    <w:pPr>
      <w:pStyle w:val="Header"/>
    </w:pPr>
    <w:r>
      <w:tab/>
    </w:r>
    <w:r w:rsidR="006725B9">
      <w:fldChar w:fldCharType="begin"/>
    </w:r>
    <w:r w:rsidR="006725B9">
      <w:instrText xml:space="preserve"> DOCPROPERTY "Header" \* MERGEFORMAT </w:instrText>
    </w:r>
    <w:r w:rsidR="006725B9">
      <w:fldChar w:fldCharType="separate"/>
    </w:r>
    <w:r w:rsidR="006725B9" w:rsidRPr="006725B9">
      <w:rPr>
        <w:lang w:val="en-US"/>
      </w:rPr>
      <w:t xml:space="preserve">Rec. </w:t>
    </w:r>
    <w:r w:rsidR="006725B9">
      <w:rPr>
        <w:lang w:val="en-US"/>
      </w:rPr>
      <w:fldChar w:fldCharType="end"/>
    </w:r>
    <w:r>
      <w:rPr>
        <w:b/>
        <w:bCs/>
      </w:rPr>
      <w:t xml:space="preserve">  </w:t>
    </w:r>
    <w:r>
      <w:rPr>
        <w:b/>
        <w:bCs/>
      </w:rPr>
      <w:fldChar w:fldCharType="begin"/>
    </w:r>
    <w:r>
      <w:rPr>
        <w:b/>
        <w:bCs/>
      </w:rPr>
      <w:instrText>styleref href</w:instrText>
    </w:r>
    <w:r>
      <w:rPr>
        <w:b/>
        <w:bCs/>
      </w:rPr>
      <w:fldChar w:fldCharType="separate"/>
    </w:r>
    <w:r w:rsidR="006725B9">
      <w:rPr>
        <w:b/>
        <w:bCs/>
        <w:noProof/>
      </w:rPr>
      <w:t>UIT-R  SM.443-4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598C">
      <w:rPr>
        <w:rStyle w:val="PageNumber"/>
        <w:b/>
        <w:bCs/>
        <w:noProof/>
      </w:rPr>
      <w:t>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9BA1" w14:textId="19B25387" w:rsidR="00A531CE" w:rsidRDefault="00A531C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24BD">
      <w:rPr>
        <w:rStyle w:val="PageNumber"/>
        <w:b/>
        <w:bCs/>
        <w:noProof/>
        <w:lang w:val="en-US"/>
      </w:rPr>
      <w:t>10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725B9">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725B9">
      <w:rPr>
        <w:b/>
        <w:bCs/>
        <w:noProof/>
        <w:lang w:val="en-US"/>
      </w:rPr>
      <w:t>UIT-R  SM.443-4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8C8FA" w14:textId="2BE8ADA6" w:rsidR="00A531CE" w:rsidRDefault="00A531CE">
    <w:pPr>
      <w:pStyle w:val="Header"/>
    </w:pPr>
    <w:r>
      <w:tab/>
    </w:r>
    <w:r>
      <w:rPr>
        <w:b/>
        <w:bCs/>
      </w:rPr>
      <w:fldChar w:fldCharType="begin"/>
    </w:r>
    <w:r>
      <w:rPr>
        <w:b/>
        <w:bCs/>
      </w:rPr>
      <w:instrText xml:space="preserve"> DOCPROPERTY "Header" \* MERGEFORMAT </w:instrText>
    </w:r>
    <w:r>
      <w:rPr>
        <w:b/>
        <w:bCs/>
      </w:rPr>
      <w:fldChar w:fldCharType="separate"/>
    </w:r>
    <w:r w:rsidR="006725B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725B9">
      <w:rPr>
        <w:b/>
        <w:bCs/>
        <w:noProof/>
      </w:rPr>
      <w:t>UIT-R  SM.443-4</w:t>
    </w:r>
    <w:r>
      <w:rPr>
        <w:b/>
        <w:bCs/>
      </w:rPr>
      <w:fldChar w:fldCharType="end"/>
    </w:r>
    <w:r>
      <w:tab/>
    </w:r>
    <w:r w:rsidRPr="00C33EF1">
      <w:rPr>
        <w:b/>
        <w:bCs/>
      </w:rPr>
      <w:fldChar w:fldCharType="begin"/>
    </w:r>
    <w:r w:rsidRPr="00C33EF1">
      <w:rPr>
        <w:b/>
        <w:bCs/>
      </w:rPr>
      <w:instrText xml:space="preserve"> PAGE   \* MERGEFORMAT </w:instrText>
    </w:r>
    <w:r w:rsidRPr="00C33EF1">
      <w:rPr>
        <w:b/>
        <w:bCs/>
      </w:rPr>
      <w:fldChar w:fldCharType="separate"/>
    </w:r>
    <w:r w:rsidR="00C124BD">
      <w:rPr>
        <w:b/>
        <w:bCs/>
        <w:noProof/>
      </w:rPr>
      <w:t>1</w:t>
    </w:r>
    <w:r w:rsidRPr="00C33EF1">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fr-FR"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6" w:nlCheck="1" w:checkStyle="1"/>
  <w:activeWritingStyle w:appName="MSWord" w:lang="es-ES" w:vendorID="64" w:dllVersion="6" w:nlCheck="1" w:checkStyle="1"/>
  <w:activeWritingStyle w:appName="MSWord" w:lang="fr-CH"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CO"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5FDA"/>
    <w:rsid w:val="0008517E"/>
    <w:rsid w:val="000A6F04"/>
    <w:rsid w:val="000B4D5D"/>
    <w:rsid w:val="000F5DC3"/>
    <w:rsid w:val="00246370"/>
    <w:rsid w:val="00273BB8"/>
    <w:rsid w:val="002D76C4"/>
    <w:rsid w:val="00307FF5"/>
    <w:rsid w:val="00313F08"/>
    <w:rsid w:val="003E0924"/>
    <w:rsid w:val="00424FF6"/>
    <w:rsid w:val="004D23BC"/>
    <w:rsid w:val="005010A3"/>
    <w:rsid w:val="0057408A"/>
    <w:rsid w:val="00607D68"/>
    <w:rsid w:val="00652033"/>
    <w:rsid w:val="006725B9"/>
    <w:rsid w:val="006A243D"/>
    <w:rsid w:val="006A7220"/>
    <w:rsid w:val="006E0117"/>
    <w:rsid w:val="00823D7E"/>
    <w:rsid w:val="008E2F15"/>
    <w:rsid w:val="00905DB5"/>
    <w:rsid w:val="00944DAA"/>
    <w:rsid w:val="009D6573"/>
    <w:rsid w:val="00A026AC"/>
    <w:rsid w:val="00A531CE"/>
    <w:rsid w:val="00A6617B"/>
    <w:rsid w:val="00A96FD6"/>
    <w:rsid w:val="00AB0DC8"/>
    <w:rsid w:val="00AF598C"/>
    <w:rsid w:val="00B44E24"/>
    <w:rsid w:val="00C124BD"/>
    <w:rsid w:val="00C33EF1"/>
    <w:rsid w:val="00C62E73"/>
    <w:rsid w:val="00CF505F"/>
    <w:rsid w:val="00D34516"/>
    <w:rsid w:val="00D71B07"/>
    <w:rsid w:val="00D9525E"/>
    <w:rsid w:val="00DC02B3"/>
    <w:rsid w:val="00DF4176"/>
    <w:rsid w:val="00DF5F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11D4F5D1"/>
  <w15:docId w15:val="{FB2E1191-7D39-46B4-BF05-D39528F45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05DB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96FD6"/>
    <w:rPr>
      <w:color w:val="0000FF"/>
      <w:u w:val="single"/>
    </w:rPr>
  </w:style>
  <w:style w:type="table" w:styleId="TableGrid">
    <w:name w:val="Table Grid"/>
    <w:basedOn w:val="TableNormal"/>
    <w:rsid w:val="00A96FD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link w:val="Headingb"/>
    <w:locked/>
    <w:rsid w:val="00905DB5"/>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AF541-F856-43E0-8C9E-A5E609F3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12</Pages>
  <Words>3452</Words>
  <Characters>17436</Characters>
  <Application>Microsoft Office Word</Application>
  <DocSecurity>0</DocSecurity>
  <Lines>458</Lines>
  <Paragraphs>254</Paragraphs>
  <ScaleCrop>false</ScaleCrop>
  <HeadingPairs>
    <vt:vector size="2" baseType="variant">
      <vt:variant>
        <vt:lpstr>Title</vt:lpstr>
      </vt:variant>
      <vt:variant>
        <vt:i4>1</vt:i4>
      </vt:variant>
    </vt:vector>
  </HeadingPairs>
  <TitlesOfParts>
    <vt:vector size="1" baseType="lpstr">
      <vt:lpstr>RECOMENDACIÓN  UIT-R  SM.443-4* - Mediciones de anchura de banda en las estaciones de comprobación técnica de las emisiones</vt:lpstr>
    </vt:vector>
  </TitlesOfParts>
  <Manager/>
  <Company>ITU</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SM.443-4* - Mediciones de anchura de banda en las estaciones de comprobación técnica de las emisiones</dc:title>
  <dc:subject>Serie SM = Gestión del espectro</dc:subject>
  <dc:creator>Oficina de Radiocomunicaciones del UIT (BR)</dc:creator>
  <cp:keywords>SM,443-4*</cp:keywords>
  <dc:description>Gachetc, 02/06/2020, ITU51013811</dc:description>
  <cp:lastModifiedBy>Gachet, Christelle</cp:lastModifiedBy>
  <cp:revision>8</cp:revision>
  <cp:lastPrinted>2020-06-02T04:54:00Z</cp:lastPrinted>
  <dcterms:created xsi:type="dcterms:W3CDTF">2018-10-18T09:25:00Z</dcterms:created>
  <dcterms:modified xsi:type="dcterms:W3CDTF">2020-06-02T04:55:00Z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02 June 2020</vt:lpwstr>
  </property>
</Properties>
</file>