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C6B759" w14:textId="77777777" w:rsidR="00FE79FE" w:rsidRDefault="00FE79FE"/>
    <w:p w14:paraId="6374CCBD" w14:textId="77777777" w:rsidR="00FE79FE" w:rsidRDefault="00FE79FE"/>
    <w:p w14:paraId="12DF4ECC" w14:textId="77777777" w:rsidR="00FE79FE" w:rsidRDefault="00FE79FE"/>
    <w:p w14:paraId="1BDE9D50" w14:textId="77777777" w:rsidR="00FE79FE" w:rsidRDefault="00FE79FE"/>
    <w:p w14:paraId="4645B831" w14:textId="77777777" w:rsidR="00FE79FE" w:rsidRDefault="00FE79FE"/>
    <w:p w14:paraId="7BB7F721" w14:textId="77777777" w:rsidR="00013002" w:rsidRDefault="00013002"/>
    <w:p w14:paraId="5B90AA31" w14:textId="77777777" w:rsidR="00013002" w:rsidRDefault="00013002"/>
    <w:p w14:paraId="57DE07B8" w14:textId="77777777" w:rsidR="00013002" w:rsidRDefault="00013002"/>
    <w:p w14:paraId="7BDB0996" w14:textId="77777777" w:rsidR="00FE79FE" w:rsidRDefault="00FE79FE"/>
    <w:p w14:paraId="1D0BC757" w14:textId="77777777" w:rsidR="00FE79FE" w:rsidRDefault="00FE79FE"/>
    <w:p w14:paraId="67EB1438" w14:textId="77777777" w:rsidR="00FE79FE" w:rsidRDefault="00FE79FE"/>
    <w:p w14:paraId="40738A5A" w14:textId="77777777" w:rsidR="00FE79FE" w:rsidRDefault="00FE79FE"/>
    <w:tbl>
      <w:tblPr>
        <w:tblW w:w="10089" w:type="dxa"/>
        <w:tblLook w:val="01E0" w:firstRow="1" w:lastRow="1" w:firstColumn="1" w:lastColumn="1" w:noHBand="0" w:noVBand="0"/>
      </w:tblPr>
      <w:tblGrid>
        <w:gridCol w:w="10089"/>
      </w:tblGrid>
      <w:tr w:rsidR="00FE79FE" w:rsidRPr="00A443C2" w14:paraId="4FDE334A" w14:textId="77777777">
        <w:tc>
          <w:tcPr>
            <w:tcW w:w="10089" w:type="dxa"/>
          </w:tcPr>
          <w:p w14:paraId="2B8F68A7" w14:textId="77777777" w:rsidR="00276D21" w:rsidRPr="00B033C8" w:rsidRDefault="00276D21" w:rsidP="00013002">
            <w:pPr>
              <w:spacing w:before="380" w:line="280" w:lineRule="exact"/>
              <w:jc w:val="right"/>
              <w:rPr>
                <w:rFonts w:ascii="Tahoma" w:hAnsi="Tahoma" w:cs="Tahoma"/>
                <w:b/>
                <w:bCs/>
                <w:iCs/>
                <w:color w:val="243285"/>
                <w:sz w:val="32"/>
                <w:szCs w:val="32"/>
                <w:lang w:val="en-US"/>
              </w:rPr>
            </w:pPr>
          </w:p>
          <w:p w14:paraId="37AE8CDC" w14:textId="77777777" w:rsidR="00FE79FE" w:rsidRPr="00A443C2" w:rsidRDefault="00FE79FE" w:rsidP="000D4786">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4822EF">
              <w:rPr>
                <w:rFonts w:ascii="Tahoma" w:hAnsi="Tahoma" w:cs="Tahoma"/>
                <w:b/>
                <w:bCs/>
                <w:iCs/>
                <w:color w:val="243285"/>
                <w:sz w:val="36"/>
                <w:szCs w:val="36"/>
              </w:rPr>
              <w:t>S</w:t>
            </w:r>
            <w:r w:rsidR="009B5564">
              <w:rPr>
                <w:rFonts w:ascii="Tahoma" w:hAnsi="Tahoma" w:cs="Tahoma"/>
                <w:b/>
                <w:bCs/>
                <w:iCs/>
                <w:color w:val="243285"/>
                <w:sz w:val="36"/>
                <w:szCs w:val="36"/>
              </w:rPr>
              <w:t>M</w:t>
            </w:r>
            <w:r w:rsidRPr="00A443C2">
              <w:rPr>
                <w:rFonts w:ascii="Tahoma" w:hAnsi="Tahoma" w:cs="Tahoma"/>
                <w:b/>
                <w:bCs/>
                <w:iCs/>
                <w:color w:val="243285"/>
                <w:sz w:val="36"/>
                <w:szCs w:val="36"/>
              </w:rPr>
              <w:t>.</w:t>
            </w:r>
            <w:r w:rsidR="000D4786">
              <w:rPr>
                <w:rFonts w:ascii="Tahoma" w:hAnsi="Tahoma" w:cs="Tahoma"/>
                <w:b/>
                <w:bCs/>
                <w:iCs/>
                <w:color w:val="243285"/>
                <w:sz w:val="36"/>
                <w:szCs w:val="36"/>
              </w:rPr>
              <w:t>443-4</w:t>
            </w:r>
          </w:p>
          <w:p w14:paraId="3E5EA49F" w14:textId="77777777" w:rsidR="00FE79FE" w:rsidRPr="00A443C2" w:rsidRDefault="00FE79FE" w:rsidP="000D4786">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A443C2" w:rsidRPr="00A443C2">
              <w:rPr>
                <w:rFonts w:ascii="Tahoma" w:hAnsi="Tahoma" w:cs="Tahoma"/>
                <w:b/>
                <w:bCs/>
                <w:iCs/>
                <w:color w:val="243285"/>
                <w:szCs w:val="24"/>
              </w:rPr>
              <w:t>0</w:t>
            </w:r>
            <w:r w:rsidR="000D4786">
              <w:rPr>
                <w:rFonts w:ascii="Tahoma" w:hAnsi="Tahoma" w:cs="Tahoma"/>
                <w:b/>
                <w:bCs/>
                <w:iCs/>
                <w:color w:val="243285"/>
                <w:szCs w:val="24"/>
              </w:rPr>
              <w:t>2</w:t>
            </w:r>
            <w:r w:rsidRPr="00A443C2">
              <w:rPr>
                <w:rFonts w:ascii="Tahoma" w:hAnsi="Tahoma" w:cs="Tahoma"/>
                <w:b/>
                <w:bCs/>
                <w:iCs/>
                <w:color w:val="243285"/>
                <w:szCs w:val="24"/>
              </w:rPr>
              <w:t>/</w:t>
            </w:r>
            <w:r w:rsidR="000D4786">
              <w:rPr>
                <w:rFonts w:ascii="Tahoma" w:hAnsi="Tahoma" w:cs="Tahoma"/>
                <w:b/>
                <w:bCs/>
                <w:iCs/>
                <w:color w:val="243285"/>
                <w:szCs w:val="24"/>
              </w:rPr>
              <w:t>2007</w:t>
            </w:r>
            <w:r w:rsidRPr="00A443C2">
              <w:rPr>
                <w:rFonts w:ascii="Tahoma" w:hAnsi="Tahoma" w:cs="Tahoma"/>
                <w:b/>
                <w:bCs/>
                <w:iCs/>
                <w:color w:val="243285"/>
                <w:szCs w:val="24"/>
              </w:rPr>
              <w:t>)</w:t>
            </w:r>
          </w:p>
        </w:tc>
      </w:tr>
      <w:tr w:rsidR="00FE79FE" w:rsidRPr="00F54FBD" w14:paraId="3F6C23F2" w14:textId="77777777">
        <w:tc>
          <w:tcPr>
            <w:tcW w:w="10089" w:type="dxa"/>
          </w:tcPr>
          <w:p w14:paraId="1A627B52" w14:textId="77777777" w:rsidR="00A443C2" w:rsidRDefault="00A443C2" w:rsidP="00123FD5">
            <w:pPr>
              <w:spacing w:before="80" w:line="500" w:lineRule="exact"/>
              <w:jc w:val="right"/>
              <w:rPr>
                <w:rFonts w:ascii="Tahoma" w:hAnsi="Tahoma" w:cs="Tahoma"/>
                <w:b/>
                <w:bCs/>
                <w:iCs/>
                <w:color w:val="243285"/>
                <w:sz w:val="44"/>
                <w:szCs w:val="44"/>
              </w:rPr>
            </w:pPr>
          </w:p>
          <w:p w14:paraId="4F21BFAC" w14:textId="77777777" w:rsidR="00FE79FE" w:rsidRDefault="000D4786" w:rsidP="000D4786">
            <w:pPr>
              <w:spacing w:before="80" w:line="500" w:lineRule="exact"/>
              <w:jc w:val="right"/>
              <w:rPr>
                <w:rFonts w:ascii="Tahoma" w:hAnsi="Tahoma" w:cs="Tahoma"/>
                <w:b/>
                <w:bCs/>
                <w:iCs/>
                <w:color w:val="243285"/>
                <w:sz w:val="44"/>
                <w:szCs w:val="44"/>
              </w:rPr>
            </w:pPr>
            <w:r w:rsidRPr="000D4786">
              <w:rPr>
                <w:rFonts w:ascii="Tahoma" w:hAnsi="Tahoma" w:cs="Tahoma"/>
                <w:b/>
                <w:bCs/>
                <w:iCs/>
                <w:color w:val="243285"/>
                <w:sz w:val="44"/>
                <w:szCs w:val="44"/>
              </w:rPr>
              <w:t>Mesure de la largeur de bande dans les stations de contrôle des émissions</w:t>
            </w:r>
          </w:p>
          <w:p w14:paraId="5CC2FCE1" w14:textId="77777777"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14:paraId="6131F8E7" w14:textId="77777777">
        <w:tc>
          <w:tcPr>
            <w:tcW w:w="10089" w:type="dxa"/>
          </w:tcPr>
          <w:p w14:paraId="32ABDD72"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065B32CA"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73B810B9" w14:textId="77777777" w:rsidR="00AD267B" w:rsidRPr="00F54FBD" w:rsidRDefault="00AD267B" w:rsidP="004A4D65">
            <w:pPr>
              <w:spacing w:before="80" w:after="180" w:line="360" w:lineRule="exact"/>
              <w:ind w:right="720"/>
              <w:rPr>
                <w:rFonts w:ascii="Tahoma" w:hAnsi="Tahoma" w:cs="Tahoma"/>
                <w:b/>
                <w:bCs/>
                <w:iCs/>
                <w:color w:val="243285"/>
                <w:sz w:val="36"/>
                <w:szCs w:val="36"/>
              </w:rPr>
            </w:pPr>
          </w:p>
          <w:p w14:paraId="776682E3" w14:textId="77777777" w:rsidR="00013002" w:rsidRPr="00F54FBD" w:rsidRDefault="00FE79FE" w:rsidP="009B556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4822EF">
              <w:rPr>
                <w:rFonts w:ascii="Tahoma" w:hAnsi="Tahoma" w:cs="Tahoma"/>
                <w:b/>
                <w:bCs/>
                <w:iCs/>
                <w:color w:val="243285"/>
                <w:sz w:val="36"/>
                <w:szCs w:val="36"/>
              </w:rPr>
              <w:t>S</w:t>
            </w:r>
            <w:r w:rsidR="009B5564">
              <w:rPr>
                <w:rFonts w:ascii="Tahoma" w:hAnsi="Tahoma" w:cs="Tahoma"/>
                <w:b/>
                <w:bCs/>
                <w:iCs/>
                <w:color w:val="243285"/>
                <w:sz w:val="36"/>
                <w:szCs w:val="36"/>
              </w:rPr>
              <w:t>M</w:t>
            </w:r>
          </w:p>
          <w:p w14:paraId="32B83E12" w14:textId="77777777" w:rsidR="00FE79FE" w:rsidRPr="00F54FBD" w:rsidRDefault="009B5564"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14:paraId="552690E1" w14:textId="77777777" w:rsidR="00A71FE5" w:rsidRPr="00F54FBD" w:rsidRDefault="00A71FE5" w:rsidP="00CD659B">
      <w:pPr>
        <w:spacing w:before="80"/>
        <w:rPr>
          <w:i/>
          <w:sz w:val="22"/>
        </w:rPr>
      </w:pPr>
    </w:p>
    <w:p w14:paraId="4390F535" w14:textId="77777777" w:rsidR="00FE79FE" w:rsidRPr="00F54FBD" w:rsidRDefault="00FE79FE" w:rsidP="00CD659B">
      <w:pPr>
        <w:spacing w:before="80"/>
        <w:rPr>
          <w:i/>
          <w:sz w:val="22"/>
        </w:rPr>
      </w:pPr>
    </w:p>
    <w:p w14:paraId="2B1BDA8E" w14:textId="77777777" w:rsidR="00FE79FE" w:rsidRPr="00F54FBD" w:rsidRDefault="00FE79FE" w:rsidP="00CD659B">
      <w:pPr>
        <w:spacing w:before="80"/>
        <w:rPr>
          <w:i/>
          <w:sz w:val="22"/>
        </w:rPr>
      </w:pPr>
    </w:p>
    <w:p w14:paraId="669C4D6E" w14:textId="77777777" w:rsidR="00FE79FE" w:rsidRPr="00F54FBD" w:rsidRDefault="00FE79FE" w:rsidP="00CD659B">
      <w:pPr>
        <w:spacing w:before="80"/>
        <w:rPr>
          <w:i/>
          <w:sz w:val="22"/>
        </w:rPr>
      </w:pPr>
    </w:p>
    <w:p w14:paraId="1553589E" w14:textId="77777777" w:rsidR="00FE79FE" w:rsidRPr="00F54FBD" w:rsidRDefault="00FE79FE" w:rsidP="00CD659B">
      <w:pPr>
        <w:spacing w:before="80"/>
        <w:rPr>
          <w:i/>
          <w:sz w:val="22"/>
        </w:rPr>
      </w:pPr>
    </w:p>
    <w:p w14:paraId="397B6F34" w14:textId="77777777" w:rsidR="00A71FE5" w:rsidRPr="00F54FBD" w:rsidRDefault="00A71FE5" w:rsidP="00CD659B">
      <w:pPr>
        <w:spacing w:before="80"/>
        <w:rPr>
          <w:i/>
          <w:sz w:val="22"/>
        </w:rPr>
      </w:pPr>
    </w:p>
    <w:p w14:paraId="4F65F482" w14:textId="77777777"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14:paraId="1561F82B" w14:textId="77777777"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14:paraId="6A7A5466" w14:textId="77777777"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14:paraId="7204B188" w14:textId="77777777"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14:paraId="391B9E80" w14:textId="77777777"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14:paraId="739C6425" w14:textId="7F0374CB"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51BAE2DD" w14:textId="77777777" w:rsidR="00F54FBD" w:rsidRPr="005C5B32"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14:paraId="68E9CE52" w14:textId="77777777">
        <w:tc>
          <w:tcPr>
            <w:tcW w:w="9360" w:type="dxa"/>
            <w:gridSpan w:val="2"/>
          </w:tcPr>
          <w:p w14:paraId="099E2935" w14:textId="77777777"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139F7F78" w14:textId="77777777"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14:paraId="66CABBE3" w14:textId="77777777" w:rsidTr="005E427C">
        <w:tc>
          <w:tcPr>
            <w:tcW w:w="1140" w:type="dxa"/>
            <w:tcBorders>
              <w:bottom w:val="nil"/>
            </w:tcBorders>
          </w:tcPr>
          <w:p w14:paraId="6C9D14AD" w14:textId="77777777"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14:paraId="612F1879" w14:textId="77777777"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14:paraId="59EFF47B" w14:textId="77777777" w:rsidTr="005E427C">
        <w:tc>
          <w:tcPr>
            <w:tcW w:w="1140" w:type="dxa"/>
            <w:tcBorders>
              <w:top w:val="nil"/>
              <w:bottom w:val="nil"/>
            </w:tcBorders>
            <w:shd w:val="clear" w:color="auto" w:fill="auto"/>
          </w:tcPr>
          <w:p w14:paraId="0A96DCD1" w14:textId="77777777"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14:paraId="58A2003C" w14:textId="77777777"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14:paraId="4D7167D9" w14:textId="77777777" w:rsidTr="00E80F1D">
        <w:tc>
          <w:tcPr>
            <w:tcW w:w="1140" w:type="dxa"/>
            <w:tcBorders>
              <w:top w:val="nil"/>
              <w:bottom w:val="nil"/>
            </w:tcBorders>
          </w:tcPr>
          <w:p w14:paraId="65830818" w14:textId="77777777"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14:paraId="6EDA72C2"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14:paraId="479DEC85" w14:textId="77777777" w:rsidTr="00E80F1D">
        <w:tc>
          <w:tcPr>
            <w:tcW w:w="1140" w:type="dxa"/>
            <w:tcBorders>
              <w:top w:val="nil"/>
              <w:bottom w:val="nil"/>
            </w:tcBorders>
            <w:shd w:val="clear" w:color="auto" w:fill="auto"/>
          </w:tcPr>
          <w:p w14:paraId="12A9D4EA" w14:textId="77777777"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14:paraId="1859C9C3" w14:textId="77777777"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14:paraId="7F792D34" w14:textId="77777777" w:rsidTr="00DE5EA2">
        <w:tc>
          <w:tcPr>
            <w:tcW w:w="1140" w:type="dxa"/>
            <w:tcBorders>
              <w:top w:val="nil"/>
              <w:bottom w:val="nil"/>
            </w:tcBorders>
            <w:shd w:val="clear" w:color="auto" w:fill="auto"/>
          </w:tcPr>
          <w:p w14:paraId="10878A61" w14:textId="77777777"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3AD45978"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14:paraId="24393F25" w14:textId="77777777" w:rsidTr="00DE5EA2">
        <w:tc>
          <w:tcPr>
            <w:tcW w:w="1140" w:type="dxa"/>
            <w:tcBorders>
              <w:top w:val="nil"/>
              <w:bottom w:val="nil"/>
            </w:tcBorders>
            <w:shd w:val="clear" w:color="auto" w:fill="auto"/>
          </w:tcPr>
          <w:p w14:paraId="66C81135" w14:textId="77777777"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14:paraId="24491F0F" w14:textId="77777777"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14:paraId="616DFA2B" w14:textId="77777777" w:rsidTr="00EC361D">
        <w:tc>
          <w:tcPr>
            <w:tcW w:w="1140" w:type="dxa"/>
            <w:tcBorders>
              <w:top w:val="nil"/>
              <w:bottom w:val="nil"/>
            </w:tcBorders>
            <w:shd w:val="clear" w:color="auto" w:fill="auto"/>
          </w:tcPr>
          <w:p w14:paraId="433826DD" w14:textId="77777777"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5C37BD82" w14:textId="77777777"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EC361D" w14:paraId="34532F64" w14:textId="77777777" w:rsidTr="004822EF">
        <w:tc>
          <w:tcPr>
            <w:tcW w:w="1140" w:type="dxa"/>
            <w:tcBorders>
              <w:top w:val="nil"/>
              <w:bottom w:val="nil"/>
            </w:tcBorders>
            <w:shd w:val="clear" w:color="auto" w:fill="auto"/>
          </w:tcPr>
          <w:p w14:paraId="53232A92" w14:textId="77777777" w:rsidR="00F54FBD" w:rsidRPr="00EC361D" w:rsidRDefault="00F54FBD" w:rsidP="00F336C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14:paraId="072512E9" w14:textId="77777777" w:rsidR="00F54FBD" w:rsidRPr="00EC361D" w:rsidRDefault="00614CC6" w:rsidP="00F336CC">
            <w:pPr>
              <w:spacing w:before="30" w:after="30"/>
              <w:jc w:val="left"/>
              <w:rPr>
                <w:sz w:val="20"/>
                <w:lang w:val="fr-CH"/>
              </w:rPr>
            </w:pPr>
            <w:r w:rsidRPr="00EC361D">
              <w:rPr>
                <w:sz w:val="20"/>
              </w:rPr>
              <w:t>Propagation des ondes radioélectriques</w:t>
            </w:r>
          </w:p>
        </w:tc>
      </w:tr>
      <w:tr w:rsidR="00F54FBD" w:rsidRPr="004822EF" w14:paraId="189CA007" w14:textId="77777777" w:rsidTr="00326525">
        <w:tc>
          <w:tcPr>
            <w:tcW w:w="1140" w:type="dxa"/>
            <w:tcBorders>
              <w:top w:val="nil"/>
              <w:bottom w:val="nil"/>
            </w:tcBorders>
            <w:shd w:val="clear" w:color="auto" w:fill="auto"/>
          </w:tcPr>
          <w:p w14:paraId="764DD263" w14:textId="77777777" w:rsidR="00F54FBD" w:rsidRPr="004822EF" w:rsidRDefault="00F54FBD" w:rsidP="00F336C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14:paraId="228D0F9C" w14:textId="77777777" w:rsidR="00F54FBD" w:rsidRPr="004822EF"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F54FBD" w:rsidRPr="00326525" w14:paraId="0E1B92AA" w14:textId="77777777" w:rsidTr="00C40D3E">
        <w:tc>
          <w:tcPr>
            <w:tcW w:w="1140" w:type="dxa"/>
            <w:tcBorders>
              <w:top w:val="nil"/>
              <w:bottom w:val="nil"/>
            </w:tcBorders>
            <w:shd w:val="clear" w:color="auto" w:fill="auto"/>
          </w:tcPr>
          <w:p w14:paraId="4BB3E38A" w14:textId="77777777" w:rsidR="00F54FBD" w:rsidRPr="00326525" w:rsidRDefault="00F54FBD" w:rsidP="00F336CC">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14:paraId="4F2D0B69" w14:textId="77777777" w:rsidR="00F54FBD" w:rsidRPr="00326525"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F54FBD" w:rsidRPr="00C40D3E" w14:paraId="5E924E3C" w14:textId="77777777" w:rsidTr="00595D3D">
        <w:tc>
          <w:tcPr>
            <w:tcW w:w="1140" w:type="dxa"/>
            <w:tcBorders>
              <w:top w:val="nil"/>
              <w:bottom w:val="nil"/>
            </w:tcBorders>
            <w:shd w:val="clear" w:color="auto" w:fill="auto"/>
          </w:tcPr>
          <w:p w14:paraId="52D63D3A" w14:textId="77777777" w:rsidR="00F54FBD" w:rsidRPr="00C40D3E" w:rsidRDefault="00F54FBD" w:rsidP="00F336CC">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14:paraId="7FF7C01E" w14:textId="77777777" w:rsidR="00F54FBD" w:rsidRPr="00C40D3E" w:rsidRDefault="00614CC6" w:rsidP="00F336CC">
            <w:pPr>
              <w:spacing w:before="30" w:after="30"/>
              <w:jc w:val="left"/>
              <w:rPr>
                <w:sz w:val="20"/>
                <w:lang w:val="en-US"/>
              </w:rPr>
            </w:pPr>
            <w:r w:rsidRPr="00C40D3E">
              <w:rPr>
                <w:sz w:val="20"/>
              </w:rPr>
              <w:t>Service fixe par satellite</w:t>
            </w:r>
          </w:p>
        </w:tc>
      </w:tr>
      <w:tr w:rsidR="00F54FBD" w:rsidRPr="00595D3D" w14:paraId="334079F5" w14:textId="77777777" w:rsidTr="009B5564">
        <w:tc>
          <w:tcPr>
            <w:tcW w:w="1140" w:type="dxa"/>
            <w:tcBorders>
              <w:top w:val="nil"/>
              <w:bottom w:val="nil"/>
            </w:tcBorders>
            <w:shd w:val="clear" w:color="auto" w:fill="auto"/>
          </w:tcPr>
          <w:p w14:paraId="2DD04012" w14:textId="77777777" w:rsidR="00F54FBD" w:rsidRPr="00595D3D" w:rsidRDefault="00F54FBD" w:rsidP="00F336CC">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14:paraId="2936B813" w14:textId="77777777" w:rsidR="00F54FBD" w:rsidRPr="00595D3D" w:rsidRDefault="00614CC6" w:rsidP="00F336CC">
            <w:pPr>
              <w:spacing w:before="30" w:after="30"/>
              <w:jc w:val="left"/>
              <w:rPr>
                <w:sz w:val="20"/>
                <w:lang w:val="en-US"/>
              </w:rPr>
            </w:pPr>
            <w:r w:rsidRPr="00595D3D">
              <w:rPr>
                <w:sz w:val="20"/>
              </w:rPr>
              <w:t>Applications spatiales et météorologie</w:t>
            </w:r>
          </w:p>
        </w:tc>
      </w:tr>
      <w:tr w:rsidR="00F54FBD" w:rsidRPr="009B5564" w14:paraId="22A833E5" w14:textId="77777777" w:rsidTr="009B5564">
        <w:tc>
          <w:tcPr>
            <w:tcW w:w="1140" w:type="dxa"/>
            <w:tcBorders>
              <w:top w:val="nil"/>
              <w:bottom w:val="nil"/>
            </w:tcBorders>
            <w:shd w:val="clear" w:color="auto" w:fill="auto"/>
          </w:tcPr>
          <w:p w14:paraId="4B9389AA" w14:textId="77777777" w:rsidR="00F54FBD" w:rsidRPr="009B5564" w:rsidRDefault="00F54FBD" w:rsidP="00F336CC">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14:paraId="76151A8B" w14:textId="77777777" w:rsidR="00F54FBD" w:rsidRPr="009B5564" w:rsidRDefault="00614CC6" w:rsidP="00F336CC">
            <w:pPr>
              <w:spacing w:before="30" w:after="30"/>
              <w:jc w:val="left"/>
              <w:rPr>
                <w:bCs/>
                <w:sz w:val="20"/>
              </w:rPr>
            </w:pPr>
            <w:r w:rsidRPr="009B5564">
              <w:rPr>
                <w:bCs/>
                <w:sz w:val="20"/>
              </w:rPr>
              <w:t>Partage des fréquences et coordination entre les systèmes du service fixe par satellite et du service fixe</w:t>
            </w:r>
          </w:p>
        </w:tc>
      </w:tr>
      <w:tr w:rsidR="00F54FBD" w:rsidRPr="009B5564" w14:paraId="6868D233" w14:textId="77777777" w:rsidTr="009B5564">
        <w:tc>
          <w:tcPr>
            <w:tcW w:w="1140" w:type="dxa"/>
            <w:tcBorders>
              <w:top w:val="nil"/>
              <w:bottom w:val="nil"/>
            </w:tcBorders>
            <w:shd w:val="clear" w:color="auto" w:fill="F3F3F3"/>
          </w:tcPr>
          <w:p w14:paraId="29DB9329" w14:textId="77777777" w:rsidR="00F54FBD" w:rsidRPr="009B5564" w:rsidRDefault="00F54FBD" w:rsidP="00F336CC">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14:paraId="67A963DC" w14:textId="77777777" w:rsidR="00F54FBD" w:rsidRPr="009B5564" w:rsidRDefault="00614CC6" w:rsidP="00F336CC">
            <w:pPr>
              <w:spacing w:before="30" w:after="30"/>
              <w:jc w:val="left"/>
              <w:rPr>
                <w:b/>
                <w:bCs/>
                <w:color w:val="000080"/>
                <w:sz w:val="20"/>
                <w:lang w:val="en-US"/>
              </w:rPr>
            </w:pPr>
            <w:r w:rsidRPr="009B5564">
              <w:rPr>
                <w:b/>
                <w:bCs/>
                <w:color w:val="000080"/>
                <w:sz w:val="20"/>
              </w:rPr>
              <w:t>Gestion du spectre</w:t>
            </w:r>
          </w:p>
        </w:tc>
      </w:tr>
      <w:tr w:rsidR="00F54FBD" w:rsidRPr="00036EE3" w14:paraId="7959F8F4" w14:textId="77777777" w:rsidTr="009B5564">
        <w:tc>
          <w:tcPr>
            <w:tcW w:w="1140" w:type="dxa"/>
            <w:tcBorders>
              <w:top w:val="nil"/>
            </w:tcBorders>
          </w:tcPr>
          <w:p w14:paraId="1854E238" w14:textId="77777777"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Borders>
              <w:top w:val="nil"/>
            </w:tcBorders>
          </w:tcPr>
          <w:p w14:paraId="0B774335" w14:textId="77777777"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14:paraId="46B5869F" w14:textId="77777777">
        <w:tc>
          <w:tcPr>
            <w:tcW w:w="1140" w:type="dxa"/>
          </w:tcPr>
          <w:p w14:paraId="0BB0AB65" w14:textId="77777777"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14:paraId="13ABF3D2" w14:textId="77777777"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14:paraId="2AEC9F2A" w14:textId="77777777">
        <w:tc>
          <w:tcPr>
            <w:tcW w:w="1140" w:type="dxa"/>
          </w:tcPr>
          <w:p w14:paraId="3CFA589B" w14:textId="77777777"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14:paraId="6B25F9CA" w14:textId="77777777" w:rsidR="00F54FBD" w:rsidRPr="00614CC6" w:rsidRDefault="00614CC6" w:rsidP="00614CC6">
            <w:pPr>
              <w:spacing w:before="30" w:after="140"/>
              <w:jc w:val="left"/>
              <w:rPr>
                <w:sz w:val="20"/>
                <w:lang w:val="en-US"/>
              </w:rPr>
            </w:pPr>
            <w:r w:rsidRPr="00614CC6">
              <w:rPr>
                <w:sz w:val="20"/>
              </w:rPr>
              <w:t>Vocabulaire et sujets associés</w:t>
            </w:r>
          </w:p>
        </w:tc>
      </w:tr>
    </w:tbl>
    <w:p w14:paraId="52A2CD92" w14:textId="77777777" w:rsidR="00F54FBD" w:rsidRPr="00036EE3" w:rsidRDefault="00F54FBD" w:rsidP="00614CC6">
      <w:pPr>
        <w:spacing w:before="0"/>
        <w:jc w:val="center"/>
        <w:rPr>
          <w:sz w:val="20"/>
          <w:lang w:val="en-US"/>
        </w:rPr>
      </w:pPr>
    </w:p>
    <w:p w14:paraId="4AB54689" w14:textId="77777777"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14:paraId="21C36450" w14:textId="77777777">
        <w:tc>
          <w:tcPr>
            <w:tcW w:w="9360" w:type="dxa"/>
          </w:tcPr>
          <w:p w14:paraId="275FD036" w14:textId="77777777" w:rsidR="00F54FBD" w:rsidRPr="00756B4D" w:rsidRDefault="00756B4D" w:rsidP="00756B4D">
            <w:pPr>
              <w:spacing w:before="80" w:after="80"/>
              <w:jc w:val="left"/>
              <w:rPr>
                <w:i/>
                <w:iCs/>
                <w:sz w:val="20"/>
              </w:rPr>
            </w:pPr>
            <w:r>
              <w:rPr>
                <w:b/>
                <w:bCs/>
                <w:i/>
                <w:iCs/>
                <w:sz w:val="20"/>
              </w:rPr>
              <w:t xml:space="preserve">    </w:t>
            </w:r>
            <w:r w:rsidR="00F54FBD" w:rsidRPr="00756B4D">
              <w:rPr>
                <w:b/>
                <w:bCs/>
                <w:i/>
                <w:iCs/>
                <w:sz w:val="20"/>
              </w:rPr>
              <w:t>Note</w:t>
            </w:r>
            <w:r w:rsidR="00F54FBD" w:rsidRPr="00756B4D">
              <w:rPr>
                <w:i/>
                <w:iCs/>
                <w:sz w:val="20"/>
              </w:rPr>
              <w:t xml:space="preserve">: </w:t>
            </w:r>
            <w:r w:rsidRPr="00756B4D">
              <w:rPr>
                <w:i/>
                <w:iCs/>
                <w:sz w:val="20"/>
              </w:rPr>
              <w:t>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14:paraId="5FEC097B" w14:textId="77777777" w:rsidR="00F54FBD" w:rsidRPr="00756B4D" w:rsidRDefault="00F54FBD" w:rsidP="00F54FBD">
      <w:pPr>
        <w:spacing w:before="0"/>
        <w:jc w:val="center"/>
        <w:rPr>
          <w:sz w:val="22"/>
        </w:rPr>
      </w:pPr>
    </w:p>
    <w:p w14:paraId="7D34AB44" w14:textId="77777777"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14:paraId="689B4C02" w14:textId="77777777" w:rsidR="00F54FBD" w:rsidRPr="00614CC6" w:rsidRDefault="00F54FBD" w:rsidP="000A5F59">
      <w:pPr>
        <w:spacing w:before="0"/>
        <w:jc w:val="right"/>
        <w:rPr>
          <w:sz w:val="20"/>
        </w:rPr>
      </w:pPr>
      <w:r w:rsidRPr="00614CC6">
        <w:rPr>
          <w:sz w:val="20"/>
        </w:rPr>
        <w:t>G</w:t>
      </w:r>
      <w:r w:rsidR="00614CC6" w:rsidRPr="00614CC6">
        <w:rPr>
          <w:sz w:val="20"/>
        </w:rPr>
        <w:t>enève</w:t>
      </w:r>
      <w:r w:rsidRPr="00614CC6">
        <w:rPr>
          <w:sz w:val="20"/>
        </w:rPr>
        <w:t>, 20</w:t>
      </w:r>
      <w:r w:rsidR="00E4298B">
        <w:rPr>
          <w:sz w:val="20"/>
        </w:rPr>
        <w:t>18</w:t>
      </w:r>
    </w:p>
    <w:p w14:paraId="28BFCFC1" w14:textId="77777777" w:rsidR="00F54FBD" w:rsidRPr="00614CC6" w:rsidRDefault="00F54FBD" w:rsidP="000A5F59">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E4298B">
        <w:rPr>
          <w:sz w:val="20"/>
        </w:rPr>
        <w:t>18</w:t>
      </w:r>
    </w:p>
    <w:p w14:paraId="6191EF96" w14:textId="77777777"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14:paraId="36A12A7B" w14:textId="77777777" w:rsidR="007565CC" w:rsidRPr="00614CC6" w:rsidRDefault="007565CC" w:rsidP="00CD659B">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14:paraId="5FE7741E" w14:textId="77777777" w:rsidR="005C5B32" w:rsidRDefault="00756B4D" w:rsidP="005C5B32">
      <w:pPr>
        <w:pStyle w:val="RecNo"/>
        <w:spacing w:before="0"/>
      </w:pPr>
      <w:bookmarkStart w:id="2" w:name="irecnoe"/>
      <w:bookmarkEnd w:id="2"/>
      <w:r w:rsidRPr="00756B4D">
        <w:lastRenderedPageBreak/>
        <w:t>RECOMMA</w:t>
      </w:r>
      <w:r w:rsidR="00934ED7" w:rsidRPr="00756B4D">
        <w:t xml:space="preserve">NDATION  </w:t>
      </w:r>
      <w:r w:rsidR="00273CBE">
        <w:rPr>
          <w:rStyle w:val="href"/>
        </w:rPr>
        <w:t>UIT</w:t>
      </w:r>
      <w:r w:rsidR="00934ED7" w:rsidRPr="00756B4D">
        <w:rPr>
          <w:rStyle w:val="href"/>
        </w:rPr>
        <w:t xml:space="preserve">-R  </w:t>
      </w:r>
      <w:r w:rsidR="004822EF">
        <w:rPr>
          <w:rStyle w:val="href"/>
        </w:rPr>
        <w:t>S</w:t>
      </w:r>
      <w:r w:rsidR="009B5564">
        <w:rPr>
          <w:rStyle w:val="href"/>
        </w:rPr>
        <w:t>M</w:t>
      </w:r>
      <w:r w:rsidR="00934ED7" w:rsidRPr="00756B4D">
        <w:rPr>
          <w:rStyle w:val="href"/>
        </w:rPr>
        <w:t>.</w:t>
      </w:r>
      <w:r w:rsidR="005C5B32">
        <w:rPr>
          <w:rStyle w:val="href"/>
        </w:rPr>
        <w:t>443-4</w:t>
      </w:r>
      <w:r w:rsidR="005C5B32">
        <w:rPr>
          <w:rStyle w:val="FootnoteReference"/>
        </w:rPr>
        <w:footnoteReference w:id="1"/>
      </w:r>
    </w:p>
    <w:p w14:paraId="4D5E8F05" w14:textId="77777777" w:rsidR="005C5B32" w:rsidRDefault="005C5B32" w:rsidP="005C5B32">
      <w:pPr>
        <w:pStyle w:val="Rectitle"/>
      </w:pPr>
      <w:r>
        <w:t>Mesure de la largeur de bande dans les stations de contrôle des émissions</w:t>
      </w:r>
    </w:p>
    <w:p w14:paraId="3FA190C7" w14:textId="77777777" w:rsidR="005C5B32" w:rsidRDefault="005C5B32" w:rsidP="005C5B32">
      <w:pPr>
        <w:pStyle w:val="Recdate"/>
      </w:pPr>
    </w:p>
    <w:p w14:paraId="343BF397" w14:textId="77777777" w:rsidR="005C5B32" w:rsidRDefault="005C5B32" w:rsidP="005C5B32">
      <w:pPr>
        <w:pStyle w:val="Recdate"/>
      </w:pPr>
    </w:p>
    <w:p w14:paraId="7AFCC4C3" w14:textId="77777777" w:rsidR="005C5B32" w:rsidRDefault="005C5B32" w:rsidP="005C5B32">
      <w:pPr>
        <w:pStyle w:val="Recdate"/>
      </w:pPr>
      <w:r>
        <w:t>(1966-1978-1995-2005-2007)</w:t>
      </w:r>
    </w:p>
    <w:p w14:paraId="285E013A" w14:textId="77777777" w:rsidR="005C5B32" w:rsidRPr="005C5B32" w:rsidRDefault="005C5B32" w:rsidP="005C5B32">
      <w:pPr>
        <w:pStyle w:val="HeadingSum"/>
        <w:rPr>
          <w:lang w:val="fr-CH"/>
        </w:rPr>
      </w:pPr>
      <w:r w:rsidRPr="005C5B32">
        <w:rPr>
          <w:lang w:val="fr-CH"/>
        </w:rPr>
        <w:t xml:space="preserve">Domaine </w:t>
      </w:r>
      <w:r>
        <w:rPr>
          <w:lang w:val="fr-CH"/>
        </w:rPr>
        <w:t>d'application</w:t>
      </w:r>
    </w:p>
    <w:p w14:paraId="3961CC43" w14:textId="77777777" w:rsidR="005C5B32" w:rsidRPr="005C5B32" w:rsidRDefault="005C5B32" w:rsidP="005C5B32">
      <w:pPr>
        <w:pStyle w:val="Summary"/>
        <w:rPr>
          <w:lang w:val="fr-CH"/>
        </w:rPr>
      </w:pPr>
      <w:r w:rsidRPr="005C5B32">
        <w:rPr>
          <w:lang w:val="fr-CH"/>
        </w:rPr>
        <w:t>La présente Recommandation propose des méthodes permettant aux stations de contrôle des émissions de déterminer la largeur de bande occupée pour différentes classes d'émission.</w:t>
      </w:r>
    </w:p>
    <w:p w14:paraId="063F3297" w14:textId="77777777" w:rsidR="00D77C72" w:rsidRPr="00B26D9B" w:rsidRDefault="00D77C72" w:rsidP="00D77C72">
      <w:pPr>
        <w:pStyle w:val="Headingb"/>
      </w:pPr>
      <w:r w:rsidRPr="00B26D9B">
        <w:t>Mots clés</w:t>
      </w:r>
    </w:p>
    <w:p w14:paraId="77E5F709" w14:textId="418478A4" w:rsidR="005C5B32" w:rsidRDefault="00D77C72" w:rsidP="00D77C72">
      <w:r w:rsidRPr="00D77C72">
        <w:rPr>
          <w:rFonts w:eastAsia="Calibri"/>
        </w:rPr>
        <w:t>Mesures de la largeur de</w:t>
      </w:r>
      <w:r w:rsidRPr="00B26D9B">
        <w:rPr>
          <w:rFonts w:eastAsia="Calibri"/>
        </w:rPr>
        <w:t xml:space="preserve"> </w:t>
      </w:r>
      <w:r w:rsidRPr="00D77C72">
        <w:rPr>
          <w:rFonts w:eastAsia="Calibri"/>
        </w:rPr>
        <w:t xml:space="preserve">bande, </w:t>
      </w:r>
      <w:r w:rsidRPr="00B26D9B">
        <w:rPr>
          <w:rFonts w:eastAsia="Calibri"/>
        </w:rPr>
        <w:t xml:space="preserve">méthode à </w:t>
      </w:r>
      <w:r w:rsidRPr="00D77C72">
        <w:rPr>
          <w:rFonts w:eastAsia="Calibri"/>
          <w:i/>
          <w:iCs/>
        </w:rPr>
        <w:t>x</w:t>
      </w:r>
      <w:r w:rsidRPr="00D77C72">
        <w:rPr>
          <w:rFonts w:eastAsia="Calibri"/>
        </w:rPr>
        <w:t xml:space="preserve"> dB, stations</w:t>
      </w:r>
      <w:r w:rsidRPr="00B26D9B">
        <w:rPr>
          <w:rFonts w:eastAsia="Calibri"/>
        </w:rPr>
        <w:t xml:space="preserve"> de contrôle des émissions</w:t>
      </w:r>
    </w:p>
    <w:p w14:paraId="4C430629" w14:textId="77777777" w:rsidR="005C5B32" w:rsidRDefault="005C5B32" w:rsidP="005C5B32">
      <w:pPr>
        <w:pStyle w:val="Normalaftertitle"/>
      </w:pPr>
      <w:r>
        <w:t>L'Assemblée des radiocommunications de l'UIT,</w:t>
      </w:r>
    </w:p>
    <w:p w14:paraId="42503055" w14:textId="77777777" w:rsidR="005C5B32" w:rsidRDefault="005C5B32" w:rsidP="005C5B32">
      <w:pPr>
        <w:pStyle w:val="Call"/>
      </w:pPr>
      <w:r>
        <w:t>considérant</w:t>
      </w:r>
    </w:p>
    <w:p w14:paraId="195AF3C4" w14:textId="77777777" w:rsidR="005C5B32" w:rsidRDefault="005C5B32" w:rsidP="005C5B32">
      <w:r>
        <w:t>a)</w:t>
      </w:r>
      <w:r>
        <w:tab/>
        <w:t>que les stations de contrôle doivent mesurer la largeur de bande des émissions afin d'encourager une utilisation efficace du spectre des fréquences radioélectriques;</w:t>
      </w:r>
    </w:p>
    <w:p w14:paraId="5146533C" w14:textId="77777777" w:rsidR="005C5B32" w:rsidRDefault="005C5B32" w:rsidP="005C5B32">
      <w:r>
        <w:t>b)</w:t>
      </w:r>
      <w:r>
        <w:tab/>
        <w:t>que les mesures de la largeur de bande faites dans les stations de contrôle doivent être uniformes, faciles à réaliser et fiables afin de pouvoir comparer les résultats obtenus avec différentes stations de contrôle;</w:t>
      </w:r>
    </w:p>
    <w:p w14:paraId="11F40502" w14:textId="77777777" w:rsidR="005C5B32" w:rsidRDefault="005C5B32" w:rsidP="005C5B32">
      <w:r>
        <w:t>c)</w:t>
      </w:r>
      <w:r>
        <w:tab/>
        <w:t>les définitions des différentes largeurs de bande données dans le Règlement des radiocommunications (RR) et dans la Recommandation UIT</w:t>
      </w:r>
      <w:r>
        <w:noBreakHyphen/>
        <w:t xml:space="preserve">R SM.328, notamment les définitions de la largeur de bande occupée et de la largeur de bande à </w:t>
      </w:r>
      <w:r>
        <w:rPr>
          <w:i/>
          <w:iCs/>
        </w:rPr>
        <w:t>x</w:t>
      </w:r>
      <w:r>
        <w:t xml:space="preserve"> dB;</w:t>
      </w:r>
    </w:p>
    <w:p w14:paraId="5970D9E5" w14:textId="77777777" w:rsidR="005C5B32" w:rsidRDefault="005C5B32" w:rsidP="005C5B32">
      <w:r>
        <w:t>d)</w:t>
      </w:r>
      <w:r>
        <w:tab/>
        <w:t>l'existence d'un nombre croissant d'équipements permettant de mesurer directement la largeur de bande occupée, notamment les équipements utilisant les techniques de traitement du signal numérique et de la transformée de Fourier rapide (TFR);</w:t>
      </w:r>
    </w:p>
    <w:p w14:paraId="5963FA8F" w14:textId="77777777" w:rsidR="005C5B32" w:rsidRDefault="005C5B32" w:rsidP="005C5B32">
      <w:r>
        <w:t>e)</w:t>
      </w:r>
      <w:r>
        <w:tab/>
        <w:t>le Chapitre 4.5 sur la mesure de la largeur de bande du Manuel de l'UIT</w:t>
      </w:r>
      <w:r>
        <w:noBreakHyphen/>
        <w:t>R – Contrôle du spectre (édition de 2011),</w:t>
      </w:r>
    </w:p>
    <w:p w14:paraId="6B902E04" w14:textId="77777777" w:rsidR="005C5B32" w:rsidRDefault="005C5B32" w:rsidP="005C5B32">
      <w:pPr>
        <w:pStyle w:val="Call"/>
      </w:pPr>
      <w:r>
        <w:t>recommande</w:t>
      </w:r>
    </w:p>
    <w:p w14:paraId="15424924" w14:textId="77777777" w:rsidR="005C5B32" w:rsidRDefault="005C5B32" w:rsidP="005C5B32">
      <w:r>
        <w:rPr>
          <w:b/>
        </w:rPr>
        <w:t>1</w:t>
      </w:r>
      <w:r>
        <w:tab/>
        <w:t xml:space="preserve">d'utiliser, dans les stations de contrôle des émissions, la «méthode à </w:t>
      </w:r>
      <w:r>
        <w:sym w:font="Symbol" w:char="F062"/>
      </w:r>
      <w:r>
        <w:t>%» directe décrite dans l'Annexe 1 pour mesurer la largeur de bande occupée;</w:t>
      </w:r>
    </w:p>
    <w:p w14:paraId="2AFC9CF5" w14:textId="77777777" w:rsidR="005C5B32" w:rsidRDefault="005C5B32" w:rsidP="005C5B32">
      <w:r>
        <w:rPr>
          <w:b/>
        </w:rPr>
        <w:t>2</w:t>
      </w:r>
      <w:r>
        <w:rPr>
          <w:b/>
        </w:rPr>
        <w:tab/>
      </w:r>
      <w:r>
        <w:t xml:space="preserve">d'utiliser, dans les stations de contrôle des émissions, «la méthode à </w:t>
      </w:r>
      <w:r>
        <w:rPr>
          <w:i/>
          <w:iCs/>
        </w:rPr>
        <w:t>x</w:t>
      </w:r>
      <w:r>
        <w:t xml:space="preserve"> dB» décrite dans l'Annexe 2 pour mesurer la largeur de bande à </w:t>
      </w:r>
      <w:r>
        <w:rPr>
          <w:i/>
          <w:iCs/>
        </w:rPr>
        <w:t>x</w:t>
      </w:r>
      <w:r>
        <w:t xml:space="preserve"> dB;</w:t>
      </w:r>
    </w:p>
    <w:p w14:paraId="381E234B" w14:textId="77777777" w:rsidR="005C5B32" w:rsidRDefault="005C5B32" w:rsidP="005C5B32">
      <w:r>
        <w:rPr>
          <w:b/>
        </w:rPr>
        <w:t>3</w:t>
      </w:r>
      <w:r>
        <w:tab/>
        <w:t xml:space="preserve">d'estimer la largeur de bande occupée à partir de la largeur de bande à </w:t>
      </w:r>
      <w:r>
        <w:rPr>
          <w:i/>
          <w:iCs/>
        </w:rPr>
        <w:t>x</w:t>
      </w:r>
      <w:r>
        <w:t xml:space="preserve"> dB en procédant comme indiqué dans l'Annexe 3 lorsque les conditions pour une mesure exacte de la largeur de bande occupée ne sont pas remplies ou lorsqu'on ne dispose pas d'équipements pouvant effectuer des mesures à </w:t>
      </w:r>
      <w:r>
        <w:sym w:font="Symbol" w:char="F062"/>
      </w:r>
      <w:r>
        <w:t>%.</w:t>
      </w:r>
    </w:p>
    <w:p w14:paraId="773CC83D" w14:textId="77777777" w:rsidR="005C5B32" w:rsidRDefault="005C5B32" w:rsidP="005C5B32">
      <w:pPr>
        <w:pStyle w:val="AnnexNoTitle"/>
      </w:pPr>
      <w:bookmarkStart w:id="3" w:name="_Toc105991390"/>
      <w:bookmarkStart w:id="4" w:name="_Toc107994075"/>
      <w:r>
        <w:t>Annexe 1</w:t>
      </w:r>
      <w:r>
        <w:br/>
      </w:r>
      <w:r>
        <w:br/>
        <w:t>Méthode de mesure de l</w:t>
      </w:r>
      <w:bookmarkStart w:id="5" w:name="_GoBack"/>
      <w:bookmarkEnd w:id="5"/>
      <w:r>
        <w:t xml:space="preserve">a largeur de bande occupée </w:t>
      </w:r>
      <w:r>
        <w:rPr>
          <w:rFonts w:hint="eastAsia"/>
        </w:rPr>
        <w:t>(</w:t>
      </w:r>
      <w:r>
        <w:t>méthode à β%</w:t>
      </w:r>
      <w:r>
        <w:rPr>
          <w:rFonts w:hint="eastAsia"/>
        </w:rPr>
        <w:t>)</w:t>
      </w:r>
      <w:bookmarkEnd w:id="3"/>
      <w:bookmarkEnd w:id="4"/>
    </w:p>
    <w:p w14:paraId="71DABDC0" w14:textId="77777777" w:rsidR="005C5B32" w:rsidRDefault="005C5B32" w:rsidP="005C5B32">
      <w:pPr>
        <w:pStyle w:val="Heading1"/>
      </w:pPr>
      <w:bookmarkStart w:id="6" w:name="_Toc105991391"/>
      <w:bookmarkStart w:id="7" w:name="_Toc107994076"/>
      <w:r>
        <w:t>1</w:t>
      </w:r>
      <w:r>
        <w:tab/>
        <w:t>Introduction</w:t>
      </w:r>
      <w:bookmarkEnd w:id="6"/>
      <w:bookmarkEnd w:id="7"/>
    </w:p>
    <w:p w14:paraId="6FAE56AC" w14:textId="77777777" w:rsidR="005C5B32" w:rsidRDefault="005C5B32" w:rsidP="005C5B32">
      <w:pPr>
        <w:keepNext/>
      </w:pPr>
      <w:r>
        <w:rPr>
          <w:lang w:eastAsia="ko-KR"/>
        </w:rPr>
        <w:t>Le numéro </w:t>
      </w:r>
      <w:r>
        <w:t>1</w:t>
      </w:r>
      <w:r>
        <w:rPr>
          <w:rFonts w:hint="eastAsia"/>
          <w:lang w:eastAsia="ko-KR"/>
        </w:rPr>
        <w:t>.</w:t>
      </w:r>
      <w:r>
        <w:t>153 du RR et la Recommandation UIT</w:t>
      </w:r>
      <w:r>
        <w:noBreakHyphen/>
        <w:t>R SM.328</w:t>
      </w:r>
      <w:r>
        <w:rPr>
          <w:rFonts w:hint="eastAsia"/>
          <w:lang w:eastAsia="ko-KR"/>
        </w:rPr>
        <w:t xml:space="preserve"> </w:t>
      </w:r>
      <w:r>
        <w:rPr>
          <w:lang w:eastAsia="ko-KR"/>
        </w:rPr>
        <w:t>définissent la largeur de bande occupée comme suit</w:t>
      </w:r>
      <w:r>
        <w:rPr>
          <w:rFonts w:hint="eastAsia"/>
          <w:lang w:eastAsia="ko-KR"/>
        </w:rPr>
        <w:t>:</w:t>
      </w:r>
    </w:p>
    <w:p w14:paraId="0E40024B" w14:textId="77777777" w:rsidR="005C5B32" w:rsidRDefault="005C5B32" w:rsidP="005C5B32">
      <w:pPr>
        <w:pStyle w:val="enumlev1"/>
        <w:rPr>
          <w:lang w:eastAsia="ko-KR"/>
        </w:rPr>
      </w:pPr>
      <w:r>
        <w:tab/>
      </w:r>
      <w:r>
        <w:tab/>
      </w:r>
      <w:r>
        <w:tab/>
      </w:r>
      <w:r>
        <w:rPr>
          <w:i/>
          <w:iCs/>
        </w:rPr>
        <w:t>«Largeur de bande occupée</w:t>
      </w:r>
      <w:r>
        <w:t>: Largeur de la bande de fréquence telle que, au</w:t>
      </w:r>
      <w:r>
        <w:noBreakHyphen/>
        <w:t>dessous de sa fréquence limite inférieure et au</w:t>
      </w:r>
      <w:r>
        <w:noBreakHyphen/>
        <w:t xml:space="preserve">dessus de sa fréquence limite supérieure, soient émises des puissances moyennes égales chacune à un pourcentage donné β/2 de la </w:t>
      </w:r>
      <w:r w:rsidRPr="00424FF6">
        <w:rPr>
          <w:i/>
        </w:rPr>
        <w:t>puissance moyenne</w:t>
      </w:r>
      <w:r>
        <w:t xml:space="preserve"> totale d'une </w:t>
      </w:r>
      <w:r w:rsidRPr="00424FF6">
        <w:rPr>
          <w:i/>
        </w:rPr>
        <w:t>émission</w:t>
      </w:r>
      <w:r>
        <w:t>.</w:t>
      </w:r>
    </w:p>
    <w:p w14:paraId="48A4A9D3" w14:textId="77777777" w:rsidR="005C5B32" w:rsidRDefault="005C5B32" w:rsidP="005C5B32">
      <w:pPr>
        <w:pStyle w:val="enumlev1"/>
      </w:pPr>
      <w:r>
        <w:rPr>
          <w:lang w:eastAsia="ko-KR"/>
        </w:rPr>
        <w:tab/>
      </w:r>
      <w:r>
        <w:rPr>
          <w:lang w:eastAsia="ko-KR"/>
        </w:rPr>
        <w:tab/>
      </w:r>
      <w:r>
        <w:rPr>
          <w:lang w:eastAsia="ko-KR"/>
        </w:rPr>
        <w:tab/>
        <w:t xml:space="preserve">En l'absence de spécifications dans une Recommandation de l'UIT-R pour la </w:t>
      </w:r>
      <w:r w:rsidRPr="00424FF6">
        <w:rPr>
          <w:i/>
          <w:lang w:eastAsia="ko-KR"/>
        </w:rPr>
        <w:t>classe d'émission</w:t>
      </w:r>
      <w:r>
        <w:rPr>
          <w:lang w:eastAsia="ko-KR"/>
        </w:rPr>
        <w:t xml:space="preserve"> considérée, la valeur de </w:t>
      </w:r>
      <w:r>
        <w:t>β/2 doit être prise égale à 0,5%.»</w:t>
      </w:r>
    </w:p>
    <w:p w14:paraId="7013CE6E" w14:textId="77777777" w:rsidR="005C5B32" w:rsidRDefault="005C5B32" w:rsidP="005C5B32">
      <w:pPr>
        <w:rPr>
          <w:lang w:eastAsia="ko-KR"/>
        </w:rPr>
      </w:pPr>
      <w:r>
        <w:t>Conformément au § 2 de la Recommandation UIT</w:t>
      </w:r>
      <w:r>
        <w:noBreakHyphen/>
        <w:t>R SM.328, l'émission est considérée comme optimale du point de vue de l'utilisation efficace du spectre lorsque sa largeur de bande occupée est égale à la largeur de bande nécessaire pour sa classe d'émission, telle qu'elle est donnée dans la Recommandation UIT</w:t>
      </w:r>
      <w:r>
        <w:noBreakHyphen/>
        <w:t>R SM.1138 qui est incorporée par référence dans le RR.</w:t>
      </w:r>
    </w:p>
    <w:p w14:paraId="42E33671" w14:textId="77777777" w:rsidR="005C5B32" w:rsidRDefault="005C5B32" w:rsidP="005C5B32">
      <w:r>
        <w:t>Conformément à la définition indiquée ci-dessus, la largeur de bande occupée peut être mesurée à l'aide d'un analyseur de spectre numérique à balayage ou d'un récepteur de contrôle numérique permettant de stocker les courbes enregistrées en mémoire en vue d'un traitement graphique ultérieur ou à l'aide d'analyseurs utilisant la TFR.</w:t>
      </w:r>
    </w:p>
    <w:p w14:paraId="21AC56DB" w14:textId="77777777" w:rsidR="005C5B32" w:rsidRDefault="005C5B32" w:rsidP="005C5B32">
      <w:pPr>
        <w:pStyle w:val="Heading1"/>
      </w:pPr>
      <w:bookmarkStart w:id="8" w:name="_Toc105991392"/>
      <w:bookmarkStart w:id="9" w:name="_Toc107994077"/>
      <w:r>
        <w:rPr>
          <w:rFonts w:hint="eastAsia"/>
          <w:lang w:eastAsia="ko-KR"/>
        </w:rPr>
        <w:t>2</w:t>
      </w:r>
      <w:r>
        <w:tab/>
        <w:t>Conditions générales pour les mesures de la largeur de bande</w:t>
      </w:r>
      <w:bookmarkEnd w:id="8"/>
      <w:bookmarkEnd w:id="9"/>
    </w:p>
    <w:p w14:paraId="6B8CE62C" w14:textId="77777777" w:rsidR="005C5B32" w:rsidRDefault="005C5B32" w:rsidP="005C5B32">
      <w:r>
        <w:t>Les conditions générales pour les mesures de la largeur de bande sont les suivantes:</w:t>
      </w:r>
    </w:p>
    <w:p w14:paraId="1767254A" w14:textId="77777777" w:rsidR="005C5B32" w:rsidRDefault="005C5B32" w:rsidP="005C5B32">
      <w:pPr>
        <w:pStyle w:val="enumlev1"/>
        <w:rPr>
          <w:lang w:eastAsia="ko-KR"/>
        </w:rPr>
      </w:pPr>
      <w:r>
        <w:t>–</w:t>
      </w:r>
      <w:r>
        <w:tab/>
        <w:t>La ligne de visibilité directe (LoS) entre l'antenne d'émission et l'antenne de réception, compte tenu du phénomène des courbes de Fresnel, ne doit pas être occultée afin d'obtenir une discrimination élevée des sources d'émission.</w:t>
      </w:r>
    </w:p>
    <w:p w14:paraId="6B0E52BC" w14:textId="77777777" w:rsidR="005C5B32" w:rsidRDefault="005C5B32" w:rsidP="005C5B32">
      <w:pPr>
        <w:pStyle w:val="enumlev1"/>
        <w:rPr>
          <w:lang w:eastAsia="ko-KR"/>
        </w:rPr>
      </w:pPr>
      <w:r>
        <w:t>–</w:t>
      </w:r>
      <w:r>
        <w:tab/>
        <w:t>Il convient d'utiliser une antenne directive présentant une directivité et un rapport avant/arrière élevés afin de réduire au strict minimum l'incidence des effets des évanouissements dus à la propagation par trajets multiples.</w:t>
      </w:r>
    </w:p>
    <w:p w14:paraId="1F88E1BF" w14:textId="77777777" w:rsidR="005C5B32" w:rsidRDefault="005C5B32" w:rsidP="005C5B32">
      <w:pPr>
        <w:pStyle w:val="enumlev1"/>
        <w:rPr>
          <w:lang w:eastAsia="ko-KR"/>
        </w:rPr>
      </w:pPr>
      <w:r>
        <w:t>–</w:t>
      </w:r>
      <w:r>
        <w:tab/>
        <w:t xml:space="preserve">On peut utiliser n'importe quel analyseur de spectre ou récepteur de contrôle numérique approprié. </w:t>
      </w:r>
    </w:p>
    <w:p w14:paraId="61492225" w14:textId="77777777" w:rsidR="005C5B32" w:rsidRDefault="005C5B32" w:rsidP="005C5B32">
      <w:pPr>
        <w:pStyle w:val="enumlev1"/>
        <w:rPr>
          <w:lang w:eastAsia="ko-KR"/>
        </w:rPr>
      </w:pPr>
      <w:r>
        <w:t>–</w:t>
      </w:r>
      <w:r>
        <w:tab/>
        <w:t>Il ne doit pas y avoir de brouillage impulsionnel (par exemple, des brouillages provoqués par l'allumage d'équipements).</w:t>
      </w:r>
    </w:p>
    <w:p w14:paraId="4DAFC367" w14:textId="77777777" w:rsidR="005C5B32" w:rsidRDefault="005C5B32" w:rsidP="005C5B32">
      <w:pPr>
        <w:pStyle w:val="Heading1"/>
      </w:pPr>
      <w:bookmarkStart w:id="10" w:name="_Toc105991393"/>
      <w:bookmarkStart w:id="11" w:name="_Toc107994078"/>
      <w:r>
        <w:rPr>
          <w:rFonts w:hint="eastAsia"/>
          <w:lang w:eastAsia="ko-KR"/>
        </w:rPr>
        <w:t>3</w:t>
      </w:r>
      <w:r>
        <w:tab/>
      </w:r>
      <w:r>
        <w:rPr>
          <w:lang w:eastAsia="ko-KR"/>
        </w:rPr>
        <w:t>Procédure de mesure</w:t>
      </w:r>
      <w:bookmarkEnd w:id="10"/>
      <w:bookmarkEnd w:id="11"/>
    </w:p>
    <w:p w14:paraId="6AE817B6" w14:textId="77777777" w:rsidR="005C5B32" w:rsidRDefault="005C5B32" w:rsidP="005C5B32">
      <w:r>
        <w:t>L'analyseur de spectre ou le récepteur de contrôle numérique est réglé comme suit:</w:t>
      </w:r>
    </w:p>
    <w:p w14:paraId="64E2A464" w14:textId="77777777" w:rsidR="005C5B32" w:rsidRDefault="005C5B32" w:rsidP="005C5B32">
      <w:pPr>
        <w:pStyle w:val="enumlev1"/>
      </w:pPr>
      <w:r>
        <w:t>–</w:t>
      </w:r>
      <w:r>
        <w:tab/>
        <w:t>Fréquence:</w:t>
      </w:r>
      <w:r>
        <w:rPr>
          <w:rFonts w:hint="eastAsia"/>
          <w:lang w:eastAsia="ko-KR"/>
        </w:rPr>
        <w:t xml:space="preserve"> </w:t>
      </w:r>
      <w:r>
        <w:rPr>
          <w:lang w:eastAsia="ko-KR"/>
        </w:rPr>
        <w:t xml:space="preserve">fréquence centrale estimée </w:t>
      </w:r>
      <w:r>
        <w:t>de l'émission.</w:t>
      </w:r>
    </w:p>
    <w:p w14:paraId="65C97328" w14:textId="77777777" w:rsidR="005C5B32" w:rsidRDefault="005C5B32" w:rsidP="005C5B32">
      <w:pPr>
        <w:pStyle w:val="enumlev1"/>
      </w:pPr>
      <w:r>
        <w:t>–</w:t>
      </w:r>
      <w:r>
        <w:tab/>
        <w:t>Plage de fréquences:</w:t>
      </w:r>
      <w:r>
        <w:rPr>
          <w:rFonts w:hint="eastAsia"/>
          <w:lang w:eastAsia="ko-KR"/>
        </w:rPr>
        <w:t xml:space="preserve"> </w:t>
      </w:r>
      <w:r>
        <w:t>1,5 à 2 fois la largeur de bande estimée de l'émission.</w:t>
      </w:r>
    </w:p>
    <w:p w14:paraId="7C53B5C5" w14:textId="77777777" w:rsidR="005C5B32" w:rsidRDefault="005C5B32" w:rsidP="005C5B32">
      <w:pPr>
        <w:pStyle w:val="enumlev1"/>
        <w:rPr>
          <w:lang w:eastAsia="ko-KR"/>
        </w:rPr>
      </w:pPr>
      <w:r>
        <w:t>–</w:t>
      </w:r>
      <w:r>
        <w:tab/>
        <w:t>Largeur de bande de résolution:</w:t>
      </w:r>
      <w:r>
        <w:rPr>
          <w:rFonts w:hint="eastAsia"/>
          <w:lang w:eastAsia="ko-KR"/>
        </w:rPr>
        <w:t xml:space="preserve"> </w:t>
      </w:r>
      <w:r>
        <w:rPr>
          <w:lang w:eastAsia="ko-KR"/>
        </w:rPr>
        <w:t xml:space="preserve">moins de </w:t>
      </w:r>
      <w:r>
        <w:rPr>
          <w:rFonts w:hint="eastAsia"/>
          <w:lang w:eastAsia="ko-KR"/>
        </w:rPr>
        <w:t>3</w:t>
      </w:r>
      <w:r>
        <w:t>% de la plage de fréquences.</w:t>
      </w:r>
    </w:p>
    <w:p w14:paraId="32714A84" w14:textId="77777777" w:rsidR="005C5B32" w:rsidRDefault="005C5B32" w:rsidP="005C5B32">
      <w:pPr>
        <w:pStyle w:val="enumlev1"/>
        <w:rPr>
          <w:lang w:eastAsia="ko-KR"/>
        </w:rPr>
      </w:pPr>
      <w:r>
        <w:rPr>
          <w:lang w:eastAsia="ko-KR"/>
        </w:rPr>
        <w:t>–</w:t>
      </w:r>
      <w:r>
        <w:rPr>
          <w:lang w:eastAsia="ko-KR"/>
        </w:rPr>
        <w:tab/>
        <w:t>Largeur de bande vidéo</w:t>
      </w:r>
      <w:r>
        <w:t>:</w:t>
      </w:r>
      <w:r>
        <w:rPr>
          <w:rFonts w:hint="eastAsia"/>
          <w:lang w:eastAsia="ko-KR"/>
        </w:rPr>
        <w:t xml:space="preserve"> 3 </w:t>
      </w:r>
      <w:r>
        <w:rPr>
          <w:lang w:eastAsia="ko-KR"/>
        </w:rPr>
        <w:t>fois la largeur de bande de résolution ou plus.</w:t>
      </w:r>
    </w:p>
    <w:p w14:paraId="3F447ED9" w14:textId="77777777" w:rsidR="005C5B32" w:rsidRDefault="005C5B32" w:rsidP="005C5B32">
      <w:pPr>
        <w:pStyle w:val="enumlev1"/>
      </w:pPr>
      <w:r>
        <w:t>–</w:t>
      </w:r>
      <w:r>
        <w:tab/>
        <w:t>Niveau/affaiblissement:</w:t>
      </w:r>
      <w:r>
        <w:rPr>
          <w:rFonts w:hint="eastAsia"/>
          <w:lang w:eastAsia="ko-KR"/>
        </w:rPr>
        <w:t xml:space="preserve"> </w:t>
      </w:r>
      <w:r>
        <w:rPr>
          <w:lang w:eastAsia="ko-KR"/>
        </w:rPr>
        <w:t xml:space="preserve">réglé de façon que le rapport </w:t>
      </w:r>
      <w:r>
        <w:rPr>
          <w:i/>
          <w:iCs/>
        </w:rPr>
        <w:t>S</w:t>
      </w:r>
      <w:r>
        <w:t>/</w:t>
      </w:r>
      <w:r>
        <w:rPr>
          <w:i/>
          <w:iCs/>
        </w:rPr>
        <w:t>N</w:t>
      </w:r>
      <w:r>
        <w:t xml:space="preserve"> soit supérieur à 30 dB.</w:t>
      </w:r>
    </w:p>
    <w:p w14:paraId="41C31CF4" w14:textId="77777777" w:rsidR="005C5B32" w:rsidRDefault="005C5B32" w:rsidP="005C5B32">
      <w:pPr>
        <w:pStyle w:val="enumlev1"/>
        <w:rPr>
          <w:lang w:eastAsia="ko-KR"/>
        </w:rPr>
      </w:pPr>
      <w:r>
        <w:t>–</w:t>
      </w:r>
      <w:r>
        <w:tab/>
        <w:t>Détecteur:</w:t>
      </w:r>
      <w:r>
        <w:rPr>
          <w:rFonts w:hint="eastAsia"/>
          <w:lang w:eastAsia="ko-KR"/>
        </w:rPr>
        <w:t xml:space="preserve"> </w:t>
      </w:r>
      <w:r>
        <w:rPr>
          <w:lang w:eastAsia="ko-KR"/>
        </w:rPr>
        <w:t>valeurs crête ou échantillon.</w:t>
      </w:r>
    </w:p>
    <w:p w14:paraId="753A9979" w14:textId="77777777" w:rsidR="005C5B32" w:rsidRDefault="005C5B32" w:rsidP="005C5B32">
      <w:pPr>
        <w:pStyle w:val="enumlev1"/>
      </w:pPr>
      <w:r>
        <w:t>–</w:t>
      </w:r>
      <w:r>
        <w:tab/>
        <w:t>Temps de balayage ou temps d'a</w:t>
      </w:r>
      <w:r>
        <w:rPr>
          <w:lang w:eastAsia="ko-KR"/>
        </w:rPr>
        <w:t>cquisition</w:t>
      </w:r>
      <w:r>
        <w:t>:</w:t>
      </w:r>
      <w:r>
        <w:rPr>
          <w:rFonts w:hint="eastAsia"/>
          <w:lang w:eastAsia="ko-KR"/>
        </w:rPr>
        <w:t xml:space="preserve"> </w:t>
      </w:r>
      <w:r>
        <w:t>auto (pour des émissions d'impulsions suffisamment longues de façon à pouvoir enregistrer une impulsion pour chaque pixel sur l'écran).</w:t>
      </w:r>
    </w:p>
    <w:p w14:paraId="641EB92E" w14:textId="77777777" w:rsidR="005C5B32" w:rsidRDefault="005C5B32" w:rsidP="005C5B32">
      <w:pPr>
        <w:pStyle w:val="enumlev1"/>
      </w:pPr>
      <w:r>
        <w:t>–</w:t>
      </w:r>
      <w:r>
        <w:tab/>
        <w:t>Courbe:</w:t>
      </w:r>
      <w:r>
        <w:rPr>
          <w:rFonts w:hint="eastAsia"/>
          <w:lang w:eastAsia="ko-KR"/>
        </w:rPr>
        <w:t xml:space="preserve"> </w:t>
      </w:r>
      <w:r>
        <w:t>MaxHold (pour la modulation analogique), ClearWrite (pour la modulation numérique).</w:t>
      </w:r>
    </w:p>
    <w:p w14:paraId="09B30E3A" w14:textId="77777777" w:rsidR="005C5B32" w:rsidRDefault="005C5B32" w:rsidP="005C5B32">
      <w:r>
        <w:t>Dans la plupart des systèmes numériques, la largeur de bande occupée ne varie pas avec le temps car, en règle générale, un train de données est transmis avec un débit de symboles constant. Dans ces cas, la valeur momentanée de la largeur de bande calculée sera relativement constante pour chaque courbe enregistrée. Pour lisser les résultats des différentes mesures ultérieures, on peut choisir un temps de balayage plus long, ce qui facilitera la lecture du résultat.</w:t>
      </w:r>
    </w:p>
    <w:p w14:paraId="35358BDB" w14:textId="77777777" w:rsidR="005C5B32" w:rsidRDefault="005C5B32" w:rsidP="005C5B32">
      <w:pPr>
        <w:keepLines/>
      </w:pPr>
      <w:r>
        <w:t xml:space="preserve">Dans les systèmes analogiques, en particulier lorsque les signaux transmis sont des signaux audio (F3E, A3E, J3E), la valeur momentanée de la largeur de bande occupée varie rapidement avec la modulation. Dans ces cas, le seul paramètre intéressant pour les stations de contrôle des émissions est la largeur de bande </w:t>
      </w:r>
      <w:r w:rsidRPr="00C56B09">
        <w:t>maximale</w:t>
      </w:r>
      <w:r>
        <w:t xml:space="preserve"> occupée pendant un certain temps d'observation (par exemple une heure). Pour obtenir ce résultat, il faut utiliser la fonction «MaxHold» (gel sur la valeur maximale).</w:t>
      </w:r>
    </w:p>
    <w:p w14:paraId="624320A8" w14:textId="77777777" w:rsidR="005C5B32" w:rsidRDefault="005C5B32" w:rsidP="005C5B32">
      <w:r>
        <w:t>Une fois la courbe enregistrée, le spectre affiché est analysé mathématiquement et la largeur de bande occupée est calculée comme suit:</w:t>
      </w:r>
    </w:p>
    <w:p w14:paraId="4448AD8A" w14:textId="77777777" w:rsidR="005C5B32" w:rsidRDefault="005C5B32" w:rsidP="005C5B32">
      <w:r>
        <w:t>On fait la somme de la puissance spectrale (ou niveau spectral) associée à chaque raie spectrale de la courbe enregistrée sur l'ensemble de la plage de fréquences pour obtenir la puissance de référence à 100%. Dans un second calcul, en partant de la fréquence enregistrée la plus basse, on fait de nouveau la somme de la puissance spectrale associée à chaque raie jusqu'à ce que cette somme atteigne 0,5% de la puissance totale prédéterminée. On insère une marque en ce point. On effectue ensuite le même calcul en partant de la fréquence enregistrée la plus élevée (bord droit de l'écran) jusqu'à ce que la somme atteigne, là aussi, 0,5% de la puissance totale et on insère une seconde marque. La largeur de bande occupée est la différence de fréquence mesurée entre ces deux marques.</w:t>
      </w:r>
    </w:p>
    <w:p w14:paraId="33365F2D" w14:textId="77777777" w:rsidR="005C5B32" w:rsidRDefault="005C5B32" w:rsidP="005C5B32">
      <w:pPr>
        <w:pStyle w:val="Heading1"/>
      </w:pPr>
      <w:bookmarkStart w:id="12" w:name="_Toc105991394"/>
      <w:bookmarkStart w:id="13" w:name="_Toc107994079"/>
      <w:r>
        <w:rPr>
          <w:rFonts w:hint="eastAsia"/>
          <w:lang w:eastAsia="ko-KR"/>
        </w:rPr>
        <w:t>4</w:t>
      </w:r>
      <w:r>
        <w:tab/>
      </w:r>
      <w:r>
        <w:rPr>
          <w:lang w:eastAsia="ko-KR"/>
        </w:rPr>
        <w:t>C</w:t>
      </w:r>
      <w:r>
        <w:rPr>
          <w:rFonts w:hint="eastAsia"/>
          <w:lang w:eastAsia="ko-KR"/>
        </w:rPr>
        <w:t xml:space="preserve">onditions </w:t>
      </w:r>
      <w:r>
        <w:rPr>
          <w:lang w:eastAsia="ko-KR"/>
        </w:rPr>
        <w:t>de mesure et précision des mesures</w:t>
      </w:r>
      <w:bookmarkEnd w:id="12"/>
      <w:bookmarkEnd w:id="13"/>
    </w:p>
    <w:p w14:paraId="47EE053C" w14:textId="77777777" w:rsidR="005C5B32" w:rsidRDefault="005C5B32" w:rsidP="005C5B32">
      <w:pPr>
        <w:rPr>
          <w:lang w:eastAsia="ko-KR"/>
        </w:rPr>
      </w:pPr>
      <w:r>
        <w:t>La précision relative dépend</w:t>
      </w:r>
      <w:r>
        <w:rPr>
          <w:lang w:eastAsia="ko-KR"/>
        </w:rPr>
        <w:t xml:space="preserve"> des éléments suivants</w:t>
      </w:r>
      <w:r>
        <w:t>:</w:t>
      </w:r>
    </w:p>
    <w:p w14:paraId="114B9801" w14:textId="77777777" w:rsidR="005C5B32" w:rsidRDefault="005C5B32" w:rsidP="005C5B32">
      <w:pPr>
        <w:pStyle w:val="enumlev1"/>
      </w:pPr>
      <w:r>
        <w:t>–</w:t>
      </w:r>
      <w:r>
        <w:tab/>
      </w:r>
      <w:r>
        <w:rPr>
          <w:i/>
          <w:iCs/>
        </w:rPr>
        <w:t>La forme du spectre du signal</w:t>
      </w:r>
    </w:p>
    <w:p w14:paraId="1C132399" w14:textId="77777777" w:rsidR="005C5B32" w:rsidRDefault="005C5B32" w:rsidP="005C5B32">
      <w:pPr>
        <w:pStyle w:val="enumlev1"/>
      </w:pPr>
      <w:r>
        <w:tab/>
        <w:t>La précision est d'autant plus grande que l'intensité du signal augmente ou chute brusquement vers les bords du canal utilisé.</w:t>
      </w:r>
    </w:p>
    <w:p w14:paraId="25497821" w14:textId="77777777" w:rsidR="005C5B32" w:rsidRDefault="005C5B32" w:rsidP="005C5B32">
      <w:pPr>
        <w:pStyle w:val="enumlev1"/>
      </w:pPr>
      <w:r>
        <w:t>–</w:t>
      </w:r>
      <w:r>
        <w:tab/>
      </w:r>
      <w:r>
        <w:rPr>
          <w:i/>
          <w:iCs/>
        </w:rPr>
        <w:t>La largeur de bande de résolution</w:t>
      </w:r>
    </w:p>
    <w:p w14:paraId="0E9251C6" w14:textId="77777777" w:rsidR="005C5B32" w:rsidRDefault="005C5B32" w:rsidP="005C5B32">
      <w:pPr>
        <w:pStyle w:val="enumlev1"/>
      </w:pPr>
      <w:r>
        <w:tab/>
        <w:t>La précision est d'autant plus grande que la largeur de bande de résolution est petite, car le calcul de la largeur de bande est basé sur la forme graphique de la course affichée qui est toujours élargie par le filtre de mesure.</w:t>
      </w:r>
    </w:p>
    <w:p w14:paraId="1E57CCDB" w14:textId="77777777" w:rsidR="005C5B32" w:rsidRDefault="005C5B32" w:rsidP="005C5B32">
      <w:pPr>
        <w:pStyle w:val="enumlev1"/>
      </w:pPr>
      <w:r>
        <w:t>–</w:t>
      </w:r>
      <w:r>
        <w:tab/>
      </w:r>
      <w:r>
        <w:rPr>
          <w:i/>
          <w:iCs/>
        </w:rPr>
        <w:t>La plage de fréquences</w:t>
      </w:r>
    </w:p>
    <w:p w14:paraId="295AC2AE" w14:textId="77777777" w:rsidR="005C5B32" w:rsidRDefault="005C5B32" w:rsidP="005C5B32">
      <w:pPr>
        <w:pStyle w:val="enumlev1"/>
      </w:pPr>
      <w:r>
        <w:tab/>
        <w:t xml:space="preserve">Si la plage de fréquences est trop grande, le processus de calcul intégrera de plus en plus de bruit, ce qui affectera la précision du calcul. Toutefois, cette plage doit être suffisamment grande pour inclure au moins certaines composantes spectrales au-dessous des points à 0,5% (ou à −26 dB). </w:t>
      </w:r>
    </w:p>
    <w:p w14:paraId="19EB4DE0" w14:textId="77777777" w:rsidR="005C5B32" w:rsidRDefault="005C5B32" w:rsidP="005C5B32">
      <w:pPr>
        <w:pStyle w:val="enumlev1"/>
      </w:pPr>
      <w:r>
        <w:t>–</w:t>
      </w:r>
      <w:r>
        <w:tab/>
      </w:r>
      <w:r>
        <w:rPr>
          <w:i/>
          <w:iCs/>
        </w:rPr>
        <w:t>Le niveau de bruit et le niveau de brouillage</w:t>
      </w:r>
    </w:p>
    <w:p w14:paraId="73175AD8" w14:textId="77777777" w:rsidR="005C5B32" w:rsidRDefault="005C5B32" w:rsidP="005C5B32">
      <w:pPr>
        <w:pStyle w:val="enumlev1"/>
        <w:rPr>
          <w:lang w:eastAsia="ko-KR"/>
        </w:rPr>
      </w:pPr>
      <w:r>
        <w:tab/>
        <w:t xml:space="preserve">Etant donné que le processus de calcul </w:t>
      </w:r>
      <w:r>
        <w:rPr>
          <w:lang w:eastAsia="ko-KR"/>
        </w:rPr>
        <w:t>intègre le bruit et le brouillage en dehors du canal utilisé</w:t>
      </w:r>
      <w:r>
        <w:t xml:space="preserve">, la précision est d'autant meilleure que la différence entre le </w:t>
      </w:r>
      <w:r>
        <w:rPr>
          <w:rFonts w:hint="eastAsia"/>
          <w:lang w:eastAsia="ko-KR"/>
        </w:rPr>
        <w:t xml:space="preserve">signal </w:t>
      </w:r>
      <w:r>
        <w:rPr>
          <w:lang w:eastAsia="ko-KR"/>
        </w:rPr>
        <w:t xml:space="preserve">utile et le signal brouilleur est importante. Par conséquent, une valeur de </w:t>
      </w:r>
      <w:r>
        <w:t>30 dB est recommandée pour le rapport de puissance dans le canal adjacent minimum ou pour la différence minimale entre le niveau de crête et le niveau des fréquences extrêmes pour que l'erreur de mesure soit inférieure à 10%</w:t>
      </w:r>
      <w:r>
        <w:rPr>
          <w:rFonts w:hint="eastAsia"/>
          <w:lang w:eastAsia="ko-KR"/>
        </w:rPr>
        <w:t xml:space="preserve"> (</w:t>
      </w:r>
      <w:r>
        <w:rPr>
          <w:lang w:eastAsia="ko-KR"/>
        </w:rPr>
        <w:t>voir la Fig. </w:t>
      </w:r>
      <w:r>
        <w:rPr>
          <w:rFonts w:hint="eastAsia"/>
          <w:lang w:eastAsia="ko-KR"/>
        </w:rPr>
        <w:t xml:space="preserve">1 </w:t>
      </w:r>
      <w:r>
        <w:rPr>
          <w:lang w:eastAsia="ko-KR"/>
        </w:rPr>
        <w:t>et la Fig. </w:t>
      </w:r>
      <w:r>
        <w:rPr>
          <w:rFonts w:hint="eastAsia"/>
          <w:lang w:eastAsia="ko-KR"/>
        </w:rPr>
        <w:t>2)</w:t>
      </w:r>
      <w:r>
        <w:t>.</w:t>
      </w:r>
    </w:p>
    <w:p w14:paraId="620513D1" w14:textId="77777777" w:rsidR="005C5B32" w:rsidRDefault="005C5B32" w:rsidP="005C5B32">
      <w:pPr>
        <w:pStyle w:val="FigureNo"/>
        <w:rPr>
          <w:lang w:eastAsia="ko-KR"/>
        </w:rPr>
      </w:pPr>
      <w:r>
        <w:object w:dxaOrig="5473" w:dyaOrig="4234" w14:anchorId="6C7C47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5pt;height:211.15pt" o:ole="">
            <v:imagedata r:id="rId14" o:title=""/>
          </v:shape>
          <o:OLEObject Type="Embed" ProgID="CorelDraw.Graphic.12" ShapeID="_x0000_i1025" DrawAspect="Content" ObjectID="_1649143805" r:id="rId15"/>
        </w:object>
      </w:r>
    </w:p>
    <w:p w14:paraId="77D622CC" w14:textId="77777777" w:rsidR="005C5B32" w:rsidRDefault="005C5B32" w:rsidP="005C5B32"/>
    <w:p w14:paraId="6D01DF32" w14:textId="77777777" w:rsidR="005C5B32" w:rsidRDefault="005C5B32" w:rsidP="005C5B32"/>
    <w:p w14:paraId="7BDC815D" w14:textId="77777777" w:rsidR="005C5B32" w:rsidRDefault="005C5B32" w:rsidP="005C5B32">
      <w:pPr>
        <w:pStyle w:val="FigureNo"/>
      </w:pPr>
      <w:r>
        <w:object w:dxaOrig="7168" w:dyaOrig="4049" w14:anchorId="76C897A2">
          <v:shape id="_x0000_i1026" type="#_x0000_t75" style="width:358.95pt;height:202.05pt" o:ole="" o:allowoverlap="f">
            <v:imagedata r:id="rId16" o:title=""/>
          </v:shape>
          <o:OLEObject Type="Embed" ProgID="CorelDraw.Graphic.12" ShapeID="_x0000_i1026" DrawAspect="Content" ObjectID="_1649143806" r:id="rId17"/>
        </w:object>
      </w:r>
    </w:p>
    <w:p w14:paraId="555BC4E5" w14:textId="77777777" w:rsidR="005C5B32" w:rsidRDefault="005C5B32" w:rsidP="005C5B32">
      <w:pPr>
        <w:rPr>
          <w:lang w:eastAsia="ko-KR"/>
        </w:rPr>
      </w:pPr>
    </w:p>
    <w:p w14:paraId="3C9D65A0" w14:textId="77777777" w:rsidR="005C5B32" w:rsidRDefault="005C5B32" w:rsidP="005C5B32">
      <w:pPr>
        <w:pStyle w:val="enumlev1"/>
      </w:pPr>
      <w:r>
        <w:rPr>
          <w:lang w:eastAsia="ko-KR"/>
        </w:rPr>
        <w:t>–</w:t>
      </w:r>
      <w:r>
        <w:rPr>
          <w:lang w:eastAsia="ko-KR"/>
        </w:rPr>
        <w:tab/>
      </w:r>
      <w:r>
        <w:rPr>
          <w:i/>
          <w:iCs/>
          <w:lang w:eastAsia="ko-KR"/>
        </w:rPr>
        <w:t>Essais de mesure</w:t>
      </w:r>
      <w:r>
        <w:rPr>
          <w:lang w:eastAsia="ko-KR"/>
        </w:rPr>
        <w:t xml:space="preserve"> </w:t>
      </w:r>
    </w:p>
    <w:p w14:paraId="7D507C32" w14:textId="77777777" w:rsidR="005C5B32" w:rsidRDefault="005C5B32" w:rsidP="005C5B32">
      <w:pPr>
        <w:pStyle w:val="enumlev1"/>
        <w:rPr>
          <w:lang w:eastAsia="ko-KR"/>
        </w:rPr>
      </w:pPr>
      <w:r>
        <w:rPr>
          <w:lang w:eastAsia="ko-KR"/>
        </w:rPr>
        <w:tab/>
        <w:t xml:space="preserve">La </w:t>
      </w:r>
      <w:r>
        <w:rPr>
          <w:rFonts w:hint="eastAsia"/>
          <w:lang w:eastAsia="ko-KR"/>
        </w:rPr>
        <w:t xml:space="preserve">fluctuation </w:t>
      </w:r>
      <w:r>
        <w:rPr>
          <w:lang w:eastAsia="ko-KR"/>
        </w:rPr>
        <w:t xml:space="preserve">du </w:t>
      </w:r>
      <w:r>
        <w:rPr>
          <w:rFonts w:hint="eastAsia"/>
          <w:lang w:eastAsia="ko-KR"/>
        </w:rPr>
        <w:t xml:space="preserve">signal </w:t>
      </w:r>
      <w:r>
        <w:rPr>
          <w:lang w:eastAsia="ko-KR"/>
        </w:rPr>
        <w:t>numérique liée à la variation du signal de modulation peut introduire une incertitude quant au résultat de la mesure</w:t>
      </w:r>
      <w:r>
        <w:rPr>
          <w:rFonts w:hint="eastAsia"/>
          <w:lang w:eastAsia="ko-KR"/>
        </w:rPr>
        <w:t xml:space="preserve">. </w:t>
      </w:r>
      <w:r>
        <w:rPr>
          <w:lang w:eastAsia="ko-KR"/>
        </w:rPr>
        <w:t xml:space="preserve">Il est donc recommandé de répéter les mesures au moins </w:t>
      </w:r>
      <w:r>
        <w:rPr>
          <w:rFonts w:hint="eastAsia"/>
          <w:lang w:eastAsia="ko-KR"/>
        </w:rPr>
        <w:t>400</w:t>
      </w:r>
      <w:r>
        <w:t> </w:t>
      </w:r>
      <w:r>
        <w:rPr>
          <w:lang w:eastAsia="ko-KR"/>
        </w:rPr>
        <w:t>fois pour obtenir la valeur moyenne de la largeur de bande occupée</w:t>
      </w:r>
      <w:r>
        <w:rPr>
          <w:rFonts w:hint="eastAsia"/>
          <w:lang w:eastAsia="ko-KR"/>
        </w:rPr>
        <w:t>.</w:t>
      </w:r>
    </w:p>
    <w:p w14:paraId="13B97889" w14:textId="77777777" w:rsidR="005C5B32" w:rsidRDefault="005C5B32" w:rsidP="005C5B32">
      <w:r>
        <w:t>La présence d'un signal brouilleur à l'intérieur de la plage de mesure est à proscrire car ce signal serait traité comme une partie du signal utile, ce qui pourrait introduire une erreur importante dans la mesure.</w:t>
      </w:r>
    </w:p>
    <w:p w14:paraId="4D51E8AD" w14:textId="77777777" w:rsidR="005C5B32" w:rsidRDefault="005C5B32" w:rsidP="005C5B32">
      <w:pPr>
        <w:pStyle w:val="AnnexNoTitle"/>
      </w:pPr>
      <w:bookmarkStart w:id="14" w:name="_Toc105991395"/>
      <w:bookmarkStart w:id="15" w:name="_Toc107994080"/>
      <w:r>
        <w:t xml:space="preserve">Annexe </w:t>
      </w:r>
      <w:r>
        <w:rPr>
          <w:rFonts w:hint="eastAsia"/>
        </w:rPr>
        <w:t>2</w:t>
      </w:r>
      <w:r>
        <w:br/>
      </w:r>
      <w:r>
        <w:br/>
        <w:t xml:space="preserve">Méthode de mesure de la largeur de bande à </w:t>
      </w:r>
      <w:r>
        <w:rPr>
          <w:i/>
          <w:iCs/>
        </w:rPr>
        <w:t>x</w:t>
      </w:r>
      <w:r>
        <w:rPr>
          <w:i/>
          <w:iCs/>
        </w:rPr>
        <w:noBreakHyphen/>
      </w:r>
      <w:r>
        <w:rPr>
          <w:rFonts w:hint="eastAsia"/>
        </w:rPr>
        <w:t>dB (</w:t>
      </w:r>
      <w:r>
        <w:t xml:space="preserve">méthode à </w:t>
      </w:r>
      <w:r>
        <w:rPr>
          <w:i/>
          <w:iCs/>
        </w:rPr>
        <w:t>x</w:t>
      </w:r>
      <w:r w:rsidRPr="00D71B07">
        <w:rPr>
          <w:iCs/>
        </w:rPr>
        <w:noBreakHyphen/>
        <w:t>dB</w:t>
      </w:r>
      <w:r>
        <w:rPr>
          <w:rFonts w:hint="eastAsia"/>
        </w:rPr>
        <w:t>)</w:t>
      </w:r>
      <w:bookmarkEnd w:id="14"/>
      <w:bookmarkEnd w:id="15"/>
    </w:p>
    <w:p w14:paraId="5A580492" w14:textId="77777777" w:rsidR="005C5B32" w:rsidRDefault="005C5B32" w:rsidP="005C5B32">
      <w:pPr>
        <w:pStyle w:val="Heading1"/>
      </w:pPr>
      <w:bookmarkStart w:id="16" w:name="_Toc105991396"/>
      <w:bookmarkStart w:id="17" w:name="_Toc107994081"/>
      <w:r>
        <w:t>1</w:t>
      </w:r>
      <w:r>
        <w:tab/>
        <w:t>Introduction</w:t>
      </w:r>
      <w:bookmarkEnd w:id="16"/>
      <w:bookmarkEnd w:id="17"/>
    </w:p>
    <w:p w14:paraId="7DB43911" w14:textId="77777777" w:rsidR="005C5B32" w:rsidRDefault="005C5B32" w:rsidP="005C5B32">
      <w:pPr>
        <w:rPr>
          <w:lang w:eastAsia="ko-KR"/>
        </w:rPr>
      </w:pPr>
      <w:r>
        <w:rPr>
          <w:lang w:eastAsia="ko-KR"/>
        </w:rPr>
        <w:t xml:space="preserve">La «largeur de bande à </w:t>
      </w:r>
      <w:r>
        <w:rPr>
          <w:i/>
          <w:iCs/>
        </w:rPr>
        <w:t xml:space="preserve">x </w:t>
      </w:r>
      <w:r>
        <w:t>dB» (Recommandation UIT</w:t>
      </w:r>
      <w:r>
        <w:noBreakHyphen/>
        <w:t xml:space="preserve">R SM.328 (§ 1.8)) est définie comme étant la largeur d'une bande de fréquences à l'extérieur de laquelle toute composante spectrale d'un spectre discret ou toute densité spectrale de puissance d'un spectre continu est inférieure d'au moins une valeur donnée </w:t>
      </w:r>
      <w:r>
        <w:rPr>
          <w:i/>
        </w:rPr>
        <w:t xml:space="preserve">x </w:t>
      </w:r>
      <w:r>
        <w:t>dB par rapport à un niveau de référence 0 dB prédéterminé.</w:t>
      </w:r>
    </w:p>
    <w:p w14:paraId="05FE2DD3" w14:textId="77777777" w:rsidR="005C5B32" w:rsidRDefault="005C5B32" w:rsidP="005C5B32">
      <w:pPr>
        <w:rPr>
          <w:lang w:eastAsia="ko-KR"/>
        </w:rPr>
      </w:pPr>
      <w:r>
        <w:t xml:space="preserve">Dans les cas où l'on a absolument besoin de cette valeur, par exemple pour déterminer la limite du domaine des émissions hors bande d'un radar, la largeur de bande à </w:t>
      </w:r>
      <w:r>
        <w:rPr>
          <w:rFonts w:hint="eastAsia"/>
          <w:i/>
          <w:lang w:eastAsia="ko-KR"/>
        </w:rPr>
        <w:t>x</w:t>
      </w:r>
      <w:r>
        <w:rPr>
          <w:i/>
          <w:lang w:eastAsia="ko-KR"/>
        </w:rPr>
        <w:t xml:space="preserve"> </w:t>
      </w:r>
      <w:r>
        <w:t>dB peut être mesurée à l'aide de n'importe quel analyseur de spectre ou récepteur de contrôle numérique.</w:t>
      </w:r>
      <w:r>
        <w:rPr>
          <w:rFonts w:hint="eastAsia"/>
          <w:lang w:eastAsia="ko-KR"/>
        </w:rPr>
        <w:t xml:space="preserve"> </w:t>
      </w:r>
    </w:p>
    <w:p w14:paraId="0330B9D1" w14:textId="77777777" w:rsidR="005C5B32" w:rsidRDefault="005C5B32" w:rsidP="005C5B32">
      <w:pPr>
        <w:rPr>
          <w:lang w:eastAsia="ko-KR"/>
        </w:rPr>
      </w:pPr>
      <w:r>
        <w:rPr>
          <w:lang w:eastAsia="ko-KR"/>
        </w:rPr>
        <w:t xml:space="preserve">Par ailleurs, conformément au point </w:t>
      </w:r>
      <w:r>
        <w:t>2 de la Recommandation UIT</w:t>
      </w:r>
      <w:r>
        <w:noBreakHyphen/>
        <w:t>R SM.328, une émission est considérée comme optimale du point de l'utilisation efficace du spectre lorsque sa largeur de bande occupée est égale à la largeur de bande nécessaire pour sa classe d'émission donnée dans la Recommandation UIT-R SM.1138 qui est incorporée par référence dans le RR.</w:t>
      </w:r>
      <w:r>
        <w:rPr>
          <w:rFonts w:hint="eastAsia"/>
          <w:lang w:eastAsia="ko-KR"/>
        </w:rPr>
        <w:t xml:space="preserve"> </w:t>
      </w:r>
    </w:p>
    <w:p w14:paraId="7F55494F" w14:textId="77777777" w:rsidR="005C5B32" w:rsidRDefault="005C5B32" w:rsidP="005C5B32">
      <w:pPr>
        <w:pStyle w:val="Heading1"/>
      </w:pPr>
      <w:bookmarkStart w:id="18" w:name="_Toc105991397"/>
      <w:bookmarkStart w:id="19" w:name="_Toc107994082"/>
      <w:r>
        <w:rPr>
          <w:rFonts w:hint="eastAsia"/>
          <w:lang w:eastAsia="ko-KR"/>
        </w:rPr>
        <w:t>2</w:t>
      </w:r>
      <w:r>
        <w:tab/>
        <w:t>Procédure de mesure</w:t>
      </w:r>
      <w:bookmarkEnd w:id="18"/>
      <w:bookmarkEnd w:id="19"/>
    </w:p>
    <w:p w14:paraId="05EA595C" w14:textId="77777777" w:rsidR="005C5B32" w:rsidRDefault="005C5B32" w:rsidP="005C5B32">
      <w:pPr>
        <w:rPr>
          <w:lang w:eastAsia="ko-KR"/>
        </w:rPr>
      </w:pPr>
      <w:r>
        <w:t xml:space="preserve">Tout d'abord, le niveau de référence 0 dB doit être déterminé. Ce niveau correspond habituellement au niveau le plus élevé de la raie spectrale lorsque le spectre affiché correspond à une largeur de bande de résolution étroite. Dans l'hypothèse où, pendant la durée de l'enregistrement, la puissance de l'émetteur est au moins une fois celle de la porteuse, ce niveau est égal à la puissance totale émise. Toutefois, avec des signaux à modulation numérique, cette hypothèse est impossible. Le niveau de référence 0 dB correspond toujours au niveau le plus élevé de la raie spectrale, mais il n'est pas égal à la puissance totale émise et c'est la raison pour laquelle les valeurs de </w:t>
      </w:r>
      <w:r>
        <w:rPr>
          <w:i/>
          <w:iCs/>
        </w:rPr>
        <w:t>x</w:t>
      </w:r>
      <w:r>
        <w:t xml:space="preserve"> pour obtenir des résultats comparables sont différentes selon qu'il s'agit d'émissions analogiques ou d'émissions numériques.</w:t>
      </w:r>
      <w:r>
        <w:rPr>
          <w:rFonts w:hint="eastAsia"/>
          <w:lang w:eastAsia="ko-KR"/>
        </w:rPr>
        <w:t xml:space="preserve"> </w:t>
      </w:r>
    </w:p>
    <w:p w14:paraId="0A72D9FE" w14:textId="77777777" w:rsidR="005C5B32" w:rsidRDefault="005C5B32" w:rsidP="005C5B32">
      <w:r>
        <w:t>L'analyseur de spectre/le récepteur numérique devraient être réglés comme suit:</w:t>
      </w:r>
    </w:p>
    <w:p w14:paraId="7321A842" w14:textId="77777777" w:rsidR="005C5B32" w:rsidRDefault="005C5B32" w:rsidP="005C5B32">
      <w:pPr>
        <w:pStyle w:val="enumlev1"/>
      </w:pPr>
      <w:r>
        <w:t>–</w:t>
      </w:r>
      <w:r>
        <w:tab/>
        <w:t xml:space="preserve">Fréquence centrale: </w:t>
      </w:r>
      <w:r>
        <w:rPr>
          <w:i/>
        </w:rPr>
        <w:t>f</w:t>
      </w:r>
      <w:r>
        <w:rPr>
          <w:vertAlign w:val="subscript"/>
        </w:rPr>
        <w:t>0</w:t>
      </w:r>
      <w:r>
        <w:t xml:space="preserve"> (fréquence porteuse ou fréquence centrale estimée de l'émission)</w:t>
      </w:r>
    </w:p>
    <w:p w14:paraId="6D40D4A6" w14:textId="77777777" w:rsidR="005C5B32" w:rsidRDefault="005C5B32" w:rsidP="005C5B32">
      <w:pPr>
        <w:pStyle w:val="enumlev1"/>
      </w:pPr>
      <w:r>
        <w:t>–</w:t>
      </w:r>
      <w:r>
        <w:tab/>
        <w:t>Plage de fréquences: 1,5 fois la largeur de bande estimée de l'émission</w:t>
      </w:r>
    </w:p>
    <w:p w14:paraId="6B2ADB10" w14:textId="77777777" w:rsidR="005C5B32" w:rsidRDefault="005C5B32" w:rsidP="005C5B32">
      <w:pPr>
        <w:pStyle w:val="enumlev1"/>
        <w:rPr>
          <w:lang w:eastAsia="ko-KR"/>
        </w:rPr>
      </w:pPr>
      <w:r>
        <w:t>–</w:t>
      </w:r>
      <w:r>
        <w:tab/>
        <w:t>Largeur de bande de résolution:</w:t>
      </w:r>
      <w:r>
        <w:rPr>
          <w:rFonts w:hint="eastAsia"/>
          <w:lang w:eastAsia="ko-KR"/>
        </w:rPr>
        <w:t xml:space="preserve"> </w:t>
      </w:r>
      <w:r>
        <w:rPr>
          <w:lang w:eastAsia="ko-KR"/>
        </w:rPr>
        <w:t xml:space="preserve">moins de </w:t>
      </w:r>
      <w:r>
        <w:rPr>
          <w:rFonts w:hint="eastAsia"/>
          <w:lang w:eastAsia="ko-KR"/>
        </w:rPr>
        <w:t>3</w:t>
      </w:r>
      <w:r>
        <w:t>% de la plage de fréquences</w:t>
      </w:r>
    </w:p>
    <w:p w14:paraId="6622F144" w14:textId="77777777" w:rsidR="005C5B32" w:rsidRDefault="005C5B32" w:rsidP="005C5B32">
      <w:pPr>
        <w:pStyle w:val="enumlev1"/>
        <w:rPr>
          <w:lang w:eastAsia="ko-KR"/>
        </w:rPr>
      </w:pPr>
      <w:r>
        <w:rPr>
          <w:lang w:eastAsia="ko-KR"/>
        </w:rPr>
        <w:t>–</w:t>
      </w:r>
      <w:r>
        <w:rPr>
          <w:lang w:eastAsia="ko-KR"/>
        </w:rPr>
        <w:tab/>
        <w:t>Largeur de bande vidéo</w:t>
      </w:r>
      <w:r>
        <w:t>:</w:t>
      </w:r>
      <w:r>
        <w:rPr>
          <w:rFonts w:hint="eastAsia"/>
          <w:lang w:eastAsia="ko-KR"/>
        </w:rPr>
        <w:t xml:space="preserve"> 3 </w:t>
      </w:r>
      <w:r>
        <w:rPr>
          <w:lang w:eastAsia="ko-KR"/>
        </w:rPr>
        <w:t>fois la largeur de bande de résolution ou plus</w:t>
      </w:r>
    </w:p>
    <w:p w14:paraId="658EB2AA" w14:textId="77777777" w:rsidR="005C5B32" w:rsidRDefault="005C5B32" w:rsidP="005C5B32">
      <w:pPr>
        <w:pStyle w:val="enumlev1"/>
      </w:pPr>
      <w:r>
        <w:t>–</w:t>
      </w:r>
      <w:r>
        <w:tab/>
        <w:t>Détecteur:</w:t>
      </w:r>
      <w:r>
        <w:rPr>
          <w:rFonts w:hint="eastAsia"/>
          <w:lang w:eastAsia="ko-KR"/>
        </w:rPr>
        <w:t xml:space="preserve"> </w:t>
      </w:r>
      <w:r>
        <w:t>détecteur de valeurs crêtes</w:t>
      </w:r>
    </w:p>
    <w:p w14:paraId="2E69125A" w14:textId="77777777" w:rsidR="005C5B32" w:rsidRDefault="005C5B32" w:rsidP="005C5B32">
      <w:pPr>
        <w:pStyle w:val="enumlev1"/>
        <w:rPr>
          <w:lang w:eastAsia="ko-KR"/>
        </w:rPr>
      </w:pPr>
      <w:r>
        <w:t>–</w:t>
      </w:r>
      <w:r>
        <w:tab/>
        <w:t>Courbe:</w:t>
      </w:r>
      <w:r>
        <w:rPr>
          <w:rFonts w:hint="eastAsia"/>
          <w:lang w:eastAsia="ko-KR"/>
        </w:rPr>
        <w:t xml:space="preserve"> </w:t>
      </w:r>
      <w:r>
        <w:t>MaxHold.</w:t>
      </w:r>
    </w:p>
    <w:p w14:paraId="0FF1E46F" w14:textId="77777777" w:rsidR="005C5B32" w:rsidRDefault="005C5B32" w:rsidP="005C5B32">
      <w:pPr>
        <w:rPr>
          <w:lang w:eastAsia="ko-KR"/>
        </w:rPr>
      </w:pPr>
      <w:r>
        <w:t xml:space="preserve">Une fois la courbe tracée, on recherche le niveau de crête. La valeur de la largeur de bande à </w:t>
      </w:r>
      <w:r>
        <w:rPr>
          <w:i/>
        </w:rPr>
        <w:t xml:space="preserve">x </w:t>
      </w:r>
      <w:r>
        <w:t xml:space="preserve">dB, lue sur l'écran de l'équipement, correspond à la largeur d'une bande de fréquences à l'extérieur de laquelle toute composante spectrale d'un spectre discret ou toute densité spectrale de puissance d'un spectre continu est inférieure d'au moins une valeur </w:t>
      </w:r>
      <w:r>
        <w:rPr>
          <w:i/>
        </w:rPr>
        <w:t>x </w:t>
      </w:r>
      <w:r>
        <w:t>dB par rapport à un niveau de référence 0 dB prédéterminé.</w:t>
      </w:r>
      <w:r>
        <w:rPr>
          <w:rFonts w:hint="eastAsia"/>
          <w:lang w:eastAsia="ko-KR"/>
        </w:rPr>
        <w:t xml:space="preserve"> </w:t>
      </w:r>
      <w:r>
        <w:t xml:space="preserve">Si plus de deux raies spectrales ont ce niveau, on prend les fréquences extrêmes. La différence de fréquence entre les deux marques est la largeur de bande à </w:t>
      </w:r>
      <w:r>
        <w:rPr>
          <w:i/>
        </w:rPr>
        <w:t xml:space="preserve">x </w:t>
      </w:r>
      <w:r>
        <w:t>dB.</w:t>
      </w:r>
      <w:r>
        <w:rPr>
          <w:rFonts w:hint="eastAsia"/>
          <w:lang w:eastAsia="ko-KR"/>
        </w:rPr>
        <w:t xml:space="preserve"> </w:t>
      </w:r>
    </w:p>
    <w:p w14:paraId="4DD532B7" w14:textId="77777777" w:rsidR="005C5B32" w:rsidRDefault="005C5B32" w:rsidP="005C5B32"/>
    <w:p w14:paraId="07077FC2" w14:textId="77777777" w:rsidR="005C5B32" w:rsidRDefault="005C5B32" w:rsidP="005C5B32">
      <w:pPr>
        <w:pStyle w:val="FigureNo"/>
        <w:rPr>
          <w:lang w:eastAsia="ko-KR"/>
        </w:rPr>
      </w:pPr>
      <w:r>
        <w:object w:dxaOrig="5589" w:dyaOrig="3738" w14:anchorId="086E1E76">
          <v:shape id="_x0000_i1027" type="#_x0000_t75" style="width:279.95pt;height:186.45pt" o:ole="" o:allowoverlap="f">
            <v:imagedata r:id="rId18" o:title=""/>
          </v:shape>
          <o:OLEObject Type="Embed" ProgID="CorelDraw.Graphic.12" ShapeID="_x0000_i1027" DrawAspect="Content" ObjectID="_1649143807" r:id="rId19"/>
        </w:object>
      </w:r>
    </w:p>
    <w:p w14:paraId="45BCF0D2" w14:textId="77777777" w:rsidR="005C5B32" w:rsidRDefault="005C5B32" w:rsidP="005C5B32">
      <w:pPr>
        <w:pStyle w:val="Heading1"/>
      </w:pPr>
      <w:bookmarkStart w:id="20" w:name="_Toc105991398"/>
      <w:bookmarkStart w:id="21" w:name="_Toc107994083"/>
      <w:r>
        <w:rPr>
          <w:rFonts w:hint="eastAsia"/>
          <w:lang w:eastAsia="ko-KR"/>
        </w:rPr>
        <w:t>3</w:t>
      </w:r>
      <w:r>
        <w:tab/>
      </w:r>
      <w:r>
        <w:rPr>
          <w:rFonts w:hint="eastAsia"/>
          <w:lang w:eastAsia="ko-KR"/>
        </w:rPr>
        <w:t xml:space="preserve">Conditions </w:t>
      </w:r>
      <w:r>
        <w:rPr>
          <w:lang w:eastAsia="ko-KR"/>
        </w:rPr>
        <w:t>de mesure et précision des mesures</w:t>
      </w:r>
      <w:bookmarkEnd w:id="20"/>
      <w:bookmarkEnd w:id="21"/>
    </w:p>
    <w:p w14:paraId="7C6F7CBB" w14:textId="77777777" w:rsidR="005C5B32" w:rsidRDefault="005C5B32" w:rsidP="005C5B32">
      <w:r>
        <w:t xml:space="preserve">La précision de la méthode à </w:t>
      </w:r>
      <w:r>
        <w:rPr>
          <w:i/>
        </w:rPr>
        <w:t>x</w:t>
      </w:r>
      <w:r>
        <w:t>-dB dépend des éléments suivants:</w:t>
      </w:r>
    </w:p>
    <w:p w14:paraId="5C1106F8" w14:textId="77777777" w:rsidR="005C5B32" w:rsidRDefault="005C5B32" w:rsidP="005C5B32">
      <w:pPr>
        <w:pStyle w:val="enumlev1"/>
        <w:rPr>
          <w:lang w:eastAsia="ko-KR"/>
        </w:rPr>
      </w:pPr>
      <w:r>
        <w:t>–</w:t>
      </w:r>
      <w:r>
        <w:tab/>
      </w:r>
      <w:r>
        <w:rPr>
          <w:i/>
          <w:iCs/>
        </w:rPr>
        <w:t>La forme du spectre du signal</w:t>
      </w:r>
    </w:p>
    <w:p w14:paraId="14454DCF" w14:textId="77777777" w:rsidR="005C5B32" w:rsidRDefault="005C5B32" w:rsidP="005C5B32">
      <w:pPr>
        <w:pStyle w:val="enumlev1"/>
        <w:rPr>
          <w:lang w:eastAsia="ko-KR"/>
        </w:rPr>
      </w:pPr>
      <w:r>
        <w:tab/>
        <w:t xml:space="preserve">La précision est d'autant meilleure que l'intensité du signal augmente ou chute très brusquement vers les bords du canal utilisé. </w:t>
      </w:r>
    </w:p>
    <w:p w14:paraId="41C6BF63" w14:textId="77777777" w:rsidR="005C5B32" w:rsidRDefault="005C5B32" w:rsidP="005C5B32">
      <w:pPr>
        <w:pStyle w:val="enumlev1"/>
      </w:pPr>
      <w:r>
        <w:t>–</w:t>
      </w:r>
      <w:r>
        <w:tab/>
      </w:r>
      <w:r>
        <w:rPr>
          <w:i/>
          <w:iCs/>
        </w:rPr>
        <w:t>La largeur de bande de résolution</w:t>
      </w:r>
    </w:p>
    <w:p w14:paraId="00A913DB" w14:textId="77777777" w:rsidR="005C5B32" w:rsidRDefault="005C5B32" w:rsidP="005C5B32">
      <w:pPr>
        <w:pStyle w:val="enumlev1"/>
        <w:rPr>
          <w:lang w:eastAsia="ko-KR"/>
        </w:rPr>
      </w:pPr>
      <w:r>
        <w:tab/>
        <w:t>La précision est d'autant meilleure que la largeur de bande de résolution est petite car la forme affichée du signal est toujours élargie par le filtre de mesure.</w:t>
      </w:r>
    </w:p>
    <w:p w14:paraId="716B78B2" w14:textId="77777777" w:rsidR="005C5B32" w:rsidRDefault="005C5B32" w:rsidP="005C5B32">
      <w:pPr>
        <w:pStyle w:val="enumlev1"/>
        <w:rPr>
          <w:lang w:eastAsia="ko-KR"/>
        </w:rPr>
      </w:pPr>
      <w:r>
        <w:t>–</w:t>
      </w:r>
      <w:r>
        <w:tab/>
      </w:r>
      <w:r>
        <w:rPr>
          <w:i/>
          <w:iCs/>
        </w:rPr>
        <w:t>La plage de fréquences</w:t>
      </w:r>
    </w:p>
    <w:p w14:paraId="43023116" w14:textId="77777777" w:rsidR="005C5B32" w:rsidRDefault="005C5B32" w:rsidP="005C5B32">
      <w:pPr>
        <w:pStyle w:val="enumlev1"/>
        <w:rPr>
          <w:lang w:eastAsia="ko-KR"/>
        </w:rPr>
      </w:pPr>
      <w:r>
        <w:tab/>
        <w:t>Si la plage de fréquences est trop large, le nombre de raies affichées moins important ne permet pas de représenter le signal et de positionner les marques. L'incertitude de mesure est d'autant plus grande que la résolution est faible.</w:t>
      </w:r>
    </w:p>
    <w:p w14:paraId="4621F813" w14:textId="77777777" w:rsidR="005C5B32" w:rsidRDefault="005C5B32" w:rsidP="005C5B32">
      <w:pPr>
        <w:pStyle w:val="enumlev1"/>
        <w:rPr>
          <w:lang w:eastAsia="ko-KR"/>
        </w:rPr>
      </w:pPr>
      <w:r>
        <w:t>–</w:t>
      </w:r>
      <w:r>
        <w:tab/>
      </w:r>
      <w:r>
        <w:rPr>
          <w:i/>
          <w:iCs/>
        </w:rPr>
        <w:t xml:space="preserve">Le niveau de bruit </w:t>
      </w:r>
      <w:r>
        <w:rPr>
          <w:i/>
          <w:iCs/>
          <w:lang w:eastAsia="ko-KR"/>
        </w:rPr>
        <w:t>et le niveau de brouillage</w:t>
      </w:r>
    </w:p>
    <w:p w14:paraId="2036DE00" w14:textId="77777777" w:rsidR="005C5B32" w:rsidRDefault="005C5B32" w:rsidP="005C5B32">
      <w:pPr>
        <w:pStyle w:val="enumlev1"/>
        <w:rPr>
          <w:lang w:eastAsia="ko-KR"/>
        </w:rPr>
      </w:pPr>
      <w:r>
        <w:tab/>
        <w:t xml:space="preserve">Le rapport </w:t>
      </w:r>
      <w:r>
        <w:rPr>
          <w:i/>
          <w:iCs/>
        </w:rPr>
        <w:t>S</w:t>
      </w:r>
      <w:r>
        <w:t>/</w:t>
      </w:r>
      <w:r>
        <w:rPr>
          <w:i/>
          <w:iCs/>
        </w:rPr>
        <w:t>N</w:t>
      </w:r>
      <w:r>
        <w:t xml:space="preserve"> doit être suffisant conformément à l'émission analysée. </w:t>
      </w:r>
      <w:r>
        <w:rPr>
          <w:lang w:eastAsia="ko-KR"/>
        </w:rPr>
        <w:t xml:space="preserve">Une valeur minimale de </w:t>
      </w:r>
      <w:r>
        <w:rPr>
          <w:i/>
        </w:rPr>
        <w:t>x</w:t>
      </w:r>
      <w:r>
        <w:t> + </w:t>
      </w:r>
      <w:r>
        <w:rPr>
          <w:rFonts w:hint="eastAsia"/>
          <w:lang w:eastAsia="ko-KR"/>
        </w:rPr>
        <w:t>5</w:t>
      </w:r>
      <w:r>
        <w:t> dB est recommandée pour que l'erreur de mesure soit inférieure à 10%.</w:t>
      </w:r>
      <w:r>
        <w:rPr>
          <w:rFonts w:hint="eastAsia"/>
          <w:lang w:eastAsia="ko-KR"/>
        </w:rPr>
        <w:t xml:space="preserve"> </w:t>
      </w:r>
      <w:r>
        <w:rPr>
          <w:lang w:eastAsia="ko-KR"/>
        </w:rPr>
        <w:t>Lorsque la dynamique du signal n'est pas suffisante au niveau de la station de contrôle, le mieux est de faire la mesure avec une</w:t>
      </w:r>
      <w:r>
        <w:t xml:space="preserve"> station mobile qui peut être située à proximité de l'émetteur.</w:t>
      </w:r>
      <w:r>
        <w:rPr>
          <w:rFonts w:hint="eastAsia"/>
          <w:lang w:eastAsia="ko-KR"/>
        </w:rPr>
        <w:t xml:space="preserve"> </w:t>
      </w:r>
    </w:p>
    <w:p w14:paraId="73EF6B75" w14:textId="77777777" w:rsidR="005C5B32" w:rsidRDefault="005C5B32" w:rsidP="005C5B32">
      <w:pPr>
        <w:rPr>
          <w:lang w:eastAsia="ko-KR"/>
        </w:rPr>
      </w:pPr>
      <w:r>
        <w:t>Des signaux brouilleurs peuvent être tolérés à l'intérieur de la plage de fréquences affichée; ils n'auront pas d'incidence sur le résultat d'une mesure manuelle de la valeur «</w:t>
      </w:r>
      <w:r>
        <w:rPr>
          <w:i/>
        </w:rPr>
        <w:t>x </w:t>
      </w:r>
      <w:r>
        <w:t xml:space="preserve">dB» si la largeur de bande à </w:t>
      </w:r>
      <w:r>
        <w:rPr>
          <w:i/>
        </w:rPr>
        <w:t xml:space="preserve">x </w:t>
      </w:r>
      <w:r>
        <w:t xml:space="preserve">dB est étroite par rapport à la largeur de bande du signal utile et si la fréquence brouilleuse ne tombe pas sur l'un des points à </w:t>
      </w:r>
      <w:r>
        <w:rPr>
          <w:i/>
        </w:rPr>
        <w:t xml:space="preserve">x </w:t>
      </w:r>
      <w:r>
        <w:t>dB.</w:t>
      </w:r>
    </w:p>
    <w:p w14:paraId="42FA4FF4" w14:textId="77777777" w:rsidR="005C5B32" w:rsidRDefault="005C5B32" w:rsidP="005C5B32">
      <w:pPr>
        <w:pStyle w:val="Heading1"/>
        <w:rPr>
          <w:color w:val="000000"/>
        </w:rPr>
      </w:pPr>
      <w:bookmarkStart w:id="22" w:name="_Toc105991399"/>
      <w:bookmarkStart w:id="23" w:name="_Toc107994084"/>
      <w:r>
        <w:rPr>
          <w:rFonts w:hint="eastAsia"/>
          <w:lang w:eastAsia="ko-KR"/>
        </w:rPr>
        <w:t>4</w:t>
      </w:r>
      <w:r>
        <w:tab/>
        <w:t xml:space="preserve">Mesure de la largeur de bande à </w:t>
      </w:r>
      <w:r>
        <w:rPr>
          <w:i/>
        </w:rPr>
        <w:t xml:space="preserve">х </w:t>
      </w:r>
      <w:r>
        <w:t>dB lorsque le brouillage a une influence sur la mesure</w:t>
      </w:r>
      <w:bookmarkEnd w:id="22"/>
      <w:bookmarkEnd w:id="23"/>
    </w:p>
    <w:p w14:paraId="17DA2593" w14:textId="77777777" w:rsidR="005C5B32" w:rsidRDefault="005C5B32" w:rsidP="005C5B32">
      <w:pPr>
        <w:rPr>
          <w:color w:val="000000"/>
        </w:rPr>
      </w:pPr>
      <w:r>
        <w:t xml:space="preserve">Dans certains cas, les valeurs de la largeur de bande à </w:t>
      </w:r>
      <w:r>
        <w:rPr>
          <w:i/>
        </w:rPr>
        <w:t xml:space="preserve">х </w:t>
      </w:r>
      <w:r>
        <w:t xml:space="preserve">dB peuvent être mesurées ou au moins estimées en présence de signaux brouilleurs dont les niveaux sont supérieurs aux niveaux mesurés à </w:t>
      </w:r>
      <w:r>
        <w:rPr>
          <w:i/>
        </w:rPr>
        <w:t>х </w:t>
      </w:r>
      <w:r>
        <w:t>dB. Comme indiqué à la Fig. </w:t>
      </w:r>
      <w:r>
        <w:rPr>
          <w:rFonts w:hint="eastAsia"/>
          <w:lang w:eastAsia="ko-KR"/>
        </w:rPr>
        <w:t>4</w:t>
      </w:r>
      <w:r>
        <w:t xml:space="preserve">, dans le cas où les limites de la largeur de bande à </w:t>
      </w:r>
      <w:r>
        <w:rPr>
          <w:i/>
        </w:rPr>
        <w:t xml:space="preserve">х </w:t>
      </w:r>
      <w:r>
        <w:t xml:space="preserve">dB par rapport à chaque bord du spectre d'une émission considérée ne sont pas masquées par des signaux brouilleurs (spectres 1 et 2), la largeur de bande de ce spectre particulier est mesurée sans tenir compte des spectres des signaux brouilleurs. En d'autres termes, dans le cas illustré à la </w:t>
      </w:r>
      <w:r>
        <w:rPr>
          <w:rFonts w:hint="eastAsia"/>
          <w:lang w:eastAsia="ko-KR"/>
        </w:rPr>
        <w:t>Fig</w:t>
      </w:r>
      <w:r>
        <w:rPr>
          <w:lang w:eastAsia="ko-KR"/>
        </w:rPr>
        <w:t>. </w:t>
      </w:r>
      <w:r>
        <w:rPr>
          <w:rFonts w:hint="eastAsia"/>
          <w:lang w:eastAsia="ko-KR"/>
        </w:rPr>
        <w:t>4</w:t>
      </w:r>
      <w:r>
        <w:t xml:space="preserve">, </w:t>
      </w:r>
      <w:r>
        <w:rPr>
          <w:lang w:eastAsia="ko-KR"/>
        </w:rPr>
        <w:t xml:space="preserve">la largeur de bande à </w:t>
      </w:r>
      <w:r>
        <w:rPr>
          <w:i/>
        </w:rPr>
        <w:t xml:space="preserve">х </w:t>
      </w:r>
      <w:r>
        <w:t xml:space="preserve">dB, </w:t>
      </w:r>
      <w:r>
        <w:rPr>
          <w:bCs/>
          <w:i/>
          <w:iCs/>
        </w:rPr>
        <w:t>В</w:t>
      </w:r>
      <w:r>
        <w:rPr>
          <w:bCs/>
          <w:i/>
          <w:iCs/>
          <w:vertAlign w:val="subscript"/>
        </w:rPr>
        <w:t>ох</w:t>
      </w:r>
      <w:r>
        <w:t xml:space="preserve">, </w:t>
      </w:r>
      <w:r>
        <w:rPr>
          <w:lang w:eastAsia="ko-KR"/>
        </w:rPr>
        <w:t xml:space="preserve">est égale à </w:t>
      </w:r>
      <w:r>
        <w:rPr>
          <w:bCs/>
          <w:i/>
          <w:iCs/>
        </w:rPr>
        <w:t>В</w:t>
      </w:r>
      <w:r>
        <w:rPr>
          <w:bCs/>
          <w:i/>
          <w:iCs/>
          <w:vertAlign w:val="subscript"/>
        </w:rPr>
        <w:t>m</w:t>
      </w:r>
      <w:r>
        <w:rPr>
          <w:bCs/>
        </w:rPr>
        <w:t xml:space="preserve"> </w:t>
      </w:r>
      <w:r>
        <w:rPr>
          <w:lang w:eastAsia="ko-KR"/>
        </w:rPr>
        <w:t xml:space="preserve">et non à </w:t>
      </w:r>
      <w:r>
        <w:rPr>
          <w:bCs/>
          <w:i/>
        </w:rPr>
        <w:t>B</w:t>
      </w:r>
      <w:r>
        <w:rPr>
          <w:bCs/>
          <w:vertAlign w:val="subscript"/>
        </w:rPr>
        <w:t>Σ</w:t>
      </w:r>
      <w:r>
        <w:t>.</w:t>
      </w:r>
    </w:p>
    <w:p w14:paraId="26E03B64" w14:textId="77777777" w:rsidR="005C5B32" w:rsidRDefault="005C5B32" w:rsidP="005C5B32">
      <w:pPr>
        <w:pStyle w:val="FigureNo"/>
      </w:pPr>
      <w:r>
        <w:object w:dxaOrig="6277" w:dyaOrig="5258" w14:anchorId="03934B0B">
          <v:shape id="_x0000_i1028" type="#_x0000_t75" style="width:313.8pt;height:262.75pt" o:ole="" o:allowoverlap="f">
            <v:imagedata r:id="rId20" o:title=""/>
          </v:shape>
          <o:OLEObject Type="Embed" ProgID="CorelDraw.Graphic.12" ShapeID="_x0000_i1028" DrawAspect="Content" ObjectID="_1649143808" r:id="rId21"/>
        </w:object>
      </w:r>
    </w:p>
    <w:p w14:paraId="03532DA5" w14:textId="77777777" w:rsidR="005C5B32" w:rsidRDefault="005C5B32" w:rsidP="00E4298B">
      <w:pPr>
        <w:rPr>
          <w:color w:val="000000"/>
        </w:rPr>
      </w:pPr>
      <w:r>
        <w:rPr>
          <w:lang w:eastAsia="ko-KR"/>
        </w:rPr>
        <w:t xml:space="preserve">Lorsqu'on ne sait pas si les spectres </w:t>
      </w:r>
      <w:r>
        <w:t xml:space="preserve">1 et 2 </w:t>
      </w:r>
      <w:r>
        <w:rPr>
          <w:lang w:eastAsia="ko-KR"/>
        </w:rPr>
        <w:t>concernent des signaux brouilleurs</w:t>
      </w:r>
      <w:r>
        <w:rPr>
          <w:rFonts w:hint="eastAsia"/>
          <w:lang w:eastAsia="ko-KR"/>
        </w:rPr>
        <w:t>,</w:t>
      </w:r>
      <w:r>
        <w:t xml:space="preserve"> on peut identifier les émetteurs brouilleurs à l'aide d'un corrélomètre à deux canaux, indiquant une valeur faible pour le coefficient de corrélation entre le signal correspondant au spectre de l'émission considérée et le signal du brouilleur potentiel (§</w:t>
      </w:r>
      <w:r w:rsidR="00E4298B">
        <w:t>§</w:t>
      </w:r>
      <w:r>
        <w:t> 4.</w:t>
      </w:r>
      <w:r w:rsidR="00E4298B">
        <w:t>4.5.4, 4.8.5.5, 4.8.5.6</w:t>
      </w:r>
      <w:r>
        <w:t xml:space="preserve"> du Manuel de l'UIT-R – Con</w:t>
      </w:r>
      <w:r w:rsidR="00E4298B">
        <w:t>trôle du spectre (édition de 2011</w:t>
      </w:r>
      <w:r>
        <w:t>)).</w:t>
      </w:r>
    </w:p>
    <w:p w14:paraId="290ABCE7" w14:textId="77777777" w:rsidR="005C5B32" w:rsidRDefault="005C5B32" w:rsidP="005C5B32">
      <w:pPr>
        <w:rPr>
          <w:bCs/>
          <w:color w:val="000000"/>
        </w:rPr>
      </w:pPr>
      <w:r>
        <w:t xml:space="preserve">Même lorsqu'une limite de la largeur de bande à </w:t>
      </w:r>
      <w:r>
        <w:rPr>
          <w:i/>
        </w:rPr>
        <w:t xml:space="preserve">х </w:t>
      </w:r>
      <w:r>
        <w:t>dB est masquée par un spectre brouilleur comme illustré à la Fig. </w:t>
      </w:r>
      <w:r>
        <w:rPr>
          <w:rFonts w:hint="eastAsia"/>
          <w:lang w:eastAsia="ko-KR"/>
        </w:rPr>
        <w:t>5</w:t>
      </w:r>
      <w:r>
        <w:t xml:space="preserve"> (spectre 3), </w:t>
      </w:r>
      <w:r>
        <w:rPr>
          <w:lang w:eastAsia="ko-KR"/>
        </w:rPr>
        <w:t>si le spectre du signal utile est symétrique, ce qui est le plus souvent le cas, l'estimation de la valeur de la largeur de bande peut se faire à partir d'une demi-largeur de spectre</w:t>
      </w:r>
      <w:r>
        <w:t>, c'est</w:t>
      </w:r>
      <w:r>
        <w:noBreakHyphen/>
        <w:t>à</w:t>
      </w:r>
      <w:r>
        <w:noBreakHyphen/>
        <w:t xml:space="preserve">dire </w:t>
      </w:r>
      <w:r>
        <w:rPr>
          <w:bCs/>
          <w:i/>
          <w:iCs/>
        </w:rPr>
        <w:t>В</w:t>
      </w:r>
      <w:r>
        <w:rPr>
          <w:bCs/>
          <w:i/>
          <w:iCs/>
          <w:vertAlign w:val="subscript"/>
        </w:rPr>
        <w:t>ох</w:t>
      </w:r>
      <w:r>
        <w:t> </w:t>
      </w:r>
      <w:r>
        <w:rPr>
          <w:bCs/>
          <w:i/>
          <w:iCs/>
        </w:rPr>
        <w:t>=</w:t>
      </w:r>
      <w:r>
        <w:t> </w:t>
      </w:r>
      <w:r>
        <w:rPr>
          <w:bCs/>
        </w:rPr>
        <w:t>2 </w:t>
      </w:r>
      <w:r>
        <w:rPr>
          <w:bCs/>
          <w:i/>
          <w:iCs/>
        </w:rPr>
        <w:t>В</w:t>
      </w:r>
      <w:r>
        <w:rPr>
          <w:bCs/>
          <w:i/>
          <w:iCs/>
          <w:vertAlign w:val="subscript"/>
        </w:rPr>
        <w:t>k</w:t>
      </w:r>
      <w:r>
        <w:t>.</w:t>
      </w:r>
    </w:p>
    <w:p w14:paraId="1BFDB8F9" w14:textId="77777777" w:rsidR="005C5B32" w:rsidRDefault="005C5B32" w:rsidP="005C5B32">
      <w:pPr>
        <w:pStyle w:val="FigureNo"/>
        <w:keepNext w:val="0"/>
      </w:pPr>
      <w:r>
        <w:object w:dxaOrig="5704" w:dyaOrig="5448" w14:anchorId="44B2A4FC">
          <v:shape id="_x0000_i1029" type="#_x0000_t75" style="width:284.25pt;height:272.4pt" o:ole="" o:allowoverlap="f">
            <v:imagedata r:id="rId22" o:title=""/>
          </v:shape>
          <o:OLEObject Type="Embed" ProgID="CorelDraw.Graphic.12" ShapeID="_x0000_i1029" DrawAspect="Content" ObjectID="_1649143809" r:id="rId23"/>
        </w:object>
      </w:r>
    </w:p>
    <w:p w14:paraId="6FADE4C6" w14:textId="77777777" w:rsidR="005C5B32" w:rsidRDefault="005C5B32" w:rsidP="005C5B32">
      <w:pPr>
        <w:rPr>
          <w:lang w:eastAsia="ko-KR"/>
        </w:rPr>
      </w:pPr>
      <w:r>
        <w:t>Il est normal que les mesures effectuées en présence de signaux brouilleurs soient entachées d'erreurs plus importantes que les mesures faites en l'absence de brouillage</w:t>
      </w:r>
      <w:r>
        <w:rPr>
          <w:rFonts w:hint="eastAsia"/>
          <w:lang w:eastAsia="ko-KR"/>
        </w:rPr>
        <w:t>.</w:t>
      </w:r>
      <w:r>
        <w:t xml:space="preserve"> Toutefois, </w:t>
      </w:r>
      <w:r>
        <w:rPr>
          <w:lang w:eastAsia="ko-KR"/>
        </w:rPr>
        <w:t xml:space="preserve">les </w:t>
      </w:r>
      <w:r>
        <w:t>estimations obtenues dans certains cas conviennent tout à fait pour des applications pratiques.</w:t>
      </w:r>
    </w:p>
    <w:p w14:paraId="7D2E623B" w14:textId="77777777" w:rsidR="005C5B32" w:rsidRDefault="005C5B32" w:rsidP="005C5B32"/>
    <w:p w14:paraId="777B7D9F" w14:textId="77777777" w:rsidR="005C5B32" w:rsidRDefault="005C5B32" w:rsidP="005C5B32"/>
    <w:p w14:paraId="578F3745" w14:textId="77777777" w:rsidR="005C5B32" w:rsidRDefault="005C5B32" w:rsidP="005C5B32"/>
    <w:p w14:paraId="2C482B4F" w14:textId="77777777" w:rsidR="005C5B32" w:rsidRDefault="005C5B32" w:rsidP="005C5B32">
      <w:pPr>
        <w:pStyle w:val="AnnexNoTitle"/>
      </w:pPr>
      <w:bookmarkStart w:id="24" w:name="_Toc105991400"/>
      <w:bookmarkStart w:id="25" w:name="_Toc107994085"/>
      <w:r>
        <w:t>Annexe 3</w:t>
      </w:r>
      <w:r>
        <w:br/>
      </w:r>
      <w:r>
        <w:br/>
        <w:t>Estimation de la largeur de bande occupée à l'aide de la méthode «</w:t>
      </w:r>
      <w:r>
        <w:rPr>
          <w:i/>
          <w:iCs/>
        </w:rPr>
        <w:t>x</w:t>
      </w:r>
      <w:r>
        <w:rPr>
          <w:i/>
          <w:iCs/>
        </w:rPr>
        <w:noBreakHyphen/>
      </w:r>
      <w:r>
        <w:t>dB»</w:t>
      </w:r>
      <w:bookmarkEnd w:id="24"/>
      <w:bookmarkEnd w:id="25"/>
    </w:p>
    <w:p w14:paraId="67B235FC" w14:textId="77777777" w:rsidR="005C5B32" w:rsidRDefault="005C5B32" w:rsidP="005C5B32">
      <w:pPr>
        <w:pStyle w:val="Heading1"/>
      </w:pPr>
      <w:bookmarkStart w:id="26" w:name="_Toc105991401"/>
      <w:bookmarkStart w:id="27" w:name="_Toc107994086"/>
      <w:r>
        <w:t>1</w:t>
      </w:r>
      <w:r>
        <w:tab/>
        <w:t>Introduction</w:t>
      </w:r>
      <w:bookmarkEnd w:id="26"/>
      <w:bookmarkEnd w:id="27"/>
    </w:p>
    <w:p w14:paraId="3ACDFEE8" w14:textId="77777777" w:rsidR="005C5B32" w:rsidRDefault="005C5B32" w:rsidP="005C5B32">
      <w:r>
        <w:t>Dans les situations suivantes, il n'est pas possible d'utiliser la méthode à β% pour mesurer directement la largeur de bande occupée:</w:t>
      </w:r>
    </w:p>
    <w:p w14:paraId="0BB8D583" w14:textId="77777777" w:rsidR="005C5B32" w:rsidRDefault="005C5B32" w:rsidP="005C5B32">
      <w:pPr>
        <w:pStyle w:val="enumlev1"/>
      </w:pPr>
      <w:r>
        <w:t>–</w:t>
      </w:r>
      <w:r>
        <w:tab/>
        <w:t>brouillage dans la bande à des niveaux supérieurs au niveau du signal utile;</w:t>
      </w:r>
    </w:p>
    <w:p w14:paraId="4CE3C427" w14:textId="77777777" w:rsidR="005C5B32" w:rsidRDefault="005C5B32" w:rsidP="005C5B32">
      <w:pPr>
        <w:pStyle w:val="enumlev1"/>
      </w:pPr>
      <w:r>
        <w:t>–</w:t>
      </w:r>
      <w:r>
        <w:tab/>
        <w:t>absence d'équipements appropriés pouvant utiliser la méthode à β%.</w:t>
      </w:r>
    </w:p>
    <w:p w14:paraId="58E8E388" w14:textId="77777777" w:rsidR="005C5B32" w:rsidRDefault="005C5B32" w:rsidP="005C5B32">
      <w:r>
        <w:t xml:space="preserve">Dans ces cas, on peut utiliser la méthode </w:t>
      </w:r>
      <w:r>
        <w:rPr>
          <w:i/>
          <w:iCs/>
        </w:rPr>
        <w:t>x-</w:t>
      </w:r>
      <w:r>
        <w:t>dB décrite dans l'Annexe 2 pour faire une estimation de la largeur de bande occupée.</w:t>
      </w:r>
    </w:p>
    <w:p w14:paraId="796DD0AA" w14:textId="77777777" w:rsidR="005C5B32" w:rsidRDefault="005C5B32" w:rsidP="005C5B32">
      <w:r>
        <w:t xml:space="preserve">Pour calculer la largeur de bande occupée à l'aide de la méthode </w:t>
      </w:r>
      <w:r>
        <w:rPr>
          <w:i/>
          <w:iCs/>
        </w:rPr>
        <w:t>x-</w:t>
      </w:r>
      <w:r>
        <w:t xml:space="preserve">dB, il faut choisir avec soin les valeurs du niveau de référence 0 dB et de </w:t>
      </w:r>
      <w:r>
        <w:rPr>
          <w:i/>
          <w:iCs/>
        </w:rPr>
        <w:t>x</w:t>
      </w:r>
      <w:r>
        <w:t xml:space="preserve">. </w:t>
      </w:r>
    </w:p>
    <w:p w14:paraId="04EAF80E" w14:textId="77777777" w:rsidR="005C5B32" w:rsidRDefault="005C5B32" w:rsidP="005C5B32">
      <w:r>
        <w:t>En règle générale, il existe deux méthodes différentes pour comparer la largeur de bande mesurée et la largeur de bande nécessaire ou occupée:</w:t>
      </w:r>
    </w:p>
    <w:p w14:paraId="453AF2F3" w14:textId="77777777" w:rsidR="005C5B32" w:rsidRDefault="005C5B32" w:rsidP="005C5B32">
      <w:pPr>
        <w:pStyle w:val="enumlev1"/>
      </w:pPr>
      <w:r>
        <w:t>–</w:t>
      </w:r>
      <w:r>
        <w:tab/>
        <w:t>mesurer systématiquement la largeur de bande à –26 dB et appliquer un facteur de conversion;</w:t>
      </w:r>
    </w:p>
    <w:p w14:paraId="01872128" w14:textId="77777777" w:rsidR="005C5B32" w:rsidRDefault="005C5B32" w:rsidP="005C5B32">
      <w:pPr>
        <w:pStyle w:val="enumlev1"/>
      </w:pPr>
      <w:r>
        <w:t>–</w:t>
      </w:r>
      <w:r>
        <w:tab/>
        <w:t xml:space="preserve">mesurer le signal pour des valeurs précises de </w:t>
      </w:r>
      <w:r>
        <w:rPr>
          <w:i/>
        </w:rPr>
        <w:t>x</w:t>
      </w:r>
      <w:r>
        <w:rPr>
          <w:iCs/>
        </w:rPr>
        <w:t xml:space="preserve"> dB</w:t>
      </w:r>
      <w:r>
        <w:t xml:space="preserve"> qui sont différentes pour chaque classe d'émission.</w:t>
      </w:r>
    </w:p>
    <w:p w14:paraId="380FBCF2" w14:textId="77777777" w:rsidR="005C5B32" w:rsidRDefault="005C5B32" w:rsidP="005C5B32">
      <w:pPr>
        <w:pStyle w:val="Heading1"/>
      </w:pPr>
      <w:bookmarkStart w:id="28" w:name="_Toc105991402"/>
      <w:bookmarkStart w:id="29" w:name="_Toc107994087"/>
      <w:r>
        <w:t>2</w:t>
      </w:r>
      <w:r>
        <w:tab/>
        <w:t>Estimation de la largeur de bande occupée à partir de la largeur de bande à –26 dB</w:t>
      </w:r>
      <w:bookmarkEnd w:id="28"/>
      <w:bookmarkEnd w:id="29"/>
      <w:r>
        <w:t xml:space="preserve"> </w:t>
      </w:r>
    </w:p>
    <w:p w14:paraId="4ED05958" w14:textId="77777777" w:rsidR="005C5B32" w:rsidRDefault="005C5B32" w:rsidP="005C5B32">
      <w:r>
        <w:t xml:space="preserve">Avec cette méthode, la largeur de bande est toujours mesurée aux points à –26 dB, selon la méthode décrite dans l'Annexe 2. Il convient d'utiliser les facteurs de conversion entre la largeur de bande à 26 dB, </w:t>
      </w:r>
      <w:r>
        <w:rPr>
          <w:i/>
        </w:rPr>
        <w:t>B</w:t>
      </w:r>
      <w:r>
        <w:rPr>
          <w:rFonts w:ascii="Tms Rmn" w:hAnsi="Tms Rmn"/>
          <w:sz w:val="8"/>
        </w:rPr>
        <w:t> </w:t>
      </w:r>
      <w:r>
        <w:rPr>
          <w:vertAlign w:val="subscript"/>
        </w:rPr>
        <w:t>26</w:t>
      </w:r>
      <w:r>
        <w:rPr>
          <w:i/>
          <w:iCs/>
        </w:rPr>
        <w:t>,</w:t>
      </w:r>
      <w:r>
        <w:t xml:space="preserve"> et la largeur de bande nécessaire, </w:t>
      </w:r>
      <w:r>
        <w:rPr>
          <w:i/>
        </w:rPr>
        <w:t>B</w:t>
      </w:r>
      <w:r>
        <w:rPr>
          <w:i/>
          <w:vertAlign w:val="subscript"/>
        </w:rPr>
        <w:t>n</w:t>
      </w:r>
      <w:r>
        <w:t>, indiqués dans le Tableau 1 pour estimer la largeur de bande occupée ou nécessaire.</w:t>
      </w:r>
    </w:p>
    <w:p w14:paraId="2A006A93" w14:textId="77777777" w:rsidR="005C5B32" w:rsidRDefault="005C5B32" w:rsidP="005C5B32">
      <w:pPr>
        <w:pStyle w:val="TableNo"/>
        <w:spacing w:before="440"/>
      </w:pPr>
      <w:r>
        <w:t>TABLEAU 1</w:t>
      </w:r>
    </w:p>
    <w:tbl>
      <w:tblPr>
        <w:tblW w:w="0" w:type="auto"/>
        <w:jc w:val="center"/>
        <w:tblLayout w:type="fixed"/>
        <w:tblLook w:val="0000" w:firstRow="0" w:lastRow="0" w:firstColumn="0" w:lastColumn="0" w:noHBand="0" w:noVBand="0"/>
      </w:tblPr>
      <w:tblGrid>
        <w:gridCol w:w="3969"/>
        <w:gridCol w:w="3969"/>
      </w:tblGrid>
      <w:tr w:rsidR="005C5B32" w14:paraId="50AAFDA0" w14:textId="77777777" w:rsidTr="00F77AF7">
        <w:trPr>
          <w:cantSplit/>
          <w:jc w:val="center"/>
        </w:trPr>
        <w:tc>
          <w:tcPr>
            <w:tcW w:w="3969" w:type="dxa"/>
            <w:tcBorders>
              <w:top w:val="single" w:sz="6" w:space="0" w:color="auto"/>
              <w:left w:val="single" w:sz="6" w:space="0" w:color="auto"/>
              <w:bottom w:val="single" w:sz="6" w:space="0" w:color="auto"/>
              <w:right w:val="single" w:sz="6" w:space="0" w:color="auto"/>
            </w:tcBorders>
          </w:tcPr>
          <w:p w14:paraId="6D054891" w14:textId="77777777" w:rsidR="005C5B32" w:rsidRDefault="005C5B32" w:rsidP="00F77AF7">
            <w:pPr>
              <w:pStyle w:val="Tablehead"/>
            </w:pPr>
            <w:r>
              <w:t>Classe d'émission</w:t>
            </w:r>
          </w:p>
        </w:tc>
        <w:tc>
          <w:tcPr>
            <w:tcW w:w="3969" w:type="dxa"/>
            <w:tcBorders>
              <w:top w:val="single" w:sz="6" w:space="0" w:color="auto"/>
              <w:left w:val="single" w:sz="6" w:space="0" w:color="auto"/>
              <w:bottom w:val="single" w:sz="6" w:space="0" w:color="auto"/>
              <w:right w:val="single" w:sz="6" w:space="0" w:color="auto"/>
            </w:tcBorders>
          </w:tcPr>
          <w:p w14:paraId="7EBDC13B" w14:textId="77777777" w:rsidR="005C5B32" w:rsidRDefault="005C5B32" w:rsidP="00F77AF7">
            <w:pPr>
              <w:pStyle w:val="Tablehead"/>
            </w:pPr>
            <w:r>
              <w:t>Relation entre la largeur de</w:t>
            </w:r>
            <w:r>
              <w:br/>
              <w:t>bande </w:t>
            </w:r>
            <w:r>
              <w:rPr>
                <w:i/>
              </w:rPr>
              <w:t>B</w:t>
            </w:r>
            <w:r>
              <w:rPr>
                <w:vertAlign w:val="subscript"/>
              </w:rPr>
              <w:t>26</w:t>
            </w:r>
            <w:r>
              <w:t xml:space="preserve"> et </w:t>
            </w:r>
            <w:r>
              <w:rPr>
                <w:i/>
              </w:rPr>
              <w:t>B</w:t>
            </w:r>
            <w:r>
              <w:rPr>
                <w:i/>
                <w:vertAlign w:val="subscript"/>
              </w:rPr>
              <w:t>n</w:t>
            </w:r>
          </w:p>
        </w:tc>
      </w:tr>
      <w:tr w:rsidR="005C5B32" w:rsidRPr="00424FF6" w14:paraId="39085D02" w14:textId="77777777" w:rsidTr="00F77AF7">
        <w:trPr>
          <w:cantSplit/>
          <w:jc w:val="center"/>
        </w:trPr>
        <w:tc>
          <w:tcPr>
            <w:tcW w:w="3969" w:type="dxa"/>
            <w:tcBorders>
              <w:top w:val="single" w:sz="6" w:space="0" w:color="auto"/>
              <w:left w:val="single" w:sz="6" w:space="0" w:color="auto"/>
              <w:bottom w:val="single" w:sz="6" w:space="0" w:color="auto"/>
              <w:right w:val="single" w:sz="6" w:space="0" w:color="auto"/>
            </w:tcBorders>
          </w:tcPr>
          <w:p w14:paraId="4AD0D371" w14:textId="77777777" w:rsidR="005C5B32" w:rsidRPr="00424FF6" w:rsidRDefault="005C5B32" w:rsidP="00F77AF7">
            <w:pPr>
              <w:pStyle w:val="Tabletext"/>
              <w:jc w:val="left"/>
            </w:pPr>
            <w:r w:rsidRPr="00424FF6">
              <w:t>A1A, A1B, A2A, A2B</w:t>
            </w:r>
          </w:p>
        </w:tc>
        <w:tc>
          <w:tcPr>
            <w:tcW w:w="3969" w:type="dxa"/>
            <w:tcBorders>
              <w:top w:val="single" w:sz="6" w:space="0" w:color="auto"/>
              <w:left w:val="single" w:sz="6" w:space="0" w:color="auto"/>
              <w:bottom w:val="single" w:sz="6" w:space="0" w:color="auto"/>
              <w:right w:val="single" w:sz="6" w:space="0" w:color="auto"/>
            </w:tcBorders>
          </w:tcPr>
          <w:p w14:paraId="484C7A9B" w14:textId="77777777" w:rsidR="005C5B32" w:rsidRPr="00424FF6" w:rsidRDefault="005C5B32" w:rsidP="00F77AF7">
            <w:pPr>
              <w:pStyle w:val="Tabletext"/>
              <w:jc w:val="left"/>
            </w:pPr>
            <w:r w:rsidRPr="00424FF6">
              <w:rPr>
                <w:i/>
                <w:iCs/>
              </w:rPr>
              <w:t>B</w:t>
            </w:r>
            <w:r w:rsidRPr="00424FF6">
              <w:rPr>
                <w:vertAlign w:val="subscript"/>
              </w:rPr>
              <w:t>26</w:t>
            </w:r>
            <w:r w:rsidRPr="00424FF6">
              <w:t xml:space="preserve"> = 0,9 </w:t>
            </w:r>
            <w:r w:rsidRPr="00424FF6">
              <w:rPr>
                <w:i/>
                <w:iCs/>
              </w:rPr>
              <w:t>B</w:t>
            </w:r>
            <w:r w:rsidRPr="00424FF6">
              <w:rPr>
                <w:i/>
                <w:iCs/>
                <w:vertAlign w:val="subscript"/>
              </w:rPr>
              <w:t>n</w:t>
            </w:r>
          </w:p>
        </w:tc>
      </w:tr>
      <w:tr w:rsidR="005C5B32" w:rsidRPr="00424FF6" w14:paraId="6A18B19A" w14:textId="77777777" w:rsidTr="00F77AF7">
        <w:trPr>
          <w:cantSplit/>
          <w:jc w:val="center"/>
        </w:trPr>
        <w:tc>
          <w:tcPr>
            <w:tcW w:w="3969" w:type="dxa"/>
            <w:tcBorders>
              <w:top w:val="single" w:sz="6" w:space="0" w:color="auto"/>
              <w:left w:val="single" w:sz="6" w:space="0" w:color="auto"/>
              <w:bottom w:val="single" w:sz="6" w:space="0" w:color="auto"/>
              <w:right w:val="single" w:sz="6" w:space="0" w:color="auto"/>
            </w:tcBorders>
          </w:tcPr>
          <w:p w14:paraId="10E4E142" w14:textId="77777777" w:rsidR="005C5B32" w:rsidRPr="00424FF6" w:rsidRDefault="005C5B32" w:rsidP="00F77AF7">
            <w:pPr>
              <w:pStyle w:val="Tabletext"/>
              <w:jc w:val="left"/>
            </w:pPr>
            <w:r w:rsidRPr="00424FF6">
              <w:t>F1B</w:t>
            </w:r>
          </w:p>
        </w:tc>
        <w:tc>
          <w:tcPr>
            <w:tcW w:w="3969" w:type="dxa"/>
            <w:tcBorders>
              <w:top w:val="single" w:sz="6" w:space="0" w:color="auto"/>
              <w:left w:val="single" w:sz="6" w:space="0" w:color="auto"/>
              <w:bottom w:val="single" w:sz="6" w:space="0" w:color="auto"/>
              <w:right w:val="single" w:sz="6" w:space="0" w:color="auto"/>
            </w:tcBorders>
          </w:tcPr>
          <w:p w14:paraId="37A2580D" w14:textId="77777777" w:rsidR="005C5B32" w:rsidRPr="00424FF6" w:rsidRDefault="005C5B32" w:rsidP="00F77AF7">
            <w:pPr>
              <w:pStyle w:val="Tabletext"/>
              <w:jc w:val="left"/>
            </w:pPr>
            <w:r w:rsidRPr="00424FF6">
              <w:rPr>
                <w:i/>
                <w:iCs/>
              </w:rPr>
              <w:t>B</w:t>
            </w:r>
            <w:r w:rsidRPr="00424FF6">
              <w:rPr>
                <w:vertAlign w:val="subscript"/>
              </w:rPr>
              <w:t>26</w:t>
            </w:r>
            <w:r w:rsidRPr="00424FF6">
              <w:t xml:space="preserve"> = </w:t>
            </w:r>
            <w:r w:rsidRPr="00424FF6">
              <w:rPr>
                <w:i/>
                <w:iCs/>
              </w:rPr>
              <w:t>B</w:t>
            </w:r>
            <w:r w:rsidRPr="00424FF6">
              <w:rPr>
                <w:i/>
                <w:iCs/>
                <w:vertAlign w:val="subscript"/>
              </w:rPr>
              <w:t>n</w:t>
            </w:r>
          </w:p>
        </w:tc>
      </w:tr>
      <w:tr w:rsidR="005C5B32" w:rsidRPr="00424FF6" w14:paraId="427E4F1D" w14:textId="77777777" w:rsidTr="00F77AF7">
        <w:trPr>
          <w:cantSplit/>
          <w:jc w:val="center"/>
        </w:trPr>
        <w:tc>
          <w:tcPr>
            <w:tcW w:w="3969" w:type="dxa"/>
            <w:tcBorders>
              <w:top w:val="single" w:sz="6" w:space="0" w:color="auto"/>
              <w:left w:val="single" w:sz="6" w:space="0" w:color="auto"/>
              <w:bottom w:val="single" w:sz="6" w:space="0" w:color="auto"/>
              <w:right w:val="single" w:sz="6" w:space="0" w:color="auto"/>
            </w:tcBorders>
          </w:tcPr>
          <w:p w14:paraId="50625AB4" w14:textId="77777777" w:rsidR="005C5B32" w:rsidRPr="00424FF6" w:rsidRDefault="005C5B32" w:rsidP="00F77AF7">
            <w:pPr>
              <w:pStyle w:val="Tabletext"/>
              <w:jc w:val="left"/>
            </w:pPr>
            <w:r w:rsidRPr="00424FF6">
              <w:t>F3C</w:t>
            </w:r>
          </w:p>
        </w:tc>
        <w:tc>
          <w:tcPr>
            <w:tcW w:w="3969" w:type="dxa"/>
            <w:tcBorders>
              <w:top w:val="single" w:sz="6" w:space="0" w:color="auto"/>
              <w:left w:val="single" w:sz="6" w:space="0" w:color="auto"/>
              <w:bottom w:val="single" w:sz="6" w:space="0" w:color="auto"/>
              <w:right w:val="single" w:sz="6" w:space="0" w:color="auto"/>
            </w:tcBorders>
          </w:tcPr>
          <w:p w14:paraId="683E8B99" w14:textId="77777777" w:rsidR="005C5B32" w:rsidRPr="00424FF6" w:rsidRDefault="005C5B32" w:rsidP="00F77AF7">
            <w:pPr>
              <w:pStyle w:val="Tabletext"/>
              <w:jc w:val="left"/>
            </w:pPr>
            <w:r w:rsidRPr="00424FF6">
              <w:rPr>
                <w:i/>
                <w:iCs/>
              </w:rPr>
              <w:t>B</w:t>
            </w:r>
            <w:r w:rsidRPr="00424FF6">
              <w:rPr>
                <w:vertAlign w:val="subscript"/>
              </w:rPr>
              <w:t>26</w:t>
            </w:r>
            <w:r w:rsidRPr="00424FF6">
              <w:t xml:space="preserve"> = </w:t>
            </w:r>
            <w:r w:rsidRPr="00424FF6">
              <w:rPr>
                <w:i/>
                <w:iCs/>
              </w:rPr>
              <w:t>B</w:t>
            </w:r>
            <w:r w:rsidRPr="00424FF6">
              <w:rPr>
                <w:i/>
                <w:iCs/>
                <w:vertAlign w:val="subscript"/>
              </w:rPr>
              <w:t>n</w:t>
            </w:r>
          </w:p>
        </w:tc>
      </w:tr>
      <w:tr w:rsidR="005C5B32" w14:paraId="6341533B" w14:textId="77777777" w:rsidTr="00F77AF7">
        <w:trPr>
          <w:cantSplit/>
          <w:jc w:val="center"/>
        </w:trPr>
        <w:tc>
          <w:tcPr>
            <w:tcW w:w="3969" w:type="dxa"/>
            <w:tcBorders>
              <w:top w:val="single" w:sz="6" w:space="0" w:color="auto"/>
              <w:left w:val="single" w:sz="6" w:space="0" w:color="auto"/>
              <w:bottom w:val="single" w:sz="6" w:space="0" w:color="auto"/>
              <w:right w:val="single" w:sz="6" w:space="0" w:color="auto"/>
            </w:tcBorders>
          </w:tcPr>
          <w:p w14:paraId="02ADDFE9" w14:textId="77777777" w:rsidR="005C5B32" w:rsidRPr="00424FF6" w:rsidRDefault="005C5B32" w:rsidP="00F77AF7">
            <w:pPr>
              <w:pStyle w:val="Tabletext"/>
              <w:jc w:val="left"/>
            </w:pPr>
            <w:r w:rsidRPr="00424FF6">
              <w:t>F7BDX</w:t>
            </w:r>
          </w:p>
        </w:tc>
        <w:tc>
          <w:tcPr>
            <w:tcW w:w="3969" w:type="dxa"/>
            <w:tcBorders>
              <w:top w:val="single" w:sz="6" w:space="0" w:color="auto"/>
              <w:left w:val="single" w:sz="6" w:space="0" w:color="auto"/>
              <w:bottom w:val="single" w:sz="6" w:space="0" w:color="auto"/>
              <w:right w:val="single" w:sz="6" w:space="0" w:color="auto"/>
            </w:tcBorders>
          </w:tcPr>
          <w:p w14:paraId="63738EFC" w14:textId="77777777" w:rsidR="005C5B32" w:rsidRDefault="005C5B32" w:rsidP="00F77AF7">
            <w:pPr>
              <w:pStyle w:val="Tabletext"/>
              <w:jc w:val="left"/>
            </w:pPr>
            <w:r>
              <w:rPr>
                <w:i/>
                <w:iCs/>
              </w:rPr>
              <w:t>B</w:t>
            </w:r>
            <w:r>
              <w:rPr>
                <w:vertAlign w:val="subscript"/>
              </w:rPr>
              <w:t>26</w:t>
            </w:r>
            <w:r>
              <w:t xml:space="preserve"> = 0,9 </w:t>
            </w:r>
            <w:r>
              <w:rPr>
                <w:i/>
                <w:iCs/>
              </w:rPr>
              <w:t>B</w:t>
            </w:r>
            <w:r>
              <w:rPr>
                <w:i/>
                <w:iCs/>
                <w:vertAlign w:val="subscript"/>
              </w:rPr>
              <w:t>n</w:t>
            </w:r>
          </w:p>
        </w:tc>
      </w:tr>
    </w:tbl>
    <w:p w14:paraId="5C22EEAD" w14:textId="77777777" w:rsidR="005C5B32" w:rsidRPr="00424FF6" w:rsidRDefault="005C5B32" w:rsidP="005C5B32">
      <w:pPr>
        <w:pStyle w:val="Tablefin"/>
        <w:rPr>
          <w:lang w:val="fr-FR"/>
        </w:rPr>
      </w:pPr>
    </w:p>
    <w:p w14:paraId="432B406F" w14:textId="77777777" w:rsidR="005C5B32" w:rsidRDefault="005C5B32" w:rsidP="005C5B32">
      <w:pPr>
        <w:pStyle w:val="Heading1"/>
      </w:pPr>
      <w:bookmarkStart w:id="30" w:name="_Toc105991403"/>
      <w:bookmarkStart w:id="31" w:name="_Toc107994088"/>
      <w:r>
        <w:t>3</w:t>
      </w:r>
      <w:r>
        <w:tab/>
        <w:t xml:space="preserve">Estimation directe de la largeur de bande occupée à partir de mesures de la largeur de bande à </w:t>
      </w:r>
      <w:r>
        <w:rPr>
          <w:i/>
        </w:rPr>
        <w:t>x</w:t>
      </w:r>
      <w:r>
        <w:rPr>
          <w:iCs/>
        </w:rPr>
        <w:t> dB</w:t>
      </w:r>
      <w:bookmarkEnd w:id="30"/>
      <w:bookmarkEnd w:id="31"/>
      <w:r>
        <w:t xml:space="preserve"> </w:t>
      </w:r>
    </w:p>
    <w:p w14:paraId="6D53B724" w14:textId="77777777" w:rsidR="005C5B32" w:rsidRDefault="005C5B32" w:rsidP="005C5B32">
      <w:r>
        <w:t>La largeur de bande est mesurée à l'aide de la méthode à «</w:t>
      </w:r>
      <w:r>
        <w:rPr>
          <w:i/>
        </w:rPr>
        <w:t>x</w:t>
      </w:r>
      <w:r>
        <w:rPr>
          <w:iCs/>
        </w:rPr>
        <w:noBreakHyphen/>
        <w:t>dB»</w:t>
      </w:r>
      <w:r>
        <w:t xml:space="preserve"> décrite dans l'Annexe 2. </w:t>
      </w:r>
    </w:p>
    <w:p w14:paraId="3FA5D198" w14:textId="77777777" w:rsidR="005C5B32" w:rsidRDefault="005C5B32" w:rsidP="005C5B32">
      <w:r>
        <w:t>Le niveau de référence 0 dB est toujours fixé au niveau de crête de la courbe résultante. Les valeurs de </w:t>
      </w:r>
      <w:r>
        <w:rPr>
          <w:i/>
        </w:rPr>
        <w:t>x</w:t>
      </w:r>
      <w:r>
        <w:t xml:space="preserve"> sont celles indiquées dans le Tableau 2, selon la modulation du signal.</w:t>
      </w:r>
    </w:p>
    <w:p w14:paraId="57669540" w14:textId="77777777" w:rsidR="005C5B32" w:rsidRDefault="005C5B32" w:rsidP="005C5B32"/>
    <w:p w14:paraId="15789AB5" w14:textId="77777777" w:rsidR="005C5B32" w:rsidRDefault="005C5B32" w:rsidP="005C5B32">
      <w:pPr>
        <w:pStyle w:val="TableNo"/>
        <w:spacing w:before="400"/>
      </w:pPr>
      <w:r>
        <w:t>TABLEAU 2</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5103"/>
        <w:gridCol w:w="2268"/>
      </w:tblGrid>
      <w:tr w:rsidR="005C5B32" w14:paraId="1B2B93EA" w14:textId="77777777" w:rsidTr="00F77AF7">
        <w:trPr>
          <w:jc w:val="center"/>
        </w:trPr>
        <w:tc>
          <w:tcPr>
            <w:tcW w:w="2268" w:type="dxa"/>
            <w:tcBorders>
              <w:top w:val="single" w:sz="6" w:space="0" w:color="auto"/>
              <w:left w:val="single" w:sz="6" w:space="0" w:color="auto"/>
              <w:bottom w:val="single" w:sz="6" w:space="0" w:color="auto"/>
              <w:right w:val="single" w:sz="6" w:space="0" w:color="auto"/>
            </w:tcBorders>
            <w:vAlign w:val="center"/>
          </w:tcPr>
          <w:p w14:paraId="4ED3DF27" w14:textId="77777777" w:rsidR="005C5B32" w:rsidRDefault="005C5B32" w:rsidP="00F77AF7">
            <w:pPr>
              <w:pStyle w:val="Tablehead"/>
            </w:pPr>
            <w:r>
              <w:t>Classe d'émission</w:t>
            </w:r>
            <w:r>
              <w:br/>
              <w:t>(Voir l'Appendice 1 du RR)</w:t>
            </w:r>
          </w:p>
        </w:tc>
        <w:tc>
          <w:tcPr>
            <w:tcW w:w="5103" w:type="dxa"/>
            <w:tcBorders>
              <w:top w:val="single" w:sz="6" w:space="0" w:color="auto"/>
              <w:left w:val="single" w:sz="6" w:space="0" w:color="auto"/>
              <w:bottom w:val="single" w:sz="6" w:space="0" w:color="auto"/>
              <w:right w:val="single" w:sz="6" w:space="0" w:color="auto"/>
            </w:tcBorders>
            <w:vAlign w:val="center"/>
          </w:tcPr>
          <w:p w14:paraId="3124CD5C" w14:textId="77777777" w:rsidR="005C5B32" w:rsidRDefault="005C5B32" w:rsidP="00F77AF7">
            <w:pPr>
              <w:pStyle w:val="Tablehead"/>
            </w:pPr>
            <w:r>
              <w:t>Valeurs de «</w:t>
            </w:r>
            <w:r>
              <w:rPr>
                <w:i/>
              </w:rPr>
              <w:t>x</w:t>
            </w:r>
            <w:r>
              <w:rPr>
                <w:iCs/>
              </w:rPr>
              <w:t> dB»</w:t>
            </w:r>
            <w:r>
              <w:t xml:space="preserve"> à utiliser pour mesurer la</w:t>
            </w:r>
            <w:r>
              <w:br/>
              <w:t xml:space="preserve">largeur de bande à </w:t>
            </w:r>
            <w:r>
              <w:rPr>
                <w:i/>
              </w:rPr>
              <w:t>x</w:t>
            </w:r>
            <w:r>
              <w:rPr>
                <w:iCs/>
              </w:rPr>
              <w:t> dB</w:t>
            </w:r>
            <w:r>
              <w:t xml:space="preserve"> en vue d'une</w:t>
            </w:r>
            <w:r>
              <w:br/>
              <w:t>estimation directe de la largeur de bande occupée</w:t>
            </w:r>
          </w:p>
        </w:tc>
        <w:tc>
          <w:tcPr>
            <w:tcW w:w="2268" w:type="dxa"/>
            <w:tcBorders>
              <w:top w:val="single" w:sz="6" w:space="0" w:color="auto"/>
              <w:left w:val="single" w:sz="6" w:space="0" w:color="auto"/>
              <w:bottom w:val="single" w:sz="6" w:space="0" w:color="auto"/>
              <w:right w:val="single" w:sz="6" w:space="0" w:color="auto"/>
            </w:tcBorders>
          </w:tcPr>
          <w:p w14:paraId="6BE7155D" w14:textId="77777777" w:rsidR="005C5B32" w:rsidRDefault="005C5B32" w:rsidP="00F77AF7">
            <w:pPr>
              <w:pStyle w:val="Tablehead"/>
            </w:pPr>
            <w:r>
              <w:t>Remarques</w:t>
            </w:r>
          </w:p>
        </w:tc>
      </w:tr>
      <w:tr w:rsidR="005C5B32" w14:paraId="357AA7CA" w14:textId="77777777" w:rsidTr="00F77AF7">
        <w:trPr>
          <w:jc w:val="center"/>
        </w:trPr>
        <w:tc>
          <w:tcPr>
            <w:tcW w:w="2268" w:type="dxa"/>
            <w:tcBorders>
              <w:top w:val="single" w:sz="6" w:space="0" w:color="auto"/>
              <w:left w:val="single" w:sz="6" w:space="0" w:color="auto"/>
              <w:bottom w:val="single" w:sz="6" w:space="0" w:color="auto"/>
              <w:right w:val="single" w:sz="6" w:space="0" w:color="auto"/>
            </w:tcBorders>
          </w:tcPr>
          <w:p w14:paraId="71D626AF" w14:textId="77777777" w:rsidR="005C5B32" w:rsidRDefault="005C5B32" w:rsidP="00F77AF7">
            <w:pPr>
              <w:pStyle w:val="Tabletext"/>
              <w:jc w:val="center"/>
              <w:rPr>
                <w:lang w:val="es-ES_tradnl"/>
              </w:rPr>
            </w:pPr>
            <w:r>
              <w:rPr>
                <w:lang w:val="es-ES_tradnl"/>
              </w:rPr>
              <w:t>A1A</w:t>
            </w:r>
            <w:r>
              <w:rPr>
                <w:lang w:val="es-ES_tradnl"/>
              </w:rPr>
              <w:br/>
              <w:t>A1B</w:t>
            </w:r>
          </w:p>
        </w:tc>
        <w:tc>
          <w:tcPr>
            <w:tcW w:w="5103" w:type="dxa"/>
            <w:tcBorders>
              <w:top w:val="single" w:sz="6" w:space="0" w:color="auto"/>
              <w:left w:val="single" w:sz="6" w:space="0" w:color="auto"/>
              <w:bottom w:val="single" w:sz="6" w:space="0" w:color="auto"/>
              <w:right w:val="single" w:sz="6" w:space="0" w:color="auto"/>
            </w:tcBorders>
          </w:tcPr>
          <w:p w14:paraId="3F970DFF" w14:textId="77777777" w:rsidR="005C5B32" w:rsidRDefault="005C5B32" w:rsidP="00F77AF7">
            <w:pPr>
              <w:pStyle w:val="Tabletext"/>
              <w:jc w:val="center"/>
              <w:rPr>
                <w:lang w:val="es-ES_tradnl"/>
              </w:rPr>
            </w:pPr>
            <w:r>
              <w:rPr>
                <w:lang w:val="es-ES_tradnl"/>
              </w:rPr>
              <w:t>–30</w:t>
            </w:r>
          </w:p>
        </w:tc>
        <w:tc>
          <w:tcPr>
            <w:tcW w:w="2268" w:type="dxa"/>
            <w:tcBorders>
              <w:top w:val="single" w:sz="6" w:space="0" w:color="auto"/>
              <w:left w:val="single" w:sz="6" w:space="0" w:color="auto"/>
              <w:bottom w:val="single" w:sz="6" w:space="0" w:color="auto"/>
              <w:right w:val="single" w:sz="6" w:space="0" w:color="auto"/>
            </w:tcBorders>
          </w:tcPr>
          <w:p w14:paraId="2100C462" w14:textId="77777777" w:rsidR="005C5B32" w:rsidRDefault="005C5B32" w:rsidP="00F77AF7">
            <w:pPr>
              <w:pStyle w:val="Tabletext"/>
              <w:jc w:val="center"/>
              <w:rPr>
                <w:lang w:val="es-ES_tradnl"/>
              </w:rPr>
            </w:pPr>
          </w:p>
        </w:tc>
      </w:tr>
      <w:tr w:rsidR="005C5B32" w14:paraId="2ECE4D63" w14:textId="77777777" w:rsidTr="00F77AF7">
        <w:trPr>
          <w:jc w:val="center"/>
        </w:trPr>
        <w:tc>
          <w:tcPr>
            <w:tcW w:w="2268" w:type="dxa"/>
            <w:tcBorders>
              <w:top w:val="single" w:sz="6" w:space="0" w:color="auto"/>
              <w:left w:val="single" w:sz="6" w:space="0" w:color="auto"/>
              <w:bottom w:val="single" w:sz="6" w:space="0" w:color="auto"/>
              <w:right w:val="single" w:sz="6" w:space="0" w:color="auto"/>
            </w:tcBorders>
          </w:tcPr>
          <w:p w14:paraId="3D83AF19" w14:textId="77777777" w:rsidR="005C5B32" w:rsidRDefault="005C5B32" w:rsidP="00F77AF7">
            <w:pPr>
              <w:pStyle w:val="Tabletext"/>
              <w:jc w:val="center"/>
              <w:rPr>
                <w:lang w:val="es-ES_tradnl"/>
              </w:rPr>
            </w:pPr>
            <w:r>
              <w:rPr>
                <w:lang w:val="es-ES_tradnl"/>
              </w:rPr>
              <w:t>A2A</w:t>
            </w:r>
            <w:r>
              <w:rPr>
                <w:lang w:val="es-ES_tradnl"/>
              </w:rPr>
              <w:br/>
              <w:t>A2B</w:t>
            </w:r>
          </w:p>
        </w:tc>
        <w:tc>
          <w:tcPr>
            <w:tcW w:w="5103" w:type="dxa"/>
            <w:tcBorders>
              <w:top w:val="single" w:sz="6" w:space="0" w:color="auto"/>
              <w:left w:val="single" w:sz="6" w:space="0" w:color="auto"/>
              <w:bottom w:val="single" w:sz="6" w:space="0" w:color="auto"/>
              <w:right w:val="single" w:sz="6" w:space="0" w:color="auto"/>
            </w:tcBorders>
          </w:tcPr>
          <w:p w14:paraId="7FE12D31" w14:textId="77777777" w:rsidR="005C5B32" w:rsidRDefault="005C5B32" w:rsidP="00F77AF7">
            <w:pPr>
              <w:pStyle w:val="Tabletext"/>
              <w:jc w:val="center"/>
              <w:rPr>
                <w:lang w:val="es-ES_tradnl"/>
              </w:rPr>
            </w:pPr>
            <w:r>
              <w:rPr>
                <w:lang w:val="es-ES_tradnl"/>
              </w:rPr>
              <w:t>–32</w:t>
            </w:r>
          </w:p>
        </w:tc>
        <w:tc>
          <w:tcPr>
            <w:tcW w:w="2268" w:type="dxa"/>
            <w:tcBorders>
              <w:top w:val="single" w:sz="6" w:space="0" w:color="auto"/>
              <w:left w:val="single" w:sz="6" w:space="0" w:color="auto"/>
              <w:bottom w:val="single" w:sz="6" w:space="0" w:color="auto"/>
              <w:right w:val="single" w:sz="6" w:space="0" w:color="auto"/>
            </w:tcBorders>
          </w:tcPr>
          <w:p w14:paraId="7C8FAC34" w14:textId="77777777" w:rsidR="005C5B32" w:rsidRDefault="005C5B32" w:rsidP="00F77AF7">
            <w:pPr>
              <w:pStyle w:val="Tabletext"/>
              <w:jc w:val="center"/>
              <w:rPr>
                <w:lang w:val="es-ES_tradnl"/>
              </w:rPr>
            </w:pPr>
          </w:p>
        </w:tc>
      </w:tr>
      <w:tr w:rsidR="005C5B32" w14:paraId="3469FC7E" w14:textId="77777777" w:rsidTr="00F77AF7">
        <w:trPr>
          <w:jc w:val="center"/>
        </w:trPr>
        <w:tc>
          <w:tcPr>
            <w:tcW w:w="2268" w:type="dxa"/>
            <w:tcBorders>
              <w:top w:val="single" w:sz="6" w:space="0" w:color="auto"/>
              <w:left w:val="single" w:sz="6" w:space="0" w:color="auto"/>
              <w:bottom w:val="single" w:sz="6" w:space="0" w:color="auto"/>
              <w:right w:val="single" w:sz="6" w:space="0" w:color="auto"/>
            </w:tcBorders>
          </w:tcPr>
          <w:p w14:paraId="3B7BAA9A" w14:textId="77777777" w:rsidR="005C5B32" w:rsidRDefault="005C5B32" w:rsidP="00F77AF7">
            <w:pPr>
              <w:pStyle w:val="Tabletext"/>
              <w:jc w:val="center"/>
              <w:rPr>
                <w:lang w:val="es-ES_tradnl"/>
              </w:rPr>
            </w:pPr>
            <w:r>
              <w:rPr>
                <w:lang w:val="es-ES_tradnl"/>
              </w:rPr>
              <w:t>A3E</w:t>
            </w:r>
          </w:p>
        </w:tc>
        <w:tc>
          <w:tcPr>
            <w:tcW w:w="5103" w:type="dxa"/>
            <w:tcBorders>
              <w:top w:val="single" w:sz="6" w:space="0" w:color="auto"/>
              <w:left w:val="single" w:sz="6" w:space="0" w:color="auto"/>
              <w:bottom w:val="single" w:sz="6" w:space="0" w:color="auto"/>
              <w:right w:val="single" w:sz="6" w:space="0" w:color="auto"/>
            </w:tcBorders>
          </w:tcPr>
          <w:p w14:paraId="124CB568" w14:textId="77777777" w:rsidR="005C5B32" w:rsidRDefault="005C5B32" w:rsidP="00F77AF7">
            <w:pPr>
              <w:pStyle w:val="Tabletext"/>
              <w:jc w:val="center"/>
              <w:rPr>
                <w:lang w:val="es-ES_tradnl"/>
              </w:rPr>
            </w:pPr>
            <w:r>
              <w:rPr>
                <w:lang w:val="es-ES_tradnl"/>
              </w:rPr>
              <w:t>–35</w:t>
            </w:r>
          </w:p>
        </w:tc>
        <w:tc>
          <w:tcPr>
            <w:tcW w:w="2268" w:type="dxa"/>
            <w:tcBorders>
              <w:top w:val="single" w:sz="6" w:space="0" w:color="auto"/>
              <w:left w:val="single" w:sz="6" w:space="0" w:color="auto"/>
              <w:bottom w:val="single" w:sz="6" w:space="0" w:color="auto"/>
              <w:right w:val="single" w:sz="6" w:space="0" w:color="auto"/>
            </w:tcBorders>
          </w:tcPr>
          <w:p w14:paraId="23D819FE" w14:textId="77777777" w:rsidR="005C5B32" w:rsidRDefault="005C5B32" w:rsidP="00F77AF7">
            <w:pPr>
              <w:pStyle w:val="Tabletext"/>
              <w:jc w:val="center"/>
              <w:rPr>
                <w:lang w:val="es-ES_tradnl"/>
              </w:rPr>
            </w:pPr>
          </w:p>
        </w:tc>
      </w:tr>
      <w:tr w:rsidR="005C5B32" w14:paraId="52A4CE75" w14:textId="77777777" w:rsidTr="00F77AF7">
        <w:trPr>
          <w:jc w:val="center"/>
        </w:trPr>
        <w:tc>
          <w:tcPr>
            <w:tcW w:w="2268" w:type="dxa"/>
            <w:tcBorders>
              <w:top w:val="single" w:sz="6" w:space="0" w:color="auto"/>
              <w:left w:val="single" w:sz="6" w:space="0" w:color="auto"/>
              <w:bottom w:val="single" w:sz="6" w:space="0" w:color="auto"/>
              <w:right w:val="single" w:sz="6" w:space="0" w:color="auto"/>
            </w:tcBorders>
          </w:tcPr>
          <w:p w14:paraId="610831BB" w14:textId="77777777" w:rsidR="005C5B32" w:rsidRDefault="005C5B32" w:rsidP="00F77AF7">
            <w:pPr>
              <w:pStyle w:val="Tabletext"/>
              <w:jc w:val="center"/>
              <w:rPr>
                <w:lang w:val="es-ES_tradnl"/>
              </w:rPr>
            </w:pPr>
            <w:r>
              <w:rPr>
                <w:lang w:val="es-ES_tradnl"/>
              </w:rPr>
              <w:t>B8E</w:t>
            </w:r>
          </w:p>
        </w:tc>
        <w:tc>
          <w:tcPr>
            <w:tcW w:w="5103" w:type="dxa"/>
            <w:tcBorders>
              <w:top w:val="single" w:sz="6" w:space="0" w:color="auto"/>
              <w:left w:val="single" w:sz="6" w:space="0" w:color="auto"/>
              <w:bottom w:val="single" w:sz="6" w:space="0" w:color="auto"/>
              <w:right w:val="single" w:sz="6" w:space="0" w:color="auto"/>
            </w:tcBorders>
          </w:tcPr>
          <w:p w14:paraId="1268C979" w14:textId="77777777" w:rsidR="005C5B32" w:rsidRDefault="005C5B32" w:rsidP="00F77AF7">
            <w:pPr>
              <w:pStyle w:val="Tabletext"/>
              <w:jc w:val="center"/>
              <w:rPr>
                <w:lang w:val="es-ES_tradnl"/>
              </w:rPr>
            </w:pPr>
            <w:r>
              <w:rPr>
                <w:lang w:val="es-ES_tradnl"/>
              </w:rPr>
              <w:t>–26</w:t>
            </w:r>
          </w:p>
        </w:tc>
        <w:tc>
          <w:tcPr>
            <w:tcW w:w="2268" w:type="dxa"/>
            <w:tcBorders>
              <w:top w:val="single" w:sz="6" w:space="0" w:color="auto"/>
              <w:left w:val="single" w:sz="6" w:space="0" w:color="auto"/>
              <w:bottom w:val="single" w:sz="6" w:space="0" w:color="auto"/>
              <w:right w:val="single" w:sz="6" w:space="0" w:color="auto"/>
            </w:tcBorders>
          </w:tcPr>
          <w:p w14:paraId="5905E812" w14:textId="77777777" w:rsidR="005C5B32" w:rsidRDefault="005C5B32" w:rsidP="00F77AF7">
            <w:pPr>
              <w:pStyle w:val="Tabletext"/>
              <w:jc w:val="center"/>
              <w:rPr>
                <w:lang w:val="es-ES_tradnl"/>
              </w:rPr>
            </w:pPr>
          </w:p>
        </w:tc>
      </w:tr>
      <w:tr w:rsidR="005C5B32" w14:paraId="335642BD" w14:textId="77777777" w:rsidTr="00F77AF7">
        <w:trPr>
          <w:jc w:val="center"/>
        </w:trPr>
        <w:tc>
          <w:tcPr>
            <w:tcW w:w="2268" w:type="dxa"/>
            <w:tcBorders>
              <w:top w:val="single" w:sz="6" w:space="0" w:color="auto"/>
              <w:left w:val="single" w:sz="6" w:space="0" w:color="auto"/>
              <w:bottom w:val="single" w:sz="6" w:space="0" w:color="auto"/>
              <w:right w:val="single" w:sz="6" w:space="0" w:color="auto"/>
            </w:tcBorders>
          </w:tcPr>
          <w:p w14:paraId="17914921" w14:textId="77777777" w:rsidR="005C5B32" w:rsidRDefault="005C5B32" w:rsidP="00F77AF7">
            <w:pPr>
              <w:pStyle w:val="Tabletext"/>
              <w:jc w:val="center"/>
              <w:rPr>
                <w:lang w:val="es-ES_tradnl"/>
              </w:rPr>
            </w:pPr>
            <w:r>
              <w:rPr>
                <w:lang w:val="es-ES_tradnl"/>
              </w:rPr>
              <w:t>F1B</w:t>
            </w:r>
          </w:p>
        </w:tc>
        <w:tc>
          <w:tcPr>
            <w:tcW w:w="5103" w:type="dxa"/>
            <w:tcBorders>
              <w:top w:val="single" w:sz="6" w:space="0" w:color="auto"/>
              <w:left w:val="single" w:sz="6" w:space="0" w:color="auto"/>
              <w:bottom w:val="single" w:sz="6" w:space="0" w:color="auto"/>
              <w:right w:val="single" w:sz="6" w:space="0" w:color="auto"/>
            </w:tcBorders>
          </w:tcPr>
          <w:p w14:paraId="3BAF3CAC" w14:textId="77777777" w:rsidR="005C5B32" w:rsidRDefault="005C5B32" w:rsidP="00F77AF7">
            <w:pPr>
              <w:pStyle w:val="Tabletext"/>
              <w:jc w:val="center"/>
              <w:rPr>
                <w:lang w:val="es-ES_tradnl"/>
              </w:rPr>
            </w:pPr>
            <w:r>
              <w:rPr>
                <w:lang w:val="es-ES_tradnl"/>
              </w:rPr>
              <w:t>–25</w:t>
            </w:r>
          </w:p>
        </w:tc>
        <w:tc>
          <w:tcPr>
            <w:tcW w:w="2268" w:type="dxa"/>
            <w:tcBorders>
              <w:top w:val="single" w:sz="6" w:space="0" w:color="auto"/>
              <w:left w:val="single" w:sz="6" w:space="0" w:color="auto"/>
              <w:bottom w:val="single" w:sz="6" w:space="0" w:color="auto"/>
              <w:right w:val="single" w:sz="6" w:space="0" w:color="auto"/>
            </w:tcBorders>
          </w:tcPr>
          <w:p w14:paraId="4CB7697A" w14:textId="77777777" w:rsidR="005C5B32" w:rsidRDefault="005C5B32" w:rsidP="00F77AF7">
            <w:pPr>
              <w:pStyle w:val="Tabletext"/>
              <w:jc w:val="center"/>
              <w:rPr>
                <w:lang w:val="es-ES_tradnl"/>
              </w:rPr>
            </w:pPr>
          </w:p>
        </w:tc>
      </w:tr>
      <w:tr w:rsidR="005C5B32" w14:paraId="0AF44367" w14:textId="77777777" w:rsidTr="00F77AF7">
        <w:trPr>
          <w:jc w:val="center"/>
        </w:trPr>
        <w:tc>
          <w:tcPr>
            <w:tcW w:w="2268" w:type="dxa"/>
            <w:tcBorders>
              <w:top w:val="single" w:sz="6" w:space="0" w:color="auto"/>
              <w:left w:val="single" w:sz="6" w:space="0" w:color="auto"/>
              <w:bottom w:val="single" w:sz="6" w:space="0" w:color="auto"/>
              <w:right w:val="single" w:sz="6" w:space="0" w:color="auto"/>
            </w:tcBorders>
          </w:tcPr>
          <w:p w14:paraId="0F4B2933" w14:textId="77777777" w:rsidR="005C5B32" w:rsidRDefault="005C5B32" w:rsidP="00F77AF7">
            <w:pPr>
              <w:pStyle w:val="Tabletext"/>
              <w:jc w:val="center"/>
              <w:rPr>
                <w:lang w:val="es-ES_tradnl"/>
              </w:rPr>
            </w:pPr>
            <w:r>
              <w:rPr>
                <w:lang w:val="es-ES_tradnl"/>
              </w:rPr>
              <w:t>F3C</w:t>
            </w:r>
          </w:p>
        </w:tc>
        <w:tc>
          <w:tcPr>
            <w:tcW w:w="5103" w:type="dxa"/>
            <w:tcBorders>
              <w:top w:val="single" w:sz="6" w:space="0" w:color="auto"/>
              <w:left w:val="single" w:sz="6" w:space="0" w:color="auto"/>
              <w:bottom w:val="single" w:sz="6" w:space="0" w:color="auto"/>
              <w:right w:val="single" w:sz="6" w:space="0" w:color="auto"/>
            </w:tcBorders>
          </w:tcPr>
          <w:p w14:paraId="51784984" w14:textId="77777777" w:rsidR="005C5B32" w:rsidRDefault="005C5B32" w:rsidP="00F77AF7">
            <w:pPr>
              <w:pStyle w:val="Tabletext"/>
              <w:jc w:val="center"/>
              <w:rPr>
                <w:lang w:val="es-ES_tradnl"/>
              </w:rPr>
            </w:pPr>
            <w:r>
              <w:rPr>
                <w:lang w:val="es-ES_tradnl"/>
              </w:rPr>
              <w:t>–25</w:t>
            </w:r>
          </w:p>
        </w:tc>
        <w:tc>
          <w:tcPr>
            <w:tcW w:w="2268" w:type="dxa"/>
            <w:tcBorders>
              <w:top w:val="single" w:sz="6" w:space="0" w:color="auto"/>
              <w:left w:val="single" w:sz="6" w:space="0" w:color="auto"/>
              <w:bottom w:val="single" w:sz="6" w:space="0" w:color="auto"/>
              <w:right w:val="single" w:sz="6" w:space="0" w:color="auto"/>
            </w:tcBorders>
          </w:tcPr>
          <w:p w14:paraId="0EA92B71" w14:textId="77777777" w:rsidR="005C5B32" w:rsidRDefault="005C5B32" w:rsidP="00F77AF7">
            <w:pPr>
              <w:pStyle w:val="Tabletext"/>
              <w:jc w:val="center"/>
              <w:rPr>
                <w:lang w:val="es-ES_tradnl"/>
              </w:rPr>
            </w:pPr>
          </w:p>
        </w:tc>
      </w:tr>
      <w:tr w:rsidR="005C5B32" w14:paraId="1A302724" w14:textId="77777777" w:rsidTr="00F77AF7">
        <w:trPr>
          <w:jc w:val="center"/>
        </w:trPr>
        <w:tc>
          <w:tcPr>
            <w:tcW w:w="2268" w:type="dxa"/>
            <w:tcBorders>
              <w:top w:val="single" w:sz="6" w:space="0" w:color="auto"/>
              <w:left w:val="single" w:sz="6" w:space="0" w:color="auto"/>
              <w:bottom w:val="single" w:sz="6" w:space="0" w:color="auto"/>
              <w:right w:val="single" w:sz="6" w:space="0" w:color="auto"/>
            </w:tcBorders>
          </w:tcPr>
          <w:p w14:paraId="57CA867B" w14:textId="77777777" w:rsidR="005C5B32" w:rsidRDefault="005C5B32" w:rsidP="00F77AF7">
            <w:pPr>
              <w:pStyle w:val="Tabletext"/>
              <w:jc w:val="center"/>
              <w:rPr>
                <w:lang w:val="es-ES_tradnl"/>
              </w:rPr>
            </w:pPr>
            <w:r>
              <w:rPr>
                <w:lang w:val="es-ES_tradnl"/>
              </w:rPr>
              <w:t>F3E</w:t>
            </w:r>
            <w:r>
              <w:rPr>
                <w:lang w:val="es-ES_tradnl"/>
              </w:rPr>
              <w:br/>
              <w:t>G3E</w:t>
            </w:r>
          </w:p>
        </w:tc>
        <w:tc>
          <w:tcPr>
            <w:tcW w:w="5103" w:type="dxa"/>
            <w:tcBorders>
              <w:top w:val="single" w:sz="6" w:space="0" w:color="auto"/>
              <w:left w:val="single" w:sz="6" w:space="0" w:color="auto"/>
              <w:bottom w:val="single" w:sz="6" w:space="0" w:color="auto"/>
              <w:right w:val="single" w:sz="6" w:space="0" w:color="auto"/>
            </w:tcBorders>
          </w:tcPr>
          <w:p w14:paraId="0F960224" w14:textId="77777777" w:rsidR="005C5B32" w:rsidRDefault="005C5B32" w:rsidP="00F77AF7">
            <w:pPr>
              <w:pStyle w:val="Tabletext"/>
              <w:jc w:val="center"/>
              <w:rPr>
                <w:lang w:val="es-ES_tradnl"/>
              </w:rPr>
            </w:pPr>
            <w:r>
              <w:rPr>
                <w:lang w:val="es-ES_tradnl"/>
              </w:rPr>
              <w:t>–26</w:t>
            </w:r>
          </w:p>
        </w:tc>
        <w:tc>
          <w:tcPr>
            <w:tcW w:w="2268" w:type="dxa"/>
            <w:tcBorders>
              <w:top w:val="single" w:sz="6" w:space="0" w:color="auto"/>
              <w:left w:val="single" w:sz="6" w:space="0" w:color="auto"/>
              <w:bottom w:val="single" w:sz="6" w:space="0" w:color="auto"/>
              <w:right w:val="single" w:sz="6" w:space="0" w:color="auto"/>
            </w:tcBorders>
          </w:tcPr>
          <w:p w14:paraId="08DCD04F" w14:textId="77777777" w:rsidR="005C5B32" w:rsidRDefault="005C5B32" w:rsidP="00F77AF7">
            <w:pPr>
              <w:pStyle w:val="Tabletext"/>
              <w:jc w:val="center"/>
              <w:rPr>
                <w:lang w:val="es-ES_tradnl"/>
              </w:rPr>
            </w:pPr>
          </w:p>
        </w:tc>
      </w:tr>
      <w:tr w:rsidR="005C5B32" w14:paraId="6AF35345" w14:textId="77777777" w:rsidTr="00F77AF7">
        <w:trPr>
          <w:jc w:val="center"/>
        </w:trPr>
        <w:tc>
          <w:tcPr>
            <w:tcW w:w="2268" w:type="dxa"/>
            <w:tcBorders>
              <w:top w:val="single" w:sz="6" w:space="0" w:color="auto"/>
              <w:left w:val="single" w:sz="6" w:space="0" w:color="auto"/>
              <w:bottom w:val="single" w:sz="6" w:space="0" w:color="auto"/>
              <w:right w:val="single" w:sz="6" w:space="0" w:color="auto"/>
            </w:tcBorders>
          </w:tcPr>
          <w:p w14:paraId="445A4BA5" w14:textId="77777777" w:rsidR="005C5B32" w:rsidRDefault="005C5B32" w:rsidP="00F77AF7">
            <w:pPr>
              <w:pStyle w:val="Tabletext"/>
              <w:jc w:val="center"/>
              <w:rPr>
                <w:lang w:val="es-ES_tradnl"/>
              </w:rPr>
            </w:pPr>
            <w:r>
              <w:rPr>
                <w:lang w:val="es-ES_tradnl"/>
              </w:rPr>
              <w:t>F7B</w:t>
            </w:r>
          </w:p>
        </w:tc>
        <w:tc>
          <w:tcPr>
            <w:tcW w:w="5103" w:type="dxa"/>
            <w:tcBorders>
              <w:top w:val="single" w:sz="6" w:space="0" w:color="auto"/>
              <w:left w:val="single" w:sz="6" w:space="0" w:color="auto"/>
              <w:bottom w:val="single" w:sz="6" w:space="0" w:color="auto"/>
              <w:right w:val="single" w:sz="6" w:space="0" w:color="auto"/>
            </w:tcBorders>
          </w:tcPr>
          <w:p w14:paraId="5714E24A" w14:textId="77777777" w:rsidR="005C5B32" w:rsidRDefault="005C5B32" w:rsidP="00F77AF7">
            <w:pPr>
              <w:pStyle w:val="Tabletext"/>
              <w:jc w:val="center"/>
              <w:rPr>
                <w:lang w:val="es-ES_tradnl"/>
              </w:rPr>
            </w:pPr>
            <w:r>
              <w:rPr>
                <w:lang w:val="es-ES_tradnl"/>
              </w:rPr>
              <w:t>–28</w:t>
            </w:r>
          </w:p>
        </w:tc>
        <w:tc>
          <w:tcPr>
            <w:tcW w:w="2268" w:type="dxa"/>
            <w:tcBorders>
              <w:top w:val="single" w:sz="6" w:space="0" w:color="auto"/>
              <w:left w:val="single" w:sz="6" w:space="0" w:color="auto"/>
              <w:bottom w:val="single" w:sz="6" w:space="0" w:color="auto"/>
              <w:right w:val="single" w:sz="6" w:space="0" w:color="auto"/>
            </w:tcBorders>
          </w:tcPr>
          <w:p w14:paraId="573A198E" w14:textId="77777777" w:rsidR="005C5B32" w:rsidRDefault="005C5B32" w:rsidP="00F77AF7">
            <w:pPr>
              <w:pStyle w:val="Tabletext"/>
              <w:jc w:val="center"/>
              <w:rPr>
                <w:lang w:val="es-ES_tradnl"/>
              </w:rPr>
            </w:pPr>
          </w:p>
        </w:tc>
      </w:tr>
      <w:tr w:rsidR="005C5B32" w14:paraId="6E13E7CA" w14:textId="77777777" w:rsidTr="00F77AF7">
        <w:trPr>
          <w:jc w:val="center"/>
        </w:trPr>
        <w:tc>
          <w:tcPr>
            <w:tcW w:w="2268" w:type="dxa"/>
            <w:tcBorders>
              <w:top w:val="single" w:sz="6" w:space="0" w:color="auto"/>
              <w:left w:val="single" w:sz="6" w:space="0" w:color="auto"/>
              <w:bottom w:val="single" w:sz="6" w:space="0" w:color="auto"/>
              <w:right w:val="single" w:sz="6" w:space="0" w:color="auto"/>
            </w:tcBorders>
          </w:tcPr>
          <w:p w14:paraId="13CE737B" w14:textId="77777777" w:rsidR="005C5B32" w:rsidRDefault="005C5B32" w:rsidP="00F77AF7">
            <w:pPr>
              <w:pStyle w:val="Tabletext"/>
              <w:jc w:val="center"/>
              <w:rPr>
                <w:lang w:val="es-ES_tradnl"/>
              </w:rPr>
            </w:pPr>
            <w:r>
              <w:rPr>
                <w:lang w:val="es-ES_tradnl"/>
              </w:rPr>
              <w:t>H2B</w:t>
            </w:r>
          </w:p>
        </w:tc>
        <w:tc>
          <w:tcPr>
            <w:tcW w:w="5103" w:type="dxa"/>
            <w:tcBorders>
              <w:top w:val="single" w:sz="6" w:space="0" w:color="auto"/>
              <w:left w:val="single" w:sz="6" w:space="0" w:color="auto"/>
              <w:bottom w:val="single" w:sz="6" w:space="0" w:color="auto"/>
              <w:right w:val="single" w:sz="6" w:space="0" w:color="auto"/>
            </w:tcBorders>
          </w:tcPr>
          <w:p w14:paraId="7231016F" w14:textId="77777777" w:rsidR="005C5B32" w:rsidRDefault="005C5B32" w:rsidP="00F77AF7">
            <w:pPr>
              <w:pStyle w:val="Tabletext"/>
              <w:jc w:val="center"/>
              <w:rPr>
                <w:lang w:val="es-ES_tradnl"/>
              </w:rPr>
            </w:pPr>
            <w:r>
              <w:rPr>
                <w:lang w:val="es-ES_tradnl"/>
              </w:rPr>
              <w:t>–26</w:t>
            </w:r>
          </w:p>
        </w:tc>
        <w:tc>
          <w:tcPr>
            <w:tcW w:w="2268" w:type="dxa"/>
            <w:tcBorders>
              <w:top w:val="single" w:sz="6" w:space="0" w:color="auto"/>
              <w:left w:val="single" w:sz="6" w:space="0" w:color="auto"/>
              <w:bottom w:val="single" w:sz="6" w:space="0" w:color="auto"/>
              <w:right w:val="single" w:sz="6" w:space="0" w:color="auto"/>
            </w:tcBorders>
          </w:tcPr>
          <w:p w14:paraId="5D10F1AA" w14:textId="77777777" w:rsidR="005C5B32" w:rsidRDefault="005C5B32" w:rsidP="00F77AF7">
            <w:pPr>
              <w:pStyle w:val="Tabletext"/>
              <w:jc w:val="center"/>
              <w:rPr>
                <w:lang w:val="es-ES_tradnl"/>
              </w:rPr>
            </w:pPr>
          </w:p>
        </w:tc>
      </w:tr>
      <w:tr w:rsidR="005C5B32" w14:paraId="0E69D1D1" w14:textId="77777777" w:rsidTr="00F77AF7">
        <w:trPr>
          <w:jc w:val="center"/>
        </w:trPr>
        <w:tc>
          <w:tcPr>
            <w:tcW w:w="2268" w:type="dxa"/>
            <w:tcBorders>
              <w:top w:val="single" w:sz="6" w:space="0" w:color="auto"/>
              <w:left w:val="single" w:sz="6" w:space="0" w:color="auto"/>
              <w:bottom w:val="single" w:sz="6" w:space="0" w:color="auto"/>
              <w:right w:val="single" w:sz="6" w:space="0" w:color="auto"/>
            </w:tcBorders>
          </w:tcPr>
          <w:p w14:paraId="0CB012D8" w14:textId="77777777" w:rsidR="005C5B32" w:rsidRDefault="005C5B32" w:rsidP="00F77AF7">
            <w:pPr>
              <w:pStyle w:val="Tabletext"/>
              <w:jc w:val="center"/>
              <w:rPr>
                <w:lang w:val="es-ES_tradnl"/>
              </w:rPr>
            </w:pPr>
            <w:r>
              <w:rPr>
                <w:lang w:val="es-ES_tradnl"/>
              </w:rPr>
              <w:t>H3E</w:t>
            </w:r>
          </w:p>
        </w:tc>
        <w:tc>
          <w:tcPr>
            <w:tcW w:w="5103" w:type="dxa"/>
            <w:tcBorders>
              <w:top w:val="single" w:sz="6" w:space="0" w:color="auto"/>
              <w:left w:val="single" w:sz="6" w:space="0" w:color="auto"/>
              <w:bottom w:val="single" w:sz="6" w:space="0" w:color="auto"/>
              <w:right w:val="single" w:sz="6" w:space="0" w:color="auto"/>
            </w:tcBorders>
          </w:tcPr>
          <w:p w14:paraId="59CF8FA8" w14:textId="77777777" w:rsidR="005C5B32" w:rsidRDefault="005C5B32" w:rsidP="00F77AF7">
            <w:pPr>
              <w:pStyle w:val="Tabletext"/>
              <w:jc w:val="center"/>
              <w:rPr>
                <w:lang w:val="es-ES_tradnl"/>
              </w:rPr>
            </w:pPr>
            <w:r>
              <w:rPr>
                <w:lang w:val="es-ES_tradnl"/>
              </w:rPr>
              <w:t>–26</w:t>
            </w:r>
          </w:p>
        </w:tc>
        <w:tc>
          <w:tcPr>
            <w:tcW w:w="2268" w:type="dxa"/>
            <w:tcBorders>
              <w:top w:val="single" w:sz="6" w:space="0" w:color="auto"/>
              <w:left w:val="single" w:sz="6" w:space="0" w:color="auto"/>
              <w:bottom w:val="single" w:sz="6" w:space="0" w:color="auto"/>
              <w:right w:val="single" w:sz="6" w:space="0" w:color="auto"/>
            </w:tcBorders>
          </w:tcPr>
          <w:p w14:paraId="0AC6F9CD" w14:textId="77777777" w:rsidR="005C5B32" w:rsidRDefault="005C5B32" w:rsidP="00F77AF7">
            <w:pPr>
              <w:pStyle w:val="Tabletext"/>
              <w:jc w:val="center"/>
              <w:rPr>
                <w:lang w:val="es-ES_tradnl"/>
              </w:rPr>
            </w:pPr>
          </w:p>
        </w:tc>
      </w:tr>
      <w:tr w:rsidR="005C5B32" w14:paraId="233CC98D" w14:textId="77777777" w:rsidTr="00F77AF7">
        <w:trPr>
          <w:jc w:val="center"/>
        </w:trPr>
        <w:tc>
          <w:tcPr>
            <w:tcW w:w="2268" w:type="dxa"/>
            <w:tcBorders>
              <w:top w:val="single" w:sz="6" w:space="0" w:color="auto"/>
              <w:left w:val="single" w:sz="6" w:space="0" w:color="auto"/>
              <w:bottom w:val="single" w:sz="6" w:space="0" w:color="auto"/>
              <w:right w:val="single" w:sz="6" w:space="0" w:color="auto"/>
            </w:tcBorders>
          </w:tcPr>
          <w:p w14:paraId="0CA2F614" w14:textId="77777777" w:rsidR="005C5B32" w:rsidRDefault="005C5B32" w:rsidP="00F77AF7">
            <w:pPr>
              <w:pStyle w:val="Tabletext"/>
              <w:jc w:val="center"/>
              <w:rPr>
                <w:lang w:val="es-ES_tradnl"/>
              </w:rPr>
            </w:pPr>
            <w:r>
              <w:rPr>
                <w:lang w:val="es-ES_tradnl"/>
              </w:rPr>
              <w:t>J2B</w:t>
            </w:r>
          </w:p>
        </w:tc>
        <w:tc>
          <w:tcPr>
            <w:tcW w:w="5103" w:type="dxa"/>
            <w:tcBorders>
              <w:top w:val="single" w:sz="6" w:space="0" w:color="auto"/>
              <w:left w:val="single" w:sz="6" w:space="0" w:color="auto"/>
              <w:bottom w:val="single" w:sz="6" w:space="0" w:color="auto"/>
              <w:right w:val="single" w:sz="6" w:space="0" w:color="auto"/>
            </w:tcBorders>
          </w:tcPr>
          <w:p w14:paraId="62C704C0" w14:textId="77777777" w:rsidR="005C5B32" w:rsidRDefault="005C5B32" w:rsidP="00F77AF7">
            <w:pPr>
              <w:pStyle w:val="Tabletext"/>
              <w:jc w:val="center"/>
            </w:pPr>
            <w:r>
              <w:t>–26</w:t>
            </w:r>
          </w:p>
        </w:tc>
        <w:tc>
          <w:tcPr>
            <w:tcW w:w="2268" w:type="dxa"/>
            <w:tcBorders>
              <w:top w:val="single" w:sz="6" w:space="0" w:color="auto"/>
              <w:left w:val="single" w:sz="6" w:space="0" w:color="auto"/>
              <w:bottom w:val="single" w:sz="6" w:space="0" w:color="auto"/>
              <w:right w:val="single" w:sz="6" w:space="0" w:color="auto"/>
            </w:tcBorders>
          </w:tcPr>
          <w:p w14:paraId="080E2F64" w14:textId="77777777" w:rsidR="005C5B32" w:rsidRDefault="005C5B32" w:rsidP="00F77AF7">
            <w:pPr>
              <w:pStyle w:val="Tabletext"/>
              <w:jc w:val="center"/>
            </w:pPr>
          </w:p>
        </w:tc>
      </w:tr>
      <w:tr w:rsidR="005C5B32" w14:paraId="3C9ED209" w14:textId="77777777" w:rsidTr="00F77AF7">
        <w:trPr>
          <w:jc w:val="center"/>
        </w:trPr>
        <w:tc>
          <w:tcPr>
            <w:tcW w:w="2268" w:type="dxa"/>
            <w:tcBorders>
              <w:top w:val="single" w:sz="6" w:space="0" w:color="auto"/>
              <w:left w:val="single" w:sz="6" w:space="0" w:color="auto"/>
              <w:bottom w:val="single" w:sz="6" w:space="0" w:color="auto"/>
              <w:right w:val="single" w:sz="6" w:space="0" w:color="auto"/>
            </w:tcBorders>
          </w:tcPr>
          <w:p w14:paraId="6E0CDEDE" w14:textId="77777777" w:rsidR="005C5B32" w:rsidRDefault="005C5B32" w:rsidP="00F77AF7">
            <w:pPr>
              <w:pStyle w:val="Tabletext"/>
              <w:jc w:val="center"/>
            </w:pPr>
            <w:r>
              <w:t>J3E</w:t>
            </w:r>
          </w:p>
        </w:tc>
        <w:tc>
          <w:tcPr>
            <w:tcW w:w="5103" w:type="dxa"/>
            <w:tcBorders>
              <w:top w:val="single" w:sz="6" w:space="0" w:color="auto"/>
              <w:left w:val="single" w:sz="6" w:space="0" w:color="auto"/>
              <w:bottom w:val="single" w:sz="6" w:space="0" w:color="auto"/>
              <w:right w:val="single" w:sz="6" w:space="0" w:color="auto"/>
            </w:tcBorders>
          </w:tcPr>
          <w:p w14:paraId="7ECED0C6" w14:textId="77777777" w:rsidR="005C5B32" w:rsidRDefault="005C5B32" w:rsidP="00F77AF7">
            <w:pPr>
              <w:pStyle w:val="Tabletext"/>
              <w:jc w:val="center"/>
            </w:pPr>
            <w:r>
              <w:t>–26</w:t>
            </w:r>
          </w:p>
        </w:tc>
        <w:tc>
          <w:tcPr>
            <w:tcW w:w="2268" w:type="dxa"/>
            <w:tcBorders>
              <w:top w:val="single" w:sz="6" w:space="0" w:color="auto"/>
              <w:left w:val="single" w:sz="6" w:space="0" w:color="auto"/>
              <w:bottom w:val="single" w:sz="6" w:space="0" w:color="auto"/>
              <w:right w:val="single" w:sz="6" w:space="0" w:color="auto"/>
            </w:tcBorders>
          </w:tcPr>
          <w:p w14:paraId="5F2C2BF2" w14:textId="77777777" w:rsidR="005C5B32" w:rsidRDefault="005C5B32" w:rsidP="00F77AF7">
            <w:pPr>
              <w:pStyle w:val="Tabletext"/>
              <w:jc w:val="center"/>
            </w:pPr>
          </w:p>
        </w:tc>
      </w:tr>
      <w:tr w:rsidR="005C5B32" w14:paraId="66ECFC0F" w14:textId="77777777" w:rsidTr="00F77AF7">
        <w:trPr>
          <w:jc w:val="center"/>
        </w:trPr>
        <w:tc>
          <w:tcPr>
            <w:tcW w:w="2268" w:type="dxa"/>
            <w:tcBorders>
              <w:top w:val="single" w:sz="6" w:space="0" w:color="auto"/>
              <w:left w:val="single" w:sz="6" w:space="0" w:color="auto"/>
              <w:bottom w:val="single" w:sz="6" w:space="0" w:color="auto"/>
              <w:right w:val="single" w:sz="6" w:space="0" w:color="auto"/>
            </w:tcBorders>
          </w:tcPr>
          <w:p w14:paraId="33EC650F" w14:textId="77777777" w:rsidR="005C5B32" w:rsidRDefault="005C5B32" w:rsidP="00F77AF7">
            <w:pPr>
              <w:pStyle w:val="Tabletext"/>
              <w:jc w:val="center"/>
            </w:pPr>
            <w:r>
              <w:t>R3E</w:t>
            </w:r>
          </w:p>
        </w:tc>
        <w:tc>
          <w:tcPr>
            <w:tcW w:w="5103" w:type="dxa"/>
            <w:tcBorders>
              <w:top w:val="single" w:sz="6" w:space="0" w:color="auto"/>
              <w:left w:val="single" w:sz="6" w:space="0" w:color="auto"/>
              <w:bottom w:val="single" w:sz="6" w:space="0" w:color="auto"/>
              <w:right w:val="single" w:sz="6" w:space="0" w:color="auto"/>
            </w:tcBorders>
          </w:tcPr>
          <w:p w14:paraId="0EEDB65C" w14:textId="77777777" w:rsidR="005C5B32" w:rsidRDefault="005C5B32" w:rsidP="00F77AF7">
            <w:pPr>
              <w:pStyle w:val="Tabletext"/>
              <w:jc w:val="center"/>
            </w:pPr>
            <w:r>
              <w:t>–26</w:t>
            </w:r>
          </w:p>
        </w:tc>
        <w:tc>
          <w:tcPr>
            <w:tcW w:w="2268" w:type="dxa"/>
            <w:tcBorders>
              <w:top w:val="single" w:sz="6" w:space="0" w:color="auto"/>
              <w:left w:val="single" w:sz="6" w:space="0" w:color="auto"/>
              <w:bottom w:val="single" w:sz="6" w:space="0" w:color="auto"/>
              <w:right w:val="single" w:sz="6" w:space="0" w:color="auto"/>
            </w:tcBorders>
          </w:tcPr>
          <w:p w14:paraId="5079ACF4" w14:textId="77777777" w:rsidR="005C5B32" w:rsidRDefault="005C5B32" w:rsidP="00F77AF7">
            <w:pPr>
              <w:pStyle w:val="Tabletext"/>
              <w:jc w:val="center"/>
            </w:pPr>
          </w:p>
        </w:tc>
      </w:tr>
      <w:tr w:rsidR="005C5B32" w14:paraId="024A4064" w14:textId="77777777" w:rsidTr="00F77AF7">
        <w:trPr>
          <w:jc w:val="center"/>
        </w:trPr>
        <w:tc>
          <w:tcPr>
            <w:tcW w:w="2268" w:type="dxa"/>
            <w:tcBorders>
              <w:top w:val="single" w:sz="6" w:space="0" w:color="auto"/>
              <w:left w:val="single" w:sz="6" w:space="0" w:color="auto"/>
              <w:bottom w:val="single" w:sz="6" w:space="0" w:color="auto"/>
              <w:right w:val="single" w:sz="6" w:space="0" w:color="auto"/>
            </w:tcBorders>
          </w:tcPr>
          <w:p w14:paraId="2C8EA91C" w14:textId="77777777" w:rsidR="005C5B32" w:rsidRDefault="005C5B32" w:rsidP="00F77AF7">
            <w:pPr>
              <w:pStyle w:val="Tabletext"/>
              <w:jc w:val="center"/>
            </w:pPr>
            <w:r>
              <w:t>C7W (8-VSB)</w:t>
            </w:r>
          </w:p>
        </w:tc>
        <w:tc>
          <w:tcPr>
            <w:tcW w:w="5103" w:type="dxa"/>
            <w:tcBorders>
              <w:top w:val="single" w:sz="6" w:space="0" w:color="auto"/>
              <w:left w:val="single" w:sz="6" w:space="0" w:color="auto"/>
              <w:bottom w:val="single" w:sz="6" w:space="0" w:color="auto"/>
              <w:right w:val="single" w:sz="6" w:space="0" w:color="auto"/>
            </w:tcBorders>
          </w:tcPr>
          <w:p w14:paraId="77FA72F5" w14:textId="77777777" w:rsidR="005C5B32" w:rsidRDefault="005C5B32" w:rsidP="00F77AF7">
            <w:pPr>
              <w:pStyle w:val="Tabletext"/>
              <w:jc w:val="center"/>
            </w:pPr>
            <w:r>
              <w:t>–12</w:t>
            </w:r>
            <w:r>
              <w:rPr>
                <w:vertAlign w:val="superscript"/>
              </w:rPr>
              <w:t>(1)</w:t>
            </w:r>
          </w:p>
        </w:tc>
        <w:tc>
          <w:tcPr>
            <w:tcW w:w="2268" w:type="dxa"/>
            <w:tcBorders>
              <w:top w:val="single" w:sz="6" w:space="0" w:color="auto"/>
              <w:left w:val="single" w:sz="6" w:space="0" w:color="auto"/>
              <w:bottom w:val="single" w:sz="6" w:space="0" w:color="auto"/>
              <w:right w:val="single" w:sz="6" w:space="0" w:color="auto"/>
            </w:tcBorders>
          </w:tcPr>
          <w:p w14:paraId="5E190E66" w14:textId="77777777" w:rsidR="005C5B32" w:rsidRDefault="005C5B32" w:rsidP="00F77AF7">
            <w:pPr>
              <w:pStyle w:val="Tabletext"/>
              <w:jc w:val="center"/>
            </w:pPr>
            <w:r>
              <w:t>Moyenne sur plus de 300 balayages</w:t>
            </w:r>
          </w:p>
        </w:tc>
      </w:tr>
      <w:tr w:rsidR="005C5B32" w14:paraId="7D377DEC" w14:textId="77777777" w:rsidTr="00F77AF7">
        <w:trPr>
          <w:jc w:val="center"/>
        </w:trPr>
        <w:tc>
          <w:tcPr>
            <w:tcW w:w="2268" w:type="dxa"/>
            <w:tcBorders>
              <w:top w:val="single" w:sz="6" w:space="0" w:color="auto"/>
              <w:left w:val="single" w:sz="6" w:space="0" w:color="auto"/>
              <w:bottom w:val="single" w:sz="6" w:space="0" w:color="auto"/>
              <w:right w:val="single" w:sz="6" w:space="0" w:color="auto"/>
            </w:tcBorders>
          </w:tcPr>
          <w:p w14:paraId="7594EDED" w14:textId="77777777" w:rsidR="005C5B32" w:rsidRDefault="005C5B32" w:rsidP="00F77AF7">
            <w:pPr>
              <w:pStyle w:val="Tabletext"/>
              <w:jc w:val="center"/>
            </w:pPr>
            <w:r>
              <w:t>G7W (T-DAB)</w:t>
            </w:r>
          </w:p>
        </w:tc>
        <w:tc>
          <w:tcPr>
            <w:tcW w:w="5103" w:type="dxa"/>
            <w:tcBorders>
              <w:top w:val="single" w:sz="6" w:space="0" w:color="auto"/>
              <w:left w:val="single" w:sz="6" w:space="0" w:color="auto"/>
              <w:bottom w:val="single" w:sz="6" w:space="0" w:color="auto"/>
              <w:right w:val="single" w:sz="6" w:space="0" w:color="auto"/>
            </w:tcBorders>
          </w:tcPr>
          <w:p w14:paraId="6D78A6BE" w14:textId="77777777" w:rsidR="005C5B32" w:rsidRDefault="005C5B32" w:rsidP="00F77AF7">
            <w:pPr>
              <w:pStyle w:val="Tabletext"/>
              <w:jc w:val="center"/>
            </w:pPr>
            <w:r>
              <w:t>–8</w:t>
            </w:r>
            <w:r>
              <w:rPr>
                <w:vertAlign w:val="superscript"/>
              </w:rPr>
              <w:t>(1) (2)</w:t>
            </w:r>
          </w:p>
        </w:tc>
        <w:tc>
          <w:tcPr>
            <w:tcW w:w="2268" w:type="dxa"/>
            <w:tcBorders>
              <w:top w:val="single" w:sz="6" w:space="0" w:color="auto"/>
              <w:left w:val="single" w:sz="6" w:space="0" w:color="auto"/>
              <w:bottom w:val="single" w:sz="6" w:space="0" w:color="auto"/>
              <w:right w:val="single" w:sz="6" w:space="0" w:color="auto"/>
            </w:tcBorders>
          </w:tcPr>
          <w:p w14:paraId="48A1AB5A" w14:textId="77777777" w:rsidR="005C5B32" w:rsidRDefault="005C5B32" w:rsidP="00F77AF7">
            <w:pPr>
              <w:pStyle w:val="Tabletext"/>
              <w:jc w:val="center"/>
            </w:pPr>
            <w:r>
              <w:t>Moyenne sur plus de 100 balayages</w:t>
            </w:r>
          </w:p>
        </w:tc>
      </w:tr>
      <w:tr w:rsidR="005C5B32" w14:paraId="596965BA" w14:textId="77777777" w:rsidTr="00F77AF7">
        <w:trPr>
          <w:jc w:val="center"/>
        </w:trPr>
        <w:tc>
          <w:tcPr>
            <w:tcW w:w="9639" w:type="dxa"/>
            <w:gridSpan w:val="3"/>
            <w:tcBorders>
              <w:top w:val="single" w:sz="6" w:space="0" w:color="auto"/>
              <w:left w:val="nil"/>
              <w:bottom w:val="nil"/>
              <w:right w:val="nil"/>
            </w:tcBorders>
          </w:tcPr>
          <w:p w14:paraId="54E6CBF5" w14:textId="77777777" w:rsidR="005C5B32" w:rsidRDefault="005C5B32" w:rsidP="00F77AF7">
            <w:pPr>
              <w:pStyle w:val="Tablelegend"/>
            </w:pPr>
            <w:r w:rsidRPr="009D2EDD">
              <w:rPr>
                <w:szCs w:val="22"/>
                <w:vertAlign w:val="superscript"/>
              </w:rPr>
              <w:t>(1)</w:t>
            </w:r>
            <w:r w:rsidRPr="009D2EDD">
              <w:rPr>
                <w:szCs w:val="22"/>
              </w:rPr>
              <w:tab/>
              <w:t>Conformément à la Recommandation UIT</w:t>
            </w:r>
            <w:r>
              <w:rPr>
                <w:szCs w:val="22"/>
              </w:rPr>
              <w:t>-</w:t>
            </w:r>
            <w:r w:rsidRPr="009D2EDD">
              <w:rPr>
                <w:szCs w:val="22"/>
              </w:rPr>
              <w:t xml:space="preserve">R SM.328, l'unité de ces valeurs est dBsd, car le niveau de référence </w:t>
            </w:r>
            <w:r>
              <w:rPr>
                <w:szCs w:val="22"/>
              </w:rPr>
              <w:t xml:space="preserve">a </w:t>
            </w:r>
            <w:r w:rsidRPr="009D2EDD">
              <w:rPr>
                <w:szCs w:val="22"/>
              </w:rPr>
              <w:t>été choisi par rapport à la valeur maximale de densité spectrale de puissance à l'intérieur de la largeur de bande nécessaire.</w:t>
            </w:r>
          </w:p>
          <w:p w14:paraId="352B4E58" w14:textId="77777777" w:rsidR="005C5B32" w:rsidRDefault="005C5B32" w:rsidP="00F77AF7">
            <w:pPr>
              <w:pStyle w:val="Tablelegend"/>
            </w:pPr>
            <w:r w:rsidRPr="009D2EDD">
              <w:rPr>
                <w:szCs w:val="22"/>
                <w:vertAlign w:val="superscript"/>
              </w:rPr>
              <w:t>(2)</w:t>
            </w:r>
            <w:r w:rsidRPr="009D2EDD">
              <w:rPr>
                <w:szCs w:val="22"/>
              </w:rPr>
              <w:tab/>
              <w:t>Cette valeur a été obtenue à partir d'expériences menées avec la radiodiffusion T</w:t>
            </w:r>
            <w:r>
              <w:rPr>
                <w:szCs w:val="22"/>
              </w:rPr>
              <w:t>-</w:t>
            </w:r>
            <w:r w:rsidRPr="009D2EDD">
              <w:rPr>
                <w:szCs w:val="22"/>
              </w:rPr>
              <w:t>DMB au moyen d'un réseau de radiodiffusion</w:t>
            </w:r>
            <w:r>
              <w:rPr>
                <w:szCs w:val="22"/>
              </w:rPr>
              <w:t xml:space="preserve"> </w:t>
            </w:r>
            <w:r w:rsidRPr="009D2EDD">
              <w:rPr>
                <w:szCs w:val="22"/>
              </w:rPr>
              <w:t>T</w:t>
            </w:r>
            <w:r>
              <w:rPr>
                <w:szCs w:val="22"/>
              </w:rPr>
              <w:t>-</w:t>
            </w:r>
            <w:r w:rsidRPr="009D2EDD">
              <w:rPr>
                <w:szCs w:val="22"/>
              </w:rPr>
              <w:t>DAB (voir le Rapport UIT</w:t>
            </w:r>
            <w:r>
              <w:rPr>
                <w:szCs w:val="22"/>
              </w:rPr>
              <w:t>-</w:t>
            </w:r>
            <w:r w:rsidRPr="009D2EDD">
              <w:rPr>
                <w:szCs w:val="22"/>
              </w:rPr>
              <w:t>R BT.2049).</w:t>
            </w:r>
          </w:p>
        </w:tc>
      </w:tr>
    </w:tbl>
    <w:p w14:paraId="3B706FA8" w14:textId="77777777" w:rsidR="005C5B32" w:rsidRPr="00424FF6" w:rsidRDefault="005C5B32" w:rsidP="005C5B32">
      <w:pPr>
        <w:pStyle w:val="Tablefin"/>
        <w:rPr>
          <w:lang w:val="fr-FR"/>
        </w:rPr>
      </w:pPr>
    </w:p>
    <w:p w14:paraId="637846C3" w14:textId="77777777" w:rsidR="005C5B32" w:rsidRDefault="005C5B32" w:rsidP="005C5B32">
      <w:r>
        <w:t>La valeur résultante de la mesure est l'estimation de la largeur de bande occupée.</w:t>
      </w:r>
    </w:p>
    <w:p w14:paraId="183F92AA" w14:textId="77777777" w:rsidR="005C5B32" w:rsidRDefault="005C5B32" w:rsidP="005C5B32"/>
    <w:p w14:paraId="59EA45D8" w14:textId="77777777" w:rsidR="005C5B32" w:rsidRDefault="005C5B32" w:rsidP="005C5B32"/>
    <w:p w14:paraId="0B865141" w14:textId="77777777" w:rsidR="005C5B32" w:rsidRDefault="005C5B32" w:rsidP="005C5B32">
      <w:pPr>
        <w:pStyle w:val="Line"/>
        <w:rPr>
          <w:lang w:val="fr-FR"/>
        </w:rPr>
      </w:pPr>
    </w:p>
    <w:p w14:paraId="3AE7DFAA" w14:textId="77777777" w:rsidR="005C5B32" w:rsidRPr="00424FF6" w:rsidRDefault="005C5B32" w:rsidP="005C5B32"/>
    <w:sectPr w:rsidR="005C5B32" w:rsidRPr="00424FF6" w:rsidSect="007565CC">
      <w:footnotePr>
        <w:numFmt w:val="chicago"/>
      </w:footnotePr>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9F9E67" w14:textId="77777777" w:rsidR="0029599A" w:rsidRDefault="0029599A">
      <w:r>
        <w:separator/>
      </w:r>
    </w:p>
  </w:endnote>
  <w:endnote w:type="continuationSeparator" w:id="0">
    <w:p w14:paraId="2E5DD47E" w14:textId="77777777" w:rsidR="0029599A" w:rsidRDefault="00295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703609" w14:textId="77777777" w:rsidR="0029599A" w:rsidRDefault="0029599A">
      <w:r>
        <w:separator/>
      </w:r>
    </w:p>
  </w:footnote>
  <w:footnote w:type="continuationSeparator" w:id="0">
    <w:p w14:paraId="334C0FD4" w14:textId="77777777" w:rsidR="0029599A" w:rsidRDefault="0029599A">
      <w:r>
        <w:continuationSeparator/>
      </w:r>
    </w:p>
  </w:footnote>
  <w:footnote w:id="1">
    <w:p w14:paraId="7BB06D52" w14:textId="3A52395F" w:rsidR="005C5B32" w:rsidRPr="005C5B32" w:rsidRDefault="005C5B32" w:rsidP="00084B60">
      <w:pPr>
        <w:pStyle w:val="FootnoteText"/>
        <w:rPr>
          <w:lang w:val="fr-CH"/>
        </w:rPr>
      </w:pPr>
      <w:r>
        <w:rPr>
          <w:rStyle w:val="FootnoteReference"/>
        </w:rPr>
        <w:footnoteRef/>
      </w:r>
      <w:r>
        <w:t xml:space="preserve"> </w:t>
      </w:r>
      <w:r>
        <w:rPr>
          <w:lang w:val="fr-CH"/>
        </w:rPr>
        <w:tab/>
        <w:t xml:space="preserve">La </w:t>
      </w:r>
      <w:r w:rsidRPr="00EF18EE">
        <w:rPr>
          <w:lang w:val="fr-CH"/>
        </w:rPr>
        <w:t>Commission d'études </w:t>
      </w:r>
      <w:r>
        <w:rPr>
          <w:lang w:val="fr-CH"/>
        </w:rPr>
        <w:t xml:space="preserve">1 des </w:t>
      </w:r>
      <w:r w:rsidRPr="00EF18EE">
        <w:rPr>
          <w:lang w:val="fr-CH"/>
        </w:rPr>
        <w:t>radiocommunication</w:t>
      </w:r>
      <w:r>
        <w:rPr>
          <w:lang w:val="fr-CH"/>
        </w:rPr>
        <w:t xml:space="preserve">s a apporté des </w:t>
      </w:r>
      <w:r w:rsidRPr="00EF18EE">
        <w:rPr>
          <w:szCs w:val="24"/>
          <w:lang w:val="fr-CH"/>
        </w:rPr>
        <w:t>modification</w:t>
      </w:r>
      <w:r>
        <w:rPr>
          <w:lang w:val="fr-CH"/>
        </w:rPr>
        <w:t xml:space="preserve">s rédactionnelles à cette </w:t>
      </w:r>
      <w:r w:rsidRPr="00EF18EE">
        <w:rPr>
          <w:lang w:val="fr-CH"/>
        </w:rPr>
        <w:t>Recommandation</w:t>
      </w:r>
      <w:r w:rsidR="00084B60">
        <w:rPr>
          <w:lang w:val="fr-CH"/>
        </w:rPr>
        <w:t xml:space="preserve"> en 2018</w:t>
      </w:r>
      <w:r w:rsidR="00D77C72">
        <w:rPr>
          <w:lang w:val="fr-CH"/>
        </w:rPr>
        <w:t xml:space="preserve"> et en 2019</w:t>
      </w:r>
      <w:r>
        <w:rPr>
          <w:lang w:val="fr-CH"/>
        </w:rPr>
        <w:t xml:space="preserve"> </w:t>
      </w:r>
      <w:r w:rsidRPr="00EF18EE">
        <w:rPr>
          <w:lang w:val="fr-CH"/>
        </w:rPr>
        <w:t>conformément</w:t>
      </w:r>
      <w:r>
        <w:rPr>
          <w:lang w:val="fr-CH"/>
        </w:rPr>
        <w:t xml:space="preserve"> aux dispositions de la </w:t>
      </w:r>
      <w:r w:rsidRPr="00EF18EE">
        <w:rPr>
          <w:lang w:val="fr-CH"/>
        </w:rPr>
        <w:t>Résolution</w:t>
      </w:r>
      <w:r w:rsidR="00084B60">
        <w:rPr>
          <w:lang w:val="fr-CH"/>
        </w:rPr>
        <w:t xml:space="preserve"> UIT</w:t>
      </w:r>
      <w:r w:rsidR="00084B60">
        <w:rPr>
          <w:lang w:val="fr-CH"/>
        </w:rPr>
        <w:noBreakHyphen/>
        <w:t>R 1</w:t>
      </w:r>
      <w:r>
        <w:rPr>
          <w:lang w:val="fr-CH"/>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00328" w14:textId="77777777" w:rsidR="00A443C2" w:rsidRDefault="00A443C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013D3" w14:textId="77777777" w:rsidR="00A443C2" w:rsidRDefault="00B25CC1" w:rsidP="00C668C8">
    <w:pPr>
      <w:pStyle w:val="Header"/>
      <w:ind w:right="360" w:firstLine="360"/>
    </w:pPr>
    <w:r>
      <w:rPr>
        <w:noProof/>
        <w:lang w:val="en-US" w:eastAsia="zh-CN"/>
      </w:rPr>
      <w:drawing>
        <wp:anchor distT="0" distB="0" distL="114300" distR="114300" simplePos="0" relativeHeight="251657728" behindDoc="1" locked="0" layoutInCell="1" allowOverlap="1" wp14:anchorId="4221A844" wp14:editId="2041143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72B00" w14:textId="2087C390" w:rsidR="00A443C2" w:rsidRPr="00837CB5" w:rsidRDefault="00A443C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74253">
      <w:rPr>
        <w:rStyle w:val="PageNumber"/>
        <w:b/>
        <w:bCs/>
        <w:noProof/>
      </w:rPr>
      <w:t>2</w:t>
    </w:r>
    <w:r>
      <w:rPr>
        <w:rStyle w:val="PageNumber"/>
        <w:b/>
        <w:bCs/>
      </w:rPr>
      <w:fldChar w:fldCharType="end"/>
    </w:r>
    <w:r w:rsidRPr="00837CB5">
      <w:tab/>
    </w:r>
    <w:r w:rsidR="00B74253">
      <w:rPr>
        <w:b/>
        <w:bCs/>
      </w:rPr>
      <w:fldChar w:fldCharType="begin"/>
    </w:r>
    <w:r w:rsidR="00B74253">
      <w:rPr>
        <w:b/>
        <w:bCs/>
      </w:rPr>
      <w:instrText xml:space="preserve"> DOCPROPERTY "Header" \* MERGEFORMAT </w:instrText>
    </w:r>
    <w:r w:rsidR="00B74253">
      <w:rPr>
        <w:b/>
        <w:bCs/>
      </w:rPr>
      <w:fldChar w:fldCharType="separate"/>
    </w:r>
    <w:r w:rsidR="00A50B9C">
      <w:rPr>
        <w:b/>
        <w:bCs/>
      </w:rPr>
      <w:t xml:space="preserve">Rec. </w:t>
    </w:r>
    <w:r w:rsidR="00B74253">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A50B9C">
      <w:rPr>
        <w:b/>
        <w:bCs/>
        <w:noProof/>
      </w:rPr>
      <w:t>UIT-R  SM.443-4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434EA" w14:textId="59C76136" w:rsidR="00A443C2" w:rsidRDefault="00A443C2">
    <w:pPr>
      <w:pStyle w:val="Header"/>
    </w:pPr>
    <w:r>
      <w:tab/>
    </w:r>
    <w:r w:rsidR="00B74253">
      <w:rPr>
        <w:b/>
        <w:bCs/>
      </w:rPr>
      <w:fldChar w:fldCharType="begin"/>
    </w:r>
    <w:r w:rsidR="00B74253">
      <w:rPr>
        <w:b/>
        <w:bCs/>
      </w:rPr>
      <w:instrText xml:space="preserve"> DOCPROPERTY "Header" \* MERGEFORMAT </w:instrText>
    </w:r>
    <w:r w:rsidR="00B74253">
      <w:rPr>
        <w:b/>
        <w:bCs/>
      </w:rPr>
      <w:fldChar w:fldCharType="separate"/>
    </w:r>
    <w:r w:rsidR="00A50B9C">
      <w:rPr>
        <w:b/>
        <w:bCs/>
      </w:rPr>
      <w:t xml:space="preserve">Rec. </w:t>
    </w:r>
    <w:r w:rsidR="00B74253">
      <w:rPr>
        <w:b/>
        <w:bCs/>
      </w:rPr>
      <w:fldChar w:fldCharType="end"/>
    </w:r>
    <w:r>
      <w:rPr>
        <w:b/>
        <w:bCs/>
      </w:rPr>
      <w:t xml:space="preserve"> </w:t>
    </w:r>
    <w:r>
      <w:rPr>
        <w:b/>
        <w:bCs/>
      </w:rPr>
      <w:fldChar w:fldCharType="begin"/>
    </w:r>
    <w:r>
      <w:rPr>
        <w:b/>
        <w:bCs/>
      </w:rPr>
      <w:instrText>styleref href</w:instrText>
    </w:r>
    <w:r>
      <w:rPr>
        <w:b/>
        <w:bCs/>
      </w:rPr>
      <w:fldChar w:fldCharType="separate"/>
    </w:r>
    <w:r w:rsidR="00A50B9C">
      <w:rPr>
        <w:b/>
        <w:bCs/>
        <w:noProof/>
      </w:rPr>
      <w:t>UIT-R  SM.443-4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74253">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536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4ED7"/>
    <w:rsid w:val="00013002"/>
    <w:rsid w:val="000257FB"/>
    <w:rsid w:val="00072484"/>
    <w:rsid w:val="00076BD8"/>
    <w:rsid w:val="00084B60"/>
    <w:rsid w:val="00086C50"/>
    <w:rsid w:val="00096612"/>
    <w:rsid w:val="000A0A78"/>
    <w:rsid w:val="000A5F59"/>
    <w:rsid w:val="000B7683"/>
    <w:rsid w:val="000D4786"/>
    <w:rsid w:val="00102934"/>
    <w:rsid w:val="00123FD5"/>
    <w:rsid w:val="00125B6D"/>
    <w:rsid w:val="00126AF2"/>
    <w:rsid w:val="00147110"/>
    <w:rsid w:val="001A27FE"/>
    <w:rsid w:val="00202D10"/>
    <w:rsid w:val="002058CE"/>
    <w:rsid w:val="002165F1"/>
    <w:rsid w:val="00220C16"/>
    <w:rsid w:val="00227626"/>
    <w:rsid w:val="00273CBE"/>
    <w:rsid w:val="00276D21"/>
    <w:rsid w:val="0029599A"/>
    <w:rsid w:val="00296D7F"/>
    <w:rsid w:val="002B3CF6"/>
    <w:rsid w:val="002C768A"/>
    <w:rsid w:val="002D76C4"/>
    <w:rsid w:val="002E73BB"/>
    <w:rsid w:val="00326525"/>
    <w:rsid w:val="00354F85"/>
    <w:rsid w:val="00363367"/>
    <w:rsid w:val="003E6469"/>
    <w:rsid w:val="00420DFD"/>
    <w:rsid w:val="00470E28"/>
    <w:rsid w:val="004822EF"/>
    <w:rsid w:val="004934C5"/>
    <w:rsid w:val="004A4D65"/>
    <w:rsid w:val="00556548"/>
    <w:rsid w:val="00567DC0"/>
    <w:rsid w:val="005840B4"/>
    <w:rsid w:val="00586EF8"/>
    <w:rsid w:val="00592F9F"/>
    <w:rsid w:val="00593B96"/>
    <w:rsid w:val="00595D3D"/>
    <w:rsid w:val="005B49AB"/>
    <w:rsid w:val="005B50E7"/>
    <w:rsid w:val="005B65B9"/>
    <w:rsid w:val="005C5B32"/>
    <w:rsid w:val="005E427C"/>
    <w:rsid w:val="005E6DCC"/>
    <w:rsid w:val="005E7B4F"/>
    <w:rsid w:val="0060611D"/>
    <w:rsid w:val="00607D68"/>
    <w:rsid w:val="006149B1"/>
    <w:rsid w:val="00614CC6"/>
    <w:rsid w:val="00632229"/>
    <w:rsid w:val="00647E80"/>
    <w:rsid w:val="00680D2B"/>
    <w:rsid w:val="00681B32"/>
    <w:rsid w:val="006C7827"/>
    <w:rsid w:val="006E2037"/>
    <w:rsid w:val="006F154D"/>
    <w:rsid w:val="006F6E5D"/>
    <w:rsid w:val="00712870"/>
    <w:rsid w:val="00723436"/>
    <w:rsid w:val="00731BD8"/>
    <w:rsid w:val="00743D85"/>
    <w:rsid w:val="00753CF4"/>
    <w:rsid w:val="007565CC"/>
    <w:rsid w:val="00756B4D"/>
    <w:rsid w:val="00763B9A"/>
    <w:rsid w:val="00776E56"/>
    <w:rsid w:val="007A308E"/>
    <w:rsid w:val="007A6AA8"/>
    <w:rsid w:val="008310C9"/>
    <w:rsid w:val="00837CB5"/>
    <w:rsid w:val="00872472"/>
    <w:rsid w:val="00895BF9"/>
    <w:rsid w:val="008C7848"/>
    <w:rsid w:val="00917AF2"/>
    <w:rsid w:val="0092418A"/>
    <w:rsid w:val="00934ED7"/>
    <w:rsid w:val="009454F8"/>
    <w:rsid w:val="009543C3"/>
    <w:rsid w:val="00966E1B"/>
    <w:rsid w:val="009B5551"/>
    <w:rsid w:val="009B5564"/>
    <w:rsid w:val="009F2D2C"/>
    <w:rsid w:val="00A443C2"/>
    <w:rsid w:val="00A50B9C"/>
    <w:rsid w:val="00A52DB0"/>
    <w:rsid w:val="00A6617B"/>
    <w:rsid w:val="00A71FE5"/>
    <w:rsid w:val="00AA3AD8"/>
    <w:rsid w:val="00AB0DC8"/>
    <w:rsid w:val="00AB52D1"/>
    <w:rsid w:val="00AD267B"/>
    <w:rsid w:val="00B033C8"/>
    <w:rsid w:val="00B21066"/>
    <w:rsid w:val="00B25CC1"/>
    <w:rsid w:val="00B33425"/>
    <w:rsid w:val="00B44E24"/>
    <w:rsid w:val="00B54ECC"/>
    <w:rsid w:val="00B714F3"/>
    <w:rsid w:val="00B74253"/>
    <w:rsid w:val="00B81801"/>
    <w:rsid w:val="00BA4550"/>
    <w:rsid w:val="00BB1A09"/>
    <w:rsid w:val="00BC0651"/>
    <w:rsid w:val="00BC5D77"/>
    <w:rsid w:val="00BF487A"/>
    <w:rsid w:val="00C268B9"/>
    <w:rsid w:val="00C362C3"/>
    <w:rsid w:val="00C40D3E"/>
    <w:rsid w:val="00C46BD9"/>
    <w:rsid w:val="00C55258"/>
    <w:rsid w:val="00C668C8"/>
    <w:rsid w:val="00C73560"/>
    <w:rsid w:val="00CB0F14"/>
    <w:rsid w:val="00CD659B"/>
    <w:rsid w:val="00CD7DC8"/>
    <w:rsid w:val="00D017C0"/>
    <w:rsid w:val="00D31EB8"/>
    <w:rsid w:val="00D70C4E"/>
    <w:rsid w:val="00D77C72"/>
    <w:rsid w:val="00DE5EA2"/>
    <w:rsid w:val="00DF4176"/>
    <w:rsid w:val="00DF693C"/>
    <w:rsid w:val="00E02402"/>
    <w:rsid w:val="00E17240"/>
    <w:rsid w:val="00E4298B"/>
    <w:rsid w:val="00E44C45"/>
    <w:rsid w:val="00E44CBB"/>
    <w:rsid w:val="00E73AFE"/>
    <w:rsid w:val="00E80F1D"/>
    <w:rsid w:val="00EA6E8E"/>
    <w:rsid w:val="00EC361D"/>
    <w:rsid w:val="00EE57AA"/>
    <w:rsid w:val="00F30C9B"/>
    <w:rsid w:val="00F316C4"/>
    <w:rsid w:val="00F336CC"/>
    <w:rsid w:val="00F354B1"/>
    <w:rsid w:val="00F54FBD"/>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colormru v:ext="edit" colors="#d62a47"/>
      <o:colormenu v:ext="edit" strokecolor="#d62a47"/>
    </o:shapedefaults>
    <o:shapelayout v:ext="edit">
      <o:idmap v:ext="edit" data="1"/>
    </o:shapelayout>
  </w:shapeDefaults>
  <w:decimalSymbol w:val="."/>
  <w:listSeparator w:val=","/>
  <w14:docId w14:val="549FC12A"/>
  <w15:docId w15:val="{D03D9117-44DF-4DEC-A802-02D0CCCD6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29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25CC1"/>
    <w:pPr>
      <w:keepNext/>
      <w:keepLines/>
      <w:spacing w:before="480"/>
      <w:ind w:left="794" w:hanging="794"/>
      <w:outlineLvl w:val="0"/>
    </w:pPr>
    <w:rPr>
      <w:b/>
    </w:rPr>
  </w:style>
  <w:style w:type="paragraph" w:styleId="Heading2">
    <w:name w:val="heading 2"/>
    <w:basedOn w:val="Heading1"/>
    <w:next w:val="Normal"/>
    <w:qFormat/>
    <w:rsid w:val="00B25CC1"/>
    <w:pPr>
      <w:spacing w:before="320"/>
      <w:outlineLvl w:val="1"/>
    </w:pPr>
  </w:style>
  <w:style w:type="paragraph" w:styleId="Heading3">
    <w:name w:val="heading 3"/>
    <w:basedOn w:val="Heading1"/>
    <w:next w:val="Normal"/>
    <w:qFormat/>
    <w:rsid w:val="00B25CC1"/>
    <w:pPr>
      <w:spacing w:before="200"/>
      <w:outlineLvl w:val="2"/>
    </w:pPr>
  </w:style>
  <w:style w:type="paragraph" w:styleId="Heading4">
    <w:name w:val="heading 4"/>
    <w:basedOn w:val="Heading3"/>
    <w:next w:val="Normal"/>
    <w:qFormat/>
    <w:rsid w:val="00B25CC1"/>
    <w:pPr>
      <w:tabs>
        <w:tab w:val="clear" w:pos="794"/>
        <w:tab w:val="left" w:pos="992"/>
      </w:tabs>
      <w:ind w:left="992" w:hanging="992"/>
      <w:outlineLvl w:val="3"/>
    </w:pPr>
  </w:style>
  <w:style w:type="paragraph" w:styleId="Heading5">
    <w:name w:val="heading 5"/>
    <w:basedOn w:val="Heading4"/>
    <w:next w:val="Normal"/>
    <w:qFormat/>
    <w:rsid w:val="00B25CC1"/>
    <w:pPr>
      <w:outlineLvl w:val="4"/>
    </w:pPr>
  </w:style>
  <w:style w:type="paragraph" w:styleId="Heading6">
    <w:name w:val="heading 6"/>
    <w:basedOn w:val="Heading4"/>
    <w:next w:val="Normal"/>
    <w:qFormat/>
    <w:rsid w:val="00B25CC1"/>
    <w:pPr>
      <w:tabs>
        <w:tab w:val="clear" w:pos="992"/>
        <w:tab w:val="clear" w:pos="1191"/>
      </w:tabs>
      <w:ind w:left="1588" w:hanging="1588"/>
      <w:outlineLvl w:val="5"/>
    </w:pPr>
  </w:style>
  <w:style w:type="paragraph" w:styleId="Heading7">
    <w:name w:val="heading 7"/>
    <w:basedOn w:val="Heading6"/>
    <w:next w:val="Normal"/>
    <w:qFormat/>
    <w:rsid w:val="00B25CC1"/>
    <w:pPr>
      <w:outlineLvl w:val="6"/>
    </w:pPr>
  </w:style>
  <w:style w:type="paragraph" w:styleId="Heading8">
    <w:name w:val="heading 8"/>
    <w:basedOn w:val="Heading6"/>
    <w:next w:val="Normal"/>
    <w:qFormat/>
    <w:rsid w:val="00B25CC1"/>
    <w:pPr>
      <w:outlineLvl w:val="7"/>
    </w:pPr>
  </w:style>
  <w:style w:type="paragraph" w:styleId="Heading9">
    <w:name w:val="heading 9"/>
    <w:basedOn w:val="Heading6"/>
    <w:next w:val="Normal"/>
    <w:qFormat/>
    <w:rsid w:val="00B25CC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5CC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25CC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5CC1"/>
  </w:style>
  <w:style w:type="paragraph" w:customStyle="1" w:styleId="Headingb">
    <w:name w:val="Heading_b"/>
    <w:basedOn w:val="Heading3"/>
    <w:next w:val="Normal"/>
    <w:link w:val="HeadingbChar"/>
    <w:qFormat/>
    <w:rsid w:val="00B25CC1"/>
    <w:pPr>
      <w:spacing w:before="160"/>
      <w:ind w:left="0" w:firstLine="0"/>
      <w:outlineLvl w:val="9"/>
    </w:pPr>
  </w:style>
  <w:style w:type="paragraph" w:customStyle="1" w:styleId="Headingi">
    <w:name w:val="Heading_i"/>
    <w:basedOn w:val="Heading3"/>
    <w:next w:val="Normal"/>
    <w:rsid w:val="00B25CC1"/>
    <w:pPr>
      <w:spacing w:before="160"/>
      <w:ind w:left="0" w:firstLine="0"/>
    </w:pPr>
    <w:rPr>
      <w:b w:val="0"/>
      <w:i/>
    </w:rPr>
  </w:style>
  <w:style w:type="character" w:customStyle="1" w:styleId="href">
    <w:name w:val="href"/>
    <w:basedOn w:val="DefaultParagraphFont"/>
    <w:rsid w:val="00B25CC1"/>
  </w:style>
  <w:style w:type="paragraph" w:customStyle="1" w:styleId="AnnexNoTitle">
    <w:name w:val="Annex_NoTitle"/>
    <w:basedOn w:val="Normal"/>
    <w:next w:val="Normalaftertitle"/>
    <w:rsid w:val="00E4298B"/>
    <w:pPr>
      <w:keepNext/>
      <w:keepLines/>
      <w:spacing w:before="480" w:after="80"/>
      <w:jc w:val="center"/>
      <w:outlineLvl w:val="0"/>
    </w:pPr>
    <w:rPr>
      <w:b/>
      <w:sz w:val="28"/>
    </w:rPr>
  </w:style>
  <w:style w:type="paragraph" w:customStyle="1" w:styleId="Normalaftertitle">
    <w:name w:val="Normal_after_title"/>
    <w:basedOn w:val="Normal"/>
    <w:next w:val="Normal"/>
    <w:rsid w:val="00B25CC1"/>
    <w:pPr>
      <w:spacing w:before="320"/>
    </w:pPr>
  </w:style>
  <w:style w:type="paragraph" w:customStyle="1" w:styleId="enumlev2">
    <w:name w:val="enumlev2"/>
    <w:basedOn w:val="enumlev1"/>
    <w:rsid w:val="00B25CC1"/>
    <w:pPr>
      <w:ind w:left="1191" w:hanging="397"/>
    </w:pPr>
  </w:style>
  <w:style w:type="paragraph" w:customStyle="1" w:styleId="enumlev1">
    <w:name w:val="enumlev1"/>
    <w:basedOn w:val="Normal"/>
    <w:rsid w:val="00B25CC1"/>
    <w:pPr>
      <w:spacing w:before="80"/>
      <w:ind w:left="794" w:hanging="794"/>
    </w:pPr>
  </w:style>
  <w:style w:type="paragraph" w:customStyle="1" w:styleId="enumlev3">
    <w:name w:val="enumlev3"/>
    <w:basedOn w:val="enumlev2"/>
    <w:rsid w:val="00B25CC1"/>
    <w:pPr>
      <w:ind w:left="1588"/>
    </w:pPr>
  </w:style>
  <w:style w:type="paragraph" w:customStyle="1" w:styleId="Note">
    <w:name w:val="Note"/>
    <w:basedOn w:val="Normal"/>
    <w:rsid w:val="00B25CC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5CC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5CC1"/>
    <w:pPr>
      <w:keepNext/>
      <w:keepLines/>
      <w:spacing w:before="240"/>
      <w:jc w:val="center"/>
    </w:pPr>
    <w:rPr>
      <w:b/>
      <w:sz w:val="28"/>
    </w:rPr>
  </w:style>
  <w:style w:type="paragraph" w:customStyle="1" w:styleId="Recref">
    <w:name w:val="Rec_ref"/>
    <w:basedOn w:val="Normal"/>
    <w:next w:val="Recdate"/>
    <w:rsid w:val="00B25CC1"/>
    <w:pPr>
      <w:jc w:val="center"/>
    </w:pPr>
  </w:style>
  <w:style w:type="paragraph" w:customStyle="1" w:styleId="Recdate">
    <w:name w:val="Rec_date"/>
    <w:basedOn w:val="Recref"/>
    <w:next w:val="Normalaftertitle"/>
    <w:rsid w:val="00B25CC1"/>
    <w:pPr>
      <w:jc w:val="right"/>
    </w:pPr>
  </w:style>
  <w:style w:type="paragraph" w:customStyle="1" w:styleId="HeadingSum">
    <w:name w:val="Heading_Sum"/>
    <w:basedOn w:val="Headingb"/>
    <w:next w:val="Normal"/>
    <w:rsid w:val="00B25CC1"/>
    <w:pPr>
      <w:spacing w:before="240"/>
    </w:pPr>
    <w:rPr>
      <w:sz w:val="22"/>
      <w:lang w:val="es-ES_tradnl"/>
    </w:rPr>
  </w:style>
  <w:style w:type="paragraph" w:customStyle="1" w:styleId="AppendixNoTitle">
    <w:name w:val="Appendix_NoTitle"/>
    <w:basedOn w:val="AnnexNoTitle"/>
    <w:next w:val="Normal"/>
    <w:rsid w:val="00B25CC1"/>
  </w:style>
  <w:style w:type="paragraph" w:customStyle="1" w:styleId="Tablefin">
    <w:name w:val="Table_fin"/>
    <w:basedOn w:val="Normal"/>
    <w:next w:val="Normal"/>
    <w:rsid w:val="00B25CC1"/>
    <w:pPr>
      <w:spacing w:before="0"/>
    </w:pPr>
    <w:rPr>
      <w:sz w:val="20"/>
      <w:lang w:val="en-GB"/>
    </w:rPr>
  </w:style>
  <w:style w:type="paragraph" w:customStyle="1" w:styleId="Tablehead">
    <w:name w:val="Table_head"/>
    <w:basedOn w:val="Normal"/>
    <w:next w:val="Normal"/>
    <w:rsid w:val="00B25C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25CC1"/>
    <w:pPr>
      <w:keepNext/>
      <w:spacing w:before="360" w:after="120"/>
      <w:jc w:val="center"/>
    </w:pPr>
  </w:style>
  <w:style w:type="paragraph" w:customStyle="1" w:styleId="Tabletext">
    <w:name w:val="Table_text"/>
    <w:basedOn w:val="Normal"/>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5CC1"/>
    <w:pPr>
      <w:tabs>
        <w:tab w:val="clear" w:pos="1191"/>
        <w:tab w:val="clear" w:pos="1588"/>
        <w:tab w:val="clear" w:pos="1985"/>
        <w:tab w:val="center" w:pos="4820"/>
        <w:tab w:val="right" w:pos="9639"/>
      </w:tabs>
    </w:pPr>
  </w:style>
  <w:style w:type="paragraph" w:customStyle="1" w:styleId="Equationlegend">
    <w:name w:val="Equation_legend"/>
    <w:basedOn w:val="NormalIndent"/>
    <w:rsid w:val="00B25C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5CC1"/>
    <w:pPr>
      <w:ind w:left="794"/>
    </w:pPr>
  </w:style>
  <w:style w:type="paragraph" w:customStyle="1" w:styleId="Figurelegend">
    <w:name w:val="Figure_legend"/>
    <w:basedOn w:val="Normal"/>
    <w:rsid w:val="00B25C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25CC1"/>
    <w:pPr>
      <w:keepNext/>
      <w:keepLines/>
      <w:spacing w:before="480" w:after="80"/>
      <w:jc w:val="center"/>
    </w:pPr>
    <w:rPr>
      <w:caps/>
      <w:sz w:val="18"/>
    </w:rPr>
  </w:style>
  <w:style w:type="paragraph" w:customStyle="1" w:styleId="Figuretitle">
    <w:name w:val="Figure_title"/>
    <w:basedOn w:val="Normal"/>
    <w:next w:val="Figure"/>
    <w:rsid w:val="00B25CC1"/>
    <w:pPr>
      <w:keepNext/>
      <w:spacing w:before="0" w:after="120"/>
      <w:jc w:val="center"/>
    </w:pPr>
    <w:rPr>
      <w:rFonts w:ascii="Times New Roman Bold" w:hAnsi="Times New Roman Bold"/>
      <w:b/>
      <w:sz w:val="18"/>
    </w:rPr>
  </w:style>
  <w:style w:type="paragraph" w:customStyle="1" w:styleId="Figure">
    <w:name w:val="Figure"/>
    <w:basedOn w:val="FigureNo"/>
    <w:next w:val="Normal"/>
    <w:rsid w:val="00B25CC1"/>
    <w:pPr>
      <w:keepNext w:val="0"/>
      <w:spacing w:before="0" w:after="240"/>
    </w:pPr>
  </w:style>
  <w:style w:type="paragraph" w:customStyle="1" w:styleId="tocpart">
    <w:name w:val="tocpart"/>
    <w:basedOn w:val="Normal"/>
    <w:rsid w:val="00B25C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5CC1"/>
    <w:pPr>
      <w:keepNext/>
      <w:keepLines/>
      <w:spacing w:before="480"/>
      <w:jc w:val="center"/>
    </w:pPr>
    <w:rPr>
      <w:sz w:val="28"/>
    </w:rPr>
  </w:style>
  <w:style w:type="paragraph" w:customStyle="1" w:styleId="Arttitle">
    <w:name w:val="Art_title"/>
    <w:basedOn w:val="Normal"/>
    <w:next w:val="Normalaftertitle"/>
    <w:rsid w:val="00B25CC1"/>
    <w:pPr>
      <w:keepNext/>
      <w:keepLines/>
      <w:spacing w:before="240"/>
      <w:jc w:val="center"/>
    </w:pPr>
    <w:rPr>
      <w:b/>
      <w:sz w:val="28"/>
    </w:rPr>
  </w:style>
  <w:style w:type="paragraph" w:customStyle="1" w:styleId="Blanc">
    <w:name w:val="Blanc"/>
    <w:basedOn w:val="Normal"/>
    <w:next w:val="Tabletext"/>
    <w:rsid w:val="00B25CC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5C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25CC1"/>
    <w:pPr>
      <w:keepNext/>
      <w:keepLines/>
      <w:spacing w:before="160"/>
      <w:ind w:left="794"/>
    </w:pPr>
    <w:rPr>
      <w:i/>
    </w:rPr>
  </w:style>
  <w:style w:type="paragraph" w:customStyle="1" w:styleId="ChapNo">
    <w:name w:val="Chap_No"/>
    <w:basedOn w:val="ArtNo"/>
    <w:next w:val="Chaptitle"/>
    <w:rsid w:val="00B25CC1"/>
    <w:rPr>
      <w:b/>
    </w:rPr>
  </w:style>
  <w:style w:type="paragraph" w:customStyle="1" w:styleId="Chaptitle">
    <w:name w:val="Chap_title"/>
    <w:basedOn w:val="Arttitle"/>
    <w:next w:val="Normalaftertitle"/>
    <w:rsid w:val="00B25CC1"/>
  </w:style>
  <w:style w:type="character" w:styleId="FootnoteReference">
    <w:name w:val="footnote reference"/>
    <w:basedOn w:val="DefaultParagraphFont"/>
    <w:semiHidden/>
    <w:rsid w:val="00B25CC1"/>
    <w:rPr>
      <w:position w:val="6"/>
      <w:sz w:val="18"/>
    </w:rPr>
  </w:style>
  <w:style w:type="paragraph" w:styleId="FootnoteText">
    <w:name w:val="footnote text"/>
    <w:basedOn w:val="Normal"/>
    <w:semiHidden/>
    <w:rsid w:val="00B25CC1"/>
    <w:pPr>
      <w:keepLines/>
      <w:tabs>
        <w:tab w:val="left" w:pos="255"/>
      </w:tabs>
      <w:ind w:left="255" w:hanging="255"/>
    </w:pPr>
    <w:rPr>
      <w:sz w:val="22"/>
    </w:rPr>
  </w:style>
  <w:style w:type="paragraph" w:styleId="Index1">
    <w:name w:val="index 1"/>
    <w:basedOn w:val="Normal"/>
    <w:next w:val="Normal"/>
    <w:semiHidden/>
    <w:rsid w:val="00B25CC1"/>
  </w:style>
  <w:style w:type="paragraph" w:styleId="Index2">
    <w:name w:val="index 2"/>
    <w:basedOn w:val="Normal"/>
    <w:next w:val="Normal"/>
    <w:semiHidden/>
    <w:rsid w:val="00B25CC1"/>
    <w:pPr>
      <w:ind w:left="283"/>
    </w:pPr>
  </w:style>
  <w:style w:type="paragraph" w:styleId="Index3">
    <w:name w:val="index 3"/>
    <w:basedOn w:val="Normal"/>
    <w:next w:val="Normal"/>
    <w:semiHidden/>
    <w:rsid w:val="00B25CC1"/>
    <w:pPr>
      <w:ind w:left="566"/>
    </w:pPr>
  </w:style>
  <w:style w:type="paragraph" w:styleId="IndexHeading">
    <w:name w:val="index heading"/>
    <w:basedOn w:val="Normal"/>
    <w:next w:val="Index1"/>
    <w:semiHidden/>
    <w:rsid w:val="00B25CC1"/>
  </w:style>
  <w:style w:type="paragraph" w:customStyle="1" w:styleId="Line">
    <w:name w:val="Line"/>
    <w:basedOn w:val="Normal"/>
    <w:next w:val="Normal"/>
    <w:rsid w:val="00B25C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5C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5CC1"/>
  </w:style>
  <w:style w:type="paragraph" w:customStyle="1" w:styleId="Partref">
    <w:name w:val="Part_ref"/>
    <w:basedOn w:val="Normal"/>
    <w:next w:val="Normal"/>
    <w:rsid w:val="00B25CC1"/>
    <w:pPr>
      <w:keepNext/>
      <w:keepLines/>
      <w:spacing w:after="280"/>
      <w:jc w:val="center"/>
    </w:pPr>
  </w:style>
  <w:style w:type="paragraph" w:customStyle="1" w:styleId="Parttitle">
    <w:name w:val="Part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5CC1"/>
  </w:style>
  <w:style w:type="paragraph" w:customStyle="1" w:styleId="QuestionNo">
    <w:name w:val="Question_No"/>
    <w:basedOn w:val="RecNo"/>
    <w:next w:val="Normal"/>
    <w:rsid w:val="00B25CC1"/>
  </w:style>
  <w:style w:type="paragraph" w:customStyle="1" w:styleId="Questionref">
    <w:name w:val="Question_ref"/>
    <w:basedOn w:val="Recref"/>
    <w:next w:val="Questiondate"/>
    <w:rsid w:val="00B25CC1"/>
  </w:style>
  <w:style w:type="paragraph" w:customStyle="1" w:styleId="Questiontitle">
    <w:name w:val="Question_title"/>
    <w:basedOn w:val="Normal"/>
    <w:next w:val="Questionref"/>
    <w:rsid w:val="00B25CC1"/>
  </w:style>
  <w:style w:type="paragraph" w:customStyle="1" w:styleId="Reftext">
    <w:name w:val="Ref_text"/>
    <w:basedOn w:val="Normal"/>
    <w:rsid w:val="00B25CC1"/>
    <w:pPr>
      <w:ind w:left="794" w:hanging="794"/>
    </w:pPr>
    <w:rPr>
      <w:sz w:val="22"/>
    </w:rPr>
  </w:style>
  <w:style w:type="paragraph" w:customStyle="1" w:styleId="Reftitle">
    <w:name w:val="Ref_title"/>
    <w:basedOn w:val="Normal"/>
    <w:next w:val="Reftext"/>
    <w:rsid w:val="00B25C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5CC1"/>
  </w:style>
  <w:style w:type="paragraph" w:customStyle="1" w:styleId="RepNo">
    <w:name w:val="Rep_No"/>
    <w:basedOn w:val="RecNo"/>
    <w:next w:val="Reptitle"/>
    <w:rsid w:val="00B25CC1"/>
  </w:style>
  <w:style w:type="paragraph" w:customStyle="1" w:styleId="Reptitle">
    <w:name w:val="Rep_title"/>
    <w:basedOn w:val="Rectitle"/>
    <w:next w:val="Repref"/>
    <w:rsid w:val="00B25CC1"/>
  </w:style>
  <w:style w:type="paragraph" w:customStyle="1" w:styleId="Repref">
    <w:name w:val="Rep_ref"/>
    <w:basedOn w:val="Recref"/>
    <w:next w:val="Repdate"/>
    <w:rsid w:val="00B25CC1"/>
  </w:style>
  <w:style w:type="paragraph" w:customStyle="1" w:styleId="Resdate">
    <w:name w:val="Res_date"/>
    <w:basedOn w:val="Recdate"/>
    <w:next w:val="Normalaftertitle"/>
    <w:rsid w:val="00B25CC1"/>
  </w:style>
  <w:style w:type="paragraph" w:customStyle="1" w:styleId="ResNo">
    <w:name w:val="Res_No"/>
    <w:basedOn w:val="RecNo"/>
    <w:next w:val="Restitle"/>
    <w:rsid w:val="00B25CC1"/>
  </w:style>
  <w:style w:type="paragraph" w:customStyle="1" w:styleId="Restitle">
    <w:name w:val="Res_title"/>
    <w:basedOn w:val="Normal"/>
    <w:next w:val="Resref"/>
    <w:rsid w:val="00B25CC1"/>
    <w:pPr>
      <w:spacing w:before="240"/>
      <w:jc w:val="center"/>
    </w:pPr>
    <w:rPr>
      <w:b/>
      <w:sz w:val="28"/>
    </w:rPr>
  </w:style>
  <w:style w:type="paragraph" w:customStyle="1" w:styleId="Resref">
    <w:name w:val="Res_ref"/>
    <w:basedOn w:val="Recref"/>
    <w:next w:val="Resdate"/>
    <w:rsid w:val="00B25CC1"/>
  </w:style>
  <w:style w:type="paragraph" w:customStyle="1" w:styleId="SectionNo">
    <w:name w:val="Section_No"/>
    <w:basedOn w:val="Normal"/>
    <w:next w:val="Normal"/>
    <w:rsid w:val="00B25CC1"/>
  </w:style>
  <w:style w:type="paragraph" w:customStyle="1" w:styleId="Sectiontitle">
    <w:name w:val="Section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5CC1"/>
    <w:pPr>
      <w:tabs>
        <w:tab w:val="clear" w:pos="794"/>
        <w:tab w:val="clear" w:pos="1191"/>
        <w:tab w:val="clear" w:pos="1588"/>
        <w:tab w:val="clear" w:pos="1985"/>
        <w:tab w:val="right" w:pos="9611"/>
      </w:tabs>
    </w:pPr>
    <w:rPr>
      <w:i/>
    </w:rPr>
  </w:style>
  <w:style w:type="paragraph" w:styleId="TOC1">
    <w:name w:val="toc 1"/>
    <w:basedOn w:val="Normal"/>
    <w:semiHidden/>
    <w:rsid w:val="00B25C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25CC1"/>
    <w:pPr>
      <w:tabs>
        <w:tab w:val="clear" w:pos="567"/>
        <w:tab w:val="left" w:pos="1276"/>
      </w:tabs>
      <w:spacing w:before="160"/>
      <w:ind w:left="1276" w:hanging="709"/>
    </w:pPr>
  </w:style>
  <w:style w:type="paragraph" w:styleId="TOC3">
    <w:name w:val="toc 3"/>
    <w:basedOn w:val="TOC2"/>
    <w:semiHidden/>
    <w:rsid w:val="00B25CC1"/>
    <w:pPr>
      <w:tabs>
        <w:tab w:val="clear" w:pos="1276"/>
        <w:tab w:val="left" w:pos="2155"/>
      </w:tabs>
      <w:ind w:left="2155" w:hanging="879"/>
    </w:pPr>
  </w:style>
  <w:style w:type="paragraph" w:styleId="TOC4">
    <w:name w:val="toc 4"/>
    <w:basedOn w:val="TOC3"/>
    <w:semiHidden/>
    <w:rsid w:val="00B25CC1"/>
    <w:pPr>
      <w:tabs>
        <w:tab w:val="left" w:pos="3261"/>
      </w:tabs>
      <w:spacing w:before="80"/>
      <w:ind w:left="3261" w:hanging="993"/>
    </w:pPr>
  </w:style>
  <w:style w:type="paragraph" w:styleId="TOC5">
    <w:name w:val="toc 5"/>
    <w:basedOn w:val="TOC4"/>
    <w:semiHidden/>
    <w:rsid w:val="00B25CC1"/>
  </w:style>
  <w:style w:type="paragraph" w:styleId="TOC6">
    <w:name w:val="toc 6"/>
    <w:basedOn w:val="TOC4"/>
    <w:semiHidden/>
    <w:rsid w:val="00B25CC1"/>
  </w:style>
  <w:style w:type="paragraph" w:styleId="TOC7">
    <w:name w:val="toc 7"/>
    <w:basedOn w:val="TOC4"/>
    <w:semiHidden/>
    <w:rsid w:val="00B25CC1"/>
  </w:style>
  <w:style w:type="paragraph" w:styleId="TOC8">
    <w:name w:val="toc 8"/>
    <w:basedOn w:val="TOC4"/>
    <w:semiHidden/>
    <w:rsid w:val="00B25CC1"/>
  </w:style>
  <w:style w:type="paragraph" w:customStyle="1" w:styleId="Annexref">
    <w:name w:val="Annex_ref"/>
    <w:basedOn w:val="Normal"/>
    <w:next w:val="Normalaftertitle"/>
    <w:rsid w:val="00B25CC1"/>
    <w:pPr>
      <w:keepNext/>
      <w:keepLines/>
      <w:spacing w:after="280"/>
      <w:jc w:val="center"/>
    </w:pPr>
  </w:style>
  <w:style w:type="paragraph" w:customStyle="1" w:styleId="Appendixref">
    <w:name w:val="Appendix_ref"/>
    <w:basedOn w:val="Annexref"/>
    <w:next w:val="Normalaftertitle"/>
    <w:rsid w:val="00B25CC1"/>
  </w:style>
  <w:style w:type="paragraph" w:customStyle="1" w:styleId="Tabletitle">
    <w:name w:val="Table_title"/>
    <w:basedOn w:val="Normal"/>
    <w:next w:val="Tablehead"/>
    <w:rsid w:val="00B25CC1"/>
    <w:pPr>
      <w:keepNext/>
      <w:spacing w:before="0" w:after="120"/>
      <w:jc w:val="center"/>
    </w:pPr>
    <w:rPr>
      <w:b/>
    </w:rPr>
  </w:style>
  <w:style w:type="paragraph" w:customStyle="1" w:styleId="Summary">
    <w:name w:val="Summary"/>
    <w:basedOn w:val="Normal"/>
    <w:next w:val="Normalaftertitle"/>
    <w:rsid w:val="00B25CC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B25CC1"/>
    <w:pPr>
      <w:ind w:left="-85" w:firstLine="0"/>
    </w:pPr>
    <w:rPr>
      <w:lang w:val="en-US"/>
    </w:rPr>
  </w:style>
  <w:style w:type="paragraph" w:styleId="EndnoteText">
    <w:name w:val="endnote text"/>
    <w:basedOn w:val="Normal"/>
    <w:link w:val="EndnoteTextChar"/>
    <w:rsid w:val="005C5B32"/>
    <w:pPr>
      <w:spacing w:before="0"/>
    </w:pPr>
    <w:rPr>
      <w:sz w:val="20"/>
    </w:rPr>
  </w:style>
  <w:style w:type="character" w:customStyle="1" w:styleId="EndnoteTextChar">
    <w:name w:val="Endnote Text Char"/>
    <w:basedOn w:val="DefaultParagraphFont"/>
    <w:link w:val="EndnoteText"/>
    <w:rsid w:val="005C5B32"/>
    <w:rPr>
      <w:lang w:val="fr-FR" w:eastAsia="en-US"/>
    </w:rPr>
  </w:style>
  <w:style w:type="character" w:styleId="EndnoteReference">
    <w:name w:val="endnote reference"/>
    <w:basedOn w:val="DefaultParagraphFont"/>
    <w:rsid w:val="005C5B32"/>
    <w:rPr>
      <w:vertAlign w:val="superscript"/>
    </w:rPr>
  </w:style>
  <w:style w:type="character" w:customStyle="1" w:styleId="HeadingbChar">
    <w:name w:val="Heading_b Char"/>
    <w:link w:val="Headingb"/>
    <w:locked/>
    <w:rsid w:val="00D77C72"/>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B8A23-7752-4E0D-9350-93FF7F716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TotalTime>
  <Pages>11</Pages>
  <Words>3125</Words>
  <Characters>17819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RECOMMANDATION  UIT-R  SM.443-4 - Mesure de la largeur de bande dans les stations de contrôle des émissions</vt:lpstr>
    </vt:vector>
  </TitlesOfParts>
  <Manager/>
  <Company>ITU</Company>
  <LinksUpToDate>false</LinksUpToDate>
  <CharactersWithSpaces>20903</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SM.443-4 - Mesure de la largeur de bande dans les stations de contrôle des émissions</dc:title>
  <dc:subject>Série SM = Gestion du spectre</dc:subject>
  <dc:creator>Bureau des radiocommunications de l'UIT (BR)</dc:creator>
  <cp:keywords>SM,443-4</cp:keywords>
  <dc:description>Soby, 12.04.2011, MS-106344</dc:description>
  <cp:lastModifiedBy>Gachet, Christelle</cp:lastModifiedBy>
  <cp:revision>13</cp:revision>
  <cp:lastPrinted>2020-04-23T08:13:00Z</cp:lastPrinted>
  <dcterms:created xsi:type="dcterms:W3CDTF">2011-04-12T13:20:00Z</dcterms:created>
  <dcterms:modified xsi:type="dcterms:W3CDTF">2020-04-23T08:14:00Z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Soby</vt:lpwstr>
  </property>
  <property fmtid="{D5CDD505-2E9C-101B-9397-08002B2CF9AE}" pid="11" name="Date completed">
    <vt:lpwstr>mardi, 12. avril 2011</vt:lpwstr>
  </property>
</Properties>
</file>