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F7" w:rsidRPr="002B35F7" w:rsidRDefault="002B35F7" w:rsidP="00110D28">
      <w:pPr>
        <w:pStyle w:val="RecNo"/>
        <w:spacing w:before="0"/>
        <w:rPr>
          <w:lang w:val="en-US"/>
        </w:rPr>
      </w:pPr>
      <w:r w:rsidRPr="002B35F7">
        <w:rPr>
          <w:lang w:val="en-US"/>
        </w:rPr>
        <w:t xml:space="preserve">RECOMMENDATION </w:t>
      </w:r>
      <w:r w:rsidR="00110D28">
        <w:rPr>
          <w:lang w:val="en-US"/>
        </w:rPr>
        <w:t xml:space="preserve"> </w:t>
      </w:r>
      <w:r w:rsidRPr="0080523A">
        <w:rPr>
          <w:rStyle w:val="href"/>
          <w:lang w:val="en-GB"/>
        </w:rPr>
        <w:t>ITU-R</w:t>
      </w:r>
      <w:r w:rsidR="00110D28" w:rsidRPr="0080523A">
        <w:rPr>
          <w:rStyle w:val="href"/>
          <w:lang w:val="en-GB"/>
        </w:rPr>
        <w:t xml:space="preserve"> </w:t>
      </w:r>
      <w:r w:rsidRPr="0080523A">
        <w:rPr>
          <w:rStyle w:val="href"/>
          <w:lang w:val="en-GB"/>
        </w:rPr>
        <w:t xml:space="preserve"> SM.377-</w:t>
      </w:r>
      <w:r w:rsidR="00110D28" w:rsidRPr="0080523A">
        <w:rPr>
          <w:rStyle w:val="href"/>
          <w:lang w:val="en-GB"/>
        </w:rPr>
        <w:t>4</w:t>
      </w:r>
      <w:r w:rsidR="00B85D83" w:rsidRPr="0080523A">
        <w:rPr>
          <w:rStyle w:val="FootnoteReference"/>
          <w:lang w:val="en-GB"/>
        </w:rPr>
        <w:footnoteReference w:customMarkFollows="1" w:id="1"/>
        <w:t>*</w:t>
      </w:r>
    </w:p>
    <w:p w:rsidR="002B35F7" w:rsidRPr="002B35F7" w:rsidRDefault="002B35F7" w:rsidP="00110D28">
      <w:pPr>
        <w:pStyle w:val="Rectitle"/>
        <w:rPr>
          <w:lang w:val="en-US" w:eastAsia="fr-FR"/>
        </w:rPr>
      </w:pPr>
      <w:r w:rsidRPr="002B35F7">
        <w:rPr>
          <w:lang w:val="en-US" w:eastAsia="fr-FR"/>
        </w:rPr>
        <w:t>Accuracy of frequency measurements at stations</w:t>
      </w:r>
      <w:r w:rsidRPr="002B35F7">
        <w:rPr>
          <w:lang w:val="en-US" w:eastAsia="fr-FR"/>
        </w:rPr>
        <w:br/>
        <w:t>for international monitoring</w:t>
      </w:r>
    </w:p>
    <w:p w:rsidR="00110D28" w:rsidRDefault="00110D28" w:rsidP="002B35F7">
      <w:pPr>
        <w:pStyle w:val="Recdate"/>
        <w:rPr>
          <w:lang w:val="en-US"/>
        </w:rPr>
      </w:pPr>
    </w:p>
    <w:p w:rsidR="002B35F7" w:rsidRPr="002B35F7" w:rsidRDefault="002B35F7" w:rsidP="002B35F7">
      <w:pPr>
        <w:pStyle w:val="Recdate"/>
        <w:rPr>
          <w:lang w:val="en-US"/>
        </w:rPr>
      </w:pPr>
      <w:r w:rsidRPr="002B35F7">
        <w:rPr>
          <w:lang w:val="en-US"/>
        </w:rPr>
        <w:t>(1948-1956-1959-1963-1966-1982-1994</w:t>
      </w:r>
      <w:r w:rsidR="00110D28">
        <w:rPr>
          <w:lang w:val="en-US"/>
        </w:rPr>
        <w:t>-200</w:t>
      </w:r>
      <w:r w:rsidR="00F92BB3">
        <w:rPr>
          <w:lang w:val="en-US"/>
        </w:rPr>
        <w:t>7</w:t>
      </w:r>
      <w:r w:rsidRPr="002B35F7">
        <w:rPr>
          <w:lang w:val="en-US"/>
        </w:rPr>
        <w:t>)</w:t>
      </w:r>
    </w:p>
    <w:p w:rsidR="002B35F7" w:rsidRDefault="002B35F7" w:rsidP="002B35F7">
      <w:pPr>
        <w:rPr>
          <w:lang w:val="en-US"/>
        </w:rPr>
      </w:pPr>
    </w:p>
    <w:p w:rsidR="002B35F7" w:rsidRPr="002B35F7" w:rsidRDefault="002B35F7" w:rsidP="00110D28">
      <w:pPr>
        <w:pStyle w:val="HeadingSum"/>
        <w:rPr>
          <w:color w:val="FFFFFF"/>
        </w:rPr>
      </w:pPr>
      <w:r w:rsidRPr="002B35F7">
        <w:t>Scope</w:t>
      </w:r>
    </w:p>
    <w:p w:rsidR="002B35F7" w:rsidRPr="002B35F7" w:rsidRDefault="002B35F7" w:rsidP="00110D28">
      <w:pPr>
        <w:pStyle w:val="Summary"/>
        <w:rPr>
          <w:color w:val="FFFFFF"/>
        </w:rPr>
      </w:pPr>
      <w:r w:rsidRPr="002B35F7">
        <w:t>This Recommendation specifies standards for frequency measurements at monitoring stations and the accuracies for the measurements.</w:t>
      </w:r>
    </w:p>
    <w:p w:rsidR="0080523A" w:rsidRDefault="0080523A" w:rsidP="0080523A">
      <w:pPr>
        <w:pStyle w:val="Headingb"/>
        <w:rPr>
          <w:lang w:val="en-US"/>
        </w:rPr>
      </w:pPr>
      <w:r>
        <w:rPr>
          <w:lang w:val="en-US"/>
        </w:rPr>
        <w:t>Keywords</w:t>
      </w:r>
    </w:p>
    <w:p w:rsidR="00110D28" w:rsidRDefault="0080523A" w:rsidP="00110D28">
      <w:pPr>
        <w:rPr>
          <w:lang w:val="en-US"/>
        </w:rPr>
      </w:pPr>
      <w:r>
        <w:rPr>
          <w:rFonts w:eastAsia="Calibri"/>
          <w:lang w:val="en-US"/>
        </w:rPr>
        <w:t>Frequency measurement, high accuracy frequency standards, international monitoring</w:t>
      </w:r>
      <w:bookmarkStart w:id="0" w:name="_GoBack"/>
      <w:bookmarkEnd w:id="0"/>
    </w:p>
    <w:p w:rsidR="002B35F7" w:rsidRPr="002B35F7" w:rsidRDefault="002B35F7" w:rsidP="00110D28">
      <w:pPr>
        <w:pStyle w:val="Normalaftertitle"/>
        <w:rPr>
          <w:lang w:val="en-US"/>
        </w:rPr>
      </w:pPr>
      <w:r w:rsidRPr="002B35F7">
        <w:rPr>
          <w:lang w:val="en-US"/>
        </w:rPr>
        <w:t>The ITU Radiocommunication Assembly,</w:t>
      </w:r>
    </w:p>
    <w:p w:rsidR="00110D28" w:rsidRDefault="00110D28" w:rsidP="00110D28">
      <w:pPr>
        <w:pStyle w:val="Blanc"/>
      </w:pPr>
    </w:p>
    <w:p w:rsidR="002B35F7" w:rsidRPr="002B35F7" w:rsidRDefault="002B35F7" w:rsidP="002B35F7">
      <w:pPr>
        <w:pStyle w:val="Call"/>
        <w:rPr>
          <w:lang w:val="en-US"/>
        </w:rPr>
      </w:pPr>
      <w:r w:rsidRPr="002B35F7">
        <w:rPr>
          <w:lang w:val="en-US"/>
        </w:rPr>
        <w:t>considering</w:t>
      </w:r>
    </w:p>
    <w:p w:rsidR="002B35F7" w:rsidRPr="002B35F7" w:rsidRDefault="002B35F7" w:rsidP="002B35F7">
      <w:pPr>
        <w:rPr>
          <w:lang w:val="en-US"/>
        </w:rPr>
      </w:pPr>
      <w:r w:rsidRPr="002B35F7">
        <w:rPr>
          <w:lang w:val="en-US"/>
        </w:rPr>
        <w:t>a)</w:t>
      </w:r>
      <w:r w:rsidRPr="002B35F7">
        <w:rPr>
          <w:lang w:val="en-US"/>
        </w:rPr>
        <w:tab/>
        <w:t>the requirements of the administrations, of international organizations carrying out monitoring observations and of the Radiocommunication Bureau with respect to the frequency measurements necessary for the efficient performance of their duties;</w:t>
      </w:r>
    </w:p>
    <w:p w:rsidR="002B35F7" w:rsidRPr="002B35F7" w:rsidRDefault="002B35F7" w:rsidP="002B35F7">
      <w:pPr>
        <w:rPr>
          <w:lang w:val="en-US"/>
        </w:rPr>
      </w:pPr>
      <w:r w:rsidRPr="002B35F7">
        <w:rPr>
          <w:lang w:val="en-US"/>
        </w:rPr>
        <w:t>b)</w:t>
      </w:r>
      <w:r w:rsidRPr="002B35F7">
        <w:rPr>
          <w:lang w:val="en-US"/>
        </w:rPr>
        <w:tab/>
        <w:t>the general availability of suitable monitoring equipment for frequency measurements and high accuracy frequency standards,</w:t>
      </w:r>
    </w:p>
    <w:p w:rsidR="00110D28" w:rsidRDefault="00110D28" w:rsidP="00110D28">
      <w:pPr>
        <w:pStyle w:val="Blanc"/>
      </w:pPr>
    </w:p>
    <w:p w:rsidR="002B35F7" w:rsidRPr="002B35F7" w:rsidRDefault="002B35F7" w:rsidP="002B35F7">
      <w:pPr>
        <w:pStyle w:val="Call"/>
        <w:rPr>
          <w:lang w:val="en-US"/>
        </w:rPr>
      </w:pPr>
      <w:r w:rsidRPr="002B35F7">
        <w:rPr>
          <w:lang w:val="en-US"/>
        </w:rPr>
        <w:t>recognizing</w:t>
      </w:r>
    </w:p>
    <w:p w:rsidR="002B35F7" w:rsidRPr="002B35F7" w:rsidRDefault="002B35F7" w:rsidP="002B35F7">
      <w:pPr>
        <w:rPr>
          <w:lang w:val="en-US"/>
        </w:rPr>
      </w:pPr>
      <w:r w:rsidRPr="002B35F7">
        <w:rPr>
          <w:lang w:val="en-US"/>
        </w:rPr>
        <w:t>a)</w:t>
      </w:r>
      <w:r w:rsidRPr="002B35F7">
        <w:rPr>
          <w:lang w:val="en-US"/>
        </w:rPr>
        <w:tab/>
        <w:t xml:space="preserve">that errors of frequency measurement shall not exceed one-tenth of the frequency tolerances specified in Appendix </w:t>
      </w:r>
      <w:r w:rsidRPr="002B35F7">
        <w:rPr>
          <w:bCs/>
          <w:lang w:val="en-US"/>
        </w:rPr>
        <w:t>2</w:t>
      </w:r>
      <w:r w:rsidRPr="002B35F7">
        <w:rPr>
          <w:b/>
          <w:lang w:val="en-US"/>
        </w:rPr>
        <w:t xml:space="preserve"> </w:t>
      </w:r>
      <w:r w:rsidRPr="002B35F7">
        <w:rPr>
          <w:lang w:val="en-US"/>
        </w:rPr>
        <w:t>of the Radio Regulations,</w:t>
      </w:r>
    </w:p>
    <w:p w:rsidR="00110D28" w:rsidRDefault="00110D28" w:rsidP="00110D28">
      <w:pPr>
        <w:pStyle w:val="Blanc"/>
      </w:pPr>
    </w:p>
    <w:p w:rsidR="002B35F7" w:rsidRPr="002B35F7" w:rsidRDefault="002B35F7" w:rsidP="002B35F7">
      <w:pPr>
        <w:pStyle w:val="Call"/>
        <w:rPr>
          <w:lang w:val="en-US"/>
        </w:rPr>
      </w:pPr>
      <w:r w:rsidRPr="002B35F7">
        <w:rPr>
          <w:lang w:val="en-US"/>
        </w:rPr>
        <w:t>recommends</w:t>
      </w:r>
    </w:p>
    <w:p w:rsidR="002B35F7" w:rsidRPr="002B35F7" w:rsidRDefault="002B35F7" w:rsidP="002B35F7">
      <w:pPr>
        <w:rPr>
          <w:lang w:val="en-US"/>
        </w:rPr>
      </w:pPr>
      <w:r w:rsidRPr="002B35F7">
        <w:rPr>
          <w:b/>
          <w:lang w:val="en-US"/>
        </w:rPr>
        <w:t>1</w:t>
      </w:r>
      <w:r w:rsidRPr="002B35F7">
        <w:rPr>
          <w:lang w:val="en-US"/>
        </w:rPr>
        <w:tab/>
        <w:t>that high accuracy standards such as provided by atomic clocks, radiodetermination and radiodetermination-satellite systems also be accepted as frequency measurement standards;</w:t>
      </w:r>
    </w:p>
    <w:p w:rsidR="002B35F7" w:rsidRPr="002B35F7" w:rsidRDefault="002B35F7" w:rsidP="002B35F7">
      <w:pPr>
        <w:rPr>
          <w:lang w:val="en-US"/>
        </w:rPr>
      </w:pPr>
      <w:r w:rsidRPr="002B35F7">
        <w:rPr>
          <w:b/>
          <w:lang w:val="en-US"/>
        </w:rPr>
        <w:t>2</w:t>
      </w:r>
      <w:r w:rsidRPr="002B35F7">
        <w:rPr>
          <w:lang w:val="en-US"/>
        </w:rPr>
        <w:tab/>
        <w:t>that monitoring equipment and procedures shall be such that frequency measurements shall be made with an accuracy equal to, or better than, that specified in Table 1:</w:t>
      </w:r>
    </w:p>
    <w:p w:rsidR="002B35F7" w:rsidRPr="0080523A" w:rsidRDefault="002B35F7" w:rsidP="002B35F7">
      <w:pPr>
        <w:pStyle w:val="TableNo"/>
        <w:rPr>
          <w:lang w:val="en-GB"/>
        </w:rPr>
      </w:pPr>
      <w:r w:rsidRPr="0080523A">
        <w:rPr>
          <w:lang w:val="en-GB"/>
        </w:rPr>
        <w:lastRenderedPageBreak/>
        <w:t>TABLE 1</w:t>
      </w:r>
    </w:p>
    <w:p w:rsidR="002B35F7" w:rsidRPr="002B35F7" w:rsidRDefault="002B35F7" w:rsidP="002B35F7">
      <w:pPr>
        <w:pStyle w:val="Tabletitle"/>
        <w:rPr>
          <w:lang w:val="en-US"/>
        </w:rPr>
      </w:pPr>
      <w:r w:rsidRPr="002B35F7">
        <w:rPr>
          <w:lang w:val="en-US"/>
        </w:rPr>
        <w:t>Accuracy of frequency measurements at monitoring stations</w:t>
      </w:r>
    </w:p>
    <w:tbl>
      <w:tblPr>
        <w:tblW w:w="9639" w:type="dxa"/>
        <w:tblLayout w:type="fixed"/>
        <w:tblLook w:val="0000" w:firstRow="0" w:lastRow="0" w:firstColumn="0" w:lastColumn="0" w:noHBand="0" w:noVBand="0"/>
      </w:tblPr>
      <w:tblGrid>
        <w:gridCol w:w="5670"/>
        <w:gridCol w:w="3969"/>
      </w:tblGrid>
      <w:tr w:rsidR="002B35F7">
        <w:trPr>
          <w:cantSplit/>
        </w:trPr>
        <w:tc>
          <w:tcPr>
            <w:tcW w:w="5670" w:type="dxa"/>
            <w:tcBorders>
              <w:top w:val="single" w:sz="6" w:space="0" w:color="auto"/>
              <w:left w:val="single" w:sz="6" w:space="0" w:color="auto"/>
              <w:bottom w:val="single" w:sz="6" w:space="0" w:color="auto"/>
              <w:right w:val="single" w:sz="6" w:space="0" w:color="auto"/>
            </w:tcBorders>
          </w:tcPr>
          <w:p w:rsidR="002B35F7" w:rsidRDefault="002B35F7" w:rsidP="002B35F7">
            <w:pPr>
              <w:pStyle w:val="Tablehead"/>
            </w:pPr>
            <w:r>
              <w:t>Type of measurement</w:t>
            </w:r>
          </w:p>
        </w:tc>
        <w:tc>
          <w:tcPr>
            <w:tcW w:w="3969" w:type="dxa"/>
            <w:tcBorders>
              <w:top w:val="single" w:sz="6" w:space="0" w:color="auto"/>
              <w:left w:val="single" w:sz="6" w:space="0" w:color="auto"/>
              <w:bottom w:val="single" w:sz="6" w:space="0" w:color="auto"/>
              <w:right w:val="single" w:sz="6" w:space="0" w:color="auto"/>
            </w:tcBorders>
          </w:tcPr>
          <w:p w:rsidR="002B35F7" w:rsidRDefault="002B35F7" w:rsidP="002B35F7">
            <w:pPr>
              <w:pStyle w:val="Tablehead"/>
            </w:pPr>
            <w:r>
              <w:t>Accuracy</w:t>
            </w:r>
          </w:p>
        </w:tc>
      </w:tr>
      <w:tr w:rsidR="002B35F7" w:rsidRPr="0080523A">
        <w:trPr>
          <w:cantSplit/>
        </w:trPr>
        <w:tc>
          <w:tcPr>
            <w:tcW w:w="5670" w:type="dxa"/>
            <w:tcBorders>
              <w:top w:val="single" w:sz="6" w:space="0" w:color="auto"/>
              <w:left w:val="single" w:sz="6" w:space="0" w:color="auto"/>
              <w:bottom w:val="single" w:sz="6" w:space="0" w:color="auto"/>
              <w:right w:val="single" w:sz="6" w:space="0" w:color="auto"/>
            </w:tcBorders>
          </w:tcPr>
          <w:p w:rsidR="002B35F7" w:rsidRPr="002B35F7" w:rsidRDefault="002B35F7" w:rsidP="00110D28">
            <w:pPr>
              <w:pStyle w:val="Tabletext"/>
              <w:keepNext/>
              <w:ind w:left="284" w:hanging="284"/>
              <w:jc w:val="left"/>
              <w:rPr>
                <w:lang w:val="en-US"/>
              </w:rPr>
            </w:pPr>
            <w:r w:rsidRPr="002B35F7">
              <w:rPr>
                <w:lang w:val="en-US"/>
              </w:rPr>
              <w:t>1.</w:t>
            </w:r>
            <w:r w:rsidRPr="002B35F7">
              <w:rPr>
                <w:lang w:val="en-US"/>
              </w:rPr>
              <w:tab/>
              <w:t>Measurements of the frequencies of stations, except broadcasting stations, operating in the frequency range 9</w:t>
            </w:r>
            <w:r w:rsidRPr="002B35F7">
              <w:rPr>
                <w:lang w:val="en-US"/>
              </w:rPr>
              <w:noBreakHyphen/>
              <w:t>4 000 kHz</w:t>
            </w:r>
          </w:p>
        </w:tc>
        <w:tc>
          <w:tcPr>
            <w:tcW w:w="3969" w:type="dxa"/>
            <w:tcBorders>
              <w:top w:val="single" w:sz="6" w:space="0" w:color="auto"/>
              <w:left w:val="single" w:sz="6" w:space="0" w:color="auto"/>
              <w:bottom w:val="single" w:sz="6" w:space="0" w:color="auto"/>
              <w:right w:val="single" w:sz="6" w:space="0" w:color="auto"/>
            </w:tcBorders>
          </w:tcPr>
          <w:p w:rsidR="002B35F7" w:rsidRPr="002B35F7" w:rsidRDefault="002B35F7" w:rsidP="00110D28">
            <w:pPr>
              <w:pStyle w:val="Tabletext"/>
              <w:keepNext/>
              <w:jc w:val="left"/>
              <w:rPr>
                <w:lang w:val="en-US"/>
              </w:rPr>
            </w:pPr>
            <w:r w:rsidRPr="001F3F69">
              <w:sym w:font="Symbol" w:char="F0B1"/>
            </w:r>
            <w:r w:rsidRPr="002B35F7">
              <w:rPr>
                <w:lang w:val="en-US"/>
              </w:rPr>
              <w:t xml:space="preserve"> 5 × 10</w:t>
            </w:r>
            <w:r w:rsidRPr="002B35F7">
              <w:rPr>
                <w:vertAlign w:val="superscript"/>
                <w:lang w:val="en-US"/>
              </w:rPr>
              <w:t>–6</w:t>
            </w:r>
            <w:r w:rsidRPr="002B35F7">
              <w:rPr>
                <w:lang w:val="en-US"/>
              </w:rPr>
              <w:t xml:space="preserve"> of the value (or where this would be less than </w:t>
            </w:r>
            <w:r w:rsidRPr="001F3F69">
              <w:sym w:font="Symbol" w:char="F0B1"/>
            </w:r>
            <w:r w:rsidRPr="002B35F7">
              <w:rPr>
                <w:lang w:val="en-US"/>
              </w:rPr>
              <w:t xml:space="preserve"> 1 Hz, to an accuracy of </w:t>
            </w:r>
            <w:r w:rsidRPr="001F3F69">
              <w:sym w:font="Symbol" w:char="F0B1"/>
            </w:r>
            <w:r w:rsidRPr="002B35F7">
              <w:rPr>
                <w:lang w:val="en-US"/>
              </w:rPr>
              <w:t xml:space="preserve"> 1 Hz)</w:t>
            </w:r>
          </w:p>
        </w:tc>
      </w:tr>
      <w:tr w:rsidR="002B35F7">
        <w:trPr>
          <w:cantSplit/>
        </w:trPr>
        <w:tc>
          <w:tcPr>
            <w:tcW w:w="5670" w:type="dxa"/>
            <w:tcBorders>
              <w:top w:val="single" w:sz="6" w:space="0" w:color="auto"/>
              <w:left w:val="single" w:sz="6" w:space="0" w:color="auto"/>
              <w:bottom w:val="single" w:sz="6" w:space="0" w:color="auto"/>
              <w:right w:val="single" w:sz="6" w:space="0" w:color="auto"/>
            </w:tcBorders>
          </w:tcPr>
          <w:p w:rsidR="002B35F7" w:rsidRPr="002B35F7" w:rsidRDefault="002B35F7" w:rsidP="00110D28">
            <w:pPr>
              <w:pStyle w:val="Tabletext"/>
              <w:keepNext/>
              <w:ind w:left="284" w:hanging="284"/>
              <w:jc w:val="left"/>
              <w:rPr>
                <w:lang w:val="en-US"/>
              </w:rPr>
            </w:pPr>
            <w:r w:rsidRPr="002B35F7">
              <w:rPr>
                <w:lang w:val="en-US"/>
              </w:rPr>
              <w:t>2.</w:t>
            </w:r>
            <w:r w:rsidRPr="002B35F7">
              <w:rPr>
                <w:lang w:val="en-US"/>
              </w:rPr>
              <w:tab/>
              <w:t>Measurements of the frequencies of broadcasting stations, operating in the frequency range 9-4 000 kHz</w:t>
            </w:r>
          </w:p>
        </w:tc>
        <w:tc>
          <w:tcPr>
            <w:tcW w:w="3969" w:type="dxa"/>
            <w:tcBorders>
              <w:top w:val="single" w:sz="6" w:space="0" w:color="auto"/>
              <w:left w:val="single" w:sz="6" w:space="0" w:color="auto"/>
              <w:bottom w:val="single" w:sz="6" w:space="0" w:color="auto"/>
              <w:right w:val="single" w:sz="6" w:space="0" w:color="auto"/>
            </w:tcBorders>
          </w:tcPr>
          <w:p w:rsidR="002B35F7" w:rsidRPr="001F3F69" w:rsidRDefault="002B35F7" w:rsidP="00110D28">
            <w:pPr>
              <w:pStyle w:val="Tabletext"/>
              <w:keepNext/>
              <w:jc w:val="left"/>
            </w:pPr>
            <w:r>
              <w:t>±</w:t>
            </w:r>
            <w:r w:rsidRPr="001F3F69">
              <w:t xml:space="preserve"> 1 Hz</w:t>
            </w:r>
          </w:p>
        </w:tc>
      </w:tr>
      <w:tr w:rsidR="002B35F7">
        <w:trPr>
          <w:cantSplit/>
        </w:trPr>
        <w:tc>
          <w:tcPr>
            <w:tcW w:w="5670" w:type="dxa"/>
            <w:tcBorders>
              <w:top w:val="single" w:sz="6" w:space="0" w:color="auto"/>
              <w:left w:val="single" w:sz="6" w:space="0" w:color="auto"/>
              <w:bottom w:val="single" w:sz="6" w:space="0" w:color="auto"/>
              <w:right w:val="single" w:sz="6" w:space="0" w:color="auto"/>
            </w:tcBorders>
          </w:tcPr>
          <w:p w:rsidR="002B35F7" w:rsidRPr="002B35F7" w:rsidRDefault="002B35F7" w:rsidP="00110D28">
            <w:pPr>
              <w:pStyle w:val="Tabletext"/>
              <w:ind w:left="284" w:hanging="284"/>
              <w:jc w:val="left"/>
              <w:rPr>
                <w:lang w:val="en-US"/>
              </w:rPr>
            </w:pPr>
            <w:r w:rsidRPr="002B35F7">
              <w:rPr>
                <w:lang w:val="en-US"/>
              </w:rPr>
              <w:t>3.</w:t>
            </w:r>
            <w:r w:rsidRPr="002B35F7">
              <w:rPr>
                <w:lang w:val="en-US"/>
              </w:rPr>
              <w:tab/>
              <w:t>Measurements of frequencies of stations operating in the frequency range 4 000 kHz to 29.7 MHz</w:t>
            </w:r>
          </w:p>
        </w:tc>
        <w:tc>
          <w:tcPr>
            <w:tcW w:w="3969" w:type="dxa"/>
            <w:tcBorders>
              <w:top w:val="single" w:sz="6" w:space="0" w:color="auto"/>
              <w:left w:val="single" w:sz="6" w:space="0" w:color="auto"/>
              <w:bottom w:val="single" w:sz="6" w:space="0" w:color="auto"/>
              <w:right w:val="single" w:sz="6" w:space="0" w:color="auto"/>
            </w:tcBorders>
          </w:tcPr>
          <w:p w:rsidR="002B35F7" w:rsidRPr="001F3F69" w:rsidRDefault="002B35F7" w:rsidP="00110D28">
            <w:pPr>
              <w:pStyle w:val="Tabletext"/>
              <w:jc w:val="left"/>
            </w:pPr>
            <w:r>
              <w:t>±</w:t>
            </w:r>
            <w:r w:rsidRPr="001F3F69">
              <w:t xml:space="preserve"> 1 Hz</w:t>
            </w:r>
          </w:p>
        </w:tc>
      </w:tr>
      <w:tr w:rsidR="002B35F7">
        <w:trPr>
          <w:cantSplit/>
        </w:trPr>
        <w:tc>
          <w:tcPr>
            <w:tcW w:w="5670" w:type="dxa"/>
            <w:tcBorders>
              <w:top w:val="single" w:sz="6" w:space="0" w:color="auto"/>
              <w:left w:val="single" w:sz="6" w:space="0" w:color="auto"/>
              <w:bottom w:val="single" w:sz="6" w:space="0" w:color="auto"/>
              <w:right w:val="single" w:sz="6" w:space="0" w:color="auto"/>
            </w:tcBorders>
          </w:tcPr>
          <w:p w:rsidR="002B35F7" w:rsidRPr="002B35F7" w:rsidRDefault="002B35F7" w:rsidP="00110D28">
            <w:pPr>
              <w:pStyle w:val="Tabletext"/>
              <w:ind w:left="284" w:hanging="284"/>
              <w:jc w:val="left"/>
              <w:rPr>
                <w:lang w:val="en-US"/>
              </w:rPr>
            </w:pPr>
            <w:r w:rsidRPr="002B35F7">
              <w:rPr>
                <w:lang w:val="en-US"/>
              </w:rPr>
              <w:t>4.</w:t>
            </w:r>
            <w:r w:rsidRPr="002B35F7">
              <w:rPr>
                <w:lang w:val="en-US"/>
              </w:rPr>
              <w:tab/>
              <w:t>Measurements of frequencies of stations, except television, operating in the frequency range 29.7</w:t>
            </w:r>
            <w:r w:rsidR="00A34A98">
              <w:rPr>
                <w:lang w:val="en-US"/>
              </w:rPr>
              <w:noBreakHyphen/>
            </w:r>
            <w:r w:rsidRPr="002B35F7">
              <w:rPr>
                <w:lang w:val="en-US"/>
              </w:rPr>
              <w:t>2 450</w:t>
            </w:r>
            <w:r w:rsidR="00A34A98">
              <w:rPr>
                <w:lang w:val="en-US"/>
              </w:rPr>
              <w:t> </w:t>
            </w:r>
            <w:r w:rsidRPr="002B35F7">
              <w:rPr>
                <w:lang w:val="en-US"/>
              </w:rPr>
              <w:t>MHz</w:t>
            </w:r>
          </w:p>
        </w:tc>
        <w:tc>
          <w:tcPr>
            <w:tcW w:w="3969" w:type="dxa"/>
            <w:tcBorders>
              <w:top w:val="single" w:sz="6" w:space="0" w:color="auto"/>
              <w:left w:val="single" w:sz="6" w:space="0" w:color="auto"/>
              <w:bottom w:val="single" w:sz="6" w:space="0" w:color="auto"/>
              <w:right w:val="single" w:sz="6" w:space="0" w:color="auto"/>
            </w:tcBorders>
          </w:tcPr>
          <w:p w:rsidR="002B35F7" w:rsidRPr="001F3F69" w:rsidRDefault="002B35F7" w:rsidP="00110D28">
            <w:pPr>
              <w:pStyle w:val="Tabletext"/>
              <w:jc w:val="left"/>
            </w:pPr>
            <w:r>
              <w:t>±</w:t>
            </w:r>
            <w:r w:rsidRPr="001F3F69">
              <w:t xml:space="preserve"> 10</w:t>
            </w:r>
            <w:r w:rsidRPr="00031E6A">
              <w:rPr>
                <w:vertAlign w:val="superscript"/>
              </w:rPr>
              <w:t>–8</w:t>
            </w:r>
            <w:r w:rsidRPr="001F3F69">
              <w:t xml:space="preserve"> of the value</w:t>
            </w:r>
          </w:p>
        </w:tc>
      </w:tr>
      <w:tr w:rsidR="002B35F7">
        <w:trPr>
          <w:cantSplit/>
        </w:trPr>
        <w:tc>
          <w:tcPr>
            <w:tcW w:w="5670" w:type="dxa"/>
            <w:tcBorders>
              <w:top w:val="single" w:sz="6" w:space="0" w:color="auto"/>
              <w:left w:val="single" w:sz="6" w:space="0" w:color="auto"/>
              <w:bottom w:val="single" w:sz="6" w:space="0" w:color="auto"/>
              <w:right w:val="single" w:sz="6" w:space="0" w:color="auto"/>
            </w:tcBorders>
          </w:tcPr>
          <w:p w:rsidR="002B35F7" w:rsidRPr="002B35F7" w:rsidRDefault="002B35F7" w:rsidP="00110D28">
            <w:pPr>
              <w:pStyle w:val="Tabletext"/>
              <w:ind w:left="284" w:hanging="284"/>
              <w:jc w:val="left"/>
              <w:rPr>
                <w:lang w:val="en-US"/>
              </w:rPr>
            </w:pPr>
            <w:r w:rsidRPr="002B35F7">
              <w:rPr>
                <w:lang w:val="en-US"/>
              </w:rPr>
              <w:t>5.</w:t>
            </w:r>
            <w:r w:rsidRPr="002B35F7">
              <w:rPr>
                <w:lang w:val="en-US"/>
              </w:rPr>
              <w:tab/>
              <w:t>Measurements of frequencies of television stations operating in the frequency range 47-960 MHz</w:t>
            </w:r>
          </w:p>
        </w:tc>
        <w:tc>
          <w:tcPr>
            <w:tcW w:w="3969" w:type="dxa"/>
            <w:tcBorders>
              <w:top w:val="single" w:sz="6" w:space="0" w:color="auto"/>
              <w:left w:val="single" w:sz="6" w:space="0" w:color="auto"/>
              <w:bottom w:val="single" w:sz="6" w:space="0" w:color="auto"/>
              <w:right w:val="single" w:sz="6" w:space="0" w:color="auto"/>
            </w:tcBorders>
          </w:tcPr>
          <w:p w:rsidR="002B35F7" w:rsidRPr="001F3F69" w:rsidRDefault="002B35F7" w:rsidP="00110D28">
            <w:pPr>
              <w:pStyle w:val="Tabletext"/>
              <w:jc w:val="left"/>
            </w:pPr>
            <w:r>
              <w:t>±</w:t>
            </w:r>
            <w:r w:rsidRPr="001F3F69">
              <w:t xml:space="preserve"> 50 Hz</w:t>
            </w:r>
          </w:p>
        </w:tc>
      </w:tr>
      <w:tr w:rsidR="002B35F7">
        <w:trPr>
          <w:cantSplit/>
        </w:trPr>
        <w:tc>
          <w:tcPr>
            <w:tcW w:w="5670" w:type="dxa"/>
            <w:tcBorders>
              <w:top w:val="single" w:sz="6" w:space="0" w:color="auto"/>
              <w:left w:val="single" w:sz="6" w:space="0" w:color="auto"/>
              <w:bottom w:val="single" w:sz="6" w:space="0" w:color="auto"/>
              <w:right w:val="single" w:sz="6" w:space="0" w:color="auto"/>
            </w:tcBorders>
          </w:tcPr>
          <w:p w:rsidR="002B35F7" w:rsidRPr="002B35F7" w:rsidRDefault="002B35F7" w:rsidP="00110D28">
            <w:pPr>
              <w:pStyle w:val="Tabletext"/>
              <w:ind w:left="284" w:hanging="284"/>
              <w:jc w:val="left"/>
              <w:rPr>
                <w:lang w:val="en-US"/>
              </w:rPr>
            </w:pPr>
            <w:r w:rsidRPr="002B35F7">
              <w:rPr>
                <w:lang w:val="en-US"/>
              </w:rPr>
              <w:t>6.</w:t>
            </w:r>
            <w:r w:rsidRPr="002B35F7">
              <w:rPr>
                <w:lang w:val="en-US"/>
              </w:rPr>
              <w:tab/>
              <w:t>Measurements of frequencies of stations operating in the frequency range 2 450 MHz to 10.5 GHz</w:t>
            </w:r>
          </w:p>
        </w:tc>
        <w:tc>
          <w:tcPr>
            <w:tcW w:w="3969" w:type="dxa"/>
            <w:tcBorders>
              <w:top w:val="single" w:sz="6" w:space="0" w:color="auto"/>
              <w:left w:val="single" w:sz="6" w:space="0" w:color="auto"/>
              <w:bottom w:val="single" w:sz="6" w:space="0" w:color="auto"/>
              <w:right w:val="single" w:sz="6" w:space="0" w:color="auto"/>
            </w:tcBorders>
          </w:tcPr>
          <w:p w:rsidR="002B35F7" w:rsidRPr="001F3F69" w:rsidRDefault="002B35F7" w:rsidP="00110D28">
            <w:pPr>
              <w:pStyle w:val="Tabletext"/>
              <w:jc w:val="left"/>
            </w:pPr>
            <w:r>
              <w:t>±</w:t>
            </w:r>
            <w:r w:rsidRPr="001F3F69">
              <w:t xml:space="preserve"> 10</w:t>
            </w:r>
            <w:r w:rsidRPr="00031E6A">
              <w:rPr>
                <w:vertAlign w:val="superscript"/>
              </w:rPr>
              <w:t>–8</w:t>
            </w:r>
            <w:r w:rsidRPr="001F3F69">
              <w:t xml:space="preserve"> of the value</w:t>
            </w:r>
          </w:p>
        </w:tc>
      </w:tr>
      <w:tr w:rsidR="002B35F7">
        <w:trPr>
          <w:cantSplit/>
        </w:trPr>
        <w:tc>
          <w:tcPr>
            <w:tcW w:w="5670" w:type="dxa"/>
            <w:tcBorders>
              <w:top w:val="single" w:sz="6" w:space="0" w:color="auto"/>
              <w:left w:val="single" w:sz="6" w:space="0" w:color="auto"/>
              <w:bottom w:val="single" w:sz="6" w:space="0" w:color="auto"/>
              <w:right w:val="single" w:sz="6" w:space="0" w:color="auto"/>
            </w:tcBorders>
          </w:tcPr>
          <w:p w:rsidR="002B35F7" w:rsidRPr="002B35F7" w:rsidRDefault="002B35F7" w:rsidP="00110D28">
            <w:pPr>
              <w:pStyle w:val="Tabletext"/>
              <w:ind w:left="284" w:hanging="284"/>
              <w:jc w:val="left"/>
              <w:rPr>
                <w:lang w:val="en-US"/>
              </w:rPr>
            </w:pPr>
            <w:r w:rsidRPr="002B35F7">
              <w:rPr>
                <w:lang w:val="en-US"/>
              </w:rPr>
              <w:t>7.</w:t>
            </w:r>
            <w:r w:rsidRPr="002B35F7">
              <w:rPr>
                <w:lang w:val="en-US"/>
              </w:rPr>
              <w:tab/>
              <w:t>Measurements of frequencies of stations operating in the frequency range 10.5-40 GHz</w:t>
            </w:r>
          </w:p>
        </w:tc>
        <w:tc>
          <w:tcPr>
            <w:tcW w:w="3969" w:type="dxa"/>
            <w:tcBorders>
              <w:top w:val="single" w:sz="6" w:space="0" w:color="auto"/>
              <w:left w:val="single" w:sz="6" w:space="0" w:color="auto"/>
              <w:bottom w:val="single" w:sz="6" w:space="0" w:color="auto"/>
              <w:right w:val="single" w:sz="6" w:space="0" w:color="auto"/>
            </w:tcBorders>
          </w:tcPr>
          <w:p w:rsidR="002B35F7" w:rsidRPr="001F3F69" w:rsidRDefault="002B35F7" w:rsidP="00110D28">
            <w:pPr>
              <w:pStyle w:val="Tabletext"/>
              <w:jc w:val="left"/>
            </w:pPr>
            <w:r>
              <w:t>±</w:t>
            </w:r>
            <w:r w:rsidRPr="001F3F69">
              <w:t xml:space="preserve"> 10</w:t>
            </w:r>
            <w:r w:rsidRPr="00031E6A">
              <w:rPr>
                <w:vertAlign w:val="superscript"/>
              </w:rPr>
              <w:t>–8</w:t>
            </w:r>
            <w:r w:rsidRPr="001F3F69">
              <w:t xml:space="preserve"> of the value</w:t>
            </w:r>
          </w:p>
        </w:tc>
      </w:tr>
      <w:tr w:rsidR="002B35F7" w:rsidRPr="0080523A">
        <w:trPr>
          <w:cantSplit/>
        </w:trPr>
        <w:tc>
          <w:tcPr>
            <w:tcW w:w="9639" w:type="dxa"/>
            <w:gridSpan w:val="2"/>
            <w:tcBorders>
              <w:top w:val="single" w:sz="6" w:space="0" w:color="auto"/>
            </w:tcBorders>
          </w:tcPr>
          <w:p w:rsidR="002B35F7" w:rsidRPr="002B35F7" w:rsidRDefault="002B35F7" w:rsidP="00110D28">
            <w:pPr>
              <w:pStyle w:val="Tablelegend"/>
              <w:ind w:left="-85" w:firstLine="0"/>
              <w:rPr>
                <w:lang w:val="en-US"/>
              </w:rPr>
            </w:pPr>
            <w:r w:rsidRPr="002B35F7">
              <w:rPr>
                <w:lang w:val="en-US"/>
              </w:rPr>
              <w:t>NOTE 1 – It is realized that, while the accuracies quoted above are sufficient for international monitoring, different accuracies may be needed to meet national requirements.</w:t>
            </w:r>
          </w:p>
        </w:tc>
      </w:tr>
    </w:tbl>
    <w:p w:rsidR="00DF4176" w:rsidRPr="002B35F7" w:rsidRDefault="00DF4176" w:rsidP="005B5656">
      <w:pPr>
        <w:pStyle w:val="Tablefin"/>
        <w:rPr>
          <w:lang w:val="en-US"/>
        </w:rPr>
      </w:pPr>
    </w:p>
    <w:p w:rsidR="005B5656" w:rsidRDefault="005B5656" w:rsidP="005B5656">
      <w:pPr>
        <w:rPr>
          <w:lang w:val="en-GB"/>
        </w:rPr>
      </w:pPr>
    </w:p>
    <w:p w:rsidR="005B5656" w:rsidRPr="005B5656" w:rsidRDefault="005B5656" w:rsidP="005B5656">
      <w:pPr>
        <w:pStyle w:val="Line"/>
      </w:pPr>
    </w:p>
    <w:sectPr w:rsidR="005B5656" w:rsidRPr="005B5656">
      <w:headerReference w:type="even" r:id="rId7"/>
      <w:headerReference w:type="default" r:id="rId8"/>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5F7" w:rsidRDefault="002B35F7">
      <w:r>
        <w:separator/>
      </w:r>
    </w:p>
  </w:endnote>
  <w:endnote w:type="continuationSeparator" w:id="0">
    <w:p w:rsidR="002B35F7" w:rsidRDefault="002B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5F7" w:rsidRDefault="002B35F7">
      <w:r>
        <w:separator/>
      </w:r>
    </w:p>
  </w:footnote>
  <w:footnote w:type="continuationSeparator" w:id="0">
    <w:p w:rsidR="002B35F7" w:rsidRDefault="002B35F7">
      <w:r>
        <w:continuationSeparator/>
      </w:r>
    </w:p>
  </w:footnote>
  <w:footnote w:id="1">
    <w:p w:rsidR="00B85D83" w:rsidRPr="0080523A" w:rsidRDefault="00B85D83" w:rsidP="00B85D83">
      <w:pPr>
        <w:pStyle w:val="FootnoteText"/>
        <w:rPr>
          <w:lang w:val="en-GB"/>
        </w:rPr>
      </w:pPr>
      <w:r w:rsidRPr="0080523A">
        <w:rPr>
          <w:rStyle w:val="FootnoteReference"/>
          <w:lang w:val="en-GB"/>
        </w:rPr>
        <w:t>*</w:t>
      </w:r>
      <w:r w:rsidRPr="0080523A">
        <w:rPr>
          <w:lang w:val="en-GB"/>
        </w:rPr>
        <w:t xml:space="preserve"> </w:t>
      </w:r>
      <w:r w:rsidRPr="0080523A">
        <w:rPr>
          <w:lang w:val="en-GB"/>
        </w:rPr>
        <w:tab/>
      </w:r>
      <w:r w:rsidRPr="00B85D83">
        <w:rPr>
          <w:lang w:val="en-US"/>
        </w:rPr>
        <w:t>Radiocommunication Study Group 1 made editorial amendments to this Recommendation in the year</w:t>
      </w:r>
      <w:r w:rsidR="0080523A">
        <w:rPr>
          <w:lang w:val="en-US"/>
        </w:rPr>
        <w:t>s</w:t>
      </w:r>
      <w:r w:rsidRPr="00B85D83">
        <w:rPr>
          <w:lang w:val="en-US"/>
        </w:rPr>
        <w:t xml:space="preserve"> 2018 </w:t>
      </w:r>
      <w:r w:rsidR="0080523A">
        <w:rPr>
          <w:lang w:val="en-US"/>
        </w:rPr>
        <w:t xml:space="preserve">and 2019 </w:t>
      </w:r>
      <w:r w:rsidRPr="00B85D83">
        <w:rPr>
          <w:lang w:val="en-US"/>
        </w:rPr>
        <w:t>in accordance with Resolution ITU</w:t>
      </w:r>
      <w:r w:rsidRPr="00B85D83">
        <w:rPr>
          <w:lang w:val="en-US"/>
        </w:rPr>
        <w:noBreakHyphen/>
        <w:t>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5F7" w:rsidRDefault="002B35F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E97273">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E97273">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E97273">
      <w:rPr>
        <w:b/>
        <w:bCs/>
        <w:noProof/>
        <w:lang w:val="en-US"/>
      </w:rPr>
      <w:t>ITU-R  SM.377-4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5F7" w:rsidRDefault="002B35F7">
    <w:pPr>
      <w:pStyle w:val="Header"/>
    </w:pPr>
    <w:r>
      <w:tab/>
    </w:r>
    <w:r>
      <w:rPr>
        <w:b/>
        <w:bCs/>
      </w:rPr>
      <w:fldChar w:fldCharType="begin"/>
    </w:r>
    <w:r>
      <w:rPr>
        <w:b/>
        <w:bCs/>
      </w:rPr>
      <w:instrText xml:space="preserve"> DOCPROPERTY "Header" \* MERGEFORMAT </w:instrText>
    </w:r>
    <w:r>
      <w:rPr>
        <w:b/>
        <w:bCs/>
      </w:rPr>
      <w:fldChar w:fldCharType="separate"/>
    </w:r>
    <w:r w:rsidR="00E97273">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E97273">
      <w:rPr>
        <w:b/>
        <w:bCs/>
        <w:noProof/>
      </w:rPr>
      <w:t>ITU-R  SM.377-4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E97273">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es-ES_tradnl" w:vendorID="64" w:dllVersion="131078" w:nlCheck="1" w:checkStyle="0"/>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465"/>
    <w:rsid w:val="00110D28"/>
    <w:rsid w:val="00182465"/>
    <w:rsid w:val="002B35F7"/>
    <w:rsid w:val="00391AA5"/>
    <w:rsid w:val="005B5656"/>
    <w:rsid w:val="0080523A"/>
    <w:rsid w:val="009B1DDA"/>
    <w:rsid w:val="00A34A98"/>
    <w:rsid w:val="00B85D83"/>
    <w:rsid w:val="00D44B71"/>
    <w:rsid w:val="00DB04D6"/>
    <w:rsid w:val="00DF4176"/>
    <w:rsid w:val="00E97273"/>
    <w:rsid w:val="00F92B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8381A"/>
  <w15:chartTrackingRefBased/>
  <w15:docId w15:val="{0A44609B-C174-4747-A71B-9219A95B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65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5B5656"/>
    <w:pPr>
      <w:keepNext/>
      <w:keepLines/>
      <w:spacing w:before="480"/>
      <w:ind w:left="794" w:hanging="794"/>
      <w:outlineLvl w:val="0"/>
    </w:pPr>
    <w:rPr>
      <w:b/>
    </w:rPr>
  </w:style>
  <w:style w:type="paragraph" w:styleId="Heading2">
    <w:name w:val="heading 2"/>
    <w:basedOn w:val="Heading1"/>
    <w:next w:val="Normal"/>
    <w:qFormat/>
    <w:rsid w:val="005B5656"/>
    <w:pPr>
      <w:spacing w:before="320"/>
      <w:outlineLvl w:val="1"/>
    </w:pPr>
  </w:style>
  <w:style w:type="paragraph" w:styleId="Heading3">
    <w:name w:val="heading 3"/>
    <w:basedOn w:val="Heading1"/>
    <w:next w:val="Normal"/>
    <w:qFormat/>
    <w:rsid w:val="005B5656"/>
    <w:pPr>
      <w:spacing w:before="200"/>
      <w:outlineLvl w:val="2"/>
    </w:pPr>
  </w:style>
  <w:style w:type="paragraph" w:styleId="Heading4">
    <w:name w:val="heading 4"/>
    <w:basedOn w:val="Heading3"/>
    <w:next w:val="Normal"/>
    <w:qFormat/>
    <w:rsid w:val="005B5656"/>
    <w:pPr>
      <w:tabs>
        <w:tab w:val="clear" w:pos="794"/>
        <w:tab w:val="left" w:pos="992"/>
      </w:tabs>
      <w:ind w:left="992" w:hanging="992"/>
      <w:outlineLvl w:val="3"/>
    </w:pPr>
  </w:style>
  <w:style w:type="paragraph" w:styleId="Heading5">
    <w:name w:val="heading 5"/>
    <w:basedOn w:val="Heading4"/>
    <w:next w:val="Normal"/>
    <w:qFormat/>
    <w:rsid w:val="005B5656"/>
    <w:pPr>
      <w:outlineLvl w:val="4"/>
    </w:pPr>
  </w:style>
  <w:style w:type="paragraph" w:styleId="Heading6">
    <w:name w:val="heading 6"/>
    <w:basedOn w:val="Heading4"/>
    <w:next w:val="Normal"/>
    <w:qFormat/>
    <w:rsid w:val="005B5656"/>
    <w:pPr>
      <w:tabs>
        <w:tab w:val="clear" w:pos="992"/>
        <w:tab w:val="clear" w:pos="1191"/>
      </w:tabs>
      <w:ind w:left="1588" w:hanging="1588"/>
      <w:outlineLvl w:val="5"/>
    </w:pPr>
  </w:style>
  <w:style w:type="paragraph" w:styleId="Heading7">
    <w:name w:val="heading 7"/>
    <w:basedOn w:val="Heading6"/>
    <w:next w:val="Normal"/>
    <w:qFormat/>
    <w:rsid w:val="005B5656"/>
    <w:pPr>
      <w:outlineLvl w:val="6"/>
    </w:pPr>
  </w:style>
  <w:style w:type="paragraph" w:styleId="Heading8">
    <w:name w:val="heading 8"/>
    <w:basedOn w:val="Heading6"/>
    <w:next w:val="Normal"/>
    <w:qFormat/>
    <w:rsid w:val="005B5656"/>
    <w:pPr>
      <w:outlineLvl w:val="7"/>
    </w:pPr>
  </w:style>
  <w:style w:type="paragraph" w:styleId="Heading9">
    <w:name w:val="heading 9"/>
    <w:basedOn w:val="Heading6"/>
    <w:next w:val="Normal"/>
    <w:qFormat/>
    <w:rsid w:val="005B5656"/>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5656"/>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5B5656"/>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5B5656"/>
  </w:style>
  <w:style w:type="paragraph" w:customStyle="1" w:styleId="Headingb">
    <w:name w:val="Heading_b"/>
    <w:basedOn w:val="Heading3"/>
    <w:next w:val="Normal"/>
    <w:link w:val="HeadingbChar"/>
    <w:qFormat/>
    <w:rsid w:val="005B5656"/>
    <w:pPr>
      <w:spacing w:before="160"/>
      <w:ind w:left="0" w:firstLine="0"/>
      <w:outlineLvl w:val="9"/>
    </w:pPr>
  </w:style>
  <w:style w:type="paragraph" w:customStyle="1" w:styleId="Headingi">
    <w:name w:val="Heading_i"/>
    <w:basedOn w:val="Heading3"/>
    <w:next w:val="Normal"/>
    <w:rsid w:val="005B5656"/>
    <w:pPr>
      <w:spacing w:before="160"/>
      <w:ind w:left="0" w:firstLine="0"/>
    </w:pPr>
    <w:rPr>
      <w:b w:val="0"/>
      <w:i/>
    </w:rPr>
  </w:style>
  <w:style w:type="character" w:customStyle="1" w:styleId="href">
    <w:name w:val="href"/>
    <w:basedOn w:val="DefaultParagraphFont"/>
    <w:rsid w:val="005B5656"/>
  </w:style>
  <w:style w:type="paragraph" w:customStyle="1" w:styleId="enumlev1">
    <w:name w:val="enumlev1"/>
    <w:basedOn w:val="Normal"/>
    <w:rsid w:val="005B5656"/>
    <w:pPr>
      <w:spacing w:before="80"/>
      <w:ind w:left="794" w:hanging="794"/>
    </w:pPr>
  </w:style>
  <w:style w:type="paragraph" w:customStyle="1" w:styleId="enumlev2">
    <w:name w:val="enumlev2"/>
    <w:basedOn w:val="enumlev1"/>
    <w:rsid w:val="005B5656"/>
    <w:pPr>
      <w:ind w:left="1191" w:hanging="397"/>
    </w:pPr>
  </w:style>
  <w:style w:type="paragraph" w:customStyle="1" w:styleId="enumlev3">
    <w:name w:val="enumlev3"/>
    <w:basedOn w:val="enumlev2"/>
    <w:rsid w:val="005B5656"/>
    <w:pPr>
      <w:ind w:left="1588"/>
    </w:pPr>
  </w:style>
  <w:style w:type="paragraph" w:customStyle="1" w:styleId="Normalaftertitle">
    <w:name w:val="Normal_after_title"/>
    <w:basedOn w:val="Normal"/>
    <w:next w:val="Normal"/>
    <w:rsid w:val="005B5656"/>
    <w:pPr>
      <w:spacing w:before="320"/>
    </w:pPr>
  </w:style>
  <w:style w:type="paragraph" w:customStyle="1" w:styleId="Note">
    <w:name w:val="Note"/>
    <w:basedOn w:val="Normal"/>
    <w:rsid w:val="005B5656"/>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5B5656"/>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5B5656"/>
    <w:pPr>
      <w:spacing w:before="240"/>
    </w:pPr>
    <w:rPr>
      <w:sz w:val="22"/>
      <w:lang w:val="es-ES_tradnl"/>
    </w:rPr>
  </w:style>
  <w:style w:type="paragraph" w:customStyle="1" w:styleId="Recref">
    <w:name w:val="Rec_ref"/>
    <w:basedOn w:val="Normal"/>
    <w:next w:val="Recdate"/>
    <w:rsid w:val="005B5656"/>
    <w:pPr>
      <w:jc w:val="center"/>
    </w:pPr>
  </w:style>
  <w:style w:type="paragraph" w:customStyle="1" w:styleId="Recdate">
    <w:name w:val="Rec_date"/>
    <w:basedOn w:val="Recref"/>
    <w:next w:val="Normal"/>
    <w:rsid w:val="005B5656"/>
    <w:pPr>
      <w:jc w:val="right"/>
    </w:pPr>
  </w:style>
  <w:style w:type="paragraph" w:customStyle="1" w:styleId="AnnexNoTitle">
    <w:name w:val="Annex_NoTitle"/>
    <w:basedOn w:val="Normal"/>
    <w:next w:val="Normalaftertitle"/>
    <w:rsid w:val="005B5656"/>
    <w:pPr>
      <w:keepNext/>
      <w:keepLines/>
      <w:spacing w:before="480" w:after="80"/>
      <w:jc w:val="center"/>
    </w:pPr>
    <w:rPr>
      <w:b/>
      <w:sz w:val="28"/>
    </w:rPr>
  </w:style>
  <w:style w:type="paragraph" w:customStyle="1" w:styleId="AppendixNoTitle">
    <w:name w:val="Appendix_NoTitle"/>
    <w:basedOn w:val="AnnexNoTitle"/>
    <w:next w:val="Normal"/>
    <w:rsid w:val="005B5656"/>
  </w:style>
  <w:style w:type="paragraph" w:customStyle="1" w:styleId="Tablefin">
    <w:name w:val="Table_fin"/>
    <w:basedOn w:val="Normal"/>
    <w:next w:val="Normal"/>
    <w:rsid w:val="005B5656"/>
    <w:pPr>
      <w:spacing w:before="0"/>
    </w:pPr>
    <w:rPr>
      <w:sz w:val="20"/>
      <w:lang w:val="en-GB"/>
    </w:rPr>
  </w:style>
  <w:style w:type="paragraph" w:customStyle="1" w:styleId="Tablehead">
    <w:name w:val="Table_head"/>
    <w:basedOn w:val="Normal"/>
    <w:next w:val="Normal"/>
    <w:rsid w:val="005B56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5B56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5B5656"/>
    <w:pPr>
      <w:keepNext/>
      <w:spacing w:before="360" w:after="120"/>
      <w:jc w:val="center"/>
    </w:pPr>
  </w:style>
  <w:style w:type="paragraph" w:customStyle="1" w:styleId="Tabletext">
    <w:name w:val="Table_text"/>
    <w:basedOn w:val="Normal"/>
    <w:rsid w:val="005B56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5B5656"/>
    <w:pPr>
      <w:tabs>
        <w:tab w:val="clear" w:pos="1191"/>
        <w:tab w:val="clear" w:pos="1588"/>
        <w:tab w:val="clear" w:pos="1985"/>
        <w:tab w:val="center" w:pos="4820"/>
        <w:tab w:val="right" w:pos="9639"/>
      </w:tabs>
    </w:pPr>
  </w:style>
  <w:style w:type="paragraph" w:customStyle="1" w:styleId="Equationlegend">
    <w:name w:val="Equation_legend"/>
    <w:basedOn w:val="NormalIndent"/>
    <w:rsid w:val="005B5656"/>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5B5656"/>
    <w:pPr>
      <w:ind w:left="794"/>
    </w:pPr>
  </w:style>
  <w:style w:type="paragraph" w:customStyle="1" w:styleId="Figurelegend">
    <w:name w:val="Figure_legend"/>
    <w:basedOn w:val="Normal"/>
    <w:rsid w:val="005B565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5B5656"/>
    <w:pPr>
      <w:keepNext/>
      <w:keepLines/>
      <w:spacing w:before="480" w:after="80"/>
      <w:jc w:val="center"/>
    </w:pPr>
    <w:rPr>
      <w:caps/>
      <w:sz w:val="18"/>
    </w:rPr>
  </w:style>
  <w:style w:type="paragraph" w:customStyle="1" w:styleId="tocpart">
    <w:name w:val="tocpart"/>
    <w:basedOn w:val="Normal"/>
    <w:rsid w:val="005B5656"/>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5B5656"/>
    <w:pPr>
      <w:keepNext/>
      <w:keepLines/>
      <w:spacing w:before="480"/>
      <w:jc w:val="center"/>
    </w:pPr>
    <w:rPr>
      <w:sz w:val="28"/>
    </w:rPr>
  </w:style>
  <w:style w:type="paragraph" w:customStyle="1" w:styleId="Arttitle">
    <w:name w:val="Art_title"/>
    <w:basedOn w:val="Normal"/>
    <w:next w:val="Normalaftertitle"/>
    <w:rsid w:val="005B5656"/>
    <w:pPr>
      <w:keepNext/>
      <w:keepLines/>
      <w:spacing w:before="240"/>
      <w:jc w:val="center"/>
    </w:pPr>
    <w:rPr>
      <w:b/>
      <w:sz w:val="28"/>
    </w:rPr>
  </w:style>
  <w:style w:type="paragraph" w:customStyle="1" w:styleId="Blanc">
    <w:name w:val="Blanc"/>
    <w:basedOn w:val="Normal"/>
    <w:next w:val="Tabletext"/>
    <w:rsid w:val="005B5656"/>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5B565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5B5656"/>
    <w:pPr>
      <w:keepNext/>
      <w:keepLines/>
      <w:spacing w:before="160"/>
      <w:ind w:left="794"/>
    </w:pPr>
    <w:rPr>
      <w:i/>
    </w:rPr>
  </w:style>
  <w:style w:type="paragraph" w:customStyle="1" w:styleId="ChapNo">
    <w:name w:val="Chap_No"/>
    <w:basedOn w:val="ArtNo"/>
    <w:next w:val="Chaptitle"/>
    <w:rsid w:val="005B5656"/>
    <w:rPr>
      <w:b/>
    </w:rPr>
  </w:style>
  <w:style w:type="paragraph" w:customStyle="1" w:styleId="Chaptitle">
    <w:name w:val="Chap_title"/>
    <w:basedOn w:val="Arttitle"/>
    <w:next w:val="Normalaftertitle"/>
    <w:rsid w:val="005B5656"/>
  </w:style>
  <w:style w:type="character" w:styleId="FootnoteReference">
    <w:name w:val="footnote reference"/>
    <w:basedOn w:val="DefaultParagraphFont"/>
    <w:semiHidden/>
    <w:rsid w:val="005B5656"/>
    <w:rPr>
      <w:position w:val="6"/>
      <w:sz w:val="18"/>
    </w:rPr>
  </w:style>
  <w:style w:type="paragraph" w:styleId="FootnoteText">
    <w:name w:val="footnote text"/>
    <w:basedOn w:val="Normal"/>
    <w:semiHidden/>
    <w:rsid w:val="005B5656"/>
    <w:pPr>
      <w:keepLines/>
      <w:tabs>
        <w:tab w:val="left" w:pos="255"/>
      </w:tabs>
      <w:ind w:left="255" w:hanging="255"/>
    </w:pPr>
    <w:rPr>
      <w:sz w:val="22"/>
    </w:rPr>
  </w:style>
  <w:style w:type="paragraph" w:styleId="Index1">
    <w:name w:val="index 1"/>
    <w:basedOn w:val="Normal"/>
    <w:next w:val="Normal"/>
    <w:semiHidden/>
    <w:rsid w:val="005B5656"/>
  </w:style>
  <w:style w:type="paragraph" w:styleId="Index2">
    <w:name w:val="index 2"/>
    <w:basedOn w:val="Normal"/>
    <w:next w:val="Normal"/>
    <w:semiHidden/>
    <w:rsid w:val="005B5656"/>
    <w:pPr>
      <w:ind w:left="283"/>
    </w:pPr>
  </w:style>
  <w:style w:type="paragraph" w:styleId="Index3">
    <w:name w:val="index 3"/>
    <w:basedOn w:val="Normal"/>
    <w:next w:val="Normal"/>
    <w:semiHidden/>
    <w:rsid w:val="005B5656"/>
    <w:pPr>
      <w:ind w:left="566"/>
    </w:pPr>
  </w:style>
  <w:style w:type="paragraph" w:styleId="IndexHeading">
    <w:name w:val="index heading"/>
    <w:basedOn w:val="Normal"/>
    <w:next w:val="Index1"/>
    <w:semiHidden/>
    <w:rsid w:val="005B5656"/>
  </w:style>
  <w:style w:type="paragraph" w:customStyle="1" w:styleId="Line">
    <w:name w:val="Line"/>
    <w:basedOn w:val="Normal"/>
    <w:next w:val="Normal"/>
    <w:rsid w:val="005B5656"/>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5B5656"/>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5B5656"/>
  </w:style>
  <w:style w:type="paragraph" w:customStyle="1" w:styleId="Partref">
    <w:name w:val="Part_ref"/>
    <w:basedOn w:val="Normal"/>
    <w:next w:val="Normal"/>
    <w:rsid w:val="005B5656"/>
    <w:pPr>
      <w:keepNext/>
      <w:keepLines/>
      <w:spacing w:after="280"/>
      <w:jc w:val="center"/>
    </w:pPr>
  </w:style>
  <w:style w:type="paragraph" w:customStyle="1" w:styleId="Parttitle">
    <w:name w:val="Part_title"/>
    <w:basedOn w:val="Normal"/>
    <w:next w:val="Normalaftertitle"/>
    <w:rsid w:val="005B5656"/>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5B5656"/>
  </w:style>
  <w:style w:type="paragraph" w:customStyle="1" w:styleId="QuestionNo">
    <w:name w:val="Question_No"/>
    <w:basedOn w:val="RecNo"/>
    <w:next w:val="Normal"/>
    <w:rsid w:val="005B5656"/>
  </w:style>
  <w:style w:type="paragraph" w:customStyle="1" w:styleId="Questionref">
    <w:name w:val="Question_ref"/>
    <w:basedOn w:val="Recref"/>
    <w:next w:val="Questiondate"/>
    <w:rsid w:val="005B5656"/>
  </w:style>
  <w:style w:type="paragraph" w:customStyle="1" w:styleId="Questiontitle">
    <w:name w:val="Question_title"/>
    <w:basedOn w:val="Normal"/>
    <w:next w:val="Questionref"/>
    <w:rsid w:val="005B5656"/>
  </w:style>
  <w:style w:type="paragraph" w:customStyle="1" w:styleId="Reftext">
    <w:name w:val="Ref_text"/>
    <w:basedOn w:val="Normal"/>
    <w:rsid w:val="005B5656"/>
    <w:pPr>
      <w:ind w:left="794" w:hanging="794"/>
    </w:pPr>
    <w:rPr>
      <w:sz w:val="22"/>
    </w:rPr>
  </w:style>
  <w:style w:type="paragraph" w:customStyle="1" w:styleId="Reftitle">
    <w:name w:val="Ref_title"/>
    <w:basedOn w:val="Normal"/>
    <w:next w:val="Reftext"/>
    <w:rsid w:val="005B5656"/>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5B5656"/>
  </w:style>
  <w:style w:type="paragraph" w:customStyle="1" w:styleId="RepNo">
    <w:name w:val="Rep_No"/>
    <w:basedOn w:val="RecNo"/>
    <w:next w:val="Reptitle"/>
    <w:rsid w:val="005B5656"/>
  </w:style>
  <w:style w:type="paragraph" w:customStyle="1" w:styleId="Repref">
    <w:name w:val="Rep_ref"/>
    <w:basedOn w:val="Recref"/>
    <w:next w:val="Repdate"/>
    <w:rsid w:val="005B5656"/>
  </w:style>
  <w:style w:type="paragraph" w:customStyle="1" w:styleId="Reptitle">
    <w:name w:val="Rep_title"/>
    <w:basedOn w:val="Rectitle"/>
    <w:next w:val="Repref"/>
    <w:rsid w:val="005B5656"/>
  </w:style>
  <w:style w:type="paragraph" w:customStyle="1" w:styleId="Resdate">
    <w:name w:val="Res_date"/>
    <w:basedOn w:val="Recdate"/>
    <w:next w:val="Normalaftertitle"/>
    <w:rsid w:val="005B5656"/>
  </w:style>
  <w:style w:type="paragraph" w:customStyle="1" w:styleId="ResNo">
    <w:name w:val="Res_No"/>
    <w:basedOn w:val="RecNo"/>
    <w:next w:val="Normal"/>
    <w:rsid w:val="005B5656"/>
  </w:style>
  <w:style w:type="paragraph" w:customStyle="1" w:styleId="Resref">
    <w:name w:val="Res_ref"/>
    <w:basedOn w:val="Recref"/>
    <w:next w:val="Resdate"/>
    <w:rsid w:val="005B5656"/>
  </w:style>
  <w:style w:type="paragraph" w:customStyle="1" w:styleId="Restitle">
    <w:name w:val="Res_title"/>
    <w:basedOn w:val="Normal"/>
    <w:next w:val="Resref"/>
    <w:rsid w:val="005B5656"/>
  </w:style>
  <w:style w:type="paragraph" w:customStyle="1" w:styleId="SectionNo">
    <w:name w:val="Section_No"/>
    <w:basedOn w:val="Normal"/>
    <w:next w:val="Normal"/>
    <w:rsid w:val="005B5656"/>
  </w:style>
  <w:style w:type="paragraph" w:customStyle="1" w:styleId="Sectiontitle">
    <w:name w:val="Section_title"/>
    <w:basedOn w:val="Normal"/>
    <w:next w:val="Normalaftertitle"/>
    <w:rsid w:val="005B5656"/>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5B5656"/>
    <w:pPr>
      <w:tabs>
        <w:tab w:val="clear" w:pos="794"/>
        <w:tab w:val="clear" w:pos="1191"/>
        <w:tab w:val="clear" w:pos="1588"/>
        <w:tab w:val="clear" w:pos="1985"/>
        <w:tab w:val="right" w:pos="9611"/>
      </w:tabs>
    </w:pPr>
    <w:rPr>
      <w:i/>
    </w:rPr>
  </w:style>
  <w:style w:type="paragraph" w:styleId="TOC1">
    <w:name w:val="toc 1"/>
    <w:basedOn w:val="Normal"/>
    <w:semiHidden/>
    <w:rsid w:val="005B5656"/>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5B5656"/>
    <w:pPr>
      <w:tabs>
        <w:tab w:val="clear" w:pos="567"/>
        <w:tab w:val="left" w:pos="1276"/>
      </w:tabs>
      <w:spacing w:before="160"/>
      <w:ind w:left="1276" w:hanging="709"/>
    </w:pPr>
  </w:style>
  <w:style w:type="paragraph" w:styleId="TOC3">
    <w:name w:val="toc 3"/>
    <w:basedOn w:val="TOC2"/>
    <w:semiHidden/>
    <w:rsid w:val="005B5656"/>
    <w:pPr>
      <w:tabs>
        <w:tab w:val="clear" w:pos="1276"/>
        <w:tab w:val="left" w:pos="2155"/>
      </w:tabs>
      <w:ind w:left="2155" w:hanging="879"/>
    </w:pPr>
  </w:style>
  <w:style w:type="paragraph" w:styleId="TOC4">
    <w:name w:val="toc 4"/>
    <w:basedOn w:val="TOC3"/>
    <w:semiHidden/>
    <w:rsid w:val="005B5656"/>
    <w:pPr>
      <w:tabs>
        <w:tab w:val="left" w:pos="3261"/>
      </w:tabs>
      <w:spacing w:before="80"/>
      <w:ind w:left="3261" w:hanging="993"/>
    </w:pPr>
  </w:style>
  <w:style w:type="paragraph" w:styleId="TOC5">
    <w:name w:val="toc 5"/>
    <w:basedOn w:val="TOC4"/>
    <w:semiHidden/>
    <w:rsid w:val="005B5656"/>
  </w:style>
  <w:style w:type="paragraph" w:styleId="TOC6">
    <w:name w:val="toc 6"/>
    <w:basedOn w:val="TOC4"/>
    <w:semiHidden/>
    <w:rsid w:val="005B5656"/>
  </w:style>
  <w:style w:type="paragraph" w:styleId="TOC7">
    <w:name w:val="toc 7"/>
    <w:basedOn w:val="TOC4"/>
    <w:semiHidden/>
    <w:rsid w:val="005B5656"/>
  </w:style>
  <w:style w:type="paragraph" w:styleId="TOC8">
    <w:name w:val="toc 8"/>
    <w:basedOn w:val="TOC4"/>
    <w:semiHidden/>
    <w:rsid w:val="005B5656"/>
  </w:style>
  <w:style w:type="paragraph" w:customStyle="1" w:styleId="Rectitle">
    <w:name w:val="Rec_title"/>
    <w:basedOn w:val="Normal"/>
    <w:next w:val="Recref"/>
    <w:rsid w:val="005B5656"/>
    <w:pPr>
      <w:keepNext/>
      <w:keepLines/>
      <w:spacing w:before="240"/>
      <w:jc w:val="center"/>
    </w:pPr>
    <w:rPr>
      <w:b/>
      <w:sz w:val="28"/>
    </w:rPr>
  </w:style>
  <w:style w:type="paragraph" w:customStyle="1" w:styleId="Annexref">
    <w:name w:val="Annex_ref"/>
    <w:basedOn w:val="Normal"/>
    <w:next w:val="Normalaftertitle"/>
    <w:rsid w:val="005B5656"/>
    <w:pPr>
      <w:keepNext/>
      <w:keepLines/>
      <w:spacing w:after="280"/>
      <w:jc w:val="center"/>
    </w:pPr>
  </w:style>
  <w:style w:type="paragraph" w:customStyle="1" w:styleId="Appendixref">
    <w:name w:val="Appendix_ref"/>
    <w:basedOn w:val="Annexref"/>
    <w:next w:val="Normalaftertitle"/>
    <w:rsid w:val="005B5656"/>
  </w:style>
  <w:style w:type="paragraph" w:customStyle="1" w:styleId="Figuretitle">
    <w:name w:val="Figure_title"/>
    <w:basedOn w:val="Normal"/>
    <w:next w:val="Figure"/>
    <w:rsid w:val="005B5656"/>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5B5656"/>
    <w:pPr>
      <w:keepNext/>
      <w:spacing w:before="0" w:after="120"/>
      <w:jc w:val="center"/>
    </w:pPr>
    <w:rPr>
      <w:b/>
    </w:rPr>
  </w:style>
  <w:style w:type="paragraph" w:customStyle="1" w:styleId="Summary">
    <w:name w:val="Summary"/>
    <w:basedOn w:val="Normal"/>
    <w:next w:val="Normalaftertitle"/>
    <w:rsid w:val="005B5656"/>
    <w:pPr>
      <w:spacing w:after="480"/>
    </w:pPr>
    <w:rPr>
      <w:sz w:val="22"/>
      <w:lang w:val="es-ES_tradnl"/>
    </w:rPr>
  </w:style>
  <w:style w:type="paragraph" w:customStyle="1" w:styleId="Figure">
    <w:name w:val="Figure"/>
    <w:basedOn w:val="FigureNo"/>
    <w:next w:val="Figuretitle"/>
    <w:rsid w:val="005B5656"/>
    <w:pPr>
      <w:spacing w:before="0" w:after="240"/>
    </w:pPr>
  </w:style>
  <w:style w:type="character" w:customStyle="1" w:styleId="HeadingbChar">
    <w:name w:val="Heading_b Char"/>
    <w:link w:val="Headingb"/>
    <w:locked/>
    <w:rsid w:val="0080523A"/>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A119-25B5-4865-B5C7-71C77C4E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4</TotalTime>
  <Pages>2</Pages>
  <Words>341</Words>
  <Characters>2163</Characters>
  <Application>Microsoft Office Word</Application>
  <DocSecurity>0</DocSecurity>
  <Lines>127</Lines>
  <Paragraphs>11</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12.12.06      SP_x000d_
1ère épreuve                 21.12.06      SP</dc:description>
  <cp:lastModifiedBy>Gachet, Christelle</cp:lastModifiedBy>
  <cp:revision>8</cp:revision>
  <cp:lastPrinted>2019-09-12T14:01:00Z</cp:lastPrinted>
  <dcterms:created xsi:type="dcterms:W3CDTF">2018-10-18T06:13:00Z</dcterms:created>
  <dcterms:modified xsi:type="dcterms:W3CDTF">2019-09-12T14:02:00Z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