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76CD" w14:textId="10C827B9" w:rsidR="002B35F7" w:rsidRPr="002B35F7" w:rsidRDefault="002B35F7" w:rsidP="00E96244">
      <w:pPr>
        <w:pStyle w:val="RecNo"/>
        <w:spacing w:before="0"/>
        <w:rPr>
          <w:lang w:val="en-US" w:eastAsia="zh-CN"/>
        </w:rPr>
      </w:pPr>
      <w:r w:rsidRPr="00110D28">
        <w:rPr>
          <w:rStyle w:val="href"/>
          <w:lang w:eastAsia="zh-CN"/>
        </w:rPr>
        <w:t>ITU-R</w:t>
      </w:r>
      <w:r w:rsidR="00110D28" w:rsidRPr="00110D28">
        <w:rPr>
          <w:rStyle w:val="href"/>
          <w:lang w:eastAsia="zh-CN"/>
        </w:rPr>
        <w:t xml:space="preserve"> </w:t>
      </w:r>
      <w:r w:rsidRPr="00110D28">
        <w:rPr>
          <w:rStyle w:val="href"/>
          <w:lang w:eastAsia="zh-CN"/>
        </w:rPr>
        <w:t xml:space="preserve"> SM.377-</w:t>
      </w:r>
      <w:r w:rsidR="00110D28" w:rsidRPr="00110D28">
        <w:rPr>
          <w:rStyle w:val="href"/>
          <w:lang w:eastAsia="zh-CN"/>
        </w:rPr>
        <w:t>4</w:t>
      </w:r>
      <w:r w:rsidR="009779D9">
        <w:rPr>
          <w:rStyle w:val="href"/>
          <w:lang w:eastAsia="zh-CN"/>
        </w:rPr>
        <w:t xml:space="preserve"> </w:t>
      </w:r>
      <w:r w:rsidR="00136998">
        <w:rPr>
          <w:rStyle w:val="href"/>
          <w:rFonts w:hint="eastAsia"/>
          <w:lang w:eastAsia="zh-CN"/>
        </w:rPr>
        <w:t>建议书</w:t>
      </w:r>
      <w:r w:rsidR="00E33DFF" w:rsidRPr="007C5AB5">
        <w:rPr>
          <w:rStyle w:val="FootnoteReference"/>
          <w:lang w:val="en-GB" w:eastAsia="zh-CN"/>
        </w:rPr>
        <w:footnoteReference w:customMarkFollows="1" w:id="1"/>
        <w:t>*</w:t>
      </w:r>
    </w:p>
    <w:p w14:paraId="584C9EFE" w14:textId="77777777" w:rsidR="002B35F7" w:rsidRPr="002B35F7" w:rsidRDefault="001D3080" w:rsidP="00E96244">
      <w:pPr>
        <w:pStyle w:val="Rectitle"/>
        <w:rPr>
          <w:lang w:val="en-US" w:eastAsia="zh-CN"/>
        </w:rPr>
      </w:pPr>
      <w:r>
        <w:rPr>
          <w:rFonts w:hint="eastAsia"/>
          <w:kern w:val="21"/>
          <w:lang w:eastAsia="zh-CN"/>
        </w:rPr>
        <w:t>国际监测站频率测量的精</w:t>
      </w:r>
      <w:r w:rsidR="00E96244">
        <w:rPr>
          <w:rFonts w:hint="eastAsia"/>
          <w:kern w:val="21"/>
          <w:lang w:eastAsia="zh-CN"/>
        </w:rPr>
        <w:t>确</w:t>
      </w:r>
      <w:r>
        <w:rPr>
          <w:rFonts w:hint="eastAsia"/>
          <w:kern w:val="21"/>
          <w:lang w:eastAsia="zh-CN"/>
        </w:rPr>
        <w:t>度</w:t>
      </w:r>
    </w:p>
    <w:p w14:paraId="51D53D4F" w14:textId="77777777" w:rsidR="00110D28" w:rsidRDefault="00110D28" w:rsidP="00E96244">
      <w:pPr>
        <w:pStyle w:val="Recdate"/>
        <w:rPr>
          <w:lang w:val="en-US" w:eastAsia="zh-CN"/>
        </w:rPr>
      </w:pPr>
    </w:p>
    <w:p w14:paraId="7C9DEF44" w14:textId="77777777" w:rsidR="002B35F7" w:rsidRPr="002B35F7" w:rsidRDefault="00D70DCE" w:rsidP="00D70DCE">
      <w:pPr>
        <w:pStyle w:val="Rec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2B35F7" w:rsidRPr="002B35F7">
        <w:rPr>
          <w:lang w:val="en-US" w:eastAsia="zh-CN"/>
        </w:rPr>
        <w:t>1948-1956-1959-1963-1966-1982-1994</w:t>
      </w:r>
      <w:r w:rsidR="00110D28">
        <w:rPr>
          <w:lang w:val="en-US" w:eastAsia="zh-CN"/>
        </w:rPr>
        <w:t>-200</w:t>
      </w:r>
      <w:r w:rsidR="00F92BB3">
        <w:rPr>
          <w:lang w:val="en-US" w:eastAsia="zh-CN"/>
        </w:rPr>
        <w:t>7</w:t>
      </w:r>
      <w:r w:rsidR="00E440B0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）</w:t>
      </w:r>
    </w:p>
    <w:p w14:paraId="51F0EF4D" w14:textId="77777777" w:rsidR="002B35F7" w:rsidRDefault="002B35F7" w:rsidP="00E96244">
      <w:pPr>
        <w:rPr>
          <w:lang w:val="en-US" w:eastAsia="zh-CN"/>
        </w:rPr>
      </w:pPr>
    </w:p>
    <w:p w14:paraId="23193085" w14:textId="77777777" w:rsidR="002B35F7" w:rsidRPr="002B35F7" w:rsidRDefault="00215E13" w:rsidP="00E96244">
      <w:pPr>
        <w:pStyle w:val="HeadingSum"/>
        <w:rPr>
          <w:color w:val="FFFFFF"/>
          <w:lang w:eastAsia="zh-CN"/>
        </w:rPr>
      </w:pPr>
      <w:r>
        <w:rPr>
          <w:rFonts w:hint="eastAsia"/>
          <w:lang w:eastAsia="zh-CN"/>
        </w:rPr>
        <w:t>范围</w:t>
      </w:r>
    </w:p>
    <w:p w14:paraId="1867261A" w14:textId="77777777" w:rsidR="002B35F7" w:rsidRPr="007A09DB" w:rsidRDefault="00D70DCE" w:rsidP="00D70DCE">
      <w:pPr>
        <w:pStyle w:val="Summary"/>
        <w:tabs>
          <w:tab w:val="clear" w:pos="794"/>
          <w:tab w:val="left" w:pos="540"/>
        </w:tabs>
        <w:rPr>
          <w:color w:val="FFFFFF"/>
          <w:lang w:val="en-GB" w:eastAsia="zh-CN"/>
        </w:rPr>
      </w:pPr>
      <w:r>
        <w:rPr>
          <w:rFonts w:hint="eastAsia"/>
          <w:lang w:eastAsia="zh-CN"/>
        </w:rPr>
        <w:tab/>
      </w:r>
      <w:r w:rsidR="007A09DB">
        <w:rPr>
          <w:rFonts w:hint="eastAsia"/>
          <w:lang w:eastAsia="zh-CN"/>
        </w:rPr>
        <w:t>本建议书规定了监测站频率测量的</w:t>
      </w:r>
      <w:r w:rsidR="00E96244">
        <w:rPr>
          <w:rFonts w:hint="eastAsia"/>
          <w:lang w:eastAsia="zh-CN"/>
        </w:rPr>
        <w:t>标</w:t>
      </w:r>
      <w:r w:rsidR="00F9150A">
        <w:rPr>
          <w:rFonts w:hint="eastAsia"/>
          <w:lang w:eastAsia="zh-CN"/>
        </w:rPr>
        <w:t>准</w:t>
      </w:r>
      <w:r w:rsidR="007A09DB">
        <w:rPr>
          <w:rFonts w:hint="eastAsia"/>
          <w:lang w:eastAsia="zh-CN"/>
        </w:rPr>
        <w:t>和测量精</w:t>
      </w:r>
      <w:r w:rsidR="00E96244">
        <w:rPr>
          <w:rFonts w:hint="eastAsia"/>
          <w:lang w:eastAsia="zh-CN"/>
        </w:rPr>
        <w:t>确</w:t>
      </w:r>
      <w:r w:rsidR="007A09DB">
        <w:rPr>
          <w:rFonts w:hint="eastAsia"/>
          <w:lang w:eastAsia="zh-CN"/>
        </w:rPr>
        <w:t>度。</w:t>
      </w:r>
    </w:p>
    <w:p w14:paraId="3CC1B2F4" w14:textId="77777777" w:rsidR="009779D9" w:rsidRPr="009779D9" w:rsidRDefault="009779D9" w:rsidP="009779D9">
      <w:pPr>
        <w:pStyle w:val="Normalaftertitle"/>
        <w:spacing w:before="120"/>
        <w:rPr>
          <w:rFonts w:hint="eastAsia"/>
          <w:b/>
          <w:bCs/>
          <w:kern w:val="21"/>
          <w:lang w:val="en-US" w:eastAsia="zh-CN"/>
        </w:rPr>
      </w:pPr>
      <w:r w:rsidRPr="009779D9">
        <w:rPr>
          <w:rFonts w:hint="eastAsia"/>
          <w:b/>
          <w:bCs/>
          <w:kern w:val="21"/>
          <w:lang w:val="en-US" w:eastAsia="zh-CN"/>
        </w:rPr>
        <w:t>关键词</w:t>
      </w:r>
    </w:p>
    <w:p w14:paraId="2AF22254" w14:textId="6DFB0EDC" w:rsidR="009779D9" w:rsidRPr="009779D9" w:rsidRDefault="009779D9" w:rsidP="009779D9">
      <w:pPr>
        <w:pStyle w:val="Normalaftertitle"/>
        <w:spacing w:before="120"/>
        <w:ind w:firstLine="504"/>
        <w:rPr>
          <w:kern w:val="21"/>
          <w:lang w:val="en-US" w:eastAsia="zh-CN"/>
        </w:rPr>
      </w:pPr>
      <w:r w:rsidRPr="009779D9">
        <w:rPr>
          <w:rFonts w:hint="eastAsia"/>
          <w:kern w:val="21"/>
          <w:lang w:val="en-US" w:eastAsia="zh-CN"/>
        </w:rPr>
        <w:t>频率测量、高精度频率标准、国际监测</w:t>
      </w:r>
    </w:p>
    <w:p w14:paraId="10E37CA2" w14:textId="3A4364AE" w:rsidR="00D70DCE" w:rsidRPr="007677B2" w:rsidRDefault="00EE704E" w:rsidP="007677B2">
      <w:pPr>
        <w:pStyle w:val="Normalaftertitle"/>
        <w:rPr>
          <w:kern w:val="21"/>
          <w:lang w:eastAsia="zh-CN"/>
        </w:rPr>
      </w:pPr>
      <w:r>
        <w:rPr>
          <w:kern w:val="21"/>
          <w:lang w:eastAsia="zh-CN"/>
        </w:rPr>
        <w:t>国际电联</w:t>
      </w:r>
      <w:r>
        <w:rPr>
          <w:rFonts w:hint="eastAsia"/>
          <w:kern w:val="21"/>
          <w:lang w:eastAsia="zh-CN"/>
        </w:rPr>
        <w:t>无线电通信全会，</w:t>
      </w:r>
    </w:p>
    <w:p w14:paraId="02311385" w14:textId="77777777" w:rsidR="002B35F7" w:rsidRPr="002B35F7" w:rsidRDefault="00EE704E" w:rsidP="00E96244">
      <w:pPr>
        <w:pStyle w:val="Call"/>
        <w:rPr>
          <w:lang w:val="en-US" w:eastAsia="zh-CN"/>
        </w:rPr>
      </w:pPr>
      <w:r w:rsidRPr="00EE704E">
        <w:rPr>
          <w:rFonts w:ascii="STKaiti" w:eastAsia="STKaiti" w:hAnsi="STKaiti" w:hint="eastAsia"/>
          <w:i w:val="0"/>
          <w:iCs/>
          <w:lang w:val="en-US" w:eastAsia="zh-CN"/>
        </w:rPr>
        <w:t>考虑到</w:t>
      </w:r>
    </w:p>
    <w:p w14:paraId="2FC67F6D" w14:textId="77777777" w:rsidR="002B35F7" w:rsidRPr="002B35F7" w:rsidRDefault="002B35F7" w:rsidP="007B1EDD">
      <w:pPr>
        <w:rPr>
          <w:lang w:val="en-US" w:eastAsia="zh-CN"/>
        </w:rPr>
      </w:pPr>
      <w:r w:rsidRPr="002B35F7">
        <w:rPr>
          <w:lang w:val="en-US" w:eastAsia="zh-CN"/>
        </w:rPr>
        <w:t>a)</w:t>
      </w:r>
      <w:r w:rsidRPr="002B35F7">
        <w:rPr>
          <w:lang w:val="en-US" w:eastAsia="zh-CN"/>
        </w:rPr>
        <w:tab/>
      </w:r>
      <w:r w:rsidR="00083478">
        <w:rPr>
          <w:rFonts w:hint="eastAsia"/>
          <w:kern w:val="21"/>
          <w:lang w:eastAsia="zh-CN"/>
        </w:rPr>
        <w:t>实施监测业务的</w:t>
      </w:r>
      <w:r w:rsidR="00E96244">
        <w:rPr>
          <w:rFonts w:hint="eastAsia"/>
          <w:kern w:val="21"/>
          <w:lang w:eastAsia="zh-CN"/>
        </w:rPr>
        <w:t>主管部门</w:t>
      </w:r>
      <w:r w:rsidR="007B1EDD">
        <w:rPr>
          <w:rFonts w:hint="eastAsia"/>
          <w:kern w:val="21"/>
          <w:lang w:eastAsia="zh-CN"/>
        </w:rPr>
        <w:t>和</w:t>
      </w:r>
      <w:r w:rsidR="00083478">
        <w:rPr>
          <w:rFonts w:hint="eastAsia"/>
          <w:kern w:val="21"/>
          <w:lang w:eastAsia="zh-CN"/>
        </w:rPr>
        <w:t>国际组织</w:t>
      </w:r>
      <w:r w:rsidR="007B1EDD">
        <w:rPr>
          <w:rFonts w:hint="eastAsia"/>
          <w:kern w:val="21"/>
          <w:lang w:eastAsia="zh-CN"/>
        </w:rPr>
        <w:t>以及</w:t>
      </w:r>
      <w:r w:rsidR="00083478">
        <w:rPr>
          <w:rFonts w:hint="eastAsia"/>
          <w:kern w:val="21"/>
          <w:lang w:eastAsia="zh-CN"/>
        </w:rPr>
        <w:t>无线电通信局关于有效履行其职责而进行的频率测量的要求</w:t>
      </w:r>
      <w:r w:rsidR="00083478" w:rsidRPr="00083478">
        <w:rPr>
          <w:rFonts w:hint="eastAsia"/>
          <w:kern w:val="21"/>
          <w:lang w:val="en-US" w:eastAsia="zh-CN"/>
        </w:rPr>
        <w:t>；</w:t>
      </w:r>
    </w:p>
    <w:p w14:paraId="6D135595" w14:textId="77777777" w:rsidR="002B35F7" w:rsidRDefault="002B35F7" w:rsidP="00E96244">
      <w:pPr>
        <w:rPr>
          <w:kern w:val="21"/>
          <w:lang w:eastAsia="zh-CN"/>
        </w:rPr>
      </w:pPr>
      <w:r w:rsidRPr="002B35F7">
        <w:rPr>
          <w:lang w:val="en-US" w:eastAsia="zh-CN"/>
        </w:rPr>
        <w:t>b)</w:t>
      </w:r>
      <w:r w:rsidRPr="002B35F7">
        <w:rPr>
          <w:lang w:val="en-US" w:eastAsia="zh-CN"/>
        </w:rPr>
        <w:tab/>
      </w:r>
      <w:r w:rsidR="00E96244">
        <w:rPr>
          <w:rFonts w:hint="eastAsia"/>
          <w:kern w:val="21"/>
          <w:lang w:eastAsia="zh-CN"/>
        </w:rPr>
        <w:t>现已广泛提供</w:t>
      </w:r>
      <w:r w:rsidR="00E658D9">
        <w:rPr>
          <w:rFonts w:hint="eastAsia"/>
          <w:kern w:val="21"/>
          <w:lang w:eastAsia="zh-CN"/>
        </w:rPr>
        <w:t>进行频率测量的合适的监测设备和高精</w:t>
      </w:r>
      <w:r w:rsidR="00E96244">
        <w:rPr>
          <w:rFonts w:hint="eastAsia"/>
          <w:kern w:val="21"/>
          <w:lang w:eastAsia="zh-CN"/>
        </w:rPr>
        <w:t>确</w:t>
      </w:r>
      <w:r w:rsidR="00E658D9">
        <w:rPr>
          <w:rFonts w:hint="eastAsia"/>
          <w:kern w:val="21"/>
          <w:lang w:eastAsia="zh-CN"/>
        </w:rPr>
        <w:t>度频率</w:t>
      </w:r>
      <w:r w:rsidR="00E96244">
        <w:rPr>
          <w:rFonts w:hint="eastAsia"/>
          <w:kern w:val="21"/>
          <w:lang w:eastAsia="zh-CN"/>
        </w:rPr>
        <w:t>标</w:t>
      </w:r>
      <w:r w:rsidR="00E658D9">
        <w:rPr>
          <w:rFonts w:hint="eastAsia"/>
          <w:kern w:val="21"/>
          <w:lang w:eastAsia="zh-CN"/>
        </w:rPr>
        <w:t>准</w:t>
      </w:r>
      <w:r w:rsidR="0089250D">
        <w:rPr>
          <w:rFonts w:hint="eastAsia"/>
          <w:kern w:val="21"/>
          <w:lang w:eastAsia="zh-CN"/>
        </w:rPr>
        <w:t>，</w:t>
      </w:r>
    </w:p>
    <w:p w14:paraId="19C735EF" w14:textId="77777777" w:rsidR="00D70DCE" w:rsidRPr="002B35F7" w:rsidRDefault="00D70DCE" w:rsidP="00E96244">
      <w:pPr>
        <w:rPr>
          <w:lang w:val="en-US" w:eastAsia="zh-CN"/>
        </w:rPr>
      </w:pPr>
    </w:p>
    <w:p w14:paraId="0A6CCE98" w14:textId="77777777" w:rsidR="002B35F7" w:rsidRPr="002B35F7" w:rsidRDefault="00AC4497" w:rsidP="00E96244">
      <w:pPr>
        <w:pStyle w:val="Call"/>
        <w:rPr>
          <w:lang w:val="en-US" w:eastAsia="zh-CN"/>
        </w:rPr>
      </w:pPr>
      <w:r w:rsidRPr="00AC4497">
        <w:rPr>
          <w:rFonts w:ascii="STKaiti" w:eastAsia="STKaiti" w:hAnsi="STKaiti" w:hint="eastAsia"/>
          <w:i w:val="0"/>
          <w:iCs/>
          <w:lang w:val="en-US" w:eastAsia="zh-CN"/>
        </w:rPr>
        <w:t>认识到</w:t>
      </w:r>
    </w:p>
    <w:p w14:paraId="0B3E5C9D" w14:textId="77777777" w:rsidR="002B35F7" w:rsidRDefault="002B35F7" w:rsidP="00E96244">
      <w:pPr>
        <w:rPr>
          <w:lang w:val="en-US" w:eastAsia="zh-CN"/>
        </w:rPr>
      </w:pPr>
      <w:r w:rsidRPr="002B35F7">
        <w:rPr>
          <w:lang w:val="en-US" w:eastAsia="zh-CN"/>
        </w:rPr>
        <w:t>a)</w:t>
      </w:r>
      <w:r w:rsidRPr="002B35F7">
        <w:rPr>
          <w:lang w:val="en-US" w:eastAsia="zh-CN"/>
        </w:rPr>
        <w:tab/>
      </w:r>
      <w:r w:rsidR="00980057">
        <w:rPr>
          <w:rFonts w:hint="eastAsia"/>
          <w:lang w:val="en-US" w:eastAsia="zh-CN"/>
        </w:rPr>
        <w:t>频率测量的误</w:t>
      </w:r>
      <w:r w:rsidR="00E1223D">
        <w:rPr>
          <w:rFonts w:hint="eastAsia"/>
          <w:lang w:val="en-US" w:eastAsia="zh-CN"/>
        </w:rPr>
        <w:t>差不应超过《无线电规则》</w:t>
      </w:r>
      <w:r w:rsidR="00A47CAB">
        <w:rPr>
          <w:rFonts w:hint="eastAsia"/>
          <w:lang w:val="en-US" w:eastAsia="zh-CN"/>
        </w:rPr>
        <w:t>附录</w:t>
      </w:r>
      <w:r w:rsidR="00A47CAB">
        <w:rPr>
          <w:rFonts w:hint="eastAsia"/>
          <w:lang w:val="en-US" w:eastAsia="zh-CN"/>
        </w:rPr>
        <w:t>2</w:t>
      </w:r>
      <w:r w:rsidR="00E1223D">
        <w:rPr>
          <w:rFonts w:hint="eastAsia"/>
          <w:lang w:val="en-US" w:eastAsia="zh-CN"/>
        </w:rPr>
        <w:t>中规定的频率容差</w:t>
      </w:r>
      <w:r w:rsidR="00980057">
        <w:rPr>
          <w:rFonts w:hint="eastAsia"/>
          <w:lang w:val="en-US" w:eastAsia="zh-CN"/>
        </w:rPr>
        <w:t>的十分之一，</w:t>
      </w:r>
    </w:p>
    <w:p w14:paraId="727399C5" w14:textId="77777777" w:rsidR="00D70DCE" w:rsidRPr="002B35F7" w:rsidRDefault="00D70DCE" w:rsidP="00E96244">
      <w:pPr>
        <w:rPr>
          <w:lang w:val="en-US" w:eastAsia="zh-CN"/>
        </w:rPr>
      </w:pPr>
    </w:p>
    <w:p w14:paraId="57DF173F" w14:textId="77777777" w:rsidR="002B35F7" w:rsidRPr="002B35F7" w:rsidRDefault="00730B04" w:rsidP="00E96244">
      <w:pPr>
        <w:pStyle w:val="Call"/>
        <w:rPr>
          <w:lang w:val="en-US" w:eastAsia="zh-CN"/>
        </w:rPr>
      </w:pPr>
      <w:r w:rsidRPr="00730B04">
        <w:rPr>
          <w:rFonts w:ascii="STKaiti" w:eastAsia="STKaiti" w:hAnsi="STKaiti" w:hint="eastAsia"/>
          <w:i w:val="0"/>
          <w:iCs/>
          <w:lang w:val="en-US" w:eastAsia="zh-CN"/>
        </w:rPr>
        <w:t>建议</w:t>
      </w:r>
    </w:p>
    <w:p w14:paraId="248BAF52" w14:textId="77777777" w:rsidR="002B35F7" w:rsidRPr="002B35F7" w:rsidRDefault="002B35F7" w:rsidP="00E96244">
      <w:pPr>
        <w:rPr>
          <w:lang w:val="en-US" w:eastAsia="zh-CN"/>
        </w:rPr>
      </w:pPr>
      <w:r w:rsidRPr="002B35F7">
        <w:rPr>
          <w:b/>
          <w:lang w:val="en-US" w:eastAsia="zh-CN"/>
        </w:rPr>
        <w:t>1</w:t>
      </w:r>
      <w:r w:rsidRPr="002B35F7">
        <w:rPr>
          <w:lang w:val="en-US" w:eastAsia="zh-CN"/>
        </w:rPr>
        <w:tab/>
      </w:r>
      <w:r w:rsidR="00E96244">
        <w:rPr>
          <w:rFonts w:hint="eastAsia"/>
          <w:lang w:val="en-US" w:eastAsia="zh-CN"/>
        </w:rPr>
        <w:t>将</w:t>
      </w:r>
      <w:r w:rsidR="00863EDF">
        <w:rPr>
          <w:rFonts w:hint="eastAsia"/>
          <w:kern w:val="21"/>
          <w:lang w:eastAsia="zh-CN"/>
        </w:rPr>
        <w:t>由原子钟、</w:t>
      </w:r>
      <w:proofErr w:type="gramStart"/>
      <w:r w:rsidR="00863EDF">
        <w:rPr>
          <w:rFonts w:hint="eastAsia"/>
          <w:kern w:val="21"/>
          <w:lang w:eastAsia="zh-CN"/>
        </w:rPr>
        <w:t>无线电测定</w:t>
      </w:r>
      <w:r w:rsidR="00E96244">
        <w:rPr>
          <w:rFonts w:hint="eastAsia"/>
          <w:kern w:val="21"/>
          <w:lang w:eastAsia="zh-CN"/>
        </w:rPr>
        <w:t>和</w:t>
      </w:r>
      <w:r w:rsidR="00863EDF">
        <w:rPr>
          <w:rFonts w:hint="eastAsia"/>
          <w:kern w:val="21"/>
          <w:lang w:eastAsia="zh-CN"/>
        </w:rPr>
        <w:t>卫星无线电测定系统提供的高精</w:t>
      </w:r>
      <w:r w:rsidR="00E96244">
        <w:rPr>
          <w:rFonts w:hint="eastAsia"/>
          <w:kern w:val="21"/>
          <w:lang w:eastAsia="zh-CN"/>
        </w:rPr>
        <w:t>确</w:t>
      </w:r>
      <w:r w:rsidR="00863EDF">
        <w:rPr>
          <w:rFonts w:hint="eastAsia"/>
          <w:kern w:val="21"/>
          <w:lang w:eastAsia="zh-CN"/>
        </w:rPr>
        <w:t>度频率</w:t>
      </w:r>
      <w:r w:rsidR="00E96244">
        <w:rPr>
          <w:rFonts w:hint="eastAsia"/>
          <w:kern w:val="21"/>
          <w:lang w:eastAsia="zh-CN"/>
        </w:rPr>
        <w:t>标</w:t>
      </w:r>
      <w:r w:rsidR="00863EDF">
        <w:rPr>
          <w:rFonts w:hint="eastAsia"/>
          <w:kern w:val="21"/>
          <w:lang w:eastAsia="zh-CN"/>
        </w:rPr>
        <w:t>准</w:t>
      </w:r>
      <w:r w:rsidR="00E96244">
        <w:rPr>
          <w:rFonts w:hint="eastAsia"/>
          <w:kern w:val="21"/>
          <w:lang w:eastAsia="zh-CN"/>
        </w:rPr>
        <w:t>亦</w:t>
      </w:r>
      <w:r w:rsidR="00863EDF">
        <w:rPr>
          <w:rFonts w:hint="eastAsia"/>
          <w:kern w:val="21"/>
          <w:lang w:eastAsia="zh-CN"/>
        </w:rPr>
        <w:t>作为频率测量</w:t>
      </w:r>
      <w:r w:rsidR="00E96244">
        <w:rPr>
          <w:rFonts w:hint="eastAsia"/>
          <w:kern w:val="21"/>
          <w:lang w:eastAsia="zh-CN"/>
        </w:rPr>
        <w:t>标</w:t>
      </w:r>
      <w:r w:rsidR="00863EDF">
        <w:rPr>
          <w:rFonts w:hint="eastAsia"/>
          <w:kern w:val="21"/>
          <w:lang w:eastAsia="zh-CN"/>
        </w:rPr>
        <w:t>准</w:t>
      </w:r>
      <w:r w:rsidR="00863EDF" w:rsidRPr="00863EDF">
        <w:rPr>
          <w:rFonts w:hint="eastAsia"/>
          <w:kern w:val="21"/>
          <w:lang w:val="en-US" w:eastAsia="zh-CN"/>
        </w:rPr>
        <w:t>；</w:t>
      </w:r>
      <w:proofErr w:type="gramEnd"/>
    </w:p>
    <w:p w14:paraId="1DD191B1" w14:textId="77777777" w:rsidR="002B35F7" w:rsidRPr="002B35F7" w:rsidRDefault="002B35F7" w:rsidP="00E96244">
      <w:pPr>
        <w:rPr>
          <w:lang w:val="en-US" w:eastAsia="zh-CN"/>
        </w:rPr>
      </w:pPr>
      <w:r w:rsidRPr="002B35F7">
        <w:rPr>
          <w:b/>
          <w:lang w:val="en-US" w:eastAsia="zh-CN"/>
        </w:rPr>
        <w:t>2</w:t>
      </w:r>
      <w:r w:rsidRPr="002B35F7">
        <w:rPr>
          <w:lang w:val="en-US" w:eastAsia="zh-CN"/>
        </w:rPr>
        <w:tab/>
      </w:r>
      <w:r w:rsidR="000F34A5">
        <w:rPr>
          <w:rFonts w:hint="eastAsia"/>
          <w:kern w:val="21"/>
          <w:lang w:eastAsia="zh-CN"/>
        </w:rPr>
        <w:t>监测设备和程序应当符合的要求是</w:t>
      </w:r>
      <w:r w:rsidR="00E96244">
        <w:rPr>
          <w:rFonts w:hint="eastAsia"/>
          <w:kern w:val="21"/>
          <w:lang w:eastAsia="zh-CN"/>
        </w:rPr>
        <w:t>，</w:t>
      </w:r>
      <w:r w:rsidR="000F34A5">
        <w:rPr>
          <w:rFonts w:hint="eastAsia"/>
          <w:kern w:val="21"/>
          <w:lang w:eastAsia="zh-CN"/>
        </w:rPr>
        <w:t>对频率进行测量时，测量精</w:t>
      </w:r>
      <w:r w:rsidR="00E96244">
        <w:rPr>
          <w:rFonts w:hint="eastAsia"/>
          <w:kern w:val="21"/>
          <w:lang w:eastAsia="zh-CN"/>
        </w:rPr>
        <w:t>确</w:t>
      </w:r>
      <w:r w:rsidR="000F34A5">
        <w:rPr>
          <w:rFonts w:hint="eastAsia"/>
          <w:kern w:val="21"/>
          <w:lang w:eastAsia="zh-CN"/>
        </w:rPr>
        <w:t>度应等于或优于表</w:t>
      </w:r>
      <w:r w:rsidR="000F34A5">
        <w:rPr>
          <w:rFonts w:hint="eastAsia"/>
          <w:kern w:val="21"/>
          <w:lang w:eastAsia="zh-CN"/>
        </w:rPr>
        <w:t>1</w:t>
      </w:r>
      <w:r w:rsidR="000F34A5">
        <w:rPr>
          <w:rFonts w:hint="eastAsia"/>
          <w:kern w:val="21"/>
          <w:lang w:eastAsia="zh-CN"/>
        </w:rPr>
        <w:t>规定的</w:t>
      </w:r>
      <w:r w:rsidR="00E96244">
        <w:rPr>
          <w:rFonts w:hint="eastAsia"/>
          <w:kern w:val="21"/>
          <w:lang w:eastAsia="zh-CN"/>
        </w:rPr>
        <w:t>数</w:t>
      </w:r>
      <w:r w:rsidR="000F34A5">
        <w:rPr>
          <w:rFonts w:hint="eastAsia"/>
          <w:kern w:val="21"/>
          <w:lang w:eastAsia="zh-CN"/>
        </w:rPr>
        <w:t>值</w:t>
      </w:r>
      <w:r w:rsidR="00557063">
        <w:rPr>
          <w:rFonts w:hint="eastAsia"/>
          <w:kern w:val="21"/>
          <w:lang w:eastAsia="zh-CN"/>
        </w:rPr>
        <w:t>：</w:t>
      </w:r>
    </w:p>
    <w:p w14:paraId="0BCEEFEC" w14:textId="77777777" w:rsidR="002B35F7" w:rsidRDefault="00B47C57" w:rsidP="00E96244">
      <w:pPr>
        <w:pStyle w:val="TableNo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="002B35F7">
        <w:rPr>
          <w:lang w:eastAsia="zh-CN"/>
        </w:rPr>
        <w:t>1</w:t>
      </w:r>
    </w:p>
    <w:p w14:paraId="1CD6E231" w14:textId="77777777" w:rsidR="002B35F7" w:rsidRPr="002B35F7" w:rsidRDefault="00E3523E" w:rsidP="00E96244">
      <w:pPr>
        <w:pStyle w:val="Tabletitle"/>
        <w:rPr>
          <w:lang w:val="en-US" w:eastAsia="zh-CN"/>
        </w:rPr>
      </w:pPr>
      <w:r>
        <w:rPr>
          <w:rFonts w:hint="eastAsia"/>
          <w:kern w:val="21"/>
          <w:lang w:eastAsia="zh-CN"/>
        </w:rPr>
        <w:t>监测站的频率测量精</w:t>
      </w:r>
      <w:r w:rsidR="00E96244">
        <w:rPr>
          <w:rFonts w:hint="eastAsia"/>
          <w:kern w:val="21"/>
          <w:lang w:eastAsia="zh-CN"/>
        </w:rPr>
        <w:t>确</w:t>
      </w:r>
      <w:r>
        <w:rPr>
          <w:rFonts w:hint="eastAsia"/>
          <w:kern w:val="21"/>
          <w:lang w:eastAsia="zh-CN"/>
        </w:rPr>
        <w:t>度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2B35F7" w14:paraId="101F6B55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20C7" w14:textId="77777777" w:rsidR="002B35F7" w:rsidRDefault="00D84F45" w:rsidP="00E96244">
            <w:pPr>
              <w:pStyle w:val="Tablehead"/>
            </w:pPr>
            <w:r>
              <w:rPr>
                <w:rFonts w:hint="eastAsia"/>
                <w:lang w:eastAsia="zh-CN"/>
              </w:rPr>
              <w:t>测量类型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E39" w14:textId="77777777" w:rsidR="002B35F7" w:rsidRDefault="00D84F45" w:rsidP="00E9624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精</w:t>
            </w:r>
            <w:r w:rsidR="00522CF3">
              <w:rPr>
                <w:rFonts w:hint="eastAsia"/>
                <w:lang w:eastAsia="zh-CN"/>
              </w:rPr>
              <w:t>确</w:t>
            </w:r>
            <w:r>
              <w:rPr>
                <w:rFonts w:hint="eastAsia"/>
                <w:lang w:eastAsia="zh-CN"/>
              </w:rPr>
              <w:t>度</w:t>
            </w:r>
          </w:p>
        </w:tc>
      </w:tr>
      <w:tr w:rsidR="002B35F7" w:rsidRPr="00BF4D89" w14:paraId="39B18DC1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6191" w14:textId="77777777" w:rsidR="002B35F7" w:rsidRPr="007716FE" w:rsidRDefault="002B35F7" w:rsidP="00E96244">
            <w:pPr>
              <w:pStyle w:val="Tabletext"/>
              <w:keepNext/>
              <w:ind w:left="284" w:hanging="284"/>
              <w:jc w:val="left"/>
              <w:rPr>
                <w:lang w:eastAsia="zh-CN"/>
              </w:rPr>
            </w:pPr>
            <w:r w:rsidRPr="007716FE">
              <w:rPr>
                <w:lang w:eastAsia="zh-CN"/>
              </w:rPr>
              <w:t>1.</w:t>
            </w:r>
            <w:r w:rsidRPr="007716FE">
              <w:rPr>
                <w:lang w:eastAsia="zh-CN"/>
              </w:rPr>
              <w:tab/>
            </w:r>
            <w:r w:rsidR="00AD46F0">
              <w:rPr>
                <w:rFonts w:hint="eastAsia"/>
                <w:kern w:val="21"/>
                <w:lang w:eastAsia="zh-CN"/>
              </w:rPr>
              <w:t>频率在</w:t>
            </w:r>
            <w:r w:rsidR="00AD46F0">
              <w:rPr>
                <w:rFonts w:hint="eastAsia"/>
                <w:kern w:val="21"/>
                <w:lang w:eastAsia="zh-CN"/>
              </w:rPr>
              <w:t>9-4 000</w:t>
            </w:r>
            <w:r w:rsidR="00AD46F0">
              <w:rPr>
                <w:kern w:val="21"/>
                <w:lang w:eastAsia="zh-CN"/>
              </w:rPr>
              <w:t xml:space="preserve"> kHz</w:t>
            </w:r>
            <w:r w:rsidR="00AD46F0">
              <w:rPr>
                <w:rFonts w:hint="eastAsia"/>
                <w:kern w:val="21"/>
                <w:lang w:eastAsia="zh-CN"/>
              </w:rPr>
              <w:t>范围内，不包括广播台站的台站频率测量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A84D" w14:textId="77777777" w:rsidR="002B35F7" w:rsidRPr="00BF4D89" w:rsidRDefault="009E4FA7" w:rsidP="00E96244">
            <w:pPr>
              <w:pStyle w:val="Tabletext"/>
              <w:keepNext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该值的</w:t>
            </w:r>
            <w:r w:rsidR="002B35F7" w:rsidRPr="001F3F69">
              <w:sym w:font="Symbol" w:char="F0B1"/>
            </w:r>
            <w:r w:rsidR="002B35F7" w:rsidRPr="00BF4D89">
              <w:rPr>
                <w:lang w:eastAsia="zh-CN"/>
              </w:rPr>
              <w:t xml:space="preserve"> 5 × 10</w:t>
            </w:r>
            <w:r w:rsidR="002B35F7" w:rsidRPr="00BF4D89">
              <w:rPr>
                <w:vertAlign w:val="superscript"/>
                <w:lang w:eastAsia="zh-CN"/>
              </w:rPr>
              <w:t>–6</w:t>
            </w:r>
            <w:r w:rsidR="002B35F7" w:rsidRPr="00BF4D89">
              <w:rPr>
                <w:lang w:eastAsia="zh-CN"/>
              </w:rPr>
              <w:t xml:space="preserve"> </w:t>
            </w:r>
            <w:r w:rsidR="00BF4D89" w:rsidRPr="00BF4D89">
              <w:rPr>
                <w:rFonts w:hint="eastAsia"/>
                <w:lang w:eastAsia="zh-CN"/>
              </w:rPr>
              <w:t xml:space="preserve"> </w:t>
            </w:r>
            <w:r w:rsidR="00BF4D89">
              <w:rPr>
                <w:rFonts w:hint="eastAsia"/>
                <w:kern w:val="21"/>
                <w:lang w:eastAsia="zh-CN"/>
              </w:rPr>
              <w:t>（当该值小于</w:t>
            </w:r>
            <w:r w:rsidR="00BF4D89">
              <w:rPr>
                <w:rFonts w:hint="eastAsia"/>
                <w:kern w:val="21"/>
              </w:rPr>
              <w:sym w:font="Symbol" w:char="F0B1"/>
            </w:r>
            <w:r w:rsidR="00BF4D89">
              <w:rPr>
                <w:rFonts w:hint="eastAsia"/>
                <w:kern w:val="21"/>
                <w:lang w:eastAsia="zh-CN"/>
              </w:rPr>
              <w:t>1</w:t>
            </w:r>
            <w:r w:rsidR="00BF4D89">
              <w:rPr>
                <w:kern w:val="21"/>
                <w:lang w:eastAsia="zh-CN"/>
              </w:rPr>
              <w:t>Hz</w:t>
            </w:r>
            <w:r w:rsidR="00BF4D89">
              <w:rPr>
                <w:rFonts w:hint="eastAsia"/>
                <w:kern w:val="21"/>
                <w:lang w:eastAsia="zh-CN"/>
              </w:rPr>
              <w:t>时，精</w:t>
            </w:r>
            <w:r w:rsidR="00E96244">
              <w:rPr>
                <w:rFonts w:hint="eastAsia"/>
                <w:kern w:val="21"/>
                <w:lang w:eastAsia="zh-CN"/>
              </w:rPr>
              <w:t>确</w:t>
            </w:r>
            <w:r w:rsidR="00BF4D89">
              <w:rPr>
                <w:rFonts w:hint="eastAsia"/>
                <w:kern w:val="21"/>
                <w:lang w:eastAsia="zh-CN"/>
              </w:rPr>
              <w:t>度为</w:t>
            </w:r>
            <w:r w:rsidR="00BF4D89">
              <w:rPr>
                <w:rFonts w:hint="eastAsia"/>
                <w:kern w:val="21"/>
              </w:rPr>
              <w:sym w:font="Symbol" w:char="F0B1"/>
            </w:r>
            <w:r w:rsidR="00BF4D89">
              <w:rPr>
                <w:rFonts w:hint="eastAsia"/>
                <w:kern w:val="21"/>
                <w:lang w:eastAsia="zh-CN"/>
              </w:rPr>
              <w:t>1</w:t>
            </w:r>
            <w:r w:rsidR="00BF4D89">
              <w:rPr>
                <w:kern w:val="21"/>
                <w:lang w:eastAsia="zh-CN"/>
              </w:rPr>
              <w:t>Hz</w:t>
            </w:r>
            <w:r w:rsidR="00BF4D89">
              <w:rPr>
                <w:rFonts w:hint="eastAsia"/>
                <w:kern w:val="21"/>
                <w:lang w:eastAsia="zh-CN"/>
              </w:rPr>
              <w:t>）</w:t>
            </w:r>
          </w:p>
        </w:tc>
      </w:tr>
      <w:tr w:rsidR="002B35F7" w14:paraId="0558C2AB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01A6" w14:textId="77777777" w:rsidR="002B35F7" w:rsidRPr="002B35F7" w:rsidRDefault="002B35F7" w:rsidP="00E96244">
            <w:pPr>
              <w:pStyle w:val="Tabletext"/>
              <w:keepNext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2.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rFonts w:hint="eastAsia"/>
                <w:kern w:val="21"/>
                <w:lang w:eastAsia="zh-CN"/>
              </w:rPr>
              <w:t>9-4 000</w:t>
            </w:r>
            <w:r w:rsidR="007716FE">
              <w:rPr>
                <w:kern w:val="21"/>
                <w:lang w:eastAsia="zh-CN"/>
              </w:rPr>
              <w:t xml:space="preserve"> kHz</w:t>
            </w:r>
            <w:r w:rsidR="007716FE">
              <w:rPr>
                <w:rFonts w:hint="eastAsia"/>
                <w:kern w:val="21"/>
                <w:lang w:eastAsia="zh-CN"/>
              </w:rPr>
              <w:t>的范围内的广播台站</w:t>
            </w:r>
            <w:r w:rsidR="00E96244">
              <w:rPr>
                <w:rFonts w:hint="eastAsia"/>
                <w:kern w:val="21"/>
                <w:lang w:eastAsia="zh-CN"/>
              </w:rPr>
              <w:t>的</w:t>
            </w:r>
            <w:r w:rsidR="0035052A">
              <w:rPr>
                <w:rFonts w:hint="eastAsia"/>
                <w:kern w:val="21"/>
                <w:lang w:eastAsia="zh-CN"/>
              </w:rPr>
              <w:t>台站</w:t>
            </w:r>
            <w:r w:rsidR="007716FE">
              <w:rPr>
                <w:rFonts w:hint="eastAsia"/>
                <w:kern w:val="21"/>
                <w:lang w:eastAsia="zh-CN"/>
              </w:rPr>
              <w:t>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23A8" w14:textId="77777777" w:rsidR="002B35F7" w:rsidRPr="001F3F69" w:rsidRDefault="002B35F7" w:rsidP="00E96244">
            <w:pPr>
              <w:pStyle w:val="Tabletext"/>
              <w:keepNext/>
              <w:jc w:val="left"/>
            </w:pPr>
            <w:r>
              <w:t>±</w:t>
            </w:r>
            <w:r w:rsidRPr="001F3F69">
              <w:t xml:space="preserve"> 1 Hz</w:t>
            </w:r>
          </w:p>
        </w:tc>
      </w:tr>
      <w:tr w:rsidR="002B35F7" w14:paraId="0B2035F0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DD68" w14:textId="77777777" w:rsidR="002B35F7" w:rsidRPr="002B35F7" w:rsidRDefault="002B35F7" w:rsidP="00E96244">
            <w:pPr>
              <w:pStyle w:val="Tabletext"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3.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rFonts w:hint="eastAsia"/>
                <w:kern w:val="21"/>
                <w:lang w:eastAsia="zh-CN"/>
              </w:rPr>
              <w:t>4 000</w:t>
            </w:r>
            <w:r w:rsidR="007716FE">
              <w:rPr>
                <w:kern w:val="21"/>
                <w:lang w:eastAsia="zh-CN"/>
              </w:rPr>
              <w:t xml:space="preserve"> kHz</w:t>
            </w:r>
            <w:r w:rsidR="007716FE">
              <w:rPr>
                <w:rFonts w:hint="eastAsia"/>
                <w:kern w:val="21"/>
                <w:lang w:eastAsia="zh-CN"/>
              </w:rPr>
              <w:t>-29</w:t>
            </w:r>
            <w:r w:rsidR="007716FE">
              <w:rPr>
                <w:kern w:val="21"/>
                <w:lang w:eastAsia="zh-CN"/>
              </w:rPr>
              <w:t>.7 MHz</w:t>
            </w:r>
            <w:r w:rsidR="007716FE">
              <w:rPr>
                <w:rFonts w:hint="eastAsia"/>
                <w:kern w:val="21"/>
                <w:lang w:eastAsia="zh-CN"/>
              </w:rPr>
              <w:t>范围内的台站频率测量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BCF8" w14:textId="77777777" w:rsidR="002B35F7" w:rsidRPr="001F3F69" w:rsidRDefault="002B35F7" w:rsidP="00E96244">
            <w:pPr>
              <w:pStyle w:val="Tabletext"/>
              <w:jc w:val="left"/>
            </w:pPr>
            <w:r>
              <w:t>±</w:t>
            </w:r>
            <w:r w:rsidRPr="001F3F69">
              <w:t xml:space="preserve"> 1 Hz</w:t>
            </w:r>
          </w:p>
        </w:tc>
      </w:tr>
      <w:tr w:rsidR="002B35F7" w14:paraId="69CDCD0E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E25F" w14:textId="77777777" w:rsidR="002B35F7" w:rsidRPr="002B35F7" w:rsidRDefault="002B35F7" w:rsidP="00E96244">
            <w:pPr>
              <w:pStyle w:val="Tabletext"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4.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rFonts w:hint="eastAsia"/>
                <w:kern w:val="21"/>
                <w:lang w:eastAsia="zh-CN"/>
              </w:rPr>
              <w:t>29</w:t>
            </w:r>
            <w:r w:rsidR="007716FE">
              <w:rPr>
                <w:kern w:val="21"/>
                <w:lang w:eastAsia="zh-CN"/>
              </w:rPr>
              <w:t>.7-2</w:t>
            </w:r>
            <w:r w:rsidR="007716FE">
              <w:rPr>
                <w:rFonts w:hint="eastAsia"/>
                <w:kern w:val="21"/>
                <w:lang w:eastAsia="zh-CN"/>
              </w:rPr>
              <w:t xml:space="preserve"> </w:t>
            </w:r>
            <w:r w:rsidR="007716FE">
              <w:rPr>
                <w:kern w:val="21"/>
                <w:lang w:eastAsia="zh-CN"/>
              </w:rPr>
              <w:t>450 MHz</w:t>
            </w:r>
            <w:r w:rsidR="007716FE">
              <w:rPr>
                <w:rFonts w:hint="eastAsia"/>
                <w:kern w:val="21"/>
                <w:lang w:eastAsia="zh-CN"/>
              </w:rPr>
              <w:t>范围内，不包括电视</w:t>
            </w:r>
            <w:r w:rsidR="0035052A">
              <w:rPr>
                <w:rFonts w:hint="eastAsia"/>
                <w:kern w:val="21"/>
                <w:lang w:eastAsia="zh-CN"/>
              </w:rPr>
              <w:t>台站</w:t>
            </w:r>
            <w:r w:rsidR="000E4D00">
              <w:rPr>
                <w:rFonts w:hint="eastAsia"/>
                <w:kern w:val="21"/>
                <w:lang w:eastAsia="zh-CN"/>
              </w:rPr>
              <w:t>的</w:t>
            </w:r>
            <w:r w:rsidR="007716FE">
              <w:rPr>
                <w:rFonts w:hint="eastAsia"/>
                <w:kern w:val="21"/>
                <w:lang w:eastAsia="zh-CN"/>
              </w:rPr>
              <w:t>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A77" w14:textId="77777777" w:rsidR="002B35F7" w:rsidRPr="001F3F69" w:rsidRDefault="009E4FA7" w:rsidP="00E96244">
            <w:pPr>
              <w:pStyle w:val="Tabletext"/>
              <w:jc w:val="left"/>
            </w:pPr>
            <w:r>
              <w:rPr>
                <w:rFonts w:hint="eastAsia"/>
                <w:lang w:eastAsia="zh-CN"/>
              </w:rPr>
              <w:t>该值的</w:t>
            </w:r>
            <w:r w:rsidR="002B35F7">
              <w:t>±</w:t>
            </w:r>
            <w:r w:rsidR="002B35F7" w:rsidRPr="001F3F69">
              <w:t xml:space="preserve"> 10</w:t>
            </w:r>
            <w:r w:rsidR="002B35F7" w:rsidRPr="00031E6A">
              <w:rPr>
                <w:vertAlign w:val="superscript"/>
              </w:rPr>
              <w:t>–8</w:t>
            </w:r>
            <w:r w:rsidR="002B35F7" w:rsidRPr="001F3F69">
              <w:t xml:space="preserve"> </w:t>
            </w:r>
          </w:p>
        </w:tc>
      </w:tr>
      <w:tr w:rsidR="002B35F7" w14:paraId="2F903165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8C86" w14:textId="77777777" w:rsidR="002B35F7" w:rsidRPr="002B35F7" w:rsidRDefault="002B35F7" w:rsidP="00E96244">
            <w:pPr>
              <w:pStyle w:val="Tabletext"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5.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rFonts w:hint="eastAsia"/>
                <w:kern w:val="21"/>
                <w:lang w:eastAsia="zh-CN"/>
              </w:rPr>
              <w:t>47</w:t>
            </w:r>
            <w:r w:rsidR="007716FE">
              <w:rPr>
                <w:kern w:val="21"/>
                <w:lang w:eastAsia="zh-CN"/>
              </w:rPr>
              <w:t>-</w:t>
            </w:r>
            <w:r w:rsidR="007716FE">
              <w:rPr>
                <w:rFonts w:hint="eastAsia"/>
                <w:kern w:val="21"/>
                <w:lang w:eastAsia="zh-CN"/>
              </w:rPr>
              <w:t>96</w:t>
            </w:r>
            <w:r w:rsidR="007716FE">
              <w:rPr>
                <w:kern w:val="21"/>
                <w:lang w:eastAsia="zh-CN"/>
              </w:rPr>
              <w:t>0 MHz</w:t>
            </w:r>
            <w:r w:rsidR="007716FE">
              <w:rPr>
                <w:rFonts w:hint="eastAsia"/>
                <w:kern w:val="21"/>
                <w:lang w:eastAsia="zh-CN"/>
              </w:rPr>
              <w:t>范围内的电视台站的频率测量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9C84" w14:textId="77777777" w:rsidR="002B35F7" w:rsidRPr="001F3F69" w:rsidRDefault="002B35F7" w:rsidP="00E96244">
            <w:pPr>
              <w:pStyle w:val="Tabletext"/>
              <w:jc w:val="left"/>
            </w:pPr>
            <w:r>
              <w:t>±</w:t>
            </w:r>
            <w:r w:rsidRPr="001F3F69">
              <w:t xml:space="preserve"> 50 Hz</w:t>
            </w:r>
          </w:p>
        </w:tc>
      </w:tr>
      <w:tr w:rsidR="002B35F7" w14:paraId="411B9BB7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C76F" w14:textId="77777777" w:rsidR="002B35F7" w:rsidRPr="002B35F7" w:rsidRDefault="002B35F7" w:rsidP="00E96244">
            <w:pPr>
              <w:pStyle w:val="Tabletext"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6.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rFonts w:hint="eastAsia"/>
                <w:kern w:val="21"/>
                <w:lang w:eastAsia="zh-CN"/>
              </w:rPr>
              <w:t>2 450</w:t>
            </w:r>
            <w:r w:rsidR="007716FE">
              <w:rPr>
                <w:kern w:val="21"/>
                <w:lang w:eastAsia="zh-CN"/>
              </w:rPr>
              <w:t xml:space="preserve"> MHz-</w:t>
            </w:r>
            <w:r w:rsidR="007716FE">
              <w:rPr>
                <w:rFonts w:hint="eastAsia"/>
                <w:kern w:val="21"/>
                <w:lang w:eastAsia="zh-CN"/>
              </w:rPr>
              <w:t>10.5</w:t>
            </w:r>
            <w:r w:rsidR="007716FE">
              <w:rPr>
                <w:kern w:val="21"/>
                <w:lang w:eastAsia="zh-CN"/>
              </w:rPr>
              <w:t xml:space="preserve"> GHz</w:t>
            </w:r>
            <w:r w:rsidR="007716FE">
              <w:rPr>
                <w:rFonts w:hint="eastAsia"/>
                <w:kern w:val="21"/>
                <w:lang w:eastAsia="zh-CN"/>
              </w:rPr>
              <w:t>范围内的台站频率测量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BB2" w14:textId="77777777" w:rsidR="002B35F7" w:rsidRPr="001F3F69" w:rsidRDefault="009E4FA7" w:rsidP="00E96244">
            <w:pPr>
              <w:pStyle w:val="Tabletext"/>
              <w:jc w:val="left"/>
            </w:pPr>
            <w:r>
              <w:rPr>
                <w:rFonts w:hint="eastAsia"/>
                <w:lang w:eastAsia="zh-CN"/>
              </w:rPr>
              <w:t>该值的</w:t>
            </w:r>
            <w:r w:rsidR="002B35F7">
              <w:t>±</w:t>
            </w:r>
            <w:r w:rsidR="002B35F7" w:rsidRPr="001F3F69">
              <w:t xml:space="preserve"> 10</w:t>
            </w:r>
            <w:r w:rsidR="002B35F7" w:rsidRPr="00031E6A">
              <w:rPr>
                <w:vertAlign w:val="superscript"/>
              </w:rPr>
              <w:t>–8</w:t>
            </w:r>
            <w:r w:rsidR="002B35F7" w:rsidRPr="001F3F69">
              <w:t xml:space="preserve"> </w:t>
            </w:r>
          </w:p>
        </w:tc>
      </w:tr>
      <w:tr w:rsidR="002B35F7" w14:paraId="7524806B" w14:textId="77777777"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A5A7" w14:textId="77777777" w:rsidR="002B35F7" w:rsidRPr="002B35F7" w:rsidRDefault="002B35F7" w:rsidP="00E96244">
            <w:pPr>
              <w:pStyle w:val="Tabletext"/>
              <w:ind w:left="284" w:hanging="284"/>
              <w:jc w:val="left"/>
              <w:rPr>
                <w:lang w:val="en-US" w:eastAsia="zh-CN"/>
              </w:rPr>
            </w:pPr>
            <w:r w:rsidRPr="002B35F7">
              <w:rPr>
                <w:lang w:val="en-US" w:eastAsia="zh-CN"/>
              </w:rPr>
              <w:t>7.</w:t>
            </w:r>
            <w:r w:rsidRPr="002B35F7">
              <w:rPr>
                <w:lang w:val="en-US" w:eastAsia="zh-CN"/>
              </w:rPr>
              <w:tab/>
            </w:r>
            <w:r w:rsidR="007716FE">
              <w:rPr>
                <w:rFonts w:hint="eastAsia"/>
                <w:kern w:val="21"/>
                <w:lang w:eastAsia="zh-CN"/>
              </w:rPr>
              <w:t>频率在</w:t>
            </w:r>
            <w:r w:rsidR="007716FE">
              <w:rPr>
                <w:kern w:val="21"/>
                <w:lang w:eastAsia="zh-CN"/>
              </w:rPr>
              <w:t>10.5-</w:t>
            </w:r>
            <w:r w:rsidR="007716FE">
              <w:rPr>
                <w:rFonts w:hint="eastAsia"/>
                <w:kern w:val="21"/>
                <w:lang w:eastAsia="zh-CN"/>
              </w:rPr>
              <w:t>40</w:t>
            </w:r>
            <w:r w:rsidR="007716FE">
              <w:rPr>
                <w:kern w:val="21"/>
                <w:lang w:eastAsia="zh-CN"/>
              </w:rPr>
              <w:t xml:space="preserve"> GHz</w:t>
            </w:r>
            <w:r w:rsidR="007716FE">
              <w:rPr>
                <w:rFonts w:hint="eastAsia"/>
                <w:kern w:val="21"/>
                <w:lang w:eastAsia="zh-CN"/>
              </w:rPr>
              <w:t>范围内的台站的频率测量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E045" w14:textId="77777777" w:rsidR="002B35F7" w:rsidRPr="001F3F69" w:rsidRDefault="009E4FA7" w:rsidP="00E96244">
            <w:pPr>
              <w:pStyle w:val="Tabletext"/>
              <w:jc w:val="left"/>
            </w:pPr>
            <w:r>
              <w:rPr>
                <w:rFonts w:hint="eastAsia"/>
                <w:lang w:eastAsia="zh-CN"/>
              </w:rPr>
              <w:t>该值的</w:t>
            </w:r>
            <w:r w:rsidR="002B35F7">
              <w:t>±</w:t>
            </w:r>
            <w:r w:rsidR="002B35F7" w:rsidRPr="001F3F69">
              <w:t xml:space="preserve"> 10</w:t>
            </w:r>
            <w:r w:rsidR="002B35F7" w:rsidRPr="00031E6A">
              <w:rPr>
                <w:vertAlign w:val="superscript"/>
              </w:rPr>
              <w:t>–8</w:t>
            </w:r>
            <w:r w:rsidR="002B35F7" w:rsidRPr="001F3F69">
              <w:t xml:space="preserve"> </w:t>
            </w:r>
          </w:p>
        </w:tc>
      </w:tr>
      <w:tr w:rsidR="002B35F7" w:rsidRPr="002B35F7" w14:paraId="2F1A9B3C" w14:textId="7777777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</w:tcBorders>
          </w:tcPr>
          <w:p w14:paraId="145F8268" w14:textId="77777777" w:rsidR="002B35F7" w:rsidRPr="002B35F7" w:rsidRDefault="007716FE" w:rsidP="00E96244">
            <w:pPr>
              <w:pStyle w:val="Tablelegend"/>
              <w:ind w:left="-85" w:firstLine="0"/>
              <w:rPr>
                <w:lang w:val="en-US" w:eastAsia="zh-CN"/>
              </w:rPr>
            </w:pPr>
            <w:r w:rsidRPr="007716FE">
              <w:rPr>
                <w:rFonts w:eastAsia="STKaiti" w:hint="eastAsia"/>
                <w:kern w:val="21"/>
                <w:lang w:eastAsia="zh-CN"/>
              </w:rPr>
              <w:t>注</w:t>
            </w:r>
            <w:r w:rsidRPr="007716FE">
              <w:rPr>
                <w:rFonts w:hint="eastAsia"/>
                <w:kern w:val="21"/>
                <w:lang w:eastAsia="zh-CN"/>
              </w:rPr>
              <w:t>1</w:t>
            </w:r>
            <w:r>
              <w:rPr>
                <w:rFonts w:hint="eastAsia"/>
                <w:kern w:val="21"/>
                <w:lang w:eastAsia="zh-CN"/>
              </w:rPr>
              <w:t xml:space="preserve"> </w:t>
            </w:r>
            <w:r w:rsidR="00C25470">
              <w:rPr>
                <w:kern w:val="21"/>
                <w:lang w:val="en-US" w:eastAsia="zh-CN"/>
              </w:rPr>
              <w:t>–</w:t>
            </w:r>
            <w:r>
              <w:rPr>
                <w:rFonts w:hint="eastAsia"/>
                <w:kern w:val="21"/>
                <w:lang w:eastAsia="zh-CN"/>
              </w:rPr>
              <w:t xml:space="preserve"> </w:t>
            </w:r>
            <w:r>
              <w:rPr>
                <w:rFonts w:hint="eastAsia"/>
                <w:kern w:val="21"/>
                <w:lang w:eastAsia="zh-CN"/>
              </w:rPr>
              <w:t>应</w:t>
            </w:r>
            <w:r w:rsidR="00E96244">
              <w:rPr>
                <w:rFonts w:hint="eastAsia"/>
                <w:kern w:val="21"/>
                <w:lang w:eastAsia="zh-CN"/>
              </w:rPr>
              <w:t>当</w:t>
            </w:r>
            <w:r>
              <w:rPr>
                <w:rFonts w:hint="eastAsia"/>
                <w:kern w:val="21"/>
                <w:lang w:eastAsia="zh-CN"/>
              </w:rPr>
              <w:t>认识到</w:t>
            </w:r>
            <w:r w:rsidR="00E96244">
              <w:rPr>
                <w:rFonts w:hint="eastAsia"/>
                <w:kern w:val="21"/>
                <w:lang w:eastAsia="zh-CN"/>
              </w:rPr>
              <w:t>，虽然</w:t>
            </w:r>
            <w:r>
              <w:rPr>
                <w:rFonts w:hint="eastAsia"/>
                <w:kern w:val="21"/>
                <w:lang w:eastAsia="zh-CN"/>
              </w:rPr>
              <w:t>以上引用的频率精</w:t>
            </w:r>
            <w:r w:rsidR="00E96244">
              <w:rPr>
                <w:rFonts w:hint="eastAsia"/>
                <w:kern w:val="21"/>
                <w:lang w:eastAsia="zh-CN"/>
              </w:rPr>
              <w:t>确</w:t>
            </w:r>
            <w:r>
              <w:rPr>
                <w:rFonts w:hint="eastAsia"/>
                <w:kern w:val="21"/>
                <w:lang w:eastAsia="zh-CN"/>
              </w:rPr>
              <w:t>度对于国际监测是足够的，</w:t>
            </w:r>
            <w:r w:rsidR="00E96244">
              <w:rPr>
                <w:rFonts w:hint="eastAsia"/>
                <w:kern w:val="21"/>
                <w:lang w:eastAsia="zh-CN"/>
              </w:rPr>
              <w:t>但是</w:t>
            </w:r>
            <w:r>
              <w:rPr>
                <w:rFonts w:hint="eastAsia"/>
                <w:kern w:val="21"/>
                <w:lang w:eastAsia="zh-CN"/>
              </w:rPr>
              <w:t>满足国内要求可能需要不同的精</w:t>
            </w:r>
            <w:r w:rsidR="00E96244">
              <w:rPr>
                <w:rFonts w:hint="eastAsia"/>
                <w:kern w:val="21"/>
                <w:lang w:eastAsia="zh-CN"/>
              </w:rPr>
              <w:t>确</w:t>
            </w:r>
            <w:r>
              <w:rPr>
                <w:rFonts w:hint="eastAsia"/>
                <w:kern w:val="21"/>
                <w:lang w:eastAsia="zh-CN"/>
              </w:rPr>
              <w:t>度。</w:t>
            </w:r>
          </w:p>
        </w:tc>
      </w:tr>
    </w:tbl>
    <w:p w14:paraId="2AC22344" w14:textId="77777777" w:rsidR="00DF4176" w:rsidRPr="002B35F7" w:rsidRDefault="00DF4176" w:rsidP="00E96244">
      <w:pPr>
        <w:pStyle w:val="Tablefin"/>
        <w:rPr>
          <w:lang w:val="en-US" w:eastAsia="zh-CN"/>
        </w:rPr>
      </w:pPr>
    </w:p>
    <w:p w14:paraId="74CFB2B4" w14:textId="77777777" w:rsidR="005B5656" w:rsidRDefault="005B5656" w:rsidP="00E96244">
      <w:pPr>
        <w:rPr>
          <w:lang w:val="en-GB" w:eastAsia="zh-CN"/>
        </w:rPr>
      </w:pPr>
    </w:p>
    <w:p w14:paraId="5F079CC6" w14:textId="77777777" w:rsidR="005B5656" w:rsidRPr="005B5656" w:rsidRDefault="005B5656" w:rsidP="00E96244">
      <w:pPr>
        <w:pStyle w:val="Line"/>
        <w:rPr>
          <w:lang w:eastAsia="zh-CN"/>
        </w:rPr>
      </w:pPr>
    </w:p>
    <w:sectPr w:rsidR="005B5656" w:rsidRPr="005B5656">
      <w:headerReference w:type="even" r:id="rId6"/>
      <w:headerReference w:type="default" r:id="rId7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403E" w14:textId="77777777" w:rsidR="001B2718" w:rsidRDefault="001B2718">
      <w:r>
        <w:separator/>
      </w:r>
    </w:p>
  </w:endnote>
  <w:endnote w:type="continuationSeparator" w:id="0">
    <w:p w14:paraId="767CE8BE" w14:textId="77777777" w:rsidR="001B2718" w:rsidRDefault="001B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3BA9" w14:textId="77777777" w:rsidR="001B2718" w:rsidRDefault="001B2718">
      <w:r>
        <w:separator/>
      </w:r>
    </w:p>
  </w:footnote>
  <w:footnote w:type="continuationSeparator" w:id="0">
    <w:p w14:paraId="7349AB1D" w14:textId="77777777" w:rsidR="001B2718" w:rsidRDefault="001B2718">
      <w:r>
        <w:continuationSeparator/>
      </w:r>
    </w:p>
  </w:footnote>
  <w:footnote w:id="1">
    <w:p w14:paraId="46AF0908" w14:textId="462002DB" w:rsidR="00E33DFF" w:rsidRPr="007C5AB5" w:rsidRDefault="00E33DFF" w:rsidP="00E33DFF">
      <w:pPr>
        <w:pStyle w:val="FootnoteText"/>
        <w:rPr>
          <w:lang w:val="en-GB" w:eastAsia="zh-CN"/>
        </w:rPr>
      </w:pPr>
      <w:r w:rsidRPr="007C5AB5">
        <w:rPr>
          <w:rStyle w:val="FootnoteReference"/>
          <w:lang w:val="en-GB" w:eastAsia="zh-CN"/>
        </w:rPr>
        <w:t>*</w:t>
      </w:r>
      <w:r w:rsidRPr="007C5AB5">
        <w:rPr>
          <w:lang w:val="en-GB" w:eastAsia="zh-CN"/>
        </w:rPr>
        <w:t xml:space="preserve"> </w:t>
      </w:r>
      <w:r w:rsidRPr="007C5AB5">
        <w:rPr>
          <w:lang w:val="en-GB" w:eastAsia="zh-CN"/>
        </w:rPr>
        <w:tab/>
      </w:r>
      <w:bookmarkStart w:id="0" w:name="OLE_LINK5"/>
      <w:r w:rsidRPr="00981400">
        <w:rPr>
          <w:rFonts w:hint="eastAsia"/>
          <w:lang w:eastAsia="zh-CN"/>
        </w:rPr>
        <w:t>无线电通信第</w:t>
      </w:r>
      <w:r>
        <w:rPr>
          <w:lang w:eastAsia="zh-CN"/>
        </w:rPr>
        <w:t>1</w:t>
      </w:r>
      <w:r w:rsidRPr="00981400">
        <w:rPr>
          <w:rFonts w:hint="eastAsia"/>
          <w:lang w:eastAsia="zh-CN"/>
        </w:rPr>
        <w:t>研究组于</w:t>
      </w:r>
      <w:r w:rsidRPr="00981400">
        <w:rPr>
          <w:lang w:eastAsia="zh-CN"/>
        </w:rPr>
        <w:t>201</w:t>
      </w:r>
      <w:r>
        <w:rPr>
          <w:lang w:eastAsia="zh-CN"/>
        </w:rPr>
        <w:t>8</w:t>
      </w:r>
      <w:r w:rsidR="009779D9">
        <w:rPr>
          <w:rFonts w:hint="eastAsia"/>
          <w:lang w:eastAsia="zh-CN"/>
        </w:rPr>
        <w:t>和</w:t>
      </w:r>
      <w:r w:rsidR="009779D9">
        <w:rPr>
          <w:rFonts w:hint="eastAsia"/>
          <w:lang w:eastAsia="zh-CN"/>
        </w:rPr>
        <w:t>2019</w:t>
      </w:r>
      <w:r w:rsidRPr="00981400">
        <w:rPr>
          <w:rFonts w:hint="eastAsia"/>
          <w:lang w:eastAsia="zh-CN"/>
        </w:rPr>
        <w:t>年根据</w:t>
      </w:r>
      <w:r w:rsidRPr="00981400">
        <w:rPr>
          <w:lang w:eastAsia="zh-CN"/>
        </w:rPr>
        <w:t>ITU-R</w:t>
      </w:r>
      <w:r w:rsidRPr="00981400">
        <w:rPr>
          <w:rFonts w:hint="eastAsia"/>
          <w:lang w:eastAsia="zh-CN"/>
        </w:rPr>
        <w:t>第</w:t>
      </w:r>
      <w:r w:rsidRPr="00981400">
        <w:rPr>
          <w:lang w:eastAsia="zh-CN"/>
        </w:rPr>
        <w:t>1</w:t>
      </w:r>
      <w:r w:rsidRPr="00981400">
        <w:rPr>
          <w:rFonts w:hint="eastAsia"/>
          <w:lang w:eastAsia="zh-CN"/>
        </w:rPr>
        <w:t>号决议对此建议书进行了编辑性修正。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2516" w14:textId="332BDF5A" w:rsidR="001073B5" w:rsidRDefault="001073B5" w:rsidP="001073B5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C13E6B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F2104F">
      <w:rPr>
        <w:rFonts w:hint="eastAsia"/>
        <w:b/>
        <w:bCs/>
        <w:noProof/>
        <w:lang w:val="en-US"/>
      </w:rPr>
      <w:t xml:space="preserve">ITU-R  SM.377-4 </w:t>
    </w:r>
    <w:r w:rsidR="00F2104F">
      <w:rPr>
        <w:rFonts w:hint="eastAsia"/>
        <w:b/>
        <w:bCs/>
        <w:noProof/>
        <w:lang w:val="en-US"/>
      </w:rPr>
      <w:t>建议书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9899" w14:textId="4E523107" w:rsidR="001073B5" w:rsidRDefault="001073B5" w:rsidP="00136998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F2104F">
      <w:rPr>
        <w:rFonts w:hint="eastAsia"/>
        <w:b/>
        <w:bCs/>
        <w:noProof/>
      </w:rPr>
      <w:t xml:space="preserve">ITU-R  SM.377-4 </w:t>
    </w:r>
    <w:r w:rsidR="00F2104F">
      <w:rPr>
        <w:rFonts w:hint="eastAsia"/>
        <w:b/>
        <w:bCs/>
        <w:noProof/>
      </w:rPr>
      <w:t>建议书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C13E6B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mirrorMargins/>
  <w:hideSpellingErrors/>
  <w:hideGrammaticalErrors/>
  <w:activeWritingStyle w:appName="MSWord" w:lang="en-US" w:vendorID="64" w:dllVersion="5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65"/>
    <w:rsid w:val="000508E8"/>
    <w:rsid w:val="000750C3"/>
    <w:rsid w:val="00083478"/>
    <w:rsid w:val="000B5446"/>
    <w:rsid w:val="000E4D00"/>
    <w:rsid w:val="000F34A5"/>
    <w:rsid w:val="001073B5"/>
    <w:rsid w:val="00110D28"/>
    <w:rsid w:val="00136998"/>
    <w:rsid w:val="00182465"/>
    <w:rsid w:val="001B2718"/>
    <w:rsid w:val="001D3080"/>
    <w:rsid w:val="00215E13"/>
    <w:rsid w:val="00221711"/>
    <w:rsid w:val="00234933"/>
    <w:rsid w:val="00262ECF"/>
    <w:rsid w:val="002B35F7"/>
    <w:rsid w:val="00347E9B"/>
    <w:rsid w:val="0035052A"/>
    <w:rsid w:val="003674CA"/>
    <w:rsid w:val="003B19F3"/>
    <w:rsid w:val="00502910"/>
    <w:rsid w:val="00504A3B"/>
    <w:rsid w:val="00522CF3"/>
    <w:rsid w:val="00557063"/>
    <w:rsid w:val="005B5656"/>
    <w:rsid w:val="006143CF"/>
    <w:rsid w:val="006A1C01"/>
    <w:rsid w:val="00730B04"/>
    <w:rsid w:val="00734073"/>
    <w:rsid w:val="007677B2"/>
    <w:rsid w:val="007716FE"/>
    <w:rsid w:val="007A09DB"/>
    <w:rsid w:val="007B1EDD"/>
    <w:rsid w:val="007C066F"/>
    <w:rsid w:val="00863EDF"/>
    <w:rsid w:val="0089250D"/>
    <w:rsid w:val="009779D9"/>
    <w:rsid w:val="00980057"/>
    <w:rsid w:val="009A4CB0"/>
    <w:rsid w:val="009C73AA"/>
    <w:rsid w:val="009E4FA7"/>
    <w:rsid w:val="00A34A98"/>
    <w:rsid w:val="00A47CAB"/>
    <w:rsid w:val="00A76D0E"/>
    <w:rsid w:val="00AC4497"/>
    <w:rsid w:val="00AD46F0"/>
    <w:rsid w:val="00B03C04"/>
    <w:rsid w:val="00B47C57"/>
    <w:rsid w:val="00B57FB8"/>
    <w:rsid w:val="00BC1C9A"/>
    <w:rsid w:val="00BF4D89"/>
    <w:rsid w:val="00C13E6B"/>
    <w:rsid w:val="00C25470"/>
    <w:rsid w:val="00D546E0"/>
    <w:rsid w:val="00D70DCE"/>
    <w:rsid w:val="00D84F45"/>
    <w:rsid w:val="00D91B8A"/>
    <w:rsid w:val="00DA7527"/>
    <w:rsid w:val="00DF4176"/>
    <w:rsid w:val="00E1223D"/>
    <w:rsid w:val="00E33DFF"/>
    <w:rsid w:val="00E3523E"/>
    <w:rsid w:val="00E440B0"/>
    <w:rsid w:val="00E658D9"/>
    <w:rsid w:val="00E96244"/>
    <w:rsid w:val="00EE704E"/>
    <w:rsid w:val="00F01DD2"/>
    <w:rsid w:val="00F2104F"/>
    <w:rsid w:val="00F722CF"/>
    <w:rsid w:val="00F9150A"/>
    <w:rsid w:val="00F92BB3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8A796"/>
  <w15:chartTrackingRefBased/>
  <w15:docId w15:val="{540C2419-01B1-4A8F-9A25-5F4794A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6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B5656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565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565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565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5B5656"/>
    <w:pPr>
      <w:outlineLvl w:val="4"/>
    </w:pPr>
  </w:style>
  <w:style w:type="paragraph" w:styleId="Heading6">
    <w:name w:val="heading 6"/>
    <w:basedOn w:val="Heading4"/>
    <w:next w:val="Normal"/>
    <w:qFormat/>
    <w:rsid w:val="005B565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B5656"/>
    <w:pPr>
      <w:outlineLvl w:val="6"/>
    </w:pPr>
  </w:style>
  <w:style w:type="paragraph" w:styleId="Heading8">
    <w:name w:val="heading 8"/>
    <w:basedOn w:val="Heading6"/>
    <w:next w:val="Normal"/>
    <w:qFormat/>
    <w:rsid w:val="005B5656"/>
    <w:pPr>
      <w:outlineLvl w:val="7"/>
    </w:pPr>
  </w:style>
  <w:style w:type="paragraph" w:styleId="Heading9">
    <w:name w:val="heading 9"/>
    <w:basedOn w:val="Heading6"/>
    <w:next w:val="Normal"/>
    <w:qFormat/>
    <w:rsid w:val="005B5656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5B5656"/>
  </w:style>
  <w:style w:type="paragraph" w:customStyle="1" w:styleId="Headingb">
    <w:name w:val="Heading_b"/>
    <w:basedOn w:val="Heading3"/>
    <w:next w:val="Normal"/>
    <w:rsid w:val="005B565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B5656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5B5656"/>
  </w:style>
  <w:style w:type="paragraph" w:customStyle="1" w:styleId="enumlev1">
    <w:name w:val="enumlev1"/>
    <w:basedOn w:val="Normal"/>
    <w:rsid w:val="005B5656"/>
    <w:pPr>
      <w:spacing w:before="80"/>
      <w:ind w:left="794" w:hanging="794"/>
    </w:pPr>
  </w:style>
  <w:style w:type="paragraph" w:customStyle="1" w:styleId="enumlev2">
    <w:name w:val="enumlev2"/>
    <w:basedOn w:val="enumlev1"/>
    <w:rsid w:val="005B5656"/>
    <w:pPr>
      <w:ind w:left="1191" w:hanging="397"/>
    </w:pPr>
  </w:style>
  <w:style w:type="paragraph" w:customStyle="1" w:styleId="enumlev3">
    <w:name w:val="enumlev3"/>
    <w:basedOn w:val="enumlev2"/>
    <w:rsid w:val="005B5656"/>
    <w:pPr>
      <w:ind w:left="1588"/>
    </w:pPr>
  </w:style>
  <w:style w:type="paragraph" w:customStyle="1" w:styleId="Normalaftertitle">
    <w:name w:val="Normal_after_title"/>
    <w:basedOn w:val="Normal"/>
    <w:next w:val="Normal"/>
    <w:rsid w:val="005B5656"/>
    <w:pPr>
      <w:spacing w:before="320"/>
    </w:pPr>
  </w:style>
  <w:style w:type="paragraph" w:customStyle="1" w:styleId="Note">
    <w:name w:val="Note"/>
    <w:basedOn w:val="Normal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rsid w:val="005B5656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rsid w:val="005B5656"/>
    <w:pPr>
      <w:jc w:val="center"/>
    </w:pPr>
  </w:style>
  <w:style w:type="paragraph" w:customStyle="1" w:styleId="Recdate">
    <w:name w:val="Rec_date"/>
    <w:basedOn w:val="Recref"/>
    <w:next w:val="Normal"/>
    <w:rsid w:val="005B5656"/>
    <w:pPr>
      <w:jc w:val="right"/>
    </w:pPr>
  </w:style>
  <w:style w:type="paragraph" w:customStyle="1" w:styleId="AnnexNoTitle">
    <w:name w:val="Annex_NoTitle"/>
    <w:basedOn w:val="Normal"/>
    <w:next w:val="Normalaftertitle"/>
    <w:rsid w:val="005B5656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  <w:rsid w:val="005B5656"/>
  </w:style>
  <w:style w:type="paragraph" w:customStyle="1" w:styleId="Tablefin">
    <w:name w:val="Table_fin"/>
    <w:basedOn w:val="Normal"/>
    <w:next w:val="Normal"/>
    <w:rsid w:val="005B5656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5B565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B56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5B5656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5B56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5B565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5B5656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5B5656"/>
    <w:pPr>
      <w:ind w:left="794"/>
    </w:pPr>
  </w:style>
  <w:style w:type="paragraph" w:customStyle="1" w:styleId="Figurelegend">
    <w:name w:val="Figure_legend"/>
    <w:basedOn w:val="Normal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B565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5B565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5B5656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5B565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B5656"/>
    <w:rPr>
      <w:b/>
    </w:rPr>
  </w:style>
  <w:style w:type="paragraph" w:customStyle="1" w:styleId="Chaptitle">
    <w:name w:val="Chap_title"/>
    <w:basedOn w:val="Arttitle"/>
    <w:next w:val="Normalaftertitle"/>
    <w:rsid w:val="005B5656"/>
  </w:style>
  <w:style w:type="character" w:styleId="FootnoteReference">
    <w:name w:val="footnote reference"/>
    <w:semiHidden/>
    <w:rsid w:val="005B5656"/>
    <w:rPr>
      <w:position w:val="6"/>
      <w:sz w:val="18"/>
    </w:rPr>
  </w:style>
  <w:style w:type="paragraph" w:styleId="FootnoteText">
    <w:name w:val="footnote text"/>
    <w:basedOn w:val="Normal"/>
    <w:semiHidden/>
    <w:rsid w:val="005B5656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5B5656"/>
  </w:style>
  <w:style w:type="paragraph" w:styleId="Index2">
    <w:name w:val="index 2"/>
    <w:basedOn w:val="Normal"/>
    <w:next w:val="Normal"/>
    <w:semiHidden/>
    <w:rsid w:val="005B5656"/>
    <w:pPr>
      <w:ind w:left="283"/>
    </w:pPr>
  </w:style>
  <w:style w:type="paragraph" w:styleId="Index3">
    <w:name w:val="index 3"/>
    <w:basedOn w:val="Normal"/>
    <w:next w:val="Normal"/>
    <w:semiHidden/>
    <w:rsid w:val="005B5656"/>
    <w:pPr>
      <w:ind w:left="566"/>
    </w:pPr>
  </w:style>
  <w:style w:type="paragraph" w:styleId="IndexHeading">
    <w:name w:val="index heading"/>
    <w:basedOn w:val="Normal"/>
    <w:next w:val="Index1"/>
    <w:semiHidden/>
    <w:rsid w:val="005B5656"/>
  </w:style>
  <w:style w:type="paragraph" w:customStyle="1" w:styleId="Line">
    <w:name w:val="Line"/>
    <w:basedOn w:val="Normal"/>
    <w:next w:val="Normal"/>
    <w:rsid w:val="005B5656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5B5656"/>
  </w:style>
  <w:style w:type="paragraph" w:customStyle="1" w:styleId="Partref">
    <w:name w:val="Part_ref"/>
    <w:basedOn w:val="Normal"/>
    <w:next w:val="Normal"/>
    <w:rsid w:val="005B5656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5B5656"/>
  </w:style>
  <w:style w:type="paragraph" w:customStyle="1" w:styleId="QuestionNo">
    <w:name w:val="Question_No"/>
    <w:basedOn w:val="RecNo"/>
    <w:next w:val="Normal"/>
    <w:rsid w:val="005B5656"/>
  </w:style>
  <w:style w:type="paragraph" w:customStyle="1" w:styleId="Questionref">
    <w:name w:val="Question_ref"/>
    <w:basedOn w:val="Recref"/>
    <w:next w:val="Questiondate"/>
    <w:rsid w:val="005B5656"/>
  </w:style>
  <w:style w:type="paragraph" w:customStyle="1" w:styleId="Questiontitle">
    <w:name w:val="Question_title"/>
    <w:basedOn w:val="Normal"/>
    <w:next w:val="Questionref"/>
    <w:rsid w:val="005B5656"/>
  </w:style>
  <w:style w:type="paragraph" w:customStyle="1" w:styleId="Reftext">
    <w:name w:val="Ref_text"/>
    <w:basedOn w:val="Normal"/>
    <w:rsid w:val="005B5656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5B5656"/>
  </w:style>
  <w:style w:type="paragraph" w:customStyle="1" w:styleId="RepNo">
    <w:name w:val="Rep_No"/>
    <w:basedOn w:val="RecNo"/>
    <w:next w:val="Reptitle"/>
    <w:rsid w:val="005B5656"/>
  </w:style>
  <w:style w:type="paragraph" w:customStyle="1" w:styleId="Repref">
    <w:name w:val="Rep_ref"/>
    <w:basedOn w:val="Recref"/>
    <w:next w:val="Repdate"/>
    <w:rsid w:val="005B5656"/>
  </w:style>
  <w:style w:type="paragraph" w:customStyle="1" w:styleId="Reptitle">
    <w:name w:val="Rep_title"/>
    <w:basedOn w:val="Rectitle"/>
    <w:next w:val="Repref"/>
    <w:rsid w:val="005B5656"/>
  </w:style>
  <w:style w:type="paragraph" w:customStyle="1" w:styleId="Resdate">
    <w:name w:val="Res_date"/>
    <w:basedOn w:val="Recdate"/>
    <w:next w:val="Normalaftertitle"/>
    <w:rsid w:val="005B5656"/>
  </w:style>
  <w:style w:type="paragraph" w:customStyle="1" w:styleId="ResNo">
    <w:name w:val="Res_No"/>
    <w:basedOn w:val="RecNo"/>
    <w:next w:val="Normal"/>
    <w:rsid w:val="005B5656"/>
  </w:style>
  <w:style w:type="paragraph" w:customStyle="1" w:styleId="Resref">
    <w:name w:val="Res_ref"/>
    <w:basedOn w:val="Recref"/>
    <w:next w:val="Resdate"/>
    <w:rsid w:val="005B5656"/>
  </w:style>
  <w:style w:type="paragraph" w:customStyle="1" w:styleId="Restitle">
    <w:name w:val="Res_title"/>
    <w:basedOn w:val="Normal"/>
    <w:next w:val="Resref"/>
    <w:rsid w:val="005B5656"/>
  </w:style>
  <w:style w:type="paragraph" w:customStyle="1" w:styleId="SectionNo">
    <w:name w:val="Section_No"/>
    <w:basedOn w:val="Normal"/>
    <w:next w:val="Normal"/>
    <w:rsid w:val="005B5656"/>
  </w:style>
  <w:style w:type="paragraph" w:customStyle="1" w:styleId="Sectiontitle">
    <w:name w:val="Section_title"/>
    <w:basedOn w:val="Normal"/>
    <w:next w:val="Normalafter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5B5656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5B5656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5B5656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5B5656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5B5656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5B5656"/>
  </w:style>
  <w:style w:type="paragraph" w:styleId="TOC6">
    <w:name w:val="toc 6"/>
    <w:basedOn w:val="TOC4"/>
    <w:semiHidden/>
    <w:rsid w:val="005B5656"/>
  </w:style>
  <w:style w:type="paragraph" w:styleId="TOC7">
    <w:name w:val="toc 7"/>
    <w:basedOn w:val="TOC4"/>
    <w:semiHidden/>
    <w:rsid w:val="005B5656"/>
  </w:style>
  <w:style w:type="paragraph" w:styleId="TOC8">
    <w:name w:val="toc 8"/>
    <w:basedOn w:val="TOC4"/>
    <w:semiHidden/>
    <w:rsid w:val="005B5656"/>
  </w:style>
  <w:style w:type="paragraph" w:customStyle="1" w:styleId="Rectitle">
    <w:name w:val="Rec_title"/>
    <w:basedOn w:val="Normal"/>
    <w:next w:val="Recref"/>
    <w:rsid w:val="005B5656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5B5656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5B5656"/>
  </w:style>
  <w:style w:type="paragraph" w:customStyle="1" w:styleId="Figuretitle">
    <w:name w:val="Figure_title"/>
    <w:basedOn w:val="Normal"/>
    <w:next w:val="Figure"/>
    <w:rsid w:val="005B5656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5B5656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5B5656"/>
    <w:pPr>
      <w:spacing w:after="480"/>
    </w:pPr>
    <w:rPr>
      <w:sz w:val="22"/>
      <w:lang w:val="es-ES_tradnl"/>
    </w:rPr>
  </w:style>
  <w:style w:type="paragraph" w:customStyle="1" w:styleId="a">
    <w:name w:val="表文"/>
    <w:basedOn w:val="Normal"/>
    <w:rsid w:val="00AD46F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topLinePunct/>
      <w:autoSpaceDE/>
      <w:autoSpaceDN/>
      <w:adjustRightInd/>
      <w:spacing w:before="0"/>
      <w:textAlignment w:val="auto"/>
    </w:pPr>
    <w:rPr>
      <w:kern w:val="2"/>
      <w:sz w:val="18"/>
      <w:szCs w:val="24"/>
      <w:lang w:val="en-US" w:eastAsia="zh-CN"/>
    </w:rPr>
  </w:style>
  <w:style w:type="paragraph" w:customStyle="1" w:styleId="Figure">
    <w:name w:val="Figure"/>
    <w:basedOn w:val="FigureNo"/>
    <w:next w:val="Figuretitle"/>
    <w:rsid w:val="005B5656"/>
    <w:pPr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18</TotalTime>
  <Pages>2</Pages>
  <Words>553</Words>
  <Characters>236</Characters>
  <Application>Microsoft Office Word</Application>
  <DocSecurity>0</DocSecurity>
  <Lines>19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dc:description>Edition                            12.12.06      SP_x000d_
1ère épreuve                 21.12.06      SP</dc:description>
  <cp:lastModifiedBy>Li, Jianying</cp:lastModifiedBy>
  <cp:revision>6</cp:revision>
  <cp:lastPrinted>2020-05-01T14:11:00Z</cp:lastPrinted>
  <dcterms:created xsi:type="dcterms:W3CDTF">2018-10-18T09:13:00Z</dcterms:created>
  <dcterms:modified xsi:type="dcterms:W3CDTF">2020-05-01T14:23:00Z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