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28C3" w14:textId="77777777" w:rsidR="00EC39CE" w:rsidRPr="00FA4B22" w:rsidRDefault="00EC39CE" w:rsidP="00CB479A">
      <w:pPr>
        <w:pStyle w:val="RecNoBR"/>
        <w:spacing w:before="0"/>
        <w:rPr>
          <w:sz w:val="26"/>
          <w:szCs w:val="36"/>
          <w:rtl/>
          <w:lang w:bidi="ar-EG"/>
        </w:rPr>
      </w:pPr>
      <w:r w:rsidRPr="00FA4B22">
        <w:rPr>
          <w:sz w:val="26"/>
          <w:szCs w:val="36"/>
          <w:rtl/>
        </w:rPr>
        <w:t>التوصي</w:t>
      </w:r>
      <w:r w:rsidR="00BC26C1" w:rsidRPr="00FA4B22">
        <w:rPr>
          <w:rFonts w:hint="cs"/>
          <w:sz w:val="26"/>
          <w:szCs w:val="36"/>
          <w:rtl/>
        </w:rPr>
        <w:t>ـ</w:t>
      </w:r>
      <w:r w:rsidRPr="00FA4B22">
        <w:rPr>
          <w:sz w:val="26"/>
          <w:szCs w:val="36"/>
          <w:rtl/>
        </w:rPr>
        <w:t xml:space="preserve">ة </w:t>
      </w:r>
      <w:r w:rsidRPr="00FA4B22">
        <w:rPr>
          <w:sz w:val="26"/>
          <w:szCs w:val="36"/>
        </w:rPr>
        <w:t>ITU-R SM.377-4</w:t>
      </w:r>
      <w:r w:rsidR="00CB479A">
        <w:rPr>
          <w:rStyle w:val="FootnoteReference"/>
          <w:rtl/>
        </w:rPr>
        <w:footnoteReference w:customMarkFollows="1" w:id="1"/>
        <w:t>*</w:t>
      </w:r>
    </w:p>
    <w:p w14:paraId="3A449E21" w14:textId="77777777" w:rsidR="00EC39CE" w:rsidRPr="002277E6" w:rsidRDefault="00EC39CE" w:rsidP="00EC39CE">
      <w:pPr>
        <w:pStyle w:val="Rectitle"/>
        <w:rPr>
          <w:rtl/>
        </w:rPr>
      </w:pPr>
      <w:r w:rsidRPr="002277E6">
        <w:rPr>
          <w:rtl/>
        </w:rPr>
        <w:t>دقة قياسات الترددات في محطات المراقبة الدولية</w:t>
      </w:r>
    </w:p>
    <w:p w14:paraId="757327EF" w14:textId="77777777" w:rsidR="003E0032" w:rsidRPr="002277E6" w:rsidRDefault="003E0032" w:rsidP="00EC39CE">
      <w:pPr>
        <w:jc w:val="center"/>
        <w:rPr>
          <w:rtl/>
          <w:lang w:bidi="ar-EG"/>
        </w:rPr>
      </w:pPr>
    </w:p>
    <w:p w14:paraId="5DCFF4C2" w14:textId="77777777" w:rsidR="00EC39CE" w:rsidRPr="00DA2396" w:rsidRDefault="00EC39CE" w:rsidP="00BC26C1">
      <w:pPr>
        <w:jc w:val="right"/>
        <w:rPr>
          <w:rtl/>
          <w:lang w:val="en-US" w:bidi="ar-EG"/>
        </w:rPr>
      </w:pPr>
      <w:r w:rsidRPr="002277E6">
        <w:t>(2007-1994-1982-1966-1963-1959-1956-1948)</w:t>
      </w:r>
    </w:p>
    <w:p w14:paraId="0DED96EA" w14:textId="77777777" w:rsidR="00EC39CE" w:rsidRPr="002277E6" w:rsidRDefault="00EC39CE" w:rsidP="00214241">
      <w:pPr>
        <w:pStyle w:val="Headingb"/>
        <w:spacing w:after="0"/>
        <w:rPr>
          <w:rtl/>
        </w:rPr>
      </w:pPr>
      <w:r w:rsidRPr="002277E6">
        <w:rPr>
          <w:rFonts w:hint="cs"/>
          <w:rtl/>
        </w:rPr>
        <w:t>مجال التطبيق</w:t>
      </w:r>
    </w:p>
    <w:p w14:paraId="6EC339B7" w14:textId="77777777" w:rsidR="00EC39CE" w:rsidRPr="002277E6" w:rsidRDefault="00EC39CE" w:rsidP="00EC39CE">
      <w:pPr>
        <w:rPr>
          <w:rtl/>
        </w:rPr>
      </w:pPr>
      <w:r w:rsidRPr="002277E6">
        <w:rPr>
          <w:rFonts w:hint="cs"/>
          <w:rtl/>
        </w:rPr>
        <w:t>تحدد هذه التوصية معايير لقياسات الترددات في محطات المراقبة ولدقة القياسات.</w:t>
      </w:r>
    </w:p>
    <w:p w14:paraId="69FDFD7E" w14:textId="77777777" w:rsidR="00214241" w:rsidRDefault="00214241" w:rsidP="00214241">
      <w:pPr>
        <w:pStyle w:val="Headingb"/>
        <w:spacing w:before="120" w:after="0"/>
        <w:rPr>
          <w:rtl/>
        </w:rPr>
      </w:pPr>
      <w:r>
        <w:rPr>
          <w:rFonts w:hint="cs"/>
          <w:rtl/>
        </w:rPr>
        <w:t>كلمات أساسية</w:t>
      </w:r>
    </w:p>
    <w:p w14:paraId="528A0FD9" w14:textId="4FF2AA02" w:rsidR="00EC39CE" w:rsidRPr="002277E6" w:rsidRDefault="00214241" w:rsidP="00214241">
      <w:pPr>
        <w:rPr>
          <w:rtl/>
          <w:lang w:bidi="ar-EG"/>
        </w:rPr>
      </w:pPr>
      <w:r>
        <w:rPr>
          <w:rFonts w:hint="cs"/>
          <w:rtl/>
          <w:lang w:bidi="ar-EG"/>
        </w:rPr>
        <w:t>قياس الترددات، المعايير الترددية بالغة الدقة، المراقبة الدولية</w:t>
      </w:r>
    </w:p>
    <w:p w14:paraId="158EE71A" w14:textId="77777777" w:rsidR="00EC39CE" w:rsidRPr="002277E6" w:rsidRDefault="00EC39CE" w:rsidP="00214241">
      <w:pPr>
        <w:pStyle w:val="Normalaftertitle"/>
        <w:rPr>
          <w:rtl/>
        </w:rPr>
      </w:pPr>
      <w:r w:rsidRPr="002277E6">
        <w:rPr>
          <w:rtl/>
        </w:rPr>
        <w:t>إن</w:t>
      </w:r>
      <w:r w:rsidRPr="002277E6">
        <w:t xml:space="preserve"> </w:t>
      </w:r>
      <w:r w:rsidRPr="002277E6">
        <w:rPr>
          <w:rtl/>
        </w:rPr>
        <w:t xml:space="preserve">جمعية الاتصالات الراديوية </w:t>
      </w:r>
      <w:r w:rsidRPr="002277E6">
        <w:rPr>
          <w:rFonts w:hint="cs"/>
          <w:rtl/>
        </w:rPr>
        <w:t>للاتحاد</w:t>
      </w:r>
      <w:r w:rsidRPr="002277E6">
        <w:rPr>
          <w:rtl/>
        </w:rPr>
        <w:t xml:space="preserve"> الدولي للاتصالات،</w:t>
      </w:r>
    </w:p>
    <w:p w14:paraId="2644A02C" w14:textId="77777777" w:rsidR="00EC39CE" w:rsidRPr="002277E6" w:rsidRDefault="00EC39CE" w:rsidP="00EC39CE">
      <w:pPr>
        <w:pStyle w:val="Call"/>
        <w:rPr>
          <w:rtl/>
        </w:rPr>
      </w:pPr>
      <w:r w:rsidRPr="002277E6">
        <w:rPr>
          <w:rtl/>
        </w:rPr>
        <w:t>إذ تضع في اعتبارها</w:t>
      </w:r>
    </w:p>
    <w:p w14:paraId="31C175A7" w14:textId="77777777" w:rsidR="00EC39CE" w:rsidRPr="002277E6" w:rsidRDefault="00EC39CE" w:rsidP="00EC39CE">
      <w:pPr>
        <w:rPr>
          <w:rtl/>
        </w:rPr>
      </w:pPr>
      <w:r w:rsidRPr="002277E6">
        <w:rPr>
          <w:rFonts w:hint="cs"/>
          <w:rtl/>
        </w:rPr>
        <w:t xml:space="preserve"> </w:t>
      </w:r>
      <w:proofErr w:type="gramStart"/>
      <w:r w:rsidRPr="002277E6">
        <w:rPr>
          <w:rtl/>
        </w:rPr>
        <w:t>أ )</w:t>
      </w:r>
      <w:proofErr w:type="gramEnd"/>
      <w:r w:rsidRPr="002277E6">
        <w:rPr>
          <w:rtl/>
        </w:rPr>
        <w:tab/>
        <w:t>متطلبات الإدارات، والمنظمات الدولية التي تنفذ أرصاد مراقبة، ومكتب الاتصالات الراديوية فيما يتعلق بقياسات الترددات الضرورية لكفاءة أداء مهامها؛</w:t>
      </w:r>
    </w:p>
    <w:p w14:paraId="65CB4DF3" w14:textId="77777777" w:rsidR="00EC39CE" w:rsidRPr="002277E6" w:rsidRDefault="00EC39CE" w:rsidP="00EC39CE">
      <w:pPr>
        <w:rPr>
          <w:rtl/>
        </w:rPr>
      </w:pPr>
      <w:r w:rsidRPr="002277E6">
        <w:rPr>
          <w:rtl/>
        </w:rPr>
        <w:t>ب)</w:t>
      </w:r>
      <w:r w:rsidRPr="002277E6">
        <w:rPr>
          <w:rtl/>
        </w:rPr>
        <w:tab/>
        <w:t>تيسر تجهيزات المراقبة المناسبة بوجه عام لقياسات الترددات وللمعايير الترددية بالغة الدقة؛</w:t>
      </w:r>
    </w:p>
    <w:p w14:paraId="437A4BA7" w14:textId="77777777" w:rsidR="00EC39CE" w:rsidRPr="002277E6" w:rsidRDefault="00EC39CE" w:rsidP="00EC39CE">
      <w:pPr>
        <w:pStyle w:val="Call"/>
        <w:rPr>
          <w:rtl/>
        </w:rPr>
      </w:pPr>
      <w:r w:rsidRPr="002277E6">
        <w:rPr>
          <w:rFonts w:hint="cs"/>
          <w:rtl/>
        </w:rPr>
        <w:t>وإذ تسلم</w:t>
      </w:r>
    </w:p>
    <w:p w14:paraId="45B5207B" w14:textId="77777777" w:rsidR="00EC39CE" w:rsidRPr="002277E6" w:rsidRDefault="00EC39CE" w:rsidP="00EC39CE">
      <w:pPr>
        <w:rPr>
          <w:rtl/>
        </w:rPr>
      </w:pPr>
      <w:proofErr w:type="gramStart"/>
      <w:r w:rsidRPr="002277E6">
        <w:rPr>
          <w:rFonts w:hint="cs"/>
          <w:rtl/>
        </w:rPr>
        <w:t>أ</w:t>
      </w:r>
      <w:r w:rsidRPr="002277E6">
        <w:rPr>
          <w:rtl/>
        </w:rPr>
        <w:t xml:space="preserve"> )</w:t>
      </w:r>
      <w:proofErr w:type="gramEnd"/>
      <w:r w:rsidRPr="002277E6">
        <w:rPr>
          <w:rtl/>
        </w:rPr>
        <w:tab/>
      </w:r>
      <w:r w:rsidRPr="002277E6">
        <w:rPr>
          <w:rFonts w:hint="cs"/>
          <w:rtl/>
        </w:rPr>
        <w:t>ب</w:t>
      </w:r>
      <w:r w:rsidRPr="002277E6">
        <w:rPr>
          <w:rtl/>
        </w:rPr>
        <w:t xml:space="preserve">أن الأخطاء في قياس الترددات </w:t>
      </w:r>
      <w:r w:rsidRPr="002277E6">
        <w:rPr>
          <w:rFonts w:hint="cs"/>
          <w:rtl/>
        </w:rPr>
        <w:t>يجب</w:t>
      </w:r>
      <w:r w:rsidRPr="002277E6">
        <w:rPr>
          <w:rtl/>
        </w:rPr>
        <w:t xml:space="preserve"> ألا تتجاوز ع</w:t>
      </w:r>
      <w:r w:rsidRPr="002277E6">
        <w:rPr>
          <w:rFonts w:hint="cs"/>
          <w:rtl/>
        </w:rPr>
        <w:t>ُ</w:t>
      </w:r>
      <w:r w:rsidRPr="002277E6">
        <w:rPr>
          <w:rtl/>
        </w:rPr>
        <w:t xml:space="preserve">شر تسامحات الترددات المحددة في التذييل </w:t>
      </w:r>
      <w:r w:rsidRPr="002277E6">
        <w:t>2</w:t>
      </w:r>
      <w:r w:rsidRPr="002277E6">
        <w:rPr>
          <w:rtl/>
        </w:rPr>
        <w:t xml:space="preserve"> للوائح الراديو؛</w:t>
      </w:r>
    </w:p>
    <w:p w14:paraId="50ABEE37" w14:textId="77777777" w:rsidR="00EC39CE" w:rsidRPr="002277E6" w:rsidRDefault="00EC39CE" w:rsidP="00EC39CE">
      <w:pPr>
        <w:pStyle w:val="Call"/>
        <w:rPr>
          <w:rtl/>
        </w:rPr>
      </w:pPr>
      <w:r w:rsidRPr="002277E6">
        <w:rPr>
          <w:rtl/>
        </w:rPr>
        <w:t>توصي</w:t>
      </w:r>
    </w:p>
    <w:p w14:paraId="6EDEA485" w14:textId="77777777" w:rsidR="00EC39CE" w:rsidRPr="002277E6" w:rsidRDefault="00EC39CE" w:rsidP="00EC39CE">
      <w:pPr>
        <w:rPr>
          <w:rtl/>
        </w:rPr>
      </w:pPr>
      <w:r w:rsidRPr="00DA2396">
        <w:rPr>
          <w:b/>
          <w:bCs/>
        </w:rPr>
        <w:t>1</w:t>
      </w:r>
      <w:r w:rsidRPr="002277E6">
        <w:rPr>
          <w:rtl/>
        </w:rPr>
        <w:tab/>
        <w:t xml:space="preserve">بأن تقبل أيضاً معايير الدقة العالية كالمعايير التي توفرها الساعات الذرية وأنظمة الاستدلال الراديوي والاستدلال الراديوي الساتلي، كمعايير لقياس </w:t>
      </w:r>
      <w:proofErr w:type="gramStart"/>
      <w:r w:rsidRPr="002277E6">
        <w:rPr>
          <w:rtl/>
        </w:rPr>
        <w:t>الترددات؛</w:t>
      </w:r>
      <w:proofErr w:type="gramEnd"/>
    </w:p>
    <w:p w14:paraId="6E5A7BC6" w14:textId="77777777" w:rsidR="00EC39CE" w:rsidRPr="002277E6" w:rsidRDefault="00EC39CE" w:rsidP="00EC39CE">
      <w:pPr>
        <w:rPr>
          <w:rtl/>
        </w:rPr>
      </w:pPr>
      <w:r w:rsidRPr="00DA2396">
        <w:rPr>
          <w:b/>
          <w:bCs/>
        </w:rPr>
        <w:t>2</w:t>
      </w:r>
      <w:r w:rsidRPr="002277E6">
        <w:rPr>
          <w:rtl/>
        </w:rPr>
        <w:tab/>
        <w:t xml:space="preserve">بأن تكون تجهيزات وإجراءات المراقبة على نحو </w:t>
      </w:r>
      <w:r w:rsidRPr="002277E6">
        <w:rPr>
          <w:rFonts w:hint="cs"/>
          <w:rtl/>
        </w:rPr>
        <w:t>يتيح إجراء</w:t>
      </w:r>
      <w:r w:rsidRPr="002277E6">
        <w:rPr>
          <w:rtl/>
        </w:rPr>
        <w:t xml:space="preserve"> قياسات الترددات بدقة مساوية للدقة المحددة في الجدول </w:t>
      </w:r>
      <w:r w:rsidRPr="002277E6">
        <w:t>1</w:t>
      </w:r>
      <w:r w:rsidRPr="002277E6">
        <w:rPr>
          <w:rtl/>
        </w:rPr>
        <w:t>، أو أفضل منها:</w:t>
      </w:r>
    </w:p>
    <w:p w14:paraId="204B45B4" w14:textId="77777777" w:rsidR="00EC39CE" w:rsidRDefault="00EC39CE" w:rsidP="00EC39CE">
      <w:pPr>
        <w:pStyle w:val="TableNotitle"/>
        <w:rPr>
          <w:sz w:val="24"/>
          <w:lang w:val="en-US"/>
        </w:rPr>
      </w:pPr>
      <w:r>
        <w:rPr>
          <w:rtl/>
        </w:rPr>
        <w:br w:type="page"/>
      </w:r>
      <w:r>
        <w:rPr>
          <w:rtl/>
        </w:rPr>
        <w:lastRenderedPageBreak/>
        <w:t xml:space="preserve">الجدول </w:t>
      </w:r>
      <w:r>
        <w:rPr>
          <w:sz w:val="24"/>
        </w:rPr>
        <w:t>1</w:t>
      </w:r>
    </w:p>
    <w:p w14:paraId="02BDDE17" w14:textId="77777777" w:rsidR="00EC39CE" w:rsidRDefault="00EC39CE" w:rsidP="00EC39CE">
      <w:pPr>
        <w:pStyle w:val="TableNotitle"/>
        <w:rPr>
          <w:rtl/>
        </w:rPr>
      </w:pPr>
      <w:r>
        <w:rPr>
          <w:rtl/>
        </w:rPr>
        <w:t>دقة قياسات الترددات في محطات المراقبة</w:t>
      </w:r>
    </w:p>
    <w:tbl>
      <w:tblPr>
        <w:tblW w:w="97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2"/>
        <w:gridCol w:w="5428"/>
      </w:tblGrid>
      <w:tr w:rsidR="00EC39CE" w14:paraId="10602F22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C7B6" w14:textId="77777777" w:rsidR="00EC39CE" w:rsidRDefault="00EC39CE" w:rsidP="00EC39CE">
            <w:pPr>
              <w:pStyle w:val="Tablehead"/>
            </w:pPr>
            <w:r>
              <w:rPr>
                <w:rtl/>
              </w:rPr>
              <w:t>الدقة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632A" w14:textId="77777777" w:rsidR="00EC39CE" w:rsidRDefault="00EC39CE" w:rsidP="00EC39CE">
            <w:pPr>
              <w:pStyle w:val="Tablehead"/>
            </w:pPr>
            <w:r>
              <w:rPr>
                <w:rtl/>
              </w:rPr>
              <w:t>نمط القياس</w:t>
            </w:r>
          </w:p>
        </w:tc>
      </w:tr>
      <w:tr w:rsidR="00EC39CE" w:rsidRPr="002E6B82" w14:paraId="5853E397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DBE7" w14:textId="77777777" w:rsidR="00EC39CE" w:rsidRPr="002E6B82" w:rsidRDefault="00EC39CE" w:rsidP="00EC39CE">
            <w:pPr>
              <w:pStyle w:val="Tabletext"/>
            </w:pPr>
            <w:r w:rsidRPr="002E6B82">
              <w:sym w:font="Symbol" w:char="F0B1"/>
            </w:r>
            <w:r w:rsidRPr="002E6B82">
              <w:rPr>
                <w:rtl/>
              </w:rPr>
              <w:t> </w:t>
            </w:r>
            <w:r w:rsidRPr="002E6B82">
              <w:t>5</w:t>
            </w:r>
            <w:r w:rsidRPr="002E6B82">
              <w:rPr>
                <w:rtl/>
              </w:rPr>
              <w:t xml:space="preserve"> </w:t>
            </w:r>
            <w:r w:rsidRPr="002E6B82">
              <w:rPr>
                <w:rFonts w:hint="cs"/>
                <w:rtl/>
              </w:rPr>
              <w:t xml:space="preserve">× </w:t>
            </w:r>
            <w:r w:rsidRPr="002E6B82">
              <w:rPr>
                <w:rtl/>
              </w:rPr>
              <w:t xml:space="preserve">في </w:t>
            </w:r>
            <w:r w:rsidRPr="002E6B82">
              <w:rPr>
                <w:vertAlign w:val="superscript"/>
              </w:rPr>
              <w:t>6</w:t>
            </w:r>
            <w:r w:rsidRPr="002E6B82">
              <w:rPr>
                <w:vertAlign w:val="superscript"/>
              </w:rPr>
              <w:sym w:font="Symbol" w:char="F02D"/>
            </w:r>
            <w:r w:rsidRPr="002E6B82">
              <w:t>10</w:t>
            </w:r>
            <w:r w:rsidRPr="002E6B82">
              <w:rPr>
                <w:rtl/>
              </w:rPr>
              <w:t xml:space="preserve"> </w:t>
            </w:r>
            <w:r w:rsidRPr="002E6B82">
              <w:rPr>
                <w:rFonts w:hint="cs"/>
                <w:rtl/>
              </w:rPr>
              <w:t xml:space="preserve">من القيمة </w:t>
            </w:r>
            <w:r w:rsidRPr="002E6B82">
              <w:rPr>
                <w:rtl/>
              </w:rPr>
              <w:t>(أو حيثما كان هذا أقل من</w:t>
            </w:r>
            <w:r w:rsidRPr="002E6B82">
              <w:rPr>
                <w:rFonts w:hint="cs"/>
                <w:rtl/>
              </w:rPr>
              <w:br/>
            </w:r>
            <w:r w:rsidRPr="002E6B82">
              <w:t xml:space="preserve">Hz 1 </w:t>
            </w:r>
            <w:r w:rsidRPr="002E6B82">
              <w:sym w:font="Symbol" w:char="F0B1"/>
            </w:r>
            <w:r w:rsidRPr="002E6B82">
              <w:t> </w:t>
            </w:r>
            <w:r w:rsidRPr="002E6B82">
              <w:rPr>
                <w:rtl/>
              </w:rPr>
              <w:t>، إلى دقة</w:t>
            </w:r>
            <w:r w:rsidRPr="002E6B82">
              <w:rPr>
                <w:rFonts w:hint="cs"/>
                <w:rtl/>
              </w:rPr>
              <w:t xml:space="preserve"> تساوي</w:t>
            </w:r>
            <w:r w:rsidRPr="002E6B82">
              <w:rPr>
                <w:rtl/>
              </w:rPr>
              <w:t xml:space="preserve"> </w:t>
            </w:r>
            <w:r w:rsidRPr="002E6B82">
              <w:t xml:space="preserve">(Hz 1 </w:t>
            </w:r>
            <w:r w:rsidRPr="002E6B82">
              <w:sym w:font="Symbol" w:char="F0B1"/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21BC" w14:textId="77777777" w:rsidR="00EC39CE" w:rsidRPr="002E6B82" w:rsidRDefault="00EC39CE" w:rsidP="003E0032">
            <w:pPr>
              <w:pStyle w:val="Tabletext"/>
            </w:pPr>
            <w:r w:rsidRPr="002E6B82">
              <w:rPr>
                <w:lang w:val="en-US"/>
              </w:rPr>
              <w:t>.1</w:t>
            </w:r>
            <w:r w:rsidR="003E0032">
              <w:rPr>
                <w:lang w:val="en-US"/>
              </w:rPr>
              <w:tab/>
            </w:r>
            <w:r w:rsidRPr="002E6B82">
              <w:rPr>
                <w:rtl/>
              </w:rPr>
              <w:t xml:space="preserve">قياسات ترددات المحطات باستثناء محطات الإذاعة، العاملة في مدى </w:t>
            </w:r>
            <w:r w:rsidR="003E0032">
              <w:rPr>
                <w:rtl/>
                <w:lang w:bidi="ar-EG"/>
              </w:rPr>
              <w:tab/>
            </w:r>
            <w:r w:rsidRPr="002E6B82">
              <w:rPr>
                <w:rtl/>
              </w:rPr>
              <w:t xml:space="preserve">التردد </w:t>
            </w:r>
            <w:r w:rsidRPr="002E6B82">
              <w:t>kHz 4 000-9</w:t>
            </w:r>
          </w:p>
        </w:tc>
      </w:tr>
      <w:tr w:rsidR="00EC39CE" w:rsidRPr="002E6B82" w14:paraId="7F9DBDEA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FDD6" w14:textId="77777777" w:rsidR="00EC39CE" w:rsidRPr="002E6B82" w:rsidRDefault="00EC39CE" w:rsidP="00EC39CE">
            <w:pPr>
              <w:pStyle w:val="Tabletext"/>
            </w:pPr>
            <w:r w:rsidRPr="002E6B82">
              <w:t xml:space="preserve">Hz 1 </w:t>
            </w:r>
            <w:r w:rsidRPr="002E6B82">
              <w:sym w:font="Symbol" w:char="F0B1"/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B662" w14:textId="77777777" w:rsidR="00EC39CE" w:rsidRPr="002E6B82" w:rsidRDefault="00EC39CE" w:rsidP="00EC39CE">
            <w:pPr>
              <w:pStyle w:val="Tabletext"/>
            </w:pPr>
            <w:r w:rsidRPr="002E6B82">
              <w:rPr>
                <w:lang w:val="en-US"/>
              </w:rPr>
              <w:t>.2</w:t>
            </w:r>
            <w:r w:rsidRPr="002E6B82">
              <w:tab/>
            </w:r>
            <w:r w:rsidRPr="002E6B82">
              <w:rPr>
                <w:rtl/>
              </w:rPr>
              <w:t xml:space="preserve">قياسات ترددات محطات الإذاعة العاملة في مدى التردد </w:t>
            </w:r>
            <w:r w:rsidRPr="002E6B82">
              <w:t>kHz 4 000-9</w:t>
            </w:r>
          </w:p>
        </w:tc>
      </w:tr>
      <w:tr w:rsidR="00EC39CE" w:rsidRPr="002E6B82" w14:paraId="2AA88561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C4EC" w14:textId="77777777" w:rsidR="00EC39CE" w:rsidRPr="002E6B82" w:rsidRDefault="00EC39CE" w:rsidP="00EC39CE">
            <w:pPr>
              <w:pStyle w:val="Tabletext"/>
            </w:pPr>
            <w:r w:rsidRPr="002E6B82">
              <w:t xml:space="preserve">Hz 1 </w:t>
            </w:r>
            <w:r w:rsidRPr="002E6B82">
              <w:sym w:font="Symbol" w:char="F0B1"/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88F2" w14:textId="77777777" w:rsidR="00EC39CE" w:rsidRPr="003E0032" w:rsidRDefault="00EC39CE" w:rsidP="00EC39CE">
            <w:pPr>
              <w:pStyle w:val="Tabletext"/>
              <w:rPr>
                <w:lang w:val="en-US"/>
              </w:rPr>
            </w:pPr>
            <w:r w:rsidRPr="002E6B82">
              <w:rPr>
                <w:lang w:val="en-US"/>
              </w:rPr>
              <w:t>.3</w:t>
            </w:r>
            <w:r w:rsidRPr="002E6B82">
              <w:tab/>
            </w:r>
            <w:r w:rsidRPr="002E6B82">
              <w:rPr>
                <w:rtl/>
              </w:rPr>
              <w:t xml:space="preserve">قياسات ترددات المحطات العاملة في مدى التردد </w:t>
            </w:r>
            <w:r w:rsidRPr="002E6B82">
              <w:t>kHz 4</w:t>
            </w:r>
            <w:r w:rsidR="003E0032">
              <w:t> </w:t>
            </w:r>
            <w:r w:rsidRPr="002E6B82">
              <w:t>000</w:t>
            </w:r>
            <w:r w:rsidRPr="002E6B82">
              <w:rPr>
                <w:rtl/>
              </w:rPr>
              <w:t xml:space="preserve"> </w:t>
            </w:r>
            <w:r w:rsidR="003E0032">
              <w:rPr>
                <w:rFonts w:hint="cs"/>
                <w:rtl/>
              </w:rPr>
              <w:br/>
            </w:r>
            <w:r w:rsidR="003E0032">
              <w:rPr>
                <w:rtl/>
              </w:rPr>
              <w:tab/>
            </w:r>
            <w:r w:rsidRPr="002E6B82">
              <w:rPr>
                <w:rtl/>
              </w:rPr>
              <w:t xml:space="preserve">إلى </w:t>
            </w:r>
            <w:r w:rsidRPr="002E6B82">
              <w:t>MHz 29,7</w:t>
            </w:r>
            <w:r w:rsidR="003E0032">
              <w:rPr>
                <w:lang w:val="en-US"/>
              </w:rPr>
              <w:tab/>
            </w:r>
            <w:r w:rsidR="003E0032">
              <w:tab/>
            </w:r>
          </w:p>
        </w:tc>
      </w:tr>
      <w:tr w:rsidR="00EC39CE" w:rsidRPr="002E6B82" w14:paraId="0D8C0F5C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AF6F" w14:textId="77777777" w:rsidR="00EC39CE" w:rsidRPr="002E6B82" w:rsidRDefault="00EC39CE" w:rsidP="00EC39CE">
            <w:pPr>
              <w:pStyle w:val="Tabletext"/>
              <w:rPr>
                <w:rtl/>
                <w:lang w:bidi="ar-EG"/>
              </w:rPr>
            </w:pPr>
            <w:r>
              <w:rPr>
                <w:vertAlign w:val="superscript"/>
              </w:rPr>
              <w:t>8</w:t>
            </w:r>
            <w:r w:rsidRPr="002E6B82">
              <w:rPr>
                <w:vertAlign w:val="superscript"/>
              </w:rPr>
              <w:sym w:font="Symbol" w:char="F02D"/>
            </w:r>
            <w:r w:rsidRPr="002E6B82">
              <w:t>10</w:t>
            </w:r>
            <w:r>
              <w:rPr>
                <w:lang w:val="en-US"/>
              </w:rPr>
              <w:t xml:space="preserve"> </w:t>
            </w:r>
            <w:r w:rsidRPr="002E6B82">
              <w:sym w:font="Symbol" w:char="F0B1"/>
            </w:r>
            <w:r w:rsidRPr="002E6B82">
              <w:rPr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من القيمة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FCF5" w14:textId="77777777" w:rsidR="00EC39CE" w:rsidRPr="002E6B82" w:rsidRDefault="00EC39CE" w:rsidP="00EC39CE">
            <w:pPr>
              <w:pStyle w:val="Tabletext"/>
            </w:pPr>
            <w:r w:rsidRPr="002E6B82">
              <w:rPr>
                <w:lang w:val="en-US"/>
              </w:rPr>
              <w:t>.4</w:t>
            </w:r>
            <w:r w:rsidRPr="002E6B82">
              <w:tab/>
            </w:r>
            <w:r w:rsidRPr="009F287D">
              <w:rPr>
                <w:rtl/>
              </w:rPr>
              <w:t>قياسات</w:t>
            </w:r>
            <w:r w:rsidRPr="002E6B82">
              <w:rPr>
                <w:rtl/>
              </w:rPr>
              <w:t xml:space="preserve"> ترددات المحطات غير التلفزيونية العاملة في مدى</w:t>
            </w:r>
            <w:r w:rsidR="003E0032">
              <w:rPr>
                <w:rFonts w:hint="cs"/>
                <w:rtl/>
              </w:rPr>
              <w:br/>
            </w:r>
            <w:r w:rsidR="003E0032">
              <w:rPr>
                <w:rFonts w:hint="cs"/>
                <w:rtl/>
              </w:rPr>
              <w:tab/>
            </w:r>
            <w:r w:rsidRPr="002E6B82">
              <w:rPr>
                <w:rtl/>
              </w:rPr>
              <w:t xml:space="preserve">التردد </w:t>
            </w:r>
            <w:r w:rsidRPr="002E6B82">
              <w:t>MHz 2 450-29,7</w:t>
            </w:r>
          </w:p>
        </w:tc>
      </w:tr>
      <w:tr w:rsidR="00EC39CE" w:rsidRPr="002E6B82" w14:paraId="24D22753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F36B" w14:textId="77777777" w:rsidR="00EC39CE" w:rsidRPr="002E6B82" w:rsidRDefault="00EC39CE" w:rsidP="00EC39CE">
            <w:pPr>
              <w:pStyle w:val="Tabletext"/>
            </w:pPr>
            <w:r w:rsidRPr="002E6B82">
              <w:t xml:space="preserve">Hz 50 </w:t>
            </w:r>
            <w:r w:rsidRPr="002E6B82">
              <w:sym w:font="Symbol" w:char="F0B1"/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3627" w14:textId="77777777" w:rsidR="00EC39CE" w:rsidRPr="002E6B82" w:rsidRDefault="00EC39CE" w:rsidP="00EC39CE">
            <w:pPr>
              <w:pStyle w:val="Tabletext"/>
            </w:pPr>
            <w:r w:rsidRPr="002E6B82">
              <w:rPr>
                <w:lang w:val="en-US"/>
              </w:rPr>
              <w:t>.5</w:t>
            </w:r>
            <w:r w:rsidRPr="002E6B82">
              <w:tab/>
            </w:r>
            <w:r w:rsidRPr="002E6B82">
              <w:rPr>
                <w:rtl/>
              </w:rPr>
              <w:t>قياسات ترددات المحطات التلفزيونية العاملة في مدى</w:t>
            </w:r>
            <w:r w:rsidR="003E0032">
              <w:rPr>
                <w:rFonts w:hint="cs"/>
                <w:rtl/>
              </w:rPr>
              <w:br/>
            </w:r>
            <w:r w:rsidR="003E0032">
              <w:rPr>
                <w:rFonts w:hint="cs"/>
                <w:rtl/>
              </w:rPr>
              <w:tab/>
            </w:r>
            <w:r w:rsidRPr="002E6B82">
              <w:rPr>
                <w:rtl/>
              </w:rPr>
              <w:t xml:space="preserve">التردد </w:t>
            </w:r>
            <w:r w:rsidRPr="002E6B82">
              <w:t>MHz 960-47</w:t>
            </w:r>
          </w:p>
        </w:tc>
      </w:tr>
      <w:tr w:rsidR="00EC39CE" w:rsidRPr="002E6B82" w14:paraId="67923D89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54A0" w14:textId="77777777" w:rsidR="00EC39CE" w:rsidRPr="002E6B82" w:rsidRDefault="00EC39CE" w:rsidP="00EC39CE">
            <w:pPr>
              <w:pStyle w:val="Tabletext"/>
              <w:rPr>
                <w:rtl/>
                <w:lang w:bidi="ar-EG"/>
              </w:rPr>
            </w:pPr>
            <w:r w:rsidRPr="002E6B82">
              <w:sym w:font="Symbol" w:char="F0B1"/>
            </w:r>
            <w:r w:rsidRPr="002E6B82">
              <w:rPr>
                <w:rtl/>
              </w:rPr>
              <w:t xml:space="preserve"> </w:t>
            </w:r>
            <w:r>
              <w:rPr>
                <w:vertAlign w:val="superscript"/>
              </w:rPr>
              <w:t>8</w:t>
            </w:r>
            <w:r w:rsidRPr="002E6B82">
              <w:rPr>
                <w:vertAlign w:val="superscript"/>
              </w:rPr>
              <w:sym w:font="Symbol" w:char="F02D"/>
            </w:r>
            <w:r w:rsidRPr="002E6B82">
              <w:t>10</w:t>
            </w:r>
            <w:r>
              <w:rPr>
                <w:rFonts w:hint="cs"/>
                <w:rtl/>
                <w:lang w:bidi="ar-EG"/>
              </w:rPr>
              <w:t xml:space="preserve"> من القيمة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3DD0" w14:textId="77777777" w:rsidR="00EC39CE" w:rsidRPr="002E6B82" w:rsidRDefault="00EC39CE" w:rsidP="00EC39CE">
            <w:pPr>
              <w:pStyle w:val="Tabletext"/>
            </w:pPr>
            <w:r w:rsidRPr="002E6B82">
              <w:rPr>
                <w:lang w:val="en-US"/>
              </w:rPr>
              <w:t>.6</w:t>
            </w:r>
            <w:r w:rsidRPr="002E6B82">
              <w:tab/>
            </w:r>
            <w:r w:rsidRPr="002E6B82">
              <w:rPr>
                <w:rtl/>
              </w:rPr>
              <w:t xml:space="preserve">قياسات ترددات المحطات العاملة في مدى التردد </w:t>
            </w:r>
            <w:r w:rsidRPr="002E6B82">
              <w:t>MHz 2 450</w:t>
            </w:r>
            <w:r w:rsidRPr="002E6B82">
              <w:rPr>
                <w:rtl/>
              </w:rPr>
              <w:t xml:space="preserve"> </w:t>
            </w:r>
            <w:r w:rsidR="003E0032">
              <w:rPr>
                <w:rFonts w:hint="cs"/>
                <w:rtl/>
              </w:rPr>
              <w:br/>
            </w:r>
            <w:r w:rsidR="003E0032">
              <w:rPr>
                <w:rtl/>
              </w:rPr>
              <w:tab/>
            </w:r>
            <w:r w:rsidRPr="002E6B82">
              <w:rPr>
                <w:rtl/>
              </w:rPr>
              <w:t xml:space="preserve">إلى </w:t>
            </w:r>
            <w:r w:rsidRPr="002E6B82">
              <w:t>GHz 10,5</w:t>
            </w:r>
          </w:p>
        </w:tc>
      </w:tr>
      <w:tr w:rsidR="00EC39CE" w:rsidRPr="002E6B82" w14:paraId="3D64E4A5" w14:textId="77777777">
        <w:trPr>
          <w:cantSplit/>
          <w:jc w:val="center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9CF7" w14:textId="77777777" w:rsidR="00EC39CE" w:rsidRPr="002E6B82" w:rsidRDefault="00EC39CE" w:rsidP="00EC39CE">
            <w:r w:rsidRPr="002E6B82">
              <w:sym w:font="Symbol" w:char="F0B1"/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vertAlign w:val="superscript"/>
              </w:rPr>
              <w:t>8</w:t>
            </w:r>
            <w:r w:rsidRPr="002E6B82">
              <w:rPr>
                <w:vertAlign w:val="superscript"/>
              </w:rPr>
              <w:sym w:font="Symbol" w:char="F02D"/>
            </w:r>
            <w:r w:rsidRPr="002E6B82">
              <w:t>10</w:t>
            </w:r>
            <w:r>
              <w:rPr>
                <w:rFonts w:hint="cs"/>
                <w:rtl/>
              </w:rPr>
              <w:t xml:space="preserve"> من القيمة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94A9" w14:textId="77777777" w:rsidR="00EC39CE" w:rsidRPr="002E6B82" w:rsidRDefault="00EC39CE" w:rsidP="00EC39CE">
            <w:pPr>
              <w:pStyle w:val="Tabletext"/>
            </w:pPr>
            <w:r w:rsidRPr="002E6B82">
              <w:rPr>
                <w:lang w:val="en-US"/>
              </w:rPr>
              <w:t>.7</w:t>
            </w:r>
            <w:r w:rsidRPr="002E6B82">
              <w:tab/>
            </w:r>
            <w:r w:rsidRPr="002E6B82">
              <w:rPr>
                <w:rtl/>
              </w:rPr>
              <w:t xml:space="preserve">قياسات ترددات المحطات العاملة في مدى التردد </w:t>
            </w:r>
            <w:r w:rsidRPr="002E6B82">
              <w:t>GHz 40-10,5</w:t>
            </w:r>
          </w:p>
        </w:tc>
      </w:tr>
      <w:tr w:rsidR="00EC39CE" w14:paraId="59BDC35A" w14:textId="77777777">
        <w:trPr>
          <w:cantSplit/>
          <w:jc w:val="center"/>
        </w:trPr>
        <w:tc>
          <w:tcPr>
            <w:tcW w:w="9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7232" w14:textId="77777777" w:rsidR="00EC39CE" w:rsidRDefault="00EC39CE" w:rsidP="00EC39CE">
            <w:proofErr w:type="gramStart"/>
            <w:r w:rsidRPr="009F287D">
              <w:rPr>
                <w:b/>
                <w:bCs/>
                <w:rtl/>
              </w:rPr>
              <w:t xml:space="preserve">ملاحظة </w:t>
            </w:r>
            <w:r w:rsidR="00B97C68">
              <w:rPr>
                <w:b/>
                <w:bCs/>
                <w:lang w:val="en-US"/>
              </w:rPr>
              <w:t xml:space="preserve"> </w:t>
            </w:r>
            <w:r w:rsidRPr="009F287D">
              <w:rPr>
                <w:b/>
                <w:bCs/>
              </w:rPr>
              <w:t>1</w:t>
            </w:r>
            <w:proofErr w:type="gramEnd"/>
            <w:r>
              <w:rPr>
                <w:i/>
                <w:iCs/>
                <w:rtl/>
              </w:rPr>
              <w:t>-</w:t>
            </w:r>
            <w:r>
              <w:rPr>
                <w:i/>
                <w:rtl/>
              </w:rPr>
              <w:t xml:space="preserve"> </w:t>
            </w:r>
            <w:r>
              <w:rPr>
                <w:rtl/>
              </w:rPr>
              <w:t xml:space="preserve">أصبح من المسلم به أنه في حين تكفي الدقة المحددة أعلاه للمراقبة الدولية، </w:t>
            </w:r>
            <w:r>
              <w:rPr>
                <w:rFonts w:hint="cs"/>
                <w:rtl/>
              </w:rPr>
              <w:t>قد تدعو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</w:t>
            </w:r>
            <w:r>
              <w:rPr>
                <w:rtl/>
              </w:rPr>
              <w:t>حاجة إلى</w:t>
            </w:r>
            <w:r>
              <w:rPr>
                <w:rFonts w:hint="cs"/>
                <w:rtl/>
              </w:rPr>
              <w:t xml:space="preserve"> استعمال</w:t>
            </w:r>
            <w:r>
              <w:rPr>
                <w:rtl/>
              </w:rPr>
              <w:t xml:space="preserve"> حدود دقة مختلفة للوفاء بالمتطلبات الوطنية.</w:t>
            </w:r>
          </w:p>
        </w:tc>
      </w:tr>
    </w:tbl>
    <w:p w14:paraId="5FFC2FB5" w14:textId="77777777" w:rsidR="00EC39CE" w:rsidRDefault="00EC39CE" w:rsidP="00EC39CE">
      <w:pPr>
        <w:rPr>
          <w:rtl/>
        </w:rPr>
      </w:pPr>
    </w:p>
    <w:p w14:paraId="68BF0EB0" w14:textId="77777777" w:rsidR="00EC39CE" w:rsidRDefault="00EC39CE" w:rsidP="00EC39CE">
      <w:pPr>
        <w:rPr>
          <w:rtl/>
          <w:lang w:bidi="ar-EG"/>
        </w:rPr>
      </w:pPr>
    </w:p>
    <w:p w14:paraId="04A37146" w14:textId="77777777" w:rsidR="00EC39CE" w:rsidRDefault="00CB479A" w:rsidP="00BC26C1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D3D3D29" w14:textId="77777777" w:rsidR="00EC39CE" w:rsidRDefault="00EC39CE" w:rsidP="00EC39CE">
      <w:pPr>
        <w:rPr>
          <w:rtl/>
          <w:lang w:bidi="ar-EG"/>
        </w:rPr>
      </w:pPr>
    </w:p>
    <w:p w14:paraId="01600040" w14:textId="77777777" w:rsidR="00EC39CE" w:rsidRDefault="00EC39CE" w:rsidP="00EC39CE">
      <w:pPr>
        <w:rPr>
          <w:rtl/>
          <w:lang w:bidi="ar-EG"/>
        </w:rPr>
      </w:pPr>
    </w:p>
    <w:p w14:paraId="5AF64D1F" w14:textId="77777777" w:rsidR="00EC39CE" w:rsidRDefault="00EC39CE" w:rsidP="00EC39CE">
      <w:pPr>
        <w:rPr>
          <w:rtl/>
          <w:lang w:bidi="ar-EG"/>
        </w:rPr>
      </w:pPr>
    </w:p>
    <w:p w14:paraId="35F98F1B" w14:textId="77777777" w:rsidR="00EC39CE" w:rsidRDefault="00EC39CE" w:rsidP="00EC39CE">
      <w:pPr>
        <w:rPr>
          <w:rtl/>
          <w:lang w:bidi="ar-EG"/>
        </w:rPr>
      </w:pPr>
    </w:p>
    <w:p w14:paraId="41F3D2E1" w14:textId="77777777" w:rsidR="00912A86" w:rsidRPr="00EC39CE" w:rsidRDefault="00912A86" w:rsidP="00EC39CE"/>
    <w:sectPr w:rsidR="00912A86" w:rsidRPr="00EC39CE" w:rsidSect="00BC26C1">
      <w:headerReference w:type="even" r:id="rId8"/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DBDD" w14:textId="77777777" w:rsidR="00B97C68" w:rsidRDefault="00B97C68" w:rsidP="00EC39CE">
      <w:r>
        <w:separator/>
      </w:r>
    </w:p>
    <w:p w14:paraId="73377942" w14:textId="77777777" w:rsidR="00B97C68" w:rsidRDefault="00B97C68" w:rsidP="00EC39CE"/>
    <w:p w14:paraId="3233E039" w14:textId="77777777" w:rsidR="00B97C68" w:rsidRDefault="00B97C68" w:rsidP="00EC39CE"/>
    <w:p w14:paraId="0B2DBF4E" w14:textId="77777777" w:rsidR="00B97C68" w:rsidRDefault="00B97C68" w:rsidP="00BC26C1"/>
  </w:endnote>
  <w:endnote w:type="continuationSeparator" w:id="0">
    <w:p w14:paraId="20124674" w14:textId="77777777" w:rsidR="00B97C68" w:rsidRDefault="00B97C68" w:rsidP="00EC39CE">
      <w:r>
        <w:continuationSeparator/>
      </w:r>
    </w:p>
    <w:p w14:paraId="78258436" w14:textId="77777777" w:rsidR="00B97C68" w:rsidRDefault="00B97C68" w:rsidP="00EC39CE"/>
    <w:p w14:paraId="524E1509" w14:textId="77777777" w:rsidR="00B97C68" w:rsidRDefault="00B97C68" w:rsidP="00EC39CE"/>
    <w:p w14:paraId="1889D935" w14:textId="77777777" w:rsidR="00B97C68" w:rsidRDefault="00B97C68" w:rsidP="00BC2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40B99" w14:textId="31008471" w:rsidR="00B97C68" w:rsidRPr="008D797A" w:rsidRDefault="00B97C68" w:rsidP="00EC39CE">
    <w:pPr>
      <w:pStyle w:val="Footer"/>
    </w:pPr>
    <w:r>
      <w:fldChar w:fldCharType="begin"/>
    </w:r>
    <w:r w:rsidRPr="008D797A">
      <w:instrText xml:space="preserve"> FILENAME \p \* MERGEFORMAT </w:instrText>
    </w:r>
    <w:r>
      <w:fldChar w:fldCharType="separate"/>
    </w:r>
    <w:r w:rsidR="000A6FD7">
      <w:t>P:\QPUB\BR\REC\SM\377-4\SM377-4A.docx</w:t>
    </w:r>
    <w:r>
      <w:fldChar w:fldCharType="end"/>
    </w:r>
    <w:r w:rsidRPr="008D797A">
      <w:tab/>
    </w:r>
    <w:r>
      <w:fldChar w:fldCharType="begin"/>
    </w:r>
    <w:r>
      <w:instrText xml:space="preserve"> savedate \@ dd.MM.yy </w:instrText>
    </w:r>
    <w:r>
      <w:fldChar w:fldCharType="separate"/>
    </w:r>
    <w:r w:rsidR="000A6FD7">
      <w:rPr>
        <w:rtl/>
      </w:rPr>
      <w:t>30.04.20</w:t>
    </w:r>
    <w:r>
      <w:fldChar w:fldCharType="end"/>
    </w:r>
    <w:r w:rsidRPr="008D797A">
      <w:tab/>
    </w:r>
    <w:r>
      <w:fldChar w:fldCharType="begin"/>
    </w:r>
    <w:r>
      <w:instrText xml:space="preserve"> printdate \@ dd.MM.yy </w:instrText>
    </w:r>
    <w:r>
      <w:fldChar w:fldCharType="separate"/>
    </w:r>
    <w:r w:rsidR="000A6FD7">
      <w:rPr>
        <w:rtl/>
      </w:rPr>
      <w:t>30.04.20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85BA1" w14:textId="77777777" w:rsidR="00B97C68" w:rsidRDefault="00B97C68" w:rsidP="00EC39CE">
      <w:r>
        <w:t>____________________</w:t>
      </w:r>
    </w:p>
  </w:footnote>
  <w:footnote w:type="continuationSeparator" w:id="0">
    <w:p w14:paraId="0DF230D0" w14:textId="77777777" w:rsidR="00B97C68" w:rsidRDefault="00B97C68" w:rsidP="00EC39CE">
      <w:r>
        <w:continuationSeparator/>
      </w:r>
    </w:p>
    <w:p w14:paraId="1F474F0A" w14:textId="77777777" w:rsidR="00B97C68" w:rsidRDefault="00B97C68" w:rsidP="00EC39CE"/>
    <w:p w14:paraId="0DB0044F" w14:textId="77777777" w:rsidR="00B97C68" w:rsidRDefault="00B97C68" w:rsidP="00EC39CE"/>
    <w:p w14:paraId="34A1FDBA" w14:textId="77777777" w:rsidR="00B97C68" w:rsidRDefault="00B97C68" w:rsidP="00BC26C1"/>
  </w:footnote>
  <w:footnote w:id="1">
    <w:p w14:paraId="5769E089" w14:textId="0E1C0709" w:rsidR="00CB479A" w:rsidRDefault="00CB479A" w:rsidP="00214241">
      <w:pPr>
        <w:pStyle w:val="FootnoteText"/>
        <w:rPr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rPr>
          <w:rtl/>
        </w:rPr>
        <w:tab/>
      </w:r>
      <w:r w:rsidR="00214241" w:rsidRPr="00214241">
        <w:rPr>
          <w:rFonts w:hint="cs"/>
          <w:rtl/>
        </w:rPr>
        <w:t xml:space="preserve">أدخلت لجنة الدراسات </w:t>
      </w:r>
      <w:r w:rsidR="00214241" w:rsidRPr="00214241">
        <w:rPr>
          <w:lang w:val="en-US" w:bidi="ar-EG"/>
        </w:rPr>
        <w:t>1</w:t>
      </w:r>
      <w:r w:rsidR="00214241" w:rsidRPr="00214241">
        <w:rPr>
          <w:rFonts w:hint="cs"/>
          <w:rtl/>
        </w:rPr>
        <w:t xml:space="preserve"> للاتصالات الراديوية في عامي </w:t>
      </w:r>
      <w:r w:rsidR="00214241" w:rsidRPr="00214241">
        <w:rPr>
          <w:lang w:val="en-US" w:bidi="ar-EG"/>
        </w:rPr>
        <w:t>2018</w:t>
      </w:r>
      <w:r w:rsidR="00214241" w:rsidRPr="00214241">
        <w:rPr>
          <w:rFonts w:hint="cs"/>
          <w:rtl/>
        </w:rPr>
        <w:t xml:space="preserve"> و</w:t>
      </w:r>
      <w:r w:rsidR="00214241" w:rsidRPr="00214241">
        <w:rPr>
          <w:lang w:val="en-US" w:bidi="ar-EG"/>
        </w:rPr>
        <w:t>2019</w:t>
      </w:r>
      <w:r w:rsidR="00214241" w:rsidRPr="00214241">
        <w:rPr>
          <w:rFonts w:hint="cs"/>
          <w:rtl/>
        </w:rPr>
        <w:t xml:space="preserve"> تعديلات صياغية على هذه التوصية وفقاً للقرار </w:t>
      </w:r>
      <w:r w:rsidR="00214241" w:rsidRPr="00214241">
        <w:rPr>
          <w:lang w:val="en-US" w:bidi="ar-EG"/>
        </w:rPr>
        <w:t>ITU-R 1</w:t>
      </w:r>
      <w:r w:rsidR="00214241" w:rsidRPr="00214241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E36C" w14:textId="77777777" w:rsidR="00B97C68" w:rsidRDefault="00B97C68" w:rsidP="00BC26C1">
    <w:pPr>
      <w:pStyle w:val="Header"/>
      <w:framePr w:wrap="around" w:vAnchor="text" w:hAnchor="text" w:xAlign="inside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1ED8E04" w14:textId="77777777" w:rsidR="00B97C68" w:rsidRDefault="00B97C68" w:rsidP="00BC26C1">
    <w:pPr>
      <w:pStyle w:val="Header"/>
      <w:ind w:right="360" w:firstLine="360"/>
      <w:rPr>
        <w:rStyle w:val="PageNumber"/>
      </w:rPr>
    </w:pPr>
  </w:p>
  <w:p w14:paraId="116DD299" w14:textId="77777777" w:rsidR="00B97C68" w:rsidRDefault="00B97C68" w:rsidP="00EC39CE">
    <w:pPr>
      <w:pStyle w:val="Header"/>
    </w:pPr>
  </w:p>
  <w:p w14:paraId="3D34F254" w14:textId="77777777" w:rsidR="00B97C68" w:rsidRDefault="00B97C68" w:rsidP="00EC39CE"/>
  <w:p w14:paraId="33415A95" w14:textId="77777777" w:rsidR="00B97C68" w:rsidRDefault="00B97C68" w:rsidP="00EC39CE"/>
  <w:p w14:paraId="6D3CC657" w14:textId="77777777" w:rsidR="00B97C68" w:rsidRDefault="00B97C68" w:rsidP="00BC26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07FD" w14:textId="77777777" w:rsidR="00B97C68" w:rsidRPr="00BC26C1" w:rsidRDefault="00B97C68" w:rsidP="00BC26C1">
    <w:pPr>
      <w:pStyle w:val="Header"/>
      <w:framePr w:wrap="around" w:vAnchor="text" w:hAnchor="text" w:xAlign="inside" w:y="1"/>
      <w:bidi w:val="0"/>
      <w:ind w:left="0"/>
      <w:jc w:val="left"/>
      <w:rPr>
        <w:rStyle w:val="PageNumber"/>
        <w:rFonts w:ascii="Times New Roman" w:hAnsi="Times New Roman" w:cs="Times New Roman"/>
        <w:szCs w:val="22"/>
      </w:rPr>
    </w:pPr>
    <w:r w:rsidRPr="00BC26C1">
      <w:rPr>
        <w:rStyle w:val="PageNumber"/>
        <w:rFonts w:ascii="Times New Roman" w:hAnsi="Times New Roman" w:cs="Times New Roman"/>
        <w:szCs w:val="22"/>
        <w:rtl/>
      </w:rPr>
      <w:fldChar w:fldCharType="begin"/>
    </w:r>
    <w:r w:rsidRPr="00BC26C1">
      <w:rPr>
        <w:rStyle w:val="PageNumber"/>
        <w:rFonts w:ascii="Times New Roman" w:hAnsi="Times New Roman" w:cs="Times New Roman"/>
        <w:szCs w:val="22"/>
      </w:rPr>
      <w:instrText xml:space="preserve">PAGE  </w:instrText>
    </w:r>
    <w:r w:rsidRPr="00BC26C1">
      <w:rPr>
        <w:rStyle w:val="PageNumber"/>
        <w:rFonts w:ascii="Times New Roman" w:hAnsi="Times New Roman" w:cs="Times New Roman"/>
        <w:szCs w:val="22"/>
        <w:rtl/>
      </w:rPr>
      <w:fldChar w:fldCharType="separate"/>
    </w:r>
    <w:r w:rsidR="008D797A">
      <w:rPr>
        <w:rStyle w:val="PageNumber"/>
        <w:rFonts w:ascii="Times New Roman" w:hAnsi="Times New Roman" w:cs="Times New Roman"/>
        <w:noProof/>
        <w:szCs w:val="22"/>
      </w:rPr>
      <w:t>2</w:t>
    </w:r>
    <w:r w:rsidRPr="00BC26C1">
      <w:rPr>
        <w:rStyle w:val="PageNumber"/>
        <w:rFonts w:ascii="Times New Roman" w:hAnsi="Times New Roman" w:cs="Times New Roman"/>
        <w:szCs w:val="22"/>
        <w:rtl/>
      </w:rPr>
      <w:fldChar w:fldCharType="end"/>
    </w:r>
  </w:p>
  <w:p w14:paraId="58CC3619" w14:textId="77777777" w:rsidR="00B97C68" w:rsidRPr="002C0F17" w:rsidRDefault="00B97C68" w:rsidP="00BC26C1">
    <w:pPr>
      <w:pStyle w:val="Header"/>
      <w:ind w:left="0" w:right="360" w:firstLine="360"/>
      <w:rPr>
        <w:rtl/>
        <w:lang w:bidi="ar-EG"/>
      </w:rPr>
    </w:pPr>
    <w:r w:rsidRPr="00E1601B">
      <w:rPr>
        <w:rtl/>
      </w:rPr>
      <w:t>التوصية</w:t>
    </w:r>
    <w:r w:rsidRPr="002C0F17">
      <w:rPr>
        <w:rtl/>
      </w:rPr>
      <w:t xml:space="preserve"> </w:t>
    </w:r>
    <w:r w:rsidRPr="002C0F17">
      <w:t xml:space="preserve">ITU-R </w:t>
    </w:r>
    <w:r>
      <w:t>SM.377-4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25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D08"/>
    <w:multiLevelType w:val="hybridMultilevel"/>
    <w:tmpl w:val="0F8A7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E637A"/>
    <w:multiLevelType w:val="hybridMultilevel"/>
    <w:tmpl w:val="17E2BBA8"/>
    <w:lvl w:ilvl="0" w:tplc="E1BEFC64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70109"/>
    <w:multiLevelType w:val="hybridMultilevel"/>
    <w:tmpl w:val="50648FD8"/>
    <w:lvl w:ilvl="0" w:tplc="54281AB8">
      <w:start w:val="28"/>
      <w:numFmt w:val="arabicAlpha"/>
      <w:lvlText w:val="%1)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63BD2"/>
    <w:multiLevelType w:val="multilevel"/>
    <w:tmpl w:val="C7EEB18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71B01"/>
    <w:multiLevelType w:val="hybridMultilevel"/>
    <w:tmpl w:val="C7EEB180"/>
    <w:lvl w:ilvl="0" w:tplc="B5D0A3C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734AD"/>
    <w:multiLevelType w:val="hybridMultilevel"/>
    <w:tmpl w:val="FFD4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F84593"/>
    <w:multiLevelType w:val="hybridMultilevel"/>
    <w:tmpl w:val="C0FAB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D4CF9"/>
    <w:multiLevelType w:val="hybridMultilevel"/>
    <w:tmpl w:val="496E8B48"/>
    <w:lvl w:ilvl="0" w:tplc="F7DC743A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76CF4"/>
    <w:multiLevelType w:val="hybridMultilevel"/>
    <w:tmpl w:val="8E5E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CBA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7772"/>
    <w:multiLevelType w:val="hybridMultilevel"/>
    <w:tmpl w:val="133088FE"/>
    <w:lvl w:ilvl="0" w:tplc="CFB4B960">
      <w:start w:val="1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116258"/>
    <w:multiLevelType w:val="hybridMultilevel"/>
    <w:tmpl w:val="74BE046C"/>
    <w:lvl w:ilvl="0" w:tplc="06AE7DCC">
      <w:start w:val="2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15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1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39CE"/>
    <w:rsid w:val="00002849"/>
    <w:rsid w:val="00004474"/>
    <w:rsid w:val="00027907"/>
    <w:rsid w:val="000522D1"/>
    <w:rsid w:val="00067954"/>
    <w:rsid w:val="00081122"/>
    <w:rsid w:val="00096F01"/>
    <w:rsid w:val="000A079C"/>
    <w:rsid w:val="000A6FD7"/>
    <w:rsid w:val="000B30D7"/>
    <w:rsid w:val="000F6D38"/>
    <w:rsid w:val="001048FC"/>
    <w:rsid w:val="00140B98"/>
    <w:rsid w:val="001568ED"/>
    <w:rsid w:val="00182385"/>
    <w:rsid w:val="001B03B8"/>
    <w:rsid w:val="001D2146"/>
    <w:rsid w:val="001F23C7"/>
    <w:rsid w:val="00201143"/>
    <w:rsid w:val="002137FD"/>
    <w:rsid w:val="00214241"/>
    <w:rsid w:val="00230502"/>
    <w:rsid w:val="00271843"/>
    <w:rsid w:val="002B261D"/>
    <w:rsid w:val="002C0F17"/>
    <w:rsid w:val="002C1FE8"/>
    <w:rsid w:val="00303491"/>
    <w:rsid w:val="0030719D"/>
    <w:rsid w:val="00314E5F"/>
    <w:rsid w:val="00380511"/>
    <w:rsid w:val="003D307E"/>
    <w:rsid w:val="003E0032"/>
    <w:rsid w:val="003F15D8"/>
    <w:rsid w:val="00402F6B"/>
    <w:rsid w:val="004B094A"/>
    <w:rsid w:val="004D79B4"/>
    <w:rsid w:val="004E7D1E"/>
    <w:rsid w:val="00506547"/>
    <w:rsid w:val="00511801"/>
    <w:rsid w:val="00527EAF"/>
    <w:rsid w:val="00584B8F"/>
    <w:rsid w:val="00591053"/>
    <w:rsid w:val="005960C8"/>
    <w:rsid w:val="005A018F"/>
    <w:rsid w:val="005B530B"/>
    <w:rsid w:val="005D6161"/>
    <w:rsid w:val="005D6A35"/>
    <w:rsid w:val="005F17A0"/>
    <w:rsid w:val="005F24EB"/>
    <w:rsid w:val="005F2CE7"/>
    <w:rsid w:val="005F3FD2"/>
    <w:rsid w:val="00667C08"/>
    <w:rsid w:val="006F0DD4"/>
    <w:rsid w:val="007362CE"/>
    <w:rsid w:val="00796F0C"/>
    <w:rsid w:val="007D7E68"/>
    <w:rsid w:val="00811188"/>
    <w:rsid w:val="00815E12"/>
    <w:rsid w:val="0083115C"/>
    <w:rsid w:val="008656C3"/>
    <w:rsid w:val="00894394"/>
    <w:rsid w:val="008A31BB"/>
    <w:rsid w:val="008B76A0"/>
    <w:rsid w:val="008C5CCB"/>
    <w:rsid w:val="008C6A66"/>
    <w:rsid w:val="008D797A"/>
    <w:rsid w:val="00912A86"/>
    <w:rsid w:val="00925FAA"/>
    <w:rsid w:val="00930F9D"/>
    <w:rsid w:val="009352F6"/>
    <w:rsid w:val="00936CB4"/>
    <w:rsid w:val="009533AE"/>
    <w:rsid w:val="0096112A"/>
    <w:rsid w:val="009643BD"/>
    <w:rsid w:val="00964A11"/>
    <w:rsid w:val="00972570"/>
    <w:rsid w:val="00A0453F"/>
    <w:rsid w:val="00A2420C"/>
    <w:rsid w:val="00A3032D"/>
    <w:rsid w:val="00A70D90"/>
    <w:rsid w:val="00A85A76"/>
    <w:rsid w:val="00AE09F4"/>
    <w:rsid w:val="00AE2234"/>
    <w:rsid w:val="00AE46C8"/>
    <w:rsid w:val="00AE7C5A"/>
    <w:rsid w:val="00AF5F81"/>
    <w:rsid w:val="00AF6ABB"/>
    <w:rsid w:val="00B22D33"/>
    <w:rsid w:val="00B244FA"/>
    <w:rsid w:val="00B452E5"/>
    <w:rsid w:val="00B97C68"/>
    <w:rsid w:val="00BC26C1"/>
    <w:rsid w:val="00BE0D0E"/>
    <w:rsid w:val="00BF3DD6"/>
    <w:rsid w:val="00C1100F"/>
    <w:rsid w:val="00C50B28"/>
    <w:rsid w:val="00C53F27"/>
    <w:rsid w:val="00C93F89"/>
    <w:rsid w:val="00C94B6E"/>
    <w:rsid w:val="00CB479A"/>
    <w:rsid w:val="00CC48AA"/>
    <w:rsid w:val="00CC6EA6"/>
    <w:rsid w:val="00CF545E"/>
    <w:rsid w:val="00D23D39"/>
    <w:rsid w:val="00D34703"/>
    <w:rsid w:val="00DA348F"/>
    <w:rsid w:val="00DD670F"/>
    <w:rsid w:val="00DF42F2"/>
    <w:rsid w:val="00E103BB"/>
    <w:rsid w:val="00E1601B"/>
    <w:rsid w:val="00E3032C"/>
    <w:rsid w:val="00E45AFF"/>
    <w:rsid w:val="00E9048A"/>
    <w:rsid w:val="00EC39CE"/>
    <w:rsid w:val="00EF0744"/>
    <w:rsid w:val="00EF7CB5"/>
    <w:rsid w:val="00F82FD6"/>
    <w:rsid w:val="00F95755"/>
    <w:rsid w:val="00FA3938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0"/>
        <o:entry new="7" old="0"/>
        <o:entry new="8" old="0"/>
      </o:regrouptable>
    </o:shapelayout>
  </w:shapeDefaults>
  <w:decimalSymbol w:val="."/>
  <w:listSeparator w:val=","/>
  <w14:docId w14:val="7A56F7AF"/>
  <w15:chartTrackingRefBased/>
  <w15:docId w15:val="{FDF6A0C5-4366-48C4-8626-7DED18D0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9CE"/>
    <w:pPr>
      <w:overflowPunct w:val="0"/>
      <w:autoSpaceDE w:val="0"/>
      <w:autoSpaceDN w:val="0"/>
      <w:bidi/>
      <w:adjustRightInd w:val="0"/>
      <w:spacing w:before="120" w:after="120" w:line="192" w:lineRule="auto"/>
      <w:ind w:left="187"/>
      <w:jc w:val="both"/>
      <w:textAlignment w:val="baseline"/>
    </w:pPr>
    <w:rPr>
      <w:rFonts w:ascii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qFormat/>
    <w:rsid w:val="00C50B28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4"/>
      <w:szCs w:val="32"/>
    </w:rPr>
  </w:style>
  <w:style w:type="paragraph" w:styleId="Heading2">
    <w:name w:val="heading 2"/>
    <w:basedOn w:val="Heading1"/>
    <w:next w:val="Normal"/>
    <w:qFormat/>
    <w:rsid w:val="00C50B28"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qFormat/>
    <w:rsid w:val="00C50B28"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C50B28"/>
    <w:pPr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0B28"/>
    <w:pPr>
      <w:outlineLvl w:val="4"/>
    </w:pPr>
  </w:style>
  <w:style w:type="paragraph" w:styleId="Heading6">
    <w:name w:val="heading 6"/>
    <w:basedOn w:val="Heading4"/>
    <w:next w:val="Normal"/>
    <w:qFormat/>
    <w:pPr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link w:val="ArtheadingChar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customStyle="1" w:styleId="ArtheadingChar">
    <w:name w:val="Art_heading Char"/>
    <w:basedOn w:val="DefaultParagraphFont"/>
    <w:link w:val="Artheading"/>
    <w:rsid w:val="001568ED"/>
    <w:rPr>
      <w:rFonts w:cs="Traditional Arabic"/>
      <w:b/>
      <w:sz w:val="28"/>
      <w:szCs w:val="30"/>
      <w:lang w:val="en-US" w:eastAsia="fr-FR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aftertitle"/>
    <w:rsid w:val="0030719D"/>
  </w:style>
  <w:style w:type="paragraph" w:customStyle="1" w:styleId="AnnexNotitle">
    <w:name w:val="Annex_No &amp; title"/>
    <w:basedOn w:val="Normal"/>
    <w:next w:val="Normalaftertitle"/>
    <w:rsid w:val="00C50B28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SN1">
    <w:name w:val="ASN.1"/>
    <w:basedOn w:val="Normal"/>
    <w:semiHidden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ind w:left="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DD670F"/>
    <w:pPr>
      <w:keepNext/>
      <w:keepLines/>
      <w:spacing w:before="160"/>
      <w:ind w:left="794"/>
    </w:pPr>
    <w:rPr>
      <w:i/>
      <w:iCs/>
      <w:lang w:bidi="ar-EG"/>
    </w:rPr>
  </w:style>
  <w:style w:type="paragraph" w:customStyle="1" w:styleId="enumlev1">
    <w:name w:val="enumlev1"/>
    <w:basedOn w:val="Normal"/>
    <w:rsid w:val="00402F6B"/>
    <w:pPr>
      <w:ind w:left="794" w:hanging="794"/>
    </w:pPr>
    <w:rPr>
      <w:lang w:bidi="ar-EG"/>
    </w:rPr>
  </w:style>
  <w:style w:type="paragraph" w:customStyle="1" w:styleId="enumlev2">
    <w:name w:val="enumlev2"/>
    <w:basedOn w:val="enumlev1"/>
    <w:rsid w:val="000F6D38"/>
    <w:pPr>
      <w:ind w:left="1248" w:hanging="454"/>
    </w:pPr>
  </w:style>
  <w:style w:type="paragraph" w:customStyle="1" w:styleId="enumlev3">
    <w:name w:val="enumlev3"/>
    <w:basedOn w:val="enumlev2"/>
    <w:rsid w:val="000F6D38"/>
    <w:pPr>
      <w:ind w:left="1701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rsid w:val="00CF545E"/>
    <w:pPr>
      <w:spacing w:before="20" w:after="60" w:line="260" w:lineRule="exact"/>
      <w:jc w:val="left"/>
    </w:pPr>
    <w:rPr>
      <w:szCs w:val="26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 w:line="168" w:lineRule="auto"/>
      <w:ind w:left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1601B"/>
    <w:rPr>
      <w:rFonts w:cs="Times New Roman"/>
      <w:position w:val="6"/>
      <w:sz w:val="24"/>
      <w:szCs w:val="24"/>
      <w:vertAlign w:val="superscript"/>
    </w:rPr>
  </w:style>
  <w:style w:type="paragraph" w:styleId="FootnoteText">
    <w:name w:val="footnote text"/>
    <w:basedOn w:val="Note"/>
    <w:rsid w:val="004B094A"/>
    <w:pPr>
      <w:keepLines/>
      <w:tabs>
        <w:tab w:val="left" w:pos="255"/>
      </w:tabs>
      <w:spacing w:before="60" w:line="180" w:lineRule="auto"/>
      <w:ind w:left="255" w:right="255" w:hanging="255"/>
    </w:pPr>
  </w:style>
  <w:style w:type="paragraph" w:customStyle="1" w:styleId="Note">
    <w:name w:val="Note"/>
    <w:basedOn w:val="Normal"/>
    <w:rsid w:val="004B094A"/>
    <w:pPr>
      <w:tabs>
        <w:tab w:val="left" w:pos="794"/>
        <w:tab w:val="left" w:pos="907"/>
        <w:tab w:val="left" w:pos="1191"/>
        <w:tab w:val="left" w:pos="1588"/>
        <w:tab w:val="left" w:pos="1985"/>
      </w:tabs>
      <w:spacing w:before="80"/>
    </w:pPr>
    <w:rPr>
      <w:szCs w:val="26"/>
    </w:rPr>
  </w:style>
  <w:style w:type="paragraph" w:styleId="Header">
    <w:name w:val="header"/>
    <w:basedOn w:val="Normal"/>
    <w:rsid w:val="00E1601B"/>
    <w:pPr>
      <w:spacing w:before="0" w:line="300" w:lineRule="exact"/>
      <w:jc w:val="center"/>
    </w:pPr>
    <w:rPr>
      <w:rFonts w:ascii="Times New Roman Bold" w:hAnsi="Times New Roman Bold"/>
      <w:b/>
      <w:bCs/>
      <w:sz w:val="2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ection1">
    <w:name w:val="Section_1"/>
    <w:basedOn w:val="Normal"/>
    <w:next w:val="Normal"/>
    <w:semiHidden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semiHidden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Pr>
      <w:rFonts w:ascii="Times New Roman Bold" w:hAnsi="Times New Roman Bold"/>
    </w:rPr>
  </w:style>
  <w:style w:type="paragraph" w:customStyle="1" w:styleId="RecNo">
    <w:name w:val="Rec_No"/>
    <w:basedOn w:val="Normal"/>
    <w:next w:val="Rectitle"/>
    <w:rsid w:val="00C50B28"/>
    <w:pPr>
      <w:keepNext/>
      <w:keepLines/>
      <w:spacing w:before="0"/>
      <w:jc w:val="center"/>
    </w:pPr>
    <w:rPr>
      <w:rFonts w:eastAsia="NSimSun"/>
      <w:sz w:val="26"/>
      <w:szCs w:val="36"/>
    </w:rPr>
  </w:style>
  <w:style w:type="paragraph" w:customStyle="1" w:styleId="Rectitle">
    <w:name w:val="Rec_title"/>
    <w:basedOn w:val="Normal"/>
    <w:next w:val="Normalaftertitle"/>
    <w:rsid w:val="00C50B28"/>
    <w:pPr>
      <w:keepNext/>
      <w:keepLines/>
      <w:spacing w:before="240"/>
      <w:jc w:val="center"/>
    </w:pPr>
    <w:rPr>
      <w:rFonts w:ascii="Times New Roman Bold" w:eastAsia="NSimSun" w:hAnsi="Times New Roman Bold"/>
      <w:b/>
      <w:bCs/>
      <w:sz w:val="26"/>
      <w:szCs w:val="36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  <w:semiHidden/>
  </w:style>
  <w:style w:type="paragraph" w:customStyle="1" w:styleId="Reptitle">
    <w:name w:val="Rep_title"/>
    <w:basedOn w:val="Rectitle"/>
    <w:next w:val="Repref"/>
    <w:semiHidden/>
  </w:style>
  <w:style w:type="paragraph" w:customStyle="1" w:styleId="Repref">
    <w:name w:val="Rep_ref"/>
    <w:basedOn w:val="Recref"/>
    <w:next w:val="Repdate"/>
    <w:semiHidden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semiHidden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545E"/>
    <w:pPr>
      <w:keepNext/>
      <w:spacing w:before="40" w:after="80" w:line="260" w:lineRule="exact"/>
      <w:jc w:val="center"/>
    </w:pPr>
    <w:rPr>
      <w:rFonts w:ascii="Times New Roman Bold" w:hAnsi="Times New Roman Bold"/>
      <w:b/>
      <w:bCs/>
      <w:szCs w:val="26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">
    <w:name w:val="Table No"/>
    <w:basedOn w:val="Normal"/>
    <w:rsid w:val="004D79B4"/>
    <w:pPr>
      <w:spacing w:before="240"/>
      <w:jc w:val="center"/>
    </w:pPr>
    <w:rPr>
      <w:lang w:bidi="ar-EG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left" w:pos="964"/>
        <w:tab w:val="left" w:leader="dot" w:pos="8789"/>
        <w:tab w:val="right" w:pos="9639"/>
      </w:tabs>
      <w:bidi w:val="0"/>
      <w:spacing w:before="240" w:line="240" w:lineRule="auto"/>
      <w:ind w:left="680" w:right="851" w:hanging="680"/>
      <w:jc w:val="left"/>
    </w:pPr>
    <w:rPr>
      <w:rFonts w:cs="Times New Roman"/>
      <w:sz w:val="24"/>
      <w:szCs w:val="20"/>
    </w:rPr>
  </w:style>
  <w:style w:type="paragraph" w:styleId="TOC2">
    <w:name w:val="toc 2"/>
    <w:basedOn w:val="TOC1"/>
    <w:pPr>
      <w:spacing w:before="80"/>
      <w:ind w:left="1531" w:righ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semiHidden/>
    <w:rPr>
      <w:rFonts w:ascii="Times New Roman" w:hAnsi="Times New Roman"/>
      <w:b/>
    </w:rPr>
  </w:style>
  <w:style w:type="character" w:customStyle="1" w:styleId="Appref">
    <w:name w:val="App_ref"/>
    <w:basedOn w:val="DefaultParagraphFont"/>
    <w:semiHidden/>
  </w:style>
  <w:style w:type="character" w:customStyle="1" w:styleId="Artdef">
    <w:name w:val="Art_def"/>
    <w:basedOn w:val="DefaultParagraphFont"/>
    <w:semiHidden/>
    <w:rPr>
      <w:rFonts w:ascii="Times New Roman" w:hAnsi="Times New Roman"/>
      <w:b/>
    </w:rPr>
  </w:style>
  <w:style w:type="paragraph" w:customStyle="1" w:styleId="FigureNo">
    <w:name w:val="Figure_No"/>
    <w:basedOn w:val="Normal"/>
    <w:rsid w:val="00EF0744"/>
    <w:pPr>
      <w:spacing w:after="80"/>
      <w:jc w:val="center"/>
    </w:pPr>
    <w:rPr>
      <w:rFonts w:ascii="Times New Roman Bold" w:hAnsi="Times New Roman Bold"/>
      <w:b/>
      <w:bCs/>
      <w:lang w:val="fr-FR" w:bidi="ar-EG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semiHidden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semiHidden/>
    <w:rPr>
      <w:b/>
      <w:color w:val="auto"/>
    </w:rPr>
  </w:style>
  <w:style w:type="paragraph" w:customStyle="1" w:styleId="Formal">
    <w:name w:val="Formal"/>
    <w:basedOn w:val="ASN1"/>
    <w:semiHidden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link w:val="HeadingbChar"/>
    <w:rsid w:val="00C50B28"/>
    <w:pPr>
      <w:keepNext/>
      <w:spacing w:before="180"/>
    </w:pPr>
    <w:rPr>
      <w:rFonts w:ascii="Times New Roman Bold" w:hAnsi="Times New Roman Bold"/>
      <w:b/>
      <w:bCs/>
    </w:rPr>
  </w:style>
  <w:style w:type="paragraph" w:customStyle="1" w:styleId="Section2">
    <w:name w:val="Section_2"/>
    <w:basedOn w:val="Normal"/>
    <w:next w:val="Normal"/>
    <w:semiHidden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  <w:semiHidden/>
  </w:style>
  <w:style w:type="paragraph" w:customStyle="1" w:styleId="ResNoBR">
    <w:name w:val="Res_No_BR"/>
    <w:basedOn w:val="RecNoBR"/>
    <w:next w:val="Restitle"/>
  </w:style>
  <w:style w:type="paragraph" w:customStyle="1" w:styleId="Tabletitle">
    <w:name w:val="Table_title"/>
    <w:basedOn w:val="TableNo"/>
    <w:rsid w:val="004D79B4"/>
    <w:pPr>
      <w:spacing w:before="120" w:after="80"/>
    </w:pPr>
    <w:rPr>
      <w:rFonts w:ascii="Times New Roman Bold" w:hAnsi="Times New Roman Bold"/>
      <w:b/>
      <w:bCs/>
    </w:rPr>
  </w:style>
  <w:style w:type="paragraph" w:customStyle="1" w:styleId="Tableref">
    <w:name w:val="Table_ref"/>
    <w:basedOn w:val="Normal"/>
    <w:next w:val="Normal"/>
    <w:semiHidden/>
    <w:pPr>
      <w:keepNext/>
      <w:spacing w:before="0"/>
      <w:jc w:val="center"/>
    </w:pPr>
  </w:style>
  <w:style w:type="character" w:customStyle="1" w:styleId="Recdef">
    <w:name w:val="Rec_def"/>
    <w:basedOn w:val="DefaultParagraphFont"/>
    <w:semiHidden/>
    <w:rPr>
      <w:b/>
    </w:rPr>
  </w:style>
  <w:style w:type="paragraph" w:styleId="BodyText">
    <w:name w:val="Body Text"/>
    <w:basedOn w:val="Normal"/>
    <w:rsid w:val="00C94B6E"/>
    <w:pPr>
      <w:widowControl w:val="0"/>
      <w:spacing w:before="240"/>
    </w:pPr>
    <w:rPr>
      <w:szCs w:val="26"/>
    </w:rPr>
  </w:style>
  <w:style w:type="paragraph" w:styleId="BlockText">
    <w:name w:val="Block Text"/>
    <w:basedOn w:val="Normal"/>
    <w:semiHidden/>
    <w:rsid w:val="00C94B6E"/>
    <w:pPr>
      <w:widowControl w:val="0"/>
      <w:ind w:left="-1" w:firstLine="721"/>
    </w:pPr>
    <w:rPr>
      <w:szCs w:val="26"/>
    </w:rPr>
  </w:style>
  <w:style w:type="paragraph" w:customStyle="1" w:styleId="RefText0">
    <w:name w:val="Ref_Text"/>
    <w:basedOn w:val="Normal"/>
    <w:rsid w:val="00C94B6E"/>
    <w:pPr>
      <w:widowControl w:val="0"/>
      <w:tabs>
        <w:tab w:val="left" w:pos="794"/>
        <w:tab w:val="left" w:pos="1191"/>
        <w:tab w:val="left" w:pos="1588"/>
        <w:tab w:val="left" w:pos="1985"/>
      </w:tabs>
      <w:bidi w:val="0"/>
      <w:spacing w:before="136"/>
      <w:ind w:left="567" w:hanging="567"/>
    </w:pPr>
    <w:rPr>
      <w:sz w:val="18"/>
      <w:szCs w:val="21"/>
    </w:rPr>
  </w:style>
  <w:style w:type="paragraph" w:styleId="BodyTextIndent">
    <w:name w:val="Body Text Indent"/>
    <w:basedOn w:val="Normal"/>
    <w:semiHidden/>
    <w:rsid w:val="00C94B6E"/>
    <w:pPr>
      <w:tabs>
        <w:tab w:val="left" w:pos="849"/>
      </w:tabs>
      <w:ind w:left="720"/>
    </w:pPr>
    <w:rPr>
      <w:b/>
      <w:bCs/>
      <w:sz w:val="32"/>
      <w:szCs w:val="32"/>
    </w:rPr>
  </w:style>
  <w:style w:type="paragraph" w:styleId="BodyTextIndent2">
    <w:name w:val="Body Text Indent 2"/>
    <w:basedOn w:val="Normal"/>
    <w:semiHidden/>
    <w:rsid w:val="00C94B6E"/>
    <w:pPr>
      <w:tabs>
        <w:tab w:val="left" w:pos="849"/>
      </w:tabs>
      <w:ind w:left="360"/>
    </w:pPr>
    <w:rPr>
      <w:b/>
      <w:bCs/>
      <w:sz w:val="32"/>
      <w:szCs w:val="32"/>
    </w:rPr>
  </w:style>
  <w:style w:type="paragraph" w:styleId="BodyText2">
    <w:name w:val="Body Text 2"/>
    <w:basedOn w:val="Normal"/>
    <w:rsid w:val="00C94B6E"/>
    <w:pPr>
      <w:tabs>
        <w:tab w:val="left" w:pos="849"/>
      </w:tabs>
    </w:pPr>
    <w:rPr>
      <w:b/>
      <w:bCs/>
      <w:sz w:val="32"/>
      <w:szCs w:val="32"/>
    </w:rPr>
  </w:style>
  <w:style w:type="character" w:styleId="Hyperlink">
    <w:name w:val="Hyperlink"/>
    <w:basedOn w:val="DefaultParagraphFont"/>
    <w:rsid w:val="00DA348F"/>
    <w:rPr>
      <w:color w:val="0000FF"/>
      <w:u w:val="single"/>
    </w:rPr>
  </w:style>
  <w:style w:type="table" w:styleId="TableGrid">
    <w:name w:val="Table Grid"/>
    <w:basedOn w:val="TableNormal"/>
    <w:rsid w:val="005B530B"/>
    <w:pPr>
      <w:tabs>
        <w:tab w:val="left" w:pos="794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_Title"/>
    <w:basedOn w:val="FigureNo"/>
    <w:next w:val="Normal"/>
    <w:rsid w:val="00EF0744"/>
  </w:style>
  <w:style w:type="paragraph" w:customStyle="1" w:styleId="TableNotitle">
    <w:name w:val="Table_No &amp; title"/>
    <w:basedOn w:val="Normal"/>
    <w:next w:val="Tablehead"/>
    <w:autoRedefine/>
    <w:rsid w:val="00EC39CE"/>
    <w:pPr>
      <w:keepNext/>
      <w:keepLines/>
      <w:jc w:val="center"/>
    </w:pPr>
    <w:rPr>
      <w:rFonts w:ascii="Times New Roman Bold" w:hAnsi="Times New Roman Bold"/>
      <w:b/>
      <w:bCs/>
      <w:sz w:val="22"/>
    </w:rPr>
  </w:style>
  <w:style w:type="character" w:customStyle="1" w:styleId="HeadingbChar">
    <w:name w:val="Heading_b Char"/>
    <w:link w:val="Headingb"/>
    <w:locked/>
    <w:rsid w:val="00214241"/>
    <w:rPr>
      <w:rFonts w:ascii="Times New Roman Bold" w:hAnsi="Times New Roman Bold" w:cs="Traditional Arabic"/>
      <w:b/>
      <w:bCs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7E0F-DA8F-48AC-8D2E-8ADB13F1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Al-Yammouni, Hala</cp:lastModifiedBy>
  <cp:revision>8</cp:revision>
  <cp:lastPrinted>2020-04-30T13:33:00Z</cp:lastPrinted>
  <dcterms:created xsi:type="dcterms:W3CDTF">2018-10-18T06:33:00Z</dcterms:created>
  <dcterms:modified xsi:type="dcterms:W3CDTF">2020-04-30T13:38:00Z</dcterms:modified>
</cp:coreProperties>
</file>