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3F1020" w14:textId="7F025D9C" w:rsidR="00BB3F73" w:rsidRPr="00AA768A" w:rsidRDefault="00BB3F73" w:rsidP="007141E0">
      <w:pPr>
        <w:pStyle w:val="RecNo"/>
        <w:spacing w:before="0"/>
        <w:rPr>
          <w:lang w:val="es-ES"/>
        </w:rPr>
      </w:pPr>
      <w:bookmarkStart w:id="0" w:name="_GoBack"/>
      <w:bookmarkEnd w:id="0"/>
      <w:r>
        <w:rPr>
          <w:lang w:val="es-ES"/>
        </w:rPr>
        <w:t>R</w:t>
      </w:r>
      <w:r w:rsidRPr="00AA768A">
        <w:rPr>
          <w:lang w:val="es-ES"/>
        </w:rPr>
        <w:t>ECOMENDACIÓN</w:t>
      </w:r>
      <w:r>
        <w:rPr>
          <w:lang w:val="es-ES"/>
        </w:rPr>
        <w:t xml:space="preserve">  </w:t>
      </w:r>
      <w:r w:rsidRPr="00BB3F73">
        <w:rPr>
          <w:rStyle w:val="href"/>
          <w:lang w:val="es-ES_tradnl"/>
        </w:rPr>
        <w:t>UIT-R  SM.337-6</w:t>
      </w:r>
      <w:r w:rsidR="007141E0">
        <w:rPr>
          <w:rStyle w:val="FootnoteReference"/>
          <w:lang w:val="es-ES_tradnl"/>
        </w:rPr>
        <w:footnoteReference w:customMarkFollows="1" w:id="1"/>
        <w:t>*</w:t>
      </w:r>
    </w:p>
    <w:p w14:paraId="035A9E9B" w14:textId="77777777" w:rsidR="00BB3F73" w:rsidRPr="00AA768A" w:rsidRDefault="00BB3F73" w:rsidP="007141E0">
      <w:pPr>
        <w:pStyle w:val="Rectitle"/>
        <w:rPr>
          <w:lang w:val="es-ES"/>
        </w:rPr>
      </w:pPr>
      <w:r>
        <w:rPr>
          <w:lang w:val="es-ES"/>
        </w:rPr>
        <w:t xml:space="preserve">Separaciones en frecuencia </w:t>
      </w:r>
      <w:r w:rsidRPr="00AA768A">
        <w:rPr>
          <w:lang w:val="es-ES"/>
        </w:rPr>
        <w:t>y</w:t>
      </w:r>
      <w:r>
        <w:rPr>
          <w:lang w:val="es-ES"/>
        </w:rPr>
        <w:t xml:space="preserve"> en </w:t>
      </w:r>
      <w:r w:rsidRPr="00AA768A">
        <w:rPr>
          <w:lang w:val="es-ES"/>
        </w:rPr>
        <w:t>distancia</w:t>
      </w:r>
    </w:p>
    <w:p w14:paraId="345DB848" w14:textId="77777777" w:rsidR="00BB3F73" w:rsidRPr="00AA768A" w:rsidRDefault="00BB3F73" w:rsidP="007141E0">
      <w:pPr>
        <w:pStyle w:val="Recdate"/>
        <w:rPr>
          <w:lang w:val="es-ES"/>
        </w:rPr>
      </w:pPr>
      <w:r w:rsidRPr="00AA768A">
        <w:rPr>
          <w:lang w:val="es-ES"/>
        </w:rPr>
        <w:t>(1948-1951-1953-1963-1970-1974-1990-1992-1997</w:t>
      </w:r>
      <w:r>
        <w:rPr>
          <w:lang w:val="es-ES"/>
        </w:rPr>
        <w:t>-2007-2008</w:t>
      </w:r>
      <w:r w:rsidRPr="00AA768A">
        <w:rPr>
          <w:lang w:val="es-ES"/>
        </w:rPr>
        <w:t>)</w:t>
      </w:r>
    </w:p>
    <w:p w14:paraId="0BBEF36F" w14:textId="77777777" w:rsidR="00BB3F73" w:rsidRPr="00524B59" w:rsidRDefault="00BB3F73" w:rsidP="007141E0">
      <w:pPr>
        <w:pStyle w:val="HeadingSum"/>
      </w:pPr>
      <w:r w:rsidRPr="007141E0">
        <w:t>Alcance</w:t>
      </w:r>
    </w:p>
    <w:p w14:paraId="378D93CF" w14:textId="7A76923E" w:rsidR="00BB3F73" w:rsidRDefault="00BB3F73" w:rsidP="00BB3F73">
      <w:pPr>
        <w:pStyle w:val="Summary"/>
        <w:rPr>
          <w:b/>
          <w:lang w:val="es-ES"/>
        </w:rPr>
      </w:pPr>
      <w:r w:rsidRPr="00524B59">
        <w:rPr>
          <w:lang w:val="es-ES"/>
        </w:rPr>
        <w:t>En la presente Recomendación se describen los procedimientos para calcular las separaciones en frecuencia y en distancia a fin de lograr un nivel de interferencia aceptable.</w:t>
      </w:r>
      <w:r w:rsidRPr="007141E0">
        <w:rPr>
          <w:b/>
          <w:lang w:val="es-ES"/>
        </w:rPr>
        <w:t xml:space="preserve"> </w:t>
      </w:r>
    </w:p>
    <w:p w14:paraId="0E64B9BA" w14:textId="77777777" w:rsidR="007141E0" w:rsidRPr="007141E0" w:rsidRDefault="007141E0" w:rsidP="007141E0">
      <w:pPr>
        <w:pStyle w:val="Headingb"/>
        <w:rPr>
          <w:rFonts w:eastAsia="Batang"/>
          <w:lang w:val="es-ES_tradnl"/>
        </w:rPr>
      </w:pPr>
      <w:r w:rsidRPr="007141E0">
        <w:rPr>
          <w:rFonts w:eastAsia="Batang"/>
          <w:lang w:val="es-ES_tradnl"/>
        </w:rPr>
        <w:t>Palabras clave</w:t>
      </w:r>
    </w:p>
    <w:p w14:paraId="31D53DB9" w14:textId="4935C3DA" w:rsidR="007141E0" w:rsidRPr="007141E0" w:rsidRDefault="007141E0" w:rsidP="007141E0">
      <w:pPr>
        <w:rPr>
          <w:lang w:val="es-ES"/>
        </w:rPr>
      </w:pPr>
      <w:r>
        <w:rPr>
          <w:rFonts w:eastAsia="Calibri"/>
          <w:lang w:val="es-ES_tradnl"/>
        </w:rPr>
        <w:t>N</w:t>
      </w:r>
      <w:r w:rsidRPr="007141E0">
        <w:rPr>
          <w:rFonts w:eastAsia="Calibri"/>
          <w:lang w:val="es-ES_tradnl"/>
        </w:rPr>
        <w:t>ivel de interferencia, selectividad del receptor, canal, separación de frecuencias, relación de protección</w:t>
      </w:r>
    </w:p>
    <w:p w14:paraId="4D6C45AA" w14:textId="77777777" w:rsidR="00BB3F73" w:rsidRPr="00AA768A" w:rsidRDefault="00BB3F73" w:rsidP="007141E0">
      <w:pPr>
        <w:pStyle w:val="Normalaftertitle"/>
        <w:rPr>
          <w:lang w:val="es-ES"/>
        </w:rPr>
      </w:pPr>
      <w:r w:rsidRPr="00AA768A">
        <w:rPr>
          <w:lang w:val="es-ES"/>
        </w:rPr>
        <w:t>La Asamblea de Radiocomunicaciones de la UIT,</w:t>
      </w:r>
    </w:p>
    <w:p w14:paraId="4DB95FF3" w14:textId="77777777" w:rsidR="00BB3F73" w:rsidRPr="00AA768A" w:rsidRDefault="00BB3F73" w:rsidP="007141E0">
      <w:pPr>
        <w:pStyle w:val="Call"/>
        <w:rPr>
          <w:lang w:val="es-ES"/>
        </w:rPr>
      </w:pPr>
      <w:r w:rsidRPr="00AA768A">
        <w:rPr>
          <w:lang w:val="es-ES"/>
        </w:rPr>
        <w:t>considerando</w:t>
      </w:r>
    </w:p>
    <w:p w14:paraId="5BA2DB45" w14:textId="77777777" w:rsidR="00BB3F73" w:rsidRPr="000212C9" w:rsidRDefault="00BB3F73" w:rsidP="007141E0">
      <w:r w:rsidRPr="000212C9">
        <w:t>a)</w:t>
      </w:r>
      <w:r w:rsidRPr="000212C9">
        <w:tab/>
        <w:t>que los factores primordiales que determinan los criterios apropiados de separación en frecuencia o en distancia son, en los casos más usuales:</w:t>
      </w:r>
    </w:p>
    <w:p w14:paraId="11C2D8C9" w14:textId="77777777" w:rsidR="00BB3F73" w:rsidRPr="00BB3F73" w:rsidRDefault="00BB3F73" w:rsidP="007141E0">
      <w:pPr>
        <w:pStyle w:val="enumlev1"/>
        <w:rPr>
          <w:lang w:val="es-ES_tradnl"/>
        </w:rPr>
      </w:pPr>
      <w:r w:rsidRPr="00BB3F73">
        <w:rPr>
          <w:lang w:val="es-ES_tradnl"/>
        </w:rPr>
        <w:t>–</w:t>
      </w:r>
      <w:r w:rsidRPr="00BB3F73">
        <w:rPr>
          <w:lang w:val="es-ES_tradnl"/>
        </w:rPr>
        <w:tab/>
        <w:t>la potencia y la distribución espectral de la señal requerida en el receptor;</w:t>
      </w:r>
    </w:p>
    <w:p w14:paraId="7B034E03" w14:textId="77777777" w:rsidR="00BB3F73" w:rsidRPr="00BB3F73" w:rsidRDefault="00BB3F73" w:rsidP="007141E0">
      <w:pPr>
        <w:pStyle w:val="enumlev1"/>
        <w:rPr>
          <w:lang w:val="es-ES_tradnl"/>
        </w:rPr>
      </w:pPr>
      <w:r w:rsidRPr="00BB3F73">
        <w:rPr>
          <w:lang w:val="es-ES_tradnl"/>
        </w:rPr>
        <w:t>–</w:t>
      </w:r>
      <w:r w:rsidRPr="00BB3F73">
        <w:rPr>
          <w:lang w:val="es-ES_tradnl"/>
        </w:rPr>
        <w:tab/>
        <w:t>la potencia y la distribución espectral de las señales interferentes y el ruido captado por el receptor;</w:t>
      </w:r>
    </w:p>
    <w:p w14:paraId="48D4D5BB" w14:textId="77777777" w:rsidR="00BB3F73" w:rsidRPr="00BB3F73" w:rsidRDefault="00BB3F73" w:rsidP="007141E0">
      <w:pPr>
        <w:pStyle w:val="enumlev1"/>
        <w:rPr>
          <w:lang w:val="es-ES_tradnl"/>
        </w:rPr>
      </w:pPr>
      <w:r w:rsidRPr="00BB3F73">
        <w:rPr>
          <w:lang w:val="es-ES_tradnl"/>
        </w:rPr>
        <w:t>–</w:t>
      </w:r>
      <w:r w:rsidRPr="00BB3F73">
        <w:rPr>
          <w:lang w:val="es-ES_tradnl"/>
        </w:rPr>
        <w:tab/>
        <w:t>la dependencia de la distancia de las pérdidas de transmisión entre equipos radioeléctricos;</w:t>
      </w:r>
    </w:p>
    <w:p w14:paraId="28183E87" w14:textId="77777777" w:rsidR="00BB3F73" w:rsidRPr="000212C9" w:rsidRDefault="00BB3F73" w:rsidP="007141E0">
      <w:r w:rsidRPr="000212C9">
        <w:t>b)</w:t>
      </w:r>
      <w:r w:rsidRPr="000212C9">
        <w:tab/>
        <w:t>que por lo general, un transmisor emite radiaciones fuera de la banda de frecuencias necesariamente ocupada por la emisión;</w:t>
      </w:r>
    </w:p>
    <w:p w14:paraId="4523817B" w14:textId="77777777" w:rsidR="00BB3F73" w:rsidRPr="000212C9" w:rsidRDefault="00BB3F73" w:rsidP="007141E0">
      <w:r w:rsidRPr="000212C9">
        <w:t>c)</w:t>
      </w:r>
      <w:r w:rsidRPr="000212C9">
        <w:tab/>
        <w:t>que intervienen también gran número de otros factores, tales como las propiedades del medio de transmisión, que son de carácter variable y difíciles de determinar, las características del receptor y, en el caso de recepción auditiva, las propiedades de discriminación del oído humano;</w:t>
      </w:r>
    </w:p>
    <w:p w14:paraId="7E2B2D9D" w14:textId="77777777" w:rsidR="00BB3F73" w:rsidRPr="000212C9" w:rsidRDefault="00BB3F73" w:rsidP="007141E0">
      <w:r w:rsidRPr="000212C9">
        <w:t>d)</w:t>
      </w:r>
      <w:r w:rsidRPr="000212C9">
        <w:tab/>
        <w:t xml:space="preserve">que es posible </w:t>
      </w:r>
      <w:r>
        <w:t>llegar a soluciones de compromiso</w:t>
      </w:r>
      <w:r w:rsidRPr="000212C9">
        <w:t xml:space="preserve"> con respecto a la separación de frecuencia o en distancia de los equipos radioeléctricos,</w:t>
      </w:r>
    </w:p>
    <w:p w14:paraId="5981C962" w14:textId="77777777" w:rsidR="00BB3F73" w:rsidRPr="00AA768A" w:rsidRDefault="00BB3F73" w:rsidP="007141E0">
      <w:pPr>
        <w:pStyle w:val="Call"/>
        <w:rPr>
          <w:lang w:val="es-ES"/>
        </w:rPr>
      </w:pPr>
      <w:r w:rsidRPr="00AA768A">
        <w:rPr>
          <w:szCs w:val="24"/>
          <w:lang w:val="es-ES"/>
        </w:rPr>
        <w:t>recomienda</w:t>
      </w:r>
    </w:p>
    <w:p w14:paraId="63179D6D" w14:textId="77777777" w:rsidR="00BB3F73" w:rsidRPr="000212C9" w:rsidRDefault="00BB3F73" w:rsidP="007141E0">
      <w:r w:rsidRPr="000212C9">
        <w:rPr>
          <w:b/>
        </w:rPr>
        <w:t>1</w:t>
      </w:r>
      <w:r w:rsidRPr="000212C9">
        <w:tab/>
        <w:t>que las separaciones en frecuencia y en distancia entre equipos radioeléctricos se calculen según el método siguiente:</w:t>
      </w:r>
    </w:p>
    <w:p w14:paraId="1BFF3CDC" w14:textId="77777777" w:rsidR="00BB3F73" w:rsidRPr="000212C9" w:rsidRDefault="00BB3F73" w:rsidP="007141E0">
      <w:r w:rsidRPr="000212C9">
        <w:rPr>
          <w:b/>
        </w:rPr>
        <w:t>1.1</w:t>
      </w:r>
      <w:r w:rsidRPr="000212C9">
        <w:tab/>
        <w:t>determinación de la potencia y la distribución espectral de la señal captada por el receptor;</w:t>
      </w:r>
    </w:p>
    <w:p w14:paraId="29CE8ABB" w14:textId="77777777" w:rsidR="00BB3F73" w:rsidRPr="000212C9" w:rsidRDefault="00BB3F73" w:rsidP="007141E0">
      <w:r w:rsidRPr="000212C9">
        <w:rPr>
          <w:b/>
        </w:rPr>
        <w:t>1.2</w:t>
      </w:r>
      <w:r w:rsidRPr="000212C9">
        <w:tab/>
        <w:t>determinación de la potencia y la distribución espectral de las señales interferentes y del ruido captados por el receptor;</w:t>
      </w:r>
    </w:p>
    <w:p w14:paraId="73ACF45C" w14:textId="77777777" w:rsidR="00BB3F73" w:rsidRPr="000212C9" w:rsidRDefault="00BB3F73" w:rsidP="007141E0">
      <w:r w:rsidRPr="000212C9">
        <w:rPr>
          <w:b/>
        </w:rPr>
        <w:t>1.3</w:t>
      </w:r>
      <w:r w:rsidRPr="000212C9">
        <w:tab/>
        <w:t>determinación de los efectos interactivos entre señales deseadas, interferentes y las características del receptor para varias separaciones de frecuencia o distancia usando las ecuaciones básicas del Anexo 1 y en caso necesario aproximaciones simples de la expresión integral, así como el concepto descrito en el Anexo 2;</w:t>
      </w:r>
    </w:p>
    <w:p w14:paraId="4D2751C0" w14:textId="77777777" w:rsidR="00BB3F73" w:rsidRPr="00D4310B" w:rsidRDefault="00BB3F73" w:rsidP="007141E0">
      <w:r w:rsidRPr="00D4310B">
        <w:rPr>
          <w:b/>
        </w:rPr>
        <w:t>1.4</w:t>
      </w:r>
      <w:r w:rsidRPr="00D4310B">
        <w:tab/>
        <w:t>determinación, con ayuda de estos elementos, de la separación en frecuencia o en distancia que asegure la calidad y la probabilidad de servicio necesarias para el tipo de comunicación requerido, teniendo en cuenta el carácter fluctuante de la señal y de la interferencia y, en su caso, las propiedades de discriminación del oyente u observador;</w:t>
      </w:r>
    </w:p>
    <w:p w14:paraId="787814FA" w14:textId="77777777" w:rsidR="00BB3F73" w:rsidRPr="000212C9" w:rsidRDefault="00BB3F73" w:rsidP="007141E0">
      <w:r w:rsidRPr="000212C9">
        <w:rPr>
          <w:b/>
        </w:rPr>
        <w:t>1.5</w:t>
      </w:r>
      <w:r w:rsidRPr="000212C9">
        <w:tab/>
        <w:t>determinar los modelos de propagación UIT-R apropiados que deban ser utilizados;</w:t>
      </w:r>
    </w:p>
    <w:p w14:paraId="31C9C00B" w14:textId="77777777" w:rsidR="00BB3F73" w:rsidRPr="000212C9" w:rsidRDefault="00BB3F73" w:rsidP="007141E0">
      <w:r w:rsidRPr="000212C9">
        <w:rPr>
          <w:b/>
        </w:rPr>
        <w:lastRenderedPageBreak/>
        <w:t>2</w:t>
      </w:r>
      <w:r w:rsidRPr="000212C9">
        <w:tab/>
        <w:t>que, en cada fase de este cálculo se haga una comparación, en la medida de lo posible, con los datos obtenidos bajo condiciones de trabajo controladas y representativas de las condiciones de explotación, particularmente en lo que se refiere al valor finalmente obtenido para la separación de frecuencia o en distancia entre equipos radioeléctricos.</w:t>
      </w:r>
    </w:p>
    <w:p w14:paraId="23D93E57" w14:textId="77777777" w:rsidR="00BB3F73" w:rsidRDefault="00BB3F73" w:rsidP="00BB3F73"/>
    <w:p w14:paraId="60394900" w14:textId="77777777" w:rsidR="0039622A" w:rsidRPr="000212C9" w:rsidRDefault="0039622A" w:rsidP="00BB3F73"/>
    <w:p w14:paraId="10B26416" w14:textId="77777777" w:rsidR="00BB3F73" w:rsidRDefault="00BB3F73" w:rsidP="007141E0">
      <w:pPr>
        <w:pStyle w:val="AnnexNoTitle"/>
        <w:rPr>
          <w:lang w:val="es-ES"/>
        </w:rPr>
      </w:pPr>
      <w:r>
        <w:rPr>
          <w:lang w:val="es-ES"/>
        </w:rPr>
        <w:t xml:space="preserve">Anexo </w:t>
      </w:r>
      <w:r w:rsidRPr="00D3215C">
        <w:rPr>
          <w:lang w:val="es-ES"/>
        </w:rPr>
        <w:t>1</w:t>
      </w:r>
      <w:r>
        <w:rPr>
          <w:lang w:val="es-ES"/>
        </w:rPr>
        <w:br/>
      </w:r>
      <w:r>
        <w:rPr>
          <w:lang w:val="es-ES"/>
        </w:rPr>
        <w:br/>
      </w:r>
      <w:r w:rsidRPr="00D3215C">
        <w:rPr>
          <w:lang w:val="es-ES"/>
        </w:rPr>
        <w:t>Ecuaciones básicas</w:t>
      </w:r>
    </w:p>
    <w:p w14:paraId="26B666BA" w14:textId="77777777" w:rsidR="00BB3F73" w:rsidRPr="00BB3F73" w:rsidRDefault="00BB3F73" w:rsidP="00BB3F73">
      <w:pPr>
        <w:pStyle w:val="Normalaftertitle"/>
        <w:rPr>
          <w:lang w:val="es-ES_tradnl"/>
        </w:rPr>
      </w:pPr>
      <w:r w:rsidRPr="00BB3F73">
        <w:rPr>
          <w:lang w:val="es-ES_tradnl"/>
        </w:rPr>
        <w:t>El presente Anexo indica las ecuaciones básicas que cuantifican los efectos recíprocos entre las señales deseadas, las interferentes y las características del receptor para distintas separaciones en distancia y en frecuencia. Las medidas son:</w:t>
      </w:r>
    </w:p>
    <w:p w14:paraId="3E8FB307" w14:textId="77777777" w:rsidR="00BB3F73" w:rsidRPr="00BB3F73" w:rsidRDefault="00BB3F73" w:rsidP="00BB3F73">
      <w:pPr>
        <w:pStyle w:val="enumlev1"/>
        <w:rPr>
          <w:lang w:val="es-ES_tradnl"/>
        </w:rPr>
      </w:pPr>
      <w:r w:rsidRPr="00BB3F73">
        <w:rPr>
          <w:lang w:val="es-ES_tradnl"/>
        </w:rPr>
        <w:t>–</w:t>
      </w:r>
      <w:r w:rsidRPr="00BB3F73">
        <w:rPr>
          <w:lang w:val="es-ES_tradnl"/>
        </w:rPr>
        <w:tab/>
        <w:t xml:space="preserve">el rechazo dependiente de la frecuencia (FDR – </w:t>
      </w:r>
      <w:r w:rsidRPr="00BB3F73">
        <w:rPr>
          <w:i/>
          <w:iCs/>
          <w:lang w:val="es-ES_tradnl"/>
        </w:rPr>
        <w:t>frequency dependent rejection</w:t>
      </w:r>
      <w:r w:rsidRPr="00BB3F73">
        <w:rPr>
          <w:lang w:val="es-ES_tradnl"/>
        </w:rPr>
        <w:t>) que es una medida del rechazo del espectro de emisión de un transmisor interferente proporcionada por la curva de selectividad del receptor;</w:t>
      </w:r>
    </w:p>
    <w:p w14:paraId="29D3FBFF" w14:textId="77777777" w:rsidR="00BB3F73" w:rsidRPr="00BB3F73" w:rsidRDefault="00BB3F73" w:rsidP="00BB3F73">
      <w:pPr>
        <w:pStyle w:val="enumlev1"/>
        <w:rPr>
          <w:lang w:val="es-ES_tradnl"/>
        </w:rPr>
      </w:pPr>
      <w:r w:rsidRPr="00BB3F73">
        <w:rPr>
          <w:lang w:val="es-ES_tradnl"/>
        </w:rPr>
        <w:t>–</w:t>
      </w:r>
      <w:r w:rsidRPr="00BB3F73">
        <w:rPr>
          <w:lang w:val="es-ES_tradnl"/>
        </w:rPr>
        <w:tab/>
        <w:t xml:space="preserve">la característica distancia en frecuencia (FD – </w:t>
      </w:r>
      <w:r w:rsidRPr="00BB3F73">
        <w:rPr>
          <w:i/>
          <w:iCs/>
          <w:lang w:val="es-ES_tradnl"/>
        </w:rPr>
        <w:t>frequency distance</w:t>
      </w:r>
      <w:r w:rsidRPr="00BB3F73">
        <w:rPr>
          <w:lang w:val="es-ES_tradnl"/>
        </w:rPr>
        <w:t>) que es la medida de la distancia mínima que debe existir entre un receptor interferido y una fuente de interferencia en función de la diferencia entre sus frecuencias de sintonía;</w:t>
      </w:r>
    </w:p>
    <w:p w14:paraId="4477210E" w14:textId="77777777" w:rsidR="00BB3F73" w:rsidRPr="00BB3F73" w:rsidRDefault="00BB3F73" w:rsidP="00BB3F73">
      <w:pPr>
        <w:pStyle w:val="enumlev1"/>
        <w:rPr>
          <w:lang w:val="es-ES_tradnl"/>
        </w:rPr>
      </w:pPr>
      <w:r w:rsidRPr="00BB3F73">
        <w:rPr>
          <w:lang w:val="es-ES_tradnl"/>
        </w:rPr>
        <w:t>–</w:t>
      </w:r>
      <w:r w:rsidRPr="00BB3F73">
        <w:rPr>
          <w:lang w:val="es-ES_tradnl"/>
        </w:rPr>
        <w:tab/>
        <w:t xml:space="preserve">el valor relativo de la relación de protección en radiofrecuencia, </w:t>
      </w:r>
      <w:r w:rsidRPr="00BB3F73">
        <w:rPr>
          <w:i/>
          <w:lang w:val="es-ES_tradnl"/>
        </w:rPr>
        <w:t>A</w:t>
      </w:r>
      <w:r w:rsidRPr="00BB3F73">
        <w:rPr>
          <w:lang w:val="es-ES_tradnl"/>
        </w:rPr>
        <w:t xml:space="preserve">, que es (véase la Recomendación UIT-R BS.560) la diferencia (dB), entre la relación de protección cuando las portadoras de los transmisores deseado e interferente tienen una diferencia de frecuencia, </w:t>
      </w:r>
      <w:r>
        <w:rPr>
          <w:rFonts w:ascii="Symbol" w:hAnsi="Symbol"/>
        </w:rPr>
        <w:t></w:t>
      </w:r>
      <w:r w:rsidRPr="00BB3F73">
        <w:rPr>
          <w:i/>
          <w:lang w:val="es-ES_tradnl"/>
        </w:rPr>
        <w:t>f</w:t>
      </w:r>
      <w:r w:rsidRPr="00BB3F73">
        <w:rPr>
          <w:lang w:val="es-ES_tradnl"/>
        </w:rPr>
        <w:t>, y la relación de protección cuando las portadoras de esos transmisores tienen la misma frecuencia.</w:t>
      </w:r>
    </w:p>
    <w:p w14:paraId="293BF180" w14:textId="77777777" w:rsidR="00BB3F73" w:rsidRPr="000212C9" w:rsidRDefault="00BB3F73" w:rsidP="00BB3F73">
      <w:r w:rsidRPr="000212C9">
        <w:t>La característica distancia en frecuencia y el rechazo dependiente de la frecuencia son medidas del mecanismo de acoplamiento de interferencia entre la fuente interferente y el receptor y constituyen soluciones básicas necesarias para la evaluación de numerosos casos de interferencia. Contribuyen a la solución de los problemas de compartición cocanal de frecuencias y de interferencia en las bandas o canales adyacentes al proporcionar estimaciones de los criterios de separación mínima en frecuencia y en distancia que debe existir entre la fuente de interferencia y el receptor para que el funcionamiento de ese último sea satisfactorio.</w:t>
      </w:r>
    </w:p>
    <w:p w14:paraId="7BAC860D" w14:textId="77777777" w:rsidR="00BB3F73" w:rsidRPr="000212C9" w:rsidRDefault="00BB3F73" w:rsidP="00BB3F73">
      <w:r w:rsidRPr="000212C9">
        <w:t>El nivel de interferencia en el receptor es función de las ganancias y pérdidas que la señal interferente experimenta entre la fuente de interferencia y el receptor y se expresa por:</w:t>
      </w:r>
    </w:p>
    <w:p w14:paraId="249F96A9" w14:textId="77777777" w:rsidR="00F91558" w:rsidRDefault="00F91558" w:rsidP="00F91558">
      <w:pPr>
        <w:pStyle w:val="Blanc"/>
      </w:pPr>
    </w:p>
    <w:p w14:paraId="1963A7A4" w14:textId="77777777" w:rsidR="00BB3F73" w:rsidRPr="009C7101" w:rsidRDefault="00BB3F73" w:rsidP="006825CD">
      <w:pPr>
        <w:pStyle w:val="Equation"/>
        <w:rPr>
          <w:lang w:val="da-DK"/>
        </w:rPr>
      </w:pPr>
      <w:r w:rsidRPr="00BB3F73">
        <w:rPr>
          <w:lang w:val="es-ES_tradnl"/>
        </w:rPr>
        <w:tab/>
      </w:r>
      <w:r w:rsidRPr="00BB3F73">
        <w:rPr>
          <w:lang w:val="es-ES_tradnl"/>
        </w:rPr>
        <w:tab/>
      </w:r>
      <w:r w:rsidRPr="009C7101">
        <w:rPr>
          <w:i/>
          <w:lang w:val="da-DK"/>
        </w:rPr>
        <w:t>I</w:t>
      </w:r>
      <w:r w:rsidRPr="009C7101">
        <w:rPr>
          <w:lang w:val="da-DK"/>
        </w:rPr>
        <w:t xml:space="preserve"> = </w:t>
      </w:r>
      <w:r w:rsidRPr="009C7101">
        <w:rPr>
          <w:i/>
          <w:lang w:val="da-DK"/>
        </w:rPr>
        <w:t>P</w:t>
      </w:r>
      <w:r w:rsidRPr="009C7101">
        <w:rPr>
          <w:i/>
          <w:vertAlign w:val="subscript"/>
          <w:lang w:val="da-DK"/>
        </w:rPr>
        <w:t>t</w:t>
      </w:r>
      <w:r w:rsidRPr="009C7101">
        <w:rPr>
          <w:lang w:val="da-DK"/>
        </w:rPr>
        <w:t xml:space="preserve"> + </w:t>
      </w:r>
      <w:r w:rsidRPr="009C7101">
        <w:rPr>
          <w:i/>
          <w:lang w:val="da-DK"/>
        </w:rPr>
        <w:t>G</w:t>
      </w:r>
      <w:r w:rsidRPr="009C7101">
        <w:rPr>
          <w:i/>
          <w:vertAlign w:val="subscript"/>
          <w:lang w:val="da-DK"/>
        </w:rPr>
        <w:t>t</w:t>
      </w:r>
      <w:r w:rsidRPr="009C7101">
        <w:rPr>
          <w:lang w:val="da-DK"/>
        </w:rPr>
        <w:t xml:space="preserve"> + </w:t>
      </w:r>
      <w:r w:rsidRPr="009C7101">
        <w:rPr>
          <w:i/>
          <w:lang w:val="da-DK"/>
        </w:rPr>
        <w:t>G</w:t>
      </w:r>
      <w:r w:rsidRPr="009C7101">
        <w:rPr>
          <w:i/>
          <w:vertAlign w:val="subscript"/>
          <w:lang w:val="da-DK"/>
        </w:rPr>
        <w:t>r</w:t>
      </w:r>
      <w:r w:rsidRPr="009C7101">
        <w:rPr>
          <w:lang w:val="da-DK"/>
        </w:rPr>
        <w:t xml:space="preserve"> – </w:t>
      </w:r>
      <w:r w:rsidRPr="009C7101">
        <w:rPr>
          <w:i/>
          <w:lang w:val="da-DK"/>
        </w:rPr>
        <w:t>L</w:t>
      </w:r>
      <w:r w:rsidRPr="009C7101">
        <w:rPr>
          <w:i/>
          <w:vertAlign w:val="subscript"/>
          <w:lang w:val="da-DK"/>
        </w:rPr>
        <w:t>b</w:t>
      </w:r>
      <w:r w:rsidRPr="009C7101">
        <w:rPr>
          <w:lang w:val="da-DK"/>
        </w:rPr>
        <w:t>(</w:t>
      </w:r>
      <w:r w:rsidRPr="009C7101">
        <w:rPr>
          <w:i/>
          <w:lang w:val="da-DK"/>
        </w:rPr>
        <w:t>d</w:t>
      </w:r>
      <w:r w:rsidRPr="009C7101">
        <w:rPr>
          <w:lang w:val="da-DK"/>
        </w:rPr>
        <w:t xml:space="preserve">) – </w:t>
      </w:r>
      <w:r w:rsidRPr="009C7101">
        <w:rPr>
          <w:i/>
          <w:lang w:val="da-DK"/>
        </w:rPr>
        <w:t>FDR</w:t>
      </w:r>
      <w:r w:rsidRPr="009C7101">
        <w:rPr>
          <w:lang w:val="da-DK"/>
        </w:rPr>
        <w:t>(</w:t>
      </w:r>
      <w:r>
        <w:rPr>
          <w:lang w:val="en-US"/>
        </w:rPr>
        <w:sym w:font="Symbol" w:char="F044"/>
      </w:r>
      <w:r w:rsidRPr="009C7101">
        <w:rPr>
          <w:i/>
          <w:lang w:val="da-DK"/>
        </w:rPr>
        <w:t>f</w:t>
      </w:r>
      <w:r w:rsidRPr="009C7101">
        <w:rPr>
          <w:lang w:val="da-DK"/>
        </w:rPr>
        <w:t xml:space="preserve"> )                dBW</w:t>
      </w:r>
      <w:r w:rsidRPr="009C7101">
        <w:rPr>
          <w:lang w:val="da-DK"/>
        </w:rPr>
        <w:tab/>
        <w:t>(1)</w:t>
      </w:r>
    </w:p>
    <w:p w14:paraId="1F22F4AE" w14:textId="77777777" w:rsidR="00BB3F73" w:rsidRPr="000212C9" w:rsidRDefault="00BB3F73" w:rsidP="00BB3F73">
      <w:r w:rsidRPr="000212C9">
        <w:t>donde:</w:t>
      </w:r>
    </w:p>
    <w:p w14:paraId="1B11703C" w14:textId="77777777" w:rsidR="00BB3F73" w:rsidRPr="00BB3F73" w:rsidRDefault="00BB3F73" w:rsidP="00BB3F73">
      <w:pPr>
        <w:pStyle w:val="Equationlegend"/>
        <w:rPr>
          <w:lang w:val="es-ES_tradnl"/>
        </w:rPr>
      </w:pPr>
      <w:r w:rsidRPr="00BB3F73">
        <w:rPr>
          <w:lang w:val="es-ES_tradnl"/>
        </w:rPr>
        <w:tab/>
      </w:r>
      <w:r w:rsidRPr="00BB3F73">
        <w:rPr>
          <w:i/>
          <w:lang w:val="es-ES_tradnl"/>
        </w:rPr>
        <w:t>P</w:t>
      </w:r>
      <w:r w:rsidRPr="00BB3F73">
        <w:rPr>
          <w:i/>
          <w:vertAlign w:val="subscript"/>
          <w:lang w:val="es-ES_tradnl"/>
        </w:rPr>
        <w:t>t</w:t>
      </w:r>
      <w:r w:rsidRPr="00BB3F73">
        <w:rPr>
          <w:sz w:val="8"/>
          <w:lang w:val="es-ES_tradnl"/>
        </w:rPr>
        <w:t> </w:t>
      </w:r>
      <w:r w:rsidRPr="00BB3F73">
        <w:rPr>
          <w:lang w:val="es-ES_tradnl"/>
        </w:rPr>
        <w:t>:</w:t>
      </w:r>
      <w:r w:rsidRPr="00BB3F73">
        <w:rPr>
          <w:lang w:val="es-ES_tradnl"/>
        </w:rPr>
        <w:tab/>
        <w:t>potencia del transmisor interferente (dBW)</w:t>
      </w:r>
    </w:p>
    <w:p w14:paraId="070B6A0B" w14:textId="77777777" w:rsidR="00BB3F73" w:rsidRPr="00BB3F73" w:rsidRDefault="00BB3F73" w:rsidP="00BB3F73">
      <w:pPr>
        <w:pStyle w:val="Equationlegend"/>
        <w:rPr>
          <w:lang w:val="es-ES_tradnl"/>
        </w:rPr>
      </w:pPr>
      <w:r w:rsidRPr="00BB3F73">
        <w:rPr>
          <w:lang w:val="es-ES_tradnl"/>
        </w:rPr>
        <w:tab/>
      </w:r>
      <w:r w:rsidRPr="00BB3F73">
        <w:rPr>
          <w:i/>
          <w:lang w:val="es-ES_tradnl"/>
        </w:rPr>
        <w:t>G</w:t>
      </w:r>
      <w:r w:rsidRPr="00BB3F73">
        <w:rPr>
          <w:i/>
          <w:vertAlign w:val="subscript"/>
          <w:lang w:val="es-ES_tradnl"/>
        </w:rPr>
        <w:t>t</w:t>
      </w:r>
      <w:r w:rsidRPr="00BB3F73">
        <w:rPr>
          <w:sz w:val="8"/>
          <w:lang w:val="es-ES_tradnl"/>
        </w:rPr>
        <w:t> </w:t>
      </w:r>
      <w:r w:rsidRPr="00BB3F73">
        <w:rPr>
          <w:lang w:val="es-ES_tradnl"/>
        </w:rPr>
        <w:t>:</w:t>
      </w:r>
      <w:r w:rsidRPr="00BB3F73">
        <w:rPr>
          <w:lang w:val="es-ES_tradnl"/>
        </w:rPr>
        <w:tab/>
        <w:t>ganancia de la antena del transmisor interferente en dirección del receptor (dBi)</w:t>
      </w:r>
    </w:p>
    <w:p w14:paraId="5BEFDCF8" w14:textId="77777777" w:rsidR="00BB3F73" w:rsidRPr="00BB3F73" w:rsidRDefault="00BB3F73" w:rsidP="00BB3F73">
      <w:pPr>
        <w:pStyle w:val="Equationlegend"/>
        <w:rPr>
          <w:lang w:val="es-ES_tradnl"/>
        </w:rPr>
      </w:pPr>
      <w:r w:rsidRPr="00BB3F73">
        <w:rPr>
          <w:lang w:val="es-ES_tradnl"/>
        </w:rPr>
        <w:tab/>
      </w:r>
      <w:r w:rsidRPr="00BB3F73">
        <w:rPr>
          <w:i/>
          <w:lang w:val="es-ES_tradnl"/>
        </w:rPr>
        <w:t>G</w:t>
      </w:r>
      <w:r w:rsidRPr="00BB3F73">
        <w:rPr>
          <w:i/>
          <w:vertAlign w:val="subscript"/>
          <w:lang w:val="es-ES_tradnl"/>
        </w:rPr>
        <w:t>r</w:t>
      </w:r>
      <w:r w:rsidRPr="00BB3F73">
        <w:rPr>
          <w:sz w:val="8"/>
          <w:lang w:val="es-ES_tradnl"/>
        </w:rPr>
        <w:t> </w:t>
      </w:r>
      <w:r w:rsidRPr="00BB3F73">
        <w:rPr>
          <w:lang w:val="es-ES_tradnl"/>
        </w:rPr>
        <w:t>:</w:t>
      </w:r>
      <w:r w:rsidRPr="00BB3F73">
        <w:rPr>
          <w:lang w:val="es-ES_tradnl"/>
        </w:rPr>
        <w:tab/>
        <w:t>ganancia de la antena del receptor en dirección de la fuente de interferencia (dBi)</w:t>
      </w:r>
    </w:p>
    <w:p w14:paraId="1BFD000B" w14:textId="77777777" w:rsidR="00BB3F73" w:rsidRPr="00BB3F73" w:rsidRDefault="00BB3F73" w:rsidP="00BB3F73">
      <w:pPr>
        <w:pStyle w:val="Equationlegend"/>
        <w:rPr>
          <w:lang w:val="es-ES_tradnl"/>
        </w:rPr>
      </w:pPr>
      <w:r w:rsidRPr="00BB3F73">
        <w:rPr>
          <w:lang w:val="es-ES_tradnl"/>
        </w:rPr>
        <w:tab/>
      </w:r>
      <w:r w:rsidRPr="00BB3F73">
        <w:rPr>
          <w:i/>
          <w:lang w:val="es-ES_tradnl"/>
        </w:rPr>
        <w:t>L</w:t>
      </w:r>
      <w:r w:rsidRPr="00BB3F73">
        <w:rPr>
          <w:i/>
          <w:vertAlign w:val="subscript"/>
          <w:lang w:val="es-ES_tradnl"/>
        </w:rPr>
        <w:t>b</w:t>
      </w:r>
      <w:r w:rsidRPr="00BB3F73">
        <w:rPr>
          <w:position w:val="-3"/>
          <w:sz w:val="12"/>
          <w:lang w:val="es-ES_tradnl"/>
        </w:rPr>
        <w:t> </w:t>
      </w:r>
      <w:r w:rsidRPr="00BB3F73">
        <w:rPr>
          <w:lang w:val="es-ES_tradnl"/>
        </w:rPr>
        <w:t>(</w:t>
      </w:r>
      <w:r w:rsidRPr="00BB3F73">
        <w:rPr>
          <w:i/>
          <w:lang w:val="es-ES_tradnl"/>
        </w:rPr>
        <w:t>d</w:t>
      </w:r>
      <w:r w:rsidRPr="00BB3F73">
        <w:rPr>
          <w:sz w:val="8"/>
          <w:lang w:val="es-ES_tradnl"/>
        </w:rPr>
        <w:t> </w:t>
      </w:r>
      <w:r w:rsidRPr="00BB3F73">
        <w:rPr>
          <w:lang w:val="es-ES_tradnl"/>
        </w:rPr>
        <w:t>)</w:t>
      </w:r>
      <w:r w:rsidRPr="00BB3F73">
        <w:rPr>
          <w:sz w:val="8"/>
          <w:lang w:val="es-ES_tradnl"/>
        </w:rPr>
        <w:t> </w:t>
      </w:r>
      <w:r w:rsidRPr="00BB3F73">
        <w:rPr>
          <w:lang w:val="es-ES_tradnl"/>
        </w:rPr>
        <w:t>:</w:t>
      </w:r>
      <w:r w:rsidRPr="00BB3F73">
        <w:rPr>
          <w:lang w:val="es-ES_tradnl"/>
        </w:rPr>
        <w:tab/>
        <w:t xml:space="preserve">pérdida básica de transmisión para una distancia de separación, </w:t>
      </w:r>
      <w:r w:rsidRPr="00BB3F73">
        <w:rPr>
          <w:i/>
          <w:lang w:val="es-ES_tradnl"/>
        </w:rPr>
        <w:t>d</w:t>
      </w:r>
      <w:r w:rsidRPr="00BB3F73">
        <w:rPr>
          <w:lang w:val="es-ES_tradnl"/>
        </w:rPr>
        <w:t>, entre</w:t>
      </w:r>
      <w:r w:rsidRPr="00BB3F73">
        <w:rPr>
          <w:lang w:val="es-ES_tradnl"/>
        </w:rPr>
        <w:br/>
        <w:t>la fuente de interferencia y el receptor (dB) (véase la Recomendación UIT</w:t>
      </w:r>
      <w:r w:rsidRPr="00BB3F73">
        <w:rPr>
          <w:lang w:val="es-ES_tradnl"/>
        </w:rPr>
        <w:noBreakHyphen/>
        <w:t>R P.341)</w:t>
      </w:r>
    </w:p>
    <w:p w14:paraId="53F779B1" w14:textId="77777777" w:rsidR="00BB3F73" w:rsidRPr="000212C9" w:rsidRDefault="00BB3F73" w:rsidP="00BB3F73">
      <w:pPr>
        <w:keepNext/>
        <w:keepLines/>
        <w:spacing w:before="60"/>
      </w:pPr>
      <w:r w:rsidRPr="000212C9">
        <w:lastRenderedPageBreak/>
        <w:t>y</w:t>
      </w:r>
    </w:p>
    <w:p w14:paraId="58045105" w14:textId="77777777" w:rsidR="00BB3F73" w:rsidRPr="00BB3F73" w:rsidRDefault="00BB3F73" w:rsidP="006825CD">
      <w:pPr>
        <w:pStyle w:val="Equation"/>
        <w:rPr>
          <w:b/>
          <w:lang w:val="es-ES_tradnl"/>
        </w:rPr>
      </w:pPr>
      <w:r w:rsidRPr="00BB3F73">
        <w:rPr>
          <w:lang w:val="es-ES_tradnl"/>
        </w:rPr>
        <w:tab/>
      </w:r>
      <w:r w:rsidRPr="00BB3F73">
        <w:rPr>
          <w:lang w:val="es-ES_tradnl"/>
        </w:rPr>
        <w:tab/>
      </w:r>
      <w:r w:rsidRPr="00607063">
        <w:rPr>
          <w:position w:val="-74"/>
        </w:rPr>
        <w:object w:dxaOrig="4239" w:dyaOrig="1600" w14:anchorId="3D3373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1.7pt;height:80.05pt" o:ole="">
            <v:imagedata r:id="rId8" o:title=""/>
          </v:shape>
          <o:OLEObject Type="Embed" ProgID="Equation.2" ShapeID="_x0000_i1025" DrawAspect="Content" ObjectID="_1652509560" r:id="rId9"/>
        </w:object>
      </w:r>
      <w:r w:rsidRPr="00BB3F73">
        <w:rPr>
          <w:lang w:val="es-ES_tradnl"/>
        </w:rPr>
        <w:t xml:space="preserve">                dB</w:t>
      </w:r>
      <w:r w:rsidRPr="00BB3F73">
        <w:rPr>
          <w:lang w:val="es-ES_tradnl"/>
        </w:rPr>
        <w:tab/>
        <w:t>(2)</w:t>
      </w:r>
    </w:p>
    <w:p w14:paraId="38A4FEDD" w14:textId="77777777" w:rsidR="00BB3F73" w:rsidRPr="000212C9" w:rsidRDefault="00BB3F73" w:rsidP="00BB3F73">
      <w:r w:rsidRPr="000212C9">
        <w:t>donde:</w:t>
      </w:r>
    </w:p>
    <w:p w14:paraId="2CD23A28" w14:textId="77777777" w:rsidR="00BB3F73" w:rsidRPr="00BB3F73" w:rsidRDefault="00BB3F73" w:rsidP="00BB3F73">
      <w:pPr>
        <w:pStyle w:val="Equationlegend"/>
        <w:rPr>
          <w:lang w:val="es-ES_tradnl"/>
        </w:rPr>
      </w:pPr>
      <w:r w:rsidRPr="00BB3F73">
        <w:rPr>
          <w:lang w:val="es-ES_tradnl"/>
        </w:rPr>
        <w:tab/>
      </w:r>
      <w:r w:rsidRPr="00BB3F73">
        <w:rPr>
          <w:i/>
          <w:lang w:val="es-ES_tradnl"/>
        </w:rPr>
        <w:t>P</w:t>
      </w:r>
      <w:r w:rsidRPr="00BB3F73">
        <w:rPr>
          <w:lang w:val="es-ES_tradnl"/>
        </w:rPr>
        <w:t>(</w:t>
      </w:r>
      <w:r w:rsidRPr="00BB3F73">
        <w:rPr>
          <w:sz w:val="8"/>
          <w:lang w:val="es-ES_tradnl"/>
        </w:rPr>
        <w:t> </w:t>
      </w:r>
      <w:r w:rsidRPr="00BB3F73">
        <w:rPr>
          <w:i/>
          <w:lang w:val="es-ES_tradnl"/>
        </w:rPr>
        <w:t>f</w:t>
      </w:r>
      <w:r w:rsidRPr="00BB3F73">
        <w:rPr>
          <w:sz w:val="8"/>
          <w:lang w:val="es-ES_tradnl"/>
        </w:rPr>
        <w:t> </w:t>
      </w:r>
      <w:r w:rsidRPr="00BB3F73">
        <w:rPr>
          <w:lang w:val="es-ES_tradnl"/>
        </w:rPr>
        <w:t>)</w:t>
      </w:r>
      <w:r w:rsidRPr="00BB3F73">
        <w:rPr>
          <w:sz w:val="8"/>
          <w:lang w:val="es-ES_tradnl"/>
        </w:rPr>
        <w:t> </w:t>
      </w:r>
      <w:r w:rsidRPr="00BB3F73">
        <w:rPr>
          <w:lang w:val="es-ES_tradnl"/>
        </w:rPr>
        <w:t>:</w:t>
      </w:r>
      <w:r w:rsidRPr="00BB3F73">
        <w:rPr>
          <w:sz w:val="16"/>
          <w:lang w:val="es-ES_tradnl"/>
        </w:rPr>
        <w:tab/>
      </w:r>
      <w:r w:rsidRPr="00BB3F73">
        <w:rPr>
          <w:lang w:val="es-ES_tradnl"/>
        </w:rPr>
        <w:t>densidad espectral de potencia de la señal de frecuencia intermedia (FI) equivalente interferente</w:t>
      </w:r>
    </w:p>
    <w:p w14:paraId="180DCA27" w14:textId="77777777" w:rsidR="00BB3F73" w:rsidRPr="00BB3F73" w:rsidRDefault="00BB3F73" w:rsidP="00BB3F73">
      <w:pPr>
        <w:pStyle w:val="Equationlegend"/>
        <w:rPr>
          <w:lang w:val="es-ES_tradnl"/>
        </w:rPr>
      </w:pPr>
      <w:r w:rsidRPr="00BB3F73">
        <w:rPr>
          <w:lang w:val="es-ES_tradnl"/>
        </w:rPr>
        <w:tab/>
      </w:r>
      <w:r w:rsidRPr="00BB3F73">
        <w:rPr>
          <w:i/>
          <w:lang w:val="es-ES_tradnl"/>
        </w:rPr>
        <w:t>H</w:t>
      </w:r>
      <w:r w:rsidRPr="00BB3F73">
        <w:rPr>
          <w:lang w:val="es-ES_tradnl"/>
        </w:rPr>
        <w:t>(</w:t>
      </w:r>
      <w:r w:rsidRPr="00BB3F73">
        <w:rPr>
          <w:sz w:val="8"/>
          <w:lang w:val="es-ES_tradnl"/>
        </w:rPr>
        <w:t> </w:t>
      </w:r>
      <w:r w:rsidRPr="00BB3F73">
        <w:rPr>
          <w:i/>
          <w:lang w:val="es-ES_tradnl"/>
        </w:rPr>
        <w:t>f</w:t>
      </w:r>
      <w:r w:rsidRPr="00BB3F73">
        <w:rPr>
          <w:sz w:val="8"/>
          <w:lang w:val="es-ES_tradnl"/>
        </w:rPr>
        <w:t> </w:t>
      </w:r>
      <w:r w:rsidRPr="00BB3F73">
        <w:rPr>
          <w:lang w:val="es-ES_tradnl"/>
        </w:rPr>
        <w:t>)</w:t>
      </w:r>
      <w:r w:rsidRPr="00BB3F73">
        <w:rPr>
          <w:sz w:val="8"/>
          <w:lang w:val="es-ES_tradnl"/>
        </w:rPr>
        <w:t xml:space="preserve"> </w:t>
      </w:r>
      <w:r w:rsidRPr="00BB3F73">
        <w:rPr>
          <w:lang w:val="es-ES_tradnl"/>
        </w:rPr>
        <w:t>:</w:t>
      </w:r>
      <w:r w:rsidRPr="00BB3F73">
        <w:rPr>
          <w:lang w:val="es-ES_tradnl"/>
        </w:rPr>
        <w:tab/>
        <w:t>respuesta de frecuencia del receptor</w:t>
      </w:r>
    </w:p>
    <w:p w14:paraId="641107CB" w14:textId="77777777" w:rsidR="00BB3F73" w:rsidRPr="00BB3F73" w:rsidRDefault="00BB3F73" w:rsidP="00F91558">
      <w:pPr>
        <w:pStyle w:val="Equation"/>
        <w:rPr>
          <w:b/>
          <w:lang w:val="es-ES_tradnl"/>
        </w:rPr>
      </w:pPr>
      <w:r w:rsidRPr="00BB3F73">
        <w:rPr>
          <w:lang w:val="es-ES_tradnl"/>
        </w:rPr>
        <w:tab/>
      </w:r>
      <w:r w:rsidRPr="00BB3F73">
        <w:rPr>
          <w:lang w:val="es-ES_tradnl"/>
        </w:rPr>
        <w:tab/>
      </w:r>
      <w:r>
        <w:rPr>
          <w:lang w:val="en-US"/>
        </w:rPr>
        <w:sym w:font="Symbol" w:char="F044"/>
      </w:r>
      <w:r w:rsidRPr="00BB3F73">
        <w:rPr>
          <w:i/>
          <w:lang w:val="es-ES_tradnl"/>
        </w:rPr>
        <w:t>f</w:t>
      </w:r>
      <w:r w:rsidRPr="00BB3F73">
        <w:rPr>
          <w:lang w:val="es-ES_tradnl"/>
        </w:rPr>
        <w:t xml:space="preserve"> = </w:t>
      </w:r>
      <w:r w:rsidRPr="00BB3F73">
        <w:rPr>
          <w:i/>
          <w:lang w:val="es-ES_tradnl"/>
        </w:rPr>
        <w:t>f</w:t>
      </w:r>
      <w:r w:rsidRPr="00BB3F73">
        <w:rPr>
          <w:i/>
          <w:vertAlign w:val="subscript"/>
          <w:lang w:val="es-ES_tradnl"/>
        </w:rPr>
        <w:t>t</w:t>
      </w:r>
      <w:r w:rsidRPr="00BB3F73">
        <w:rPr>
          <w:lang w:val="es-ES_tradnl"/>
        </w:rPr>
        <w:t xml:space="preserve"> – </w:t>
      </w:r>
      <w:r w:rsidRPr="00BB3F73">
        <w:rPr>
          <w:i/>
          <w:lang w:val="es-ES_tradnl"/>
        </w:rPr>
        <w:t>f</w:t>
      </w:r>
      <w:r w:rsidRPr="00BB3F73">
        <w:rPr>
          <w:i/>
          <w:vertAlign w:val="subscript"/>
          <w:lang w:val="es-ES_tradnl"/>
        </w:rPr>
        <w:t>r</w:t>
      </w:r>
    </w:p>
    <w:p w14:paraId="7C64D77A" w14:textId="77777777" w:rsidR="00BB3F73" w:rsidRPr="00BB3F73" w:rsidRDefault="00BB3F73" w:rsidP="00F91558">
      <w:pPr>
        <w:pStyle w:val="enumlev2"/>
        <w:rPr>
          <w:lang w:val="es-ES_tradnl"/>
        </w:rPr>
      </w:pPr>
      <w:r w:rsidRPr="00BB3F73">
        <w:rPr>
          <w:lang w:val="es-ES_tradnl"/>
        </w:rPr>
        <w:t>donde:</w:t>
      </w:r>
    </w:p>
    <w:p w14:paraId="43AB5044" w14:textId="77777777" w:rsidR="00BB3F73" w:rsidRPr="00BB3F73" w:rsidRDefault="00BB3F73" w:rsidP="00BB3F73">
      <w:pPr>
        <w:pStyle w:val="Equationlegend"/>
        <w:rPr>
          <w:lang w:val="es-ES_tradnl"/>
        </w:rPr>
      </w:pPr>
      <w:r w:rsidRPr="00BB3F73">
        <w:rPr>
          <w:i/>
          <w:lang w:val="es-ES_tradnl"/>
        </w:rPr>
        <w:tab/>
        <w:t>f</w:t>
      </w:r>
      <w:r w:rsidRPr="00BB3F73">
        <w:rPr>
          <w:i/>
          <w:vertAlign w:val="subscript"/>
          <w:lang w:val="es-ES_tradnl"/>
        </w:rPr>
        <w:t>t</w:t>
      </w:r>
      <w:r w:rsidRPr="00BB3F73">
        <w:rPr>
          <w:sz w:val="8"/>
          <w:lang w:val="es-ES_tradnl"/>
        </w:rPr>
        <w:t xml:space="preserve"> </w:t>
      </w:r>
      <w:r w:rsidRPr="00BB3F73">
        <w:rPr>
          <w:lang w:val="es-ES_tradnl"/>
        </w:rPr>
        <w:t>:</w:t>
      </w:r>
      <w:r w:rsidRPr="00BB3F73">
        <w:rPr>
          <w:lang w:val="es-ES_tradnl"/>
        </w:rPr>
        <w:tab/>
        <w:t>frecuencia sintonizada de la fuente de interferencia</w:t>
      </w:r>
    </w:p>
    <w:p w14:paraId="1E331EBE" w14:textId="77777777" w:rsidR="00BB3F73" w:rsidRPr="00BB3F73" w:rsidRDefault="00BB3F73" w:rsidP="00BB3F73">
      <w:pPr>
        <w:pStyle w:val="Equationlegend"/>
        <w:rPr>
          <w:lang w:val="es-ES_tradnl"/>
        </w:rPr>
      </w:pPr>
      <w:r w:rsidRPr="00BB3F73">
        <w:rPr>
          <w:i/>
          <w:lang w:val="es-ES_tradnl"/>
        </w:rPr>
        <w:tab/>
        <w:t>f</w:t>
      </w:r>
      <w:r w:rsidRPr="00BB3F73">
        <w:rPr>
          <w:i/>
          <w:vertAlign w:val="subscript"/>
          <w:lang w:val="es-ES_tradnl"/>
        </w:rPr>
        <w:t>r</w:t>
      </w:r>
      <w:r w:rsidRPr="00BB3F73">
        <w:rPr>
          <w:sz w:val="8"/>
          <w:lang w:val="es-ES_tradnl"/>
        </w:rPr>
        <w:t xml:space="preserve"> </w:t>
      </w:r>
      <w:r w:rsidRPr="00BB3F73">
        <w:rPr>
          <w:lang w:val="es-ES_tradnl"/>
        </w:rPr>
        <w:t>:</w:t>
      </w:r>
      <w:r w:rsidRPr="00BB3F73">
        <w:rPr>
          <w:lang w:val="es-ES_tradnl"/>
        </w:rPr>
        <w:tab/>
        <w:t>frecuencia sintonizada del receptor.</w:t>
      </w:r>
    </w:p>
    <w:p w14:paraId="2A2F10ED" w14:textId="77777777" w:rsidR="00BB3F73" w:rsidRPr="000212C9" w:rsidRDefault="00BB3F73" w:rsidP="00BB3F73">
      <w:r w:rsidRPr="000212C9">
        <w:t xml:space="preserve">El FDR puede constar de dos términos: el rechazo en sintonía (OTR – </w:t>
      </w:r>
      <w:r w:rsidRPr="000212C9">
        <w:rPr>
          <w:i/>
          <w:iCs/>
        </w:rPr>
        <w:t>on-tune rejection</w:t>
      </w:r>
      <w:r w:rsidRPr="000212C9">
        <w:t xml:space="preserve">) y el rechazo fuera de frecuencia (OFR – </w:t>
      </w:r>
      <w:r w:rsidRPr="000212C9">
        <w:rPr>
          <w:i/>
          <w:iCs/>
        </w:rPr>
        <w:t>off-frequency rejection</w:t>
      </w:r>
      <w:r w:rsidRPr="000212C9">
        <w:t>), es decir, el rechazo adicional que se produce cuando la frecuencia de interferencia es diferente de la de sintonía del receptor.</w:t>
      </w:r>
    </w:p>
    <w:p w14:paraId="6AA92CE3" w14:textId="77777777" w:rsidR="00BB3F73" w:rsidRPr="009C7101" w:rsidRDefault="00BB3F73" w:rsidP="00BB3F73">
      <w:pPr>
        <w:pStyle w:val="Blanc"/>
        <w:rPr>
          <w:lang w:val="es-ES_tradnl"/>
        </w:rPr>
      </w:pPr>
    </w:p>
    <w:p w14:paraId="772BE3AB" w14:textId="77777777" w:rsidR="00BB3F73" w:rsidRPr="004618C0" w:rsidRDefault="00BB3F73" w:rsidP="006825CD">
      <w:pPr>
        <w:pStyle w:val="Equation"/>
        <w:rPr>
          <w:lang w:val="en-US"/>
        </w:rPr>
      </w:pPr>
      <w:r w:rsidRPr="00BB3F73">
        <w:rPr>
          <w:lang w:val="es-ES_tradnl"/>
        </w:rPr>
        <w:tab/>
      </w:r>
      <w:r w:rsidRPr="00BB3F73">
        <w:rPr>
          <w:lang w:val="es-ES_tradnl"/>
        </w:rPr>
        <w:tab/>
      </w:r>
      <w:r w:rsidRPr="00C1569F">
        <w:rPr>
          <w:i/>
          <w:lang w:val="en-US"/>
        </w:rPr>
        <w:t>FDR</w:t>
      </w:r>
      <w:r>
        <w:rPr>
          <w:lang w:val="en-US"/>
        </w:rPr>
        <w:t>(</w:t>
      </w:r>
      <w:r>
        <w:rPr>
          <w:lang w:val="en-US"/>
        </w:rPr>
        <w:sym w:font="Symbol" w:char="F044"/>
      </w:r>
      <w:r w:rsidRPr="00C1569F">
        <w:rPr>
          <w:i/>
          <w:lang w:val="en-US"/>
        </w:rPr>
        <w:t>f</w:t>
      </w:r>
      <w:r w:rsidRPr="00C1569F">
        <w:rPr>
          <w:i/>
          <w:sz w:val="8"/>
          <w:szCs w:val="8"/>
          <w:lang w:val="en-US"/>
        </w:rPr>
        <w:t xml:space="preserve"> </w:t>
      </w:r>
      <w:r>
        <w:rPr>
          <w:lang w:val="en-US"/>
        </w:rPr>
        <w:t xml:space="preserve">) = </w:t>
      </w:r>
      <w:r w:rsidRPr="00C1569F">
        <w:rPr>
          <w:i/>
          <w:lang w:val="en-US"/>
        </w:rPr>
        <w:t>OTR</w:t>
      </w:r>
      <w:r>
        <w:rPr>
          <w:lang w:val="en-US"/>
        </w:rPr>
        <w:t xml:space="preserve"> + </w:t>
      </w:r>
      <w:r w:rsidRPr="00C1569F">
        <w:rPr>
          <w:i/>
          <w:lang w:val="en-US"/>
        </w:rPr>
        <w:t>OFR</w:t>
      </w:r>
      <w:r>
        <w:rPr>
          <w:lang w:val="en-US"/>
        </w:rPr>
        <w:t>(</w:t>
      </w:r>
      <w:r>
        <w:rPr>
          <w:lang w:val="en-US"/>
        </w:rPr>
        <w:sym w:font="Symbol" w:char="F044"/>
      </w:r>
      <w:r w:rsidRPr="00C1569F">
        <w:rPr>
          <w:i/>
          <w:lang w:val="en-US"/>
        </w:rPr>
        <w:t>f</w:t>
      </w:r>
      <w:r w:rsidRPr="00C1569F">
        <w:rPr>
          <w:sz w:val="8"/>
          <w:szCs w:val="8"/>
          <w:lang w:val="en-US"/>
        </w:rPr>
        <w:t xml:space="preserve"> </w:t>
      </w:r>
      <w:r>
        <w:rPr>
          <w:lang w:val="en-US"/>
        </w:rPr>
        <w:t>)</w:t>
      </w:r>
      <w:r w:rsidRPr="004618C0">
        <w:rPr>
          <w:lang w:val="en-US"/>
        </w:rPr>
        <w:t xml:space="preserve">                dB</w:t>
      </w:r>
      <w:r w:rsidRPr="004618C0">
        <w:rPr>
          <w:lang w:val="en-US"/>
        </w:rPr>
        <w:tab/>
        <w:t>(3)</w:t>
      </w:r>
    </w:p>
    <w:p w14:paraId="69CA03D7" w14:textId="77777777" w:rsidR="00BB3F73" w:rsidRPr="000212C9" w:rsidRDefault="00BB3F73" w:rsidP="00BB3F73">
      <w:r w:rsidRPr="000212C9">
        <w:t>donde:</w:t>
      </w:r>
    </w:p>
    <w:p w14:paraId="06023E87" w14:textId="77777777" w:rsidR="00BB3F73" w:rsidRPr="009C7101" w:rsidRDefault="00BB3F73" w:rsidP="00BB3F73">
      <w:pPr>
        <w:pStyle w:val="Blanc"/>
        <w:rPr>
          <w:lang w:val="es-ES_tradnl"/>
        </w:rPr>
      </w:pPr>
    </w:p>
    <w:p w14:paraId="1F257858" w14:textId="77777777" w:rsidR="00BB3F73" w:rsidRPr="00BB3F73" w:rsidRDefault="00BB3F73" w:rsidP="006825CD">
      <w:pPr>
        <w:pStyle w:val="Equation"/>
        <w:rPr>
          <w:lang w:val="es-ES_tradnl"/>
        </w:rPr>
      </w:pPr>
      <w:r w:rsidRPr="00BB3F73">
        <w:rPr>
          <w:lang w:val="es-ES_tradnl"/>
        </w:rPr>
        <w:tab/>
      </w:r>
      <w:r w:rsidRPr="00BB3F73">
        <w:rPr>
          <w:lang w:val="es-ES_tradnl"/>
        </w:rPr>
        <w:tab/>
      </w:r>
      <w:r w:rsidRPr="00C1569F">
        <w:rPr>
          <w:position w:val="-74"/>
          <w:lang w:val="en-US"/>
        </w:rPr>
        <w:object w:dxaOrig="3280" w:dyaOrig="1600" w14:anchorId="79EB19FB">
          <v:shape id="_x0000_i1026" type="#_x0000_t75" style="width:163.9pt;height:80.05pt" o:ole="">
            <v:imagedata r:id="rId10" o:title=""/>
          </v:shape>
          <o:OLEObject Type="Embed" ProgID="Equation.2" ShapeID="_x0000_i1026" DrawAspect="Content" ObjectID="_1652509561" r:id="rId11"/>
        </w:object>
      </w:r>
      <w:r w:rsidRPr="00BB3F73">
        <w:rPr>
          <w:lang w:val="es-ES_tradnl"/>
        </w:rPr>
        <w:t xml:space="preserve">                dB</w:t>
      </w:r>
      <w:r w:rsidRPr="00BB3F73">
        <w:rPr>
          <w:lang w:val="es-ES_tradnl"/>
        </w:rPr>
        <w:tab/>
        <w:t>(4)</w:t>
      </w:r>
    </w:p>
    <w:p w14:paraId="7B867D64" w14:textId="77777777" w:rsidR="00BB3F73" w:rsidRPr="000D459F" w:rsidRDefault="00BB3F73" w:rsidP="00BB3F73">
      <w:pPr>
        <w:pStyle w:val="Blanc"/>
        <w:rPr>
          <w:lang w:val="es-ES_tradnl"/>
        </w:rPr>
      </w:pPr>
    </w:p>
    <w:p w14:paraId="718552B9" w14:textId="77777777" w:rsidR="00BB3F73" w:rsidRPr="00BB3F73" w:rsidRDefault="00BB3F73" w:rsidP="006825CD">
      <w:pPr>
        <w:pStyle w:val="Equation"/>
        <w:rPr>
          <w:lang w:val="es-ES_tradnl"/>
        </w:rPr>
      </w:pPr>
      <w:r w:rsidRPr="00BB3F73">
        <w:rPr>
          <w:lang w:val="es-ES_tradnl"/>
        </w:rPr>
        <w:tab/>
      </w:r>
      <w:r w:rsidRPr="00BB3F73">
        <w:rPr>
          <w:lang w:val="es-ES_tradnl"/>
        </w:rPr>
        <w:tab/>
      </w:r>
      <w:r w:rsidRPr="00C1569F">
        <w:rPr>
          <w:position w:val="-74"/>
          <w:lang w:val="en-US"/>
        </w:rPr>
        <w:object w:dxaOrig="4040" w:dyaOrig="1600" w14:anchorId="4B509E9B">
          <v:shape id="_x0000_i1027" type="#_x0000_t75" style="width:202.05pt;height:80.05pt" o:ole="">
            <v:imagedata r:id="rId12" o:title=""/>
          </v:shape>
          <o:OLEObject Type="Embed" ProgID="Equation.2" ShapeID="_x0000_i1027" DrawAspect="Content" ObjectID="_1652509562" r:id="rId13"/>
        </w:object>
      </w:r>
      <w:r w:rsidRPr="00BB3F73">
        <w:rPr>
          <w:lang w:val="es-ES_tradnl"/>
        </w:rPr>
        <w:t xml:space="preserve">                dB</w:t>
      </w:r>
      <w:r w:rsidRPr="00BB3F73">
        <w:rPr>
          <w:lang w:val="es-ES_tradnl"/>
        </w:rPr>
        <w:tab/>
        <w:t>(5)</w:t>
      </w:r>
    </w:p>
    <w:p w14:paraId="22C3648A" w14:textId="77777777" w:rsidR="00BB3F73" w:rsidRPr="000D459F" w:rsidRDefault="00BB3F73" w:rsidP="00BB3F73">
      <w:pPr>
        <w:pStyle w:val="Blanc"/>
        <w:rPr>
          <w:lang w:val="es-ES_tradnl"/>
        </w:rPr>
      </w:pPr>
    </w:p>
    <w:p w14:paraId="3CF4DA2D" w14:textId="77777777" w:rsidR="00BB3F73" w:rsidRPr="000212C9" w:rsidRDefault="00BB3F73" w:rsidP="00BB3F73">
      <w:r w:rsidRPr="000212C9">
        <w:t>A menudo, el rechazo en sintonía, llamado también factor de corrección, puede expresarse aproximadamente por:</w:t>
      </w:r>
    </w:p>
    <w:p w14:paraId="1862B43C" w14:textId="77777777" w:rsidR="00BB3F73" w:rsidRPr="00BB3F73" w:rsidRDefault="00BB3F73" w:rsidP="006825CD">
      <w:pPr>
        <w:pStyle w:val="Equation"/>
        <w:rPr>
          <w:lang w:val="es-ES_tradnl"/>
        </w:rPr>
      </w:pPr>
      <w:bookmarkStart w:id="2" w:name="F009"/>
      <w:r w:rsidRPr="00BB3F73">
        <w:rPr>
          <w:lang w:val="es-ES_tradnl"/>
        </w:rPr>
        <w:tab/>
      </w:r>
      <w:r w:rsidRPr="00BB3F73">
        <w:rPr>
          <w:lang w:val="es-ES_tradnl"/>
        </w:rPr>
        <w:tab/>
      </w:r>
      <w:r w:rsidRPr="00100DC7">
        <w:rPr>
          <w:position w:val="-32"/>
        </w:rPr>
        <w:object w:dxaOrig="3040" w:dyaOrig="760" w14:anchorId="6EE173DA">
          <v:shape id="_x0000_i1028" type="#_x0000_t75" style="width:151.5pt;height:38.15pt" o:ole="">
            <v:imagedata r:id="rId14" o:title=""/>
          </v:shape>
          <o:OLEObject Type="Embed" ProgID="Equation.3" ShapeID="_x0000_i1028" DrawAspect="Content" ObjectID="_1652509563" r:id="rId15"/>
        </w:object>
      </w:r>
      <w:r w:rsidRPr="00BB3F73">
        <w:rPr>
          <w:lang w:val="es-ES_tradnl"/>
        </w:rPr>
        <w:tab/>
        <w:t>(6)</w:t>
      </w:r>
      <w:bookmarkEnd w:id="2"/>
    </w:p>
    <w:p w14:paraId="1DA92B01" w14:textId="77777777" w:rsidR="00BB3F73" w:rsidRPr="000212C9" w:rsidRDefault="00BB3F73" w:rsidP="00BB3F73">
      <w:r w:rsidRPr="000212C9">
        <w:t>siendo:</w:t>
      </w:r>
    </w:p>
    <w:p w14:paraId="7DE38A98" w14:textId="77777777" w:rsidR="00BB3F73" w:rsidRPr="00BB3F73" w:rsidRDefault="00BB3F73" w:rsidP="00BB3F73">
      <w:pPr>
        <w:pStyle w:val="Equationlegend"/>
        <w:spacing w:before="60"/>
        <w:rPr>
          <w:lang w:val="es-ES_tradnl"/>
        </w:rPr>
      </w:pPr>
      <w:r w:rsidRPr="00BB3F73">
        <w:rPr>
          <w:lang w:val="es-ES_tradnl"/>
        </w:rPr>
        <w:tab/>
      </w:r>
      <w:r w:rsidRPr="00BB3F73">
        <w:rPr>
          <w:i/>
          <w:lang w:val="es-ES_tradnl"/>
        </w:rPr>
        <w:t>B</w:t>
      </w:r>
      <w:r w:rsidRPr="00BB3F73">
        <w:rPr>
          <w:i/>
          <w:vertAlign w:val="subscript"/>
          <w:lang w:val="es-ES_tradnl"/>
        </w:rPr>
        <w:t>R</w:t>
      </w:r>
      <w:r w:rsidRPr="00BB3F73">
        <w:rPr>
          <w:sz w:val="8"/>
          <w:lang w:val="es-ES_tradnl"/>
        </w:rPr>
        <w:t xml:space="preserve"> </w:t>
      </w:r>
      <w:r w:rsidRPr="00BB3F73">
        <w:rPr>
          <w:lang w:val="es-ES_tradnl"/>
        </w:rPr>
        <w:t>:</w:t>
      </w:r>
      <w:r w:rsidRPr="00BB3F73">
        <w:rPr>
          <w:lang w:val="es-ES_tradnl"/>
        </w:rPr>
        <w:tab/>
        <w:t>anchura de banda del receptor afectado por la interferencia a 3 dB (Hz)</w:t>
      </w:r>
    </w:p>
    <w:p w14:paraId="1D48E321" w14:textId="77777777" w:rsidR="00BB3F73" w:rsidRPr="00BB3F73" w:rsidRDefault="00BB3F73" w:rsidP="00BB3F73">
      <w:pPr>
        <w:pStyle w:val="Equationlegend"/>
        <w:spacing w:before="60"/>
        <w:rPr>
          <w:lang w:val="es-ES_tradnl"/>
        </w:rPr>
      </w:pPr>
      <w:r w:rsidRPr="00BB3F73">
        <w:rPr>
          <w:lang w:val="es-ES_tradnl"/>
        </w:rPr>
        <w:tab/>
      </w:r>
      <w:r w:rsidRPr="00BB3F73">
        <w:rPr>
          <w:i/>
          <w:lang w:val="es-ES_tradnl"/>
        </w:rPr>
        <w:t>B</w:t>
      </w:r>
      <w:r w:rsidRPr="00BB3F73">
        <w:rPr>
          <w:i/>
          <w:vertAlign w:val="subscript"/>
          <w:lang w:val="es-ES_tradnl"/>
        </w:rPr>
        <w:t>T</w:t>
      </w:r>
      <w:r w:rsidRPr="00BB3F73">
        <w:rPr>
          <w:sz w:val="8"/>
          <w:lang w:val="es-ES_tradnl"/>
        </w:rPr>
        <w:t xml:space="preserve"> </w:t>
      </w:r>
      <w:r w:rsidRPr="00BB3F73">
        <w:rPr>
          <w:lang w:val="es-ES_tradnl"/>
        </w:rPr>
        <w:t>:</w:t>
      </w:r>
      <w:r w:rsidRPr="00BB3F73">
        <w:rPr>
          <w:lang w:val="es-ES_tradnl"/>
        </w:rPr>
        <w:tab/>
        <w:t>anchura de banda del transmisor interferente a 3 dB (Hz)</w:t>
      </w:r>
    </w:p>
    <w:p w14:paraId="103E30D9" w14:textId="77777777" w:rsidR="00BB3F73" w:rsidRPr="00BB3F73" w:rsidRDefault="00BB3F73" w:rsidP="00BB3F73">
      <w:pPr>
        <w:pStyle w:val="Equationlegend"/>
        <w:spacing w:before="60"/>
        <w:rPr>
          <w:lang w:val="es-ES_tradnl"/>
        </w:rPr>
      </w:pPr>
      <w:r w:rsidRPr="00BB3F73">
        <w:rPr>
          <w:lang w:val="es-ES_tradnl"/>
        </w:rPr>
        <w:tab/>
      </w:r>
      <w:r w:rsidRPr="00BB3F73">
        <w:rPr>
          <w:i/>
          <w:lang w:val="es-ES_tradnl"/>
        </w:rPr>
        <w:t>K</w:t>
      </w:r>
      <w:r w:rsidRPr="00BB3F73">
        <w:rPr>
          <w:lang w:val="es-ES_tradnl"/>
        </w:rPr>
        <w:t xml:space="preserve"> </w:t>
      </w:r>
      <w:r>
        <w:rPr>
          <w:rFonts w:ascii="Symbol" w:hAnsi="Symbol"/>
        </w:rPr>
        <w:t></w:t>
      </w:r>
      <w:r w:rsidRPr="00BB3F73">
        <w:rPr>
          <w:lang w:val="es-ES_tradnl"/>
        </w:rPr>
        <w:tab/>
        <w:t>20 para señales no coherentes</w:t>
      </w:r>
    </w:p>
    <w:p w14:paraId="3CE4AFBA" w14:textId="4918433C" w:rsidR="00BB3F73" w:rsidRDefault="00BB3F73" w:rsidP="00BB3F73">
      <w:pPr>
        <w:pStyle w:val="Equationlegend"/>
        <w:spacing w:before="60"/>
        <w:rPr>
          <w:color w:val="000000"/>
          <w:lang w:val="es-ES_tradnl"/>
        </w:rPr>
      </w:pPr>
      <w:r w:rsidRPr="00BB3F73">
        <w:rPr>
          <w:lang w:val="es-ES_tradnl"/>
        </w:rPr>
        <w:tab/>
      </w:r>
      <w:r w:rsidRPr="00BB3F73">
        <w:rPr>
          <w:i/>
          <w:color w:val="FFFFFF"/>
          <w:lang w:val="es-ES_tradnl"/>
        </w:rPr>
        <w:t>K</w:t>
      </w:r>
      <w:r w:rsidRPr="00BB3F73">
        <w:rPr>
          <w:color w:val="FFFFFF"/>
          <w:lang w:val="es-ES_tradnl"/>
        </w:rPr>
        <w:t xml:space="preserve"> </w:t>
      </w:r>
      <w:r>
        <w:rPr>
          <w:rFonts w:ascii="Symbol" w:hAnsi="Symbol"/>
        </w:rPr>
        <w:t></w:t>
      </w:r>
      <w:r w:rsidRPr="00BB3F73">
        <w:rPr>
          <w:i/>
          <w:color w:val="000000"/>
          <w:lang w:val="es-ES_tradnl"/>
        </w:rPr>
        <w:tab/>
      </w:r>
      <w:r w:rsidRPr="00BB3F73">
        <w:rPr>
          <w:color w:val="000000"/>
          <w:lang w:val="es-ES_tradnl"/>
        </w:rPr>
        <w:t>20 para señales de impulsos.</w:t>
      </w:r>
    </w:p>
    <w:p w14:paraId="42D83CB9" w14:textId="30E86236" w:rsidR="007141E0" w:rsidRDefault="007141E0" w:rsidP="007141E0">
      <w:pPr>
        <w:rPr>
          <w:lang w:val="es-ES_tradnl"/>
        </w:rPr>
      </w:pPr>
    </w:p>
    <w:p w14:paraId="5E0C737A" w14:textId="77777777" w:rsidR="007141E0" w:rsidRPr="00BB3F73" w:rsidRDefault="007141E0" w:rsidP="007141E0">
      <w:pPr>
        <w:rPr>
          <w:lang w:val="es-ES_tradnl"/>
        </w:rPr>
      </w:pPr>
    </w:p>
    <w:p w14:paraId="2C364392" w14:textId="77777777" w:rsidR="00BB3F73" w:rsidRPr="00BB3F73" w:rsidRDefault="00BB3F73" w:rsidP="006825CD">
      <w:pPr>
        <w:pStyle w:val="AnnexNoTitle"/>
        <w:rPr>
          <w:lang w:val="es-ES_tradnl"/>
        </w:rPr>
      </w:pPr>
      <w:r w:rsidRPr="00BB3F73">
        <w:rPr>
          <w:lang w:val="es-ES_tradnl"/>
        </w:rPr>
        <w:t>Anexo 2</w:t>
      </w:r>
      <w:r w:rsidRPr="00BB3F73">
        <w:rPr>
          <w:lang w:val="es-ES_tradnl"/>
        </w:rPr>
        <w:br/>
      </w:r>
      <w:r w:rsidRPr="00BB3F73">
        <w:rPr>
          <w:lang w:val="es-ES_tradnl"/>
        </w:rPr>
        <w:br/>
        <w:t>Metodología para determinar las separaciones en frecuencia</w:t>
      </w:r>
      <w:r w:rsidRPr="00BB3F73">
        <w:rPr>
          <w:lang w:val="es-ES_tradnl"/>
        </w:rPr>
        <w:br/>
        <w:t>y en distancia aplicables a los sistemas radioeléctricos</w:t>
      </w:r>
    </w:p>
    <w:p w14:paraId="38CAF914" w14:textId="77777777" w:rsidR="00BB3F73" w:rsidRPr="00BB3F73" w:rsidRDefault="00BB3F73" w:rsidP="00BB3F73">
      <w:pPr>
        <w:pStyle w:val="Heading1"/>
        <w:rPr>
          <w:lang w:val="es-ES_tradnl"/>
        </w:rPr>
      </w:pPr>
      <w:r w:rsidRPr="00BB3F73">
        <w:rPr>
          <w:lang w:val="es-ES_tradnl"/>
        </w:rPr>
        <w:t>1</w:t>
      </w:r>
      <w:r w:rsidRPr="00BB3F73">
        <w:rPr>
          <w:lang w:val="es-ES_tradnl"/>
        </w:rPr>
        <w:tab/>
        <w:t>Introducción</w:t>
      </w:r>
    </w:p>
    <w:p w14:paraId="5DC24137" w14:textId="77777777" w:rsidR="00BB3F73" w:rsidRPr="000212C9" w:rsidRDefault="00BB3F73" w:rsidP="00BB3F73">
      <w:r w:rsidRPr="000212C9">
        <w:t xml:space="preserve">Es bien sabido que las reglas de separación en frecuencia y en distancia son un elemento importante del proceso de gestión de frecuencias en la mayoría de los servicios radioeléctricos. En los servicios canalizados estas reglas son las siguientes: los transmisores cocanal deben estar separados en al menos </w:t>
      </w:r>
      <w:r w:rsidRPr="000212C9">
        <w:rPr>
          <w:i/>
        </w:rPr>
        <w:t>d</w:t>
      </w:r>
      <w:r w:rsidRPr="000212C9">
        <w:rPr>
          <w:position w:val="-4"/>
          <w:sz w:val="16"/>
        </w:rPr>
        <w:t>0</w:t>
      </w:r>
      <w:r w:rsidRPr="000212C9">
        <w:t xml:space="preserve"> (km), en los transmisores en canales adyacentes deben estar separados en al menos </w:t>
      </w:r>
      <w:r w:rsidRPr="000212C9">
        <w:rPr>
          <w:i/>
        </w:rPr>
        <w:t>d</w:t>
      </w:r>
      <w:r w:rsidRPr="000212C9">
        <w:rPr>
          <w:position w:val="-4"/>
          <w:sz w:val="16"/>
        </w:rPr>
        <w:t>1</w:t>
      </w:r>
      <w:r w:rsidRPr="000212C9">
        <w:t xml:space="preserve"> (km), y entre los transmisores separados por dos canales debe haber como mínimo una distancia de </w:t>
      </w:r>
      <w:r w:rsidRPr="000212C9">
        <w:rPr>
          <w:i/>
        </w:rPr>
        <w:t>d</w:t>
      </w:r>
      <w:r w:rsidRPr="000212C9">
        <w:rPr>
          <w:position w:val="-4"/>
          <w:sz w:val="16"/>
        </w:rPr>
        <w:t>2</w:t>
      </w:r>
      <w:r w:rsidRPr="000212C9">
        <w:t xml:space="preserve"> (km), etc. Se conocen muy bien las reglas de separación en frecuencia y en distancia aplicables a las tecnologías más antiguas. No obstante, la introducción de nuevas tecnologías lleva a preguntarse qué tipo de reglas debe aplicar el gestor del espectro en el caso de que la misma banda de frecuencia esté ocupada por sistemas nuevos y antiguos. La metodología aplicable a la hora de determinar las reglas de separación en frecuencia y en distancia entre sistemas similares y diferentes se presenta a continuación.</w:t>
      </w:r>
    </w:p>
    <w:p w14:paraId="004CC9BB" w14:textId="77777777" w:rsidR="00BB3F73" w:rsidRPr="00BB3F73" w:rsidRDefault="00BB3F73" w:rsidP="00BB3F73">
      <w:pPr>
        <w:pStyle w:val="Heading1"/>
        <w:rPr>
          <w:lang w:val="es-ES_tradnl"/>
        </w:rPr>
      </w:pPr>
      <w:r w:rsidRPr="00BB3F73">
        <w:rPr>
          <w:lang w:val="es-ES_tradnl"/>
        </w:rPr>
        <w:t>2</w:t>
      </w:r>
      <w:r w:rsidRPr="00BB3F73">
        <w:rPr>
          <w:lang w:val="es-ES_tradnl"/>
        </w:rPr>
        <w:tab/>
        <w:t>Metodología</w:t>
      </w:r>
    </w:p>
    <w:p w14:paraId="1CE3A9E2" w14:textId="77777777" w:rsidR="00BB3F73" w:rsidRPr="000212C9" w:rsidRDefault="00BB3F73" w:rsidP="00BB3F73">
      <w:r w:rsidRPr="000212C9">
        <w:t>La elaboración de una nueva regla frecuencia-distancia exige calcular el nivel de interferencia a la entrada del receptor interferido, y hace necesario también definir un criterio de interferencia aceptable.</w:t>
      </w:r>
    </w:p>
    <w:p w14:paraId="64F8F740" w14:textId="77777777" w:rsidR="00BB3F73" w:rsidRPr="00BB3F73" w:rsidRDefault="00BB3F73" w:rsidP="00BB3F73">
      <w:pPr>
        <w:pStyle w:val="Heading2"/>
        <w:rPr>
          <w:lang w:val="es-ES_tradnl"/>
        </w:rPr>
      </w:pPr>
      <w:r w:rsidRPr="00BB3F73">
        <w:rPr>
          <w:lang w:val="es-ES_tradnl"/>
        </w:rPr>
        <w:t>2.1</w:t>
      </w:r>
      <w:r w:rsidRPr="00BB3F73">
        <w:rPr>
          <w:lang w:val="es-ES_tradnl"/>
        </w:rPr>
        <w:tab/>
        <w:t>Cálculo de la interferencia</w:t>
      </w:r>
    </w:p>
    <w:p w14:paraId="3E324AA9" w14:textId="77777777" w:rsidR="00BB3F73" w:rsidRPr="000212C9" w:rsidRDefault="00BB3F73" w:rsidP="00BB3F73">
      <w:r w:rsidRPr="000212C9">
        <w:t>Este cálculo se basa en dos factores esenciales, a saber: un factor espectral y un factor espacial.</w:t>
      </w:r>
    </w:p>
    <w:p w14:paraId="2A670B44" w14:textId="77777777" w:rsidR="00BB3F73" w:rsidRPr="000212C9" w:rsidRDefault="00BB3F73" w:rsidP="00BB3F73">
      <w:r w:rsidRPr="000212C9">
        <w:t xml:space="preserve">El </w:t>
      </w:r>
      <w:r w:rsidRPr="000212C9">
        <w:rPr>
          <w:i/>
        </w:rPr>
        <w:t>factor espectral</w:t>
      </w:r>
      <w:r w:rsidRPr="000212C9">
        <w:t xml:space="preserve"> depende de las características espectrales del transmisor interferente y de la respuesta de frecuencia del receptor interferido. Para realizar los cálculos, hay que conocer exactamente la densidad espectral de potencia de la señal interferente, que depende de elementos tales como la técnica de modulación subyacente y la anchura de banda de la señal de información en el caso de sistemas analógicos o de la velocidad de transmisión de los datos, cuando se trata de sistemas digitales.</w:t>
      </w:r>
    </w:p>
    <w:p w14:paraId="4E27E953" w14:textId="77777777" w:rsidR="00BB3F73" w:rsidRPr="000212C9" w:rsidRDefault="00BB3F73" w:rsidP="00BB3F73">
      <w:r w:rsidRPr="000212C9">
        <w:t>Por lo que al receptor interferido respecta, hay que conocer las características de respuesta de frecuencia en FI equivalente del receptor. Como modelo de base de la respuesta de frecuencia en FI del receptor, pueden utilizarse las especificaciones del fabricante, por ejemplo, la anchura de banda en la fase FI a 6 dB y 40 dB.</w:t>
      </w:r>
    </w:p>
    <w:p w14:paraId="6C2EE2C7" w14:textId="77777777" w:rsidR="00BB3F73" w:rsidRPr="00D4310B" w:rsidRDefault="00BB3F73" w:rsidP="00BB3F73">
      <w:r w:rsidRPr="00D4310B">
        <w:t xml:space="preserve">El factor espectral viene representado por el factor de rechazo fuera de canal, </w:t>
      </w:r>
      <w:r w:rsidRPr="00D4310B">
        <w:rPr>
          <w:i/>
        </w:rPr>
        <w:t>OCR(</w:t>
      </w:r>
      <w:r>
        <w:rPr>
          <w:i/>
        </w:rPr>
        <w:sym w:font="Symbol" w:char="F044"/>
      </w:r>
      <w:r w:rsidRPr="00D4310B">
        <w:rPr>
          <w:i/>
        </w:rPr>
        <w:t>f</w:t>
      </w:r>
      <w:r w:rsidRPr="00D4310B">
        <w:rPr>
          <w:sz w:val="8"/>
        </w:rPr>
        <w:t> </w:t>
      </w:r>
      <w:r w:rsidRPr="00D4310B">
        <w:rPr>
          <w:i/>
        </w:rPr>
        <w:t>)</w:t>
      </w:r>
      <w:r w:rsidRPr="00D4310B">
        <w:t>, que se define con arreglo a la siguiente relación:</w:t>
      </w:r>
    </w:p>
    <w:p w14:paraId="5DBECD06" w14:textId="77777777" w:rsidR="00BB3F73" w:rsidRPr="009C7101" w:rsidRDefault="00BB3F73" w:rsidP="00BB3F73">
      <w:pPr>
        <w:pStyle w:val="Blanc"/>
        <w:rPr>
          <w:lang w:val="es-ES_tradnl"/>
        </w:rPr>
      </w:pPr>
    </w:p>
    <w:p w14:paraId="7BCC4C32" w14:textId="77777777" w:rsidR="00BB3F73" w:rsidRPr="00BB3F73" w:rsidRDefault="00BB3F73" w:rsidP="006825CD">
      <w:pPr>
        <w:pStyle w:val="Equation"/>
        <w:rPr>
          <w:lang w:val="es-ES_tradnl"/>
        </w:rPr>
      </w:pPr>
      <w:r w:rsidRPr="00BB3F73">
        <w:rPr>
          <w:lang w:val="es-ES_tradnl"/>
        </w:rPr>
        <w:tab/>
      </w:r>
      <w:r w:rsidRPr="00BB3F73">
        <w:rPr>
          <w:lang w:val="es-ES_tradnl"/>
        </w:rPr>
        <w:tab/>
      </w:r>
      <w:r w:rsidRPr="00084085">
        <w:rPr>
          <w:position w:val="-74"/>
        </w:rPr>
        <w:object w:dxaOrig="4320" w:dyaOrig="1600" w14:anchorId="5A266057">
          <v:shape id="_x0000_i1029" type="#_x0000_t75" style="width:3in;height:80.05pt" o:ole="">
            <v:imagedata r:id="rId16" o:title=""/>
          </v:shape>
          <o:OLEObject Type="Embed" ProgID="Equation.2" ShapeID="_x0000_i1029" DrawAspect="Content" ObjectID="_1652509564" r:id="rId17"/>
        </w:object>
      </w:r>
      <w:r w:rsidRPr="00BB3F73">
        <w:rPr>
          <w:lang w:val="es-ES_tradnl"/>
        </w:rPr>
        <w:t xml:space="preserve">                dB</w:t>
      </w:r>
      <w:r w:rsidRPr="00BB3F73">
        <w:rPr>
          <w:lang w:val="es-ES_tradnl"/>
        </w:rPr>
        <w:tab/>
        <w:t>(7)</w:t>
      </w:r>
    </w:p>
    <w:p w14:paraId="67942561" w14:textId="77777777" w:rsidR="00BB3F73" w:rsidRPr="000212C9" w:rsidRDefault="00BB3F73" w:rsidP="00BB3F73">
      <w:pPr>
        <w:keepNext/>
        <w:keepLines/>
      </w:pPr>
      <w:r w:rsidRPr="000212C9">
        <w:t>donde:</w:t>
      </w:r>
    </w:p>
    <w:p w14:paraId="396AE6F6" w14:textId="77777777" w:rsidR="00BB3F73" w:rsidRPr="00BB3F73" w:rsidRDefault="00BB3F73" w:rsidP="00BB3F73">
      <w:pPr>
        <w:pStyle w:val="Equationlegend"/>
        <w:keepNext/>
        <w:keepLines/>
        <w:rPr>
          <w:lang w:val="es-ES_tradnl"/>
        </w:rPr>
      </w:pPr>
      <w:r w:rsidRPr="00BB3F73">
        <w:rPr>
          <w:lang w:val="es-ES_tradnl"/>
        </w:rPr>
        <w:tab/>
      </w:r>
      <w:r w:rsidRPr="00BB3F73">
        <w:rPr>
          <w:i/>
          <w:lang w:val="es-ES_tradnl"/>
        </w:rPr>
        <w:t>P(</w:t>
      </w:r>
      <w:r w:rsidRPr="00BB3F73">
        <w:rPr>
          <w:sz w:val="8"/>
          <w:lang w:val="es-ES_tradnl"/>
        </w:rPr>
        <w:t> </w:t>
      </w:r>
      <w:r w:rsidRPr="00BB3F73">
        <w:rPr>
          <w:i/>
          <w:lang w:val="es-ES_tradnl"/>
        </w:rPr>
        <w:t>f</w:t>
      </w:r>
      <w:r w:rsidRPr="00BB3F73">
        <w:rPr>
          <w:sz w:val="8"/>
          <w:lang w:val="es-ES_tradnl"/>
        </w:rPr>
        <w:t> </w:t>
      </w:r>
      <w:r w:rsidRPr="00BB3F73">
        <w:rPr>
          <w:lang w:val="es-ES_tradnl"/>
        </w:rPr>
        <w:t>)</w:t>
      </w:r>
      <w:r w:rsidRPr="00BB3F73">
        <w:rPr>
          <w:sz w:val="8"/>
          <w:lang w:val="es-ES_tradnl"/>
        </w:rPr>
        <w:t> </w:t>
      </w:r>
      <w:r w:rsidRPr="00BB3F73">
        <w:rPr>
          <w:lang w:val="es-ES_tradnl"/>
        </w:rPr>
        <w:t>:</w:t>
      </w:r>
      <w:r w:rsidRPr="00BB3F73">
        <w:rPr>
          <w:lang w:val="es-ES_tradnl"/>
        </w:rPr>
        <w:tab/>
        <w:t>densidad espectral de potencia de la señal interferente (W/Hz)</w:t>
      </w:r>
    </w:p>
    <w:p w14:paraId="552B3459" w14:textId="77777777" w:rsidR="00BB3F73" w:rsidRPr="00BB3F73" w:rsidRDefault="00BB3F73" w:rsidP="00BB3F73">
      <w:pPr>
        <w:pStyle w:val="Equationlegend"/>
        <w:rPr>
          <w:lang w:val="es-ES_tradnl"/>
        </w:rPr>
      </w:pPr>
      <w:r w:rsidRPr="00BB3F73">
        <w:rPr>
          <w:lang w:val="es-ES_tradnl"/>
        </w:rPr>
        <w:tab/>
      </w:r>
      <w:r w:rsidRPr="00BB3F73">
        <w:rPr>
          <w:i/>
          <w:lang w:val="es-ES_tradnl"/>
        </w:rPr>
        <w:t>H(</w:t>
      </w:r>
      <w:r w:rsidRPr="00BB3F73">
        <w:rPr>
          <w:sz w:val="8"/>
          <w:lang w:val="es-ES_tradnl"/>
        </w:rPr>
        <w:t> </w:t>
      </w:r>
      <w:r w:rsidRPr="00BB3F73">
        <w:rPr>
          <w:i/>
          <w:lang w:val="es-ES_tradnl"/>
        </w:rPr>
        <w:t>f</w:t>
      </w:r>
      <w:r w:rsidRPr="00BB3F73">
        <w:rPr>
          <w:sz w:val="8"/>
          <w:lang w:val="es-ES_tradnl"/>
        </w:rPr>
        <w:t> </w:t>
      </w:r>
      <w:r w:rsidRPr="00BB3F73">
        <w:rPr>
          <w:lang w:val="es-ES_tradnl"/>
        </w:rPr>
        <w:t>)</w:t>
      </w:r>
      <w:r w:rsidRPr="00BB3F73">
        <w:rPr>
          <w:sz w:val="8"/>
          <w:lang w:val="es-ES_tradnl"/>
        </w:rPr>
        <w:t> </w:t>
      </w:r>
      <w:r w:rsidRPr="00BB3F73">
        <w:rPr>
          <w:lang w:val="es-ES_tradnl"/>
        </w:rPr>
        <w:t>:</w:t>
      </w:r>
      <w:r w:rsidRPr="00BB3F73">
        <w:rPr>
          <w:lang w:val="es-ES_tradnl"/>
        </w:rPr>
        <w:tab/>
        <w:t>respuesta de frecuencia equivalente en FI del receptor interferido</w:t>
      </w:r>
    </w:p>
    <w:p w14:paraId="75841105" w14:textId="77777777" w:rsidR="00BB3F73" w:rsidRPr="00BB3F73" w:rsidRDefault="00BB3F73" w:rsidP="00BB3F73">
      <w:pPr>
        <w:pStyle w:val="Equationlegend"/>
        <w:rPr>
          <w:lang w:val="es-ES_tradnl"/>
        </w:rPr>
      </w:pPr>
      <w:r w:rsidRPr="00BB3F73">
        <w:rPr>
          <w:lang w:val="es-ES_tradnl"/>
        </w:rPr>
        <w:tab/>
      </w:r>
      <w:r w:rsidRPr="006777E8">
        <w:sym w:font="Symbol" w:char="F044"/>
      </w:r>
      <w:r w:rsidRPr="00BB3F73">
        <w:rPr>
          <w:i/>
          <w:lang w:val="es-ES_tradnl"/>
        </w:rPr>
        <w:t>f</w:t>
      </w:r>
      <w:r w:rsidRPr="00BB3F73">
        <w:rPr>
          <w:sz w:val="8"/>
          <w:lang w:val="es-ES_tradnl"/>
        </w:rPr>
        <w:t> </w:t>
      </w:r>
      <w:r w:rsidRPr="00BB3F73">
        <w:rPr>
          <w:lang w:val="es-ES_tradnl"/>
        </w:rPr>
        <w:t>:</w:t>
      </w:r>
      <w:r w:rsidRPr="00BB3F73">
        <w:rPr>
          <w:lang w:val="es-ES_tradnl"/>
        </w:rPr>
        <w:tab/>
        <w:t>separación de frecuencia entre el receptor interferido y el transmisor interferente.</w:t>
      </w:r>
    </w:p>
    <w:p w14:paraId="668DF316" w14:textId="77777777" w:rsidR="00BB3F73" w:rsidRPr="000212C9" w:rsidRDefault="00BB3F73" w:rsidP="00BB3F73">
      <w:r w:rsidRPr="000212C9">
        <w:t>Hay que señalar que la ecuación (7) no difiere de la ecuación (2), aun cuando los límites inferiores de la integración sean diferentes.</w:t>
      </w:r>
    </w:p>
    <w:p w14:paraId="6EB38003" w14:textId="77777777" w:rsidR="00BB3F73" w:rsidRPr="000212C9" w:rsidRDefault="00BB3F73" w:rsidP="00BB3F73">
      <w:r w:rsidRPr="000212C9">
        <w:t xml:space="preserve">De la ecuación (7) se desprende claramente que </w:t>
      </w:r>
      <w:r w:rsidRPr="000212C9">
        <w:rPr>
          <w:i/>
          <w:color w:val="000000"/>
        </w:rPr>
        <w:t>OCR</w:t>
      </w:r>
      <w:r w:rsidRPr="000212C9">
        <w:rPr>
          <w:color w:val="000000"/>
        </w:rPr>
        <w:t>(</w:t>
      </w:r>
      <w:r>
        <w:rPr>
          <w:rFonts w:ascii="Symbol" w:hAnsi="Symbol"/>
          <w:color w:val="000000"/>
          <w:lang w:val="en-US"/>
        </w:rPr>
        <w:t></w:t>
      </w:r>
      <w:r w:rsidRPr="000212C9">
        <w:rPr>
          <w:i/>
          <w:color w:val="000000"/>
        </w:rPr>
        <w:t>f</w:t>
      </w:r>
      <w:r w:rsidRPr="000212C9">
        <w:rPr>
          <w:sz w:val="8"/>
        </w:rPr>
        <w:t> </w:t>
      </w:r>
      <w:r w:rsidRPr="000212C9">
        <w:rPr>
          <w:color w:val="000000"/>
        </w:rPr>
        <w:t>)</w:t>
      </w:r>
      <w:r w:rsidRPr="000212C9">
        <w:t xml:space="preserve"> depende en gran medida de la magnitud de la superposición entre la banda de paso del receptor y el espectro de potencia de la señal interferente. Cuando </w:t>
      </w:r>
      <w:r>
        <w:rPr>
          <w:rFonts w:ascii="Symbol" w:hAnsi="Symbol"/>
          <w:color w:val="000000"/>
          <w:lang w:val="en-US"/>
        </w:rPr>
        <w:t></w:t>
      </w:r>
      <w:r w:rsidRPr="000212C9">
        <w:rPr>
          <w:i/>
          <w:color w:val="000000"/>
        </w:rPr>
        <w:t>f</w:t>
      </w:r>
      <w:r w:rsidRPr="000212C9">
        <w:t xml:space="preserve"> aumenta, la magnitud de la superposición disminuye, lo que se traduce en una potencia de interferencia más baja o, dicho de manera equivalente, en valores más elevados para </w:t>
      </w:r>
      <w:r w:rsidRPr="000212C9">
        <w:rPr>
          <w:i/>
          <w:color w:val="000000"/>
        </w:rPr>
        <w:t>OCR</w:t>
      </w:r>
      <w:r w:rsidRPr="000212C9">
        <w:rPr>
          <w:color w:val="000000"/>
        </w:rPr>
        <w:t>(</w:t>
      </w:r>
      <w:r>
        <w:rPr>
          <w:rFonts w:ascii="Symbol" w:hAnsi="Symbol"/>
          <w:color w:val="000000"/>
          <w:lang w:val="en-US"/>
        </w:rPr>
        <w:t></w:t>
      </w:r>
      <w:r w:rsidRPr="000212C9">
        <w:rPr>
          <w:i/>
          <w:color w:val="000000"/>
        </w:rPr>
        <w:t>f</w:t>
      </w:r>
      <w:r w:rsidRPr="000212C9">
        <w:rPr>
          <w:sz w:val="8"/>
        </w:rPr>
        <w:t> </w:t>
      </w:r>
      <w:r w:rsidRPr="000212C9">
        <w:rPr>
          <w:color w:val="000000"/>
        </w:rPr>
        <w:t>)</w:t>
      </w:r>
      <w:r w:rsidRPr="000212C9">
        <w:t>.</w:t>
      </w:r>
    </w:p>
    <w:p w14:paraId="7742D7F1" w14:textId="77777777" w:rsidR="00BB3F73" w:rsidRPr="000212C9" w:rsidRDefault="00BB3F73" w:rsidP="00BB3F73">
      <w:r w:rsidRPr="000212C9">
        <w:t xml:space="preserve">El </w:t>
      </w:r>
      <w:r w:rsidRPr="000212C9">
        <w:rPr>
          <w:i/>
        </w:rPr>
        <w:t>factor espacial</w:t>
      </w:r>
      <w:r w:rsidRPr="000212C9">
        <w:t xml:space="preserve"> de la metodología se refiere al cálculo de la atenuación de la señal en función de la distancia; este factor se encuentra estrechamente relacionado con el modelo de propagación que ha de utilizarse y con la distribución estadística a la señal interferente en la etapa de entrada del receptor interferido. Habría que utilizar un modelo de propagación apropiado, como el recomendado por el UIT-R.</w:t>
      </w:r>
    </w:p>
    <w:p w14:paraId="5A632545" w14:textId="77777777" w:rsidR="00BB3F73" w:rsidRPr="000212C9" w:rsidRDefault="00BB3F73" w:rsidP="00BB3F73">
      <w:r w:rsidRPr="000212C9">
        <w:t>Huelga decir que el modelo de propagación que ha de utilizarse con este procedimiento depende de la configuración del sistema, así como de la banda de frecuencias de trabajo, del entorno geográfico de la zona de servicio y de la anchura de banda del sistema.</w:t>
      </w:r>
    </w:p>
    <w:p w14:paraId="2899B77D" w14:textId="77777777" w:rsidR="00BB3F73" w:rsidRPr="00BB3F73" w:rsidRDefault="00BB3F73" w:rsidP="00BB3F73">
      <w:pPr>
        <w:pStyle w:val="Heading2"/>
        <w:rPr>
          <w:lang w:val="es-ES_tradnl"/>
        </w:rPr>
      </w:pPr>
      <w:r w:rsidRPr="00BB3F73">
        <w:rPr>
          <w:lang w:val="es-ES_tradnl"/>
        </w:rPr>
        <w:t>2.2</w:t>
      </w:r>
      <w:r w:rsidRPr="00BB3F73">
        <w:rPr>
          <w:lang w:val="es-ES_tradnl"/>
        </w:rPr>
        <w:tab/>
        <w:t>Criterio de interferencia</w:t>
      </w:r>
    </w:p>
    <w:p w14:paraId="2C20EDB5" w14:textId="77777777" w:rsidR="00BB3F73" w:rsidRPr="000212C9" w:rsidRDefault="00BB3F73" w:rsidP="00BB3F73">
      <w:r w:rsidRPr="000212C9">
        <w:t xml:space="preserve">Este criterio es normalmente una relación sencilla que se basa en la opinión de que la interferencia sea perjudicial o tolerable. Idealmente, dicho criterio debería vincularse al nivel de degradación de la calidad de funcionamiento que el receptor interferido sea capaz de tolerar. Sin embargo, esto puede no ser práctico, al menos si se considera que existe un gran número de diferentes tipos de sistemas y tecnologías que tal vez no puedan tratar la interferencia del mismo modo. En consecuencia, se ha adoptado un criterio más genérico, basado en una relación de protección </w:t>
      </w:r>
      <w:r>
        <w:rPr>
          <w:rFonts w:ascii="Symbol" w:hAnsi="Symbol"/>
        </w:rPr>
        <w:t></w:t>
      </w:r>
      <w:r w:rsidRPr="000212C9">
        <w:t> (dB). La interferencia se considerará tolerable si se satisface la siguiente desigualdad:</w:t>
      </w:r>
    </w:p>
    <w:p w14:paraId="064C148B" w14:textId="77777777" w:rsidR="00BB3F73" w:rsidRPr="009C7101" w:rsidRDefault="00BB3F73" w:rsidP="00BB3F73">
      <w:pPr>
        <w:pStyle w:val="Blanc"/>
        <w:rPr>
          <w:lang w:val="es-ES_tradnl"/>
        </w:rPr>
      </w:pPr>
    </w:p>
    <w:p w14:paraId="2FBCDF88" w14:textId="77777777" w:rsidR="00BB3F73" w:rsidRPr="00BB3F73" w:rsidRDefault="00BB3F73" w:rsidP="006825CD">
      <w:pPr>
        <w:pStyle w:val="Equation"/>
        <w:rPr>
          <w:lang w:val="es-ES_tradnl"/>
        </w:rPr>
      </w:pPr>
      <w:r w:rsidRPr="00BB3F73">
        <w:rPr>
          <w:lang w:val="es-ES_tradnl"/>
        </w:rPr>
        <w:tab/>
      </w:r>
      <w:r w:rsidRPr="00BB3F73">
        <w:rPr>
          <w:lang w:val="es-ES_tradnl"/>
        </w:rPr>
        <w:tab/>
      </w:r>
      <w:r w:rsidRPr="006777E8">
        <w:rPr>
          <w:position w:val="-12"/>
        </w:rPr>
        <w:object w:dxaOrig="1120" w:dyaOrig="360" w14:anchorId="0D4AC40C">
          <v:shape id="_x0000_i1030" type="#_x0000_t75" style="width:56.4pt;height:18.25pt" o:ole="">
            <v:imagedata r:id="rId18" o:title=""/>
          </v:shape>
          <o:OLEObject Type="Embed" ProgID="Equation.3" ShapeID="_x0000_i1030" DrawAspect="Content" ObjectID="_1652509565" r:id="rId19"/>
        </w:object>
      </w:r>
      <w:r w:rsidRPr="00BB3F73">
        <w:rPr>
          <w:lang w:val="es-ES_tradnl"/>
        </w:rPr>
        <w:tab/>
        <w:t>(8)</w:t>
      </w:r>
    </w:p>
    <w:p w14:paraId="7BD81F5F" w14:textId="77777777" w:rsidR="00F91558" w:rsidRPr="009C7101" w:rsidRDefault="00F91558" w:rsidP="00F91558">
      <w:pPr>
        <w:pStyle w:val="Blanc"/>
        <w:rPr>
          <w:lang w:val="es-ES_tradnl"/>
        </w:rPr>
      </w:pPr>
    </w:p>
    <w:p w14:paraId="2D387DD8" w14:textId="77777777" w:rsidR="00BB3F73" w:rsidRPr="000212C9" w:rsidRDefault="00BB3F73" w:rsidP="00BB3F73">
      <w:r w:rsidRPr="000212C9">
        <w:t>donde:</w:t>
      </w:r>
    </w:p>
    <w:p w14:paraId="6B408488" w14:textId="77777777" w:rsidR="00BB3F73" w:rsidRPr="00BB3F73" w:rsidRDefault="00BB3F73" w:rsidP="00BB3F73">
      <w:pPr>
        <w:pStyle w:val="Equationlegend"/>
        <w:rPr>
          <w:lang w:val="es-ES_tradnl"/>
        </w:rPr>
      </w:pPr>
      <w:r w:rsidRPr="00BB3F73">
        <w:rPr>
          <w:lang w:val="es-ES_tradnl"/>
        </w:rPr>
        <w:tab/>
      </w:r>
      <w:r w:rsidRPr="00BB3F73">
        <w:rPr>
          <w:i/>
          <w:lang w:val="es-ES_tradnl"/>
        </w:rPr>
        <w:t>P</w:t>
      </w:r>
      <w:r w:rsidRPr="00BB3F73">
        <w:rPr>
          <w:i/>
          <w:vertAlign w:val="subscript"/>
          <w:lang w:val="es-ES_tradnl"/>
        </w:rPr>
        <w:t>d</w:t>
      </w:r>
      <w:r w:rsidRPr="00BB3F73">
        <w:rPr>
          <w:sz w:val="8"/>
          <w:lang w:val="es-ES_tradnl"/>
        </w:rPr>
        <w:t> </w:t>
      </w:r>
      <w:r w:rsidRPr="00BB3F73">
        <w:rPr>
          <w:lang w:val="es-ES_tradnl"/>
        </w:rPr>
        <w:t>:</w:t>
      </w:r>
      <w:r w:rsidRPr="00BB3F73">
        <w:rPr>
          <w:lang w:val="es-ES_tradnl"/>
        </w:rPr>
        <w:tab/>
        <w:t>nivel de la señal deseada (dBW)</w:t>
      </w:r>
    </w:p>
    <w:p w14:paraId="25295709" w14:textId="77777777" w:rsidR="00BB3F73" w:rsidRPr="00BB3F73" w:rsidRDefault="00BB3F73" w:rsidP="00BB3F73">
      <w:pPr>
        <w:pStyle w:val="Equationlegend"/>
        <w:rPr>
          <w:lang w:val="es-ES_tradnl"/>
        </w:rPr>
      </w:pPr>
      <w:r w:rsidRPr="00BB3F73">
        <w:rPr>
          <w:lang w:val="es-ES_tradnl"/>
        </w:rPr>
        <w:tab/>
      </w:r>
      <w:r w:rsidRPr="00BB3F73">
        <w:rPr>
          <w:i/>
          <w:lang w:val="es-ES_tradnl"/>
        </w:rPr>
        <w:t>P</w:t>
      </w:r>
      <w:r w:rsidRPr="00BB3F73">
        <w:rPr>
          <w:i/>
          <w:vertAlign w:val="subscript"/>
          <w:lang w:val="es-ES_tradnl"/>
        </w:rPr>
        <w:t>i</w:t>
      </w:r>
      <w:r w:rsidRPr="00BB3F73">
        <w:rPr>
          <w:sz w:val="8"/>
          <w:lang w:val="es-ES_tradnl"/>
        </w:rPr>
        <w:t> </w:t>
      </w:r>
      <w:r w:rsidRPr="00BB3F73">
        <w:rPr>
          <w:lang w:val="es-ES_tradnl"/>
        </w:rPr>
        <w:t>:</w:t>
      </w:r>
      <w:r w:rsidRPr="00BB3F73">
        <w:rPr>
          <w:lang w:val="es-ES_tradnl"/>
        </w:rPr>
        <w:tab/>
        <w:t>nivel de la señal interferente (dBW)</w:t>
      </w:r>
    </w:p>
    <w:p w14:paraId="3DFCB109" w14:textId="77777777" w:rsidR="00BB3F73" w:rsidRPr="00BB3F73" w:rsidRDefault="00BB3F73" w:rsidP="00BB3F73">
      <w:pPr>
        <w:pStyle w:val="Equationlegend"/>
        <w:rPr>
          <w:lang w:val="es-ES_tradnl"/>
        </w:rPr>
      </w:pPr>
      <w:r w:rsidRPr="00BB3F73">
        <w:rPr>
          <w:lang w:val="es-ES_tradnl"/>
        </w:rPr>
        <w:tab/>
      </w:r>
      <w:r w:rsidRPr="006777E8">
        <w:rPr>
          <w:rFonts w:ascii="Symbol" w:hAnsi="Symbol"/>
        </w:rPr>
        <w:t></w:t>
      </w:r>
      <w:r w:rsidRPr="00BB3F73">
        <w:rPr>
          <w:sz w:val="8"/>
          <w:lang w:val="es-ES_tradnl"/>
        </w:rPr>
        <w:t> </w:t>
      </w:r>
      <w:r w:rsidRPr="00BB3F73">
        <w:rPr>
          <w:lang w:val="es-ES_tradnl"/>
        </w:rPr>
        <w:t>:</w:t>
      </w:r>
      <w:r w:rsidRPr="00BB3F73">
        <w:rPr>
          <w:lang w:val="es-ES_tradnl"/>
        </w:rPr>
        <w:tab/>
        <w:t>relación de protección (dB).</w:t>
      </w:r>
    </w:p>
    <w:p w14:paraId="22208C06" w14:textId="77777777" w:rsidR="00BB3F73" w:rsidRPr="00BB3F73" w:rsidRDefault="00BB3F73" w:rsidP="00BB3F73">
      <w:pPr>
        <w:pStyle w:val="Heading2"/>
        <w:rPr>
          <w:lang w:val="es-ES_tradnl"/>
        </w:rPr>
      </w:pPr>
      <w:r w:rsidRPr="00BB3F73">
        <w:rPr>
          <w:lang w:val="es-ES_tradnl"/>
        </w:rPr>
        <w:t>2.3</w:t>
      </w:r>
      <w:r w:rsidRPr="00BB3F73">
        <w:rPr>
          <w:lang w:val="es-ES_tradnl"/>
        </w:rPr>
        <w:tab/>
        <w:t>Procedimiento</w:t>
      </w:r>
    </w:p>
    <w:p w14:paraId="55A88F48" w14:textId="77777777" w:rsidR="00BB3F73" w:rsidRPr="000212C9" w:rsidRDefault="00BB3F73" w:rsidP="00BB3F73">
      <w:r w:rsidRPr="000212C9">
        <w:t>El procedimiento que debe seguirse para elaborar una regla de separación en frecuencia y en distancia puede resumirse como sigue:</w:t>
      </w:r>
    </w:p>
    <w:p w14:paraId="3E8D9379" w14:textId="77777777" w:rsidR="00BB3F73" w:rsidRPr="00BB3F73" w:rsidRDefault="00BB3F73" w:rsidP="00BB3F73">
      <w:pPr>
        <w:pStyle w:val="enumlev1"/>
        <w:tabs>
          <w:tab w:val="left" w:pos="964"/>
        </w:tabs>
        <w:ind w:left="0" w:firstLine="0"/>
        <w:rPr>
          <w:lang w:val="es-ES_tradnl"/>
        </w:rPr>
      </w:pPr>
      <w:r w:rsidRPr="00BB3F73">
        <w:rPr>
          <w:i/>
          <w:lang w:val="es-ES_tradnl"/>
        </w:rPr>
        <w:t>Etapa 1</w:t>
      </w:r>
      <w:r w:rsidRPr="00BB3F73">
        <w:rPr>
          <w:lang w:val="es-ES_tradnl"/>
        </w:rPr>
        <w:t xml:space="preserve">: Determinar el nivel de la señal deseada, </w:t>
      </w:r>
      <w:r w:rsidRPr="00BB3F73">
        <w:rPr>
          <w:i/>
          <w:lang w:val="es-ES_tradnl"/>
        </w:rPr>
        <w:t>P</w:t>
      </w:r>
      <w:r w:rsidRPr="00BB3F73">
        <w:rPr>
          <w:i/>
          <w:position w:val="-4"/>
          <w:sz w:val="16"/>
          <w:lang w:val="es-ES_tradnl"/>
        </w:rPr>
        <w:t>d</w:t>
      </w:r>
      <w:r w:rsidRPr="00BB3F73">
        <w:rPr>
          <w:lang w:val="es-ES_tradnl"/>
        </w:rPr>
        <w:t xml:space="preserve"> (dBW), en la etapa de entrada del receptor interferido.</w:t>
      </w:r>
    </w:p>
    <w:p w14:paraId="585F6C63" w14:textId="5E793354" w:rsidR="00BB3F73" w:rsidRPr="00BB3F73" w:rsidRDefault="00BB3F73" w:rsidP="00BB3F73">
      <w:pPr>
        <w:pStyle w:val="enumlev1"/>
        <w:tabs>
          <w:tab w:val="left" w:pos="964"/>
        </w:tabs>
        <w:ind w:left="0" w:firstLine="0"/>
        <w:rPr>
          <w:lang w:val="es-ES_tradnl"/>
        </w:rPr>
      </w:pPr>
      <w:r w:rsidRPr="00BB3F73">
        <w:rPr>
          <w:i/>
          <w:lang w:val="es-ES_tradnl"/>
        </w:rPr>
        <w:t>Etapa 2</w:t>
      </w:r>
      <w:r w:rsidRPr="00BB3F73">
        <w:rPr>
          <w:lang w:val="es-ES_tradnl"/>
        </w:rPr>
        <w:t>: Calcular el nivel de interferencia resultante en la etapa de entrada del receptor interferido aplicando la fórmula:</w:t>
      </w:r>
    </w:p>
    <w:p w14:paraId="5FCDED3A" w14:textId="77777777" w:rsidR="00F91558" w:rsidRPr="009C7101" w:rsidRDefault="00F91558" w:rsidP="00F91558">
      <w:pPr>
        <w:pStyle w:val="Blanc"/>
        <w:rPr>
          <w:lang w:val="es-ES_tradnl"/>
        </w:rPr>
      </w:pPr>
    </w:p>
    <w:p w14:paraId="7A12AD0C" w14:textId="77777777" w:rsidR="00BB3F73" w:rsidRPr="00BB3F73" w:rsidRDefault="00BB3F73" w:rsidP="006825CD">
      <w:pPr>
        <w:pStyle w:val="Equation"/>
        <w:rPr>
          <w:lang w:val="es-ES_tradnl"/>
        </w:rPr>
      </w:pPr>
      <w:r w:rsidRPr="00BB3F73">
        <w:rPr>
          <w:lang w:val="es-ES_tradnl"/>
        </w:rPr>
        <w:tab/>
      </w:r>
      <w:r w:rsidRPr="00BB3F73">
        <w:rPr>
          <w:lang w:val="es-ES_tradnl"/>
        </w:rPr>
        <w:tab/>
      </w:r>
      <w:r w:rsidRPr="00084085">
        <w:rPr>
          <w:position w:val="-14"/>
        </w:rPr>
        <w:object w:dxaOrig="2780" w:dyaOrig="380" w14:anchorId="084FBD0E">
          <v:shape id="_x0000_i1031" type="#_x0000_t75" style="width:139.15pt;height:19.35pt" o:ole="">
            <v:imagedata r:id="rId20" o:title=""/>
          </v:shape>
          <o:OLEObject Type="Embed" ProgID="Equation.3" ShapeID="_x0000_i1031" DrawAspect="Content" ObjectID="_1652509566" r:id="rId21"/>
        </w:object>
      </w:r>
      <w:r w:rsidRPr="00BB3F73">
        <w:rPr>
          <w:lang w:val="es-ES_tradnl"/>
        </w:rPr>
        <w:tab/>
        <w:t>(9)</w:t>
      </w:r>
    </w:p>
    <w:p w14:paraId="3985A38A" w14:textId="77777777" w:rsidR="00BB3F73" w:rsidRPr="000212C9" w:rsidRDefault="00BB3F73" w:rsidP="00BB3F73">
      <w:pPr>
        <w:keepNext/>
        <w:keepLines/>
      </w:pPr>
      <w:r w:rsidRPr="000212C9">
        <w:t>donde:</w:t>
      </w:r>
    </w:p>
    <w:p w14:paraId="56DFBA7A" w14:textId="77777777" w:rsidR="00BB3F73" w:rsidRPr="00BB3F73" w:rsidRDefault="00BB3F73" w:rsidP="00BB3F73">
      <w:pPr>
        <w:pStyle w:val="Equationlegend"/>
        <w:keepNext/>
        <w:keepLines/>
        <w:rPr>
          <w:lang w:val="es-ES_tradnl"/>
        </w:rPr>
      </w:pPr>
      <w:r w:rsidRPr="00BB3F73">
        <w:rPr>
          <w:lang w:val="es-ES_tradnl"/>
        </w:rPr>
        <w:tab/>
      </w:r>
      <w:r w:rsidRPr="00BB3F73">
        <w:rPr>
          <w:i/>
          <w:lang w:val="es-ES_tradnl"/>
        </w:rPr>
        <w:t>P</w:t>
      </w:r>
      <w:r w:rsidRPr="00BB3F73">
        <w:rPr>
          <w:i/>
          <w:vertAlign w:val="subscript"/>
          <w:lang w:val="es-ES_tradnl"/>
        </w:rPr>
        <w:t>t</w:t>
      </w:r>
      <w:r w:rsidRPr="00BB3F73">
        <w:rPr>
          <w:sz w:val="8"/>
          <w:lang w:val="es-ES_tradnl"/>
        </w:rPr>
        <w:t> </w:t>
      </w:r>
      <w:r w:rsidRPr="00BB3F73">
        <w:rPr>
          <w:lang w:val="es-ES_tradnl"/>
        </w:rPr>
        <w:t>:</w:t>
      </w:r>
      <w:r w:rsidRPr="00BB3F73">
        <w:rPr>
          <w:lang w:val="es-ES_tradnl"/>
        </w:rPr>
        <w:tab/>
        <w:t>potencia isótropa radiada equivalente (p.i.r.e.) del transmisor interferente (dBW)</w:t>
      </w:r>
    </w:p>
    <w:p w14:paraId="6001AFE3" w14:textId="77777777" w:rsidR="00BB3F73" w:rsidRPr="00BB3F73" w:rsidRDefault="00BB3F73" w:rsidP="00BB3F73">
      <w:pPr>
        <w:pStyle w:val="Equationlegend"/>
        <w:rPr>
          <w:lang w:val="es-ES_tradnl"/>
        </w:rPr>
      </w:pPr>
      <w:r w:rsidRPr="00BB3F73">
        <w:rPr>
          <w:lang w:val="es-ES_tradnl"/>
        </w:rPr>
        <w:tab/>
      </w:r>
      <w:r w:rsidRPr="00BB3F73">
        <w:rPr>
          <w:i/>
          <w:lang w:val="es-ES_tradnl"/>
        </w:rPr>
        <w:t>G</w:t>
      </w:r>
      <w:r w:rsidRPr="00BB3F73">
        <w:rPr>
          <w:i/>
          <w:vertAlign w:val="subscript"/>
          <w:lang w:val="es-ES_tradnl"/>
        </w:rPr>
        <w:t>r</w:t>
      </w:r>
      <w:r w:rsidRPr="00BB3F73">
        <w:rPr>
          <w:sz w:val="8"/>
          <w:lang w:val="es-ES_tradnl"/>
        </w:rPr>
        <w:t> </w:t>
      </w:r>
      <w:r w:rsidRPr="00BB3F73">
        <w:rPr>
          <w:lang w:val="es-ES_tradnl"/>
        </w:rPr>
        <w:t>:</w:t>
      </w:r>
      <w:r w:rsidRPr="00BB3F73">
        <w:rPr>
          <w:lang w:val="es-ES_tradnl"/>
        </w:rPr>
        <w:tab/>
        <w:t>ganancia de la antena receptora con respecto a una antena isótropa (dBi)</w:t>
      </w:r>
    </w:p>
    <w:p w14:paraId="3BC581F0" w14:textId="77777777" w:rsidR="00BB3F73" w:rsidRPr="00BB3F73" w:rsidRDefault="00BB3F73" w:rsidP="00BB3F73">
      <w:pPr>
        <w:pStyle w:val="Equationlegend"/>
        <w:rPr>
          <w:lang w:val="es-ES_tradnl"/>
        </w:rPr>
      </w:pPr>
      <w:r w:rsidRPr="00BB3F73">
        <w:rPr>
          <w:lang w:val="es-ES_tradnl"/>
        </w:rPr>
        <w:tab/>
      </w:r>
      <w:r w:rsidRPr="00BB3F73">
        <w:rPr>
          <w:i/>
          <w:lang w:val="es-ES_tradnl"/>
        </w:rPr>
        <w:t>L</w:t>
      </w:r>
      <w:r w:rsidRPr="00BB3F73">
        <w:rPr>
          <w:i/>
          <w:vertAlign w:val="subscript"/>
          <w:lang w:val="es-ES_tradnl"/>
        </w:rPr>
        <w:t>p</w:t>
      </w:r>
      <w:r w:rsidRPr="00BB3F73">
        <w:rPr>
          <w:sz w:val="8"/>
          <w:lang w:val="es-ES_tradnl"/>
        </w:rPr>
        <w:t> </w:t>
      </w:r>
      <w:r w:rsidRPr="00BB3F73">
        <w:rPr>
          <w:lang w:val="es-ES_tradnl"/>
        </w:rPr>
        <w:t>:</w:t>
      </w:r>
      <w:r w:rsidRPr="00BB3F73">
        <w:rPr>
          <w:lang w:val="es-ES_tradnl"/>
        </w:rPr>
        <w:tab/>
        <w:t>pérdida en el trayecto de propagación</w:t>
      </w:r>
    </w:p>
    <w:p w14:paraId="2316B24D" w14:textId="77777777" w:rsidR="00BB3F73" w:rsidRPr="00BB3F73" w:rsidRDefault="00BB3F73" w:rsidP="00BB3F73">
      <w:pPr>
        <w:pStyle w:val="Equationlegend"/>
        <w:rPr>
          <w:lang w:val="es-ES_tradnl"/>
        </w:rPr>
      </w:pPr>
      <w:r w:rsidRPr="00BB3F73">
        <w:rPr>
          <w:lang w:val="es-ES_tradnl"/>
        </w:rPr>
        <w:tab/>
      </w:r>
      <w:r w:rsidRPr="00BB3F73">
        <w:rPr>
          <w:i/>
          <w:color w:val="000000"/>
          <w:lang w:val="es-ES_tradnl"/>
        </w:rPr>
        <w:t>OCR</w:t>
      </w:r>
      <w:r w:rsidRPr="00BB3F73">
        <w:rPr>
          <w:sz w:val="8"/>
          <w:lang w:val="es-ES_tradnl"/>
        </w:rPr>
        <w:t> </w:t>
      </w:r>
      <w:r w:rsidRPr="00BB3F73">
        <w:rPr>
          <w:color w:val="000000"/>
          <w:lang w:val="es-ES_tradnl"/>
        </w:rPr>
        <w:t>(</w:t>
      </w:r>
      <w:r w:rsidRPr="006777E8">
        <w:rPr>
          <w:rFonts w:ascii="Symbol" w:hAnsi="Symbol"/>
          <w:color w:val="000000"/>
        </w:rPr>
        <w:t></w:t>
      </w:r>
      <w:r w:rsidRPr="00BB3F73">
        <w:rPr>
          <w:i/>
          <w:color w:val="000000"/>
          <w:lang w:val="es-ES_tradnl"/>
        </w:rPr>
        <w:t>f</w:t>
      </w:r>
      <w:r w:rsidRPr="00BB3F73">
        <w:rPr>
          <w:sz w:val="8"/>
          <w:lang w:val="es-ES_tradnl"/>
        </w:rPr>
        <w:t> </w:t>
      </w:r>
      <w:r w:rsidRPr="00BB3F73">
        <w:rPr>
          <w:color w:val="000000"/>
          <w:lang w:val="es-ES_tradnl"/>
        </w:rPr>
        <w:t>)</w:t>
      </w:r>
      <w:r w:rsidRPr="00BB3F73">
        <w:rPr>
          <w:sz w:val="8"/>
          <w:lang w:val="es-ES_tradnl"/>
        </w:rPr>
        <w:t> </w:t>
      </w:r>
      <w:r w:rsidRPr="00BB3F73">
        <w:rPr>
          <w:lang w:val="es-ES_tradnl"/>
        </w:rPr>
        <w:t>:</w:t>
      </w:r>
      <w:r w:rsidRPr="00BB3F73">
        <w:rPr>
          <w:lang w:val="es-ES_tradnl"/>
        </w:rPr>
        <w:tab/>
        <w:t xml:space="preserve">factor de rechazo fuera de canal para una separación de frecuencia </w:t>
      </w:r>
      <w:r>
        <w:rPr>
          <w:rFonts w:ascii="Symbol" w:hAnsi="Symbol"/>
          <w:color w:val="000000"/>
        </w:rPr>
        <w:t></w:t>
      </w:r>
      <w:r w:rsidRPr="00BB3F73">
        <w:rPr>
          <w:i/>
          <w:color w:val="000000"/>
          <w:lang w:val="es-ES_tradnl"/>
        </w:rPr>
        <w:t>f</w:t>
      </w:r>
      <w:r w:rsidRPr="00BB3F73">
        <w:rPr>
          <w:lang w:val="es-ES_tradnl"/>
        </w:rPr>
        <w:t xml:space="preserve"> expresada por la ecuación (7).</w:t>
      </w:r>
    </w:p>
    <w:p w14:paraId="38C2ECD8" w14:textId="77777777" w:rsidR="00BB3F73" w:rsidRPr="000212C9" w:rsidRDefault="00BB3F73" w:rsidP="00BB3F73">
      <w:r w:rsidRPr="000212C9">
        <w:t xml:space="preserve">Se toman como hipótesis los valores </w:t>
      </w:r>
      <w:r w:rsidRPr="000212C9">
        <w:rPr>
          <w:i/>
        </w:rPr>
        <w:t>OCR</w:t>
      </w:r>
      <w:r w:rsidRPr="000212C9">
        <w:t xml:space="preserve"> utilizados en la presente Recomendación. El objeto de la presente Recomendación es más presentar el método que obtener los valores de </w:t>
      </w:r>
      <w:r w:rsidRPr="000212C9">
        <w:rPr>
          <w:i/>
        </w:rPr>
        <w:t>OCR</w:t>
      </w:r>
      <w:r w:rsidRPr="000212C9">
        <w:t>.</w:t>
      </w:r>
    </w:p>
    <w:p w14:paraId="2904EF24" w14:textId="77777777" w:rsidR="00BB3F73" w:rsidRPr="00BB3F73" w:rsidRDefault="00BB3F73" w:rsidP="007141E0">
      <w:pPr>
        <w:pStyle w:val="enumlev1"/>
        <w:ind w:left="0" w:firstLine="0"/>
        <w:rPr>
          <w:lang w:val="es-ES_tradnl"/>
        </w:rPr>
      </w:pPr>
      <w:r w:rsidRPr="00BB3F73">
        <w:rPr>
          <w:i/>
          <w:lang w:val="es-ES_tradnl"/>
        </w:rPr>
        <w:t>Etapa 3</w:t>
      </w:r>
      <w:r w:rsidRPr="00BB3F73">
        <w:rPr>
          <w:lang w:val="es-ES_tradnl"/>
        </w:rPr>
        <w:t xml:space="preserve">: Sustituir </w:t>
      </w:r>
      <w:r w:rsidRPr="00BB3F73">
        <w:rPr>
          <w:i/>
          <w:lang w:val="es-ES_tradnl"/>
        </w:rPr>
        <w:t>P</w:t>
      </w:r>
      <w:r w:rsidRPr="00BB3F73">
        <w:rPr>
          <w:i/>
          <w:position w:val="-4"/>
          <w:sz w:val="16"/>
          <w:lang w:val="es-ES_tradnl"/>
        </w:rPr>
        <w:t>d</w:t>
      </w:r>
      <w:r w:rsidRPr="00BB3F73">
        <w:rPr>
          <w:lang w:val="es-ES_tradnl"/>
        </w:rPr>
        <w:t xml:space="preserve"> y </w:t>
      </w:r>
      <w:r w:rsidRPr="00BB3F73">
        <w:rPr>
          <w:i/>
          <w:lang w:val="es-ES_tradnl"/>
        </w:rPr>
        <w:t>P</w:t>
      </w:r>
      <w:r w:rsidRPr="00BB3F73">
        <w:rPr>
          <w:i/>
          <w:position w:val="-4"/>
          <w:sz w:val="16"/>
          <w:lang w:val="es-ES_tradnl"/>
        </w:rPr>
        <w:t>i</w:t>
      </w:r>
      <w:r w:rsidRPr="00BB3F73">
        <w:rPr>
          <w:lang w:val="es-ES_tradnl"/>
        </w:rPr>
        <w:t xml:space="preserve"> de las Etapas 1 y 2 en la ecuación (8) para derivar o calcular numéricamente una relación entre la separación de frecuencia, </w:t>
      </w:r>
      <w:r>
        <w:rPr>
          <w:rFonts w:ascii="Symbol" w:hAnsi="Symbol"/>
          <w:color w:val="000000"/>
          <w:lang w:val="en-US"/>
        </w:rPr>
        <w:t></w:t>
      </w:r>
      <w:r w:rsidRPr="00BB3F73">
        <w:rPr>
          <w:i/>
          <w:color w:val="000000"/>
          <w:lang w:val="es-ES_tradnl"/>
        </w:rPr>
        <w:t>f</w:t>
      </w:r>
      <w:r w:rsidRPr="00BB3F73">
        <w:rPr>
          <w:lang w:val="es-ES_tradnl"/>
        </w:rPr>
        <w:t xml:space="preserve">, y la separación en distancia, </w:t>
      </w:r>
      <w:r w:rsidRPr="00BB3F73">
        <w:rPr>
          <w:i/>
          <w:lang w:val="es-ES_tradnl"/>
        </w:rPr>
        <w:t>d</w:t>
      </w:r>
      <w:r w:rsidRPr="00BB3F73">
        <w:rPr>
          <w:lang w:val="es-ES_tradnl"/>
        </w:rPr>
        <w:t>, de forma tal que la interferencia se considere tolerable.</w:t>
      </w:r>
    </w:p>
    <w:p w14:paraId="3D56F54C" w14:textId="77777777" w:rsidR="00BB3F73" w:rsidRPr="00BB3F73" w:rsidRDefault="00BB3F73" w:rsidP="00BB3F73">
      <w:pPr>
        <w:pStyle w:val="Heading2"/>
        <w:rPr>
          <w:lang w:val="es-ES_tradnl"/>
        </w:rPr>
      </w:pPr>
      <w:r w:rsidRPr="00BB3F73">
        <w:rPr>
          <w:lang w:val="es-ES_tradnl"/>
        </w:rPr>
        <w:t>2.4</w:t>
      </w:r>
      <w:r w:rsidRPr="00BB3F73">
        <w:rPr>
          <w:lang w:val="es-ES_tradnl"/>
        </w:rPr>
        <w:tab/>
        <w:t>Procedimiento alternativo</w:t>
      </w:r>
    </w:p>
    <w:p w14:paraId="4C0D2772" w14:textId="77777777" w:rsidR="00BB3F73" w:rsidRPr="000212C9" w:rsidRDefault="00BB3F73" w:rsidP="007141E0">
      <w:r w:rsidRPr="000212C9">
        <w:t>En un entorno real, la señal recibida en el receptor víctima experimenta una atenuación en la zona de sombra que responde a una distribución log-normal. Para compensar este efecto de desvanecimiento, el nivel de la señal recibida debe ser mayor que el nivel de sensibilidad. A continuación se describe un procedimiento alternativo para determinar el aislamiento necesario entre el receptor víctima y el sistema interferente, que responde al efecto de ensombrecimiento.</w:t>
      </w:r>
    </w:p>
    <w:p w14:paraId="2FAF1B27" w14:textId="77777777" w:rsidR="00BB3F73" w:rsidRPr="007141E0" w:rsidRDefault="00BB3F73" w:rsidP="007141E0">
      <w:pPr>
        <w:rPr>
          <w:lang w:eastAsia="ko-KR"/>
        </w:rPr>
      </w:pPr>
      <w:r w:rsidRPr="000212C9">
        <w:rPr>
          <w:i/>
        </w:rPr>
        <w:t>Etapa </w:t>
      </w:r>
      <w:r w:rsidRPr="007141E0">
        <w:rPr>
          <w:i/>
        </w:rPr>
        <w:t>1</w:t>
      </w:r>
      <w:r w:rsidRPr="007141E0">
        <w:t>:</w:t>
      </w:r>
      <w:r w:rsidRPr="000212C9">
        <w:rPr>
          <w:b/>
          <w:iCs/>
        </w:rPr>
        <w:t> </w:t>
      </w:r>
      <w:r w:rsidRPr="000212C9">
        <w:rPr>
          <w:bCs/>
          <w:iCs/>
        </w:rPr>
        <w:t>Se c</w:t>
      </w:r>
      <w:r w:rsidRPr="007141E0">
        <w:rPr>
          <w:lang w:val="es-ES_tradnl"/>
        </w:rPr>
        <w:t>alcula el aislamiento necesario para impedir que el sistema interferente cause interferencia al receptor v</w:t>
      </w:r>
      <w:r w:rsidRPr="000212C9">
        <w:t>íctima, mediante la siguiente fórmula</w:t>
      </w:r>
      <w:r w:rsidRPr="007141E0">
        <w:t>:</w:t>
      </w:r>
    </w:p>
    <w:p w14:paraId="6BB17FBB" w14:textId="77777777" w:rsidR="00BB3F73" w:rsidRPr="009C7101" w:rsidRDefault="00BB3F73" w:rsidP="00BB3F73">
      <w:pPr>
        <w:pStyle w:val="Blanc"/>
        <w:rPr>
          <w:lang w:val="es-ES_tradnl"/>
        </w:rPr>
      </w:pPr>
    </w:p>
    <w:p w14:paraId="137E1D9A" w14:textId="77777777" w:rsidR="00BB3F73" w:rsidRPr="00BB3F73" w:rsidRDefault="00BB3F73" w:rsidP="006825CD">
      <w:pPr>
        <w:pStyle w:val="Equation"/>
        <w:rPr>
          <w:szCs w:val="24"/>
          <w:lang w:val="es-ES_tradnl" w:eastAsia="ko-KR"/>
        </w:rPr>
      </w:pPr>
      <w:r w:rsidRPr="00BB3F73">
        <w:rPr>
          <w:lang w:val="es-ES_tradnl" w:eastAsia="ko-KR"/>
        </w:rPr>
        <w:tab/>
      </w:r>
      <w:r w:rsidRPr="00BB3F73">
        <w:rPr>
          <w:lang w:val="es-ES_tradnl" w:eastAsia="ko-KR"/>
        </w:rPr>
        <w:tab/>
      </w:r>
      <w:r w:rsidR="0039622A" w:rsidRPr="006777E8">
        <w:rPr>
          <w:position w:val="-12"/>
          <w:lang w:eastAsia="ko-KR"/>
        </w:rPr>
        <w:object w:dxaOrig="5420" w:dyaOrig="420" w14:anchorId="76147A81">
          <v:shape id="_x0000_i1032" type="#_x0000_t75" style="width:270.8pt;height:20.95pt" o:ole="">
            <v:imagedata r:id="rId22" o:title=""/>
          </v:shape>
          <o:OLEObject Type="Embed" ProgID="Equation.3" ShapeID="_x0000_i1032" DrawAspect="Content" ObjectID="_1652509567" r:id="rId23"/>
        </w:object>
      </w:r>
      <w:r w:rsidRPr="00BB3F73">
        <w:rPr>
          <w:lang w:val="es-ES_tradnl" w:eastAsia="ko-KR"/>
        </w:rPr>
        <w:tab/>
      </w:r>
      <w:r w:rsidRPr="00BB3F73">
        <w:rPr>
          <w:lang w:val="es-ES_tradnl"/>
        </w:rPr>
        <w:t>(</w:t>
      </w:r>
      <w:r w:rsidRPr="00BB3F73">
        <w:rPr>
          <w:lang w:val="es-ES_tradnl" w:eastAsia="ko-KR"/>
        </w:rPr>
        <w:t>10</w:t>
      </w:r>
      <w:r w:rsidRPr="00BB3F73">
        <w:rPr>
          <w:lang w:val="es-ES_tradnl"/>
        </w:rPr>
        <w:t>)</w:t>
      </w:r>
    </w:p>
    <w:p w14:paraId="68424960" w14:textId="77777777" w:rsidR="00BB3F73" w:rsidRPr="007141E0" w:rsidRDefault="00BB3F73" w:rsidP="007141E0">
      <w:r w:rsidRPr="000212C9">
        <w:t>siendo</w:t>
      </w:r>
      <w:r w:rsidRPr="007141E0">
        <w:t>:</w:t>
      </w:r>
    </w:p>
    <w:p w14:paraId="5205DD10" w14:textId="77777777" w:rsidR="00BB3F73" w:rsidRPr="007141E0" w:rsidRDefault="00BB3F73" w:rsidP="007141E0">
      <w:pPr>
        <w:pStyle w:val="Equationlegend"/>
        <w:rPr>
          <w:lang w:val="es-ES"/>
        </w:rPr>
      </w:pPr>
      <w:r w:rsidRPr="007141E0">
        <w:rPr>
          <w:lang w:val="es-ES_tradnl"/>
        </w:rPr>
        <w:tab/>
      </w:r>
      <w:r w:rsidRPr="007141E0">
        <w:rPr>
          <w:i/>
          <w:lang w:val="es-ES"/>
        </w:rPr>
        <w:t>L</w:t>
      </w:r>
      <w:r w:rsidRPr="007141E0">
        <w:rPr>
          <w:i/>
          <w:vertAlign w:val="subscript"/>
          <w:lang w:val="es-ES"/>
        </w:rPr>
        <w:t>I</w:t>
      </w:r>
      <w:r w:rsidRPr="007141E0">
        <w:rPr>
          <w:lang w:val="es-ES"/>
        </w:rPr>
        <w:t xml:space="preserve">: </w:t>
      </w:r>
      <w:r w:rsidRPr="007141E0">
        <w:rPr>
          <w:lang w:val="es-ES"/>
        </w:rPr>
        <w:tab/>
        <w:t xml:space="preserve">el aislamiento necesario entre el sistema interferente y el víctima para garantizar un nivel de interferencia </w:t>
      </w:r>
      <w:r>
        <w:rPr>
          <w:lang w:val="es-ES"/>
        </w:rPr>
        <w:t>aceptable</w:t>
      </w:r>
      <w:r w:rsidRPr="007141E0">
        <w:rPr>
          <w:lang w:val="es-ES"/>
        </w:rPr>
        <w:t xml:space="preserve"> (dB)</w:t>
      </w:r>
    </w:p>
    <w:p w14:paraId="45FE8BF3" w14:textId="77777777" w:rsidR="00BB3F73" w:rsidRPr="007141E0" w:rsidRDefault="00BB3F73" w:rsidP="007141E0">
      <w:pPr>
        <w:pStyle w:val="Equationlegend"/>
        <w:rPr>
          <w:lang w:val="es-ES"/>
        </w:rPr>
      </w:pPr>
      <w:r w:rsidRPr="007141E0">
        <w:rPr>
          <w:lang w:val="es-ES"/>
        </w:rPr>
        <w:tab/>
      </w:r>
      <w:r w:rsidRPr="007141E0">
        <w:rPr>
          <w:i/>
          <w:lang w:val="es-ES"/>
        </w:rPr>
        <w:t>P</w:t>
      </w:r>
      <w:r w:rsidRPr="007141E0">
        <w:rPr>
          <w:i/>
          <w:vertAlign w:val="subscript"/>
          <w:lang w:val="es-ES"/>
        </w:rPr>
        <w:t>t</w:t>
      </w:r>
      <w:r w:rsidRPr="007141E0">
        <w:rPr>
          <w:lang w:val="es-ES"/>
        </w:rPr>
        <w:t>:</w:t>
      </w:r>
      <w:r w:rsidRPr="007141E0">
        <w:rPr>
          <w:lang w:val="es-ES"/>
        </w:rPr>
        <w:tab/>
        <w:t>potencia isótropa radiada equivalente (p.i.r.e.) del transmisor interferente (dBW)</w:t>
      </w:r>
    </w:p>
    <w:p w14:paraId="514BBAA6" w14:textId="77777777" w:rsidR="00BB3F73" w:rsidRPr="007141E0" w:rsidRDefault="00BB3F73" w:rsidP="007141E0">
      <w:pPr>
        <w:pStyle w:val="Equationlegend"/>
        <w:rPr>
          <w:lang w:val="es-ES"/>
        </w:rPr>
      </w:pPr>
      <w:r w:rsidRPr="007141E0">
        <w:rPr>
          <w:lang w:val="es-ES"/>
        </w:rPr>
        <w:tab/>
      </w:r>
      <w:r w:rsidRPr="007141E0">
        <w:rPr>
          <w:i/>
          <w:lang w:val="es-ES"/>
        </w:rPr>
        <w:t>G</w:t>
      </w:r>
      <w:r w:rsidRPr="007141E0">
        <w:rPr>
          <w:i/>
          <w:vertAlign w:val="subscript"/>
          <w:lang w:val="es-ES"/>
        </w:rPr>
        <w:t>r</w:t>
      </w:r>
      <w:r w:rsidRPr="007141E0">
        <w:rPr>
          <w:lang w:val="es-ES"/>
        </w:rPr>
        <w:t xml:space="preserve">: </w:t>
      </w:r>
      <w:r w:rsidRPr="007141E0">
        <w:rPr>
          <w:lang w:val="es-ES"/>
        </w:rPr>
        <w:tab/>
      </w:r>
      <w:r w:rsidRPr="00BB3F73">
        <w:rPr>
          <w:lang w:val="es-ES_tradnl"/>
        </w:rPr>
        <w:t>ganancia de la antena receptora con respecto a una antena isótropa</w:t>
      </w:r>
      <w:r w:rsidRPr="007141E0">
        <w:rPr>
          <w:lang w:val="es-ES"/>
        </w:rPr>
        <w:t xml:space="preserve"> (dBi)</w:t>
      </w:r>
    </w:p>
    <w:p w14:paraId="6144562F" w14:textId="77777777" w:rsidR="00BB3F73" w:rsidRPr="007141E0" w:rsidRDefault="00BB3F73" w:rsidP="007141E0">
      <w:pPr>
        <w:pStyle w:val="Equationlegend"/>
        <w:rPr>
          <w:rFonts w:hint="eastAsia"/>
          <w:lang w:val="es-ES" w:eastAsia="ko-KR"/>
        </w:rPr>
      </w:pPr>
      <w:r w:rsidRPr="007141E0">
        <w:rPr>
          <w:lang w:val="es-ES"/>
        </w:rPr>
        <w:tab/>
      </w:r>
      <w:r w:rsidRPr="007141E0">
        <w:rPr>
          <w:i/>
          <w:lang w:val="es-ES"/>
        </w:rPr>
        <w:t>P</w:t>
      </w:r>
      <w:r w:rsidRPr="007141E0">
        <w:rPr>
          <w:i/>
          <w:iCs/>
          <w:vertAlign w:val="subscript"/>
          <w:lang w:val="es-ES"/>
        </w:rPr>
        <w:t>m</w:t>
      </w:r>
      <w:r w:rsidR="0039622A" w:rsidRPr="0039622A">
        <w:rPr>
          <w:i/>
          <w:iCs/>
          <w:vertAlign w:val="subscript"/>
          <w:lang w:val="es-ES"/>
        </w:rPr>
        <w:t>í</w:t>
      </w:r>
      <w:r w:rsidRPr="007141E0">
        <w:rPr>
          <w:i/>
          <w:iCs/>
          <w:vertAlign w:val="subscript"/>
          <w:lang w:val="es-ES"/>
        </w:rPr>
        <w:t>n</w:t>
      </w:r>
      <w:r w:rsidRPr="007141E0">
        <w:rPr>
          <w:lang w:val="es-ES"/>
        </w:rPr>
        <w:t>:</w:t>
      </w:r>
      <w:r w:rsidRPr="007141E0">
        <w:rPr>
          <w:lang w:val="es-ES"/>
        </w:rPr>
        <w:tab/>
        <w:t>mínimo nivel de señal deseado (dBW)</w:t>
      </w:r>
    </w:p>
    <w:p w14:paraId="15AB27C9" w14:textId="77777777" w:rsidR="00BB3F73" w:rsidRPr="007141E0" w:rsidRDefault="00BB3F73" w:rsidP="007141E0">
      <w:pPr>
        <w:pStyle w:val="Equationlegend"/>
        <w:rPr>
          <w:szCs w:val="24"/>
          <w:lang w:val="es-ES" w:eastAsia="ko-KR"/>
        </w:rPr>
      </w:pPr>
      <w:r w:rsidRPr="007141E0">
        <w:rPr>
          <w:lang w:val="es-ES" w:eastAsia="ko-KR"/>
        </w:rPr>
        <w:tab/>
      </w:r>
      <w:r w:rsidRPr="00902C73">
        <w:rPr>
          <w:lang w:eastAsia="ko-KR"/>
        </w:rPr>
        <w:sym w:font="Symbol" w:char="F061"/>
      </w:r>
      <w:r w:rsidRPr="007141E0">
        <w:rPr>
          <w:iCs/>
          <w:lang w:val="es-ES"/>
        </w:rPr>
        <w:t>:</w:t>
      </w:r>
      <w:r w:rsidRPr="007141E0">
        <w:rPr>
          <w:iCs/>
          <w:lang w:val="es-ES"/>
        </w:rPr>
        <w:tab/>
      </w:r>
      <w:r w:rsidRPr="007141E0">
        <w:rPr>
          <w:lang w:val="es-ES"/>
        </w:rPr>
        <w:t>relación de protección (dB)</w:t>
      </w:r>
    </w:p>
    <w:p w14:paraId="62221446" w14:textId="77777777" w:rsidR="00BB3F73" w:rsidRPr="007141E0" w:rsidRDefault="00BB3F73" w:rsidP="007141E0">
      <w:pPr>
        <w:pStyle w:val="Equationlegend"/>
        <w:rPr>
          <w:rFonts w:hint="eastAsia"/>
          <w:lang w:val="es-ES" w:eastAsia="ko-KR"/>
        </w:rPr>
      </w:pPr>
      <w:r w:rsidRPr="007141E0">
        <w:rPr>
          <w:lang w:val="es-ES"/>
        </w:rPr>
        <w:tab/>
      </w:r>
      <w:r w:rsidRPr="007141E0">
        <w:rPr>
          <w:i/>
          <w:lang w:val="es-ES"/>
        </w:rPr>
        <w:t>OCR</w:t>
      </w:r>
      <w:r w:rsidRPr="007141E0">
        <w:rPr>
          <w:lang w:val="es-ES"/>
        </w:rPr>
        <w:t>(</w:t>
      </w:r>
      <w:r w:rsidRPr="00902C73">
        <w:rPr>
          <w:rFonts w:ascii="Symbol" w:hAnsi="Symbol"/>
        </w:rPr>
        <w:t></w:t>
      </w:r>
      <w:r w:rsidRPr="007141E0">
        <w:rPr>
          <w:i/>
          <w:lang w:val="es-ES"/>
        </w:rPr>
        <w:t>f</w:t>
      </w:r>
      <w:r w:rsidRPr="007141E0">
        <w:rPr>
          <w:lang w:val="es-ES"/>
        </w:rPr>
        <w:t>):</w:t>
      </w:r>
      <w:r w:rsidRPr="007141E0">
        <w:rPr>
          <w:lang w:val="es-ES"/>
        </w:rPr>
        <w:tab/>
      </w:r>
      <w:r w:rsidRPr="00BB3F73">
        <w:rPr>
          <w:lang w:val="es-ES_tradnl"/>
        </w:rPr>
        <w:t>factor de rechazo fuera de canal para una separación de frecuencia</w:t>
      </w:r>
      <w:r w:rsidRPr="007141E0">
        <w:rPr>
          <w:lang w:val="es-ES"/>
        </w:rPr>
        <w:t xml:space="preserve"> </w:t>
      </w:r>
      <w:r w:rsidRPr="00902C73">
        <w:sym w:font="Symbol" w:char="F044"/>
      </w:r>
      <w:r w:rsidRPr="007141E0">
        <w:rPr>
          <w:i/>
          <w:lang w:val="es-ES"/>
        </w:rPr>
        <w:t>f</w:t>
      </w:r>
      <w:r w:rsidRPr="007141E0">
        <w:rPr>
          <w:lang w:val="es-ES"/>
        </w:rPr>
        <w:t xml:space="preserve"> </w:t>
      </w:r>
      <w:r>
        <w:rPr>
          <w:lang w:val="es-ES"/>
        </w:rPr>
        <w:t>expresado por la ecuación</w:t>
      </w:r>
      <w:r w:rsidRPr="007141E0">
        <w:rPr>
          <w:lang w:val="es-ES"/>
        </w:rPr>
        <w:t xml:space="preserve"> (7)</w:t>
      </w:r>
    </w:p>
    <w:p w14:paraId="50709B7E" w14:textId="77777777" w:rsidR="00BB3F73" w:rsidRPr="007141E0" w:rsidRDefault="00BB3F73" w:rsidP="007141E0">
      <w:pPr>
        <w:pStyle w:val="Equationlegend"/>
        <w:rPr>
          <w:lang w:val="es-ES"/>
        </w:rPr>
      </w:pPr>
      <w:r w:rsidRPr="007141E0">
        <w:rPr>
          <w:lang w:val="es-ES"/>
        </w:rPr>
        <w:tab/>
      </w:r>
      <w:r w:rsidRPr="007141E0">
        <w:rPr>
          <w:i/>
          <w:lang w:val="es-ES"/>
        </w:rPr>
        <w:t>N</w:t>
      </w:r>
      <w:r w:rsidRPr="007141E0">
        <w:rPr>
          <w:lang w:val="es-ES"/>
        </w:rPr>
        <w:t>:</w:t>
      </w:r>
      <w:r w:rsidRPr="007141E0">
        <w:rPr>
          <w:lang w:val="es-ES"/>
        </w:rPr>
        <w:tab/>
      </w:r>
      <w:r w:rsidRPr="007141E0">
        <w:rPr>
          <w:rFonts w:hint="eastAsia"/>
          <w:lang w:val="es-ES" w:eastAsia="ko-KR"/>
        </w:rPr>
        <w:t xml:space="preserve"> </w:t>
      </w:r>
      <w:r w:rsidRPr="007141E0">
        <w:rPr>
          <w:lang w:val="es-ES" w:eastAsia="ko-KR"/>
        </w:rPr>
        <w:t xml:space="preserve">margen de desvanecimiento </w:t>
      </w:r>
      <w:r>
        <w:rPr>
          <w:lang w:val="es-ES" w:eastAsia="ko-KR"/>
        </w:rPr>
        <w:t>log-normal</w:t>
      </w:r>
      <w:r w:rsidRPr="007141E0">
        <w:rPr>
          <w:lang w:val="es-ES" w:eastAsia="ko-KR"/>
        </w:rPr>
        <w:t xml:space="preserve"> </w:t>
      </w:r>
      <w:r w:rsidRPr="007141E0">
        <w:rPr>
          <w:lang w:val="es-ES"/>
        </w:rPr>
        <w:t>(dB).</w:t>
      </w:r>
    </w:p>
    <w:p w14:paraId="0B0A175B" w14:textId="77777777" w:rsidR="00BB3F73" w:rsidRDefault="00BB3F73" w:rsidP="007141E0">
      <w:pPr>
        <w:rPr>
          <w:lang w:val="es-ES"/>
        </w:rPr>
      </w:pPr>
      <w:r w:rsidRPr="000212C9">
        <w:rPr>
          <w:i/>
        </w:rPr>
        <w:t>Etapa</w:t>
      </w:r>
      <w:r w:rsidRPr="000212C9">
        <w:t> </w:t>
      </w:r>
      <w:r w:rsidRPr="007141E0">
        <w:rPr>
          <w:i/>
          <w:lang w:val="es-ES"/>
        </w:rPr>
        <w:t>2:</w:t>
      </w:r>
      <w:r w:rsidRPr="000212C9">
        <w:t> </w:t>
      </w:r>
      <w:r w:rsidRPr="00D3552F">
        <w:rPr>
          <w:iCs/>
          <w:lang w:val="es-ES"/>
        </w:rPr>
        <w:t>Se u</w:t>
      </w:r>
      <w:r w:rsidRPr="007141E0">
        <w:rPr>
          <w:lang w:val="es-ES"/>
        </w:rPr>
        <w:t>tiliza el modelo de propa</w:t>
      </w:r>
      <w:r>
        <w:rPr>
          <w:lang w:val="es-ES"/>
        </w:rPr>
        <w:t>ga</w:t>
      </w:r>
      <w:r w:rsidRPr="007141E0">
        <w:rPr>
          <w:lang w:val="es-ES"/>
        </w:rPr>
        <w:t>ción adecuado del UIT-R en la ecuaci</w:t>
      </w:r>
      <w:r>
        <w:rPr>
          <w:lang w:val="es-ES"/>
        </w:rPr>
        <w:t xml:space="preserve">ón </w:t>
      </w:r>
      <w:r w:rsidRPr="007141E0">
        <w:rPr>
          <w:lang w:val="es-ES"/>
        </w:rPr>
        <w:t xml:space="preserve">(10) </w:t>
      </w:r>
      <w:r>
        <w:rPr>
          <w:lang w:val="es-ES"/>
        </w:rPr>
        <w:t xml:space="preserve">a fin de obtener la separación en frecuencia </w:t>
      </w:r>
      <w:r>
        <w:sym w:font="Symbol" w:char="F044"/>
      </w:r>
      <w:r w:rsidRPr="007141E0">
        <w:rPr>
          <w:i/>
          <w:lang w:val="es-ES"/>
        </w:rPr>
        <w:t xml:space="preserve">f </w:t>
      </w:r>
      <w:r>
        <w:rPr>
          <w:lang w:val="es-ES"/>
        </w:rPr>
        <w:t xml:space="preserve">y la distancia de separación </w:t>
      </w:r>
      <w:r w:rsidRPr="007141E0">
        <w:rPr>
          <w:i/>
          <w:lang w:val="es-ES"/>
        </w:rPr>
        <w:t>d</w:t>
      </w:r>
      <w:r w:rsidRPr="007141E0">
        <w:rPr>
          <w:lang w:val="es-ES"/>
        </w:rPr>
        <w:t xml:space="preserve"> </w:t>
      </w:r>
      <w:r>
        <w:rPr>
          <w:lang w:val="es-ES"/>
        </w:rPr>
        <w:t xml:space="preserve">para </w:t>
      </w:r>
      <w:r>
        <w:rPr>
          <w:lang w:val="es-ES" w:eastAsia="ko-KR"/>
        </w:rPr>
        <w:t>las que la interferencia resulta aceptable</w:t>
      </w:r>
      <w:r w:rsidRPr="007141E0">
        <w:rPr>
          <w:lang w:val="es-ES"/>
        </w:rPr>
        <w:t>.</w:t>
      </w:r>
    </w:p>
    <w:p w14:paraId="1D2EA4B9" w14:textId="77777777" w:rsidR="00BB3F73" w:rsidRPr="006825CD" w:rsidRDefault="00BB3F73" w:rsidP="00BB3F73">
      <w:pPr>
        <w:pStyle w:val="Heading2"/>
        <w:rPr>
          <w:lang w:val="es-ES_tradnl"/>
        </w:rPr>
      </w:pPr>
      <w:r w:rsidRPr="006825CD">
        <w:rPr>
          <w:lang w:val="es-ES_tradnl"/>
        </w:rPr>
        <w:t>2.5</w:t>
      </w:r>
      <w:r w:rsidRPr="006825CD">
        <w:rPr>
          <w:lang w:val="es-ES_tradnl"/>
        </w:rPr>
        <w:tab/>
        <w:t>Consideraciones sobre el aislamiento de antena</w:t>
      </w:r>
    </w:p>
    <w:p w14:paraId="21721C8F" w14:textId="77777777" w:rsidR="00BB3F73" w:rsidRDefault="00BB3F73" w:rsidP="00BB3F73">
      <w:r>
        <w:t>Cuando varios sistemas de radiocomunicaciones distintos están coubicados, debe tenerse en cuenta el concepto de aislamiento de antena a la hora de calcular la interferencia entre ellos. La Fig. 1 representa ejemplos genéricos de disposiciones de antena que ilustran los aislamientos de las configuraciones de antena horizontal (HI), vertical (VI) e inclinada (SI).</w:t>
      </w:r>
    </w:p>
    <w:p w14:paraId="31BE5B23" w14:textId="77777777" w:rsidR="00BB3F73" w:rsidRDefault="00BB3F73" w:rsidP="00BB3F73">
      <w:pPr>
        <w:rPr>
          <w:rFonts w:eastAsia="Gulim"/>
          <w:lang w:eastAsia="ko-KR"/>
        </w:rPr>
      </w:pPr>
      <w:r>
        <w:t xml:space="preserve">El aislamiento de antena depende fundamentalmente de la separación en distancia y de la longitud de onda </w:t>
      </w:r>
      <w:r w:rsidRPr="008817C2">
        <w:rPr>
          <w:rFonts w:eastAsia="Gulim"/>
          <w:lang w:eastAsia="ko-KR"/>
        </w:rPr>
        <w:sym w:font="Symbol" w:char="006C"/>
      </w:r>
      <w:r w:rsidRPr="009A4296">
        <w:rPr>
          <w:rFonts w:eastAsia="Gulim"/>
          <w:lang w:eastAsia="ko-KR"/>
        </w:rPr>
        <w:t>, (m)</w:t>
      </w:r>
      <w:r>
        <w:rPr>
          <w:rFonts w:eastAsia="Gulim"/>
          <w:lang w:eastAsia="ko-KR"/>
        </w:rPr>
        <w:t>. La separación en distancia entre dos antenas es la distancia entre el centro de la antena interferente y el centro de la antena receptora que sufre esa interferencia</w:t>
      </w:r>
      <w:r>
        <w:rPr>
          <w:rStyle w:val="FootnoteReference"/>
          <w:rFonts w:eastAsia="Gulim"/>
          <w:lang w:eastAsia="ko-KR"/>
        </w:rPr>
        <w:footnoteReference w:id="2"/>
      </w:r>
      <w:r>
        <w:rPr>
          <w:rFonts w:eastAsia="Gulim"/>
          <w:lang w:eastAsia="ko-KR"/>
        </w:rPr>
        <w:t>. Los aislamientos de antena a antena normalmente se expresan en dB de atenuación.</w:t>
      </w:r>
    </w:p>
    <w:p w14:paraId="6EBB289A" w14:textId="77777777" w:rsidR="00BB3F73" w:rsidRDefault="00BB3F73" w:rsidP="00BB3F73">
      <w:pPr>
        <w:rPr>
          <w:rFonts w:eastAsia="Gulim"/>
          <w:lang w:eastAsia="ko-KR"/>
        </w:rPr>
      </w:pPr>
      <w:r>
        <w:rPr>
          <w:rFonts w:eastAsia="Gulim"/>
          <w:lang w:eastAsia="ko-KR"/>
        </w:rPr>
        <w:t>El aislamiento entre dos antenas de dipolo puede calcularse aproximadamente utilizando las siguientes ecuaciones (10a), (10b) y (10c):</w:t>
      </w:r>
    </w:p>
    <w:p w14:paraId="1D118273" w14:textId="77777777" w:rsidR="00F91558" w:rsidRPr="009C7101" w:rsidRDefault="00F91558" w:rsidP="00F91558">
      <w:pPr>
        <w:pStyle w:val="Blanc"/>
        <w:rPr>
          <w:lang w:val="es-ES_tradnl"/>
        </w:rPr>
      </w:pPr>
    </w:p>
    <w:p w14:paraId="43C63BD6" w14:textId="77777777" w:rsidR="00BB3F73" w:rsidRPr="006825CD" w:rsidRDefault="00BB3F73" w:rsidP="006825CD">
      <w:pPr>
        <w:pStyle w:val="Equation"/>
        <w:rPr>
          <w:lang w:val="es-ES_tradnl" w:eastAsia="ko-KR"/>
        </w:rPr>
      </w:pPr>
      <w:r w:rsidRPr="006825CD">
        <w:rPr>
          <w:lang w:val="es-ES_tradnl"/>
        </w:rPr>
        <w:tab/>
      </w:r>
      <w:r w:rsidRPr="006825CD">
        <w:rPr>
          <w:lang w:val="es-ES_tradnl"/>
        </w:rPr>
        <w:tab/>
      </w:r>
      <w:r w:rsidRPr="008817C2">
        <w:rPr>
          <w:position w:val="-10"/>
        </w:rPr>
        <w:object w:dxaOrig="2540" w:dyaOrig="320" w14:anchorId="0AAC9E74">
          <v:shape id="_x0000_i1033" type="#_x0000_t75" style="width:126.8pt;height:15.6pt" o:ole="">
            <v:imagedata r:id="rId24" o:title=""/>
          </v:shape>
          <o:OLEObject Type="Embed" ProgID="Equation.3" ShapeID="_x0000_i1033" DrawAspect="Content" ObjectID="_1652509568" r:id="rId25"/>
        </w:object>
      </w:r>
      <w:r w:rsidRPr="006825CD">
        <w:rPr>
          <w:lang w:val="es-ES_tradnl"/>
        </w:rPr>
        <w:tab/>
        <w:t>(10a)</w:t>
      </w:r>
    </w:p>
    <w:p w14:paraId="26F25437" w14:textId="77777777" w:rsidR="00F91558" w:rsidRPr="009C7101" w:rsidRDefault="00F91558" w:rsidP="00F91558">
      <w:pPr>
        <w:pStyle w:val="Blanc"/>
        <w:rPr>
          <w:lang w:val="es-ES_tradnl"/>
        </w:rPr>
      </w:pPr>
    </w:p>
    <w:p w14:paraId="399582CB" w14:textId="77777777" w:rsidR="00BB3F73" w:rsidRPr="006825CD" w:rsidRDefault="00BB3F73" w:rsidP="006825CD">
      <w:pPr>
        <w:pStyle w:val="Equation"/>
        <w:rPr>
          <w:lang w:val="es-ES_tradnl" w:eastAsia="ko-KR"/>
        </w:rPr>
      </w:pPr>
      <w:r w:rsidRPr="006825CD">
        <w:rPr>
          <w:lang w:val="es-ES_tradnl"/>
        </w:rPr>
        <w:tab/>
      </w:r>
      <w:r w:rsidRPr="006825CD">
        <w:rPr>
          <w:lang w:val="es-ES_tradnl"/>
        </w:rPr>
        <w:tab/>
      </w:r>
      <w:r w:rsidRPr="008817C2">
        <w:rPr>
          <w:position w:val="-10"/>
        </w:rPr>
        <w:object w:dxaOrig="2540" w:dyaOrig="320" w14:anchorId="1B4777B9">
          <v:shape id="_x0000_i1034" type="#_x0000_t75" style="width:126.8pt;height:15.6pt" o:ole="">
            <v:imagedata r:id="rId26" o:title=""/>
          </v:shape>
          <o:OLEObject Type="Embed" ProgID="Equation.3" ShapeID="_x0000_i1034" DrawAspect="Content" ObjectID="_1652509569" r:id="rId27"/>
        </w:object>
      </w:r>
      <w:r w:rsidRPr="006825CD">
        <w:rPr>
          <w:lang w:val="es-ES_tradnl"/>
        </w:rPr>
        <w:tab/>
        <w:t>(10b)</w:t>
      </w:r>
    </w:p>
    <w:p w14:paraId="37C78428" w14:textId="77777777" w:rsidR="00F91558" w:rsidRPr="009C7101" w:rsidRDefault="00F91558" w:rsidP="00F91558">
      <w:pPr>
        <w:pStyle w:val="Blanc"/>
        <w:rPr>
          <w:lang w:val="es-ES_tradnl"/>
        </w:rPr>
      </w:pPr>
    </w:p>
    <w:p w14:paraId="7C25C746" w14:textId="77777777" w:rsidR="00BB3F73" w:rsidRPr="006825CD" w:rsidRDefault="00BB3F73" w:rsidP="006825CD">
      <w:pPr>
        <w:pStyle w:val="Equation"/>
        <w:rPr>
          <w:lang w:val="es-ES_tradnl"/>
        </w:rPr>
      </w:pPr>
      <w:r w:rsidRPr="006825CD">
        <w:rPr>
          <w:lang w:val="es-ES_tradnl"/>
        </w:rPr>
        <w:tab/>
      </w:r>
      <w:r w:rsidRPr="006825CD">
        <w:rPr>
          <w:lang w:val="es-ES_tradnl"/>
        </w:rPr>
        <w:tab/>
      </w:r>
      <w:r w:rsidRPr="008817C2">
        <w:rPr>
          <w:position w:val="-10"/>
        </w:rPr>
        <w:object w:dxaOrig="2760" w:dyaOrig="320" w14:anchorId="1FC8B4CC">
          <v:shape id="_x0000_i1035" type="#_x0000_t75" style="width:138.1pt;height:15.6pt" o:ole="">
            <v:imagedata r:id="rId28" o:title=""/>
          </v:shape>
          <o:OLEObject Type="Embed" ProgID="Equation.3" ShapeID="_x0000_i1035" DrawAspect="Content" ObjectID="_1652509570" r:id="rId29"/>
        </w:object>
      </w:r>
      <w:r w:rsidRPr="006825CD">
        <w:rPr>
          <w:lang w:val="es-ES_tradnl"/>
        </w:rPr>
        <w:tab/>
        <w:t>(10c)</w:t>
      </w:r>
    </w:p>
    <w:p w14:paraId="505AB2FA" w14:textId="77777777" w:rsidR="00F91558" w:rsidRPr="009C7101" w:rsidRDefault="00F91558" w:rsidP="00F91558">
      <w:pPr>
        <w:pStyle w:val="Blanc"/>
        <w:rPr>
          <w:lang w:val="es-ES_tradnl"/>
        </w:rPr>
      </w:pPr>
    </w:p>
    <w:p w14:paraId="4291060C" w14:textId="77777777" w:rsidR="00BB3F73" w:rsidRPr="00FF5869" w:rsidRDefault="00BB3F73" w:rsidP="00BB3F73">
      <w:pPr>
        <w:rPr>
          <w:iCs/>
        </w:rPr>
      </w:pPr>
      <w:r w:rsidRPr="00F91558">
        <w:rPr>
          <w:lang w:val="es-ES_tradnl"/>
        </w:rPr>
        <w:t xml:space="preserve">donde </w:t>
      </w:r>
      <w:r w:rsidRPr="008817C2">
        <w:rPr>
          <w:lang w:eastAsia="ko-KR"/>
        </w:rPr>
        <w:sym w:font="Symbol" w:char="0071"/>
      </w:r>
      <w:r w:rsidRPr="00F91558">
        <w:rPr>
          <w:lang w:val="es-ES_tradnl" w:eastAsia="ko-KR"/>
        </w:rPr>
        <w:t xml:space="preserve"> (rad) es tan</w:t>
      </w:r>
      <w:r w:rsidRPr="00F91558">
        <w:rPr>
          <w:vertAlign w:val="superscript"/>
          <w:lang w:val="es-ES_tradnl" w:eastAsia="ko-KR"/>
        </w:rPr>
        <w:t>–1</w:t>
      </w:r>
      <w:r w:rsidRPr="00F91558">
        <w:rPr>
          <w:lang w:val="es-ES_tradnl" w:eastAsia="ko-KR"/>
        </w:rPr>
        <w:t>(</w:t>
      </w:r>
      <w:r w:rsidRPr="00F91558">
        <w:rPr>
          <w:i/>
          <w:lang w:val="es-ES_tradnl" w:eastAsia="ko-KR"/>
        </w:rPr>
        <w:t>y/x</w:t>
      </w:r>
      <w:r w:rsidRPr="00F91558">
        <w:rPr>
          <w:lang w:val="es-ES_tradnl" w:eastAsia="ko-KR"/>
        </w:rPr>
        <w:t xml:space="preserve">), </w:t>
      </w:r>
      <w:r w:rsidRPr="00F91558">
        <w:rPr>
          <w:i/>
          <w:lang w:val="es-ES_tradnl" w:eastAsia="ko-KR"/>
        </w:rPr>
        <w:t>x</w:t>
      </w:r>
      <w:r w:rsidRPr="00F91558">
        <w:rPr>
          <w:iCs/>
          <w:lang w:val="es-ES_tradnl" w:eastAsia="ko-KR"/>
        </w:rPr>
        <w:t xml:space="preserve"> es la distancia horizontal e </w:t>
      </w:r>
      <w:r w:rsidRPr="00F91558">
        <w:rPr>
          <w:i/>
          <w:lang w:val="es-ES_tradnl" w:eastAsia="ko-KR"/>
        </w:rPr>
        <w:t>y</w:t>
      </w:r>
      <w:r w:rsidRPr="00F91558">
        <w:rPr>
          <w:iCs/>
          <w:lang w:val="es-ES_tradnl" w:eastAsia="ko-KR"/>
        </w:rPr>
        <w:t xml:space="preserve"> es la distancia vertical. </w:t>
      </w:r>
      <w:r>
        <w:rPr>
          <w:iCs/>
          <w:lang w:eastAsia="ko-KR"/>
        </w:rPr>
        <w:t xml:space="preserve">Las ecuaciones son aplicables cuando </w:t>
      </w:r>
      <w:r>
        <w:rPr>
          <w:i/>
          <w:lang w:eastAsia="ko-KR"/>
        </w:rPr>
        <w:t>x</w:t>
      </w:r>
      <w:r>
        <w:rPr>
          <w:iCs/>
          <w:lang w:eastAsia="ko-KR"/>
        </w:rPr>
        <w:t xml:space="preserve"> es mayor que </w:t>
      </w:r>
      <w:r w:rsidRPr="00FF5869">
        <w:rPr>
          <w:lang w:eastAsia="ko-KR"/>
        </w:rPr>
        <w:t>10</w:t>
      </w:r>
      <w:r w:rsidRPr="008817C2">
        <w:rPr>
          <w:rFonts w:ascii="Symbol" w:hAnsi="Symbol"/>
          <w:iCs/>
          <w:lang w:eastAsia="ko-KR"/>
        </w:rPr>
        <w:t></w:t>
      </w:r>
      <w:r w:rsidRPr="00FF5869">
        <w:rPr>
          <w:lang w:eastAsia="ko-KR"/>
        </w:rPr>
        <w:t xml:space="preserve"> </w:t>
      </w:r>
      <w:r>
        <w:rPr>
          <w:lang w:eastAsia="ko-KR"/>
        </w:rPr>
        <w:t>e</w:t>
      </w:r>
      <w:r w:rsidRPr="00FF5869">
        <w:rPr>
          <w:lang w:eastAsia="ko-KR"/>
        </w:rPr>
        <w:t xml:space="preserve"> </w:t>
      </w:r>
      <w:r w:rsidRPr="00FF5869">
        <w:rPr>
          <w:i/>
          <w:lang w:eastAsia="ko-KR"/>
        </w:rPr>
        <w:t>y</w:t>
      </w:r>
      <w:r w:rsidRPr="00FF5869">
        <w:rPr>
          <w:lang w:eastAsia="ko-KR"/>
        </w:rPr>
        <w:t xml:space="preserve"> </w:t>
      </w:r>
      <w:r>
        <w:rPr>
          <w:lang w:eastAsia="ko-KR"/>
        </w:rPr>
        <w:t>es mayor que</w:t>
      </w:r>
      <w:r w:rsidRPr="00FF5869">
        <w:rPr>
          <w:lang w:eastAsia="ko-KR"/>
        </w:rPr>
        <w:t xml:space="preserve"> </w:t>
      </w:r>
      <w:r w:rsidRPr="008817C2">
        <w:rPr>
          <w:iCs/>
          <w:lang w:eastAsia="ko-KR"/>
        </w:rPr>
        <w:sym w:font="Symbol" w:char="006C"/>
      </w:r>
      <w:r w:rsidRPr="00FF5869">
        <w:rPr>
          <w:lang w:eastAsia="ko-KR"/>
        </w:rPr>
        <w:t>.</w:t>
      </w:r>
    </w:p>
    <w:p w14:paraId="50A1E368" w14:textId="77777777" w:rsidR="00BB3F73" w:rsidRDefault="00BB3F73" w:rsidP="00BB3F73">
      <w:r>
        <w:t xml:space="preserve">Estos aislamientos obtenidos a partir de las ecuaciones </w:t>
      </w:r>
      <w:r w:rsidRPr="00FF5869">
        <w:rPr>
          <w:lang w:eastAsia="ko-KR"/>
        </w:rPr>
        <w:t xml:space="preserve">(10a), (10b) </w:t>
      </w:r>
      <w:r>
        <w:rPr>
          <w:lang w:eastAsia="ko-KR"/>
        </w:rPr>
        <w:t>y</w:t>
      </w:r>
      <w:r w:rsidRPr="00FF5869">
        <w:rPr>
          <w:lang w:eastAsia="ko-KR"/>
        </w:rPr>
        <w:t xml:space="preserve"> (10c)</w:t>
      </w:r>
      <w:r>
        <w:rPr>
          <w:lang w:eastAsia="ko-KR"/>
        </w:rPr>
        <w:t xml:space="preserve"> pueden sustituirse por las pérdidas de transmisión básicas </w:t>
      </w:r>
      <w:r w:rsidRPr="008B3357">
        <w:rPr>
          <w:lang w:eastAsia="ko-KR"/>
        </w:rPr>
        <w:t>(</w:t>
      </w:r>
      <w:r w:rsidRPr="008B3357">
        <w:rPr>
          <w:i/>
        </w:rPr>
        <w:t>L</w:t>
      </w:r>
      <w:r w:rsidRPr="008B3357">
        <w:rPr>
          <w:i/>
          <w:vertAlign w:val="subscript"/>
        </w:rPr>
        <w:t>b</w:t>
      </w:r>
      <w:r w:rsidRPr="008B3357">
        <w:rPr>
          <w:position w:val="-3"/>
          <w:sz w:val="12"/>
        </w:rPr>
        <w:t> </w:t>
      </w:r>
      <w:r w:rsidRPr="008B3357">
        <w:t>(</w:t>
      </w:r>
      <w:r w:rsidRPr="008B3357">
        <w:rPr>
          <w:i/>
        </w:rPr>
        <w:t>d</w:t>
      </w:r>
      <w:r w:rsidRPr="008B3357">
        <w:rPr>
          <w:sz w:val="8"/>
        </w:rPr>
        <w:t> </w:t>
      </w:r>
      <w:r w:rsidRPr="008B3357">
        <w:t>)</w:t>
      </w:r>
      <w:r w:rsidRPr="008B3357">
        <w:rPr>
          <w:lang w:eastAsia="ko-KR"/>
        </w:rPr>
        <w:t>)</w:t>
      </w:r>
      <w:r>
        <w:rPr>
          <w:lang w:eastAsia="ko-KR"/>
        </w:rPr>
        <w:t xml:space="preserve"> de la ecuación (1) o las pérdidas de trayecto de propagación </w:t>
      </w:r>
      <w:r w:rsidRPr="008B3357">
        <w:rPr>
          <w:lang w:eastAsia="ko-KR"/>
        </w:rPr>
        <w:t>(</w:t>
      </w:r>
      <w:r w:rsidRPr="008B3357">
        <w:rPr>
          <w:i/>
        </w:rPr>
        <w:t>L</w:t>
      </w:r>
      <w:r w:rsidRPr="008B3357">
        <w:rPr>
          <w:i/>
          <w:vertAlign w:val="subscript"/>
        </w:rPr>
        <w:t>p</w:t>
      </w:r>
      <w:r w:rsidRPr="008B3357">
        <w:rPr>
          <w:lang w:eastAsia="ko-KR"/>
        </w:rPr>
        <w:t>)</w:t>
      </w:r>
      <w:r>
        <w:rPr>
          <w:lang w:eastAsia="ko-KR"/>
        </w:rPr>
        <w:t xml:space="preserve"> de la ecuación (9) cuando dos estaciones están coubicadas.</w:t>
      </w:r>
    </w:p>
    <w:p w14:paraId="6D9DFFF2" w14:textId="77777777" w:rsidR="00BB3F73" w:rsidRPr="006825CD" w:rsidRDefault="00BB3F73" w:rsidP="00BB3F73">
      <w:pPr>
        <w:pStyle w:val="FigureNo"/>
        <w:rPr>
          <w:lang w:val="es-ES_tradnl" w:eastAsia="ko-KR"/>
        </w:rPr>
      </w:pPr>
      <w:r w:rsidRPr="006825CD">
        <w:rPr>
          <w:lang w:val="es-ES_tradnl" w:eastAsia="ko-KR"/>
        </w:rPr>
        <w:t>FIGURA 1</w:t>
      </w:r>
    </w:p>
    <w:p w14:paraId="6170C7B8" w14:textId="77777777" w:rsidR="00BB3F73" w:rsidRPr="006825CD" w:rsidRDefault="00BB3F73" w:rsidP="006825CD">
      <w:pPr>
        <w:pStyle w:val="Figuretitle"/>
        <w:rPr>
          <w:lang w:val="es-ES_tradnl" w:eastAsia="ko-KR"/>
        </w:rPr>
      </w:pPr>
      <w:r w:rsidRPr="006825CD">
        <w:rPr>
          <w:lang w:val="es-ES_tradnl" w:eastAsia="ko-KR"/>
        </w:rPr>
        <w:t>Aislamiento de antena en dirección horizontal, vertical e inclinada</w:t>
      </w:r>
    </w:p>
    <w:p w14:paraId="3EAAD1C2" w14:textId="77777777" w:rsidR="00BB3F73" w:rsidRDefault="00BB3F73" w:rsidP="00BB3F73">
      <w:pPr>
        <w:pStyle w:val="Figure"/>
      </w:pPr>
      <w:r>
        <w:object w:dxaOrig="7706" w:dyaOrig="8207" w14:anchorId="71CCBF9C">
          <v:shape id="_x0000_i1036" type="#_x0000_t75" style="width:385.8pt;height:409.95pt" o:ole="">
            <v:imagedata r:id="rId30" o:title=""/>
          </v:shape>
          <o:OLEObject Type="Embed" ProgID="CorelDRAW.Graphic.12" ShapeID="_x0000_i1036" DrawAspect="Content" ObjectID="_1652509571" r:id="rId31"/>
        </w:object>
      </w:r>
    </w:p>
    <w:p w14:paraId="3A3DD93E" w14:textId="77777777" w:rsidR="00F91558" w:rsidRDefault="00F91558" w:rsidP="00F91558">
      <w:pPr>
        <w:rPr>
          <w:lang w:val="es-ES_tradnl"/>
        </w:rPr>
      </w:pPr>
    </w:p>
    <w:p w14:paraId="71C3EA39" w14:textId="77777777" w:rsidR="00BB3F73" w:rsidRPr="006825CD" w:rsidRDefault="00BB3F73" w:rsidP="00BB3F73">
      <w:pPr>
        <w:pStyle w:val="Heading1"/>
        <w:rPr>
          <w:lang w:val="es-ES_tradnl"/>
        </w:rPr>
      </w:pPr>
      <w:r w:rsidRPr="006825CD">
        <w:rPr>
          <w:lang w:val="es-ES_tradnl"/>
        </w:rPr>
        <w:t>3</w:t>
      </w:r>
      <w:r w:rsidRPr="006825CD">
        <w:rPr>
          <w:lang w:val="es-ES_tradnl"/>
        </w:rPr>
        <w:tab/>
        <w:t>Aplicación a los sistemas radioeléctricos móviles terrestres</w:t>
      </w:r>
    </w:p>
    <w:p w14:paraId="03FD9096" w14:textId="77777777" w:rsidR="00BB3F73" w:rsidRPr="000212C9" w:rsidRDefault="00BB3F73" w:rsidP="00BB3F73">
      <w:r w:rsidRPr="000212C9">
        <w:t>Para demostrar la aplicación de la metodología antes descrita, en la presente sección se describe un ejemplo en que se utilizan dos sistemas radioeléctricos móviles terrestres distintos. Los dos sistemas considerados pueden ser digitales o analógicos con técnicas de acceso múltiple por división en tiempo (AMDT) o acceso múltiple por división en frecuencia (AMDF). Nuestros cálculos se basan en máscaras de emisión espectral y una serie de características de selectividad del receptor, por lo cual los resultados no dependen de la técnica de modulación que pueda utilizar cualquiera de los dos sistemas. En este ejemplo, se supone que la selectividad del receptor tiene características similares a las máscaras de emisión espectral, lo cual será también el caso en principio para los sistemas digitales.</w:t>
      </w:r>
    </w:p>
    <w:p w14:paraId="31A071FB" w14:textId="77777777" w:rsidR="00BB3F73" w:rsidRPr="00F91558" w:rsidRDefault="00BB3F73" w:rsidP="00BB3F73">
      <w:pPr>
        <w:rPr>
          <w:lang w:val="es-ES_tradnl"/>
        </w:rPr>
      </w:pPr>
      <w:r w:rsidRPr="00F91558">
        <w:rPr>
          <w:lang w:val="es-ES_tradnl"/>
        </w:rPr>
        <w:t>En los Cuadros 1 y 2 se resumen las hipótesis adoptadas para ambos sistemas.</w:t>
      </w:r>
    </w:p>
    <w:p w14:paraId="73417974" w14:textId="77777777" w:rsidR="00BB3F73" w:rsidRPr="006825CD" w:rsidRDefault="00BB3F73" w:rsidP="00BB3F73">
      <w:pPr>
        <w:pStyle w:val="TableNo"/>
        <w:rPr>
          <w:lang w:val="es-ES_tradnl"/>
        </w:rPr>
      </w:pPr>
      <w:r w:rsidRPr="006825CD">
        <w:rPr>
          <w:lang w:val="es-ES_tradnl"/>
        </w:rPr>
        <w:t>CUADRO 1</w:t>
      </w:r>
    </w:p>
    <w:p w14:paraId="31DD5E16" w14:textId="77777777" w:rsidR="00BB3F73" w:rsidRPr="006825CD" w:rsidRDefault="00BB3F73" w:rsidP="006825CD">
      <w:pPr>
        <w:pStyle w:val="Tabletitle"/>
        <w:rPr>
          <w:lang w:val="es-ES_tradnl"/>
        </w:rPr>
      </w:pPr>
      <w:r w:rsidRPr="006825CD">
        <w:rPr>
          <w:lang w:val="es-ES_tradnl"/>
        </w:rPr>
        <w:t>Parámetros supuestos para el ejemplo</w:t>
      </w:r>
    </w:p>
    <w:tbl>
      <w:tblPr>
        <w:tblW w:w="0" w:type="auto"/>
        <w:jc w:val="center"/>
        <w:tblLayout w:type="fixed"/>
        <w:tblCellMar>
          <w:left w:w="107" w:type="dxa"/>
          <w:right w:w="107" w:type="dxa"/>
        </w:tblCellMar>
        <w:tblLook w:val="0000" w:firstRow="0" w:lastRow="0" w:firstColumn="0" w:lastColumn="0" w:noHBand="0" w:noVBand="0"/>
      </w:tblPr>
      <w:tblGrid>
        <w:gridCol w:w="4536"/>
        <w:gridCol w:w="1985"/>
      </w:tblGrid>
      <w:tr w:rsidR="00BB3F73" w:rsidRPr="006777E8" w14:paraId="705F4C75" w14:textId="77777777" w:rsidTr="00BB3F73">
        <w:tblPrEx>
          <w:tblCellMar>
            <w:top w:w="0" w:type="dxa"/>
            <w:bottom w:w="0" w:type="dxa"/>
          </w:tblCellMar>
        </w:tblPrEx>
        <w:trPr>
          <w:jc w:val="center"/>
        </w:trPr>
        <w:tc>
          <w:tcPr>
            <w:tcW w:w="4536" w:type="dxa"/>
            <w:tcBorders>
              <w:top w:val="single" w:sz="6" w:space="0" w:color="000000"/>
              <w:left w:val="single" w:sz="6" w:space="0" w:color="000000"/>
              <w:bottom w:val="single" w:sz="6" w:space="0" w:color="FFFFFF"/>
              <w:right w:val="single" w:sz="6" w:space="0" w:color="FFFFFF"/>
            </w:tcBorders>
          </w:tcPr>
          <w:p w14:paraId="146F5114" w14:textId="77777777" w:rsidR="00BB3F73" w:rsidRPr="006825CD" w:rsidRDefault="00BB3F73" w:rsidP="00BB3F73">
            <w:pPr>
              <w:pStyle w:val="Tabletext"/>
              <w:rPr>
                <w:lang w:val="es-ES_tradnl"/>
              </w:rPr>
            </w:pPr>
            <w:r w:rsidRPr="006825CD">
              <w:rPr>
                <w:lang w:val="es-ES_tradnl"/>
              </w:rPr>
              <w:t xml:space="preserve">Nivel mínimo de la señal deseada, </w:t>
            </w:r>
            <w:r w:rsidRPr="006825CD">
              <w:rPr>
                <w:i/>
                <w:lang w:val="es-ES_tradnl"/>
              </w:rPr>
              <w:t>P</w:t>
            </w:r>
            <w:r w:rsidRPr="006825CD">
              <w:rPr>
                <w:i/>
                <w:vertAlign w:val="subscript"/>
                <w:lang w:val="es-ES_tradnl"/>
              </w:rPr>
              <w:t>m</w:t>
            </w:r>
            <w:r w:rsidR="0039622A">
              <w:rPr>
                <w:i/>
                <w:vertAlign w:val="subscript"/>
                <w:lang w:val="es-ES_tradnl"/>
              </w:rPr>
              <w:t>í</w:t>
            </w:r>
            <w:r w:rsidRPr="006825CD">
              <w:rPr>
                <w:i/>
                <w:vertAlign w:val="subscript"/>
                <w:lang w:val="es-ES_tradnl"/>
              </w:rPr>
              <w:t>n</w:t>
            </w:r>
          </w:p>
        </w:tc>
        <w:tc>
          <w:tcPr>
            <w:tcW w:w="1985" w:type="dxa"/>
            <w:tcBorders>
              <w:top w:val="single" w:sz="6" w:space="0" w:color="000000"/>
              <w:left w:val="single" w:sz="6" w:space="0" w:color="000000"/>
              <w:bottom w:val="single" w:sz="6" w:space="0" w:color="FFFFFF"/>
              <w:right w:val="single" w:sz="6" w:space="0" w:color="000000"/>
            </w:tcBorders>
          </w:tcPr>
          <w:p w14:paraId="0D863300" w14:textId="77777777" w:rsidR="00BB3F73" w:rsidRPr="006777E8" w:rsidRDefault="00BB3F73" w:rsidP="00BB3F73">
            <w:pPr>
              <w:pStyle w:val="Tabletext"/>
              <w:jc w:val="center"/>
            </w:pPr>
            <w:r w:rsidRPr="006777E8">
              <w:t>–145 dBW</w:t>
            </w:r>
          </w:p>
        </w:tc>
      </w:tr>
      <w:tr w:rsidR="00BB3F73" w:rsidRPr="006777E8" w14:paraId="6FD7A063" w14:textId="77777777" w:rsidTr="00BB3F73">
        <w:tblPrEx>
          <w:tblCellMar>
            <w:top w:w="0" w:type="dxa"/>
            <w:bottom w:w="0" w:type="dxa"/>
          </w:tblCellMar>
        </w:tblPrEx>
        <w:trPr>
          <w:jc w:val="center"/>
        </w:trPr>
        <w:tc>
          <w:tcPr>
            <w:tcW w:w="4536" w:type="dxa"/>
            <w:tcBorders>
              <w:top w:val="single" w:sz="6" w:space="0" w:color="000000"/>
              <w:left w:val="single" w:sz="6" w:space="0" w:color="000000"/>
              <w:bottom w:val="single" w:sz="6" w:space="0" w:color="FFFFFF"/>
              <w:right w:val="single" w:sz="6" w:space="0" w:color="FFFFFF"/>
            </w:tcBorders>
          </w:tcPr>
          <w:p w14:paraId="13050CF5" w14:textId="77777777" w:rsidR="00BB3F73" w:rsidRPr="006777E8" w:rsidRDefault="00BB3F73" w:rsidP="00BB3F73">
            <w:pPr>
              <w:pStyle w:val="Tabletext"/>
            </w:pPr>
            <w:r>
              <w:t xml:space="preserve">Relación de protección requerida, </w:t>
            </w:r>
            <w:r w:rsidRPr="006777E8">
              <w:rPr>
                <w:rFonts w:ascii="Symbol" w:hAnsi="Symbol"/>
                <w:sz w:val="24"/>
              </w:rPr>
              <w:t></w:t>
            </w:r>
          </w:p>
        </w:tc>
        <w:tc>
          <w:tcPr>
            <w:tcW w:w="1985" w:type="dxa"/>
            <w:tcBorders>
              <w:top w:val="single" w:sz="6" w:space="0" w:color="000000"/>
              <w:left w:val="single" w:sz="6" w:space="0" w:color="000000"/>
              <w:bottom w:val="single" w:sz="6" w:space="0" w:color="FFFFFF"/>
              <w:right w:val="single" w:sz="6" w:space="0" w:color="000000"/>
            </w:tcBorders>
          </w:tcPr>
          <w:p w14:paraId="43CECE92" w14:textId="77777777" w:rsidR="00BB3F73" w:rsidRPr="006777E8" w:rsidRDefault="00BB3F73" w:rsidP="00BB3F73">
            <w:pPr>
              <w:pStyle w:val="Tabletext"/>
              <w:jc w:val="center"/>
            </w:pPr>
            <w:r w:rsidRPr="006777E8">
              <w:t>18 dB</w:t>
            </w:r>
          </w:p>
        </w:tc>
      </w:tr>
      <w:tr w:rsidR="00BB3F73" w:rsidRPr="006777E8" w14:paraId="0EBD91D7" w14:textId="77777777" w:rsidTr="00BB3F73">
        <w:tblPrEx>
          <w:tblCellMar>
            <w:top w:w="0" w:type="dxa"/>
            <w:bottom w:w="0" w:type="dxa"/>
          </w:tblCellMar>
        </w:tblPrEx>
        <w:trPr>
          <w:jc w:val="center"/>
        </w:trPr>
        <w:tc>
          <w:tcPr>
            <w:tcW w:w="4536" w:type="dxa"/>
            <w:tcBorders>
              <w:top w:val="single" w:sz="6" w:space="0" w:color="000000"/>
              <w:left w:val="single" w:sz="6" w:space="0" w:color="000000"/>
              <w:bottom w:val="single" w:sz="6" w:space="0" w:color="FFFFFF"/>
              <w:right w:val="single" w:sz="6" w:space="0" w:color="FFFFFF"/>
            </w:tcBorders>
          </w:tcPr>
          <w:p w14:paraId="3E30DEA4" w14:textId="77777777" w:rsidR="00BB3F73" w:rsidRPr="006825CD" w:rsidRDefault="00BB3F73" w:rsidP="00BB3F73">
            <w:pPr>
              <w:pStyle w:val="Tabletext"/>
              <w:rPr>
                <w:lang w:val="es-ES_tradnl"/>
              </w:rPr>
            </w:pPr>
            <w:r w:rsidRPr="006825CD">
              <w:rPr>
                <w:lang w:val="es-ES_tradnl"/>
              </w:rPr>
              <w:t xml:space="preserve">Altura de la antena de la estación de base, </w:t>
            </w:r>
            <w:r w:rsidRPr="006825CD">
              <w:rPr>
                <w:i/>
                <w:lang w:val="es-ES_tradnl"/>
              </w:rPr>
              <w:t>h</w:t>
            </w:r>
            <w:r w:rsidRPr="006825CD">
              <w:rPr>
                <w:i/>
                <w:vertAlign w:val="subscript"/>
                <w:lang w:val="es-ES_tradnl"/>
              </w:rPr>
              <w:t>b</w:t>
            </w:r>
          </w:p>
        </w:tc>
        <w:tc>
          <w:tcPr>
            <w:tcW w:w="1985" w:type="dxa"/>
            <w:tcBorders>
              <w:top w:val="single" w:sz="6" w:space="0" w:color="000000"/>
              <w:left w:val="single" w:sz="6" w:space="0" w:color="000000"/>
              <w:bottom w:val="single" w:sz="6" w:space="0" w:color="FFFFFF"/>
              <w:right w:val="single" w:sz="6" w:space="0" w:color="000000"/>
            </w:tcBorders>
          </w:tcPr>
          <w:p w14:paraId="73DA09F9" w14:textId="77777777" w:rsidR="00BB3F73" w:rsidRPr="006777E8" w:rsidRDefault="00BB3F73" w:rsidP="00BB3F73">
            <w:pPr>
              <w:pStyle w:val="Tabletext"/>
              <w:jc w:val="center"/>
            </w:pPr>
            <w:r w:rsidRPr="006777E8">
              <w:t>75 m</w:t>
            </w:r>
          </w:p>
        </w:tc>
      </w:tr>
      <w:tr w:rsidR="00BB3F73" w:rsidRPr="006777E8" w14:paraId="5AE4358F" w14:textId="77777777" w:rsidTr="00BB3F73">
        <w:tblPrEx>
          <w:tblCellMar>
            <w:top w:w="0" w:type="dxa"/>
            <w:bottom w:w="0" w:type="dxa"/>
          </w:tblCellMar>
        </w:tblPrEx>
        <w:trPr>
          <w:jc w:val="center"/>
        </w:trPr>
        <w:tc>
          <w:tcPr>
            <w:tcW w:w="4536" w:type="dxa"/>
            <w:tcBorders>
              <w:top w:val="single" w:sz="6" w:space="0" w:color="000000"/>
              <w:left w:val="single" w:sz="6" w:space="0" w:color="000000"/>
              <w:bottom w:val="single" w:sz="6" w:space="0" w:color="FFFFFF"/>
              <w:right w:val="single" w:sz="6" w:space="0" w:color="FFFFFF"/>
            </w:tcBorders>
          </w:tcPr>
          <w:p w14:paraId="1990ACAA" w14:textId="77777777" w:rsidR="00BB3F73" w:rsidRPr="006777E8" w:rsidRDefault="00BB3F73" w:rsidP="00BB3F73">
            <w:pPr>
              <w:pStyle w:val="Tabletext"/>
              <w:rPr>
                <w:i/>
              </w:rPr>
            </w:pPr>
            <w:r>
              <w:t>Frecuencia de trabajo</w:t>
            </w:r>
            <w:r w:rsidRPr="006777E8">
              <w:t xml:space="preserve">, </w:t>
            </w:r>
            <w:r w:rsidRPr="006777E8">
              <w:rPr>
                <w:i/>
              </w:rPr>
              <w:t>f</w:t>
            </w:r>
          </w:p>
        </w:tc>
        <w:tc>
          <w:tcPr>
            <w:tcW w:w="1985" w:type="dxa"/>
            <w:tcBorders>
              <w:top w:val="single" w:sz="6" w:space="0" w:color="000000"/>
              <w:left w:val="single" w:sz="6" w:space="0" w:color="000000"/>
              <w:bottom w:val="single" w:sz="6" w:space="0" w:color="FFFFFF"/>
              <w:right w:val="single" w:sz="6" w:space="0" w:color="000000"/>
            </w:tcBorders>
          </w:tcPr>
          <w:p w14:paraId="5E3CBB24" w14:textId="77777777" w:rsidR="00BB3F73" w:rsidRPr="006777E8" w:rsidRDefault="00BB3F73" w:rsidP="00BB3F73">
            <w:pPr>
              <w:pStyle w:val="Tabletext"/>
              <w:jc w:val="center"/>
            </w:pPr>
            <w:r w:rsidRPr="006777E8">
              <w:t>450 MHz</w:t>
            </w:r>
          </w:p>
        </w:tc>
      </w:tr>
      <w:tr w:rsidR="00BB3F73" w:rsidRPr="006777E8" w14:paraId="0D9AADF3" w14:textId="77777777" w:rsidTr="00BB3F73">
        <w:tblPrEx>
          <w:tblCellMar>
            <w:top w:w="0" w:type="dxa"/>
            <w:bottom w:w="0" w:type="dxa"/>
          </w:tblCellMar>
        </w:tblPrEx>
        <w:trPr>
          <w:jc w:val="center"/>
        </w:trPr>
        <w:tc>
          <w:tcPr>
            <w:tcW w:w="4536" w:type="dxa"/>
            <w:tcBorders>
              <w:top w:val="single" w:sz="6" w:space="0" w:color="000000"/>
              <w:left w:val="single" w:sz="6" w:space="0" w:color="000000"/>
              <w:bottom w:val="single" w:sz="6" w:space="0" w:color="FFFFFF"/>
              <w:right w:val="single" w:sz="6" w:space="0" w:color="FFFFFF"/>
            </w:tcBorders>
          </w:tcPr>
          <w:p w14:paraId="7FE794D9" w14:textId="77777777" w:rsidR="00BB3F73" w:rsidRPr="006825CD" w:rsidRDefault="00BB3F73" w:rsidP="00BB3F73">
            <w:pPr>
              <w:pStyle w:val="Tabletext"/>
              <w:rPr>
                <w:lang w:val="es-ES_tradnl"/>
              </w:rPr>
            </w:pPr>
            <w:r w:rsidRPr="006825CD">
              <w:rPr>
                <w:lang w:val="es-ES_tradnl"/>
              </w:rPr>
              <w:t>p.i.r.e. de la estación de base</w:t>
            </w:r>
          </w:p>
        </w:tc>
        <w:tc>
          <w:tcPr>
            <w:tcW w:w="1985" w:type="dxa"/>
            <w:tcBorders>
              <w:top w:val="single" w:sz="6" w:space="0" w:color="000000"/>
              <w:left w:val="single" w:sz="6" w:space="0" w:color="000000"/>
              <w:bottom w:val="single" w:sz="6" w:space="0" w:color="FFFFFF"/>
              <w:right w:val="single" w:sz="6" w:space="0" w:color="000000"/>
            </w:tcBorders>
          </w:tcPr>
          <w:p w14:paraId="72464A3B" w14:textId="77777777" w:rsidR="00BB3F73" w:rsidRPr="006777E8" w:rsidRDefault="00BB3F73" w:rsidP="00BB3F73">
            <w:pPr>
              <w:pStyle w:val="Tabletext"/>
              <w:jc w:val="center"/>
            </w:pPr>
            <w:r w:rsidRPr="006777E8">
              <w:t>20 dBW</w:t>
            </w:r>
          </w:p>
        </w:tc>
      </w:tr>
      <w:tr w:rsidR="00BB3F73" w:rsidRPr="006777E8" w14:paraId="0C58BE0C" w14:textId="77777777" w:rsidTr="0039622A">
        <w:tblPrEx>
          <w:tblCellMar>
            <w:top w:w="0" w:type="dxa"/>
            <w:bottom w:w="0" w:type="dxa"/>
          </w:tblCellMar>
        </w:tblPrEx>
        <w:trPr>
          <w:jc w:val="center"/>
        </w:trPr>
        <w:tc>
          <w:tcPr>
            <w:tcW w:w="4536" w:type="dxa"/>
            <w:tcBorders>
              <w:top w:val="single" w:sz="6" w:space="0" w:color="000000"/>
              <w:left w:val="single" w:sz="6" w:space="0" w:color="000000"/>
              <w:bottom w:val="single" w:sz="6" w:space="0" w:color="000000"/>
              <w:right w:val="single" w:sz="6" w:space="0" w:color="FFFFFF"/>
            </w:tcBorders>
          </w:tcPr>
          <w:p w14:paraId="02100824" w14:textId="77777777" w:rsidR="00BB3F73" w:rsidRPr="006825CD" w:rsidRDefault="00BB3F73" w:rsidP="00BB3F73">
            <w:pPr>
              <w:pStyle w:val="Tabletext"/>
              <w:rPr>
                <w:lang w:val="es-ES_tradnl"/>
              </w:rPr>
            </w:pPr>
            <w:r w:rsidRPr="006825CD">
              <w:rPr>
                <w:lang w:val="es-ES_tradnl"/>
              </w:rPr>
              <w:t>Ganancia de la antena receptora de base</w:t>
            </w:r>
          </w:p>
        </w:tc>
        <w:tc>
          <w:tcPr>
            <w:tcW w:w="1985" w:type="dxa"/>
            <w:tcBorders>
              <w:top w:val="single" w:sz="6" w:space="0" w:color="000000"/>
              <w:left w:val="single" w:sz="6" w:space="0" w:color="000000"/>
              <w:bottom w:val="single" w:sz="6" w:space="0" w:color="000000"/>
              <w:right w:val="single" w:sz="6" w:space="0" w:color="000000"/>
            </w:tcBorders>
          </w:tcPr>
          <w:p w14:paraId="3C14FDC8" w14:textId="77777777" w:rsidR="00BB3F73" w:rsidRPr="006777E8" w:rsidRDefault="00BB3F73" w:rsidP="00BB3F73">
            <w:pPr>
              <w:pStyle w:val="Tabletext"/>
              <w:jc w:val="center"/>
            </w:pPr>
            <w:r w:rsidRPr="006777E8">
              <w:t>0 dBi</w:t>
            </w:r>
          </w:p>
        </w:tc>
      </w:tr>
      <w:tr w:rsidR="00BB3F73" w:rsidRPr="006777E8" w14:paraId="12A4C069" w14:textId="77777777" w:rsidTr="0039622A">
        <w:tblPrEx>
          <w:tblCellMar>
            <w:top w:w="0" w:type="dxa"/>
            <w:bottom w:w="0" w:type="dxa"/>
          </w:tblCellMar>
        </w:tblPrEx>
        <w:trPr>
          <w:jc w:val="center"/>
        </w:trPr>
        <w:tc>
          <w:tcPr>
            <w:tcW w:w="4536" w:type="dxa"/>
            <w:tcBorders>
              <w:top w:val="single" w:sz="6" w:space="0" w:color="000000"/>
              <w:left w:val="single" w:sz="6" w:space="0" w:color="000000"/>
              <w:right w:val="single" w:sz="6" w:space="0" w:color="FFFFFF"/>
            </w:tcBorders>
          </w:tcPr>
          <w:p w14:paraId="437F9B6A" w14:textId="77777777" w:rsidR="00BB3F73" w:rsidRPr="006777E8" w:rsidRDefault="00BB3F73" w:rsidP="00BB3F73">
            <w:pPr>
              <w:pStyle w:val="Tabletext"/>
            </w:pPr>
            <w:r>
              <w:t>Permitividad relativa equivalente</w:t>
            </w:r>
            <w:r w:rsidRPr="006777E8">
              <w:t xml:space="preserve">, </w:t>
            </w:r>
            <w:r w:rsidRPr="006777E8">
              <w:sym w:font="Symbol" w:char="F065"/>
            </w:r>
          </w:p>
        </w:tc>
        <w:tc>
          <w:tcPr>
            <w:tcW w:w="1985" w:type="dxa"/>
            <w:tcBorders>
              <w:top w:val="single" w:sz="6" w:space="0" w:color="000000"/>
              <w:left w:val="single" w:sz="6" w:space="0" w:color="000000"/>
              <w:right w:val="single" w:sz="6" w:space="0" w:color="000000"/>
            </w:tcBorders>
          </w:tcPr>
          <w:p w14:paraId="117A0F2C" w14:textId="77777777" w:rsidR="00BB3F73" w:rsidRPr="006777E8" w:rsidRDefault="00BB3F73" w:rsidP="00BB3F73">
            <w:pPr>
              <w:pStyle w:val="Tabletext"/>
              <w:jc w:val="center"/>
            </w:pPr>
            <w:r w:rsidRPr="006777E8">
              <w:t>30</w:t>
            </w:r>
          </w:p>
        </w:tc>
      </w:tr>
      <w:tr w:rsidR="00BB3F73" w:rsidRPr="006777E8" w14:paraId="4133492D" w14:textId="77777777" w:rsidTr="0039622A">
        <w:tblPrEx>
          <w:tblCellMar>
            <w:top w:w="0" w:type="dxa"/>
            <w:bottom w:w="0" w:type="dxa"/>
          </w:tblCellMar>
        </w:tblPrEx>
        <w:trPr>
          <w:jc w:val="center"/>
        </w:trPr>
        <w:tc>
          <w:tcPr>
            <w:tcW w:w="4536" w:type="dxa"/>
            <w:tcBorders>
              <w:left w:val="single" w:sz="6" w:space="0" w:color="000000"/>
              <w:bottom w:val="single" w:sz="6" w:space="0" w:color="auto"/>
              <w:right w:val="single" w:sz="6" w:space="0" w:color="FFFFFF"/>
            </w:tcBorders>
          </w:tcPr>
          <w:p w14:paraId="5576432D" w14:textId="77777777" w:rsidR="00BB3F73" w:rsidRPr="006777E8" w:rsidRDefault="00BB3F73" w:rsidP="00BB3F73">
            <w:pPr>
              <w:pStyle w:val="Tabletext"/>
            </w:pPr>
            <w:r>
              <w:t>Conductividad equivalente</w:t>
            </w:r>
            <w:r w:rsidRPr="006777E8">
              <w:t xml:space="preserve">, </w:t>
            </w:r>
            <w:r w:rsidRPr="006777E8">
              <w:sym w:font="Symbol" w:char="F073"/>
            </w:r>
          </w:p>
        </w:tc>
        <w:tc>
          <w:tcPr>
            <w:tcW w:w="1985" w:type="dxa"/>
            <w:tcBorders>
              <w:left w:val="single" w:sz="6" w:space="0" w:color="000000"/>
              <w:bottom w:val="single" w:sz="6" w:space="0" w:color="auto"/>
              <w:right w:val="single" w:sz="6" w:space="0" w:color="000000"/>
            </w:tcBorders>
          </w:tcPr>
          <w:p w14:paraId="34FBF6AE" w14:textId="77777777" w:rsidR="00BB3F73" w:rsidRPr="006777E8" w:rsidRDefault="00BB3F73" w:rsidP="00BB3F73">
            <w:pPr>
              <w:pStyle w:val="Tabletext"/>
              <w:jc w:val="center"/>
            </w:pPr>
            <w:r w:rsidRPr="006777E8">
              <w:t>10</w:t>
            </w:r>
            <w:r w:rsidRPr="006777E8">
              <w:rPr>
                <w:vertAlign w:val="superscript"/>
              </w:rPr>
              <w:t>–2</w:t>
            </w:r>
            <w:r w:rsidRPr="006777E8">
              <w:t xml:space="preserve"> S/m</w:t>
            </w:r>
          </w:p>
        </w:tc>
      </w:tr>
    </w:tbl>
    <w:p w14:paraId="678B26A0" w14:textId="77777777" w:rsidR="00BB3F73" w:rsidRPr="0009513B" w:rsidRDefault="00BB3F73" w:rsidP="00BB3F73">
      <w:pPr>
        <w:pStyle w:val="Tablefin"/>
      </w:pPr>
    </w:p>
    <w:p w14:paraId="6055BBD0" w14:textId="77777777" w:rsidR="00BB3F73" w:rsidRPr="000212C9" w:rsidRDefault="00BB3F73" w:rsidP="00BB3F73">
      <w:r w:rsidRPr="000212C9">
        <w:t>En los sistemas radioeléctricos móviles terrestres existen cuatro modos de interferencia: base a base, base a móvil, móvil a base y móvil a móvil. En los sistemas símplex, en los que la base y los móviles transmiten en la misma frecuencia, están presentes los cuatro modos de interferencia. En cambio, en los sistemas en dúplex, los móviles y la base transmiten en diferentes frecuencias y sólo sería necesario considerar los modos base a móvil y móvil a base. No obstante, para analizar la distancia de separación sólo es necesario examinar el caso más desfavorable, es decir, el caso en que la interferencia exige la mayor distancia de aislamiento entre sistemas. En la mayoría de los casos, se puede suponer que las estaciones de base funcionan cerca del 100% del tiempo y que el modo de interferencia base a base es el modo dominante que exige la mayor distancia de separación. Por este motivo no se consideran aquí otros modos.</w:t>
      </w:r>
    </w:p>
    <w:p w14:paraId="541305C9" w14:textId="77777777" w:rsidR="00BB3F73" w:rsidRPr="000212C9" w:rsidRDefault="00BB3F73" w:rsidP="00BB3F73">
      <w:r w:rsidRPr="000212C9">
        <w:t>A continuación, exponemos los modelos de propagación para los sistemas radioeléctricos móviles terrestres con los resultados numéricos para cada una de las dos combinaciones de sistemas examinadas.</w:t>
      </w:r>
    </w:p>
    <w:p w14:paraId="78D1C715" w14:textId="77777777" w:rsidR="00BB3F73" w:rsidRPr="006825CD" w:rsidRDefault="00BB3F73" w:rsidP="00BB3F73">
      <w:pPr>
        <w:pStyle w:val="Heading2"/>
        <w:rPr>
          <w:lang w:val="es-ES_tradnl"/>
        </w:rPr>
      </w:pPr>
      <w:r w:rsidRPr="006825CD">
        <w:rPr>
          <w:lang w:val="es-ES_tradnl"/>
        </w:rPr>
        <w:t>3.1</w:t>
      </w:r>
      <w:r w:rsidRPr="006825CD">
        <w:rPr>
          <w:lang w:val="es-ES_tradnl"/>
        </w:rPr>
        <w:tab/>
        <w:t>Interferencia base a base</w:t>
      </w:r>
    </w:p>
    <w:p w14:paraId="22CF7362" w14:textId="77777777" w:rsidR="00BB3F73" w:rsidRPr="000212C9" w:rsidRDefault="00BB3F73" w:rsidP="00BB3F73">
      <w:r w:rsidRPr="000212C9">
        <w:t>El modelo de propagación elegido para el modo base a base es el modelo de propagación por difracción (véase la Recomendación UIT-R P. 526). Según ese modelo, la atenuación del trayecto se expresa como:</w:t>
      </w:r>
    </w:p>
    <w:p w14:paraId="0B8A28BB" w14:textId="77777777" w:rsidR="00BB3F73" w:rsidRPr="006825CD" w:rsidRDefault="00BB3F73" w:rsidP="006825CD">
      <w:pPr>
        <w:pStyle w:val="Equation"/>
        <w:rPr>
          <w:lang w:val="es-ES_tradnl"/>
        </w:rPr>
      </w:pPr>
      <w:r w:rsidRPr="006825CD">
        <w:rPr>
          <w:lang w:val="es-ES_tradnl"/>
        </w:rPr>
        <w:tab/>
      </w:r>
      <w:r w:rsidRPr="006825CD">
        <w:rPr>
          <w:lang w:val="es-ES_tradnl"/>
        </w:rPr>
        <w:tab/>
      </w:r>
      <w:r w:rsidRPr="006777E8">
        <w:rPr>
          <w:position w:val="-16"/>
          <w:sz w:val="20"/>
        </w:rPr>
        <w:object w:dxaOrig="2360" w:dyaOrig="400" w14:anchorId="56DFCB24">
          <v:shape id="_x0000_i1037" type="#_x0000_t75" style="width:118.2pt;height:19.9pt" o:ole="">
            <v:imagedata r:id="rId32" o:title=""/>
          </v:shape>
          <o:OLEObject Type="Embed" ProgID="Equation.3" ShapeID="_x0000_i1037" DrawAspect="Content" ObjectID="_1652509572" r:id="rId33"/>
        </w:object>
      </w:r>
      <w:r w:rsidRPr="006825CD">
        <w:rPr>
          <w:lang w:val="es-ES_tradnl"/>
        </w:rPr>
        <w:tab/>
        <w:t>(11)</w:t>
      </w:r>
    </w:p>
    <w:p w14:paraId="4E495544" w14:textId="77777777" w:rsidR="00BB3F73" w:rsidRPr="000212C9" w:rsidRDefault="00BB3F73" w:rsidP="00BB3F73">
      <w:r w:rsidRPr="000212C9">
        <w:t>donde:</w:t>
      </w:r>
    </w:p>
    <w:p w14:paraId="6E58E88B" w14:textId="77777777" w:rsidR="00BB3F73" w:rsidRPr="006825CD" w:rsidRDefault="00BB3F73" w:rsidP="00BB3F73">
      <w:pPr>
        <w:pStyle w:val="Equationlegend"/>
        <w:rPr>
          <w:lang w:val="es-ES_tradnl"/>
        </w:rPr>
      </w:pPr>
      <w:r w:rsidRPr="006825CD">
        <w:rPr>
          <w:lang w:val="es-ES_tradnl"/>
        </w:rPr>
        <w:tab/>
      </w:r>
      <w:r w:rsidRPr="006825CD">
        <w:rPr>
          <w:i/>
          <w:lang w:val="es-ES_tradnl"/>
        </w:rPr>
        <w:t>L</w:t>
      </w:r>
      <w:r w:rsidRPr="006825CD">
        <w:rPr>
          <w:i/>
          <w:vertAlign w:val="subscript"/>
          <w:lang w:val="es-ES_tradnl"/>
        </w:rPr>
        <w:t>FS</w:t>
      </w:r>
      <w:r w:rsidRPr="006825CD">
        <w:rPr>
          <w:sz w:val="8"/>
          <w:lang w:val="es-ES_tradnl"/>
        </w:rPr>
        <w:t> </w:t>
      </w:r>
      <w:r w:rsidRPr="006825CD">
        <w:rPr>
          <w:lang w:val="es-ES_tradnl"/>
        </w:rPr>
        <w:t>:</w:t>
      </w:r>
      <w:r w:rsidRPr="006825CD">
        <w:rPr>
          <w:lang w:val="es-ES_tradnl"/>
        </w:rPr>
        <w:tab/>
        <w:t xml:space="preserve">atenuación del trayecto (dB) debida al espacio libre (FS – </w:t>
      </w:r>
      <w:r w:rsidRPr="006825CD">
        <w:rPr>
          <w:i/>
          <w:iCs/>
          <w:lang w:val="es-ES_tradnl"/>
        </w:rPr>
        <w:t>free space</w:t>
      </w:r>
      <w:r w:rsidRPr="006825CD">
        <w:rPr>
          <w:lang w:val="es-ES_tradnl"/>
        </w:rPr>
        <w:t>)</w:t>
      </w:r>
    </w:p>
    <w:p w14:paraId="63DE0A57" w14:textId="77777777" w:rsidR="00BB3F73" w:rsidRPr="006825CD" w:rsidRDefault="00BB3F73" w:rsidP="00BB3F73">
      <w:pPr>
        <w:pStyle w:val="Equationlegend"/>
        <w:rPr>
          <w:lang w:val="es-ES_tradnl"/>
        </w:rPr>
      </w:pPr>
      <w:r w:rsidRPr="006825CD">
        <w:rPr>
          <w:lang w:val="es-ES_tradnl"/>
        </w:rPr>
        <w:tab/>
      </w:r>
      <w:r w:rsidRPr="006825CD">
        <w:rPr>
          <w:i/>
          <w:lang w:val="es-ES_tradnl"/>
        </w:rPr>
        <w:t>L</w:t>
      </w:r>
      <w:r w:rsidRPr="006825CD">
        <w:rPr>
          <w:i/>
          <w:vertAlign w:val="subscript"/>
          <w:lang w:val="es-ES_tradnl"/>
        </w:rPr>
        <w:t>DIF/FS</w:t>
      </w:r>
      <w:r w:rsidRPr="006825CD">
        <w:rPr>
          <w:sz w:val="8"/>
          <w:lang w:val="es-ES_tradnl"/>
        </w:rPr>
        <w:t> </w:t>
      </w:r>
      <w:r w:rsidRPr="006825CD">
        <w:rPr>
          <w:lang w:val="es-ES_tradnl"/>
        </w:rPr>
        <w:t>:</w:t>
      </w:r>
      <w:r w:rsidRPr="006825CD">
        <w:rPr>
          <w:lang w:val="es-ES_tradnl"/>
        </w:rPr>
        <w:tab/>
        <w:t>relación entre la atenuación por difracción y la atenuación en el espacio libre (dB) que se define como sigue:</w:t>
      </w:r>
    </w:p>
    <w:p w14:paraId="583F9088" w14:textId="77777777" w:rsidR="00BB3F73" w:rsidRPr="006825CD" w:rsidRDefault="00BB3F73" w:rsidP="006825CD">
      <w:pPr>
        <w:pStyle w:val="Equation"/>
        <w:rPr>
          <w:lang w:val="es-ES_tradnl"/>
        </w:rPr>
      </w:pPr>
      <w:r w:rsidRPr="006825CD">
        <w:rPr>
          <w:lang w:val="es-ES_tradnl"/>
        </w:rPr>
        <w:tab/>
      </w:r>
      <w:r w:rsidRPr="006825CD">
        <w:rPr>
          <w:lang w:val="es-ES_tradnl"/>
        </w:rPr>
        <w:tab/>
      </w:r>
      <w:r w:rsidRPr="006777E8">
        <w:rPr>
          <w:position w:val="-32"/>
          <w:sz w:val="20"/>
        </w:rPr>
        <w:object w:dxaOrig="5480" w:dyaOrig="760" w14:anchorId="62810D80">
          <v:shape id="_x0000_i1038" type="#_x0000_t75" style="width:274.05pt;height:38.15pt" o:ole="">
            <v:imagedata r:id="rId34" o:title=""/>
          </v:shape>
          <o:OLEObject Type="Embed" ProgID="Equation.3" ShapeID="_x0000_i1038" DrawAspect="Content" ObjectID="_1652509573" r:id="rId35"/>
        </w:object>
      </w:r>
      <w:r w:rsidRPr="006825CD">
        <w:rPr>
          <w:lang w:val="es-ES_tradnl"/>
        </w:rPr>
        <w:tab/>
        <w:t>(12)</w:t>
      </w:r>
    </w:p>
    <w:p w14:paraId="1998A4F3" w14:textId="77777777" w:rsidR="00BB3F73" w:rsidRPr="000212C9" w:rsidRDefault="00BB3F73" w:rsidP="00BB3F73">
      <w:r w:rsidRPr="000212C9">
        <w:t>siendo:</w:t>
      </w:r>
    </w:p>
    <w:p w14:paraId="0FFCB534" w14:textId="77777777" w:rsidR="00BB3F73" w:rsidRPr="006825CD" w:rsidRDefault="00BB3F73" w:rsidP="00BB3F73">
      <w:pPr>
        <w:pStyle w:val="Equationlegend"/>
        <w:rPr>
          <w:lang w:val="es-ES_tradnl"/>
        </w:rPr>
      </w:pPr>
      <w:r w:rsidRPr="006825CD">
        <w:rPr>
          <w:lang w:val="es-ES_tradnl"/>
        </w:rPr>
        <w:tab/>
      </w:r>
      <w:r w:rsidRPr="006825CD">
        <w:rPr>
          <w:i/>
          <w:lang w:val="es-ES_tradnl"/>
        </w:rPr>
        <w:t>F</w:t>
      </w:r>
      <w:r w:rsidRPr="006825CD">
        <w:rPr>
          <w:lang w:val="es-ES_tradnl"/>
        </w:rPr>
        <w:t>(</w:t>
      </w:r>
      <w:r w:rsidRPr="006825CD">
        <w:rPr>
          <w:i/>
          <w:lang w:val="es-ES_tradnl"/>
        </w:rPr>
        <w:t>X</w:t>
      </w:r>
      <w:r w:rsidRPr="006825CD">
        <w:rPr>
          <w:lang w:val="es-ES_tradnl"/>
        </w:rPr>
        <w:t>)</w:t>
      </w:r>
      <w:r w:rsidRPr="006825CD">
        <w:rPr>
          <w:sz w:val="8"/>
          <w:lang w:val="es-ES_tradnl"/>
        </w:rPr>
        <w:t> </w:t>
      </w:r>
      <w:r w:rsidRPr="006825CD">
        <w:rPr>
          <w:lang w:val="es-ES_tradnl"/>
        </w:rPr>
        <w:t>:</w:t>
      </w:r>
      <w:r w:rsidRPr="006825CD">
        <w:rPr>
          <w:lang w:val="es-ES_tradnl"/>
        </w:rPr>
        <w:tab/>
        <w:t>término de ganancia dependiente de la distancia normalizada entre estaciones de base</w:t>
      </w:r>
    </w:p>
    <w:p w14:paraId="6CC044D5" w14:textId="77777777" w:rsidR="00BB3F73" w:rsidRPr="006825CD" w:rsidRDefault="00BB3F73" w:rsidP="00BB3F73">
      <w:pPr>
        <w:pStyle w:val="Equationlegend"/>
        <w:rPr>
          <w:lang w:val="es-ES_tradnl"/>
        </w:rPr>
      </w:pPr>
      <w:r w:rsidRPr="006825CD">
        <w:rPr>
          <w:lang w:val="es-ES_tradnl"/>
        </w:rPr>
        <w:tab/>
      </w:r>
      <w:r w:rsidRPr="006825CD">
        <w:rPr>
          <w:i/>
          <w:lang w:val="es-ES_tradnl"/>
        </w:rPr>
        <w:t>G</w:t>
      </w:r>
      <w:r w:rsidRPr="006825CD">
        <w:rPr>
          <w:lang w:val="es-ES_tradnl"/>
        </w:rPr>
        <w:t>(</w:t>
      </w:r>
      <w:r w:rsidRPr="006825CD">
        <w:rPr>
          <w:i/>
          <w:lang w:val="es-ES_tradnl"/>
        </w:rPr>
        <w:t>Y</w:t>
      </w:r>
      <w:r w:rsidRPr="006825CD">
        <w:rPr>
          <w:lang w:val="es-ES_tradnl"/>
        </w:rPr>
        <w:t xml:space="preserve">1), </w:t>
      </w:r>
      <w:r w:rsidRPr="006825CD">
        <w:rPr>
          <w:i/>
          <w:lang w:val="es-ES_tradnl"/>
        </w:rPr>
        <w:t>G</w:t>
      </w:r>
      <w:r w:rsidRPr="006825CD">
        <w:rPr>
          <w:lang w:val="es-ES_tradnl"/>
        </w:rPr>
        <w:t>(</w:t>
      </w:r>
      <w:r w:rsidRPr="006825CD">
        <w:rPr>
          <w:i/>
          <w:lang w:val="es-ES_tradnl"/>
        </w:rPr>
        <w:t>Y</w:t>
      </w:r>
      <w:r w:rsidRPr="006825CD">
        <w:rPr>
          <w:lang w:val="es-ES_tradnl"/>
        </w:rPr>
        <w:t>2)</w:t>
      </w:r>
      <w:r w:rsidRPr="006825CD">
        <w:rPr>
          <w:sz w:val="8"/>
          <w:lang w:val="es-ES_tradnl"/>
        </w:rPr>
        <w:t> </w:t>
      </w:r>
      <w:r w:rsidRPr="006825CD">
        <w:rPr>
          <w:lang w:val="es-ES_tradnl"/>
        </w:rPr>
        <w:t>:</w:t>
      </w:r>
      <w:r w:rsidRPr="006825CD">
        <w:rPr>
          <w:lang w:val="es-ES_tradnl"/>
        </w:rPr>
        <w:tab/>
        <w:t>términos de ganancia dependientes de las alturas de antena normalizadas de las estaciones de base</w:t>
      </w:r>
    </w:p>
    <w:p w14:paraId="271DA162" w14:textId="77777777" w:rsidR="00BB3F73" w:rsidRPr="006825CD" w:rsidRDefault="00BB3F73" w:rsidP="00BB3F73">
      <w:pPr>
        <w:pStyle w:val="Equationlegend"/>
        <w:rPr>
          <w:lang w:val="es-ES_tradnl"/>
        </w:rPr>
      </w:pPr>
      <w:r w:rsidRPr="006825CD">
        <w:rPr>
          <w:lang w:val="es-ES_tradnl"/>
        </w:rPr>
        <w:tab/>
      </w:r>
      <w:r w:rsidRPr="006825CD">
        <w:rPr>
          <w:i/>
          <w:lang w:val="es-ES_tradnl"/>
        </w:rPr>
        <w:t>X</w:t>
      </w:r>
      <w:r w:rsidRPr="006825CD">
        <w:rPr>
          <w:sz w:val="8"/>
          <w:lang w:val="es-ES_tradnl"/>
        </w:rPr>
        <w:t> </w:t>
      </w:r>
      <w:r w:rsidRPr="006825CD">
        <w:rPr>
          <w:lang w:val="es-ES_tradnl"/>
        </w:rPr>
        <w:t>:</w:t>
      </w:r>
      <w:r w:rsidRPr="006825CD">
        <w:rPr>
          <w:lang w:val="es-ES_tradnl"/>
        </w:rPr>
        <w:tab/>
        <w:t>distancia normalizada entre las antenas de las estaciones de base</w:t>
      </w:r>
    </w:p>
    <w:p w14:paraId="36C4E5C6" w14:textId="77777777" w:rsidR="00BB3F73" w:rsidRPr="006825CD" w:rsidRDefault="00BB3F73" w:rsidP="00BB3F73">
      <w:pPr>
        <w:pStyle w:val="Equationlegend"/>
        <w:rPr>
          <w:lang w:val="es-ES_tradnl"/>
        </w:rPr>
      </w:pPr>
      <w:r w:rsidRPr="006825CD">
        <w:rPr>
          <w:lang w:val="es-ES_tradnl"/>
        </w:rPr>
        <w:tab/>
      </w:r>
      <w:r w:rsidRPr="006825CD">
        <w:rPr>
          <w:i/>
          <w:lang w:val="es-ES_tradnl"/>
        </w:rPr>
        <w:t>Y</w:t>
      </w:r>
      <w:r w:rsidRPr="006825CD">
        <w:rPr>
          <w:lang w:val="es-ES_tradnl"/>
        </w:rPr>
        <w:t xml:space="preserve">1, </w:t>
      </w:r>
      <w:r w:rsidRPr="006825CD">
        <w:rPr>
          <w:i/>
          <w:lang w:val="es-ES_tradnl"/>
        </w:rPr>
        <w:t>Y</w:t>
      </w:r>
      <w:r w:rsidRPr="006825CD">
        <w:rPr>
          <w:lang w:val="es-ES_tradnl"/>
        </w:rPr>
        <w:t>2</w:t>
      </w:r>
      <w:r w:rsidRPr="006825CD">
        <w:rPr>
          <w:sz w:val="8"/>
          <w:lang w:val="es-ES_tradnl"/>
        </w:rPr>
        <w:t> </w:t>
      </w:r>
      <w:r w:rsidRPr="006825CD">
        <w:rPr>
          <w:lang w:val="es-ES_tradnl"/>
        </w:rPr>
        <w:t>:</w:t>
      </w:r>
      <w:r w:rsidRPr="006825CD">
        <w:rPr>
          <w:lang w:val="es-ES_tradnl"/>
        </w:rPr>
        <w:tab/>
        <w:t>alturas de antena normalizadas, que se definen como sigue:</w:t>
      </w:r>
    </w:p>
    <w:p w14:paraId="3AAFA71C" w14:textId="77777777" w:rsidR="00F91558" w:rsidRPr="009C7101" w:rsidRDefault="00F91558" w:rsidP="00F91558">
      <w:pPr>
        <w:pStyle w:val="Blanc"/>
        <w:rPr>
          <w:lang w:val="es-ES_tradnl"/>
        </w:rPr>
      </w:pPr>
    </w:p>
    <w:p w14:paraId="7FAAB044" w14:textId="77777777" w:rsidR="00BB3F73" w:rsidRPr="006825CD" w:rsidRDefault="00BB3F73" w:rsidP="006825CD">
      <w:pPr>
        <w:pStyle w:val="Equation"/>
        <w:rPr>
          <w:lang w:val="es-ES_tradnl"/>
        </w:rPr>
      </w:pPr>
      <w:r w:rsidRPr="006825CD">
        <w:rPr>
          <w:lang w:val="es-ES_tradnl"/>
        </w:rPr>
        <w:tab/>
      </w:r>
      <w:r w:rsidRPr="006825CD">
        <w:rPr>
          <w:lang w:val="es-ES_tradnl"/>
        </w:rPr>
        <w:tab/>
      </w:r>
      <w:r w:rsidRPr="006777E8">
        <w:rPr>
          <w:position w:val="-12"/>
        </w:rPr>
        <w:object w:dxaOrig="2079" w:dyaOrig="440" w14:anchorId="0BEFD726">
          <v:shape id="_x0000_i1039" type="#_x0000_t75" style="width:103.7pt;height:21.5pt" o:ole="">
            <v:imagedata r:id="rId36" o:title=""/>
          </v:shape>
          <o:OLEObject Type="Embed" ProgID="Equation.3" ShapeID="_x0000_i1039" DrawAspect="Content" ObjectID="_1652509574" r:id="rId37"/>
        </w:object>
      </w:r>
      <w:r w:rsidRPr="006825CD">
        <w:rPr>
          <w:lang w:val="es-ES_tradnl"/>
        </w:rPr>
        <w:tab/>
        <w:t>(13)</w:t>
      </w:r>
    </w:p>
    <w:p w14:paraId="52390B66" w14:textId="77777777" w:rsidR="00BB3F73" w:rsidRPr="009C7101" w:rsidRDefault="00BB3F73" w:rsidP="00BB3F73">
      <w:pPr>
        <w:pStyle w:val="Blanc"/>
        <w:rPr>
          <w:lang w:val="es-ES_tradnl"/>
        </w:rPr>
      </w:pPr>
    </w:p>
    <w:p w14:paraId="71773B11" w14:textId="77777777" w:rsidR="00BB3F73" w:rsidRPr="006825CD" w:rsidRDefault="00BB3F73" w:rsidP="006825CD">
      <w:pPr>
        <w:pStyle w:val="Equation"/>
        <w:rPr>
          <w:lang w:val="es-ES_tradnl"/>
        </w:rPr>
      </w:pPr>
      <w:r w:rsidRPr="006825CD">
        <w:rPr>
          <w:lang w:val="es-ES_tradnl"/>
        </w:rPr>
        <w:tab/>
      </w:r>
      <w:r w:rsidRPr="006825CD">
        <w:rPr>
          <w:lang w:val="es-ES_tradnl"/>
        </w:rPr>
        <w:tab/>
      </w:r>
      <w:r w:rsidRPr="00C1013C">
        <w:rPr>
          <w:position w:val="-14"/>
        </w:rPr>
        <w:object w:dxaOrig="2860" w:dyaOrig="460" w14:anchorId="0B1D72A6">
          <v:shape id="_x0000_i1040" type="#_x0000_t75" style="width:143.45pt;height:22.55pt" o:ole="">
            <v:imagedata r:id="rId38" o:title=""/>
          </v:shape>
          <o:OLEObject Type="Embed" ProgID="Equation.3" ShapeID="_x0000_i1040" DrawAspect="Content" ObjectID="_1652509575" r:id="rId39"/>
        </w:object>
      </w:r>
      <w:r w:rsidRPr="006825CD">
        <w:rPr>
          <w:lang w:val="es-ES_tradnl"/>
        </w:rPr>
        <w:tab/>
        <w:t>(14)</w:t>
      </w:r>
    </w:p>
    <w:p w14:paraId="0621F46A" w14:textId="77777777" w:rsidR="00BB3F73" w:rsidRPr="006825CD" w:rsidRDefault="00BB3F73" w:rsidP="00BB3F73">
      <w:pPr>
        <w:pStyle w:val="enumlev2"/>
        <w:rPr>
          <w:lang w:val="es-ES_tradnl"/>
        </w:rPr>
      </w:pPr>
      <w:r w:rsidRPr="006825CD">
        <w:rPr>
          <w:lang w:val="es-ES_tradnl"/>
        </w:rPr>
        <w:t>donde:</w:t>
      </w:r>
    </w:p>
    <w:p w14:paraId="5FAA3616" w14:textId="77777777" w:rsidR="00F91558" w:rsidRPr="009C7101" w:rsidRDefault="00F91558" w:rsidP="00F91558">
      <w:pPr>
        <w:pStyle w:val="Blanc"/>
        <w:rPr>
          <w:lang w:val="es-ES_tradnl"/>
        </w:rPr>
      </w:pPr>
    </w:p>
    <w:p w14:paraId="1FE9D0F2" w14:textId="77777777" w:rsidR="00BB3F73" w:rsidRPr="006825CD" w:rsidRDefault="00BB3F73" w:rsidP="006825CD">
      <w:pPr>
        <w:pStyle w:val="Equation"/>
        <w:rPr>
          <w:lang w:val="es-ES_tradnl"/>
        </w:rPr>
      </w:pPr>
      <w:r w:rsidRPr="006825CD">
        <w:rPr>
          <w:lang w:val="es-ES_tradnl"/>
        </w:rPr>
        <w:tab/>
      </w:r>
      <w:r w:rsidRPr="006825CD">
        <w:rPr>
          <w:lang w:val="es-ES_tradnl"/>
        </w:rPr>
        <w:tab/>
      </w:r>
      <w:r w:rsidRPr="00C1013C">
        <w:rPr>
          <w:position w:val="-32"/>
        </w:rPr>
        <w:object w:dxaOrig="2420" w:dyaOrig="780" w14:anchorId="03C3F35F">
          <v:shape id="_x0000_i1041" type="#_x0000_t75" style="width:120.9pt;height:39.2pt" o:ole="">
            <v:imagedata r:id="rId40" o:title=""/>
          </v:shape>
          <o:OLEObject Type="Embed" ProgID="Equation.3" ShapeID="_x0000_i1041" DrawAspect="Content" ObjectID="_1652509576" r:id="rId41"/>
        </w:object>
      </w:r>
      <w:r w:rsidRPr="006825CD">
        <w:rPr>
          <w:lang w:val="es-ES_tradnl"/>
        </w:rPr>
        <w:tab/>
        <w:t>(15)</w:t>
      </w:r>
    </w:p>
    <w:p w14:paraId="68019D6B" w14:textId="77777777" w:rsidR="00BB3F73" w:rsidRPr="006825CD" w:rsidRDefault="00BB3F73" w:rsidP="00BB3F73">
      <w:pPr>
        <w:pStyle w:val="Equationlegend"/>
        <w:rPr>
          <w:lang w:val="es-ES_tradnl"/>
        </w:rPr>
      </w:pPr>
      <w:r w:rsidRPr="006825CD">
        <w:rPr>
          <w:i/>
          <w:lang w:val="es-ES_tradnl"/>
        </w:rPr>
        <w:tab/>
        <w:t>K</w:t>
      </w:r>
      <w:r w:rsidRPr="006825CD">
        <w:rPr>
          <w:sz w:val="8"/>
          <w:lang w:val="es-ES_tradnl"/>
        </w:rPr>
        <w:t> </w:t>
      </w:r>
      <w:r w:rsidRPr="006825CD">
        <w:rPr>
          <w:lang w:val="es-ES_tradnl"/>
        </w:rPr>
        <w:t>:</w:t>
      </w:r>
      <w:r w:rsidRPr="006825CD">
        <w:rPr>
          <w:lang w:val="es-ES_tradnl"/>
        </w:rPr>
        <w:tab/>
        <w:t>admitancia en la superficie de la Tierra para la polarización vertical:</w:t>
      </w:r>
    </w:p>
    <w:p w14:paraId="2100F2FB" w14:textId="77777777" w:rsidR="00BB3F73" w:rsidRPr="006825CD" w:rsidRDefault="00BB3F73" w:rsidP="006825CD">
      <w:pPr>
        <w:pStyle w:val="Equation"/>
        <w:rPr>
          <w:lang w:val="es-ES_tradnl"/>
        </w:rPr>
      </w:pPr>
      <w:r w:rsidRPr="006825CD">
        <w:rPr>
          <w:lang w:val="es-ES_tradnl"/>
        </w:rPr>
        <w:tab/>
      </w:r>
      <w:r w:rsidRPr="006825CD">
        <w:rPr>
          <w:lang w:val="es-ES_tradnl"/>
        </w:rPr>
        <w:tab/>
      </w:r>
      <w:r w:rsidRPr="006777E8">
        <w:rPr>
          <w:position w:val="-12"/>
          <w:sz w:val="20"/>
        </w:rPr>
        <w:object w:dxaOrig="6900" w:dyaOrig="499" w14:anchorId="0F5C254F">
          <v:shape id="_x0000_i1042" type="#_x0000_t75" style="width:344.95pt;height:24.7pt" o:ole="">
            <v:imagedata r:id="rId42" o:title=""/>
          </v:shape>
          <o:OLEObject Type="Embed" ProgID="Equation.3" ShapeID="_x0000_i1042" DrawAspect="Content" ObjectID="_1652509577" r:id="rId43"/>
        </w:object>
      </w:r>
      <w:r w:rsidRPr="006825CD">
        <w:rPr>
          <w:lang w:val="es-ES_tradnl"/>
        </w:rPr>
        <w:tab/>
        <w:t>(16)</w:t>
      </w:r>
    </w:p>
    <w:p w14:paraId="3C764A3F" w14:textId="77777777" w:rsidR="00BB3F73" w:rsidRPr="000212C9" w:rsidRDefault="00BB3F73" w:rsidP="00BB3F73">
      <w:r w:rsidRPr="000212C9">
        <w:t>donde:</w:t>
      </w:r>
    </w:p>
    <w:p w14:paraId="210B1C2B" w14:textId="77777777" w:rsidR="00BB3F73" w:rsidRPr="006825CD" w:rsidRDefault="00BB3F73" w:rsidP="00BB3F73">
      <w:pPr>
        <w:pStyle w:val="Equationlegend"/>
        <w:rPr>
          <w:lang w:val="es-ES_tradnl"/>
        </w:rPr>
      </w:pPr>
      <w:r w:rsidRPr="006825CD">
        <w:rPr>
          <w:rFonts w:ascii="Symbol" w:hAnsi="Symbol"/>
          <w:lang w:val="es-ES_tradnl"/>
        </w:rPr>
        <w:tab/>
      </w:r>
      <w:r w:rsidRPr="006777E8">
        <w:rPr>
          <w:rFonts w:ascii="Symbol" w:hAnsi="Symbol"/>
        </w:rPr>
        <w:t></w:t>
      </w:r>
      <w:r w:rsidRPr="006825CD">
        <w:rPr>
          <w:sz w:val="8"/>
          <w:lang w:val="es-ES_tradnl"/>
        </w:rPr>
        <w:t> </w:t>
      </w:r>
      <w:r w:rsidRPr="006825CD">
        <w:rPr>
          <w:lang w:val="es-ES_tradnl"/>
        </w:rPr>
        <w:t>:</w:t>
      </w:r>
      <w:r w:rsidRPr="006825CD">
        <w:rPr>
          <w:lang w:val="es-ES_tradnl"/>
        </w:rPr>
        <w:tab/>
        <w:t>permitividad relativa equivalente de la Tierra</w:t>
      </w:r>
    </w:p>
    <w:p w14:paraId="424469D3" w14:textId="77777777" w:rsidR="00BB3F73" w:rsidRPr="006825CD" w:rsidRDefault="00BB3F73" w:rsidP="00BB3F73">
      <w:pPr>
        <w:pStyle w:val="Equationlegend"/>
        <w:rPr>
          <w:lang w:val="es-ES_tradnl"/>
        </w:rPr>
      </w:pPr>
      <w:r w:rsidRPr="006825CD">
        <w:rPr>
          <w:rFonts w:ascii="Symbol" w:hAnsi="Symbol"/>
          <w:lang w:val="es-ES_tradnl"/>
        </w:rPr>
        <w:tab/>
      </w:r>
      <w:r w:rsidRPr="006777E8">
        <w:rPr>
          <w:rFonts w:ascii="Symbol" w:hAnsi="Symbol"/>
        </w:rPr>
        <w:t></w:t>
      </w:r>
      <w:r w:rsidRPr="006825CD">
        <w:rPr>
          <w:sz w:val="8"/>
          <w:lang w:val="es-ES_tradnl"/>
        </w:rPr>
        <w:t> </w:t>
      </w:r>
      <w:r w:rsidRPr="006825CD">
        <w:rPr>
          <w:lang w:val="es-ES_tradnl"/>
        </w:rPr>
        <w:t>:</w:t>
      </w:r>
      <w:r w:rsidRPr="006825CD">
        <w:rPr>
          <w:lang w:val="es-ES_tradnl"/>
        </w:rPr>
        <w:tab/>
        <w:t>conductividad equivalente (S/m) de la Tierra</w:t>
      </w:r>
    </w:p>
    <w:p w14:paraId="559C9313" w14:textId="77777777" w:rsidR="00BB3F73" w:rsidRPr="006825CD" w:rsidRDefault="00BB3F73" w:rsidP="00BB3F73">
      <w:pPr>
        <w:pStyle w:val="Equationlegend"/>
        <w:rPr>
          <w:lang w:val="es-ES_tradnl"/>
        </w:rPr>
      </w:pPr>
      <w:r w:rsidRPr="006825CD">
        <w:rPr>
          <w:i/>
          <w:lang w:val="es-ES_tradnl"/>
        </w:rPr>
        <w:tab/>
        <w:t>a</w:t>
      </w:r>
      <w:r w:rsidRPr="006825CD">
        <w:rPr>
          <w:i/>
          <w:vertAlign w:val="subscript"/>
          <w:lang w:val="es-ES_tradnl"/>
        </w:rPr>
        <w:t>e</w:t>
      </w:r>
      <w:r w:rsidRPr="006825CD">
        <w:rPr>
          <w:sz w:val="8"/>
          <w:lang w:val="es-ES_tradnl"/>
        </w:rPr>
        <w:t> </w:t>
      </w:r>
      <w:r w:rsidRPr="006825CD">
        <w:rPr>
          <w:lang w:val="es-ES_tradnl"/>
        </w:rPr>
        <w:t>:</w:t>
      </w:r>
      <w:r w:rsidRPr="006825CD">
        <w:rPr>
          <w:lang w:val="es-ES_tradnl"/>
        </w:rPr>
        <w:tab/>
        <w:t>radio equivalente de la Tierra igual a 4/3 de 6</w:t>
      </w:r>
      <w:r w:rsidRPr="006825CD">
        <w:rPr>
          <w:sz w:val="12"/>
          <w:lang w:val="es-ES_tradnl"/>
        </w:rPr>
        <w:t> </w:t>
      </w:r>
      <w:r w:rsidRPr="006825CD">
        <w:rPr>
          <w:lang w:val="es-ES_tradnl"/>
        </w:rPr>
        <w:t>371 km</w:t>
      </w:r>
    </w:p>
    <w:p w14:paraId="72C32E6B" w14:textId="77777777" w:rsidR="00BB3F73" w:rsidRPr="006825CD" w:rsidRDefault="00BB3F73" w:rsidP="00BB3F73">
      <w:pPr>
        <w:pStyle w:val="Equationlegend"/>
        <w:rPr>
          <w:lang w:val="es-ES_tradnl"/>
        </w:rPr>
      </w:pPr>
      <w:r w:rsidRPr="006825CD">
        <w:rPr>
          <w:i/>
          <w:lang w:val="es-ES_tradnl"/>
        </w:rPr>
        <w:tab/>
        <w:t>d</w:t>
      </w:r>
      <w:r w:rsidRPr="006825CD">
        <w:rPr>
          <w:sz w:val="8"/>
          <w:lang w:val="es-ES_tradnl"/>
        </w:rPr>
        <w:t> </w:t>
      </w:r>
      <w:r w:rsidRPr="006825CD">
        <w:rPr>
          <w:lang w:val="es-ES_tradnl"/>
        </w:rPr>
        <w:t>:</w:t>
      </w:r>
      <w:r w:rsidRPr="006825CD">
        <w:rPr>
          <w:lang w:val="es-ES_tradnl"/>
        </w:rPr>
        <w:tab/>
        <w:t>distancia (km) entre el transmisor y el receptor</w:t>
      </w:r>
    </w:p>
    <w:p w14:paraId="44D8BC00" w14:textId="77777777" w:rsidR="00BB3F73" w:rsidRPr="006825CD" w:rsidRDefault="00BB3F73" w:rsidP="00BB3F73">
      <w:pPr>
        <w:pStyle w:val="Equationlegend"/>
        <w:rPr>
          <w:lang w:val="es-ES_tradnl"/>
        </w:rPr>
      </w:pPr>
      <w:r w:rsidRPr="006825CD">
        <w:rPr>
          <w:i/>
          <w:lang w:val="es-ES_tradnl"/>
        </w:rPr>
        <w:tab/>
        <w:t>f</w:t>
      </w:r>
      <w:r w:rsidRPr="006825CD">
        <w:rPr>
          <w:sz w:val="8"/>
          <w:lang w:val="es-ES_tradnl"/>
        </w:rPr>
        <w:t> </w:t>
      </w:r>
      <w:r w:rsidRPr="006825CD">
        <w:rPr>
          <w:lang w:val="es-ES_tradnl"/>
        </w:rPr>
        <w:t>:</w:t>
      </w:r>
      <w:r w:rsidRPr="006825CD">
        <w:rPr>
          <w:lang w:val="es-ES_tradnl"/>
        </w:rPr>
        <w:tab/>
        <w:t>frecuencia de transmisión</w:t>
      </w:r>
    </w:p>
    <w:p w14:paraId="49B13307" w14:textId="77777777" w:rsidR="00BB3F73" w:rsidRPr="006825CD" w:rsidRDefault="00BB3F73" w:rsidP="00BB3F73">
      <w:pPr>
        <w:pStyle w:val="Equationlegend"/>
        <w:rPr>
          <w:lang w:val="es-ES_tradnl" w:eastAsia="ko-KR"/>
        </w:rPr>
      </w:pPr>
      <w:r w:rsidRPr="006825CD">
        <w:rPr>
          <w:i/>
          <w:lang w:val="es-ES_tradnl"/>
        </w:rPr>
        <w:tab/>
        <w:t>h</w:t>
      </w:r>
      <w:r w:rsidRPr="006825CD">
        <w:rPr>
          <w:vertAlign w:val="subscript"/>
          <w:lang w:val="es-ES_tradnl"/>
        </w:rPr>
        <w:t>1</w:t>
      </w:r>
      <w:r w:rsidRPr="006825CD">
        <w:rPr>
          <w:lang w:val="es-ES_tradnl"/>
        </w:rPr>
        <w:t xml:space="preserve"> y </w:t>
      </w:r>
      <w:r w:rsidRPr="006825CD">
        <w:rPr>
          <w:i/>
          <w:lang w:val="es-ES_tradnl"/>
        </w:rPr>
        <w:t>h</w:t>
      </w:r>
      <w:r w:rsidRPr="006825CD">
        <w:rPr>
          <w:vertAlign w:val="subscript"/>
          <w:lang w:val="es-ES_tradnl"/>
        </w:rPr>
        <w:t>2</w:t>
      </w:r>
      <w:r w:rsidRPr="006825CD">
        <w:rPr>
          <w:sz w:val="8"/>
          <w:lang w:val="es-ES_tradnl"/>
        </w:rPr>
        <w:t> </w:t>
      </w:r>
      <w:r w:rsidRPr="006825CD">
        <w:rPr>
          <w:lang w:val="es-ES_tradnl"/>
        </w:rPr>
        <w:t>:</w:t>
      </w:r>
      <w:r w:rsidRPr="006825CD">
        <w:rPr>
          <w:lang w:val="es-ES_tradnl"/>
        </w:rPr>
        <w:tab/>
        <w:t>altura (m) de las antenas de transmisión y recepción, respectivamente.</w:t>
      </w:r>
    </w:p>
    <w:p w14:paraId="2DFF6404" w14:textId="77777777" w:rsidR="00F91558" w:rsidRPr="009C7101" w:rsidRDefault="00F91558" w:rsidP="00F91558">
      <w:pPr>
        <w:pStyle w:val="Blanc"/>
        <w:rPr>
          <w:lang w:val="es-ES_tradnl"/>
        </w:rPr>
      </w:pPr>
    </w:p>
    <w:p w14:paraId="39ACCA71" w14:textId="77777777" w:rsidR="00BB3F73" w:rsidRPr="006825CD" w:rsidRDefault="00BB3F73" w:rsidP="006825CD">
      <w:pPr>
        <w:pStyle w:val="Equation"/>
        <w:rPr>
          <w:lang w:val="es-ES_tradnl"/>
        </w:rPr>
      </w:pPr>
      <w:r w:rsidRPr="006825CD">
        <w:rPr>
          <w:lang w:val="es-ES_tradnl"/>
        </w:rPr>
        <w:tab/>
      </w:r>
      <w:r w:rsidRPr="006825CD">
        <w:rPr>
          <w:lang w:val="es-ES_tradnl"/>
        </w:rPr>
        <w:tab/>
      </w:r>
      <w:r w:rsidRPr="006777E8">
        <w:rPr>
          <w:position w:val="-10"/>
        </w:rPr>
        <w:object w:dxaOrig="2900" w:dyaOrig="320" w14:anchorId="5D0FF81A">
          <v:shape id="_x0000_i1043" type="#_x0000_t75" style="width:144.55pt;height:16.1pt" o:ole="">
            <v:imagedata r:id="rId44" o:title=""/>
          </v:shape>
          <o:OLEObject Type="Embed" ProgID="Equation.3" ShapeID="_x0000_i1043" DrawAspect="Content" ObjectID="_1652509578" r:id="rId45"/>
        </w:object>
      </w:r>
      <w:r w:rsidRPr="006825CD">
        <w:rPr>
          <w:lang w:val="es-ES_tradnl"/>
        </w:rPr>
        <w:tab/>
        <w:t>(17)</w:t>
      </w:r>
    </w:p>
    <w:p w14:paraId="34DF147D" w14:textId="77777777" w:rsidR="00BB3F73" w:rsidRPr="009C7101" w:rsidRDefault="00BB3F73" w:rsidP="00BB3F73">
      <w:pPr>
        <w:pStyle w:val="Blanc"/>
        <w:rPr>
          <w:lang w:val="es-ES_tradnl"/>
        </w:rPr>
      </w:pPr>
    </w:p>
    <w:p w14:paraId="6D21C52A" w14:textId="77777777" w:rsidR="00BB3F73" w:rsidRPr="006825CD" w:rsidRDefault="00BB3F73" w:rsidP="006825CD">
      <w:pPr>
        <w:tabs>
          <w:tab w:val="clear" w:pos="794"/>
          <w:tab w:val="left" w:pos="567"/>
          <w:tab w:val="left" w:pos="6096"/>
          <w:tab w:val="left" w:pos="6663"/>
          <w:tab w:val="left" w:pos="7371"/>
          <w:tab w:val="left" w:pos="7797"/>
          <w:tab w:val="right" w:pos="9639"/>
        </w:tabs>
        <w:rPr>
          <w:lang w:val="es-ES_tradnl"/>
        </w:rPr>
      </w:pPr>
      <w:r w:rsidRPr="006825CD">
        <w:rPr>
          <w:lang w:val="es-ES_tradnl"/>
        </w:rPr>
        <w:tab/>
      </w:r>
      <w:r w:rsidRPr="006825CD">
        <w:rPr>
          <w:i/>
          <w:lang w:val="es-ES_tradnl"/>
        </w:rPr>
        <w:t>G(Y)</w:t>
      </w:r>
      <w:r w:rsidRPr="006825CD">
        <w:rPr>
          <w:lang w:val="es-ES_tradnl"/>
        </w:rPr>
        <w:t xml:space="preserve">  </w:t>
      </w:r>
      <w:r w:rsidRPr="006777E8">
        <w:rPr>
          <w:rFonts w:ascii="Symbol" w:hAnsi="Symbol"/>
        </w:rPr>
        <w:t></w:t>
      </w:r>
      <w:r w:rsidRPr="006825CD">
        <w:rPr>
          <w:lang w:val="es-ES_tradnl"/>
        </w:rPr>
        <w:t xml:space="preserve">  17,6 (</w:t>
      </w:r>
      <w:r w:rsidRPr="006825CD">
        <w:rPr>
          <w:i/>
          <w:lang w:val="es-ES_tradnl"/>
        </w:rPr>
        <w:t>Y</w:t>
      </w:r>
      <w:r w:rsidRPr="006825CD">
        <w:rPr>
          <w:lang w:val="es-ES_tradnl"/>
        </w:rPr>
        <w:t xml:space="preserve">  –  1,1)</w:t>
      </w:r>
      <w:r w:rsidRPr="006825CD">
        <w:rPr>
          <w:vertAlign w:val="superscript"/>
          <w:lang w:val="es-ES_tradnl"/>
        </w:rPr>
        <w:t>1/2</w:t>
      </w:r>
      <w:r w:rsidRPr="006825CD">
        <w:rPr>
          <w:lang w:val="es-ES_tradnl"/>
        </w:rPr>
        <w:t xml:space="preserve">  –  5 log  (</w:t>
      </w:r>
      <w:r w:rsidRPr="006825CD">
        <w:rPr>
          <w:i/>
          <w:lang w:val="es-ES_tradnl"/>
        </w:rPr>
        <w:t>Y</w:t>
      </w:r>
      <w:r w:rsidRPr="006825CD">
        <w:rPr>
          <w:lang w:val="es-ES_tradnl"/>
        </w:rPr>
        <w:t xml:space="preserve">  –  1,1)  –  8</w:t>
      </w:r>
      <w:r w:rsidRPr="006825CD">
        <w:rPr>
          <w:lang w:val="es-ES_tradnl"/>
        </w:rPr>
        <w:tab/>
        <w:t>para</w:t>
      </w:r>
      <w:r w:rsidRPr="006825CD">
        <w:rPr>
          <w:lang w:val="es-ES_tradnl"/>
        </w:rPr>
        <w:tab/>
        <w:t xml:space="preserve">              </w:t>
      </w:r>
      <w:r w:rsidRPr="006825CD">
        <w:rPr>
          <w:i/>
          <w:lang w:val="es-ES_tradnl"/>
        </w:rPr>
        <w:t>Y</w:t>
      </w:r>
      <w:r w:rsidRPr="006825CD">
        <w:rPr>
          <w:lang w:val="es-ES_tradnl"/>
        </w:rPr>
        <w:t xml:space="preserve">  &gt;  2</w:t>
      </w:r>
      <w:r w:rsidRPr="006825CD">
        <w:rPr>
          <w:lang w:val="es-ES_tradnl"/>
        </w:rPr>
        <w:tab/>
        <w:t>(18)</w:t>
      </w:r>
    </w:p>
    <w:p w14:paraId="4395E095" w14:textId="77777777" w:rsidR="00BB3F73" w:rsidRPr="009C7101" w:rsidRDefault="00BB3F73" w:rsidP="006825CD">
      <w:pPr>
        <w:pStyle w:val="Blanc"/>
        <w:tabs>
          <w:tab w:val="right" w:pos="9639"/>
        </w:tabs>
        <w:rPr>
          <w:lang w:val="es-ES_tradnl"/>
        </w:rPr>
      </w:pPr>
    </w:p>
    <w:p w14:paraId="67D58593" w14:textId="77777777" w:rsidR="00BB3F73" w:rsidRPr="006825CD" w:rsidRDefault="00BB3F73" w:rsidP="006825CD">
      <w:pPr>
        <w:tabs>
          <w:tab w:val="clear" w:pos="794"/>
          <w:tab w:val="left" w:pos="567"/>
          <w:tab w:val="left" w:pos="6096"/>
          <w:tab w:val="left" w:pos="6663"/>
          <w:tab w:val="left" w:pos="7371"/>
          <w:tab w:val="left" w:pos="7797"/>
          <w:tab w:val="right" w:pos="9639"/>
        </w:tabs>
        <w:rPr>
          <w:lang w:val="es-ES_tradnl"/>
        </w:rPr>
      </w:pPr>
      <w:r w:rsidRPr="006825CD">
        <w:rPr>
          <w:lang w:val="es-ES_tradnl"/>
        </w:rPr>
        <w:tab/>
      </w:r>
      <w:r w:rsidRPr="006825CD">
        <w:rPr>
          <w:i/>
          <w:lang w:val="es-ES_tradnl"/>
        </w:rPr>
        <w:t>G</w:t>
      </w:r>
      <w:r w:rsidRPr="006825CD">
        <w:rPr>
          <w:lang w:val="es-ES_tradnl"/>
        </w:rPr>
        <w:t>(</w:t>
      </w:r>
      <w:r w:rsidRPr="006825CD">
        <w:rPr>
          <w:i/>
          <w:lang w:val="es-ES_tradnl"/>
        </w:rPr>
        <w:t>Y</w:t>
      </w:r>
      <w:r w:rsidRPr="006825CD">
        <w:rPr>
          <w:lang w:val="es-ES_tradnl"/>
        </w:rPr>
        <w:t xml:space="preserve">)  </w:t>
      </w:r>
      <w:r w:rsidRPr="006777E8">
        <w:rPr>
          <w:rFonts w:ascii="Symbol" w:hAnsi="Symbol"/>
        </w:rPr>
        <w:t></w:t>
      </w:r>
      <w:r w:rsidRPr="006825CD">
        <w:rPr>
          <w:lang w:val="es-ES_tradnl"/>
        </w:rPr>
        <w:t xml:space="preserve">  20 log(</w:t>
      </w:r>
      <w:r w:rsidRPr="006825CD">
        <w:rPr>
          <w:i/>
          <w:lang w:val="es-ES_tradnl"/>
        </w:rPr>
        <w:t>Y</w:t>
      </w:r>
      <w:r w:rsidRPr="006825CD">
        <w:rPr>
          <w:lang w:val="es-ES_tradnl"/>
        </w:rPr>
        <w:t xml:space="preserve">  +  0,1</w:t>
      </w:r>
      <w:r w:rsidRPr="006825CD">
        <w:rPr>
          <w:i/>
          <w:lang w:val="es-ES_tradnl"/>
        </w:rPr>
        <w:t xml:space="preserve">Y </w:t>
      </w:r>
      <w:r w:rsidRPr="006825CD">
        <w:rPr>
          <w:vertAlign w:val="superscript"/>
          <w:lang w:val="es-ES_tradnl"/>
        </w:rPr>
        <w:t>3</w:t>
      </w:r>
      <w:r w:rsidRPr="006825CD">
        <w:rPr>
          <w:lang w:val="es-ES_tradnl"/>
        </w:rPr>
        <w:t>)</w:t>
      </w:r>
      <w:r w:rsidRPr="006825CD">
        <w:rPr>
          <w:lang w:val="es-ES_tradnl"/>
        </w:rPr>
        <w:tab/>
        <w:t>para</w:t>
      </w:r>
      <w:r w:rsidRPr="006825CD">
        <w:rPr>
          <w:lang w:val="es-ES_tradnl"/>
        </w:rPr>
        <w:tab/>
        <w:t xml:space="preserve">10 </w:t>
      </w:r>
      <w:r w:rsidRPr="006825CD">
        <w:rPr>
          <w:i/>
          <w:lang w:val="es-ES_tradnl"/>
        </w:rPr>
        <w:t>K</w:t>
      </w:r>
      <w:r w:rsidRPr="006825CD">
        <w:rPr>
          <w:lang w:val="es-ES_tradnl"/>
        </w:rPr>
        <w:t xml:space="preserve">  &lt;  </w:t>
      </w:r>
      <w:r w:rsidRPr="006825CD">
        <w:rPr>
          <w:i/>
          <w:lang w:val="es-ES_tradnl"/>
        </w:rPr>
        <w:t>Y</w:t>
      </w:r>
      <w:r w:rsidRPr="006825CD">
        <w:rPr>
          <w:lang w:val="es-ES_tradnl"/>
        </w:rPr>
        <w:t xml:space="preserve">  &lt;  2</w:t>
      </w:r>
      <w:r w:rsidRPr="006825CD">
        <w:rPr>
          <w:lang w:val="es-ES_tradnl"/>
        </w:rPr>
        <w:tab/>
        <w:t>(19)</w:t>
      </w:r>
    </w:p>
    <w:p w14:paraId="05724341" w14:textId="77777777" w:rsidR="00BB3F73" w:rsidRPr="009C7101" w:rsidRDefault="00BB3F73" w:rsidP="006825CD">
      <w:pPr>
        <w:pStyle w:val="Blanc"/>
        <w:tabs>
          <w:tab w:val="right" w:pos="9639"/>
        </w:tabs>
        <w:rPr>
          <w:lang w:val="es-ES_tradnl"/>
        </w:rPr>
      </w:pPr>
    </w:p>
    <w:p w14:paraId="0B8AC8D8" w14:textId="77777777" w:rsidR="00BB3F73" w:rsidRPr="006825CD" w:rsidRDefault="00BB3F73" w:rsidP="006825CD">
      <w:pPr>
        <w:tabs>
          <w:tab w:val="clear" w:pos="794"/>
          <w:tab w:val="left" w:pos="567"/>
          <w:tab w:val="left" w:pos="6096"/>
          <w:tab w:val="left" w:pos="6663"/>
          <w:tab w:val="left" w:pos="7371"/>
          <w:tab w:val="left" w:pos="7797"/>
          <w:tab w:val="right" w:pos="9639"/>
        </w:tabs>
        <w:rPr>
          <w:lang w:val="es-ES_tradnl"/>
        </w:rPr>
      </w:pPr>
      <w:r w:rsidRPr="006825CD">
        <w:rPr>
          <w:lang w:val="es-ES_tradnl"/>
        </w:rPr>
        <w:tab/>
      </w:r>
      <w:r w:rsidRPr="006825CD">
        <w:rPr>
          <w:i/>
          <w:lang w:val="es-ES_tradnl"/>
        </w:rPr>
        <w:t>G</w:t>
      </w:r>
      <w:r w:rsidRPr="006825CD">
        <w:rPr>
          <w:lang w:val="es-ES_tradnl"/>
        </w:rPr>
        <w:t>(</w:t>
      </w:r>
      <w:r w:rsidRPr="006825CD">
        <w:rPr>
          <w:i/>
          <w:lang w:val="es-ES_tradnl"/>
        </w:rPr>
        <w:t>Y</w:t>
      </w:r>
      <w:r w:rsidRPr="006825CD">
        <w:rPr>
          <w:lang w:val="es-ES_tradnl"/>
        </w:rPr>
        <w:t xml:space="preserve">)  </w:t>
      </w:r>
      <w:r w:rsidRPr="006777E8">
        <w:rPr>
          <w:rFonts w:ascii="Symbol" w:hAnsi="Symbol"/>
        </w:rPr>
        <w:t></w:t>
      </w:r>
      <w:r w:rsidRPr="006825CD">
        <w:rPr>
          <w:lang w:val="es-ES_tradnl"/>
        </w:rPr>
        <w:t xml:space="preserve">  2  +  20 log </w:t>
      </w:r>
      <w:r w:rsidRPr="006825CD">
        <w:rPr>
          <w:i/>
          <w:lang w:val="es-ES_tradnl"/>
        </w:rPr>
        <w:t>K</w:t>
      </w:r>
      <w:r w:rsidRPr="006825CD">
        <w:rPr>
          <w:lang w:val="es-ES_tradnl"/>
        </w:rPr>
        <w:t xml:space="preserve">  +  9 log(</w:t>
      </w:r>
      <w:r w:rsidRPr="006825CD">
        <w:rPr>
          <w:i/>
          <w:lang w:val="es-ES_tradnl"/>
        </w:rPr>
        <w:t>Y</w:t>
      </w:r>
      <w:r w:rsidRPr="006825CD">
        <w:rPr>
          <w:lang w:val="es-ES_tradnl"/>
        </w:rPr>
        <w:t>/</w:t>
      </w:r>
      <w:r w:rsidRPr="006825CD">
        <w:rPr>
          <w:i/>
          <w:lang w:val="es-ES_tradnl"/>
        </w:rPr>
        <w:t>K</w:t>
      </w:r>
      <w:r w:rsidRPr="006825CD">
        <w:rPr>
          <w:lang w:val="es-ES_tradnl"/>
        </w:rPr>
        <w:t>)[log(</w:t>
      </w:r>
      <w:r w:rsidRPr="006825CD">
        <w:rPr>
          <w:i/>
          <w:lang w:val="es-ES_tradnl"/>
        </w:rPr>
        <w:t>Y</w:t>
      </w:r>
      <w:r w:rsidRPr="006825CD">
        <w:rPr>
          <w:lang w:val="es-ES_tradnl"/>
        </w:rPr>
        <w:t>/</w:t>
      </w:r>
      <w:r w:rsidRPr="006825CD">
        <w:rPr>
          <w:i/>
          <w:lang w:val="es-ES_tradnl"/>
        </w:rPr>
        <w:t>K</w:t>
      </w:r>
      <w:r w:rsidRPr="006825CD">
        <w:rPr>
          <w:lang w:val="es-ES_tradnl"/>
        </w:rPr>
        <w:t>) + 1]</w:t>
      </w:r>
      <w:r w:rsidRPr="006825CD">
        <w:rPr>
          <w:lang w:val="es-ES_tradnl"/>
        </w:rPr>
        <w:tab/>
        <w:t xml:space="preserve">para </w:t>
      </w:r>
      <w:r w:rsidRPr="006825CD">
        <w:rPr>
          <w:lang w:val="es-ES_tradnl"/>
        </w:rPr>
        <w:tab/>
      </w:r>
      <w:r w:rsidRPr="006825CD">
        <w:rPr>
          <w:i/>
          <w:lang w:val="es-ES_tradnl"/>
        </w:rPr>
        <w:t>K</w:t>
      </w:r>
      <w:r w:rsidRPr="006825CD">
        <w:rPr>
          <w:lang w:val="es-ES_tradnl"/>
        </w:rPr>
        <w:t xml:space="preserve">/10  &lt;  </w:t>
      </w:r>
      <w:r w:rsidRPr="006825CD">
        <w:rPr>
          <w:i/>
          <w:lang w:val="es-ES_tradnl"/>
        </w:rPr>
        <w:t xml:space="preserve">Y </w:t>
      </w:r>
      <w:r w:rsidRPr="006825CD">
        <w:rPr>
          <w:lang w:val="es-ES_tradnl"/>
        </w:rPr>
        <w:t xml:space="preserve"> &lt;  10 </w:t>
      </w:r>
      <w:r w:rsidRPr="006825CD">
        <w:rPr>
          <w:i/>
          <w:lang w:val="es-ES_tradnl"/>
        </w:rPr>
        <w:t>K</w:t>
      </w:r>
      <w:r w:rsidRPr="006825CD">
        <w:rPr>
          <w:lang w:val="es-ES_tradnl"/>
        </w:rPr>
        <w:tab/>
        <w:t>(20)</w:t>
      </w:r>
    </w:p>
    <w:p w14:paraId="6647AABB" w14:textId="77777777" w:rsidR="00BB3F73" w:rsidRPr="009C7101" w:rsidRDefault="00BB3F73" w:rsidP="006825CD">
      <w:pPr>
        <w:pStyle w:val="Blanc"/>
        <w:tabs>
          <w:tab w:val="right" w:pos="9639"/>
        </w:tabs>
        <w:rPr>
          <w:lang w:val="es-ES_tradnl"/>
        </w:rPr>
      </w:pPr>
    </w:p>
    <w:p w14:paraId="666DC4D6" w14:textId="77777777" w:rsidR="00BB3F73" w:rsidRPr="006825CD" w:rsidRDefault="00BB3F73" w:rsidP="006825CD">
      <w:pPr>
        <w:tabs>
          <w:tab w:val="clear" w:pos="794"/>
          <w:tab w:val="left" w:pos="567"/>
          <w:tab w:val="left" w:pos="6096"/>
          <w:tab w:val="left" w:pos="6663"/>
          <w:tab w:val="left" w:pos="7371"/>
          <w:tab w:val="left" w:pos="7797"/>
          <w:tab w:val="right" w:pos="9639"/>
        </w:tabs>
        <w:rPr>
          <w:lang w:val="es-ES_tradnl"/>
        </w:rPr>
      </w:pPr>
      <w:r w:rsidRPr="006825CD">
        <w:rPr>
          <w:lang w:val="es-ES_tradnl"/>
        </w:rPr>
        <w:tab/>
      </w:r>
      <w:r w:rsidRPr="006825CD">
        <w:rPr>
          <w:i/>
          <w:lang w:val="es-ES_tradnl"/>
        </w:rPr>
        <w:t>G</w:t>
      </w:r>
      <w:r w:rsidRPr="006825CD">
        <w:rPr>
          <w:lang w:val="es-ES_tradnl"/>
        </w:rPr>
        <w:t>(</w:t>
      </w:r>
      <w:r w:rsidRPr="006825CD">
        <w:rPr>
          <w:i/>
          <w:lang w:val="es-ES_tradnl"/>
        </w:rPr>
        <w:t>Y</w:t>
      </w:r>
      <w:r w:rsidRPr="006825CD">
        <w:rPr>
          <w:lang w:val="es-ES_tradnl"/>
        </w:rPr>
        <w:t xml:space="preserve">)  </w:t>
      </w:r>
      <w:r w:rsidRPr="006777E8">
        <w:rPr>
          <w:rFonts w:ascii="Symbol" w:hAnsi="Symbol"/>
        </w:rPr>
        <w:t></w:t>
      </w:r>
      <w:r w:rsidRPr="006825CD">
        <w:rPr>
          <w:lang w:val="es-ES_tradnl"/>
        </w:rPr>
        <w:t xml:space="preserve">  2  + 20 log </w:t>
      </w:r>
      <w:r w:rsidRPr="006825CD">
        <w:rPr>
          <w:i/>
          <w:lang w:val="es-ES_tradnl"/>
        </w:rPr>
        <w:t>K</w:t>
      </w:r>
      <w:r w:rsidRPr="006825CD">
        <w:rPr>
          <w:lang w:val="es-ES_tradnl"/>
        </w:rPr>
        <w:tab/>
        <w:t xml:space="preserve">para  </w:t>
      </w:r>
      <w:r w:rsidRPr="006825CD">
        <w:rPr>
          <w:lang w:val="es-ES_tradnl"/>
        </w:rPr>
        <w:tab/>
        <w:t xml:space="preserve">      </w:t>
      </w:r>
      <w:r w:rsidRPr="006825CD">
        <w:rPr>
          <w:i/>
          <w:lang w:val="es-ES_tradnl"/>
        </w:rPr>
        <w:t>Y</w:t>
      </w:r>
      <w:r w:rsidRPr="006825CD">
        <w:rPr>
          <w:lang w:val="es-ES_tradnl"/>
        </w:rPr>
        <w:t xml:space="preserve">  &lt; </w:t>
      </w:r>
      <w:r w:rsidRPr="006825CD">
        <w:rPr>
          <w:i/>
          <w:lang w:val="es-ES_tradnl"/>
        </w:rPr>
        <w:t>K</w:t>
      </w:r>
      <w:r w:rsidRPr="006825CD">
        <w:rPr>
          <w:lang w:val="es-ES_tradnl"/>
        </w:rPr>
        <w:t xml:space="preserve">  &lt;  10</w:t>
      </w:r>
      <w:r w:rsidRPr="006825CD">
        <w:rPr>
          <w:lang w:val="es-ES_tradnl"/>
        </w:rPr>
        <w:tab/>
        <w:t>(21)</w:t>
      </w:r>
    </w:p>
    <w:p w14:paraId="1C253E14" w14:textId="77777777" w:rsidR="00F91558" w:rsidRPr="009C7101" w:rsidRDefault="00F91558" w:rsidP="00F91558">
      <w:pPr>
        <w:pStyle w:val="Blanc"/>
        <w:rPr>
          <w:lang w:val="es-ES_tradnl"/>
        </w:rPr>
      </w:pPr>
    </w:p>
    <w:p w14:paraId="5BCB542A" w14:textId="77777777" w:rsidR="00BB3F73" w:rsidRPr="00F91558" w:rsidRDefault="00BB3F73" w:rsidP="00BB3F73">
      <w:pPr>
        <w:rPr>
          <w:lang w:val="es-ES_tradnl"/>
        </w:rPr>
      </w:pPr>
      <w:r w:rsidRPr="00F91558">
        <w:rPr>
          <w:lang w:val="es-ES_tradnl"/>
        </w:rPr>
        <w:t xml:space="preserve">siendo </w:t>
      </w:r>
      <w:r w:rsidRPr="00F91558">
        <w:rPr>
          <w:i/>
          <w:lang w:val="es-ES_tradnl"/>
        </w:rPr>
        <w:t xml:space="preserve">K </w:t>
      </w:r>
      <w:r w:rsidRPr="00F91558">
        <w:rPr>
          <w:lang w:val="es-ES_tradnl"/>
        </w:rPr>
        <w:t>la admitancia superficial normalizada.</w:t>
      </w:r>
    </w:p>
    <w:p w14:paraId="2268B35D" w14:textId="77777777" w:rsidR="00BB3F73" w:rsidRPr="006825CD" w:rsidRDefault="00BB3F73" w:rsidP="00BB3F73">
      <w:pPr>
        <w:pStyle w:val="Heading2"/>
        <w:rPr>
          <w:lang w:val="es-ES_tradnl"/>
        </w:rPr>
      </w:pPr>
      <w:r w:rsidRPr="006825CD">
        <w:rPr>
          <w:lang w:val="es-ES_tradnl"/>
        </w:rPr>
        <w:t>3.2</w:t>
      </w:r>
      <w:r w:rsidRPr="006825CD">
        <w:rPr>
          <w:lang w:val="es-ES_tradnl"/>
        </w:rPr>
        <w:tab/>
        <w:t>Resultados numéricos</w:t>
      </w:r>
    </w:p>
    <w:p w14:paraId="25B5C40A" w14:textId="77777777" w:rsidR="00BB3F73" w:rsidRPr="006825CD" w:rsidRDefault="00BB3F73" w:rsidP="00BB3F73">
      <w:pPr>
        <w:pStyle w:val="Heading3"/>
        <w:rPr>
          <w:lang w:val="es-ES_tradnl"/>
        </w:rPr>
      </w:pPr>
      <w:r w:rsidRPr="006825CD">
        <w:rPr>
          <w:lang w:val="es-ES_tradnl"/>
        </w:rPr>
        <w:t>3.2.1</w:t>
      </w:r>
      <w:r w:rsidRPr="006825CD">
        <w:rPr>
          <w:lang w:val="es-ES_tradnl"/>
        </w:rPr>
        <w:tab/>
        <w:t>Aspectos espectrales</w:t>
      </w:r>
    </w:p>
    <w:p w14:paraId="492E7186" w14:textId="77777777" w:rsidR="00BB3F73" w:rsidRPr="000212C9" w:rsidRDefault="00BB3F73" w:rsidP="00BB3F73">
      <w:r w:rsidRPr="000212C9">
        <w:t xml:space="preserve">La ecuación (7) se utilizó para calcular el factor de rechazo fuera de canal </w:t>
      </w:r>
      <w:r w:rsidRPr="000212C9">
        <w:rPr>
          <w:i/>
          <w:color w:val="000000"/>
        </w:rPr>
        <w:t>OCR</w:t>
      </w:r>
      <w:r w:rsidRPr="000212C9">
        <w:rPr>
          <w:color w:val="000000"/>
        </w:rPr>
        <w:t>(</w:t>
      </w:r>
      <w:r>
        <w:rPr>
          <w:rFonts w:ascii="Symbol" w:hAnsi="Symbol"/>
          <w:color w:val="000000"/>
          <w:lang w:val="en-US"/>
        </w:rPr>
        <w:t></w:t>
      </w:r>
      <w:r w:rsidRPr="000212C9">
        <w:rPr>
          <w:i/>
          <w:color w:val="000000"/>
        </w:rPr>
        <w:t>f</w:t>
      </w:r>
      <w:r w:rsidRPr="000212C9">
        <w:rPr>
          <w:sz w:val="8"/>
        </w:rPr>
        <w:t> </w:t>
      </w:r>
      <w:r w:rsidRPr="000212C9">
        <w:rPr>
          <w:color w:val="000000"/>
        </w:rPr>
        <w:t>)</w:t>
      </w:r>
      <w:r w:rsidRPr="000212C9">
        <w:t xml:space="preserve"> en función de </w:t>
      </w:r>
      <w:r>
        <w:sym w:font="Symbol" w:char="F044"/>
      </w:r>
      <w:r w:rsidRPr="000212C9">
        <w:rPr>
          <w:i/>
        </w:rPr>
        <w:t>f</w:t>
      </w:r>
      <w:r w:rsidRPr="000212C9">
        <w:t>. En nuestro ejemplo, estudiamos dos casos:</w:t>
      </w:r>
    </w:p>
    <w:p w14:paraId="15C5FCDF" w14:textId="77777777" w:rsidR="00BB3F73" w:rsidRPr="006825CD" w:rsidRDefault="00BB3F73" w:rsidP="00BB3F73">
      <w:pPr>
        <w:pStyle w:val="enumlev1"/>
        <w:rPr>
          <w:lang w:val="es-ES_tradnl"/>
        </w:rPr>
      </w:pPr>
      <w:r w:rsidRPr="006825CD">
        <w:rPr>
          <w:i/>
          <w:lang w:val="es-ES_tradnl"/>
        </w:rPr>
        <w:t>Caso 1</w:t>
      </w:r>
      <w:r w:rsidRPr="006825CD">
        <w:rPr>
          <w:lang w:val="es-ES_tradnl"/>
        </w:rPr>
        <w:t>:</w:t>
      </w:r>
      <w:r w:rsidRPr="006825CD">
        <w:rPr>
          <w:lang w:val="es-ES_tradnl"/>
        </w:rPr>
        <w:tab/>
        <w:t> Sistema a 25 kHz que ocasiona interferencia a un sistema a 12,5 kHz.</w:t>
      </w:r>
    </w:p>
    <w:p w14:paraId="6782ACA9" w14:textId="77777777" w:rsidR="00BB3F73" w:rsidRPr="006825CD" w:rsidRDefault="00BB3F73" w:rsidP="00BB3F73">
      <w:pPr>
        <w:pStyle w:val="enumlev1"/>
        <w:rPr>
          <w:lang w:val="es-ES_tradnl"/>
        </w:rPr>
      </w:pPr>
      <w:r w:rsidRPr="006825CD">
        <w:rPr>
          <w:i/>
          <w:lang w:val="es-ES_tradnl"/>
        </w:rPr>
        <w:t>Caso 2</w:t>
      </w:r>
      <w:r w:rsidRPr="006825CD">
        <w:rPr>
          <w:lang w:val="es-ES_tradnl"/>
        </w:rPr>
        <w:t>:</w:t>
      </w:r>
      <w:r w:rsidRPr="006825CD">
        <w:rPr>
          <w:lang w:val="es-ES_tradnl"/>
        </w:rPr>
        <w:tab/>
        <w:t> Sistema a 12,5 kHz que ocasiona interferencia a un sistema a 25 kHz.</w:t>
      </w:r>
    </w:p>
    <w:p w14:paraId="1B26AB56" w14:textId="77777777" w:rsidR="00BB3F73" w:rsidRPr="000212C9" w:rsidRDefault="00BB3F73" w:rsidP="006825CD">
      <w:r w:rsidRPr="000212C9">
        <w:t xml:space="preserve">En el Cuadro 2, en el cual se expresa </w:t>
      </w:r>
      <w:r w:rsidRPr="000212C9">
        <w:rPr>
          <w:i/>
          <w:color w:val="000000"/>
        </w:rPr>
        <w:t>OCR</w:t>
      </w:r>
      <w:r w:rsidRPr="000212C9">
        <w:rPr>
          <w:color w:val="000000"/>
        </w:rPr>
        <w:t>(</w:t>
      </w:r>
      <w:r>
        <w:rPr>
          <w:rFonts w:ascii="Symbol" w:hAnsi="Symbol"/>
          <w:color w:val="000000"/>
          <w:lang w:val="en-US"/>
        </w:rPr>
        <w:t></w:t>
      </w:r>
      <w:r w:rsidRPr="000212C9">
        <w:rPr>
          <w:i/>
          <w:color w:val="000000"/>
        </w:rPr>
        <w:t>f</w:t>
      </w:r>
      <w:r w:rsidRPr="000212C9">
        <w:rPr>
          <w:sz w:val="8"/>
        </w:rPr>
        <w:t> </w:t>
      </w:r>
      <w:r w:rsidRPr="000212C9">
        <w:rPr>
          <w:color w:val="000000"/>
        </w:rPr>
        <w:t>)</w:t>
      </w:r>
      <w:r w:rsidRPr="000212C9">
        <w:t xml:space="preserve">, se indican las hipótesis numéricas para ambos casos en función de la separación de frecuencia, </w:t>
      </w:r>
      <w:r>
        <w:rPr>
          <w:rFonts w:ascii="Symbol" w:hAnsi="Symbol"/>
        </w:rPr>
        <w:t></w:t>
      </w:r>
      <w:r w:rsidRPr="000212C9">
        <w:rPr>
          <w:i/>
        </w:rPr>
        <w:t>f</w:t>
      </w:r>
      <w:r w:rsidRPr="000212C9">
        <w:t xml:space="preserve"> (kHz).</w:t>
      </w:r>
    </w:p>
    <w:p w14:paraId="3587B0D9" w14:textId="77777777" w:rsidR="00BB3F73" w:rsidRPr="006825CD" w:rsidRDefault="00BB3F73" w:rsidP="00BB3F73">
      <w:pPr>
        <w:pStyle w:val="TableNo"/>
        <w:rPr>
          <w:lang w:val="es-ES_tradnl"/>
        </w:rPr>
      </w:pPr>
      <w:r w:rsidRPr="006825CD">
        <w:rPr>
          <w:lang w:val="es-ES_tradnl"/>
        </w:rPr>
        <w:t>CUADRO 2</w:t>
      </w:r>
    </w:p>
    <w:p w14:paraId="31984DEC" w14:textId="77777777" w:rsidR="00BB3F73" w:rsidRPr="006825CD" w:rsidRDefault="00BB3F73" w:rsidP="006825CD">
      <w:pPr>
        <w:pStyle w:val="Tabletitle"/>
        <w:rPr>
          <w:lang w:val="es-ES_tradnl"/>
        </w:rPr>
      </w:pPr>
      <w:r w:rsidRPr="006825CD">
        <w:rPr>
          <w:lang w:val="es-ES_tradnl"/>
        </w:rPr>
        <w:t>Resultados de OCR (dB) con interferencia entre dos sistemas distintos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985"/>
        <w:gridCol w:w="2552"/>
        <w:gridCol w:w="2552"/>
      </w:tblGrid>
      <w:tr w:rsidR="00BB3F73" w:rsidRPr="006777E8" w14:paraId="6E8B5394" w14:textId="77777777" w:rsidTr="00BB3F73">
        <w:tblPrEx>
          <w:tblCellMar>
            <w:top w:w="0" w:type="dxa"/>
            <w:bottom w:w="0" w:type="dxa"/>
          </w:tblCellMar>
        </w:tblPrEx>
        <w:trPr>
          <w:jc w:val="center"/>
        </w:trPr>
        <w:tc>
          <w:tcPr>
            <w:tcW w:w="1985" w:type="dxa"/>
            <w:tcBorders>
              <w:top w:val="single" w:sz="6" w:space="0" w:color="auto"/>
              <w:left w:val="single" w:sz="6" w:space="0" w:color="auto"/>
              <w:bottom w:val="single" w:sz="6" w:space="0" w:color="auto"/>
              <w:right w:val="single" w:sz="6" w:space="0" w:color="auto"/>
            </w:tcBorders>
          </w:tcPr>
          <w:p w14:paraId="3AF22F73" w14:textId="77777777" w:rsidR="00BB3F73" w:rsidRPr="006777E8" w:rsidRDefault="00BB3F73" w:rsidP="00BB3F73">
            <w:pPr>
              <w:pStyle w:val="Tablehead"/>
            </w:pPr>
            <w:r w:rsidRPr="006777E8">
              <w:rPr>
                <w:rFonts w:ascii="Symbol" w:hAnsi="Symbol"/>
              </w:rPr>
              <w:t></w:t>
            </w:r>
            <w:r w:rsidRPr="006777E8">
              <w:rPr>
                <w:i/>
              </w:rPr>
              <w:t>f</w:t>
            </w:r>
            <w:r w:rsidRPr="006777E8">
              <w:t xml:space="preserve"> </w:t>
            </w:r>
            <w:r w:rsidRPr="006777E8">
              <w:br/>
              <w:t>(kHz)</w:t>
            </w:r>
          </w:p>
        </w:tc>
        <w:tc>
          <w:tcPr>
            <w:tcW w:w="2552" w:type="dxa"/>
            <w:tcBorders>
              <w:top w:val="single" w:sz="6" w:space="0" w:color="auto"/>
              <w:left w:val="single" w:sz="6" w:space="0" w:color="auto"/>
              <w:bottom w:val="single" w:sz="6" w:space="0" w:color="auto"/>
              <w:right w:val="single" w:sz="6" w:space="0" w:color="auto"/>
            </w:tcBorders>
          </w:tcPr>
          <w:p w14:paraId="78132B03" w14:textId="77777777" w:rsidR="00BB3F73" w:rsidRPr="006777E8" w:rsidRDefault="00BB3F73" w:rsidP="00BB3F73">
            <w:pPr>
              <w:pStyle w:val="Tablehead"/>
            </w:pPr>
            <w:r w:rsidRPr="006777E8">
              <w:t>Cas</w:t>
            </w:r>
            <w:r>
              <w:t>o</w:t>
            </w:r>
            <w:r w:rsidRPr="006777E8">
              <w:t xml:space="preserve"> 1: </w:t>
            </w:r>
            <w:r w:rsidRPr="006777E8">
              <w:rPr>
                <w:i/>
                <w:color w:val="000000"/>
              </w:rPr>
              <w:t>OCR</w:t>
            </w:r>
            <w:r w:rsidRPr="006777E8">
              <w:rPr>
                <w:color w:val="000000"/>
              </w:rPr>
              <w:t>(</w:t>
            </w:r>
            <w:r w:rsidRPr="006777E8">
              <w:rPr>
                <w:rFonts w:ascii="Symbol" w:hAnsi="Symbol"/>
                <w:color w:val="000000"/>
              </w:rPr>
              <w:t></w:t>
            </w:r>
            <w:r w:rsidRPr="006777E8">
              <w:rPr>
                <w:i/>
                <w:color w:val="000000"/>
              </w:rPr>
              <w:t>f</w:t>
            </w:r>
            <w:r w:rsidRPr="006777E8">
              <w:t> </w:t>
            </w:r>
            <w:r w:rsidRPr="006777E8">
              <w:rPr>
                <w:color w:val="000000"/>
              </w:rPr>
              <w:t>)</w:t>
            </w:r>
            <w:r w:rsidRPr="006777E8">
              <w:rPr>
                <w:color w:val="000000"/>
              </w:rPr>
              <w:br/>
              <w:t>(dB)</w:t>
            </w:r>
          </w:p>
        </w:tc>
        <w:tc>
          <w:tcPr>
            <w:tcW w:w="2552" w:type="dxa"/>
            <w:tcBorders>
              <w:top w:val="single" w:sz="6" w:space="0" w:color="auto"/>
              <w:left w:val="single" w:sz="6" w:space="0" w:color="auto"/>
              <w:bottom w:val="single" w:sz="6" w:space="0" w:color="auto"/>
              <w:right w:val="single" w:sz="6" w:space="0" w:color="auto"/>
            </w:tcBorders>
          </w:tcPr>
          <w:p w14:paraId="126602EF" w14:textId="77777777" w:rsidR="00BB3F73" w:rsidRPr="006777E8" w:rsidRDefault="00BB3F73" w:rsidP="00BB3F73">
            <w:pPr>
              <w:pStyle w:val="Tablehead"/>
            </w:pPr>
            <w:r w:rsidRPr="006777E8">
              <w:t>Cas</w:t>
            </w:r>
            <w:r>
              <w:t>o</w:t>
            </w:r>
            <w:r w:rsidRPr="006777E8">
              <w:t xml:space="preserve"> 2: </w:t>
            </w:r>
            <w:r w:rsidRPr="006777E8">
              <w:rPr>
                <w:i/>
                <w:color w:val="000000"/>
              </w:rPr>
              <w:t>OCR</w:t>
            </w:r>
            <w:r w:rsidRPr="006777E8">
              <w:rPr>
                <w:color w:val="000000"/>
              </w:rPr>
              <w:t>(</w:t>
            </w:r>
            <w:r w:rsidRPr="006777E8">
              <w:rPr>
                <w:rFonts w:ascii="Symbol" w:hAnsi="Symbol"/>
                <w:color w:val="000000"/>
              </w:rPr>
              <w:t></w:t>
            </w:r>
            <w:r w:rsidRPr="006777E8">
              <w:rPr>
                <w:i/>
                <w:color w:val="000000"/>
              </w:rPr>
              <w:t>f</w:t>
            </w:r>
            <w:r w:rsidRPr="006777E8">
              <w:t> </w:t>
            </w:r>
            <w:r w:rsidRPr="006777E8">
              <w:rPr>
                <w:color w:val="000000"/>
              </w:rPr>
              <w:t>)</w:t>
            </w:r>
            <w:r w:rsidRPr="006777E8">
              <w:rPr>
                <w:color w:val="000000"/>
              </w:rPr>
              <w:br/>
              <w:t>(dB)</w:t>
            </w:r>
          </w:p>
        </w:tc>
      </w:tr>
      <w:tr w:rsidR="00BB3F73" w:rsidRPr="006777E8" w14:paraId="4531C702" w14:textId="77777777" w:rsidTr="00BB3F73">
        <w:tblPrEx>
          <w:tblCellMar>
            <w:top w:w="0" w:type="dxa"/>
            <w:bottom w:w="0" w:type="dxa"/>
          </w:tblCellMar>
        </w:tblPrEx>
        <w:trPr>
          <w:jc w:val="center"/>
        </w:trPr>
        <w:tc>
          <w:tcPr>
            <w:tcW w:w="1985" w:type="dxa"/>
            <w:tcBorders>
              <w:top w:val="single" w:sz="6" w:space="0" w:color="auto"/>
              <w:left w:val="single" w:sz="6" w:space="0" w:color="auto"/>
              <w:bottom w:val="single" w:sz="6" w:space="0" w:color="auto"/>
              <w:right w:val="single" w:sz="6" w:space="0" w:color="auto"/>
            </w:tcBorders>
          </w:tcPr>
          <w:p w14:paraId="72123CEA" w14:textId="77777777" w:rsidR="00BB3F73" w:rsidRPr="006777E8" w:rsidRDefault="00BB3F73" w:rsidP="00BB3F73">
            <w:pPr>
              <w:pStyle w:val="Tabletext"/>
              <w:jc w:val="center"/>
            </w:pPr>
            <w:r>
              <w:t>0</w:t>
            </w:r>
          </w:p>
        </w:tc>
        <w:tc>
          <w:tcPr>
            <w:tcW w:w="2552" w:type="dxa"/>
            <w:tcBorders>
              <w:top w:val="single" w:sz="6" w:space="0" w:color="auto"/>
              <w:left w:val="single" w:sz="6" w:space="0" w:color="auto"/>
              <w:bottom w:val="single" w:sz="6" w:space="0" w:color="auto"/>
              <w:right w:val="single" w:sz="6" w:space="0" w:color="auto"/>
            </w:tcBorders>
          </w:tcPr>
          <w:p w14:paraId="40B7C96E" w14:textId="77777777" w:rsidR="00BB3F73" w:rsidRPr="006777E8" w:rsidRDefault="00BB3F73" w:rsidP="00BB3F73">
            <w:pPr>
              <w:pStyle w:val="Tabletext"/>
              <w:jc w:val="center"/>
            </w:pPr>
            <w:r w:rsidRPr="006777E8">
              <w:rPr>
                <w:rFonts w:ascii="Symbol" w:hAnsi="Symbol"/>
              </w:rPr>
              <w:t></w:t>
            </w:r>
            <w:r>
              <w:t xml:space="preserve"> 0</w:t>
            </w:r>
          </w:p>
        </w:tc>
        <w:tc>
          <w:tcPr>
            <w:tcW w:w="2552" w:type="dxa"/>
            <w:tcBorders>
              <w:top w:val="single" w:sz="6" w:space="0" w:color="auto"/>
              <w:left w:val="single" w:sz="6" w:space="0" w:color="auto"/>
              <w:bottom w:val="single" w:sz="6" w:space="0" w:color="auto"/>
              <w:right w:val="single" w:sz="6" w:space="0" w:color="auto"/>
            </w:tcBorders>
          </w:tcPr>
          <w:p w14:paraId="65B75481" w14:textId="77777777" w:rsidR="00BB3F73" w:rsidRPr="006777E8" w:rsidRDefault="00BB3F73" w:rsidP="00BB3F73">
            <w:pPr>
              <w:pStyle w:val="Tabletext"/>
              <w:jc w:val="center"/>
            </w:pPr>
            <w:r w:rsidRPr="006777E8">
              <w:rPr>
                <w:rFonts w:ascii="Symbol" w:hAnsi="Symbol"/>
              </w:rPr>
              <w:t></w:t>
            </w:r>
            <w:r>
              <w:t xml:space="preserve"> 0</w:t>
            </w:r>
          </w:p>
        </w:tc>
      </w:tr>
      <w:tr w:rsidR="00BB3F73" w:rsidRPr="006777E8" w14:paraId="31919CBA" w14:textId="77777777" w:rsidTr="00BB3F73">
        <w:tblPrEx>
          <w:tblCellMar>
            <w:top w:w="0" w:type="dxa"/>
            <w:bottom w:w="0" w:type="dxa"/>
          </w:tblCellMar>
        </w:tblPrEx>
        <w:trPr>
          <w:jc w:val="center"/>
        </w:trPr>
        <w:tc>
          <w:tcPr>
            <w:tcW w:w="1985" w:type="dxa"/>
            <w:tcBorders>
              <w:top w:val="single" w:sz="6" w:space="0" w:color="auto"/>
              <w:left w:val="single" w:sz="6" w:space="0" w:color="auto"/>
              <w:bottom w:val="single" w:sz="6" w:space="0" w:color="auto"/>
              <w:right w:val="single" w:sz="6" w:space="0" w:color="auto"/>
            </w:tcBorders>
          </w:tcPr>
          <w:p w14:paraId="21AC7204" w14:textId="77777777" w:rsidR="00BB3F73" w:rsidRPr="006777E8" w:rsidRDefault="00BB3F73" w:rsidP="00BB3F73">
            <w:pPr>
              <w:pStyle w:val="Tabletext"/>
              <w:jc w:val="center"/>
            </w:pPr>
            <w:r w:rsidRPr="006777E8">
              <w:t>12</w:t>
            </w:r>
            <w:r>
              <w:t>,</w:t>
            </w:r>
            <w:r w:rsidRPr="006777E8">
              <w:t>5</w:t>
            </w:r>
          </w:p>
        </w:tc>
        <w:tc>
          <w:tcPr>
            <w:tcW w:w="2552" w:type="dxa"/>
            <w:tcBorders>
              <w:top w:val="single" w:sz="6" w:space="0" w:color="auto"/>
              <w:left w:val="single" w:sz="6" w:space="0" w:color="auto"/>
              <w:bottom w:val="single" w:sz="6" w:space="0" w:color="auto"/>
              <w:right w:val="single" w:sz="6" w:space="0" w:color="auto"/>
            </w:tcBorders>
          </w:tcPr>
          <w:p w14:paraId="6F9ED892" w14:textId="77777777" w:rsidR="00BB3F73" w:rsidRPr="006777E8" w:rsidRDefault="00BB3F73" w:rsidP="00BB3F73">
            <w:pPr>
              <w:pStyle w:val="Tabletext"/>
              <w:jc w:val="center"/>
            </w:pPr>
            <w:r w:rsidRPr="006777E8">
              <w:t>26</w:t>
            </w:r>
            <w:r>
              <w:t>,</w:t>
            </w:r>
            <w:r w:rsidRPr="006777E8">
              <w:t>4</w:t>
            </w:r>
          </w:p>
        </w:tc>
        <w:tc>
          <w:tcPr>
            <w:tcW w:w="2552" w:type="dxa"/>
            <w:tcBorders>
              <w:top w:val="single" w:sz="6" w:space="0" w:color="auto"/>
              <w:left w:val="single" w:sz="6" w:space="0" w:color="auto"/>
              <w:bottom w:val="single" w:sz="6" w:space="0" w:color="auto"/>
              <w:right w:val="single" w:sz="6" w:space="0" w:color="auto"/>
            </w:tcBorders>
          </w:tcPr>
          <w:p w14:paraId="3BE74011" w14:textId="77777777" w:rsidR="00BB3F73" w:rsidRPr="006777E8" w:rsidRDefault="00BB3F73" w:rsidP="00BB3F73">
            <w:pPr>
              <w:pStyle w:val="Tabletext"/>
              <w:jc w:val="center"/>
            </w:pPr>
            <w:r>
              <w:t>29</w:t>
            </w:r>
          </w:p>
        </w:tc>
      </w:tr>
      <w:tr w:rsidR="00BB3F73" w:rsidRPr="006777E8" w14:paraId="1EA02236" w14:textId="77777777" w:rsidTr="00BB3F73">
        <w:tblPrEx>
          <w:tblCellMar>
            <w:top w:w="0" w:type="dxa"/>
            <w:bottom w:w="0" w:type="dxa"/>
          </w:tblCellMar>
        </w:tblPrEx>
        <w:trPr>
          <w:jc w:val="center"/>
        </w:trPr>
        <w:tc>
          <w:tcPr>
            <w:tcW w:w="1985" w:type="dxa"/>
            <w:tcBorders>
              <w:top w:val="single" w:sz="6" w:space="0" w:color="auto"/>
              <w:left w:val="single" w:sz="6" w:space="0" w:color="auto"/>
              <w:bottom w:val="single" w:sz="6" w:space="0" w:color="auto"/>
              <w:right w:val="single" w:sz="6" w:space="0" w:color="auto"/>
            </w:tcBorders>
          </w:tcPr>
          <w:p w14:paraId="3A364929" w14:textId="77777777" w:rsidR="00BB3F73" w:rsidRPr="006777E8" w:rsidRDefault="00BB3F73" w:rsidP="00BB3F73">
            <w:pPr>
              <w:pStyle w:val="Tabletext"/>
              <w:jc w:val="center"/>
            </w:pPr>
            <w:r>
              <w:t>25</w:t>
            </w:r>
          </w:p>
        </w:tc>
        <w:tc>
          <w:tcPr>
            <w:tcW w:w="2552" w:type="dxa"/>
            <w:tcBorders>
              <w:top w:val="single" w:sz="6" w:space="0" w:color="auto"/>
              <w:left w:val="single" w:sz="6" w:space="0" w:color="auto"/>
              <w:bottom w:val="single" w:sz="6" w:space="0" w:color="auto"/>
              <w:right w:val="single" w:sz="6" w:space="0" w:color="auto"/>
            </w:tcBorders>
          </w:tcPr>
          <w:p w14:paraId="4FA18F92" w14:textId="77777777" w:rsidR="00BB3F73" w:rsidRPr="006777E8" w:rsidRDefault="00BB3F73" w:rsidP="00BB3F73">
            <w:pPr>
              <w:pStyle w:val="Tabletext"/>
              <w:jc w:val="center"/>
            </w:pPr>
            <w:r w:rsidRPr="006777E8">
              <w:t>57</w:t>
            </w:r>
            <w:r>
              <w:t>,</w:t>
            </w:r>
            <w:r w:rsidRPr="006777E8">
              <w:t>7</w:t>
            </w:r>
          </w:p>
        </w:tc>
        <w:tc>
          <w:tcPr>
            <w:tcW w:w="2552" w:type="dxa"/>
            <w:tcBorders>
              <w:top w:val="single" w:sz="6" w:space="0" w:color="auto"/>
              <w:left w:val="single" w:sz="6" w:space="0" w:color="auto"/>
              <w:bottom w:val="single" w:sz="6" w:space="0" w:color="auto"/>
              <w:right w:val="single" w:sz="6" w:space="0" w:color="auto"/>
            </w:tcBorders>
          </w:tcPr>
          <w:p w14:paraId="040DC08A" w14:textId="77777777" w:rsidR="00BB3F73" w:rsidRPr="006777E8" w:rsidRDefault="00BB3F73" w:rsidP="00BB3F73">
            <w:pPr>
              <w:pStyle w:val="Tabletext"/>
              <w:jc w:val="center"/>
            </w:pPr>
            <w:r w:rsidRPr="006777E8">
              <w:t>58</w:t>
            </w:r>
            <w:r>
              <w:t>,</w:t>
            </w:r>
            <w:r w:rsidRPr="006777E8">
              <w:t>8</w:t>
            </w:r>
          </w:p>
        </w:tc>
      </w:tr>
      <w:tr w:rsidR="00BB3F73" w:rsidRPr="006777E8" w14:paraId="651C4C65" w14:textId="77777777" w:rsidTr="00BB3F73">
        <w:tblPrEx>
          <w:tblCellMar>
            <w:top w:w="0" w:type="dxa"/>
            <w:bottom w:w="0" w:type="dxa"/>
          </w:tblCellMar>
        </w:tblPrEx>
        <w:trPr>
          <w:jc w:val="center"/>
        </w:trPr>
        <w:tc>
          <w:tcPr>
            <w:tcW w:w="1985" w:type="dxa"/>
            <w:tcBorders>
              <w:top w:val="single" w:sz="6" w:space="0" w:color="auto"/>
              <w:left w:val="single" w:sz="6" w:space="0" w:color="auto"/>
              <w:bottom w:val="single" w:sz="6" w:space="0" w:color="auto"/>
              <w:right w:val="single" w:sz="6" w:space="0" w:color="auto"/>
            </w:tcBorders>
          </w:tcPr>
          <w:p w14:paraId="004D2E50" w14:textId="77777777" w:rsidR="00BB3F73" w:rsidRPr="006777E8" w:rsidRDefault="00BB3F73" w:rsidP="00BB3F73">
            <w:pPr>
              <w:pStyle w:val="Tabletext"/>
              <w:jc w:val="center"/>
            </w:pPr>
            <w:r w:rsidRPr="006777E8">
              <w:t>37</w:t>
            </w:r>
            <w:r>
              <w:t>,</w:t>
            </w:r>
            <w:r w:rsidRPr="006777E8">
              <w:t>5</w:t>
            </w:r>
          </w:p>
        </w:tc>
        <w:tc>
          <w:tcPr>
            <w:tcW w:w="2552" w:type="dxa"/>
            <w:tcBorders>
              <w:top w:val="single" w:sz="6" w:space="0" w:color="auto"/>
              <w:left w:val="single" w:sz="6" w:space="0" w:color="auto"/>
              <w:bottom w:val="single" w:sz="6" w:space="0" w:color="auto"/>
              <w:right w:val="single" w:sz="6" w:space="0" w:color="auto"/>
            </w:tcBorders>
          </w:tcPr>
          <w:p w14:paraId="2BF66B7C" w14:textId="77777777" w:rsidR="00BB3F73" w:rsidRPr="006777E8" w:rsidRDefault="00BB3F73" w:rsidP="00BB3F73">
            <w:pPr>
              <w:pStyle w:val="Tabletext"/>
              <w:jc w:val="center"/>
            </w:pPr>
            <w:r w:rsidRPr="006777E8">
              <w:t>57</w:t>
            </w:r>
            <w:r>
              <w:t>,</w:t>
            </w:r>
            <w:r w:rsidRPr="006777E8">
              <w:t>7</w:t>
            </w:r>
          </w:p>
        </w:tc>
        <w:tc>
          <w:tcPr>
            <w:tcW w:w="2552" w:type="dxa"/>
            <w:tcBorders>
              <w:top w:val="single" w:sz="6" w:space="0" w:color="auto"/>
              <w:left w:val="single" w:sz="6" w:space="0" w:color="auto"/>
              <w:bottom w:val="single" w:sz="6" w:space="0" w:color="auto"/>
              <w:right w:val="single" w:sz="6" w:space="0" w:color="auto"/>
            </w:tcBorders>
          </w:tcPr>
          <w:p w14:paraId="27864546" w14:textId="77777777" w:rsidR="00BB3F73" w:rsidRPr="006777E8" w:rsidRDefault="00BB3F73" w:rsidP="00BB3F73">
            <w:pPr>
              <w:pStyle w:val="Tabletext"/>
              <w:jc w:val="center"/>
            </w:pPr>
            <w:r>
              <w:t>59</w:t>
            </w:r>
          </w:p>
        </w:tc>
      </w:tr>
    </w:tbl>
    <w:p w14:paraId="09ABA0DA" w14:textId="77777777" w:rsidR="00BB3F73" w:rsidRDefault="00BB3F73" w:rsidP="00BB3F73">
      <w:pPr>
        <w:pStyle w:val="Tablefin"/>
      </w:pPr>
    </w:p>
    <w:p w14:paraId="18467CBA" w14:textId="77777777" w:rsidR="00F91558" w:rsidRPr="00F91558" w:rsidRDefault="00F91558" w:rsidP="00F91558">
      <w:pPr>
        <w:rPr>
          <w:lang w:val="en-GB"/>
        </w:rPr>
      </w:pPr>
    </w:p>
    <w:p w14:paraId="632BA184" w14:textId="77777777" w:rsidR="00BB3F73" w:rsidRDefault="00BB3F73" w:rsidP="00BB3F73">
      <w:pPr>
        <w:pStyle w:val="Heading3"/>
      </w:pPr>
      <w:r>
        <w:t>3.2.2</w:t>
      </w:r>
      <w:r>
        <w:tab/>
        <w:t>Aspectos espaciales</w:t>
      </w:r>
    </w:p>
    <w:p w14:paraId="1BE03CC4" w14:textId="77777777" w:rsidR="00BB3F73" w:rsidRPr="000212C9" w:rsidRDefault="00BB3F73" w:rsidP="00BB3F73">
      <w:r w:rsidRPr="000212C9">
        <w:t>Basándose en los parámetros supuestos, que se consignan en los Cuadros 1 y 2, y suponiendo una distribución logarítmica normal de la potencia de la señal deseada recibida y un factor de variabilidad de la ubicación de 17 dB, la cobertura al 90% del sistema móvil terrestre es de 32 km. El nivel correspondiente de potencia deseada del receptor es:</w:t>
      </w:r>
    </w:p>
    <w:p w14:paraId="0487EFB1" w14:textId="77777777" w:rsidR="00F91558" w:rsidRPr="009C7101" w:rsidRDefault="00F91558" w:rsidP="00F91558">
      <w:pPr>
        <w:pStyle w:val="Blanc"/>
        <w:rPr>
          <w:lang w:val="es-ES_tradnl"/>
        </w:rPr>
      </w:pPr>
    </w:p>
    <w:p w14:paraId="6E030D86" w14:textId="77777777" w:rsidR="00BB3F73" w:rsidRPr="006825CD" w:rsidRDefault="00BB3F73" w:rsidP="006825CD">
      <w:pPr>
        <w:pStyle w:val="Equation"/>
        <w:rPr>
          <w:lang w:val="es-ES_tradnl"/>
        </w:rPr>
      </w:pPr>
      <w:r w:rsidRPr="006825CD">
        <w:rPr>
          <w:lang w:val="es-ES_tradnl"/>
        </w:rPr>
        <w:tab/>
      </w:r>
      <w:r w:rsidRPr="006825CD">
        <w:rPr>
          <w:lang w:val="es-ES_tradnl"/>
        </w:rPr>
        <w:tab/>
      </w:r>
      <w:r w:rsidRPr="006825CD">
        <w:rPr>
          <w:i/>
          <w:lang w:val="es-ES_tradnl"/>
        </w:rPr>
        <w:t>P</w:t>
      </w:r>
      <w:r w:rsidRPr="006825CD">
        <w:rPr>
          <w:i/>
          <w:position w:val="-4"/>
          <w:sz w:val="18"/>
          <w:lang w:val="es-ES_tradnl"/>
        </w:rPr>
        <w:t>d</w:t>
      </w:r>
      <w:r w:rsidRPr="006825CD">
        <w:rPr>
          <w:lang w:val="es-ES_tradnl"/>
        </w:rPr>
        <w:t xml:space="preserve">  </w:t>
      </w:r>
      <w:r>
        <w:rPr>
          <w:rFonts w:ascii="Symbol" w:hAnsi="Symbol"/>
        </w:rPr>
        <w:t></w:t>
      </w:r>
      <w:r w:rsidRPr="006825CD">
        <w:rPr>
          <w:lang w:val="es-ES_tradnl"/>
        </w:rPr>
        <w:t xml:space="preserve">  </w:t>
      </w:r>
      <w:r w:rsidRPr="006825CD">
        <w:rPr>
          <w:i/>
          <w:lang w:val="es-ES_tradnl"/>
        </w:rPr>
        <w:t>P</w:t>
      </w:r>
      <w:r w:rsidRPr="006825CD">
        <w:rPr>
          <w:i/>
          <w:position w:val="-4"/>
          <w:sz w:val="18"/>
          <w:lang w:val="es-ES_tradnl"/>
        </w:rPr>
        <w:t>mín</w:t>
      </w:r>
      <w:r w:rsidRPr="006825CD">
        <w:rPr>
          <w:lang w:val="es-ES_tradnl"/>
        </w:rPr>
        <w:t xml:space="preserve">  </w:t>
      </w:r>
      <w:r>
        <w:rPr>
          <w:rFonts w:ascii="Symbol" w:hAnsi="Symbol"/>
        </w:rPr>
        <w:t></w:t>
      </w:r>
      <w:r w:rsidRPr="006825CD">
        <w:rPr>
          <w:lang w:val="es-ES_tradnl"/>
        </w:rPr>
        <w:t xml:space="preserve">  </w:t>
      </w:r>
      <w:r w:rsidRPr="006825CD">
        <w:rPr>
          <w:i/>
          <w:lang w:val="es-ES_tradnl"/>
        </w:rPr>
        <w:t>L</w:t>
      </w:r>
      <w:r w:rsidRPr="006825CD">
        <w:rPr>
          <w:i/>
          <w:position w:val="-4"/>
          <w:sz w:val="18"/>
          <w:lang w:val="es-ES_tradnl"/>
        </w:rPr>
        <w:t>VF</w:t>
      </w:r>
      <w:r w:rsidRPr="006825CD">
        <w:rPr>
          <w:lang w:val="es-ES_tradnl"/>
        </w:rPr>
        <w:t xml:space="preserve">  </w:t>
      </w:r>
      <w:r>
        <w:rPr>
          <w:rFonts w:ascii="Symbol" w:hAnsi="Symbol"/>
        </w:rPr>
        <w:t></w:t>
      </w:r>
      <w:r w:rsidRPr="006825CD">
        <w:rPr>
          <w:lang w:val="es-ES_tradnl"/>
        </w:rPr>
        <w:t xml:space="preserve">  –</w:t>
      </w:r>
      <w:r w:rsidRPr="006825CD">
        <w:rPr>
          <w:sz w:val="4"/>
          <w:lang w:val="es-ES_tradnl"/>
        </w:rPr>
        <w:t> </w:t>
      </w:r>
      <w:r w:rsidRPr="006825CD">
        <w:rPr>
          <w:lang w:val="es-ES_tradnl"/>
        </w:rPr>
        <w:t>128 dBW</w:t>
      </w:r>
    </w:p>
    <w:p w14:paraId="062ABEAD" w14:textId="77777777" w:rsidR="00F91558" w:rsidRPr="009C7101" w:rsidRDefault="00F91558" w:rsidP="00F91558">
      <w:pPr>
        <w:pStyle w:val="Blanc"/>
        <w:rPr>
          <w:lang w:val="es-ES_tradnl"/>
        </w:rPr>
      </w:pPr>
    </w:p>
    <w:p w14:paraId="30E1A307" w14:textId="77777777" w:rsidR="00BB3F73" w:rsidRPr="00F91558" w:rsidRDefault="00BB3F73" w:rsidP="00BB3F73">
      <w:pPr>
        <w:rPr>
          <w:lang w:val="es-ES_tradnl"/>
        </w:rPr>
      </w:pPr>
      <w:r w:rsidRPr="00F91558">
        <w:rPr>
          <w:lang w:val="es-ES_tradnl"/>
        </w:rPr>
        <w:t xml:space="preserve">En consecuencia, el nivel de interferencia admisible es: </w:t>
      </w:r>
      <w:r w:rsidRPr="00F91558">
        <w:rPr>
          <w:i/>
          <w:lang w:val="es-ES_tradnl"/>
        </w:rPr>
        <w:t>P</w:t>
      </w:r>
      <w:r w:rsidRPr="00F91558">
        <w:rPr>
          <w:i/>
          <w:position w:val="-4"/>
          <w:sz w:val="16"/>
          <w:lang w:val="es-ES_tradnl"/>
        </w:rPr>
        <w:t>d</w:t>
      </w:r>
      <w:r w:rsidRPr="00F91558">
        <w:rPr>
          <w:lang w:val="es-ES_tradnl"/>
        </w:rPr>
        <w:t xml:space="preserve"> – </w:t>
      </w:r>
      <w:r>
        <w:rPr>
          <w:rFonts w:ascii="Symbol" w:hAnsi="Symbol"/>
        </w:rPr>
        <w:t></w:t>
      </w:r>
      <w:r w:rsidRPr="00F91558">
        <w:rPr>
          <w:lang w:val="es-ES_tradnl"/>
        </w:rPr>
        <w:t xml:space="preserve"> </w:t>
      </w:r>
      <w:r>
        <w:rPr>
          <w:rFonts w:ascii="Symbol" w:hAnsi="Symbol"/>
        </w:rPr>
        <w:t></w:t>
      </w:r>
      <w:r w:rsidRPr="00F91558">
        <w:rPr>
          <w:lang w:val="es-ES_tradnl"/>
        </w:rPr>
        <w:t xml:space="preserve"> –</w:t>
      </w:r>
      <w:r w:rsidRPr="00F91558">
        <w:rPr>
          <w:sz w:val="4"/>
          <w:lang w:val="es-ES_tradnl"/>
        </w:rPr>
        <w:t> </w:t>
      </w:r>
      <w:r w:rsidRPr="00F91558">
        <w:rPr>
          <w:lang w:val="es-ES_tradnl"/>
        </w:rPr>
        <w:t>146 dBW.</w:t>
      </w:r>
    </w:p>
    <w:p w14:paraId="5B381583" w14:textId="77777777" w:rsidR="00BB3F73" w:rsidRDefault="00BB3F73" w:rsidP="00BB3F73">
      <w:r w:rsidRPr="000212C9">
        <w:t xml:space="preserve">Las distancias de separación requeridas, </w:t>
      </w:r>
      <w:r w:rsidRPr="000212C9">
        <w:rPr>
          <w:i/>
        </w:rPr>
        <w:t>D</w:t>
      </w:r>
      <w:r w:rsidRPr="000212C9">
        <w:t>, entre las estaciones de base para los dos casos que se examinan, se han calculado mediante el procedimiento expuesto en la presente Recomendación. En el Cuadro 3 se indican resumidamente los resultados.</w:t>
      </w:r>
    </w:p>
    <w:p w14:paraId="119E37DB" w14:textId="77777777" w:rsidR="00F91558" w:rsidRPr="000212C9" w:rsidRDefault="00F91558" w:rsidP="00BB3F73"/>
    <w:p w14:paraId="7DD18A4C" w14:textId="77777777" w:rsidR="00BB3F73" w:rsidRPr="006825CD" w:rsidRDefault="00BB3F73" w:rsidP="00BB3F73">
      <w:pPr>
        <w:pStyle w:val="TableNo"/>
        <w:rPr>
          <w:lang w:val="es-ES_tradnl"/>
        </w:rPr>
      </w:pPr>
      <w:r w:rsidRPr="006825CD">
        <w:rPr>
          <w:lang w:val="es-ES_tradnl"/>
        </w:rPr>
        <w:t>CUADRO 3</w:t>
      </w:r>
    </w:p>
    <w:p w14:paraId="6AB37939" w14:textId="77777777" w:rsidR="00BB3F73" w:rsidRPr="006825CD" w:rsidRDefault="00BB3F73" w:rsidP="006825CD">
      <w:pPr>
        <w:pStyle w:val="Tabletitle"/>
        <w:rPr>
          <w:lang w:val="es-ES_tradnl"/>
        </w:rPr>
      </w:pPr>
      <w:r w:rsidRPr="006825CD">
        <w:rPr>
          <w:lang w:val="es-ES_tradnl"/>
        </w:rPr>
        <w:t xml:space="preserve">Distancia de separación requerida, </w:t>
      </w:r>
      <w:r w:rsidRPr="006825CD">
        <w:rPr>
          <w:i/>
          <w:lang w:val="es-ES_tradnl"/>
        </w:rPr>
        <w:t>D</w:t>
      </w:r>
      <w:r w:rsidRPr="006825CD">
        <w:rPr>
          <w:lang w:val="es-ES_tradnl"/>
        </w:rPr>
        <w:t xml:space="preserve"> (km)</w:t>
      </w:r>
      <w:r w:rsidRPr="006825CD">
        <w:rPr>
          <w:lang w:val="es-ES_tradnl"/>
        </w:rPr>
        <w:br/>
        <w:t xml:space="preserve">y separación de frecuencia, </w:t>
      </w:r>
      <w:r>
        <w:sym w:font="Symbol" w:char="F044"/>
      </w:r>
      <w:r w:rsidRPr="006825CD">
        <w:rPr>
          <w:i/>
          <w:lang w:val="es-ES_tradnl"/>
        </w:rPr>
        <w:t>f</w:t>
      </w:r>
      <w:r w:rsidRPr="006825CD">
        <w:rPr>
          <w:lang w:val="es-ES_tradnl"/>
        </w:rPr>
        <w:t xml:space="preserve"> (kHz)</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985"/>
        <w:gridCol w:w="3119"/>
      </w:tblGrid>
      <w:tr w:rsidR="00BB3F73" w:rsidRPr="000212C9" w14:paraId="7ADB207D" w14:textId="77777777" w:rsidTr="00BB3F73">
        <w:tblPrEx>
          <w:tblCellMar>
            <w:top w:w="0" w:type="dxa"/>
            <w:bottom w:w="0" w:type="dxa"/>
          </w:tblCellMar>
        </w:tblPrEx>
        <w:trPr>
          <w:jc w:val="center"/>
        </w:trPr>
        <w:tc>
          <w:tcPr>
            <w:tcW w:w="1985" w:type="dxa"/>
            <w:tcBorders>
              <w:top w:val="single" w:sz="6" w:space="0" w:color="auto"/>
              <w:left w:val="single" w:sz="6" w:space="0" w:color="auto"/>
              <w:bottom w:val="single" w:sz="6" w:space="0" w:color="auto"/>
              <w:right w:val="single" w:sz="6" w:space="0" w:color="auto"/>
            </w:tcBorders>
          </w:tcPr>
          <w:p w14:paraId="023E640A" w14:textId="77777777" w:rsidR="00BB3F73" w:rsidRPr="006777E8" w:rsidRDefault="00BB3F73" w:rsidP="00BB3F73">
            <w:pPr>
              <w:pStyle w:val="Tablehead"/>
            </w:pPr>
            <w:r w:rsidRPr="006777E8">
              <w:rPr>
                <w:rFonts w:ascii="Symbol" w:hAnsi="Symbol"/>
              </w:rPr>
              <w:t></w:t>
            </w:r>
            <w:r w:rsidRPr="006777E8">
              <w:rPr>
                <w:i/>
              </w:rPr>
              <w:t>f</w:t>
            </w:r>
            <w:r w:rsidRPr="006777E8">
              <w:t xml:space="preserve"> </w:t>
            </w:r>
            <w:r w:rsidRPr="006777E8">
              <w:br/>
              <w:t>(kHz)</w:t>
            </w:r>
          </w:p>
        </w:tc>
        <w:tc>
          <w:tcPr>
            <w:tcW w:w="3119" w:type="dxa"/>
            <w:tcBorders>
              <w:top w:val="single" w:sz="6" w:space="0" w:color="auto"/>
              <w:left w:val="single" w:sz="6" w:space="0" w:color="auto"/>
              <w:bottom w:val="single" w:sz="6" w:space="0" w:color="auto"/>
              <w:right w:val="single" w:sz="6" w:space="0" w:color="auto"/>
            </w:tcBorders>
          </w:tcPr>
          <w:p w14:paraId="2E908F6D" w14:textId="77777777" w:rsidR="00BB3F73" w:rsidRPr="006825CD" w:rsidRDefault="00BB3F73" w:rsidP="00BB3F73">
            <w:pPr>
              <w:pStyle w:val="Tablehead"/>
              <w:rPr>
                <w:lang w:val="es-ES_tradnl"/>
              </w:rPr>
            </w:pPr>
            <w:r w:rsidRPr="006825CD">
              <w:rPr>
                <w:lang w:val="es-ES_tradnl"/>
              </w:rPr>
              <w:t xml:space="preserve">Caso 1 y Caso 2: </w:t>
            </w:r>
            <w:r w:rsidRPr="006825CD">
              <w:rPr>
                <w:i/>
                <w:color w:val="000000"/>
                <w:lang w:val="es-ES_tradnl"/>
              </w:rPr>
              <w:t>D</w:t>
            </w:r>
            <w:r w:rsidRPr="006825CD">
              <w:rPr>
                <w:color w:val="000000"/>
                <w:lang w:val="es-ES_tradnl"/>
              </w:rPr>
              <w:br/>
              <w:t>(km)</w:t>
            </w:r>
          </w:p>
        </w:tc>
      </w:tr>
      <w:tr w:rsidR="00BB3F73" w:rsidRPr="006777E8" w14:paraId="7A601ED1" w14:textId="77777777" w:rsidTr="00BB3F73">
        <w:tblPrEx>
          <w:tblCellMar>
            <w:top w:w="0" w:type="dxa"/>
            <w:bottom w:w="0" w:type="dxa"/>
          </w:tblCellMar>
        </w:tblPrEx>
        <w:trPr>
          <w:jc w:val="center"/>
        </w:trPr>
        <w:tc>
          <w:tcPr>
            <w:tcW w:w="1985" w:type="dxa"/>
            <w:tcBorders>
              <w:top w:val="single" w:sz="6" w:space="0" w:color="auto"/>
              <w:left w:val="single" w:sz="6" w:space="0" w:color="auto"/>
              <w:bottom w:val="single" w:sz="6" w:space="0" w:color="auto"/>
              <w:right w:val="single" w:sz="6" w:space="0" w:color="auto"/>
            </w:tcBorders>
          </w:tcPr>
          <w:p w14:paraId="437A4EBA" w14:textId="77777777" w:rsidR="00BB3F73" w:rsidRPr="006777E8" w:rsidRDefault="00BB3F73" w:rsidP="00BB3F73">
            <w:pPr>
              <w:pStyle w:val="Tabletext"/>
              <w:jc w:val="center"/>
            </w:pPr>
            <w:r w:rsidRPr="006777E8">
              <w:t>0</w:t>
            </w:r>
          </w:p>
        </w:tc>
        <w:tc>
          <w:tcPr>
            <w:tcW w:w="3119" w:type="dxa"/>
            <w:tcBorders>
              <w:top w:val="single" w:sz="6" w:space="0" w:color="auto"/>
              <w:left w:val="single" w:sz="6" w:space="0" w:color="auto"/>
              <w:bottom w:val="single" w:sz="6" w:space="0" w:color="auto"/>
              <w:right w:val="single" w:sz="6" w:space="0" w:color="auto"/>
            </w:tcBorders>
          </w:tcPr>
          <w:p w14:paraId="462AFE07" w14:textId="77777777" w:rsidR="00BB3F73" w:rsidRPr="006777E8" w:rsidRDefault="00BB3F73" w:rsidP="00BB3F73">
            <w:pPr>
              <w:pStyle w:val="Tabletext"/>
              <w:jc w:val="center"/>
            </w:pPr>
            <w:r w:rsidRPr="006777E8">
              <w:t>107</w:t>
            </w:r>
            <w:r>
              <w:t>,</w:t>
            </w:r>
            <w:r w:rsidRPr="006777E8">
              <w:t>5</w:t>
            </w:r>
          </w:p>
        </w:tc>
      </w:tr>
      <w:tr w:rsidR="00BB3F73" w:rsidRPr="006777E8" w14:paraId="348ED4AF" w14:textId="77777777" w:rsidTr="00BB3F73">
        <w:tblPrEx>
          <w:tblCellMar>
            <w:top w:w="0" w:type="dxa"/>
            <w:bottom w:w="0" w:type="dxa"/>
          </w:tblCellMar>
        </w:tblPrEx>
        <w:trPr>
          <w:jc w:val="center"/>
        </w:trPr>
        <w:tc>
          <w:tcPr>
            <w:tcW w:w="1985" w:type="dxa"/>
            <w:tcBorders>
              <w:top w:val="single" w:sz="6" w:space="0" w:color="auto"/>
              <w:left w:val="single" w:sz="6" w:space="0" w:color="auto"/>
              <w:bottom w:val="single" w:sz="6" w:space="0" w:color="auto"/>
              <w:right w:val="single" w:sz="6" w:space="0" w:color="auto"/>
            </w:tcBorders>
          </w:tcPr>
          <w:p w14:paraId="548B34AE" w14:textId="77777777" w:rsidR="00BB3F73" w:rsidRPr="006777E8" w:rsidRDefault="00BB3F73" w:rsidP="00BB3F73">
            <w:pPr>
              <w:pStyle w:val="Tabletext"/>
              <w:jc w:val="center"/>
            </w:pPr>
            <w:r w:rsidRPr="006777E8">
              <w:t>12</w:t>
            </w:r>
            <w:r>
              <w:t>,</w:t>
            </w:r>
            <w:r w:rsidRPr="006777E8">
              <w:t>5</w:t>
            </w:r>
          </w:p>
        </w:tc>
        <w:tc>
          <w:tcPr>
            <w:tcW w:w="3119" w:type="dxa"/>
            <w:tcBorders>
              <w:top w:val="single" w:sz="6" w:space="0" w:color="auto"/>
              <w:left w:val="single" w:sz="6" w:space="0" w:color="auto"/>
              <w:bottom w:val="single" w:sz="6" w:space="0" w:color="auto"/>
              <w:right w:val="single" w:sz="6" w:space="0" w:color="auto"/>
            </w:tcBorders>
          </w:tcPr>
          <w:p w14:paraId="7B70E1AE" w14:textId="77777777" w:rsidR="00BB3F73" w:rsidRPr="006777E8" w:rsidRDefault="00BB3F73" w:rsidP="00BB3F73">
            <w:pPr>
              <w:pStyle w:val="Tabletext"/>
              <w:jc w:val="center"/>
            </w:pPr>
            <w:r w:rsidRPr="006777E8">
              <w:t>72</w:t>
            </w:r>
            <w:r>
              <w:t>,</w:t>
            </w:r>
            <w:r w:rsidRPr="006777E8">
              <w:t>5</w:t>
            </w:r>
          </w:p>
        </w:tc>
      </w:tr>
      <w:tr w:rsidR="00BB3F73" w:rsidRPr="006777E8" w14:paraId="6B25F93A" w14:textId="77777777" w:rsidTr="00BB3F73">
        <w:tblPrEx>
          <w:tblCellMar>
            <w:top w:w="0" w:type="dxa"/>
            <w:bottom w:w="0" w:type="dxa"/>
          </w:tblCellMar>
        </w:tblPrEx>
        <w:trPr>
          <w:jc w:val="center"/>
        </w:trPr>
        <w:tc>
          <w:tcPr>
            <w:tcW w:w="1985" w:type="dxa"/>
            <w:tcBorders>
              <w:top w:val="single" w:sz="6" w:space="0" w:color="auto"/>
              <w:left w:val="single" w:sz="6" w:space="0" w:color="auto"/>
              <w:bottom w:val="single" w:sz="6" w:space="0" w:color="auto"/>
              <w:right w:val="single" w:sz="6" w:space="0" w:color="auto"/>
            </w:tcBorders>
          </w:tcPr>
          <w:p w14:paraId="66821CCE" w14:textId="77777777" w:rsidR="00BB3F73" w:rsidRPr="006777E8" w:rsidRDefault="00BB3F73" w:rsidP="00BB3F73">
            <w:pPr>
              <w:pStyle w:val="Tabletext"/>
              <w:jc w:val="center"/>
            </w:pPr>
            <w:r w:rsidRPr="006777E8">
              <w:t>25</w:t>
            </w:r>
          </w:p>
        </w:tc>
        <w:tc>
          <w:tcPr>
            <w:tcW w:w="3119" w:type="dxa"/>
            <w:tcBorders>
              <w:top w:val="single" w:sz="6" w:space="0" w:color="auto"/>
              <w:left w:val="single" w:sz="6" w:space="0" w:color="auto"/>
              <w:bottom w:val="single" w:sz="6" w:space="0" w:color="auto"/>
              <w:right w:val="single" w:sz="6" w:space="0" w:color="auto"/>
            </w:tcBorders>
          </w:tcPr>
          <w:p w14:paraId="289805DF" w14:textId="77777777" w:rsidR="00BB3F73" w:rsidRPr="006777E8" w:rsidRDefault="00BB3F73" w:rsidP="00BB3F73">
            <w:pPr>
              <w:pStyle w:val="Tabletext"/>
              <w:jc w:val="center"/>
            </w:pPr>
            <w:r w:rsidRPr="006777E8">
              <w:t>33</w:t>
            </w:r>
          </w:p>
        </w:tc>
      </w:tr>
      <w:tr w:rsidR="00BB3F73" w:rsidRPr="006777E8" w14:paraId="7DCC4B66" w14:textId="77777777" w:rsidTr="00BB3F73">
        <w:tblPrEx>
          <w:tblCellMar>
            <w:top w:w="0" w:type="dxa"/>
            <w:bottom w:w="0" w:type="dxa"/>
          </w:tblCellMar>
        </w:tblPrEx>
        <w:trPr>
          <w:jc w:val="center"/>
        </w:trPr>
        <w:tc>
          <w:tcPr>
            <w:tcW w:w="1985" w:type="dxa"/>
            <w:tcBorders>
              <w:top w:val="single" w:sz="6" w:space="0" w:color="auto"/>
              <w:left w:val="single" w:sz="6" w:space="0" w:color="auto"/>
              <w:bottom w:val="single" w:sz="6" w:space="0" w:color="auto"/>
              <w:right w:val="single" w:sz="6" w:space="0" w:color="auto"/>
            </w:tcBorders>
          </w:tcPr>
          <w:p w14:paraId="2AD70F45" w14:textId="77777777" w:rsidR="00BB3F73" w:rsidRPr="006777E8" w:rsidRDefault="00BB3F73" w:rsidP="00BB3F73">
            <w:pPr>
              <w:pStyle w:val="Tabletext"/>
              <w:jc w:val="center"/>
            </w:pPr>
            <w:r>
              <w:t>37,</w:t>
            </w:r>
            <w:r w:rsidRPr="006777E8">
              <w:t>5</w:t>
            </w:r>
          </w:p>
        </w:tc>
        <w:tc>
          <w:tcPr>
            <w:tcW w:w="3119" w:type="dxa"/>
            <w:tcBorders>
              <w:top w:val="single" w:sz="6" w:space="0" w:color="auto"/>
              <w:left w:val="single" w:sz="6" w:space="0" w:color="auto"/>
              <w:bottom w:val="single" w:sz="6" w:space="0" w:color="auto"/>
              <w:right w:val="single" w:sz="6" w:space="0" w:color="auto"/>
            </w:tcBorders>
          </w:tcPr>
          <w:p w14:paraId="1771A4CF" w14:textId="77777777" w:rsidR="00BB3F73" w:rsidRPr="006777E8" w:rsidRDefault="00BB3F73" w:rsidP="00BB3F73">
            <w:pPr>
              <w:pStyle w:val="Tabletext"/>
              <w:jc w:val="center"/>
            </w:pPr>
            <w:r w:rsidRPr="006777E8">
              <w:t>33</w:t>
            </w:r>
          </w:p>
        </w:tc>
      </w:tr>
    </w:tbl>
    <w:p w14:paraId="21757CB8" w14:textId="77777777" w:rsidR="00BB3F73" w:rsidRDefault="00BB3F73" w:rsidP="00BB3F73">
      <w:pPr>
        <w:pStyle w:val="Tablefin"/>
      </w:pPr>
    </w:p>
    <w:p w14:paraId="333E71A4" w14:textId="77777777" w:rsidR="00BB3F73" w:rsidRPr="006825CD" w:rsidRDefault="00BB3F73" w:rsidP="007141E0">
      <w:pPr>
        <w:pStyle w:val="Heading3"/>
        <w:rPr>
          <w:rFonts w:hint="eastAsia"/>
          <w:lang w:val="es-ES_tradnl" w:eastAsia="ko-KR"/>
        </w:rPr>
      </w:pPr>
      <w:r w:rsidRPr="006825CD">
        <w:rPr>
          <w:lang w:val="es-ES_tradnl"/>
        </w:rPr>
        <w:t>3.2.3</w:t>
      </w:r>
      <w:r w:rsidRPr="006825CD">
        <w:rPr>
          <w:lang w:val="es-ES_tradnl"/>
        </w:rPr>
        <w:tab/>
        <w:t>Aspectos de aislamiento dependientes del margen de desvanecimiento</w:t>
      </w:r>
    </w:p>
    <w:p w14:paraId="7D9A6F66" w14:textId="77777777" w:rsidR="00BB3F73" w:rsidRPr="007141E0" w:rsidRDefault="00BB3F73" w:rsidP="007141E0">
      <w:r w:rsidRPr="007141E0">
        <w:rPr>
          <w:lang w:val="es-ES_tradnl"/>
        </w:rPr>
        <w:t xml:space="preserve">Mediante los parámetros indicados en los Cuadros </w:t>
      </w:r>
      <w:r w:rsidRPr="007141E0">
        <w:t xml:space="preserve">1 </w:t>
      </w:r>
      <w:r w:rsidRPr="007141E0">
        <w:rPr>
          <w:lang w:val="es-ES_tradnl"/>
        </w:rPr>
        <w:t>y</w:t>
      </w:r>
      <w:r w:rsidRPr="007141E0">
        <w:t xml:space="preserve"> 2 </w:t>
      </w:r>
      <w:r w:rsidRPr="007141E0">
        <w:rPr>
          <w:lang w:val="es-ES_tradnl"/>
        </w:rPr>
        <w:t xml:space="preserve">y el procedimiento alternativo descrito en el </w:t>
      </w:r>
      <w:r w:rsidRPr="000212C9">
        <w:t xml:space="preserve">§ </w:t>
      </w:r>
      <w:r w:rsidRPr="007141E0">
        <w:t xml:space="preserve">2.4, </w:t>
      </w:r>
      <w:r w:rsidRPr="000212C9">
        <w:t>se obtiene el aislamiento necesario</w:t>
      </w:r>
      <w:r w:rsidRPr="007141E0">
        <w:t xml:space="preserve"> </w:t>
      </w:r>
      <w:r w:rsidRPr="007141E0">
        <w:rPr>
          <w:i/>
        </w:rPr>
        <w:t>L</w:t>
      </w:r>
      <w:r w:rsidRPr="007141E0">
        <w:rPr>
          <w:i/>
          <w:vertAlign w:val="subscript"/>
        </w:rPr>
        <w:t>I</w:t>
      </w:r>
      <w:r w:rsidRPr="007141E0">
        <w:t xml:space="preserve"> </w:t>
      </w:r>
      <w:r w:rsidRPr="000212C9">
        <w:t>en función del margen de desvanecimiento log</w:t>
      </w:r>
      <w:r w:rsidRPr="000212C9">
        <w:noBreakHyphen/>
        <w:t xml:space="preserve">normal, como se muestra en el Cuadro </w:t>
      </w:r>
      <w:r w:rsidRPr="007141E0">
        <w:t>4.</w:t>
      </w:r>
    </w:p>
    <w:p w14:paraId="28B09F8E" w14:textId="77777777" w:rsidR="00BB3F73" w:rsidRPr="007141E0" w:rsidRDefault="00BB3F73" w:rsidP="007141E0">
      <w:pPr>
        <w:pStyle w:val="TableNo"/>
        <w:rPr>
          <w:lang w:val="es-ES_tradnl"/>
        </w:rPr>
      </w:pPr>
      <w:r w:rsidRPr="006825CD">
        <w:rPr>
          <w:lang w:val="es-ES_tradnl"/>
        </w:rPr>
        <w:t>CUADRO</w:t>
      </w:r>
      <w:r w:rsidRPr="007141E0">
        <w:rPr>
          <w:lang w:val="es-ES_tradnl"/>
        </w:rPr>
        <w:t xml:space="preserve"> 4</w:t>
      </w:r>
    </w:p>
    <w:p w14:paraId="1AE5DC09" w14:textId="77777777" w:rsidR="00BB3F73" w:rsidRPr="006825CD" w:rsidRDefault="00BB3F73" w:rsidP="007141E0">
      <w:pPr>
        <w:pStyle w:val="Tabletitle"/>
        <w:rPr>
          <w:lang w:val="es-ES_tradnl" w:eastAsia="ko-KR"/>
        </w:rPr>
      </w:pPr>
      <w:r w:rsidRPr="007141E0">
        <w:rPr>
          <w:lang w:val="es-ES"/>
        </w:rPr>
        <w:t xml:space="preserve">Aislamiento necesario, </w:t>
      </w:r>
      <w:r w:rsidRPr="006825CD">
        <w:rPr>
          <w:i/>
          <w:lang w:val="es-ES_tradnl"/>
        </w:rPr>
        <w:t>L</w:t>
      </w:r>
      <w:r w:rsidRPr="006825CD">
        <w:rPr>
          <w:i/>
          <w:vertAlign w:val="subscript"/>
          <w:lang w:val="es-ES_tradnl"/>
        </w:rPr>
        <w:t>I</w:t>
      </w:r>
      <w:r w:rsidRPr="006825CD">
        <w:rPr>
          <w:lang w:val="es-ES_tradnl"/>
        </w:rPr>
        <w:t>(dB)</w:t>
      </w:r>
      <w:r w:rsidRPr="007141E0">
        <w:rPr>
          <w:rFonts w:hint="eastAsia"/>
          <w:lang w:val="es-ES" w:eastAsia="ko-KR"/>
        </w:rPr>
        <w:t xml:space="preserve"> </w:t>
      </w:r>
      <w:r w:rsidRPr="007141E0">
        <w:rPr>
          <w:lang w:val="es-ES" w:eastAsia="ko-KR"/>
        </w:rPr>
        <w:t>en funci</w:t>
      </w:r>
      <w:r>
        <w:rPr>
          <w:lang w:val="es-ES" w:eastAsia="ko-KR"/>
        </w:rPr>
        <w:t xml:space="preserve">ón del margen </w:t>
      </w:r>
      <w:r>
        <w:rPr>
          <w:lang w:val="es-ES" w:eastAsia="ko-KR"/>
        </w:rPr>
        <w:br/>
        <w:t>de desvanecimiento log-normal</w:t>
      </w:r>
      <w:r w:rsidRPr="007141E0">
        <w:rPr>
          <w:rFonts w:hint="eastAsia"/>
          <w:lang w:val="es-ES" w:eastAsia="ko-KR"/>
        </w:rPr>
        <w:t xml:space="preserve">, </w:t>
      </w:r>
      <w:r w:rsidRPr="006825CD">
        <w:rPr>
          <w:i/>
          <w:iCs/>
          <w:lang w:val="es-ES_tradnl"/>
        </w:rPr>
        <w:t>N</w:t>
      </w:r>
      <w:r w:rsidRPr="006825CD">
        <w:rPr>
          <w:lang w:val="es-ES_tradnl" w:eastAsia="ko-KR"/>
        </w:rPr>
        <w:t>(dB)</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31"/>
        <w:gridCol w:w="1531"/>
        <w:gridCol w:w="1531"/>
        <w:gridCol w:w="1531"/>
        <w:gridCol w:w="1531"/>
      </w:tblGrid>
      <w:tr w:rsidR="00BB3F73" w:rsidRPr="00D4310B" w14:paraId="2AB04D4E" w14:textId="77777777" w:rsidTr="00BB3F73">
        <w:tblPrEx>
          <w:tblCellMar>
            <w:top w:w="0" w:type="dxa"/>
            <w:bottom w:w="0" w:type="dxa"/>
          </w:tblCellMar>
        </w:tblPrEx>
        <w:trPr>
          <w:trHeight w:val="308"/>
          <w:jc w:val="center"/>
        </w:trPr>
        <w:tc>
          <w:tcPr>
            <w:tcW w:w="1531" w:type="dxa"/>
            <w:vMerge w:val="restart"/>
            <w:tcBorders>
              <w:top w:val="single" w:sz="6" w:space="0" w:color="auto"/>
              <w:left w:val="single" w:sz="6" w:space="0" w:color="auto"/>
              <w:right w:val="single" w:sz="6" w:space="0" w:color="auto"/>
            </w:tcBorders>
          </w:tcPr>
          <w:p w14:paraId="7F3709C0" w14:textId="77777777" w:rsidR="00BB3F73" w:rsidRPr="006825CD" w:rsidRDefault="00BB3F73" w:rsidP="006825CD">
            <w:pPr>
              <w:pStyle w:val="Tablehead"/>
            </w:pPr>
            <w:r w:rsidRPr="006825CD">
              <w:rPr>
                <w:szCs w:val="22"/>
              </w:rPr>
              <w:sym w:font="Symbol" w:char="F044"/>
            </w:r>
            <w:r w:rsidRPr="006825CD">
              <w:rPr>
                <w:szCs w:val="22"/>
              </w:rPr>
              <w:t>f</w:t>
            </w:r>
            <w:r w:rsidRPr="006825CD">
              <w:rPr>
                <w:rFonts w:eastAsia="Batang"/>
                <w:szCs w:val="22"/>
              </w:rPr>
              <w:t xml:space="preserve"> </w:t>
            </w:r>
            <w:r w:rsidRPr="006825CD">
              <w:rPr>
                <w:rFonts w:eastAsia="Batang"/>
                <w:szCs w:val="22"/>
              </w:rPr>
              <w:br/>
            </w:r>
            <w:r w:rsidRPr="006825CD">
              <w:t>(kHz)</w:t>
            </w:r>
          </w:p>
        </w:tc>
        <w:tc>
          <w:tcPr>
            <w:tcW w:w="3062" w:type="dxa"/>
            <w:gridSpan w:val="2"/>
            <w:tcBorders>
              <w:top w:val="single" w:sz="6" w:space="0" w:color="auto"/>
              <w:left w:val="single" w:sz="6" w:space="0" w:color="auto"/>
              <w:bottom w:val="single" w:sz="6" w:space="0" w:color="auto"/>
              <w:right w:val="single" w:sz="6" w:space="0" w:color="auto"/>
            </w:tcBorders>
          </w:tcPr>
          <w:p w14:paraId="7D7E0BB3" w14:textId="77777777" w:rsidR="00BB3F73" w:rsidRPr="00D4310B" w:rsidRDefault="00BB3F73" w:rsidP="006825CD">
            <w:pPr>
              <w:pStyle w:val="Tablehead"/>
            </w:pPr>
            <w:r w:rsidRPr="00D4310B">
              <w:t>Caso 1</w:t>
            </w:r>
          </w:p>
        </w:tc>
        <w:tc>
          <w:tcPr>
            <w:tcW w:w="3062" w:type="dxa"/>
            <w:gridSpan w:val="2"/>
            <w:tcBorders>
              <w:top w:val="single" w:sz="6" w:space="0" w:color="auto"/>
              <w:left w:val="single" w:sz="6" w:space="0" w:color="auto"/>
              <w:bottom w:val="single" w:sz="6" w:space="0" w:color="auto"/>
              <w:right w:val="single" w:sz="6" w:space="0" w:color="auto"/>
            </w:tcBorders>
          </w:tcPr>
          <w:p w14:paraId="6793C318" w14:textId="77777777" w:rsidR="00BB3F73" w:rsidRPr="00D4310B" w:rsidRDefault="00BB3F73" w:rsidP="006825CD">
            <w:pPr>
              <w:pStyle w:val="Tablehead"/>
            </w:pPr>
            <w:r w:rsidRPr="00D4310B">
              <w:t>Caso 2</w:t>
            </w:r>
          </w:p>
        </w:tc>
      </w:tr>
      <w:tr w:rsidR="00BB3F73" w:rsidRPr="00D4310B" w14:paraId="4826EEEF" w14:textId="77777777" w:rsidTr="00BB3F73">
        <w:tblPrEx>
          <w:tblCellMar>
            <w:top w:w="0" w:type="dxa"/>
            <w:bottom w:w="0" w:type="dxa"/>
          </w:tblCellMar>
        </w:tblPrEx>
        <w:trPr>
          <w:jc w:val="center"/>
        </w:trPr>
        <w:tc>
          <w:tcPr>
            <w:tcW w:w="1531" w:type="dxa"/>
            <w:vMerge/>
            <w:tcBorders>
              <w:left w:val="single" w:sz="6" w:space="0" w:color="auto"/>
              <w:bottom w:val="single" w:sz="6" w:space="0" w:color="auto"/>
              <w:right w:val="single" w:sz="6" w:space="0" w:color="auto"/>
            </w:tcBorders>
          </w:tcPr>
          <w:p w14:paraId="48927E28" w14:textId="77777777" w:rsidR="00BB3F73" w:rsidRPr="00D4310B" w:rsidRDefault="00BB3F73" w:rsidP="006825CD">
            <w:pPr>
              <w:pStyle w:val="Tabletext"/>
              <w:keepNext/>
              <w:jc w:val="center"/>
            </w:pPr>
          </w:p>
        </w:tc>
        <w:tc>
          <w:tcPr>
            <w:tcW w:w="1531" w:type="dxa"/>
            <w:tcBorders>
              <w:top w:val="single" w:sz="6" w:space="0" w:color="auto"/>
              <w:left w:val="single" w:sz="6" w:space="0" w:color="auto"/>
              <w:bottom w:val="single" w:sz="6" w:space="0" w:color="auto"/>
              <w:right w:val="single" w:sz="6" w:space="0" w:color="auto"/>
            </w:tcBorders>
          </w:tcPr>
          <w:p w14:paraId="36FE8FAF" w14:textId="77777777" w:rsidR="00BB3F73" w:rsidRPr="00D4310B" w:rsidRDefault="00BB3F73" w:rsidP="006825CD">
            <w:pPr>
              <w:pStyle w:val="Tabletext"/>
              <w:keepNext/>
              <w:jc w:val="center"/>
            </w:pPr>
            <w:r w:rsidRPr="00D4310B">
              <w:rPr>
                <w:i/>
              </w:rPr>
              <w:t>N</w:t>
            </w:r>
            <w:r w:rsidRPr="00D4310B">
              <w:t xml:space="preserve"> = 3</w:t>
            </w:r>
          </w:p>
        </w:tc>
        <w:tc>
          <w:tcPr>
            <w:tcW w:w="1531" w:type="dxa"/>
            <w:tcBorders>
              <w:top w:val="single" w:sz="6" w:space="0" w:color="auto"/>
              <w:left w:val="single" w:sz="6" w:space="0" w:color="auto"/>
              <w:bottom w:val="single" w:sz="6" w:space="0" w:color="auto"/>
              <w:right w:val="single" w:sz="6" w:space="0" w:color="auto"/>
            </w:tcBorders>
          </w:tcPr>
          <w:p w14:paraId="5EDB0D88" w14:textId="77777777" w:rsidR="00BB3F73" w:rsidRPr="00D4310B" w:rsidRDefault="00BB3F73" w:rsidP="006825CD">
            <w:pPr>
              <w:pStyle w:val="Tabletext"/>
              <w:keepNext/>
              <w:jc w:val="center"/>
            </w:pPr>
            <w:r w:rsidRPr="00D4310B">
              <w:rPr>
                <w:i/>
              </w:rPr>
              <w:t>N</w:t>
            </w:r>
            <w:r w:rsidRPr="00D4310B">
              <w:t xml:space="preserve"> = 10</w:t>
            </w:r>
          </w:p>
        </w:tc>
        <w:tc>
          <w:tcPr>
            <w:tcW w:w="1531" w:type="dxa"/>
            <w:tcBorders>
              <w:top w:val="single" w:sz="6" w:space="0" w:color="auto"/>
              <w:left w:val="single" w:sz="6" w:space="0" w:color="auto"/>
              <w:bottom w:val="single" w:sz="6" w:space="0" w:color="auto"/>
              <w:right w:val="single" w:sz="6" w:space="0" w:color="auto"/>
            </w:tcBorders>
          </w:tcPr>
          <w:p w14:paraId="14A2F5E6" w14:textId="77777777" w:rsidR="00BB3F73" w:rsidRPr="00D4310B" w:rsidRDefault="00BB3F73" w:rsidP="006825CD">
            <w:pPr>
              <w:pStyle w:val="Tabletext"/>
              <w:keepNext/>
              <w:jc w:val="center"/>
            </w:pPr>
            <w:r w:rsidRPr="00D4310B">
              <w:rPr>
                <w:i/>
              </w:rPr>
              <w:t>N</w:t>
            </w:r>
            <w:r w:rsidRPr="00D4310B">
              <w:t xml:space="preserve"> = 3</w:t>
            </w:r>
          </w:p>
        </w:tc>
        <w:tc>
          <w:tcPr>
            <w:tcW w:w="1531" w:type="dxa"/>
            <w:tcBorders>
              <w:top w:val="single" w:sz="6" w:space="0" w:color="auto"/>
              <w:left w:val="single" w:sz="6" w:space="0" w:color="auto"/>
              <w:bottom w:val="single" w:sz="6" w:space="0" w:color="auto"/>
              <w:right w:val="single" w:sz="6" w:space="0" w:color="auto"/>
            </w:tcBorders>
          </w:tcPr>
          <w:p w14:paraId="4AC023B7" w14:textId="77777777" w:rsidR="00BB3F73" w:rsidRPr="00D4310B" w:rsidRDefault="00BB3F73" w:rsidP="006825CD">
            <w:pPr>
              <w:pStyle w:val="Tabletext"/>
              <w:keepNext/>
              <w:jc w:val="center"/>
            </w:pPr>
            <w:r w:rsidRPr="00D4310B">
              <w:rPr>
                <w:i/>
              </w:rPr>
              <w:t>N</w:t>
            </w:r>
            <w:r w:rsidRPr="00D4310B">
              <w:t xml:space="preserve"> = 10</w:t>
            </w:r>
          </w:p>
        </w:tc>
      </w:tr>
      <w:tr w:rsidR="00BB3F73" w:rsidRPr="00D4310B" w14:paraId="097E479A" w14:textId="77777777" w:rsidTr="00BB3F73">
        <w:tblPrEx>
          <w:tblCellMar>
            <w:top w:w="0" w:type="dxa"/>
            <w:bottom w:w="0" w:type="dxa"/>
          </w:tblCellMar>
        </w:tblPrEx>
        <w:trPr>
          <w:jc w:val="center"/>
        </w:trPr>
        <w:tc>
          <w:tcPr>
            <w:tcW w:w="1531" w:type="dxa"/>
            <w:tcBorders>
              <w:top w:val="single" w:sz="6" w:space="0" w:color="auto"/>
              <w:left w:val="single" w:sz="6" w:space="0" w:color="auto"/>
              <w:bottom w:val="single" w:sz="6" w:space="0" w:color="auto"/>
              <w:right w:val="single" w:sz="6" w:space="0" w:color="auto"/>
            </w:tcBorders>
          </w:tcPr>
          <w:p w14:paraId="18A91D4B" w14:textId="77777777" w:rsidR="00BB3F73" w:rsidRPr="00D4310B" w:rsidRDefault="00BB3F73" w:rsidP="00BB3F73">
            <w:pPr>
              <w:pStyle w:val="Tabletext"/>
              <w:jc w:val="center"/>
            </w:pPr>
            <w:r w:rsidRPr="00D4310B">
              <w:t>0</w:t>
            </w:r>
            <w:r>
              <w:br/>
            </w:r>
            <w:r w:rsidRPr="00D4310B">
              <w:t>12,5</w:t>
            </w:r>
            <w:r>
              <w:br/>
            </w:r>
            <w:r w:rsidRPr="00D4310B">
              <w:t>25</w:t>
            </w:r>
            <w:r>
              <w:br/>
            </w:r>
            <w:r w:rsidRPr="00D4310B">
              <w:t>37,5</w:t>
            </w:r>
          </w:p>
        </w:tc>
        <w:tc>
          <w:tcPr>
            <w:tcW w:w="1531" w:type="dxa"/>
            <w:tcBorders>
              <w:top w:val="single" w:sz="6" w:space="0" w:color="auto"/>
              <w:left w:val="single" w:sz="6" w:space="0" w:color="auto"/>
              <w:bottom w:val="single" w:sz="6" w:space="0" w:color="auto"/>
              <w:right w:val="single" w:sz="6" w:space="0" w:color="auto"/>
            </w:tcBorders>
          </w:tcPr>
          <w:p w14:paraId="2AD59140" w14:textId="77777777" w:rsidR="00BB3F73" w:rsidRPr="00D4310B" w:rsidRDefault="00BB3F73" w:rsidP="00BB3F73">
            <w:pPr>
              <w:pStyle w:val="Tabletext"/>
              <w:jc w:val="center"/>
            </w:pPr>
            <w:r w:rsidRPr="00D4310B">
              <w:t>183,02</w:t>
            </w:r>
            <w:r>
              <w:br/>
            </w:r>
            <w:r w:rsidRPr="00D4310B">
              <w:t>156,62</w:t>
            </w:r>
            <w:r>
              <w:br/>
            </w:r>
            <w:r w:rsidRPr="00D4310B">
              <w:t>125,32</w:t>
            </w:r>
            <w:r>
              <w:br/>
            </w:r>
            <w:r w:rsidRPr="00D4310B">
              <w:t>125,32</w:t>
            </w:r>
          </w:p>
        </w:tc>
        <w:tc>
          <w:tcPr>
            <w:tcW w:w="1531" w:type="dxa"/>
            <w:tcBorders>
              <w:top w:val="single" w:sz="6" w:space="0" w:color="auto"/>
              <w:left w:val="single" w:sz="6" w:space="0" w:color="auto"/>
              <w:bottom w:val="single" w:sz="6" w:space="0" w:color="auto"/>
              <w:right w:val="single" w:sz="6" w:space="0" w:color="auto"/>
            </w:tcBorders>
          </w:tcPr>
          <w:p w14:paraId="5E321745" w14:textId="77777777" w:rsidR="00BB3F73" w:rsidRPr="00D4310B" w:rsidRDefault="00BB3F73" w:rsidP="00BB3F73">
            <w:pPr>
              <w:pStyle w:val="Tabletext"/>
              <w:jc w:val="center"/>
            </w:pPr>
            <w:r w:rsidRPr="00D4310B">
              <w:t>173,46</w:t>
            </w:r>
            <w:r>
              <w:br/>
            </w:r>
            <w:r w:rsidRPr="00D4310B">
              <w:t>147,06</w:t>
            </w:r>
            <w:r>
              <w:br/>
            </w:r>
            <w:r w:rsidRPr="00D4310B">
              <w:t>115,76</w:t>
            </w:r>
            <w:r>
              <w:br/>
            </w:r>
            <w:r w:rsidRPr="00D4310B">
              <w:t>115,76</w:t>
            </w:r>
          </w:p>
        </w:tc>
        <w:tc>
          <w:tcPr>
            <w:tcW w:w="1531" w:type="dxa"/>
            <w:tcBorders>
              <w:top w:val="single" w:sz="6" w:space="0" w:color="auto"/>
              <w:left w:val="single" w:sz="6" w:space="0" w:color="auto"/>
              <w:bottom w:val="single" w:sz="6" w:space="0" w:color="auto"/>
              <w:right w:val="single" w:sz="6" w:space="0" w:color="auto"/>
            </w:tcBorders>
          </w:tcPr>
          <w:p w14:paraId="42B395CC" w14:textId="77777777" w:rsidR="00BB3F73" w:rsidRPr="00D4310B" w:rsidRDefault="00BB3F73" w:rsidP="00BB3F73">
            <w:pPr>
              <w:pStyle w:val="Tabletext"/>
              <w:jc w:val="center"/>
            </w:pPr>
            <w:r w:rsidRPr="00D4310B">
              <w:t>183,02</w:t>
            </w:r>
            <w:r>
              <w:br/>
            </w:r>
            <w:r w:rsidRPr="00D4310B">
              <w:t>154,02</w:t>
            </w:r>
            <w:r>
              <w:br/>
            </w:r>
            <w:r w:rsidRPr="00D4310B">
              <w:t>124,22</w:t>
            </w:r>
            <w:r>
              <w:br/>
            </w:r>
            <w:r w:rsidRPr="00D4310B">
              <w:t>124,02</w:t>
            </w:r>
          </w:p>
        </w:tc>
        <w:tc>
          <w:tcPr>
            <w:tcW w:w="1531" w:type="dxa"/>
            <w:tcBorders>
              <w:top w:val="single" w:sz="6" w:space="0" w:color="auto"/>
              <w:left w:val="single" w:sz="6" w:space="0" w:color="auto"/>
              <w:bottom w:val="single" w:sz="6" w:space="0" w:color="auto"/>
              <w:right w:val="single" w:sz="6" w:space="0" w:color="auto"/>
            </w:tcBorders>
          </w:tcPr>
          <w:p w14:paraId="7E8683E1" w14:textId="77777777" w:rsidR="00BB3F73" w:rsidRPr="00D4310B" w:rsidRDefault="00BB3F73" w:rsidP="00BB3F73">
            <w:pPr>
              <w:pStyle w:val="Tabletext"/>
              <w:jc w:val="center"/>
            </w:pPr>
            <w:r w:rsidRPr="00D4310B">
              <w:t>173,46</w:t>
            </w:r>
            <w:r>
              <w:br/>
            </w:r>
            <w:r w:rsidRPr="00D4310B">
              <w:t>144,46</w:t>
            </w:r>
            <w:r>
              <w:br/>
            </w:r>
            <w:r w:rsidRPr="00D4310B">
              <w:t>114,66</w:t>
            </w:r>
            <w:r>
              <w:br/>
            </w:r>
            <w:r w:rsidRPr="00D4310B">
              <w:t>114,46</w:t>
            </w:r>
          </w:p>
        </w:tc>
      </w:tr>
    </w:tbl>
    <w:p w14:paraId="4C8D91F9" w14:textId="77777777" w:rsidR="00BB3F73" w:rsidRPr="00D4310B" w:rsidRDefault="00BB3F73" w:rsidP="00BB3F73">
      <w:pPr>
        <w:pStyle w:val="Tablefin"/>
        <w:rPr>
          <w:lang w:val="es-ES_tradnl"/>
        </w:rPr>
      </w:pPr>
    </w:p>
    <w:p w14:paraId="6E25CBAE" w14:textId="77777777" w:rsidR="00BB3F73" w:rsidRPr="007141E0" w:rsidRDefault="00BB3F73" w:rsidP="007141E0">
      <w:pPr>
        <w:rPr>
          <w:rFonts w:hint="eastAsia"/>
          <w:lang w:val="es-ES" w:eastAsia="ko-KR"/>
        </w:rPr>
      </w:pPr>
      <w:r w:rsidRPr="007141E0">
        <w:rPr>
          <w:lang w:val="es-ES"/>
        </w:rPr>
        <w:t xml:space="preserve">Obsérvese que cuanto mayor sea </w:t>
      </w:r>
      <w:r w:rsidRPr="007141E0">
        <w:rPr>
          <w:i/>
          <w:lang w:val="es-ES"/>
        </w:rPr>
        <w:t>N</w:t>
      </w:r>
      <w:r w:rsidRPr="007141E0">
        <w:rPr>
          <w:lang w:val="es-ES"/>
        </w:rPr>
        <w:t xml:space="preserve"> menor aislamiento</w:t>
      </w:r>
      <w:r>
        <w:rPr>
          <w:lang w:val="es-ES"/>
        </w:rPr>
        <w:t xml:space="preserve"> </w:t>
      </w:r>
      <w:r w:rsidRPr="00C12D68">
        <w:rPr>
          <w:lang w:val="es-ES"/>
        </w:rPr>
        <w:t>se necesita</w:t>
      </w:r>
      <w:r w:rsidRPr="007141E0">
        <w:rPr>
          <w:lang w:val="es-ES"/>
        </w:rPr>
        <w:t>.</w:t>
      </w:r>
    </w:p>
    <w:p w14:paraId="3B03C454" w14:textId="77777777" w:rsidR="00BB3F73" w:rsidRPr="006825CD" w:rsidRDefault="00BB3F73" w:rsidP="00BB3F73">
      <w:pPr>
        <w:pStyle w:val="Heading1"/>
        <w:rPr>
          <w:lang w:val="es-ES_tradnl"/>
        </w:rPr>
      </w:pPr>
      <w:r w:rsidRPr="006825CD">
        <w:rPr>
          <w:lang w:val="es-ES_tradnl"/>
        </w:rPr>
        <w:t>4</w:t>
      </w:r>
      <w:r w:rsidRPr="006825CD">
        <w:rPr>
          <w:lang w:val="es-ES_tradnl"/>
        </w:rPr>
        <w:tab/>
        <w:t>Regla de intermodulación frecuencia-distancia</w:t>
      </w:r>
    </w:p>
    <w:p w14:paraId="1A8F9692" w14:textId="77777777" w:rsidR="00BB3F73" w:rsidRPr="006D7880" w:rsidRDefault="00BB3F73" w:rsidP="00BB3F73">
      <w:r w:rsidRPr="00D4310B">
        <w:t xml:space="preserve">Aparte de la </w:t>
      </w:r>
      <w:r w:rsidRPr="006D7880">
        <w:t>interferencia cocanal y de canal adyacente, los sistemas móviles terrestres se ven afectados también por la interferencia de intermodulación debido a la formación de productos de intermodulación. En el caso de la inter</w:t>
      </w:r>
      <w:r w:rsidRPr="006D7880">
        <w:softHyphen/>
        <w:t>modulación de tercer orden entre dos señales en el receptor como dos transmisores de estación de base intervienen en la formación de un producto de intermodulación, sus distancias mínimas aceptables con respecto a un receptor interferido están interrelacionadas.</w:t>
      </w:r>
    </w:p>
    <w:p w14:paraId="11902088" w14:textId="77777777" w:rsidR="00BB3F73" w:rsidRPr="006D7880" w:rsidRDefault="00BB3F73" w:rsidP="00BB3F73">
      <w:r w:rsidRPr="006D7880">
        <w:t>Basándose en el supuesto de que la ganancia de antena del receptor sea igual a la pérdida total del receptor, que el valor medio del nivel mínimo de la señal deseada para generar una relación señal/interferencia incluyendo el ruido y la distorsión (SINAD) de 12 dB en presencia de ruido sea de –</w:t>
      </w:r>
      <w:r w:rsidRPr="006D7880">
        <w:rPr>
          <w:sz w:val="4"/>
        </w:rPr>
        <w:t> </w:t>
      </w:r>
      <w:r w:rsidRPr="006D7880">
        <w:t>145 dBW, que se utilice la pérdida de trayecto en el espacio libre y que todos los transmisores tengan la misma p.i.r.e. igual a 20 dBW, puede aplicarse la regla de intermodulación frecuencia-distancia en la banda 410-470 MHz para predecir los niveles de potencia de interferencia interferente en el receptor interferido. En este modelo:</w:t>
      </w:r>
    </w:p>
    <w:p w14:paraId="613CAB70" w14:textId="77777777" w:rsidR="00BB3F73" w:rsidRPr="009C7101" w:rsidRDefault="00BB3F73" w:rsidP="00BB3F73">
      <w:pPr>
        <w:pStyle w:val="Blanc"/>
        <w:rPr>
          <w:lang w:val="es-ES_tradnl"/>
        </w:rPr>
      </w:pPr>
    </w:p>
    <w:p w14:paraId="6F89E411" w14:textId="77777777" w:rsidR="00BB3F73" w:rsidRPr="006825CD" w:rsidRDefault="00BB3F73" w:rsidP="006825CD">
      <w:pPr>
        <w:pStyle w:val="Equation"/>
        <w:rPr>
          <w:lang w:val="es-ES_tradnl" w:eastAsia="ko-KR"/>
        </w:rPr>
      </w:pPr>
      <w:r w:rsidRPr="006825CD">
        <w:rPr>
          <w:lang w:val="es-ES_tradnl"/>
        </w:rPr>
        <w:tab/>
      </w:r>
      <w:r w:rsidRPr="006825CD">
        <w:rPr>
          <w:lang w:val="es-ES_tradnl"/>
        </w:rPr>
        <w:tab/>
      </w:r>
      <w:r w:rsidRPr="006777E8">
        <w:rPr>
          <w:position w:val="-12"/>
        </w:rPr>
        <w:object w:dxaOrig="3240" w:dyaOrig="360" w14:anchorId="48ADE452">
          <v:shape id="_x0000_i1044" type="#_x0000_t75" style="width:161.75pt;height:18.25pt" o:ole="">
            <v:imagedata r:id="rId46" o:title=""/>
          </v:shape>
          <o:OLEObject Type="Embed" ProgID="Equation.3" ShapeID="_x0000_i1044" DrawAspect="Content" ObjectID="_1652509579" r:id="rId47"/>
        </w:object>
      </w:r>
      <w:r w:rsidRPr="006825CD">
        <w:rPr>
          <w:lang w:val="es-ES_tradnl"/>
        </w:rPr>
        <w:tab/>
        <w:t>(22)</w:t>
      </w:r>
    </w:p>
    <w:p w14:paraId="17FF4E19" w14:textId="77777777" w:rsidR="00BB3F73" w:rsidRPr="006D7880" w:rsidRDefault="00BB3F73" w:rsidP="00F91558">
      <w:pPr>
        <w:spacing w:before="0"/>
      </w:pPr>
      <w:r w:rsidRPr="006D7880">
        <w:t>donde:</w:t>
      </w:r>
    </w:p>
    <w:p w14:paraId="3863DA8B" w14:textId="77777777" w:rsidR="00BB3F73" w:rsidRPr="006825CD" w:rsidRDefault="00BB3F73" w:rsidP="00BB3F73">
      <w:pPr>
        <w:pStyle w:val="Equationlegend"/>
        <w:rPr>
          <w:lang w:val="es-ES_tradnl"/>
        </w:rPr>
      </w:pPr>
      <w:r w:rsidRPr="006825CD">
        <w:rPr>
          <w:lang w:val="es-ES_tradnl"/>
        </w:rPr>
        <w:tab/>
      </w:r>
      <w:r w:rsidRPr="006825CD">
        <w:rPr>
          <w:i/>
          <w:lang w:val="es-ES_tradnl"/>
        </w:rPr>
        <w:t>P</w:t>
      </w:r>
      <w:r w:rsidRPr="006825CD">
        <w:rPr>
          <w:sz w:val="8"/>
          <w:lang w:val="es-ES_tradnl"/>
        </w:rPr>
        <w:t> </w:t>
      </w:r>
      <w:r w:rsidRPr="006825CD">
        <w:rPr>
          <w:lang w:val="es-ES_tradnl"/>
        </w:rPr>
        <w:t>:</w:t>
      </w:r>
      <w:r w:rsidRPr="006825CD">
        <w:rPr>
          <w:lang w:val="es-ES_tradnl"/>
        </w:rPr>
        <w:tab/>
        <w:t>nivel de potencia interferente resultante en el receptor interferido (dBW)</w:t>
      </w:r>
    </w:p>
    <w:p w14:paraId="69C3C895" w14:textId="77777777" w:rsidR="00BB3F73" w:rsidRPr="006825CD" w:rsidRDefault="00BB3F73" w:rsidP="00BB3F73">
      <w:pPr>
        <w:pStyle w:val="Equationlegend"/>
        <w:rPr>
          <w:lang w:val="es-ES_tradnl"/>
        </w:rPr>
      </w:pPr>
      <w:r w:rsidRPr="006825CD">
        <w:rPr>
          <w:lang w:val="es-ES_tradnl"/>
        </w:rPr>
        <w:tab/>
      </w:r>
      <w:r w:rsidRPr="006825CD">
        <w:rPr>
          <w:i/>
          <w:lang w:val="es-ES_tradnl"/>
        </w:rPr>
        <w:t>P</w:t>
      </w:r>
      <w:r w:rsidRPr="006825CD">
        <w:rPr>
          <w:i/>
          <w:vertAlign w:val="subscript"/>
          <w:lang w:val="es-ES_tradnl"/>
        </w:rPr>
        <w:t>N</w:t>
      </w:r>
      <w:r w:rsidRPr="006825CD">
        <w:rPr>
          <w:sz w:val="8"/>
          <w:lang w:val="es-ES_tradnl"/>
        </w:rPr>
        <w:t> </w:t>
      </w:r>
      <w:r w:rsidRPr="006825CD">
        <w:rPr>
          <w:lang w:val="es-ES_tradnl"/>
        </w:rPr>
        <w:t>:</w:t>
      </w:r>
      <w:r w:rsidRPr="006825CD">
        <w:rPr>
          <w:lang w:val="es-ES_tradnl"/>
        </w:rPr>
        <w:tab/>
        <w:t>potencia recibida del transmisor cuya frecuencia es más próxima a la frecuencia del receptor interferido (dBW)</w:t>
      </w:r>
    </w:p>
    <w:p w14:paraId="16F2DDEA" w14:textId="77777777" w:rsidR="00BB3F73" w:rsidRPr="006825CD" w:rsidRDefault="00BB3F73" w:rsidP="00BB3F73">
      <w:pPr>
        <w:pStyle w:val="Equationlegend"/>
        <w:rPr>
          <w:lang w:val="es-ES_tradnl"/>
        </w:rPr>
      </w:pPr>
      <w:r w:rsidRPr="006825CD">
        <w:rPr>
          <w:lang w:val="es-ES_tradnl"/>
        </w:rPr>
        <w:tab/>
      </w:r>
      <w:r w:rsidRPr="006825CD">
        <w:rPr>
          <w:i/>
          <w:lang w:val="es-ES_tradnl"/>
        </w:rPr>
        <w:t>P</w:t>
      </w:r>
      <w:r w:rsidRPr="006825CD">
        <w:rPr>
          <w:i/>
          <w:vertAlign w:val="subscript"/>
          <w:lang w:val="es-ES_tradnl"/>
        </w:rPr>
        <w:t>F</w:t>
      </w:r>
      <w:r w:rsidRPr="006825CD">
        <w:rPr>
          <w:sz w:val="8"/>
          <w:lang w:val="es-ES_tradnl"/>
        </w:rPr>
        <w:t> </w:t>
      </w:r>
      <w:r w:rsidRPr="006825CD">
        <w:rPr>
          <w:lang w:val="es-ES_tradnl"/>
        </w:rPr>
        <w:t>:</w:t>
      </w:r>
      <w:r w:rsidRPr="006825CD">
        <w:rPr>
          <w:lang w:val="es-ES_tradnl"/>
        </w:rPr>
        <w:tab/>
        <w:t>potencia recibida del transmisor cuya frecuencia está más alejada de la frecuencia del receptor interferido (dBW)</w:t>
      </w:r>
    </w:p>
    <w:p w14:paraId="7E380F0E" w14:textId="77777777" w:rsidR="00BB3F73" w:rsidRPr="006825CD" w:rsidRDefault="00BB3F73" w:rsidP="00BB3F73">
      <w:pPr>
        <w:pStyle w:val="Equationlegend"/>
        <w:rPr>
          <w:lang w:val="es-ES_tradnl"/>
        </w:rPr>
      </w:pPr>
      <w:r w:rsidRPr="006825CD">
        <w:rPr>
          <w:lang w:val="es-ES_tradnl"/>
        </w:rPr>
        <w:tab/>
      </w:r>
      <w:r w:rsidRPr="006777E8">
        <w:rPr>
          <w:rFonts w:ascii="Symbol" w:hAnsi="Symbol"/>
        </w:rPr>
        <w:t></w:t>
      </w:r>
      <w:r w:rsidRPr="006825CD">
        <w:rPr>
          <w:i/>
          <w:lang w:val="es-ES_tradnl"/>
        </w:rPr>
        <w:t>f</w:t>
      </w:r>
      <w:r w:rsidRPr="006825CD">
        <w:rPr>
          <w:sz w:val="8"/>
          <w:lang w:val="es-ES_tradnl"/>
        </w:rPr>
        <w:t> </w:t>
      </w:r>
      <w:r w:rsidRPr="006825CD">
        <w:rPr>
          <w:lang w:val="es-ES_tradnl"/>
        </w:rPr>
        <w:t>:</w:t>
      </w:r>
      <w:r w:rsidRPr="006825CD">
        <w:rPr>
          <w:lang w:val="es-ES_tradnl"/>
        </w:rPr>
        <w:tab/>
        <w:t>separación entre las frecuencias de los transmisores cercano y lejano (MHz).</w:t>
      </w:r>
    </w:p>
    <w:p w14:paraId="47A67D01" w14:textId="77777777" w:rsidR="00BB3F73" w:rsidRPr="006D7880" w:rsidRDefault="00BB3F73" w:rsidP="00BB3F73">
      <w:r w:rsidRPr="006D7880">
        <w:t>Cuando se utiliza un valor de frecuencia de la portadora de 460 MHz, se producirá intermodulación de tercer orden entre dos señales cuando:</w:t>
      </w:r>
    </w:p>
    <w:p w14:paraId="59165F03" w14:textId="77777777" w:rsidR="00BB3F73" w:rsidRPr="009C7101" w:rsidRDefault="00BB3F73" w:rsidP="00BB3F73">
      <w:pPr>
        <w:pStyle w:val="Blanc"/>
        <w:rPr>
          <w:lang w:val="es-ES_tradnl"/>
        </w:rPr>
      </w:pPr>
    </w:p>
    <w:p w14:paraId="4A47D327" w14:textId="77777777" w:rsidR="00BB3F73" w:rsidRPr="006825CD" w:rsidRDefault="00BB3F73" w:rsidP="006825CD">
      <w:pPr>
        <w:pStyle w:val="Equation"/>
        <w:rPr>
          <w:lang w:val="es-ES_tradnl"/>
        </w:rPr>
      </w:pPr>
      <w:r w:rsidRPr="006825CD">
        <w:rPr>
          <w:lang w:val="es-ES_tradnl"/>
        </w:rPr>
        <w:tab/>
      </w:r>
      <w:r w:rsidRPr="006825CD">
        <w:rPr>
          <w:lang w:val="es-ES_tradnl"/>
        </w:rPr>
        <w:tab/>
      </w:r>
      <w:r w:rsidRPr="006777E8">
        <w:rPr>
          <w:position w:val="-10"/>
          <w:sz w:val="20"/>
        </w:rPr>
        <w:object w:dxaOrig="1219" w:dyaOrig="320" w14:anchorId="521D06B0">
          <v:shape id="_x0000_i1045" type="#_x0000_t75" style="width:60.7pt;height:16.1pt" o:ole="">
            <v:imagedata r:id="rId48" o:title=""/>
          </v:shape>
          <o:OLEObject Type="Embed" ProgID="Equation.3" ShapeID="_x0000_i1045" DrawAspect="Content" ObjectID="_1652509580" r:id="rId49"/>
        </w:object>
      </w:r>
      <w:r w:rsidRPr="006825CD">
        <w:rPr>
          <w:lang w:val="es-ES_tradnl"/>
        </w:rPr>
        <w:tab/>
        <w:t>(23)</w:t>
      </w:r>
    </w:p>
    <w:p w14:paraId="407C4992" w14:textId="77777777" w:rsidR="00BB3F73" w:rsidRPr="006D7880" w:rsidRDefault="00BB3F73" w:rsidP="00BB3F73">
      <w:r w:rsidRPr="006D7880">
        <w:t xml:space="preserve">siendo </w:t>
      </w:r>
      <w:r w:rsidRPr="006D7880">
        <w:rPr>
          <w:i/>
        </w:rPr>
        <w:t>d</w:t>
      </w:r>
      <w:r w:rsidRPr="006D7880">
        <w:t xml:space="preserve"> la distancia entre la estación existente y una estación proyectada. Se ha supuesto un margen de protección de 6 dB entre el nivel de la potencia de la señal interferente y el nivel mínimo de potencia de la señal deseada. En la Recomendación UIT-R SM.1134 figura información útil al respecto. Dado que la estación proyectada puede intervenir en un producto intermodulación como receptor interferido, transmisor lejano o transmisor cercano, habrá que utilizar la curva B con la curva A para establecer la regla de intermodulación frecuencia-distancia, que se representa en la Fig. </w:t>
      </w:r>
      <w:r>
        <w:t>2</w:t>
      </w:r>
      <w:r w:rsidRPr="006D7880">
        <w:t>. La zona por encima de la curva corresponde a los casos de interferencia admisible, mientras que la zona inferior corresponde a las situaciones de interferencia potencial.</w:t>
      </w:r>
    </w:p>
    <w:p w14:paraId="7B1F4E09" w14:textId="77777777" w:rsidR="00BB3F73" w:rsidRDefault="00BB3F73" w:rsidP="00BB3F73">
      <w:pPr>
        <w:pStyle w:val="FigureNo"/>
      </w:pPr>
      <w:r>
        <w:object w:dxaOrig="8001" w:dyaOrig="8841" w14:anchorId="3E96732B">
          <v:shape id="_x0000_i1046" type="#_x0000_t75" style="width:399.75pt;height:441.65pt" o:ole="" o:allowoverlap="f">
            <v:imagedata r:id="rId50" o:title=""/>
          </v:shape>
          <o:OLEObject Type="Embed" ProgID="CorelDRAW.Graphic.12" ShapeID="_x0000_i1046" DrawAspect="Content" ObjectID="_1652509581" r:id="rId51"/>
        </w:object>
      </w:r>
    </w:p>
    <w:p w14:paraId="7B01B3F7" w14:textId="77777777" w:rsidR="00BB3F73" w:rsidRDefault="00BB3F73" w:rsidP="00BB3F73">
      <w:pPr>
        <w:pStyle w:val="Heading1"/>
      </w:pPr>
      <w:r>
        <w:t>5</w:t>
      </w:r>
      <w:r>
        <w:tab/>
        <w:t>Conclusiones</w:t>
      </w:r>
    </w:p>
    <w:p w14:paraId="0B61FEF3" w14:textId="77777777" w:rsidR="00A6617B" w:rsidRPr="00BB3F73" w:rsidRDefault="00BB3F73" w:rsidP="00BB3F73">
      <w:r w:rsidRPr="000212C9">
        <w:t>Para asignar una frecuencia a una nueva estación proyectada, se evalúa primeramente la interferencia cocanal y de canal adyacente utilizando las reglas de intermodulación frecuencia-distancia apropiadas. Una vez satisfechas estas reglas, se pasa a considerar las estaciones que pueden participar en la interferencia de intermodulación con la estación proyectada, basándose en la regla de intermodulación frecuencia-distancia. Si no se cumplen estas reglas, puede efectuarse un análisis detallado. Cabe observar que los análisis contenidos en la presente Recomendación no tienen en cuenta obstrucciones artificiales o naturales.</w:t>
      </w:r>
    </w:p>
    <w:p w14:paraId="497E5943" w14:textId="77777777" w:rsidR="00BB3F73" w:rsidRPr="00BB3F73" w:rsidRDefault="00BB3F73" w:rsidP="00A6617B"/>
    <w:p w14:paraId="0F3346E5" w14:textId="77777777" w:rsidR="00BB3F73" w:rsidRPr="00BB3F73" w:rsidRDefault="00BB3F73" w:rsidP="00BB3F73">
      <w:pPr>
        <w:pStyle w:val="Line"/>
        <w:rPr>
          <w:lang w:val="es-ES_tradnl"/>
        </w:rPr>
      </w:pPr>
    </w:p>
    <w:sectPr w:rsidR="00BB3F73" w:rsidRPr="00BB3F73">
      <w:headerReference w:type="even" r:id="rId52"/>
      <w:headerReference w:type="default" r:id="rId53"/>
      <w:pgSz w:w="11907" w:h="16834" w:code="9"/>
      <w:pgMar w:top="1418" w:right="1134" w:bottom="1134" w:left="1134" w:header="720" w:footer="482"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C9E603" w14:textId="77777777" w:rsidR="00212875" w:rsidRDefault="00212875">
      <w:r>
        <w:separator/>
      </w:r>
    </w:p>
  </w:endnote>
  <w:endnote w:type="continuationSeparator" w:id="0">
    <w:p w14:paraId="3A1BC60B" w14:textId="77777777" w:rsidR="00212875" w:rsidRDefault="00212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CCFB4F" w14:textId="77777777" w:rsidR="00212875" w:rsidRDefault="00212875">
      <w:r>
        <w:separator/>
      </w:r>
    </w:p>
  </w:footnote>
  <w:footnote w:type="continuationSeparator" w:id="0">
    <w:p w14:paraId="6285594E" w14:textId="77777777" w:rsidR="00212875" w:rsidRDefault="00212875">
      <w:r>
        <w:continuationSeparator/>
      </w:r>
    </w:p>
  </w:footnote>
  <w:footnote w:id="1">
    <w:p w14:paraId="18CE28C1" w14:textId="03737AAF" w:rsidR="007141E0" w:rsidRPr="007141E0" w:rsidRDefault="007141E0">
      <w:pPr>
        <w:pStyle w:val="FootnoteText"/>
      </w:pPr>
      <w:r>
        <w:rPr>
          <w:rStyle w:val="FootnoteReference"/>
        </w:rPr>
        <w:t>*</w:t>
      </w:r>
      <w:r>
        <w:t xml:space="preserve"> </w:t>
      </w:r>
      <w:r>
        <w:tab/>
      </w:r>
      <w:bookmarkStart w:id="1" w:name="_Hlk38379727"/>
      <w:r w:rsidRPr="007141E0">
        <w:rPr>
          <w:lang w:val="es-ES"/>
        </w:rPr>
        <w:t>La Comisión de Estudio 1 de Radiocomunicaciones introdujo algunas modificaciones redaccionales en esta Recomendación en 2018 y 2019 de conformidad con la Resolución UIT R 1.</w:t>
      </w:r>
      <w:bookmarkEnd w:id="1"/>
    </w:p>
  </w:footnote>
  <w:footnote w:id="2">
    <w:p w14:paraId="65454386" w14:textId="77777777" w:rsidR="00212875" w:rsidRPr="006825CD" w:rsidRDefault="00212875" w:rsidP="00BB3F73">
      <w:pPr>
        <w:pStyle w:val="FootnoteText"/>
        <w:rPr>
          <w:lang w:val="es-ES_tradnl"/>
        </w:rPr>
      </w:pPr>
      <w:r>
        <w:rPr>
          <w:rStyle w:val="FootnoteReference"/>
        </w:rPr>
        <w:footnoteRef/>
      </w:r>
      <w:r w:rsidRPr="006825CD">
        <w:rPr>
          <w:lang w:val="es-ES_tradnl"/>
        </w:rPr>
        <w:t xml:space="preserve"> </w:t>
      </w:r>
      <w:r w:rsidRPr="006825CD">
        <w:rPr>
          <w:lang w:val="es-ES_tradnl"/>
        </w:rPr>
        <w:tab/>
        <w:t>En situaciones prácticas la distancia entre la antena interferente y la antena interferida puede medirse entre los bordes más próximos de ambos sistemas de antena para mayor facilidad.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B911B" w14:textId="12546E2A" w:rsidR="00212875" w:rsidRDefault="00212875">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0039622A">
      <w:rPr>
        <w:rStyle w:val="PageNumber"/>
        <w:b/>
        <w:bCs/>
        <w:noProof/>
        <w:lang w:val="en-US"/>
      </w:rPr>
      <w:t>8</w:t>
    </w:r>
    <w:r>
      <w:rPr>
        <w:rStyle w:val="PageNumber"/>
        <w:b/>
        <w:bCs/>
      </w:rPr>
      <w:fldChar w:fldCharType="end"/>
    </w:r>
    <w:r>
      <w:rPr>
        <w:lang w:val="en-US"/>
      </w:rPr>
      <w:tab/>
    </w:r>
    <w:r>
      <w:rPr>
        <w:b/>
        <w:bCs/>
      </w:rPr>
      <w:fldChar w:fldCharType="begin"/>
    </w:r>
    <w:r>
      <w:rPr>
        <w:b/>
        <w:bCs/>
        <w:lang w:val="en-US"/>
      </w:rPr>
      <w:instrText xml:space="preserve"> DOCPROPERTY "Header" \* MERGEFORMAT </w:instrText>
    </w:r>
    <w:r>
      <w:rPr>
        <w:b/>
        <w:bCs/>
      </w:rPr>
      <w:fldChar w:fldCharType="separate"/>
    </w:r>
    <w:r w:rsidR="005A4A92">
      <w:rPr>
        <w:b/>
        <w:bCs/>
        <w:lang w:val="en-US"/>
      </w:rPr>
      <w:t xml:space="preserve">Rec. </w:t>
    </w:r>
    <w:r>
      <w:rPr>
        <w:b/>
        <w:bCs/>
      </w:rPr>
      <w:fldChar w:fldCharType="end"/>
    </w:r>
    <w:r>
      <w:rPr>
        <w:b/>
        <w:bCs/>
      </w:rPr>
      <w:t xml:space="preserve"> </w:t>
    </w:r>
    <w:r>
      <w:rPr>
        <w:b/>
        <w:bCs/>
      </w:rPr>
      <w:fldChar w:fldCharType="begin"/>
    </w:r>
    <w:r>
      <w:rPr>
        <w:b/>
        <w:bCs/>
        <w:lang w:val="en-US"/>
      </w:rPr>
      <w:instrText>styleref href</w:instrText>
    </w:r>
    <w:r>
      <w:rPr>
        <w:b/>
        <w:bCs/>
      </w:rPr>
      <w:fldChar w:fldCharType="separate"/>
    </w:r>
    <w:r w:rsidR="005A4A92">
      <w:rPr>
        <w:b/>
        <w:bCs/>
        <w:noProof/>
        <w:lang w:val="en-US"/>
      </w:rPr>
      <w:t>UIT-R  SM.337-6</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B7069" w14:textId="4B564530" w:rsidR="00212875" w:rsidRDefault="00212875">
    <w:pPr>
      <w:pStyle w:val="Header"/>
    </w:pPr>
    <w:r>
      <w:tab/>
    </w:r>
    <w:r>
      <w:rPr>
        <w:b/>
        <w:bCs/>
      </w:rPr>
      <w:fldChar w:fldCharType="begin"/>
    </w:r>
    <w:r>
      <w:rPr>
        <w:b/>
        <w:bCs/>
      </w:rPr>
      <w:instrText xml:space="preserve"> DOCPROPERTY "Header" \* MERGEFORMAT </w:instrText>
    </w:r>
    <w:r>
      <w:rPr>
        <w:b/>
        <w:bCs/>
      </w:rPr>
      <w:fldChar w:fldCharType="separate"/>
    </w:r>
    <w:r w:rsidR="005A4A92">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sidR="005A4A92">
      <w:rPr>
        <w:b/>
        <w:bCs/>
        <w:noProof/>
      </w:rPr>
      <w:t>UIT-R  SM.337-6</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sidR="0039622A">
      <w:rPr>
        <w:rStyle w:val="PageNumber"/>
        <w:b/>
        <w:bCs/>
        <w:noProof/>
      </w:rPr>
      <w:t>9</w:t>
    </w:r>
    <w:r>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mirrorMargins/>
  <w:hideSpellingErrors/>
  <w:hideGrammaticalErrors/>
  <w:activeWritingStyle w:appName="MSWord" w:lang="en-US" w:vendorID="64" w:dllVersion="131077" w:nlCheck="1" w:checkStyle="0"/>
  <w:activeWritingStyle w:appName="MSWord" w:lang="en-US" w:vendorID="64" w:dllVersion="131078" w:nlCheck="1" w:checkStyle="1"/>
  <w:activeWritingStyle w:appName="MSWord" w:lang="fr-FR"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s-ES" w:vendorID="64" w:dllVersion="0" w:nlCheck="1" w:checkStyle="0"/>
  <w:activeWritingStyle w:appName="MSWord" w:lang="es-ES_tradnl" w:vendorID="64" w:dllVersion="0" w:nlCheck="1" w:checkStyle="0"/>
  <w:activeWritingStyle w:appName="MSWord" w:lang="fr-FR"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B3F73"/>
    <w:rsid w:val="00212875"/>
    <w:rsid w:val="002D76C4"/>
    <w:rsid w:val="0039622A"/>
    <w:rsid w:val="005A4A92"/>
    <w:rsid w:val="00607D68"/>
    <w:rsid w:val="006825CD"/>
    <w:rsid w:val="007141E0"/>
    <w:rsid w:val="00791083"/>
    <w:rsid w:val="00A6617B"/>
    <w:rsid w:val="00AB0DC8"/>
    <w:rsid w:val="00AC1462"/>
    <w:rsid w:val="00B44E24"/>
    <w:rsid w:val="00BB3F73"/>
    <w:rsid w:val="00C704DF"/>
    <w:rsid w:val="00DF4176"/>
    <w:rsid w:val="00F915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3D3D2A"/>
  <w15:chartTrackingRefBased/>
  <w15:docId w15:val="{770BE090-934D-4536-BAC1-A0A83F5B2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25CD"/>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qFormat/>
    <w:rsid w:val="006825CD"/>
    <w:pPr>
      <w:keepNext/>
      <w:keepLines/>
      <w:spacing w:before="480"/>
      <w:ind w:left="794" w:hanging="794"/>
      <w:outlineLvl w:val="0"/>
    </w:pPr>
    <w:rPr>
      <w:b/>
    </w:rPr>
  </w:style>
  <w:style w:type="paragraph" w:styleId="Heading2">
    <w:name w:val="heading 2"/>
    <w:basedOn w:val="Heading1"/>
    <w:next w:val="Normal"/>
    <w:qFormat/>
    <w:rsid w:val="006825CD"/>
    <w:pPr>
      <w:spacing w:before="320"/>
      <w:outlineLvl w:val="1"/>
    </w:pPr>
  </w:style>
  <w:style w:type="paragraph" w:styleId="Heading3">
    <w:name w:val="heading 3"/>
    <w:basedOn w:val="Heading1"/>
    <w:next w:val="Normal"/>
    <w:qFormat/>
    <w:rsid w:val="006825CD"/>
    <w:pPr>
      <w:spacing w:before="200"/>
      <w:outlineLvl w:val="2"/>
    </w:pPr>
  </w:style>
  <w:style w:type="paragraph" w:styleId="Heading4">
    <w:name w:val="heading 4"/>
    <w:basedOn w:val="Heading3"/>
    <w:next w:val="Normal"/>
    <w:qFormat/>
    <w:rsid w:val="006825CD"/>
    <w:pPr>
      <w:tabs>
        <w:tab w:val="clear" w:pos="794"/>
        <w:tab w:val="left" w:pos="992"/>
      </w:tabs>
      <w:ind w:left="992" w:hanging="992"/>
      <w:outlineLvl w:val="3"/>
    </w:pPr>
  </w:style>
  <w:style w:type="paragraph" w:styleId="Heading5">
    <w:name w:val="heading 5"/>
    <w:basedOn w:val="Heading4"/>
    <w:next w:val="Normal"/>
    <w:qFormat/>
    <w:rsid w:val="006825CD"/>
    <w:pPr>
      <w:outlineLvl w:val="4"/>
    </w:pPr>
  </w:style>
  <w:style w:type="paragraph" w:styleId="Heading6">
    <w:name w:val="heading 6"/>
    <w:basedOn w:val="Heading4"/>
    <w:next w:val="Normal"/>
    <w:qFormat/>
    <w:rsid w:val="006825CD"/>
    <w:pPr>
      <w:tabs>
        <w:tab w:val="clear" w:pos="992"/>
        <w:tab w:val="clear" w:pos="1191"/>
      </w:tabs>
      <w:ind w:left="1588" w:hanging="1588"/>
      <w:outlineLvl w:val="5"/>
    </w:pPr>
  </w:style>
  <w:style w:type="paragraph" w:styleId="Heading7">
    <w:name w:val="heading 7"/>
    <w:basedOn w:val="Heading6"/>
    <w:next w:val="Normal"/>
    <w:qFormat/>
    <w:rsid w:val="006825CD"/>
    <w:pPr>
      <w:outlineLvl w:val="6"/>
    </w:pPr>
  </w:style>
  <w:style w:type="paragraph" w:styleId="Heading8">
    <w:name w:val="heading 8"/>
    <w:basedOn w:val="Heading6"/>
    <w:next w:val="Normal"/>
    <w:qFormat/>
    <w:rsid w:val="006825CD"/>
    <w:pPr>
      <w:outlineLvl w:val="7"/>
    </w:pPr>
  </w:style>
  <w:style w:type="paragraph" w:styleId="Heading9">
    <w:name w:val="heading 9"/>
    <w:basedOn w:val="Heading6"/>
    <w:next w:val="Normal"/>
    <w:qFormat/>
    <w:rsid w:val="006825CD"/>
    <w:pPr>
      <w:jc w:val="left"/>
      <w:outlineLvl w:val="8"/>
    </w:pPr>
  </w:style>
  <w:style w:type="character" w:default="1" w:styleId="DefaultParagraphFont">
    <w:name w:val="Default Paragraph Font"/>
    <w:semiHidden/>
    <w:rsid w:val="006825CD"/>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6825CD"/>
  </w:style>
  <w:style w:type="paragraph" w:styleId="Header">
    <w:name w:val="header"/>
    <w:basedOn w:val="Normal"/>
    <w:rsid w:val="006825CD"/>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rsid w:val="006825CD"/>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6825CD"/>
  </w:style>
  <w:style w:type="paragraph" w:customStyle="1" w:styleId="Headingb">
    <w:name w:val="Heading_b"/>
    <w:basedOn w:val="Heading3"/>
    <w:next w:val="Normal"/>
    <w:link w:val="HeadingbChar"/>
    <w:qFormat/>
    <w:rsid w:val="006825CD"/>
    <w:pPr>
      <w:spacing w:before="160"/>
      <w:ind w:left="0" w:firstLine="0"/>
      <w:outlineLvl w:val="9"/>
    </w:pPr>
  </w:style>
  <w:style w:type="paragraph" w:customStyle="1" w:styleId="Headingi">
    <w:name w:val="Heading_i"/>
    <w:basedOn w:val="Heading3"/>
    <w:next w:val="Normal"/>
    <w:rsid w:val="006825CD"/>
    <w:pPr>
      <w:spacing w:before="160"/>
      <w:ind w:left="0" w:firstLine="0"/>
    </w:pPr>
    <w:rPr>
      <w:b w:val="0"/>
      <w:i/>
    </w:rPr>
  </w:style>
  <w:style w:type="character" w:customStyle="1" w:styleId="href">
    <w:name w:val="href"/>
    <w:basedOn w:val="DefaultParagraphFont"/>
    <w:rsid w:val="006825CD"/>
  </w:style>
  <w:style w:type="paragraph" w:customStyle="1" w:styleId="enumlev1">
    <w:name w:val="enumlev1"/>
    <w:basedOn w:val="Normal"/>
    <w:rsid w:val="006825CD"/>
    <w:pPr>
      <w:spacing w:before="80"/>
      <w:ind w:left="794" w:hanging="794"/>
    </w:pPr>
  </w:style>
  <w:style w:type="paragraph" w:customStyle="1" w:styleId="enumlev2">
    <w:name w:val="enumlev2"/>
    <w:basedOn w:val="enumlev1"/>
    <w:rsid w:val="006825CD"/>
    <w:pPr>
      <w:ind w:left="1191" w:hanging="397"/>
    </w:pPr>
  </w:style>
  <w:style w:type="paragraph" w:customStyle="1" w:styleId="enumlev3">
    <w:name w:val="enumlev3"/>
    <w:basedOn w:val="enumlev2"/>
    <w:rsid w:val="006825CD"/>
    <w:pPr>
      <w:ind w:left="1588"/>
    </w:pPr>
  </w:style>
  <w:style w:type="paragraph" w:customStyle="1" w:styleId="Normalaftertitle">
    <w:name w:val="Normal_after_title"/>
    <w:basedOn w:val="Normal"/>
    <w:next w:val="Normal"/>
    <w:rsid w:val="006825CD"/>
    <w:pPr>
      <w:spacing w:before="320"/>
    </w:pPr>
  </w:style>
  <w:style w:type="paragraph" w:customStyle="1" w:styleId="Note">
    <w:name w:val="Note"/>
    <w:basedOn w:val="Normal"/>
    <w:rsid w:val="006825CD"/>
    <w:pPr>
      <w:tabs>
        <w:tab w:val="clear" w:pos="794"/>
        <w:tab w:val="clear" w:pos="1191"/>
        <w:tab w:val="clear" w:pos="1588"/>
        <w:tab w:val="clear" w:pos="1985"/>
      </w:tabs>
      <w:spacing w:before="80"/>
    </w:pPr>
    <w:rPr>
      <w:sz w:val="22"/>
    </w:rPr>
  </w:style>
  <w:style w:type="paragraph" w:customStyle="1" w:styleId="RecNo">
    <w:name w:val="Rec_No"/>
    <w:basedOn w:val="Normal"/>
    <w:next w:val="Rectitle"/>
    <w:rsid w:val="006825CD"/>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rsid w:val="006825CD"/>
    <w:pPr>
      <w:spacing w:before="240"/>
    </w:pPr>
    <w:rPr>
      <w:sz w:val="22"/>
      <w:lang w:val="es-ES_tradnl"/>
    </w:rPr>
  </w:style>
  <w:style w:type="paragraph" w:customStyle="1" w:styleId="Recref">
    <w:name w:val="Rec_ref"/>
    <w:basedOn w:val="Normal"/>
    <w:next w:val="Recdate"/>
    <w:rsid w:val="006825CD"/>
    <w:pPr>
      <w:jc w:val="center"/>
    </w:pPr>
  </w:style>
  <w:style w:type="paragraph" w:customStyle="1" w:styleId="Recdate">
    <w:name w:val="Rec_date"/>
    <w:basedOn w:val="Recref"/>
    <w:next w:val="Normalaftertitle"/>
    <w:rsid w:val="006825CD"/>
    <w:pPr>
      <w:jc w:val="right"/>
    </w:pPr>
  </w:style>
  <w:style w:type="paragraph" w:customStyle="1" w:styleId="AnnexNoTitle">
    <w:name w:val="Annex_NoTitle"/>
    <w:basedOn w:val="Normal"/>
    <w:next w:val="Normalaftertitle"/>
    <w:rsid w:val="007141E0"/>
    <w:pPr>
      <w:keepNext/>
      <w:keepLines/>
      <w:spacing w:before="480" w:after="80"/>
      <w:jc w:val="center"/>
      <w:outlineLvl w:val="0"/>
    </w:pPr>
    <w:rPr>
      <w:b/>
      <w:sz w:val="28"/>
    </w:rPr>
  </w:style>
  <w:style w:type="paragraph" w:customStyle="1" w:styleId="AppendixNoTitle">
    <w:name w:val="Appendix_NoTitle"/>
    <w:basedOn w:val="AnnexNoTitle"/>
    <w:next w:val="Normal"/>
    <w:rsid w:val="006825CD"/>
  </w:style>
  <w:style w:type="paragraph" w:customStyle="1" w:styleId="Tablefin">
    <w:name w:val="Table_fin"/>
    <w:basedOn w:val="Normal"/>
    <w:next w:val="Normal"/>
    <w:rsid w:val="006825CD"/>
    <w:pPr>
      <w:spacing w:before="0"/>
    </w:pPr>
    <w:rPr>
      <w:sz w:val="20"/>
      <w:lang w:val="en-GB"/>
    </w:rPr>
  </w:style>
  <w:style w:type="paragraph" w:customStyle="1" w:styleId="Tablehead">
    <w:name w:val="Table_head"/>
    <w:basedOn w:val="Normal"/>
    <w:next w:val="Normal"/>
    <w:rsid w:val="006825CD"/>
    <w:pPr>
      <w:keepNext/>
      <w:tabs>
        <w:tab w:val="clear" w:pos="794"/>
        <w:tab w:val="clear" w:pos="1191"/>
        <w:tab w:val="clear" w:pos="1588"/>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6825CD"/>
    <w:pPr>
      <w:tabs>
        <w:tab w:val="clear" w:pos="794"/>
        <w:tab w:val="clear" w:pos="1191"/>
        <w:tab w:val="clear" w:pos="1588"/>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rsid w:val="006825CD"/>
    <w:pPr>
      <w:keepNext/>
      <w:spacing w:before="360" w:after="120"/>
      <w:jc w:val="center"/>
    </w:pPr>
  </w:style>
  <w:style w:type="paragraph" w:customStyle="1" w:styleId="Tabletext">
    <w:name w:val="Table_text"/>
    <w:basedOn w:val="Normal"/>
    <w:rsid w:val="006825CD"/>
    <w:pPr>
      <w:tabs>
        <w:tab w:val="clear" w:pos="794"/>
        <w:tab w:val="clear" w:pos="1191"/>
        <w:tab w:val="clear" w:pos="1588"/>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rsid w:val="006825CD"/>
    <w:pPr>
      <w:tabs>
        <w:tab w:val="clear" w:pos="1191"/>
        <w:tab w:val="clear" w:pos="1588"/>
        <w:tab w:val="clear" w:pos="1985"/>
        <w:tab w:val="center" w:pos="4820"/>
        <w:tab w:val="right" w:pos="9639"/>
      </w:tabs>
    </w:pPr>
  </w:style>
  <w:style w:type="paragraph" w:customStyle="1" w:styleId="Equationlegend">
    <w:name w:val="Equation_legend"/>
    <w:basedOn w:val="NormalIndent"/>
    <w:rsid w:val="006825CD"/>
    <w:pPr>
      <w:tabs>
        <w:tab w:val="clear" w:pos="794"/>
        <w:tab w:val="clear" w:pos="1191"/>
        <w:tab w:val="clear" w:pos="1588"/>
        <w:tab w:val="right" w:pos="1701"/>
        <w:tab w:val="left" w:pos="1985"/>
      </w:tabs>
      <w:spacing w:before="80"/>
      <w:ind w:left="1985" w:hanging="1985"/>
    </w:pPr>
    <w:rPr>
      <w:lang w:val="en-US"/>
    </w:rPr>
  </w:style>
  <w:style w:type="paragraph" w:styleId="NormalIndent">
    <w:name w:val="Normal Indent"/>
    <w:basedOn w:val="Normal"/>
    <w:rsid w:val="006825CD"/>
    <w:pPr>
      <w:ind w:left="794"/>
    </w:pPr>
  </w:style>
  <w:style w:type="paragraph" w:customStyle="1" w:styleId="Figurelegend">
    <w:name w:val="Figure_legend"/>
    <w:basedOn w:val="Normal"/>
    <w:rsid w:val="006825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rsid w:val="006825CD"/>
    <w:pPr>
      <w:keepNext/>
      <w:keepLines/>
      <w:spacing w:before="480" w:after="80"/>
      <w:jc w:val="center"/>
    </w:pPr>
    <w:rPr>
      <w:caps/>
      <w:sz w:val="18"/>
    </w:rPr>
  </w:style>
  <w:style w:type="paragraph" w:customStyle="1" w:styleId="tocpart">
    <w:name w:val="tocpart"/>
    <w:basedOn w:val="Normal"/>
    <w:rsid w:val="006825CD"/>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6825CD"/>
    <w:pPr>
      <w:keepNext/>
      <w:keepLines/>
      <w:spacing w:before="480"/>
      <w:jc w:val="center"/>
    </w:pPr>
    <w:rPr>
      <w:sz w:val="28"/>
    </w:rPr>
  </w:style>
  <w:style w:type="paragraph" w:customStyle="1" w:styleId="Arttitle">
    <w:name w:val="Art_title"/>
    <w:basedOn w:val="Normal"/>
    <w:next w:val="Normalaftertitle"/>
    <w:rsid w:val="006825CD"/>
    <w:pPr>
      <w:keepNext/>
      <w:keepLines/>
      <w:spacing w:before="240"/>
      <w:jc w:val="center"/>
    </w:pPr>
    <w:rPr>
      <w:b/>
      <w:sz w:val="28"/>
    </w:rPr>
  </w:style>
  <w:style w:type="paragraph" w:customStyle="1" w:styleId="Blanc">
    <w:name w:val="Blanc"/>
    <w:basedOn w:val="Normal"/>
    <w:next w:val="Tabletext"/>
    <w:rsid w:val="006825CD"/>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6825C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rsid w:val="006825CD"/>
    <w:pPr>
      <w:keepNext/>
      <w:keepLines/>
      <w:spacing w:before="160"/>
      <w:ind w:left="794"/>
    </w:pPr>
    <w:rPr>
      <w:i/>
    </w:rPr>
  </w:style>
  <w:style w:type="paragraph" w:customStyle="1" w:styleId="ChapNo">
    <w:name w:val="Chap_No"/>
    <w:basedOn w:val="ArtNo"/>
    <w:next w:val="Chaptitle"/>
    <w:rsid w:val="006825CD"/>
    <w:rPr>
      <w:b/>
    </w:rPr>
  </w:style>
  <w:style w:type="paragraph" w:customStyle="1" w:styleId="Chaptitle">
    <w:name w:val="Chap_title"/>
    <w:basedOn w:val="Arttitle"/>
    <w:next w:val="Normalaftertitle"/>
    <w:rsid w:val="006825CD"/>
  </w:style>
  <w:style w:type="character" w:styleId="FootnoteReference">
    <w:name w:val="footnote reference"/>
    <w:basedOn w:val="DefaultParagraphFont"/>
    <w:semiHidden/>
    <w:rsid w:val="006825CD"/>
    <w:rPr>
      <w:position w:val="6"/>
      <w:sz w:val="18"/>
    </w:rPr>
  </w:style>
  <w:style w:type="paragraph" w:styleId="FootnoteText">
    <w:name w:val="footnote text"/>
    <w:basedOn w:val="Normal"/>
    <w:semiHidden/>
    <w:rsid w:val="006825CD"/>
    <w:pPr>
      <w:keepLines/>
      <w:tabs>
        <w:tab w:val="left" w:pos="255"/>
      </w:tabs>
      <w:ind w:left="255" w:hanging="255"/>
    </w:pPr>
    <w:rPr>
      <w:sz w:val="22"/>
    </w:rPr>
  </w:style>
  <w:style w:type="paragraph" w:styleId="Index1">
    <w:name w:val="index 1"/>
    <w:basedOn w:val="Normal"/>
    <w:next w:val="Normal"/>
    <w:semiHidden/>
    <w:rsid w:val="006825CD"/>
  </w:style>
  <w:style w:type="paragraph" w:styleId="Index2">
    <w:name w:val="index 2"/>
    <w:basedOn w:val="Normal"/>
    <w:next w:val="Normal"/>
    <w:semiHidden/>
    <w:rsid w:val="006825CD"/>
    <w:pPr>
      <w:ind w:left="283"/>
    </w:pPr>
  </w:style>
  <w:style w:type="paragraph" w:styleId="Index3">
    <w:name w:val="index 3"/>
    <w:basedOn w:val="Normal"/>
    <w:next w:val="Normal"/>
    <w:semiHidden/>
    <w:rsid w:val="006825CD"/>
    <w:pPr>
      <w:ind w:left="566"/>
    </w:pPr>
  </w:style>
  <w:style w:type="paragraph" w:styleId="IndexHeading">
    <w:name w:val="index heading"/>
    <w:basedOn w:val="Normal"/>
    <w:next w:val="Index1"/>
    <w:semiHidden/>
    <w:rsid w:val="006825CD"/>
  </w:style>
  <w:style w:type="paragraph" w:customStyle="1" w:styleId="Line">
    <w:name w:val="Line"/>
    <w:basedOn w:val="Normal"/>
    <w:next w:val="Normal"/>
    <w:rsid w:val="006825CD"/>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6825CD"/>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6825CD"/>
  </w:style>
  <w:style w:type="paragraph" w:customStyle="1" w:styleId="Partref">
    <w:name w:val="Part_ref"/>
    <w:basedOn w:val="Normal"/>
    <w:next w:val="Normal"/>
    <w:rsid w:val="006825CD"/>
    <w:pPr>
      <w:keepNext/>
      <w:keepLines/>
      <w:spacing w:after="280"/>
      <w:jc w:val="center"/>
    </w:pPr>
  </w:style>
  <w:style w:type="paragraph" w:customStyle="1" w:styleId="Parttitle">
    <w:name w:val="Part_title"/>
    <w:basedOn w:val="Normal"/>
    <w:next w:val="Normalaftertitle"/>
    <w:rsid w:val="006825CD"/>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6825CD"/>
  </w:style>
  <w:style w:type="paragraph" w:customStyle="1" w:styleId="QuestionNo">
    <w:name w:val="Question_No"/>
    <w:basedOn w:val="RecNo"/>
    <w:next w:val="Normal"/>
    <w:rsid w:val="006825CD"/>
  </w:style>
  <w:style w:type="paragraph" w:customStyle="1" w:styleId="Questionref">
    <w:name w:val="Question_ref"/>
    <w:basedOn w:val="Recref"/>
    <w:next w:val="Questiondate"/>
    <w:rsid w:val="006825CD"/>
  </w:style>
  <w:style w:type="paragraph" w:customStyle="1" w:styleId="Questiontitle">
    <w:name w:val="Question_title"/>
    <w:basedOn w:val="Normal"/>
    <w:next w:val="Questionref"/>
    <w:rsid w:val="006825CD"/>
  </w:style>
  <w:style w:type="paragraph" w:customStyle="1" w:styleId="Reftext">
    <w:name w:val="Ref_text"/>
    <w:basedOn w:val="Normal"/>
    <w:rsid w:val="006825CD"/>
    <w:pPr>
      <w:ind w:left="794" w:hanging="794"/>
    </w:pPr>
    <w:rPr>
      <w:sz w:val="22"/>
    </w:rPr>
  </w:style>
  <w:style w:type="paragraph" w:customStyle="1" w:styleId="Reftitle">
    <w:name w:val="Ref_title"/>
    <w:basedOn w:val="Normal"/>
    <w:next w:val="Reftext"/>
    <w:rsid w:val="006825CD"/>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6825CD"/>
  </w:style>
  <w:style w:type="paragraph" w:customStyle="1" w:styleId="RepNo">
    <w:name w:val="Rep_No"/>
    <w:basedOn w:val="RecNo"/>
    <w:next w:val="Reptitle"/>
    <w:rsid w:val="006825CD"/>
  </w:style>
  <w:style w:type="paragraph" w:customStyle="1" w:styleId="Repref">
    <w:name w:val="Rep_ref"/>
    <w:basedOn w:val="Recref"/>
    <w:next w:val="Repdate"/>
    <w:rsid w:val="006825CD"/>
  </w:style>
  <w:style w:type="paragraph" w:customStyle="1" w:styleId="Reptitle">
    <w:name w:val="Rep_title"/>
    <w:basedOn w:val="Rectitle"/>
    <w:next w:val="Repref"/>
    <w:rsid w:val="006825CD"/>
  </w:style>
  <w:style w:type="paragraph" w:customStyle="1" w:styleId="Resdate">
    <w:name w:val="Res_date"/>
    <w:basedOn w:val="Recdate"/>
    <w:next w:val="Normalaftertitle"/>
    <w:rsid w:val="006825CD"/>
  </w:style>
  <w:style w:type="paragraph" w:customStyle="1" w:styleId="ResNo">
    <w:name w:val="Res_No"/>
    <w:basedOn w:val="RecNo"/>
    <w:next w:val="Restitle"/>
    <w:rsid w:val="006825CD"/>
  </w:style>
  <w:style w:type="paragraph" w:customStyle="1" w:styleId="Resref">
    <w:name w:val="Res_ref"/>
    <w:basedOn w:val="Recref"/>
    <w:next w:val="Resdate"/>
    <w:rsid w:val="006825CD"/>
  </w:style>
  <w:style w:type="paragraph" w:customStyle="1" w:styleId="Restitle">
    <w:name w:val="Res_title"/>
    <w:basedOn w:val="Normal"/>
    <w:next w:val="Resref"/>
    <w:rsid w:val="006825CD"/>
    <w:pPr>
      <w:spacing w:before="240"/>
      <w:jc w:val="center"/>
    </w:pPr>
    <w:rPr>
      <w:b/>
      <w:sz w:val="28"/>
    </w:rPr>
  </w:style>
  <w:style w:type="paragraph" w:customStyle="1" w:styleId="SectionNo">
    <w:name w:val="Section_No"/>
    <w:basedOn w:val="Normal"/>
    <w:next w:val="Normal"/>
    <w:rsid w:val="006825CD"/>
  </w:style>
  <w:style w:type="paragraph" w:customStyle="1" w:styleId="Sectiontitle">
    <w:name w:val="Section_title"/>
    <w:basedOn w:val="Normal"/>
    <w:next w:val="Normalaftertitle"/>
    <w:rsid w:val="006825CD"/>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6825CD"/>
    <w:pPr>
      <w:tabs>
        <w:tab w:val="clear" w:pos="794"/>
        <w:tab w:val="clear" w:pos="1191"/>
        <w:tab w:val="clear" w:pos="1588"/>
        <w:tab w:val="clear" w:pos="1985"/>
        <w:tab w:val="right" w:pos="9611"/>
      </w:tabs>
    </w:pPr>
    <w:rPr>
      <w:i/>
    </w:rPr>
  </w:style>
  <w:style w:type="paragraph" w:styleId="TOC1">
    <w:name w:val="toc 1"/>
    <w:basedOn w:val="Normal"/>
    <w:semiHidden/>
    <w:rsid w:val="006825CD"/>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rsid w:val="006825CD"/>
    <w:pPr>
      <w:tabs>
        <w:tab w:val="clear" w:pos="567"/>
        <w:tab w:val="left" w:pos="1276"/>
      </w:tabs>
      <w:spacing w:before="160"/>
      <w:ind w:left="1276" w:hanging="709"/>
    </w:pPr>
  </w:style>
  <w:style w:type="paragraph" w:styleId="TOC3">
    <w:name w:val="toc 3"/>
    <w:basedOn w:val="TOC2"/>
    <w:semiHidden/>
    <w:rsid w:val="006825CD"/>
    <w:pPr>
      <w:tabs>
        <w:tab w:val="clear" w:pos="1276"/>
        <w:tab w:val="left" w:pos="2155"/>
      </w:tabs>
      <w:ind w:left="2155" w:hanging="879"/>
    </w:pPr>
  </w:style>
  <w:style w:type="paragraph" w:styleId="TOC4">
    <w:name w:val="toc 4"/>
    <w:basedOn w:val="TOC3"/>
    <w:semiHidden/>
    <w:rsid w:val="006825CD"/>
    <w:pPr>
      <w:tabs>
        <w:tab w:val="left" w:pos="3261"/>
      </w:tabs>
      <w:spacing w:before="80"/>
      <w:ind w:left="3261" w:hanging="993"/>
    </w:pPr>
  </w:style>
  <w:style w:type="paragraph" w:styleId="TOC5">
    <w:name w:val="toc 5"/>
    <w:basedOn w:val="TOC4"/>
    <w:semiHidden/>
    <w:rsid w:val="006825CD"/>
  </w:style>
  <w:style w:type="paragraph" w:styleId="TOC6">
    <w:name w:val="toc 6"/>
    <w:basedOn w:val="TOC4"/>
    <w:semiHidden/>
    <w:rsid w:val="006825CD"/>
  </w:style>
  <w:style w:type="paragraph" w:styleId="TOC7">
    <w:name w:val="toc 7"/>
    <w:basedOn w:val="TOC4"/>
    <w:semiHidden/>
    <w:rsid w:val="006825CD"/>
  </w:style>
  <w:style w:type="paragraph" w:styleId="TOC8">
    <w:name w:val="toc 8"/>
    <w:basedOn w:val="TOC4"/>
    <w:semiHidden/>
    <w:rsid w:val="006825CD"/>
  </w:style>
  <w:style w:type="paragraph" w:customStyle="1" w:styleId="Rectitle">
    <w:name w:val="Rec_title"/>
    <w:basedOn w:val="Normal"/>
    <w:next w:val="Recref"/>
    <w:rsid w:val="006825CD"/>
    <w:pPr>
      <w:keepNext/>
      <w:keepLines/>
      <w:spacing w:before="240"/>
      <w:jc w:val="center"/>
    </w:pPr>
    <w:rPr>
      <w:b/>
      <w:sz w:val="28"/>
    </w:rPr>
  </w:style>
  <w:style w:type="paragraph" w:customStyle="1" w:styleId="Annexref">
    <w:name w:val="Annex_ref"/>
    <w:basedOn w:val="Normal"/>
    <w:next w:val="Normalaftertitle"/>
    <w:rsid w:val="006825CD"/>
    <w:pPr>
      <w:keepNext/>
      <w:keepLines/>
      <w:spacing w:after="280"/>
      <w:jc w:val="center"/>
    </w:pPr>
  </w:style>
  <w:style w:type="paragraph" w:customStyle="1" w:styleId="Appendixref">
    <w:name w:val="Appendix_ref"/>
    <w:basedOn w:val="Annexref"/>
    <w:next w:val="Normalaftertitle"/>
    <w:rsid w:val="006825CD"/>
  </w:style>
  <w:style w:type="paragraph" w:customStyle="1" w:styleId="Figuretitle">
    <w:name w:val="Figure_title"/>
    <w:basedOn w:val="Normal"/>
    <w:next w:val="Figure"/>
    <w:rsid w:val="006825CD"/>
    <w:pPr>
      <w:keepNext/>
      <w:spacing w:before="0" w:after="120"/>
      <w:jc w:val="center"/>
    </w:pPr>
    <w:rPr>
      <w:rFonts w:ascii="Times New Roman Bold" w:hAnsi="Times New Roman Bold"/>
      <w:b/>
      <w:sz w:val="18"/>
    </w:rPr>
  </w:style>
  <w:style w:type="paragraph" w:customStyle="1" w:styleId="Tabletitle">
    <w:name w:val="Table_title"/>
    <w:basedOn w:val="Normal"/>
    <w:next w:val="Tablehead"/>
    <w:rsid w:val="006825CD"/>
    <w:pPr>
      <w:keepNext/>
      <w:spacing w:before="0" w:after="120"/>
      <w:jc w:val="center"/>
    </w:pPr>
    <w:rPr>
      <w:b/>
    </w:rPr>
  </w:style>
  <w:style w:type="paragraph" w:customStyle="1" w:styleId="Summary">
    <w:name w:val="Summary"/>
    <w:basedOn w:val="Normal"/>
    <w:next w:val="Normalaftertitle"/>
    <w:rsid w:val="006825CD"/>
    <w:pPr>
      <w:spacing w:after="480"/>
    </w:pPr>
    <w:rPr>
      <w:sz w:val="22"/>
      <w:lang w:val="es-ES_tradnl"/>
    </w:rPr>
  </w:style>
  <w:style w:type="character" w:customStyle="1" w:styleId="Artref">
    <w:name w:val="Art_ref"/>
    <w:rsid w:val="007141E0"/>
  </w:style>
  <w:style w:type="paragraph" w:customStyle="1" w:styleId="Figure">
    <w:name w:val="Figure"/>
    <w:basedOn w:val="FigureNo"/>
    <w:next w:val="Normal"/>
    <w:rsid w:val="006825CD"/>
    <w:pPr>
      <w:keepNext w:val="0"/>
      <w:spacing w:before="0" w:after="240"/>
    </w:pPr>
  </w:style>
  <w:style w:type="character" w:customStyle="1" w:styleId="HeadingbChar">
    <w:name w:val="Heading_b Char"/>
    <w:link w:val="Headingb"/>
    <w:locked/>
    <w:rsid w:val="007141E0"/>
    <w:rPr>
      <w:b/>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wmf"/><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oleObject" Target="embeddings/oleObject17.bin"/><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8" Type="http://schemas.openxmlformats.org/officeDocument/2006/relationships/image" Target="media/image1.wmf"/><Relationship Id="rId51" Type="http://schemas.openxmlformats.org/officeDocument/2006/relationships/oleObject" Target="embeddings/oleObject22.bin"/><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tosbo\Application%20Data\Microsoft\Templates\QuickPub%20-%20ITU\BR_Rec_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9C356-E401-4884-BA2A-190889E82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Template>
  <TotalTime>9</TotalTime>
  <Pages>13</Pages>
  <Words>4077</Words>
  <Characters>21125</Characters>
  <Application>Microsoft Office Word</Application>
  <DocSecurity>0</DocSecurity>
  <Lines>502</Lines>
  <Paragraphs>300</Paragraphs>
  <ScaleCrop>false</ScaleCrop>
  <HeadingPairs>
    <vt:vector size="2" baseType="variant">
      <vt:variant>
        <vt:lpstr>Title</vt:lpstr>
      </vt:variant>
      <vt:variant>
        <vt:i4>1</vt:i4>
      </vt:variant>
    </vt:vector>
  </HeadingPairs>
  <TitlesOfParts>
    <vt:vector size="1" baseType="lpstr">
      <vt:lpstr>RECOMENDACIÓN  UIT-R  SM.337-6* - Separaciones en frecuencia y en distancia</vt:lpstr>
    </vt:vector>
  </TitlesOfParts>
  <Manager/>
  <Company>ITU</Company>
  <LinksUpToDate>false</LinksUpToDate>
  <CharactersWithSpaces>24902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RECOMENDACIÓN  UIT-R  SM.337-6* - Separaciones en frecuencia y en distancia</dc:title>
  <dc:subject>Serie SM = Gestión del espectro</dc:subject>
  <dc:creator>Oficina de Radiocomunicaciones del UIT (BR)</dc:creator>
  <cp:keywords>SM,337-6*</cp:keywords>
  <dc:description>Gachetc, 01/06/2020, ITU51013811</dc:description>
  <cp:lastModifiedBy>Gachet, Christelle</cp:lastModifiedBy>
  <cp:revision>5</cp:revision>
  <cp:lastPrinted>2020-06-01T07:36:00Z</cp:lastPrinted>
  <dcterms:created xsi:type="dcterms:W3CDTF">2020-06-01T07:26:00Z</dcterms:created>
  <dcterms:modified xsi:type="dcterms:W3CDTF">2020-06-01T07:37:00Z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y fmtid="{D5CDD505-2E9C-101B-9397-08002B2CF9AE}" pid="9" name="Language">
    <vt:lpwstr>Spanish</vt:lpwstr>
  </property>
  <property fmtid="{D5CDD505-2E9C-101B-9397-08002B2CF9AE}" pid="10" name="Typist">
    <vt:lpwstr>Gachetc</vt:lpwstr>
  </property>
  <property fmtid="{D5CDD505-2E9C-101B-9397-08002B2CF9AE}" pid="11" name="Date completed">
    <vt:lpwstr>01 June 2020</vt:lpwstr>
  </property>
</Properties>
</file>