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0A2E" w14:textId="39657732" w:rsidR="003E3EB5" w:rsidRPr="006F5D9F" w:rsidRDefault="003E3EB5" w:rsidP="003E3EB5">
      <w:pPr>
        <w:pStyle w:val="RecNo"/>
        <w:tabs>
          <w:tab w:val="left" w:pos="7380"/>
        </w:tabs>
        <w:spacing w:before="0"/>
        <w:rPr>
          <w:lang w:val="fr-CH"/>
        </w:rPr>
      </w:pPr>
      <w:proofErr w:type="gramStart"/>
      <w:r w:rsidRPr="006F5D9F">
        <w:rPr>
          <w:lang w:val="fr-CH"/>
        </w:rPr>
        <w:t xml:space="preserve">RECOMMANDATION  </w:t>
      </w:r>
      <w:r w:rsidRPr="006F5D9F">
        <w:rPr>
          <w:rStyle w:val="href"/>
          <w:lang w:val="fr-CH"/>
        </w:rPr>
        <w:t>UIT</w:t>
      </w:r>
      <w:proofErr w:type="gramEnd"/>
      <w:r w:rsidRPr="006F5D9F">
        <w:rPr>
          <w:rStyle w:val="href"/>
          <w:lang w:val="fr-CH"/>
        </w:rPr>
        <w:t>-R  SM.337-6</w:t>
      </w:r>
      <w:r w:rsidR="006775E3">
        <w:rPr>
          <w:rStyle w:val="FootnoteReference"/>
          <w:lang w:val="fr-CH"/>
        </w:rPr>
        <w:footnoteReference w:customMarkFollows="1" w:id="1"/>
        <w:t>*</w:t>
      </w:r>
    </w:p>
    <w:p w14:paraId="5993826B" w14:textId="77777777" w:rsidR="003E3EB5" w:rsidRPr="006F5D9F" w:rsidRDefault="003E3EB5" w:rsidP="003E3EB5">
      <w:pPr>
        <w:pStyle w:val="Rectitle"/>
        <w:rPr>
          <w:lang w:val="fr-CH"/>
        </w:rPr>
      </w:pPr>
      <w:r w:rsidRPr="006F5D9F">
        <w:rPr>
          <w:lang w:val="fr-CH"/>
        </w:rPr>
        <w:t>Séparations en fréquence et en distance</w:t>
      </w:r>
    </w:p>
    <w:p w14:paraId="77596B28" w14:textId="77777777" w:rsidR="003E3EB5" w:rsidRPr="006F5D9F" w:rsidRDefault="003E3EB5" w:rsidP="003E3EB5">
      <w:pPr>
        <w:pStyle w:val="Recdate"/>
        <w:rPr>
          <w:lang w:val="fr-CH"/>
        </w:rPr>
      </w:pPr>
      <w:r w:rsidRPr="006F5D9F">
        <w:rPr>
          <w:lang w:val="fr-CH"/>
        </w:rPr>
        <w:t>(1948-1951-1953-1963-1970-1974-1990-1992-1997-2007-2008)</w:t>
      </w:r>
    </w:p>
    <w:p w14:paraId="519B1F99" w14:textId="583D6D89" w:rsidR="003E3EB5" w:rsidRPr="006F5D9F" w:rsidRDefault="003E3EB5" w:rsidP="003E3EB5">
      <w:pPr>
        <w:pStyle w:val="HeadingSum"/>
        <w:rPr>
          <w:lang w:val="fr-CH"/>
        </w:rPr>
      </w:pPr>
      <w:r w:rsidRPr="006F5D9F">
        <w:rPr>
          <w:lang w:val="fr-CH"/>
        </w:rPr>
        <w:t xml:space="preserve">Domaine </w:t>
      </w:r>
      <w:r w:rsidR="006775E3">
        <w:rPr>
          <w:lang w:val="fr-CH"/>
        </w:rPr>
        <w:t>d'application</w:t>
      </w:r>
    </w:p>
    <w:p w14:paraId="47180540" w14:textId="6958E691" w:rsidR="003E3EB5" w:rsidRDefault="003E3EB5" w:rsidP="003230AF">
      <w:pPr>
        <w:pStyle w:val="Summary"/>
        <w:spacing w:after="120"/>
        <w:rPr>
          <w:lang w:val="fr-CH"/>
        </w:rPr>
      </w:pPr>
      <w:r w:rsidRPr="006F5D9F">
        <w:rPr>
          <w:lang w:val="fr-CH"/>
        </w:rPr>
        <w:t>La présente Recommandation énonce les procédures à suivre pour le calcul des séparations en fréquence et en distance pour un niveau acceptable de brouillage.</w:t>
      </w:r>
    </w:p>
    <w:p w14:paraId="0A015334" w14:textId="77777777" w:rsidR="006775E3" w:rsidRPr="00B26D9B" w:rsidRDefault="006775E3" w:rsidP="006775E3">
      <w:pPr>
        <w:pStyle w:val="Headingb"/>
        <w:rPr>
          <w:rFonts w:eastAsia="Batang"/>
        </w:rPr>
      </w:pPr>
      <w:r w:rsidRPr="00B26D9B">
        <w:rPr>
          <w:rFonts w:eastAsia="Batang"/>
        </w:rPr>
        <w:t>Mots clés</w:t>
      </w:r>
    </w:p>
    <w:p w14:paraId="6FE1BADE" w14:textId="77777777" w:rsidR="006775E3" w:rsidRPr="006775E3" w:rsidRDefault="006775E3" w:rsidP="006775E3">
      <w:r w:rsidRPr="006775E3">
        <w:rPr>
          <w:rFonts w:eastAsia="Calibri"/>
        </w:rPr>
        <w:t>Niveau de brouillage, sélectivit</w:t>
      </w:r>
      <w:r w:rsidRPr="00B26D9B">
        <w:rPr>
          <w:rFonts w:eastAsia="Calibri"/>
        </w:rPr>
        <w:t>é du récepteur</w:t>
      </w:r>
      <w:r w:rsidRPr="006775E3">
        <w:rPr>
          <w:rFonts w:eastAsia="Calibri"/>
        </w:rPr>
        <w:t xml:space="preserve">, </w:t>
      </w:r>
      <w:r w:rsidRPr="00B26D9B">
        <w:rPr>
          <w:rFonts w:eastAsia="Calibri"/>
        </w:rPr>
        <w:t>canal</w:t>
      </w:r>
      <w:r w:rsidRPr="006775E3">
        <w:rPr>
          <w:rFonts w:eastAsia="Calibri"/>
        </w:rPr>
        <w:t>, s</w:t>
      </w:r>
      <w:r w:rsidRPr="00B26D9B">
        <w:rPr>
          <w:rFonts w:eastAsia="Calibri"/>
        </w:rPr>
        <w:t>é</w:t>
      </w:r>
      <w:r w:rsidRPr="006775E3">
        <w:rPr>
          <w:rFonts w:eastAsia="Calibri"/>
        </w:rPr>
        <w:t>paration</w:t>
      </w:r>
      <w:r w:rsidRPr="00B26D9B">
        <w:rPr>
          <w:rFonts w:eastAsia="Calibri"/>
        </w:rPr>
        <w:t xml:space="preserve"> en fréquence</w:t>
      </w:r>
      <w:r w:rsidRPr="006775E3">
        <w:rPr>
          <w:rFonts w:eastAsia="Calibri"/>
        </w:rPr>
        <w:t xml:space="preserve">, </w:t>
      </w:r>
      <w:r w:rsidRPr="00B26D9B">
        <w:rPr>
          <w:rFonts w:eastAsia="Calibri"/>
        </w:rPr>
        <w:t xml:space="preserve">rapport de </w:t>
      </w:r>
      <w:r w:rsidRPr="006775E3">
        <w:rPr>
          <w:rFonts w:eastAsia="Calibri"/>
        </w:rPr>
        <w:t xml:space="preserve">protection </w:t>
      </w:r>
    </w:p>
    <w:p w14:paraId="7F8E4BD3" w14:textId="77777777" w:rsidR="003E3EB5" w:rsidRPr="006F5D9F" w:rsidRDefault="003E3EB5" w:rsidP="003E3EB5">
      <w:pPr>
        <w:pStyle w:val="Normalaftertitle"/>
        <w:rPr>
          <w:lang w:val="fr-CH"/>
        </w:rPr>
      </w:pPr>
      <w:r w:rsidRPr="006F5D9F">
        <w:rPr>
          <w:lang w:val="fr-CH"/>
        </w:rPr>
        <w:t>L'Assemblée des radiocommunications de l'UIT,</w:t>
      </w:r>
    </w:p>
    <w:p w14:paraId="10FFED38" w14:textId="77777777" w:rsidR="003E3EB5" w:rsidRPr="006F5D9F" w:rsidRDefault="003E3EB5" w:rsidP="003E3EB5">
      <w:pPr>
        <w:pStyle w:val="Call"/>
        <w:rPr>
          <w:lang w:val="fr-CH"/>
        </w:rPr>
      </w:pPr>
      <w:proofErr w:type="gramStart"/>
      <w:r w:rsidRPr="006F5D9F">
        <w:rPr>
          <w:lang w:val="fr-CH"/>
        </w:rPr>
        <w:t>considérant</w:t>
      </w:r>
      <w:proofErr w:type="gramEnd"/>
    </w:p>
    <w:p w14:paraId="453C31B8" w14:textId="77777777" w:rsidR="003E3EB5" w:rsidRPr="006F5D9F" w:rsidRDefault="003E3EB5" w:rsidP="003E3EB5">
      <w:pPr>
        <w:rPr>
          <w:lang w:val="fr-CH"/>
        </w:rPr>
      </w:pPr>
      <w:r w:rsidRPr="006F5D9F">
        <w:rPr>
          <w:lang w:val="fr-CH"/>
        </w:rPr>
        <w:t>a)</w:t>
      </w:r>
      <w:r w:rsidRPr="006F5D9F">
        <w:rPr>
          <w:lang w:val="fr-CH"/>
        </w:rPr>
        <w:tab/>
        <w:t xml:space="preserve">que les facteurs primordiaux qui déterminent les critères appropriés de séparation en fréquence ou en distance sont, dans les cas les plus </w:t>
      </w:r>
      <w:proofErr w:type="gramStart"/>
      <w:r w:rsidRPr="006F5D9F">
        <w:rPr>
          <w:lang w:val="fr-CH"/>
        </w:rPr>
        <w:t>courants:</w:t>
      </w:r>
      <w:proofErr w:type="gramEnd"/>
    </w:p>
    <w:p w14:paraId="314C3869" w14:textId="77777777" w:rsidR="003E3EB5" w:rsidRPr="006F5D9F" w:rsidRDefault="003E3EB5" w:rsidP="007F2F42">
      <w:pPr>
        <w:pStyle w:val="enumlev1"/>
        <w:rPr>
          <w:lang w:val="fr-CH"/>
        </w:rPr>
      </w:pPr>
      <w:r w:rsidRPr="006F5D9F">
        <w:rPr>
          <w:lang w:val="fr-CH"/>
        </w:rPr>
        <w:t>–</w:t>
      </w:r>
      <w:r w:rsidRPr="006F5D9F">
        <w:rPr>
          <w:lang w:val="fr-CH"/>
        </w:rPr>
        <w:tab/>
        <w:t xml:space="preserve">la puissance et la distribution spectrale du signal requises par le </w:t>
      </w:r>
      <w:proofErr w:type="gramStart"/>
      <w:r w:rsidRPr="006F5D9F">
        <w:rPr>
          <w:lang w:val="fr-CH"/>
        </w:rPr>
        <w:t>récepteur</w:t>
      </w:r>
      <w:r w:rsidR="007F2F42">
        <w:rPr>
          <w:lang w:val="fr-CH"/>
        </w:rPr>
        <w:t>;</w:t>
      </w:r>
      <w:proofErr w:type="gramEnd"/>
    </w:p>
    <w:p w14:paraId="541CE272" w14:textId="77777777" w:rsidR="003E3EB5" w:rsidRPr="006F5D9F" w:rsidRDefault="003E3EB5" w:rsidP="007F2F42">
      <w:pPr>
        <w:pStyle w:val="enumlev1"/>
        <w:rPr>
          <w:lang w:val="fr-CH"/>
        </w:rPr>
      </w:pPr>
      <w:r w:rsidRPr="006F5D9F">
        <w:rPr>
          <w:lang w:val="fr-CH"/>
        </w:rPr>
        <w:t>–</w:t>
      </w:r>
      <w:r w:rsidRPr="006F5D9F">
        <w:rPr>
          <w:lang w:val="fr-CH"/>
        </w:rPr>
        <w:tab/>
        <w:t xml:space="preserve">la puissance et la distribution spectrale des signaux brouilleurs et du bruit captés par le </w:t>
      </w:r>
      <w:proofErr w:type="gramStart"/>
      <w:r w:rsidRPr="006F5D9F">
        <w:rPr>
          <w:lang w:val="fr-CH"/>
        </w:rPr>
        <w:t>récepteur</w:t>
      </w:r>
      <w:r w:rsidR="007F2F42">
        <w:rPr>
          <w:lang w:val="fr-CH"/>
        </w:rPr>
        <w:t>;</w:t>
      </w:r>
      <w:proofErr w:type="gramEnd"/>
    </w:p>
    <w:p w14:paraId="73280222" w14:textId="77777777" w:rsidR="003E3EB5" w:rsidRPr="006F5D9F" w:rsidRDefault="003E3EB5" w:rsidP="003E3EB5">
      <w:pPr>
        <w:pStyle w:val="enumlev1"/>
        <w:rPr>
          <w:lang w:val="fr-CH"/>
        </w:rPr>
      </w:pPr>
      <w:r w:rsidRPr="006F5D9F">
        <w:rPr>
          <w:lang w:val="fr-CH"/>
        </w:rPr>
        <w:t>–</w:t>
      </w:r>
      <w:r w:rsidRPr="006F5D9F">
        <w:rPr>
          <w:lang w:val="fr-CH"/>
        </w:rPr>
        <w:tab/>
        <w:t xml:space="preserve">l'affaiblissement de transmission entre équipements radioélectriques dépendant de la </w:t>
      </w:r>
      <w:proofErr w:type="gramStart"/>
      <w:r w:rsidRPr="006F5D9F">
        <w:rPr>
          <w:lang w:val="fr-CH"/>
        </w:rPr>
        <w:t>distance;</w:t>
      </w:r>
      <w:proofErr w:type="gramEnd"/>
    </w:p>
    <w:p w14:paraId="60E6C092" w14:textId="77777777" w:rsidR="003E3EB5" w:rsidRPr="006F5D9F" w:rsidRDefault="003E3EB5" w:rsidP="003E3EB5">
      <w:pPr>
        <w:rPr>
          <w:lang w:val="fr-CH"/>
        </w:rPr>
      </w:pPr>
      <w:r w:rsidRPr="006F5D9F">
        <w:rPr>
          <w:lang w:val="fr-CH"/>
        </w:rPr>
        <w:t>b)</w:t>
      </w:r>
      <w:r w:rsidRPr="006F5D9F">
        <w:rPr>
          <w:lang w:val="fr-CH"/>
        </w:rPr>
        <w:tab/>
        <w:t xml:space="preserve">que le rayonnement d'un émetteur s'étend généralement hors de la bande de fréquences nécessairement occupée par </w:t>
      </w:r>
      <w:proofErr w:type="gramStart"/>
      <w:r w:rsidRPr="006F5D9F">
        <w:rPr>
          <w:lang w:val="fr-CH"/>
        </w:rPr>
        <w:t>l'émission;</w:t>
      </w:r>
      <w:proofErr w:type="gramEnd"/>
    </w:p>
    <w:p w14:paraId="0F768260" w14:textId="77777777" w:rsidR="003E3EB5" w:rsidRPr="006F5D9F" w:rsidRDefault="003E3EB5" w:rsidP="003E3EB5">
      <w:pPr>
        <w:rPr>
          <w:lang w:val="fr-CH"/>
        </w:rPr>
      </w:pPr>
      <w:r w:rsidRPr="006F5D9F">
        <w:rPr>
          <w:lang w:val="fr-CH"/>
        </w:rPr>
        <w:t>c)</w:t>
      </w:r>
      <w:r w:rsidRPr="006F5D9F">
        <w:rPr>
          <w:lang w:val="fr-CH"/>
        </w:rPr>
        <w:tab/>
        <w:t xml:space="preserve">qu'un grand nombre d'autres facteurs interviennent également, tels que les propriétés du milieu transmissif, qui sont de caractère variable et difficiles à déterminer, ainsi que les caractéristiques du récepteur et, dans le cas de la réception auditive, les propriétés de discrimination de l'oreille </w:t>
      </w:r>
      <w:proofErr w:type="gramStart"/>
      <w:r w:rsidRPr="006F5D9F">
        <w:rPr>
          <w:lang w:val="fr-CH"/>
        </w:rPr>
        <w:t>humaine;</w:t>
      </w:r>
      <w:proofErr w:type="gramEnd"/>
    </w:p>
    <w:p w14:paraId="50744E7A" w14:textId="77777777" w:rsidR="003E3EB5" w:rsidRPr="006F5D9F" w:rsidRDefault="003E3EB5" w:rsidP="00286CA7">
      <w:pPr>
        <w:rPr>
          <w:lang w:val="fr-CH"/>
        </w:rPr>
      </w:pPr>
      <w:r w:rsidRPr="006F5D9F">
        <w:rPr>
          <w:lang w:val="fr-CH"/>
        </w:rPr>
        <w:t>d)</w:t>
      </w:r>
      <w:r w:rsidRPr="006F5D9F">
        <w:rPr>
          <w:lang w:val="fr-CH"/>
        </w:rPr>
        <w:tab/>
        <w:t>que des compromis entre la séparation en fréquence et la séparation en distance des équipements radioélectriques sont possibles,</w:t>
      </w:r>
    </w:p>
    <w:p w14:paraId="18F3819A" w14:textId="77777777" w:rsidR="003E3EB5" w:rsidRPr="006F5D9F" w:rsidRDefault="003E3EB5" w:rsidP="003E3EB5">
      <w:pPr>
        <w:pStyle w:val="Call"/>
        <w:rPr>
          <w:lang w:val="fr-CH"/>
        </w:rPr>
      </w:pPr>
      <w:proofErr w:type="gramStart"/>
      <w:r w:rsidRPr="006F5D9F">
        <w:rPr>
          <w:lang w:val="fr-CH"/>
        </w:rPr>
        <w:t>recommande</w:t>
      </w:r>
      <w:proofErr w:type="gramEnd"/>
    </w:p>
    <w:p w14:paraId="50BFBE45" w14:textId="77777777" w:rsidR="003E3EB5" w:rsidRPr="006F5D9F" w:rsidRDefault="003E3EB5" w:rsidP="003E3EB5">
      <w:pPr>
        <w:rPr>
          <w:lang w:val="fr-CH"/>
        </w:rPr>
      </w:pPr>
      <w:r w:rsidRPr="006F5D9F">
        <w:rPr>
          <w:b/>
          <w:lang w:val="fr-CH"/>
        </w:rPr>
        <w:t>1</w:t>
      </w:r>
      <w:r w:rsidRPr="006F5D9F">
        <w:rPr>
          <w:lang w:val="fr-CH"/>
        </w:rPr>
        <w:tab/>
        <w:t xml:space="preserve">que les séparations en fréquence ou en distance des équipements radioélectriques soient calculées par la méthode </w:t>
      </w:r>
      <w:proofErr w:type="gramStart"/>
      <w:r w:rsidRPr="006F5D9F">
        <w:rPr>
          <w:lang w:val="fr-CH"/>
        </w:rPr>
        <w:t>suivante:</w:t>
      </w:r>
      <w:proofErr w:type="gramEnd"/>
    </w:p>
    <w:p w14:paraId="66F34849" w14:textId="77777777" w:rsidR="003E3EB5" w:rsidRPr="006F5D9F" w:rsidRDefault="003E3EB5" w:rsidP="003E3EB5">
      <w:pPr>
        <w:rPr>
          <w:lang w:val="fr-CH"/>
        </w:rPr>
      </w:pPr>
      <w:r w:rsidRPr="006F5D9F">
        <w:rPr>
          <w:b/>
          <w:lang w:val="fr-CH"/>
        </w:rPr>
        <w:t>1.1</w:t>
      </w:r>
      <w:r w:rsidRPr="006F5D9F">
        <w:rPr>
          <w:lang w:val="fr-CH"/>
        </w:rPr>
        <w:tab/>
        <w:t xml:space="preserve">déterminer la puissance et la distribution spectrale du signal capté par le </w:t>
      </w:r>
      <w:proofErr w:type="gramStart"/>
      <w:r w:rsidRPr="006F5D9F">
        <w:rPr>
          <w:lang w:val="fr-CH"/>
        </w:rPr>
        <w:t>récepteur;</w:t>
      </w:r>
      <w:proofErr w:type="gramEnd"/>
    </w:p>
    <w:p w14:paraId="1E2915F4" w14:textId="77777777" w:rsidR="003E3EB5" w:rsidRPr="006F5D9F" w:rsidRDefault="003E3EB5" w:rsidP="003E3EB5">
      <w:pPr>
        <w:rPr>
          <w:lang w:val="fr-CH"/>
        </w:rPr>
      </w:pPr>
      <w:r w:rsidRPr="006F5D9F">
        <w:rPr>
          <w:b/>
          <w:lang w:val="fr-CH"/>
        </w:rPr>
        <w:t>1.2</w:t>
      </w:r>
      <w:r w:rsidRPr="006F5D9F">
        <w:rPr>
          <w:lang w:val="fr-CH"/>
        </w:rPr>
        <w:tab/>
        <w:t xml:space="preserve">déterminer la puissance et la distribution spectrale des signaux brouilleurs et du bruit capté par le </w:t>
      </w:r>
      <w:proofErr w:type="gramStart"/>
      <w:r w:rsidRPr="006F5D9F">
        <w:rPr>
          <w:lang w:val="fr-CH"/>
        </w:rPr>
        <w:t>récepteur;</w:t>
      </w:r>
      <w:proofErr w:type="gramEnd"/>
    </w:p>
    <w:p w14:paraId="293BE7AA" w14:textId="77777777" w:rsidR="003E3EB5" w:rsidRPr="006F5D9F" w:rsidRDefault="003E3EB5" w:rsidP="003E3EB5">
      <w:pPr>
        <w:rPr>
          <w:lang w:val="fr-CH"/>
        </w:rPr>
      </w:pPr>
      <w:r w:rsidRPr="006F5D9F">
        <w:rPr>
          <w:b/>
          <w:lang w:val="fr-CH"/>
        </w:rPr>
        <w:t>1.3</w:t>
      </w:r>
      <w:r w:rsidRPr="006F5D9F">
        <w:rPr>
          <w:lang w:val="fr-CH"/>
        </w:rPr>
        <w:tab/>
        <w:t xml:space="preserve">déterminer les interactions entre signaux, brouillages et caractéristiques du récepteur pour plusieurs séparations en fréquence ou en distance en utilisant les équations fondamentales de l'Annexe 1 ou, si nécessaire, des approximations simples des équations intégrales et la notion décrite dans l'Annexe </w:t>
      </w:r>
      <w:proofErr w:type="gramStart"/>
      <w:r w:rsidRPr="006F5D9F">
        <w:rPr>
          <w:lang w:val="fr-CH"/>
        </w:rPr>
        <w:t>2;</w:t>
      </w:r>
      <w:proofErr w:type="gramEnd"/>
    </w:p>
    <w:p w14:paraId="7A333D2C" w14:textId="77777777" w:rsidR="003E3EB5" w:rsidRPr="006F5D9F" w:rsidRDefault="003E3EB5" w:rsidP="003E3EB5">
      <w:pPr>
        <w:rPr>
          <w:lang w:val="fr-CH"/>
        </w:rPr>
      </w:pPr>
      <w:r w:rsidRPr="006F5D9F">
        <w:rPr>
          <w:b/>
          <w:lang w:val="fr-CH"/>
        </w:rPr>
        <w:t>1.4</w:t>
      </w:r>
      <w:r w:rsidRPr="006F5D9F">
        <w:rPr>
          <w:lang w:val="fr-CH"/>
        </w:rPr>
        <w:tab/>
        <w:t xml:space="preserve">déterminer, à l'aide de ces éléments, le degré de séparation en fréquence ou en distance qui donne la qualité et la probabilité de service requises, compte tenu du caractère fluctuant du signal et du brouillage et, s'il y a lieu, des propriétés de discrimination de l'auditeur ou du </w:t>
      </w:r>
      <w:proofErr w:type="gramStart"/>
      <w:r w:rsidRPr="006F5D9F">
        <w:rPr>
          <w:lang w:val="fr-CH"/>
        </w:rPr>
        <w:t>spectateur;</w:t>
      </w:r>
      <w:proofErr w:type="gramEnd"/>
    </w:p>
    <w:p w14:paraId="1ABEA7B7" w14:textId="33EAE887" w:rsidR="003E3EB5" w:rsidRPr="006F5D9F" w:rsidRDefault="003E3EB5" w:rsidP="003E3EB5">
      <w:pPr>
        <w:rPr>
          <w:lang w:val="fr-CH"/>
        </w:rPr>
      </w:pPr>
      <w:r w:rsidRPr="006F5D9F">
        <w:rPr>
          <w:b/>
          <w:lang w:val="fr-CH"/>
        </w:rPr>
        <w:t>1.5</w:t>
      </w:r>
      <w:r w:rsidRPr="006F5D9F">
        <w:rPr>
          <w:lang w:val="fr-CH"/>
        </w:rPr>
        <w:tab/>
        <w:t xml:space="preserve">déterminer le modèle de propagation de l'UIT-R approprié à </w:t>
      </w:r>
      <w:proofErr w:type="gramStart"/>
      <w:r w:rsidRPr="006F5D9F">
        <w:rPr>
          <w:lang w:val="fr-CH"/>
        </w:rPr>
        <w:t>utiliser;</w:t>
      </w:r>
      <w:proofErr w:type="gramEnd"/>
      <w:r w:rsidRPr="006F5D9F">
        <w:rPr>
          <w:lang w:val="fr-CH"/>
        </w:rPr>
        <w:t xml:space="preserve"> </w:t>
      </w:r>
    </w:p>
    <w:p w14:paraId="1F34CC28" w14:textId="77777777" w:rsidR="003E3EB5" w:rsidRDefault="003E3EB5" w:rsidP="003E3EB5">
      <w:pPr>
        <w:rPr>
          <w:lang w:val="fr-CH"/>
        </w:rPr>
      </w:pPr>
      <w:r w:rsidRPr="006F5D9F">
        <w:rPr>
          <w:b/>
          <w:lang w:val="fr-CH"/>
        </w:rPr>
        <w:t>2</w:t>
      </w:r>
      <w:r w:rsidRPr="006F5D9F">
        <w:rPr>
          <w:lang w:val="fr-CH"/>
        </w:rPr>
        <w:tab/>
        <w:t>qu'à chacune des étapes de ce calcul il soit, autant que possible, procédé à une comparaison avec les données obtenues dans des conditions contrôlées et représentatives des conditions d'exploitation, particulièrement en ce qui concerne la valeur finalement obtenue pour la séparation en fréquence ou en distance des équipements radioélectriques.</w:t>
      </w:r>
    </w:p>
    <w:p w14:paraId="6A50667C" w14:textId="77777777" w:rsidR="007F2F42" w:rsidRDefault="007F2F42" w:rsidP="003E3EB5">
      <w:pPr>
        <w:rPr>
          <w:lang w:val="fr-CH"/>
        </w:rPr>
      </w:pPr>
    </w:p>
    <w:p w14:paraId="134409A0" w14:textId="77777777" w:rsidR="003E3EB5" w:rsidRPr="006F5D9F" w:rsidRDefault="003E3EB5" w:rsidP="003230AF">
      <w:pPr>
        <w:pStyle w:val="AnnexNoTitle"/>
        <w:spacing w:before="360"/>
        <w:rPr>
          <w:lang w:val="fr-CH"/>
        </w:rPr>
      </w:pPr>
      <w:bookmarkStart w:id="0" w:name="_GoBack"/>
      <w:bookmarkEnd w:id="0"/>
      <w:r w:rsidRPr="006F5D9F">
        <w:rPr>
          <w:lang w:val="fr-CH"/>
        </w:rPr>
        <w:t>Annexe 1</w:t>
      </w:r>
      <w:r w:rsidRPr="006F5D9F">
        <w:rPr>
          <w:lang w:val="fr-CH"/>
        </w:rPr>
        <w:br/>
      </w:r>
      <w:r w:rsidRPr="006F5D9F">
        <w:rPr>
          <w:lang w:val="fr-CH"/>
        </w:rPr>
        <w:br/>
        <w:t>Equations de base</w:t>
      </w:r>
    </w:p>
    <w:p w14:paraId="3431F453" w14:textId="77777777" w:rsidR="003E3EB5" w:rsidRPr="006F5D9F" w:rsidRDefault="003E3EB5" w:rsidP="003E3EB5">
      <w:pPr>
        <w:pStyle w:val="Normalaftertitle"/>
        <w:rPr>
          <w:lang w:val="fr-CH"/>
        </w:rPr>
      </w:pPr>
      <w:r w:rsidRPr="006F5D9F">
        <w:rPr>
          <w:lang w:val="fr-CH"/>
        </w:rPr>
        <w:t xml:space="preserve">La présente annexe décrit des mesures permettant de quantifier les effets réciproques des signaux désirés, du brouillage et des caractéristiques du récepteur, pour diverses séparations en fréquence et en distance. Ces mesures portent sur les caractéristiques </w:t>
      </w:r>
      <w:proofErr w:type="gramStart"/>
      <w:r w:rsidRPr="006F5D9F">
        <w:rPr>
          <w:lang w:val="fr-CH"/>
        </w:rPr>
        <w:t>suivantes:</w:t>
      </w:r>
      <w:proofErr w:type="gramEnd"/>
    </w:p>
    <w:p w14:paraId="7B76ECA4" w14:textId="77777777" w:rsidR="003E3EB5" w:rsidRPr="006F5D9F" w:rsidRDefault="003E3EB5" w:rsidP="003E3EB5">
      <w:pPr>
        <w:pStyle w:val="enumlev1"/>
        <w:rPr>
          <w:lang w:val="fr-CH"/>
        </w:rPr>
      </w:pPr>
      <w:r w:rsidRPr="006F5D9F">
        <w:rPr>
          <w:lang w:val="fr-CH"/>
        </w:rPr>
        <w:t>–</w:t>
      </w:r>
      <w:r w:rsidRPr="006F5D9F">
        <w:rPr>
          <w:lang w:val="fr-CH"/>
        </w:rPr>
        <w:tab/>
        <w:t xml:space="preserve">le rejet dépendant de la fréquence (FDR – </w:t>
      </w:r>
      <w:r w:rsidRPr="006F5D9F">
        <w:rPr>
          <w:i/>
          <w:lang w:val="fr-CH"/>
        </w:rPr>
        <w:t>frequency dependent rejection</w:t>
      </w:r>
      <w:r w:rsidRPr="006F5D9F">
        <w:rPr>
          <w:lang w:val="fr-CH"/>
        </w:rPr>
        <w:t xml:space="preserve">) qui est la mesure du rejet du spectre de l'émission de l'émetteur brouilleur résultant de la courbe de sélectivité du </w:t>
      </w:r>
      <w:proofErr w:type="gramStart"/>
      <w:r w:rsidRPr="006F5D9F">
        <w:rPr>
          <w:lang w:val="fr-CH"/>
        </w:rPr>
        <w:t>récepteur;</w:t>
      </w:r>
      <w:proofErr w:type="gramEnd"/>
    </w:p>
    <w:p w14:paraId="1C613D47" w14:textId="77777777" w:rsidR="003E3EB5" w:rsidRPr="006F5D9F" w:rsidRDefault="003E3EB5" w:rsidP="003E3EB5">
      <w:pPr>
        <w:pStyle w:val="enumlev1"/>
        <w:rPr>
          <w:lang w:val="fr-CH"/>
        </w:rPr>
      </w:pPr>
      <w:r w:rsidRPr="006F5D9F">
        <w:rPr>
          <w:lang w:val="fr-CH"/>
        </w:rPr>
        <w:t>–</w:t>
      </w:r>
      <w:r w:rsidRPr="006F5D9F">
        <w:rPr>
          <w:lang w:val="fr-CH"/>
        </w:rPr>
        <w:tab/>
        <w:t xml:space="preserve">la caractéristique distance/fréquence qui est la mesure de la distance minimale de séparation requise entre un récepteur et une source de brouillage, en fonction de la différence entre leurs fréquences </w:t>
      </w:r>
      <w:proofErr w:type="gramStart"/>
      <w:r w:rsidRPr="006F5D9F">
        <w:rPr>
          <w:lang w:val="fr-CH"/>
        </w:rPr>
        <w:t>d'accord;</w:t>
      </w:r>
      <w:proofErr w:type="gramEnd"/>
    </w:p>
    <w:p w14:paraId="59787D45" w14:textId="77777777" w:rsidR="003E3EB5" w:rsidRPr="006F5D9F" w:rsidRDefault="003E3EB5" w:rsidP="005E5925">
      <w:pPr>
        <w:pStyle w:val="enumlev1"/>
        <w:rPr>
          <w:lang w:val="fr-CH"/>
        </w:rPr>
      </w:pPr>
      <w:r w:rsidRPr="006F5D9F">
        <w:rPr>
          <w:lang w:val="fr-CH"/>
        </w:rPr>
        <w:t>–</w:t>
      </w:r>
      <w:r w:rsidRPr="006F5D9F">
        <w:rPr>
          <w:lang w:val="fr-CH"/>
        </w:rPr>
        <w:tab/>
        <w:t xml:space="preserve">le rapport de protection relatif en radiofréquence, </w:t>
      </w:r>
      <w:r w:rsidRPr="006F5D9F">
        <w:rPr>
          <w:i/>
          <w:lang w:val="fr-CH"/>
        </w:rPr>
        <w:t>A</w:t>
      </w:r>
      <w:r w:rsidRPr="006F5D9F">
        <w:rPr>
          <w:lang w:val="fr-CH"/>
        </w:rPr>
        <w:t xml:space="preserve"> (voir la Recommandation UIT-R BS.560), qui est la différence (dB) entre le rapport de protection lorsque les porteuses de l'émetteur utile et de l'émetteur brouilleur sont décalées de </w:t>
      </w:r>
      <w:r w:rsidR="005E5925">
        <w:rPr>
          <w:lang w:val="fr-CH"/>
        </w:rPr>
        <w:t>Δ</w:t>
      </w:r>
      <w:r w:rsidRPr="006F5D9F">
        <w:rPr>
          <w:i/>
          <w:lang w:val="fr-CH"/>
        </w:rPr>
        <w:t>f</w:t>
      </w:r>
      <w:r w:rsidRPr="006F5D9F">
        <w:rPr>
          <w:lang w:val="fr-CH"/>
        </w:rPr>
        <w:t xml:space="preserve"> et le rapport de protection lorsque les deux porteuses ont la même fréquence.</w:t>
      </w:r>
    </w:p>
    <w:p w14:paraId="7E6AADE8" w14:textId="77777777" w:rsidR="003E3EB5" w:rsidRPr="006F5D9F" w:rsidRDefault="003E3EB5" w:rsidP="003E3EB5">
      <w:pPr>
        <w:rPr>
          <w:lang w:val="fr-CH"/>
        </w:rPr>
      </w:pPr>
      <w:r w:rsidRPr="006F5D9F">
        <w:rPr>
          <w:lang w:val="fr-CH"/>
        </w:rPr>
        <w:t>La caractéristique distance/fréquence et le FDR permettent de mesurer le couplage du brouillage entre la source brouilleuse et le récepteur et elles fournissent les solutions fondamentales nécessaires pour l'évaluation du brouillage dans bon nombre de cas. Le recours à ces caractéristiques facilite la solution des problèmes liés au partage des fréquences dans le même canal et aux brouillages par la bande ou le canal adjacents. En effet, ces caractéristiques permettent d'établir des critères pour la séparation minimale en fréquence et en distance entre la source de brouillage et le récepteur, ce qui assure à ce dernier une qualité de fonctionnement acceptable.</w:t>
      </w:r>
    </w:p>
    <w:p w14:paraId="5D9EA86C" w14:textId="77777777" w:rsidR="003E3EB5" w:rsidRPr="006F5D9F" w:rsidRDefault="003E3EB5" w:rsidP="003E3EB5">
      <w:pPr>
        <w:rPr>
          <w:lang w:val="fr-CH"/>
        </w:rPr>
      </w:pPr>
      <w:r w:rsidRPr="006F5D9F">
        <w:rPr>
          <w:lang w:val="fr-CH"/>
        </w:rPr>
        <w:t xml:space="preserve">Le niveau de brouillage dans le récepteur dépend des gains et des affaiblissements qui se produiront dans le signal brouilleur, entre la source et le récepteur. Ce niveau est exprimé par la formule </w:t>
      </w:r>
      <w:proofErr w:type="gramStart"/>
      <w:r w:rsidRPr="006F5D9F">
        <w:rPr>
          <w:lang w:val="fr-CH"/>
        </w:rPr>
        <w:t>suivante:</w:t>
      </w:r>
      <w:proofErr w:type="gramEnd"/>
    </w:p>
    <w:p w14:paraId="2AB01CEA" w14:textId="77777777" w:rsidR="003E3EB5" w:rsidRPr="006F5D9F" w:rsidRDefault="003E3EB5" w:rsidP="003E3EB5">
      <w:pPr>
        <w:pStyle w:val="Equation"/>
        <w:rPr>
          <w:lang w:val="fr-CH"/>
        </w:rPr>
      </w:pPr>
      <w:r w:rsidRPr="006F5D9F">
        <w:rPr>
          <w:lang w:val="fr-CH"/>
        </w:rPr>
        <w:tab/>
      </w:r>
      <w:r w:rsidRPr="006F5D9F">
        <w:rPr>
          <w:lang w:val="fr-CH"/>
        </w:rPr>
        <w:tab/>
      </w:r>
      <w:r w:rsidRPr="006F5D9F">
        <w:rPr>
          <w:i/>
          <w:lang w:val="fr-CH"/>
        </w:rPr>
        <w:t>I</w:t>
      </w:r>
      <w:r w:rsidRPr="006F5D9F">
        <w:rPr>
          <w:lang w:val="fr-CH"/>
        </w:rPr>
        <w:t xml:space="preserve"> = </w:t>
      </w:r>
      <w:r w:rsidRPr="006F5D9F">
        <w:rPr>
          <w:i/>
          <w:lang w:val="fr-CH"/>
        </w:rPr>
        <w:t>P</w:t>
      </w:r>
      <w:r w:rsidRPr="006F5D9F">
        <w:rPr>
          <w:i/>
          <w:vertAlign w:val="subscript"/>
          <w:lang w:val="fr-CH"/>
        </w:rPr>
        <w:t>t</w:t>
      </w:r>
      <w:r w:rsidRPr="006F5D9F">
        <w:rPr>
          <w:lang w:val="fr-CH"/>
        </w:rPr>
        <w:t xml:space="preserve"> + </w:t>
      </w:r>
      <w:r w:rsidRPr="006F5D9F">
        <w:rPr>
          <w:i/>
          <w:lang w:val="fr-CH"/>
        </w:rPr>
        <w:t>G</w:t>
      </w:r>
      <w:r w:rsidRPr="006F5D9F">
        <w:rPr>
          <w:i/>
          <w:vertAlign w:val="subscript"/>
          <w:lang w:val="fr-CH"/>
        </w:rPr>
        <w:t>t</w:t>
      </w:r>
      <w:r w:rsidRPr="006F5D9F">
        <w:rPr>
          <w:lang w:val="fr-CH"/>
        </w:rPr>
        <w:t xml:space="preserve"> + </w:t>
      </w:r>
      <w:r w:rsidRPr="006F5D9F">
        <w:rPr>
          <w:i/>
          <w:lang w:val="fr-CH"/>
        </w:rPr>
        <w:t>G</w:t>
      </w:r>
      <w:r w:rsidRPr="006F5D9F">
        <w:rPr>
          <w:i/>
          <w:vertAlign w:val="subscript"/>
          <w:lang w:val="fr-CH"/>
        </w:rPr>
        <w:t>r</w:t>
      </w:r>
      <w:r w:rsidRPr="006F5D9F">
        <w:rPr>
          <w:lang w:val="fr-CH"/>
        </w:rPr>
        <w:t xml:space="preserve"> – </w:t>
      </w:r>
      <w:r w:rsidRPr="006F5D9F">
        <w:rPr>
          <w:i/>
          <w:lang w:val="fr-CH"/>
        </w:rPr>
        <w:t>L</w:t>
      </w:r>
      <w:r w:rsidRPr="006F5D9F">
        <w:rPr>
          <w:i/>
          <w:vertAlign w:val="subscript"/>
          <w:lang w:val="fr-CH"/>
        </w:rPr>
        <w:t>b</w:t>
      </w:r>
      <w:r w:rsidRPr="006F5D9F">
        <w:rPr>
          <w:lang w:val="fr-CH"/>
        </w:rPr>
        <w:t>(</w:t>
      </w:r>
      <w:r w:rsidRPr="006F5D9F">
        <w:rPr>
          <w:i/>
          <w:lang w:val="fr-CH"/>
        </w:rPr>
        <w:t>d</w:t>
      </w:r>
      <w:r w:rsidRPr="006F5D9F">
        <w:rPr>
          <w:lang w:val="fr-CH"/>
        </w:rPr>
        <w:t xml:space="preserve">) – </w:t>
      </w:r>
      <w:proofErr w:type="gramStart"/>
      <w:r w:rsidRPr="006F5D9F">
        <w:rPr>
          <w:i/>
          <w:lang w:val="fr-CH"/>
        </w:rPr>
        <w:t>FDR</w:t>
      </w:r>
      <w:r w:rsidRPr="006F5D9F">
        <w:rPr>
          <w:lang w:val="fr-CH"/>
        </w:rPr>
        <w:t>(</w:t>
      </w:r>
      <w:proofErr w:type="gramEnd"/>
      <w:r w:rsidRPr="006F5D9F">
        <w:rPr>
          <w:lang w:val="fr-CH"/>
        </w:rPr>
        <w:sym w:font="Symbol" w:char="F044"/>
      </w:r>
      <w:r w:rsidRPr="006F5D9F">
        <w:rPr>
          <w:i/>
          <w:lang w:val="fr-CH"/>
        </w:rPr>
        <w:t>f</w:t>
      </w:r>
      <w:r w:rsidRPr="006F5D9F">
        <w:rPr>
          <w:lang w:val="fr-CH"/>
        </w:rPr>
        <w:t xml:space="preserve"> )                dBW</w:t>
      </w:r>
      <w:r w:rsidRPr="006F5D9F">
        <w:rPr>
          <w:lang w:val="fr-CH"/>
        </w:rPr>
        <w:tab/>
        <w:t>(1)</w:t>
      </w:r>
    </w:p>
    <w:p w14:paraId="41520324" w14:textId="77777777" w:rsidR="003E3EB5" w:rsidRPr="006F5D9F" w:rsidRDefault="003E3EB5" w:rsidP="003E3EB5">
      <w:pPr>
        <w:rPr>
          <w:lang w:val="fr-CH"/>
        </w:rPr>
      </w:pPr>
      <w:proofErr w:type="gramStart"/>
      <w:r w:rsidRPr="006F5D9F">
        <w:rPr>
          <w:lang w:val="fr-CH"/>
        </w:rPr>
        <w:t>où:</w:t>
      </w:r>
      <w:proofErr w:type="gramEnd"/>
    </w:p>
    <w:p w14:paraId="024F5685" w14:textId="77777777" w:rsidR="003E3EB5" w:rsidRPr="006F5D9F" w:rsidRDefault="003E3EB5" w:rsidP="002D2D9F">
      <w:pPr>
        <w:pStyle w:val="Equationlegend"/>
        <w:rPr>
          <w:lang w:val="fr-CH"/>
        </w:rPr>
      </w:pPr>
      <w:r w:rsidRPr="006F5D9F">
        <w:rPr>
          <w:lang w:val="fr-CH"/>
        </w:rPr>
        <w:tab/>
      </w:r>
      <w:r w:rsidRPr="006F5D9F">
        <w:rPr>
          <w:i/>
          <w:lang w:val="fr-CH"/>
        </w:rPr>
        <w:t>P</w:t>
      </w:r>
      <w:r w:rsidRPr="006F5D9F">
        <w:rPr>
          <w:i/>
          <w:position w:val="-3"/>
          <w:sz w:val="16"/>
          <w:lang w:val="fr-CH"/>
        </w:rPr>
        <w:t>t</w:t>
      </w:r>
      <w:r w:rsidRPr="006F5D9F">
        <w:rPr>
          <w:sz w:val="8"/>
          <w:lang w:val="fr-CH"/>
        </w:rPr>
        <w:t> </w:t>
      </w:r>
      <w:r w:rsidRPr="006F5D9F">
        <w:rPr>
          <w:lang w:val="fr-CH"/>
        </w:rPr>
        <w:t>:</w:t>
      </w:r>
      <w:r w:rsidRPr="006F5D9F">
        <w:rPr>
          <w:lang w:val="fr-CH"/>
        </w:rPr>
        <w:tab/>
        <w:t>puissance de l'émetteur brouilleur (dB)</w:t>
      </w:r>
    </w:p>
    <w:p w14:paraId="38B6E902" w14:textId="77777777" w:rsidR="003E3EB5" w:rsidRPr="006F5D9F" w:rsidRDefault="003E3EB5" w:rsidP="003E3EB5">
      <w:pPr>
        <w:pStyle w:val="Equationlegend"/>
        <w:rPr>
          <w:lang w:val="fr-CH"/>
        </w:rPr>
      </w:pPr>
      <w:r w:rsidRPr="006F5D9F">
        <w:rPr>
          <w:lang w:val="fr-CH"/>
        </w:rPr>
        <w:tab/>
      </w:r>
      <w:r w:rsidRPr="006F5D9F">
        <w:rPr>
          <w:i/>
          <w:lang w:val="fr-CH"/>
        </w:rPr>
        <w:t>G</w:t>
      </w:r>
      <w:r w:rsidRPr="006F5D9F">
        <w:rPr>
          <w:i/>
          <w:position w:val="-3"/>
          <w:sz w:val="16"/>
          <w:lang w:val="fr-CH"/>
        </w:rPr>
        <w:t>t</w:t>
      </w:r>
      <w:r w:rsidRPr="006F5D9F">
        <w:rPr>
          <w:sz w:val="8"/>
          <w:lang w:val="fr-CH"/>
        </w:rPr>
        <w:t> </w:t>
      </w:r>
      <w:r w:rsidRPr="006F5D9F">
        <w:rPr>
          <w:lang w:val="fr-CH"/>
        </w:rPr>
        <w:t>:</w:t>
      </w:r>
      <w:r w:rsidRPr="006F5D9F">
        <w:rPr>
          <w:lang w:val="fr-CH"/>
        </w:rPr>
        <w:tab/>
        <w:t>gain de l'antenne de l'émetteur brouilleur en direction du récepteur (dBi)</w:t>
      </w:r>
    </w:p>
    <w:p w14:paraId="5C15D083" w14:textId="77777777" w:rsidR="003E3EB5" w:rsidRPr="006F5D9F" w:rsidRDefault="003E3EB5" w:rsidP="003E3EB5">
      <w:pPr>
        <w:pStyle w:val="Equationlegend"/>
        <w:rPr>
          <w:lang w:val="fr-CH"/>
        </w:rPr>
      </w:pPr>
      <w:r w:rsidRPr="006F5D9F">
        <w:rPr>
          <w:lang w:val="fr-CH"/>
        </w:rPr>
        <w:tab/>
      </w:r>
      <w:r w:rsidRPr="006F5D9F">
        <w:rPr>
          <w:i/>
          <w:lang w:val="fr-CH"/>
        </w:rPr>
        <w:t>G</w:t>
      </w:r>
      <w:r w:rsidRPr="006F5D9F">
        <w:rPr>
          <w:i/>
          <w:position w:val="-3"/>
          <w:sz w:val="16"/>
          <w:lang w:val="fr-CH"/>
        </w:rPr>
        <w:t>r</w:t>
      </w:r>
      <w:r w:rsidRPr="006F5D9F">
        <w:rPr>
          <w:sz w:val="8"/>
          <w:lang w:val="fr-CH"/>
        </w:rPr>
        <w:t> </w:t>
      </w:r>
      <w:r w:rsidRPr="006F5D9F">
        <w:rPr>
          <w:lang w:val="fr-CH"/>
        </w:rPr>
        <w:t>:</w:t>
      </w:r>
      <w:r w:rsidRPr="006F5D9F">
        <w:rPr>
          <w:lang w:val="fr-CH"/>
        </w:rPr>
        <w:tab/>
        <w:t>gain de l'antenne du récepteur en direction de l'émetteur brouilleur (dBi)</w:t>
      </w:r>
    </w:p>
    <w:p w14:paraId="4BED19D1" w14:textId="77777777" w:rsidR="003E3EB5" w:rsidRPr="006F5D9F" w:rsidRDefault="003E3EB5" w:rsidP="003E3EB5">
      <w:pPr>
        <w:pStyle w:val="Equationlegend"/>
        <w:rPr>
          <w:lang w:val="fr-CH"/>
        </w:rPr>
      </w:pPr>
      <w:r w:rsidRPr="006F5D9F">
        <w:rPr>
          <w:lang w:val="fr-CH"/>
        </w:rPr>
        <w:tab/>
      </w:r>
      <w:r w:rsidRPr="006F5D9F">
        <w:rPr>
          <w:i/>
          <w:lang w:val="fr-CH"/>
        </w:rPr>
        <w:t>L</w:t>
      </w:r>
      <w:r w:rsidRPr="006F5D9F">
        <w:rPr>
          <w:i/>
          <w:position w:val="-3"/>
          <w:sz w:val="16"/>
          <w:lang w:val="fr-CH"/>
        </w:rPr>
        <w:t>b</w:t>
      </w:r>
      <w:r w:rsidRPr="006F5D9F">
        <w:rPr>
          <w:position w:val="-3"/>
          <w:sz w:val="12"/>
          <w:lang w:val="fr-CH"/>
        </w:rPr>
        <w:t> </w:t>
      </w:r>
      <w:r w:rsidRPr="006F5D9F">
        <w:rPr>
          <w:lang w:val="fr-CH"/>
        </w:rPr>
        <w:t>(</w:t>
      </w:r>
      <w:proofErr w:type="gramStart"/>
      <w:r w:rsidRPr="006F5D9F">
        <w:rPr>
          <w:i/>
          <w:lang w:val="fr-CH"/>
        </w:rPr>
        <w:t>d</w:t>
      </w:r>
      <w:r w:rsidRPr="006F5D9F">
        <w:rPr>
          <w:sz w:val="8"/>
          <w:lang w:val="fr-CH"/>
        </w:rPr>
        <w:t> </w:t>
      </w:r>
      <w:r w:rsidRPr="006F5D9F">
        <w:rPr>
          <w:lang w:val="fr-CH"/>
        </w:rPr>
        <w:t>)</w:t>
      </w:r>
      <w:proofErr w:type="gramEnd"/>
      <w:r w:rsidRPr="006F5D9F">
        <w:rPr>
          <w:sz w:val="8"/>
          <w:lang w:val="fr-CH"/>
        </w:rPr>
        <w:t> </w:t>
      </w:r>
      <w:r w:rsidRPr="006F5D9F">
        <w:rPr>
          <w:lang w:val="fr-CH"/>
        </w:rPr>
        <w:t>:</w:t>
      </w:r>
      <w:r w:rsidRPr="006F5D9F">
        <w:rPr>
          <w:lang w:val="fr-CH"/>
        </w:rPr>
        <w:tab/>
        <w:t xml:space="preserve">affaiblissement de transmission de référence pour une distance de séparation </w:t>
      </w:r>
      <w:r w:rsidRPr="006F5D9F">
        <w:rPr>
          <w:i/>
          <w:lang w:val="fr-CH"/>
        </w:rPr>
        <w:t>d</w:t>
      </w:r>
      <w:r w:rsidRPr="006F5D9F">
        <w:rPr>
          <w:lang w:val="fr-CH"/>
        </w:rPr>
        <w:t xml:space="preserve"> entre la source de brouillage et le récepteur (dB) (voir la Recommandation UIT-R P.341)</w:t>
      </w:r>
    </w:p>
    <w:p w14:paraId="620433CD" w14:textId="77777777" w:rsidR="003E3EB5" w:rsidRPr="006F5D9F" w:rsidRDefault="00746369" w:rsidP="003E3EB5">
      <w:pPr>
        <w:rPr>
          <w:lang w:val="fr-CH"/>
        </w:rPr>
      </w:pPr>
      <w:r>
        <w:rPr>
          <w:lang w:val="fr-CH"/>
        </w:rPr>
        <w:br w:type="page"/>
      </w:r>
      <w:proofErr w:type="gramStart"/>
      <w:r w:rsidR="003E3EB5" w:rsidRPr="006F5D9F">
        <w:rPr>
          <w:lang w:val="fr-CH"/>
        </w:rPr>
        <w:lastRenderedPageBreak/>
        <w:t>et</w:t>
      </w:r>
      <w:proofErr w:type="gramEnd"/>
    </w:p>
    <w:p w14:paraId="5644273F" w14:textId="77777777" w:rsidR="003E3EB5" w:rsidRPr="006F5D9F" w:rsidRDefault="003E3EB5" w:rsidP="003E3EB5">
      <w:pPr>
        <w:pStyle w:val="Equation"/>
        <w:rPr>
          <w:b/>
          <w:lang w:val="fr-CH"/>
        </w:rPr>
      </w:pPr>
      <w:r w:rsidRPr="006F5D9F">
        <w:rPr>
          <w:lang w:val="fr-CH"/>
        </w:rPr>
        <w:tab/>
      </w:r>
      <w:r w:rsidRPr="006F5D9F">
        <w:rPr>
          <w:lang w:val="fr-CH"/>
        </w:rPr>
        <w:tab/>
      </w:r>
      <w:r w:rsidRPr="006F5D9F">
        <w:rPr>
          <w:position w:val="-74"/>
          <w:lang w:val="fr-CH"/>
        </w:rPr>
        <w:object w:dxaOrig="4239" w:dyaOrig="1600" w14:anchorId="6288B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pt;height:79.95pt" o:ole="">
            <v:imagedata r:id="rId7" o:title=""/>
          </v:shape>
          <o:OLEObject Type="Embed" ProgID="Equation.2" ShapeID="_x0000_i1025" DrawAspect="Content" ObjectID="_1649068306" r:id="rId8"/>
        </w:object>
      </w:r>
      <w:r w:rsidRPr="006F5D9F">
        <w:rPr>
          <w:lang w:val="fr-CH"/>
        </w:rPr>
        <w:t xml:space="preserve">                </w:t>
      </w:r>
      <w:proofErr w:type="gramStart"/>
      <w:r w:rsidRPr="006F5D9F">
        <w:rPr>
          <w:lang w:val="fr-CH"/>
        </w:rPr>
        <w:t>dB</w:t>
      </w:r>
      <w:proofErr w:type="gramEnd"/>
      <w:r w:rsidRPr="006F5D9F">
        <w:rPr>
          <w:lang w:val="fr-CH"/>
        </w:rPr>
        <w:tab/>
        <w:t>(2)</w:t>
      </w:r>
    </w:p>
    <w:p w14:paraId="0FA28BAF" w14:textId="77777777" w:rsidR="003E3EB5" w:rsidRPr="006F5D9F" w:rsidRDefault="003E3EB5" w:rsidP="003E3EB5">
      <w:pPr>
        <w:rPr>
          <w:lang w:val="fr-CH"/>
        </w:rPr>
      </w:pPr>
      <w:proofErr w:type="gramStart"/>
      <w:r w:rsidRPr="006F5D9F">
        <w:rPr>
          <w:lang w:val="fr-CH"/>
        </w:rPr>
        <w:t>où:</w:t>
      </w:r>
      <w:proofErr w:type="gramEnd"/>
    </w:p>
    <w:p w14:paraId="69D56C59" w14:textId="77777777" w:rsidR="003E3EB5" w:rsidRPr="006F5D9F" w:rsidRDefault="003E3EB5" w:rsidP="003E3EB5">
      <w:pPr>
        <w:pStyle w:val="Equationlegend"/>
        <w:rPr>
          <w:lang w:val="fr-CH"/>
        </w:rPr>
      </w:pPr>
      <w:r w:rsidRPr="006F5D9F">
        <w:rPr>
          <w:lang w:val="fr-CH"/>
        </w:rPr>
        <w:tab/>
      </w:r>
      <w:proofErr w:type="gramStart"/>
      <w:r w:rsidRPr="006F5D9F">
        <w:rPr>
          <w:i/>
          <w:lang w:val="fr-CH"/>
        </w:rPr>
        <w:t>P</w:t>
      </w:r>
      <w:r w:rsidRPr="006F5D9F">
        <w:rPr>
          <w:lang w:val="fr-CH"/>
        </w:rPr>
        <w:t>(</w:t>
      </w:r>
      <w:r w:rsidRPr="006F5D9F">
        <w:rPr>
          <w:sz w:val="8"/>
          <w:lang w:val="fr-CH"/>
        </w:rPr>
        <w:t> </w:t>
      </w:r>
      <w:r w:rsidRPr="006F5D9F">
        <w:rPr>
          <w:i/>
          <w:lang w:val="fr-CH"/>
        </w:rPr>
        <w:t>f</w:t>
      </w:r>
      <w:proofErr w:type="gramEnd"/>
      <w:r w:rsidRPr="006F5D9F">
        <w:rPr>
          <w:sz w:val="8"/>
          <w:lang w:val="fr-CH"/>
        </w:rPr>
        <w:t> </w:t>
      </w:r>
      <w:r w:rsidRPr="006F5D9F">
        <w:rPr>
          <w:lang w:val="fr-CH"/>
        </w:rPr>
        <w:t>)</w:t>
      </w:r>
      <w:r w:rsidRPr="006F5D9F">
        <w:rPr>
          <w:sz w:val="8"/>
          <w:lang w:val="fr-CH"/>
        </w:rPr>
        <w:t> </w:t>
      </w:r>
      <w:r w:rsidRPr="006F5D9F">
        <w:rPr>
          <w:lang w:val="fr-CH"/>
        </w:rPr>
        <w:t>:</w:t>
      </w:r>
      <w:r w:rsidRPr="006F5D9F">
        <w:rPr>
          <w:sz w:val="16"/>
          <w:lang w:val="fr-CH"/>
        </w:rPr>
        <w:tab/>
      </w:r>
      <w:r w:rsidRPr="006F5D9F">
        <w:rPr>
          <w:lang w:val="fr-CH"/>
        </w:rPr>
        <w:t>densité spectrale de puissance du signal brouilleur à la fréquence intermédiaire équivalente</w:t>
      </w:r>
    </w:p>
    <w:p w14:paraId="3BAA7FE1" w14:textId="77777777" w:rsidR="003E3EB5" w:rsidRPr="006F5D9F" w:rsidRDefault="003E3EB5" w:rsidP="003E3EB5">
      <w:pPr>
        <w:pStyle w:val="Equationlegend"/>
        <w:rPr>
          <w:lang w:val="fr-CH"/>
        </w:rPr>
      </w:pPr>
      <w:r w:rsidRPr="006F5D9F">
        <w:rPr>
          <w:lang w:val="fr-CH"/>
        </w:rPr>
        <w:tab/>
      </w:r>
      <w:proofErr w:type="gramStart"/>
      <w:r w:rsidRPr="006F5D9F">
        <w:rPr>
          <w:i/>
          <w:lang w:val="fr-CH"/>
        </w:rPr>
        <w:t>H</w:t>
      </w:r>
      <w:r w:rsidRPr="006F5D9F">
        <w:rPr>
          <w:lang w:val="fr-CH"/>
        </w:rPr>
        <w:t>(</w:t>
      </w:r>
      <w:r w:rsidRPr="006F5D9F">
        <w:rPr>
          <w:sz w:val="8"/>
          <w:lang w:val="fr-CH"/>
        </w:rPr>
        <w:t> </w:t>
      </w:r>
      <w:r w:rsidRPr="006F5D9F">
        <w:rPr>
          <w:i/>
          <w:lang w:val="fr-CH"/>
        </w:rPr>
        <w:t>f</w:t>
      </w:r>
      <w:proofErr w:type="gramEnd"/>
      <w:r w:rsidRPr="006F5D9F">
        <w:rPr>
          <w:sz w:val="8"/>
          <w:lang w:val="fr-CH"/>
        </w:rPr>
        <w:t> </w:t>
      </w:r>
      <w:r w:rsidRPr="006F5D9F">
        <w:rPr>
          <w:lang w:val="fr-CH"/>
        </w:rPr>
        <w:t>)</w:t>
      </w:r>
      <w:r w:rsidRPr="006F5D9F">
        <w:rPr>
          <w:sz w:val="8"/>
          <w:lang w:val="fr-CH"/>
        </w:rPr>
        <w:t xml:space="preserve"> </w:t>
      </w:r>
      <w:r w:rsidRPr="006F5D9F">
        <w:rPr>
          <w:lang w:val="fr-CH"/>
        </w:rPr>
        <w:t>:</w:t>
      </w:r>
      <w:r w:rsidRPr="006F5D9F">
        <w:rPr>
          <w:lang w:val="fr-CH"/>
        </w:rPr>
        <w:tab/>
        <w:t>sélectivité du récepteur</w:t>
      </w:r>
    </w:p>
    <w:p w14:paraId="16F8A3A5" w14:textId="77777777" w:rsidR="003E3EB5" w:rsidRPr="006F5D9F" w:rsidRDefault="003E3EB5" w:rsidP="003E3EB5">
      <w:pPr>
        <w:pStyle w:val="Equation"/>
        <w:rPr>
          <w:b/>
          <w:lang w:val="fr-CH"/>
        </w:rPr>
      </w:pPr>
      <w:r w:rsidRPr="006F5D9F">
        <w:rPr>
          <w:lang w:val="fr-CH"/>
        </w:rPr>
        <w:tab/>
      </w:r>
      <w:r w:rsidRPr="006F5D9F">
        <w:rPr>
          <w:lang w:val="fr-CH"/>
        </w:rPr>
        <w:tab/>
      </w:r>
      <w:r w:rsidRPr="006F5D9F">
        <w:rPr>
          <w:lang w:val="fr-CH"/>
        </w:rPr>
        <w:sym w:font="Symbol" w:char="F044"/>
      </w:r>
      <w:proofErr w:type="gramStart"/>
      <w:r w:rsidRPr="006F5D9F">
        <w:rPr>
          <w:i/>
          <w:lang w:val="fr-CH"/>
        </w:rPr>
        <w:t>f</w:t>
      </w:r>
      <w:proofErr w:type="gramEnd"/>
      <w:r w:rsidRPr="006F5D9F">
        <w:rPr>
          <w:lang w:val="fr-CH"/>
        </w:rPr>
        <w:t xml:space="preserve"> = </w:t>
      </w:r>
      <w:r w:rsidRPr="006F5D9F">
        <w:rPr>
          <w:i/>
          <w:lang w:val="fr-CH"/>
        </w:rPr>
        <w:t>f</w:t>
      </w:r>
      <w:r w:rsidRPr="006F5D9F">
        <w:rPr>
          <w:i/>
          <w:vertAlign w:val="subscript"/>
          <w:lang w:val="fr-CH"/>
        </w:rPr>
        <w:t>t</w:t>
      </w:r>
      <w:r w:rsidRPr="006F5D9F">
        <w:rPr>
          <w:lang w:val="fr-CH"/>
        </w:rPr>
        <w:t xml:space="preserve"> – </w:t>
      </w:r>
      <w:r w:rsidRPr="006F5D9F">
        <w:rPr>
          <w:i/>
          <w:lang w:val="fr-CH"/>
        </w:rPr>
        <w:t>f</w:t>
      </w:r>
      <w:r w:rsidRPr="006F5D9F">
        <w:rPr>
          <w:i/>
          <w:vertAlign w:val="subscript"/>
          <w:lang w:val="fr-CH"/>
        </w:rPr>
        <w:t>r</w:t>
      </w:r>
    </w:p>
    <w:p w14:paraId="5BAAC0AA" w14:textId="77777777" w:rsidR="003E3EB5" w:rsidRPr="006F5D9F" w:rsidRDefault="003E3EB5" w:rsidP="003E3EB5">
      <w:pPr>
        <w:pStyle w:val="enumlev2"/>
        <w:spacing w:before="0"/>
        <w:rPr>
          <w:lang w:val="fr-CH"/>
        </w:rPr>
      </w:pPr>
      <w:proofErr w:type="gramStart"/>
      <w:r w:rsidRPr="006F5D9F">
        <w:rPr>
          <w:lang w:val="fr-CH"/>
        </w:rPr>
        <w:t>où:</w:t>
      </w:r>
      <w:proofErr w:type="gramEnd"/>
    </w:p>
    <w:p w14:paraId="40AE1DCA" w14:textId="77777777" w:rsidR="003E3EB5" w:rsidRPr="006F5D9F" w:rsidRDefault="003E3EB5" w:rsidP="003E3EB5">
      <w:pPr>
        <w:pStyle w:val="Equationlegend"/>
        <w:rPr>
          <w:lang w:val="fr-CH"/>
        </w:rPr>
      </w:pPr>
      <w:r w:rsidRPr="006F5D9F">
        <w:rPr>
          <w:i/>
          <w:lang w:val="fr-CH"/>
        </w:rPr>
        <w:tab/>
      </w:r>
      <w:proofErr w:type="gramStart"/>
      <w:r w:rsidRPr="006F5D9F">
        <w:rPr>
          <w:i/>
          <w:lang w:val="fr-CH"/>
        </w:rPr>
        <w:t>f</w:t>
      </w:r>
      <w:r w:rsidRPr="006F5D9F">
        <w:rPr>
          <w:i/>
          <w:position w:val="-3"/>
          <w:sz w:val="16"/>
          <w:lang w:val="fr-CH"/>
        </w:rPr>
        <w:t>t</w:t>
      </w:r>
      <w:proofErr w:type="gramEnd"/>
      <w:r w:rsidRPr="006F5D9F">
        <w:rPr>
          <w:sz w:val="8"/>
          <w:lang w:val="fr-CH"/>
        </w:rPr>
        <w:t xml:space="preserve"> </w:t>
      </w:r>
      <w:r w:rsidRPr="006F5D9F">
        <w:rPr>
          <w:lang w:val="fr-CH"/>
        </w:rPr>
        <w:t>:</w:t>
      </w:r>
      <w:r w:rsidRPr="006F5D9F">
        <w:rPr>
          <w:lang w:val="fr-CH"/>
        </w:rPr>
        <w:tab/>
        <w:t>fréquence d'accord de la source de brouillage</w:t>
      </w:r>
    </w:p>
    <w:p w14:paraId="72B994AA" w14:textId="77777777" w:rsidR="003E3EB5" w:rsidRPr="006F5D9F" w:rsidRDefault="003E3EB5" w:rsidP="003E3EB5">
      <w:pPr>
        <w:pStyle w:val="Equationlegend"/>
        <w:rPr>
          <w:lang w:val="fr-CH"/>
        </w:rPr>
      </w:pPr>
      <w:r w:rsidRPr="006F5D9F">
        <w:rPr>
          <w:i/>
          <w:lang w:val="fr-CH"/>
        </w:rPr>
        <w:tab/>
      </w:r>
      <w:proofErr w:type="gramStart"/>
      <w:r w:rsidRPr="006F5D9F">
        <w:rPr>
          <w:i/>
          <w:lang w:val="fr-CH"/>
        </w:rPr>
        <w:t>f</w:t>
      </w:r>
      <w:r w:rsidRPr="006F5D9F">
        <w:rPr>
          <w:i/>
          <w:position w:val="-3"/>
          <w:sz w:val="16"/>
          <w:lang w:val="fr-CH"/>
        </w:rPr>
        <w:t>r</w:t>
      </w:r>
      <w:proofErr w:type="gramEnd"/>
      <w:r w:rsidRPr="006F5D9F">
        <w:rPr>
          <w:sz w:val="8"/>
          <w:lang w:val="fr-CH"/>
        </w:rPr>
        <w:t xml:space="preserve"> </w:t>
      </w:r>
      <w:r w:rsidRPr="006F5D9F">
        <w:rPr>
          <w:lang w:val="fr-CH"/>
        </w:rPr>
        <w:t>:</w:t>
      </w:r>
      <w:r w:rsidRPr="006F5D9F">
        <w:rPr>
          <w:lang w:val="fr-CH"/>
        </w:rPr>
        <w:tab/>
        <w:t>fréquence d'accord du récepteur.</w:t>
      </w:r>
    </w:p>
    <w:p w14:paraId="54892622" w14:textId="77777777" w:rsidR="003E3EB5" w:rsidRPr="006F5D9F" w:rsidRDefault="003E3EB5" w:rsidP="003E3EB5">
      <w:pPr>
        <w:rPr>
          <w:lang w:val="fr-CH"/>
        </w:rPr>
      </w:pPr>
      <w:r w:rsidRPr="006F5D9F">
        <w:rPr>
          <w:lang w:val="fr-CH"/>
        </w:rPr>
        <w:t xml:space="preserve">La caractéristique FDR peut être divisée en deux termes, le rejet à la fréquence d'accord (OTR, </w:t>
      </w:r>
      <w:r w:rsidRPr="006F5D9F">
        <w:rPr>
          <w:i/>
          <w:lang w:val="fr-CH"/>
        </w:rPr>
        <w:t>on-tune rejection</w:t>
      </w:r>
      <w:r w:rsidRPr="006F5D9F">
        <w:rPr>
          <w:lang w:val="fr-CH"/>
        </w:rPr>
        <w:t xml:space="preserve">) et le rejet hors fréquence (OFR, </w:t>
      </w:r>
      <w:r w:rsidRPr="006F5D9F">
        <w:rPr>
          <w:i/>
          <w:lang w:val="fr-CH"/>
        </w:rPr>
        <w:t>off-frequency rejection</w:t>
      </w:r>
      <w:r w:rsidRPr="006F5D9F">
        <w:rPr>
          <w:lang w:val="fr-CH"/>
        </w:rPr>
        <w:t>), qui est le rejet supplémentaire résultant du désaccord entre la source de brouillage et le récepteur.</w:t>
      </w:r>
    </w:p>
    <w:p w14:paraId="2C88C13E" w14:textId="77777777" w:rsidR="003E3EB5" w:rsidRPr="006F5D9F" w:rsidRDefault="003E3EB5" w:rsidP="003E3EB5">
      <w:pPr>
        <w:pStyle w:val="Blanc"/>
        <w:rPr>
          <w:lang w:val="fr-CH"/>
        </w:rPr>
      </w:pPr>
    </w:p>
    <w:p w14:paraId="156A27AA" w14:textId="77777777" w:rsidR="003E3EB5" w:rsidRPr="003E3EB5" w:rsidRDefault="003E3EB5" w:rsidP="003E3EB5">
      <w:pPr>
        <w:pStyle w:val="Equation"/>
        <w:rPr>
          <w:lang w:val="en-US"/>
        </w:rPr>
      </w:pPr>
      <w:r w:rsidRPr="006F5D9F">
        <w:rPr>
          <w:lang w:val="fr-CH"/>
        </w:rPr>
        <w:tab/>
      </w:r>
      <w:r w:rsidRPr="006F5D9F">
        <w:rPr>
          <w:lang w:val="fr-CH"/>
        </w:rPr>
        <w:tab/>
      </w:r>
      <w:proofErr w:type="gramStart"/>
      <w:r w:rsidRPr="003E3EB5">
        <w:rPr>
          <w:i/>
          <w:lang w:val="en-US"/>
        </w:rPr>
        <w:t>FDR</w:t>
      </w:r>
      <w:r w:rsidRPr="003E3EB5">
        <w:rPr>
          <w:lang w:val="en-US"/>
        </w:rPr>
        <w:t>(</w:t>
      </w:r>
      <w:proofErr w:type="gramEnd"/>
      <w:r w:rsidRPr="006F5D9F">
        <w:rPr>
          <w:lang w:val="fr-CH"/>
        </w:rPr>
        <w:sym w:font="Symbol" w:char="F044"/>
      </w:r>
      <w:r w:rsidRPr="003E3EB5">
        <w:rPr>
          <w:i/>
          <w:lang w:val="en-US"/>
        </w:rPr>
        <w:t>f</w:t>
      </w:r>
      <w:r w:rsidRPr="003E3EB5">
        <w:rPr>
          <w:i/>
          <w:sz w:val="8"/>
          <w:szCs w:val="8"/>
          <w:lang w:val="en-US"/>
        </w:rPr>
        <w:t xml:space="preserve"> </w:t>
      </w:r>
      <w:r w:rsidRPr="003E3EB5">
        <w:rPr>
          <w:lang w:val="en-US"/>
        </w:rPr>
        <w:t xml:space="preserve">) = </w:t>
      </w:r>
      <w:r w:rsidRPr="003E3EB5">
        <w:rPr>
          <w:i/>
          <w:lang w:val="en-US"/>
        </w:rPr>
        <w:t>OTR</w:t>
      </w:r>
      <w:r w:rsidRPr="003E3EB5">
        <w:rPr>
          <w:lang w:val="en-US"/>
        </w:rPr>
        <w:t xml:space="preserve"> + </w:t>
      </w:r>
      <w:r w:rsidRPr="003E3EB5">
        <w:rPr>
          <w:i/>
          <w:lang w:val="en-US"/>
        </w:rPr>
        <w:t>OFR</w:t>
      </w:r>
      <w:r w:rsidRPr="003E3EB5">
        <w:rPr>
          <w:lang w:val="en-US"/>
        </w:rPr>
        <w:t>(</w:t>
      </w:r>
      <w:r w:rsidRPr="006F5D9F">
        <w:rPr>
          <w:lang w:val="fr-CH"/>
        </w:rPr>
        <w:sym w:font="Symbol" w:char="F044"/>
      </w:r>
      <w:r w:rsidRPr="003E3EB5">
        <w:rPr>
          <w:i/>
          <w:lang w:val="en-US"/>
        </w:rPr>
        <w:t>f</w:t>
      </w:r>
      <w:r w:rsidRPr="003E3EB5">
        <w:rPr>
          <w:sz w:val="8"/>
          <w:szCs w:val="8"/>
          <w:lang w:val="en-US"/>
        </w:rPr>
        <w:t xml:space="preserve"> </w:t>
      </w:r>
      <w:r w:rsidRPr="003E3EB5">
        <w:rPr>
          <w:lang w:val="en-US"/>
        </w:rPr>
        <w:t>)                dB</w:t>
      </w:r>
      <w:r w:rsidRPr="003E3EB5">
        <w:rPr>
          <w:lang w:val="en-US"/>
        </w:rPr>
        <w:tab/>
        <w:t>(3)</w:t>
      </w:r>
    </w:p>
    <w:p w14:paraId="24806AD1" w14:textId="77777777" w:rsidR="003E3EB5" w:rsidRPr="006F5D9F" w:rsidRDefault="003E3EB5" w:rsidP="003E3EB5">
      <w:pPr>
        <w:rPr>
          <w:lang w:val="fr-CH"/>
        </w:rPr>
      </w:pPr>
      <w:proofErr w:type="gramStart"/>
      <w:r w:rsidRPr="006F5D9F">
        <w:rPr>
          <w:lang w:val="fr-CH"/>
        </w:rPr>
        <w:t>où:</w:t>
      </w:r>
      <w:proofErr w:type="gramEnd"/>
    </w:p>
    <w:p w14:paraId="6D8EA765"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74"/>
          <w:lang w:val="fr-CH"/>
        </w:rPr>
        <w:object w:dxaOrig="3280" w:dyaOrig="1600" w14:anchorId="32C7C321">
          <v:shape id="_x0000_i1026" type="#_x0000_t75" style="width:164.1pt;height:79.95pt" o:ole="">
            <v:imagedata r:id="rId9" o:title=""/>
          </v:shape>
          <o:OLEObject Type="Embed" ProgID="Equation.2" ShapeID="_x0000_i1026" DrawAspect="Content" ObjectID="_1649068307" r:id="rId10"/>
        </w:object>
      </w:r>
      <w:r w:rsidRPr="006F5D9F">
        <w:rPr>
          <w:lang w:val="fr-CH"/>
        </w:rPr>
        <w:t xml:space="preserve">                </w:t>
      </w:r>
      <w:proofErr w:type="gramStart"/>
      <w:r w:rsidRPr="006F5D9F">
        <w:rPr>
          <w:lang w:val="fr-CH"/>
        </w:rPr>
        <w:t>dB</w:t>
      </w:r>
      <w:proofErr w:type="gramEnd"/>
      <w:r w:rsidRPr="006F5D9F">
        <w:rPr>
          <w:lang w:val="fr-CH"/>
        </w:rPr>
        <w:tab/>
        <w:t>(4)</w:t>
      </w:r>
    </w:p>
    <w:p w14:paraId="14B8B4DF" w14:textId="77777777" w:rsidR="003E3EB5" w:rsidRPr="006F5D9F" w:rsidRDefault="003E3EB5" w:rsidP="003E3EB5">
      <w:pPr>
        <w:pStyle w:val="Blanc"/>
        <w:rPr>
          <w:lang w:val="fr-CH"/>
        </w:rPr>
      </w:pPr>
    </w:p>
    <w:p w14:paraId="0CFF8723"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74"/>
          <w:lang w:val="fr-CH"/>
        </w:rPr>
        <w:object w:dxaOrig="4040" w:dyaOrig="1600" w14:anchorId="349594D1">
          <v:shape id="_x0000_i1027" type="#_x0000_t75" style="width:201.95pt;height:79.95pt" o:ole="">
            <v:imagedata r:id="rId11" o:title=""/>
          </v:shape>
          <o:OLEObject Type="Embed" ProgID="Equation.2" ShapeID="_x0000_i1027" DrawAspect="Content" ObjectID="_1649068308" r:id="rId12"/>
        </w:object>
      </w:r>
      <w:r w:rsidRPr="006F5D9F">
        <w:rPr>
          <w:lang w:val="fr-CH"/>
        </w:rPr>
        <w:t xml:space="preserve">                </w:t>
      </w:r>
      <w:proofErr w:type="gramStart"/>
      <w:r w:rsidRPr="006F5D9F">
        <w:rPr>
          <w:lang w:val="fr-CH"/>
        </w:rPr>
        <w:t>dB</w:t>
      </w:r>
      <w:proofErr w:type="gramEnd"/>
      <w:r w:rsidRPr="006F5D9F">
        <w:rPr>
          <w:lang w:val="fr-CH"/>
        </w:rPr>
        <w:tab/>
        <w:t>(5)</w:t>
      </w:r>
    </w:p>
    <w:p w14:paraId="41EFFF10" w14:textId="77777777" w:rsidR="003E3EB5" w:rsidRPr="006F5D9F" w:rsidRDefault="003E3EB5" w:rsidP="003E3EB5">
      <w:pPr>
        <w:pStyle w:val="Blanc"/>
        <w:rPr>
          <w:lang w:val="fr-CH"/>
        </w:rPr>
      </w:pPr>
    </w:p>
    <w:p w14:paraId="2F18EF3E" w14:textId="77777777" w:rsidR="003E3EB5" w:rsidRPr="006F5D9F" w:rsidRDefault="003E3EB5" w:rsidP="003E3EB5">
      <w:pPr>
        <w:rPr>
          <w:lang w:val="fr-CH"/>
        </w:rPr>
      </w:pPr>
      <w:r w:rsidRPr="006F5D9F">
        <w:rPr>
          <w:lang w:val="fr-CH"/>
        </w:rPr>
        <w:t xml:space="preserve">Le rejet à la fréquence d'accord, également appelé facteur de correction, peut faire l'objet de l'approximation </w:t>
      </w:r>
      <w:proofErr w:type="gramStart"/>
      <w:r w:rsidRPr="006F5D9F">
        <w:rPr>
          <w:lang w:val="fr-CH"/>
        </w:rPr>
        <w:t>suivante:</w:t>
      </w:r>
      <w:proofErr w:type="gramEnd"/>
    </w:p>
    <w:p w14:paraId="6A9EDC9C" w14:textId="77777777" w:rsidR="003E3EB5" w:rsidRPr="006F5D9F" w:rsidRDefault="003E3EB5" w:rsidP="003E3EB5">
      <w:pPr>
        <w:pStyle w:val="Blanc"/>
        <w:rPr>
          <w:lang w:val="fr-CH"/>
        </w:rPr>
      </w:pPr>
      <w:bookmarkStart w:id="1" w:name="F009"/>
    </w:p>
    <w:p w14:paraId="6B824AA0"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32"/>
          <w:lang w:val="fr-CH"/>
        </w:rPr>
        <w:object w:dxaOrig="3040" w:dyaOrig="760" w14:anchorId="697AE8DF">
          <v:shape id="_x0000_i1028" type="#_x0000_t75" style="width:151.5pt;height:38.35pt" o:ole="">
            <v:imagedata r:id="rId13" o:title=""/>
          </v:shape>
          <o:OLEObject Type="Embed" ProgID="Equation.3" ShapeID="_x0000_i1028" DrawAspect="Content" ObjectID="_1649068309" r:id="rId14"/>
        </w:object>
      </w:r>
      <w:r w:rsidRPr="006F5D9F">
        <w:rPr>
          <w:lang w:val="fr-CH"/>
        </w:rPr>
        <w:tab/>
        <w:t>(6)</w:t>
      </w:r>
      <w:bookmarkEnd w:id="1"/>
    </w:p>
    <w:p w14:paraId="0075C2EE" w14:textId="77777777" w:rsidR="003E3EB5" w:rsidRPr="006F5D9F" w:rsidRDefault="003E3EB5" w:rsidP="003E3EB5">
      <w:pPr>
        <w:rPr>
          <w:lang w:val="fr-CH"/>
        </w:rPr>
      </w:pPr>
      <w:proofErr w:type="gramStart"/>
      <w:r w:rsidRPr="006F5D9F">
        <w:rPr>
          <w:lang w:val="fr-CH"/>
        </w:rPr>
        <w:t>où:</w:t>
      </w:r>
      <w:proofErr w:type="gramEnd"/>
    </w:p>
    <w:p w14:paraId="40C3E007" w14:textId="77777777" w:rsidR="003E3EB5" w:rsidRPr="006F5D9F" w:rsidRDefault="003E3EB5" w:rsidP="003E3EB5">
      <w:pPr>
        <w:pStyle w:val="Equationlegend"/>
        <w:rPr>
          <w:lang w:val="fr-CH"/>
        </w:rPr>
      </w:pPr>
      <w:r w:rsidRPr="006F5D9F">
        <w:rPr>
          <w:lang w:val="fr-CH"/>
        </w:rPr>
        <w:tab/>
      </w:r>
      <w:r w:rsidRPr="006F5D9F">
        <w:rPr>
          <w:i/>
          <w:lang w:val="fr-CH"/>
        </w:rPr>
        <w:t>B</w:t>
      </w:r>
      <w:r w:rsidRPr="006F5D9F">
        <w:rPr>
          <w:i/>
          <w:position w:val="-3"/>
          <w:sz w:val="16"/>
          <w:lang w:val="fr-CH"/>
        </w:rPr>
        <w:t>R</w:t>
      </w:r>
      <w:r w:rsidRPr="006F5D9F">
        <w:rPr>
          <w:sz w:val="8"/>
          <w:lang w:val="fr-CH"/>
        </w:rPr>
        <w:t xml:space="preserve"> </w:t>
      </w:r>
      <w:r w:rsidRPr="006F5D9F">
        <w:rPr>
          <w:lang w:val="fr-CH"/>
        </w:rPr>
        <w:t>:</w:t>
      </w:r>
      <w:r w:rsidRPr="006F5D9F">
        <w:rPr>
          <w:lang w:val="fr-CH"/>
        </w:rPr>
        <w:tab/>
        <w:t>largeur de bande du récepteur brouillé à 3 dB (Hz)</w:t>
      </w:r>
    </w:p>
    <w:p w14:paraId="357655E5" w14:textId="77777777" w:rsidR="003E3EB5" w:rsidRPr="006F5D9F" w:rsidRDefault="003E3EB5" w:rsidP="003E3EB5">
      <w:pPr>
        <w:pStyle w:val="Equationlegend"/>
        <w:rPr>
          <w:lang w:val="fr-CH"/>
        </w:rPr>
      </w:pPr>
      <w:r w:rsidRPr="006F5D9F">
        <w:rPr>
          <w:lang w:val="fr-CH"/>
        </w:rPr>
        <w:tab/>
      </w:r>
      <w:r w:rsidRPr="006F5D9F">
        <w:rPr>
          <w:i/>
          <w:lang w:val="fr-CH"/>
        </w:rPr>
        <w:t>B</w:t>
      </w:r>
      <w:r w:rsidRPr="006F5D9F">
        <w:rPr>
          <w:i/>
          <w:position w:val="-3"/>
          <w:sz w:val="16"/>
          <w:lang w:val="fr-CH"/>
        </w:rPr>
        <w:t>T</w:t>
      </w:r>
      <w:r w:rsidRPr="006F5D9F">
        <w:rPr>
          <w:sz w:val="8"/>
          <w:lang w:val="fr-CH"/>
        </w:rPr>
        <w:t xml:space="preserve"> </w:t>
      </w:r>
      <w:r w:rsidRPr="006F5D9F">
        <w:rPr>
          <w:lang w:val="fr-CH"/>
        </w:rPr>
        <w:t>:</w:t>
      </w:r>
      <w:r w:rsidRPr="006F5D9F">
        <w:rPr>
          <w:lang w:val="fr-CH"/>
        </w:rPr>
        <w:tab/>
        <w:t>largeur de bande de l'émetteur brouilleur à 3 dB (Hz)</w:t>
      </w:r>
    </w:p>
    <w:p w14:paraId="17C9FFF8" w14:textId="77777777" w:rsidR="003E3EB5" w:rsidRPr="006F5D9F" w:rsidRDefault="003E3EB5" w:rsidP="005E5925">
      <w:pPr>
        <w:pStyle w:val="Equationlegend"/>
        <w:rPr>
          <w:lang w:val="fr-CH"/>
        </w:rPr>
      </w:pPr>
      <w:r w:rsidRPr="006F5D9F">
        <w:rPr>
          <w:lang w:val="fr-CH"/>
        </w:rPr>
        <w:tab/>
      </w:r>
      <w:r w:rsidRPr="006F5D9F">
        <w:rPr>
          <w:i/>
          <w:lang w:val="fr-CH"/>
        </w:rPr>
        <w:t>K</w:t>
      </w:r>
      <w:r w:rsidR="005E5925" w:rsidRPr="005E5925">
        <w:rPr>
          <w:lang w:val="fr-FR"/>
        </w:rPr>
        <w:t xml:space="preserve"> </w:t>
      </w:r>
      <w:r w:rsidR="005E5925" w:rsidRPr="005E5925">
        <w:t>=</w:t>
      </w:r>
      <w:r w:rsidRPr="006F5D9F">
        <w:rPr>
          <w:lang w:val="fr-CH"/>
        </w:rPr>
        <w:tab/>
        <w:t>20 pour les signaux non cohérents</w:t>
      </w:r>
    </w:p>
    <w:p w14:paraId="3B6D9566" w14:textId="77777777" w:rsidR="003E3EB5" w:rsidRPr="006F5D9F" w:rsidRDefault="003E3EB5" w:rsidP="005E5925">
      <w:pPr>
        <w:pStyle w:val="Equationlegend"/>
        <w:rPr>
          <w:lang w:val="fr-CH"/>
        </w:rPr>
      </w:pPr>
      <w:r w:rsidRPr="006F5D9F">
        <w:rPr>
          <w:lang w:val="fr-CH"/>
        </w:rPr>
        <w:tab/>
      </w:r>
      <w:r w:rsidRPr="006F5D9F">
        <w:rPr>
          <w:i/>
          <w:color w:val="FFFFFF"/>
          <w:lang w:val="fr-CH"/>
        </w:rPr>
        <w:t>K</w:t>
      </w:r>
      <w:r w:rsidR="005E5925" w:rsidRPr="005E5925">
        <w:t>=</w:t>
      </w:r>
      <w:r w:rsidRPr="006F5D9F">
        <w:rPr>
          <w:i/>
          <w:color w:val="000000"/>
          <w:lang w:val="fr-CH"/>
        </w:rPr>
        <w:tab/>
      </w:r>
      <w:r w:rsidRPr="006F5D9F">
        <w:rPr>
          <w:lang w:val="fr-CH"/>
        </w:rPr>
        <w:t>20 pour les impulsions.</w:t>
      </w:r>
    </w:p>
    <w:p w14:paraId="76094EC1" w14:textId="77777777" w:rsidR="003E3EB5" w:rsidRPr="006F5D9F" w:rsidRDefault="003E3EB5" w:rsidP="003E3EB5">
      <w:pPr>
        <w:pStyle w:val="AnnexNoTitle"/>
        <w:rPr>
          <w:lang w:val="fr-CH"/>
        </w:rPr>
      </w:pPr>
      <w:r w:rsidRPr="006F5D9F">
        <w:rPr>
          <w:lang w:val="fr-CH"/>
        </w:rPr>
        <w:t>Annexe 2</w:t>
      </w:r>
      <w:r w:rsidRPr="006F5D9F">
        <w:rPr>
          <w:lang w:val="fr-CH"/>
        </w:rPr>
        <w:br/>
      </w:r>
      <w:r w:rsidRPr="006F5D9F">
        <w:rPr>
          <w:lang w:val="fr-CH"/>
        </w:rPr>
        <w:br/>
        <w:t xml:space="preserve">Méthode permettant de déterminer la séparation en fréquence et en distance </w:t>
      </w:r>
      <w:r w:rsidRPr="006F5D9F">
        <w:rPr>
          <w:lang w:val="fr-CH"/>
        </w:rPr>
        <w:br/>
        <w:t>entre les systèmes de radiocommunication</w:t>
      </w:r>
    </w:p>
    <w:p w14:paraId="5E1F471C" w14:textId="77777777" w:rsidR="003E3EB5" w:rsidRPr="006F5D9F" w:rsidRDefault="003E3EB5" w:rsidP="003E3EB5">
      <w:pPr>
        <w:pStyle w:val="Heading1"/>
        <w:rPr>
          <w:lang w:val="fr-CH"/>
        </w:rPr>
      </w:pPr>
      <w:r w:rsidRPr="006F5D9F">
        <w:rPr>
          <w:lang w:val="fr-CH"/>
        </w:rPr>
        <w:t>1</w:t>
      </w:r>
      <w:r w:rsidRPr="006F5D9F">
        <w:rPr>
          <w:lang w:val="fr-CH"/>
        </w:rPr>
        <w:tab/>
        <w:t>Introduction</w:t>
      </w:r>
    </w:p>
    <w:p w14:paraId="70F7E6E5" w14:textId="77777777" w:rsidR="003E3EB5" w:rsidRPr="006F5D9F" w:rsidRDefault="003E3EB5" w:rsidP="003E3EB5">
      <w:pPr>
        <w:rPr>
          <w:lang w:val="fr-CH"/>
        </w:rPr>
      </w:pPr>
      <w:r w:rsidRPr="006F5D9F">
        <w:rPr>
          <w:lang w:val="fr-CH"/>
        </w:rPr>
        <w:t xml:space="preserve">Nul n'ignore que le principe de la séparation en fréquence et en distance qui s'applique aux systèmes de radiocommunication est un élément important du processus de gestion des fréquences pour la plupart des services de radiocommunication. Pour les services régis par des plans de disposition des canaux, ce principe s'énonce comme </w:t>
      </w:r>
      <w:proofErr w:type="gramStart"/>
      <w:r w:rsidRPr="006F5D9F">
        <w:rPr>
          <w:lang w:val="fr-CH"/>
        </w:rPr>
        <w:t>suit:</w:t>
      </w:r>
      <w:proofErr w:type="gramEnd"/>
      <w:r w:rsidRPr="006F5D9F">
        <w:rPr>
          <w:lang w:val="fr-CH"/>
        </w:rPr>
        <w:t xml:space="preserve"> des émetteurs fonctionnant dans le même canal doivent être distants d'au moins </w:t>
      </w:r>
      <w:r w:rsidRPr="006F5D9F">
        <w:rPr>
          <w:i/>
          <w:lang w:val="fr-CH"/>
        </w:rPr>
        <w:t>d</w:t>
      </w:r>
      <w:r w:rsidRPr="006F5D9F">
        <w:rPr>
          <w:position w:val="-4"/>
          <w:sz w:val="16"/>
          <w:lang w:val="fr-CH"/>
        </w:rPr>
        <w:t>0</w:t>
      </w:r>
      <w:r w:rsidRPr="006F5D9F">
        <w:rPr>
          <w:lang w:val="fr-CH"/>
        </w:rPr>
        <w:t xml:space="preserve"> </w:t>
      </w:r>
      <w:r w:rsidR="007F2F42">
        <w:rPr>
          <w:lang w:val="fr-CH"/>
        </w:rPr>
        <w:t>(</w:t>
      </w:r>
      <w:r w:rsidRPr="006F5D9F">
        <w:rPr>
          <w:lang w:val="fr-CH"/>
        </w:rPr>
        <w:t>km</w:t>
      </w:r>
      <w:r w:rsidR="007F2F42">
        <w:rPr>
          <w:lang w:val="fr-CH"/>
        </w:rPr>
        <w:t>)</w:t>
      </w:r>
      <w:r w:rsidRPr="006F5D9F">
        <w:rPr>
          <w:lang w:val="fr-CH"/>
        </w:rPr>
        <w:t xml:space="preserve">; des émetteurs fonctionnant dans des canaux adjacents doivent être distants d'au moins </w:t>
      </w:r>
      <w:r w:rsidRPr="006F5D9F">
        <w:rPr>
          <w:i/>
          <w:lang w:val="fr-CH"/>
        </w:rPr>
        <w:t>d</w:t>
      </w:r>
      <w:r w:rsidRPr="006F5D9F">
        <w:rPr>
          <w:position w:val="-4"/>
          <w:sz w:val="16"/>
          <w:lang w:val="fr-CH"/>
        </w:rPr>
        <w:t>1</w:t>
      </w:r>
      <w:r w:rsidRPr="006F5D9F">
        <w:rPr>
          <w:lang w:val="fr-CH"/>
        </w:rPr>
        <w:t xml:space="preserve"> </w:t>
      </w:r>
      <w:r w:rsidR="007F2F42">
        <w:rPr>
          <w:lang w:val="fr-CH"/>
        </w:rPr>
        <w:t>(</w:t>
      </w:r>
      <w:r w:rsidRPr="006F5D9F">
        <w:rPr>
          <w:lang w:val="fr-CH"/>
        </w:rPr>
        <w:t>km</w:t>
      </w:r>
      <w:r w:rsidR="007F2F42">
        <w:rPr>
          <w:lang w:val="fr-CH"/>
        </w:rPr>
        <w:t>)</w:t>
      </w:r>
      <w:r w:rsidRPr="006F5D9F">
        <w:rPr>
          <w:lang w:val="fr-CH"/>
        </w:rPr>
        <w:t xml:space="preserve">; pour des émetteurs séparés par deux canaux la distance doit être d'au moins </w:t>
      </w:r>
      <w:r w:rsidRPr="006F5D9F">
        <w:rPr>
          <w:i/>
          <w:lang w:val="fr-CH"/>
        </w:rPr>
        <w:t>d</w:t>
      </w:r>
      <w:r w:rsidRPr="006F5D9F">
        <w:rPr>
          <w:position w:val="-4"/>
          <w:sz w:val="16"/>
          <w:lang w:val="fr-CH"/>
        </w:rPr>
        <w:t>2</w:t>
      </w:r>
      <w:r w:rsidRPr="006F5D9F">
        <w:rPr>
          <w:lang w:val="fr-CH"/>
        </w:rPr>
        <w:t xml:space="preserve"> </w:t>
      </w:r>
      <w:r w:rsidR="007F2F42">
        <w:rPr>
          <w:lang w:val="fr-CH"/>
        </w:rPr>
        <w:t>(</w:t>
      </w:r>
      <w:r w:rsidRPr="006F5D9F">
        <w:rPr>
          <w:lang w:val="fr-CH"/>
        </w:rPr>
        <w:t>km</w:t>
      </w:r>
      <w:r w:rsidR="007F2F42">
        <w:rPr>
          <w:lang w:val="fr-CH"/>
        </w:rPr>
        <w:t>)</w:t>
      </w:r>
      <w:r w:rsidRPr="006F5D9F">
        <w:rPr>
          <w:lang w:val="fr-CH"/>
        </w:rPr>
        <w:t xml:space="preserve">, etc. Les règles relatives à la séparation en fréquence et en distance s'appliquant aux technologies moins récentes sont aujourd'hui bien connues mais l'arrivée des technologies nouvelles soulève le problème </w:t>
      </w:r>
      <w:proofErr w:type="gramStart"/>
      <w:r w:rsidRPr="006F5D9F">
        <w:rPr>
          <w:lang w:val="fr-CH"/>
        </w:rPr>
        <w:t>suivant:</w:t>
      </w:r>
      <w:proofErr w:type="gramEnd"/>
      <w:r w:rsidRPr="006F5D9F">
        <w:rPr>
          <w:lang w:val="fr-CH"/>
        </w:rPr>
        <w:t xml:space="preserve"> quelle règle fréquence/distance le responsable de la gestion du spectre devrait-il appliquer lorsque des systèmes nouveaux et anciens occupent la même bande de fréquences? La méthode permettant de déterminer les règles de séparation en fréquence et en distance à appliquer entre systèmes analogues et systèmes dissemblables est présentée ci</w:t>
      </w:r>
      <w:r w:rsidRPr="006F5D9F">
        <w:rPr>
          <w:lang w:val="fr-CH"/>
        </w:rPr>
        <w:noBreakHyphen/>
        <w:t>après.</w:t>
      </w:r>
    </w:p>
    <w:p w14:paraId="7161C458" w14:textId="77777777" w:rsidR="003E3EB5" w:rsidRPr="006F5D9F" w:rsidRDefault="003E3EB5" w:rsidP="003E3EB5">
      <w:pPr>
        <w:pStyle w:val="Heading1"/>
        <w:rPr>
          <w:lang w:val="fr-CH"/>
        </w:rPr>
      </w:pPr>
      <w:r w:rsidRPr="006F5D9F">
        <w:rPr>
          <w:lang w:val="fr-CH"/>
        </w:rPr>
        <w:t>2</w:t>
      </w:r>
      <w:r w:rsidRPr="006F5D9F">
        <w:rPr>
          <w:lang w:val="fr-CH"/>
        </w:rPr>
        <w:tab/>
        <w:t>Méthode</w:t>
      </w:r>
    </w:p>
    <w:p w14:paraId="4EB64633" w14:textId="77777777" w:rsidR="003E3EB5" w:rsidRPr="006F5D9F" w:rsidRDefault="003E3EB5" w:rsidP="003E3EB5">
      <w:pPr>
        <w:rPr>
          <w:lang w:val="fr-CH"/>
        </w:rPr>
      </w:pPr>
      <w:r w:rsidRPr="006F5D9F">
        <w:rPr>
          <w:lang w:val="fr-CH"/>
        </w:rPr>
        <w:t>Pour élaborer une nouvelle règle de séparation en fréquence et en distance, il faut calculer le niveau de brouillage à l'entrée du récepteur brouillé et définir un critère de brouillage acceptable.</w:t>
      </w:r>
    </w:p>
    <w:p w14:paraId="41AFF176" w14:textId="77777777" w:rsidR="003E3EB5" w:rsidRPr="006F5D9F" w:rsidRDefault="003E3EB5" w:rsidP="003E3EB5">
      <w:pPr>
        <w:pStyle w:val="Heading2"/>
        <w:rPr>
          <w:lang w:val="fr-CH"/>
        </w:rPr>
      </w:pPr>
      <w:r w:rsidRPr="006F5D9F">
        <w:rPr>
          <w:lang w:val="fr-CH"/>
        </w:rPr>
        <w:t>2.1</w:t>
      </w:r>
      <w:r w:rsidRPr="006F5D9F">
        <w:rPr>
          <w:lang w:val="fr-CH"/>
        </w:rPr>
        <w:tab/>
        <w:t>Calcul des brouillages</w:t>
      </w:r>
    </w:p>
    <w:p w14:paraId="15CF1B07" w14:textId="77777777" w:rsidR="003E3EB5" w:rsidRPr="006F5D9F" w:rsidRDefault="003E3EB5" w:rsidP="003E3EB5">
      <w:pPr>
        <w:rPr>
          <w:lang w:val="fr-CH"/>
        </w:rPr>
      </w:pPr>
      <w:r w:rsidRPr="006F5D9F">
        <w:rPr>
          <w:lang w:val="fr-CH"/>
        </w:rPr>
        <w:t xml:space="preserve">Ce calcul fait intervenir deux facteurs </w:t>
      </w:r>
      <w:proofErr w:type="gramStart"/>
      <w:r w:rsidRPr="006F5D9F">
        <w:rPr>
          <w:lang w:val="fr-CH"/>
        </w:rPr>
        <w:t>essentiels:</w:t>
      </w:r>
      <w:proofErr w:type="gramEnd"/>
      <w:r w:rsidRPr="006F5D9F">
        <w:rPr>
          <w:lang w:val="fr-CH"/>
        </w:rPr>
        <w:t xml:space="preserve"> un facteur spectral et un facteur spatial.</w:t>
      </w:r>
    </w:p>
    <w:p w14:paraId="454CA93E" w14:textId="77777777" w:rsidR="003E3EB5" w:rsidRPr="006F5D9F" w:rsidRDefault="003E3EB5" w:rsidP="003E3EB5">
      <w:pPr>
        <w:rPr>
          <w:lang w:val="fr-CH"/>
        </w:rPr>
      </w:pPr>
      <w:r w:rsidRPr="006F5D9F">
        <w:rPr>
          <w:lang w:val="fr-CH"/>
        </w:rPr>
        <w:t xml:space="preserve">Le </w:t>
      </w:r>
      <w:r w:rsidRPr="006F5D9F">
        <w:rPr>
          <w:i/>
          <w:lang w:val="fr-CH"/>
        </w:rPr>
        <w:t>facteur spectral</w:t>
      </w:r>
      <w:r w:rsidRPr="006F5D9F">
        <w:rPr>
          <w:lang w:val="fr-CH"/>
        </w:rPr>
        <w:t xml:space="preserve"> dépend des caractéristiques spectrales de l'émetteur brouilleur et de la courbe de fréquence du récepteur brouillé. Pour les besoins des calculs, il faut avoir une idée précise de la densité spectrale de puissance du signal brouilleur qui dépend de différents paramètres tels que la technique de modulation et la largeur de bande du signal d'information dans le cas de systèmes analogiques ou bien encore, le débit des données transmises dans le cas de systèmes numériques.</w:t>
      </w:r>
    </w:p>
    <w:p w14:paraId="2905973A" w14:textId="77777777" w:rsidR="003E3EB5" w:rsidRPr="006F5D9F" w:rsidRDefault="003E3EB5" w:rsidP="003E3EB5">
      <w:pPr>
        <w:rPr>
          <w:lang w:val="fr-CH"/>
        </w:rPr>
      </w:pPr>
      <w:r w:rsidRPr="006F5D9F">
        <w:rPr>
          <w:lang w:val="fr-CH"/>
        </w:rPr>
        <w:t>Pour ce qui est du récepteur brouillé, il faut connaître les caractéristiques de la courbe de fréquence intermédiaire (FI) équivalente du récepteur. On peut utiliser les spécifications du fabricant (largeur de bande de 6 dB et de 40 dB au niveau de la partie FI) comme base pour la modélisation de la courbe de fréquence FI du récepteur.</w:t>
      </w:r>
    </w:p>
    <w:p w14:paraId="56874E88" w14:textId="77777777" w:rsidR="003E3EB5" w:rsidRPr="006F5D9F" w:rsidRDefault="003E3EB5" w:rsidP="005E5925">
      <w:pPr>
        <w:rPr>
          <w:lang w:val="fr-CH"/>
        </w:rPr>
      </w:pPr>
      <w:r w:rsidRPr="006F5D9F">
        <w:rPr>
          <w:lang w:val="fr-CH"/>
        </w:rPr>
        <w:t xml:space="preserve">Le facteur spectral est représenté par le facteur de rejet hors canal (OCR – </w:t>
      </w:r>
      <w:r w:rsidRPr="006F5D9F">
        <w:rPr>
          <w:i/>
          <w:color w:val="000000"/>
          <w:lang w:val="fr-CH"/>
        </w:rPr>
        <w:t>off-channel-rejection</w:t>
      </w:r>
      <w:r w:rsidRPr="006F5D9F">
        <w:rPr>
          <w:color w:val="000000"/>
          <w:lang w:val="fr-CH"/>
        </w:rPr>
        <w:t xml:space="preserve">), </w:t>
      </w:r>
      <w:proofErr w:type="gramStart"/>
      <w:r w:rsidRPr="007F2F42">
        <w:rPr>
          <w:iCs/>
          <w:color w:val="000000"/>
          <w:lang w:val="fr-CH"/>
        </w:rPr>
        <w:t>OCR</w:t>
      </w:r>
      <w:r w:rsidRPr="006F5D9F">
        <w:rPr>
          <w:color w:val="000000"/>
          <w:lang w:val="fr-CH"/>
        </w:rPr>
        <w:t>(</w:t>
      </w:r>
      <w:proofErr w:type="gramEnd"/>
      <w:r w:rsidR="005E5925">
        <w:rPr>
          <w:color w:val="000000"/>
          <w:lang w:val="fr-CH"/>
        </w:rPr>
        <w:t>Δ</w:t>
      </w:r>
      <w:r w:rsidRPr="006F5D9F">
        <w:rPr>
          <w:i/>
          <w:color w:val="000000"/>
          <w:lang w:val="fr-CH"/>
        </w:rPr>
        <w:t>f</w:t>
      </w:r>
      <w:r w:rsidRPr="006F5D9F">
        <w:rPr>
          <w:sz w:val="8"/>
          <w:lang w:val="fr-CH"/>
        </w:rPr>
        <w:t> </w:t>
      </w:r>
      <w:r w:rsidRPr="006F5D9F">
        <w:rPr>
          <w:color w:val="000000"/>
          <w:lang w:val="fr-CH"/>
        </w:rPr>
        <w:t>),</w:t>
      </w:r>
      <w:r w:rsidRPr="006F5D9F">
        <w:rPr>
          <w:lang w:val="fr-CH"/>
        </w:rPr>
        <w:t xml:space="preserve"> qui est défini par la relation suivante:</w:t>
      </w:r>
    </w:p>
    <w:p w14:paraId="1FDC95AB" w14:textId="77777777" w:rsidR="003E3EB5" w:rsidRPr="006F5D9F" w:rsidRDefault="003E3EB5" w:rsidP="003E3EB5">
      <w:pPr>
        <w:pStyle w:val="Blanc"/>
        <w:rPr>
          <w:lang w:val="fr-CH"/>
        </w:rPr>
      </w:pPr>
    </w:p>
    <w:p w14:paraId="6C6687ED" w14:textId="77777777" w:rsidR="003E3EB5" w:rsidRPr="006F5D9F" w:rsidRDefault="003E3EB5" w:rsidP="003E3EB5">
      <w:pPr>
        <w:pStyle w:val="Equation"/>
        <w:rPr>
          <w:lang w:val="fr-CH"/>
        </w:rPr>
      </w:pPr>
      <w:r w:rsidRPr="006F5D9F">
        <w:rPr>
          <w:lang w:val="fr-CH"/>
        </w:rPr>
        <w:tab/>
      </w:r>
      <w:r w:rsidRPr="006F5D9F">
        <w:rPr>
          <w:lang w:val="fr-CH"/>
        </w:rPr>
        <w:tab/>
      </w:r>
      <w:r w:rsidR="001D25B5" w:rsidRPr="006F5D9F">
        <w:rPr>
          <w:position w:val="-74"/>
          <w:lang w:val="fr-CH"/>
        </w:rPr>
        <w:object w:dxaOrig="4300" w:dyaOrig="1600" w14:anchorId="2B448FC6">
          <v:shape id="_x0000_i1029" type="#_x0000_t75" style="width:215.05pt;height:79.95pt" o:ole="">
            <v:imagedata r:id="rId15" o:title=""/>
          </v:shape>
          <o:OLEObject Type="Embed" ProgID="Equation.2" ShapeID="_x0000_i1029" DrawAspect="Content" ObjectID="_1649068310" r:id="rId16"/>
        </w:object>
      </w:r>
      <w:r w:rsidRPr="006F5D9F">
        <w:rPr>
          <w:lang w:val="fr-CH"/>
        </w:rPr>
        <w:t xml:space="preserve">                </w:t>
      </w:r>
      <w:proofErr w:type="gramStart"/>
      <w:r w:rsidRPr="006F5D9F">
        <w:rPr>
          <w:lang w:val="fr-CH"/>
        </w:rPr>
        <w:t>dB</w:t>
      </w:r>
      <w:proofErr w:type="gramEnd"/>
      <w:r w:rsidRPr="006F5D9F">
        <w:rPr>
          <w:lang w:val="fr-CH"/>
        </w:rPr>
        <w:tab/>
        <w:t>(7)</w:t>
      </w:r>
    </w:p>
    <w:p w14:paraId="347981E4" w14:textId="77777777" w:rsidR="003E3EB5" w:rsidRPr="006F5D9F" w:rsidRDefault="00746369" w:rsidP="003E3EB5">
      <w:pPr>
        <w:rPr>
          <w:lang w:val="fr-CH"/>
        </w:rPr>
      </w:pPr>
      <w:r>
        <w:rPr>
          <w:lang w:val="fr-CH"/>
        </w:rPr>
        <w:br w:type="page"/>
      </w:r>
      <w:proofErr w:type="gramStart"/>
      <w:r w:rsidR="003E3EB5" w:rsidRPr="006F5D9F">
        <w:rPr>
          <w:lang w:val="fr-CH"/>
        </w:rPr>
        <w:t>où:</w:t>
      </w:r>
      <w:proofErr w:type="gramEnd"/>
    </w:p>
    <w:p w14:paraId="3478C5CB" w14:textId="77777777" w:rsidR="003E3EB5" w:rsidRPr="006F5D9F" w:rsidRDefault="003E3EB5" w:rsidP="003E3EB5">
      <w:pPr>
        <w:pStyle w:val="Equationlegend"/>
        <w:rPr>
          <w:lang w:val="fr-CH"/>
        </w:rPr>
      </w:pPr>
      <w:r w:rsidRPr="006F5D9F">
        <w:rPr>
          <w:lang w:val="fr-CH"/>
        </w:rPr>
        <w:tab/>
      </w:r>
      <w:proofErr w:type="gramStart"/>
      <w:r w:rsidRPr="006F5D9F">
        <w:rPr>
          <w:i/>
          <w:lang w:val="fr-CH"/>
        </w:rPr>
        <w:t>P(</w:t>
      </w:r>
      <w:r w:rsidRPr="006F5D9F">
        <w:rPr>
          <w:sz w:val="8"/>
          <w:lang w:val="fr-CH"/>
        </w:rPr>
        <w:t> </w:t>
      </w:r>
      <w:r w:rsidRPr="006F5D9F">
        <w:rPr>
          <w:i/>
          <w:lang w:val="fr-CH"/>
        </w:rPr>
        <w:t>f</w:t>
      </w:r>
      <w:proofErr w:type="gramEnd"/>
      <w:r w:rsidRPr="006F5D9F">
        <w:rPr>
          <w:sz w:val="8"/>
          <w:lang w:val="fr-CH"/>
        </w:rPr>
        <w:t> </w:t>
      </w:r>
      <w:r w:rsidRPr="006F5D9F">
        <w:rPr>
          <w:lang w:val="fr-CH"/>
        </w:rPr>
        <w:t>)</w:t>
      </w:r>
      <w:r w:rsidRPr="006F5D9F">
        <w:rPr>
          <w:sz w:val="8"/>
          <w:lang w:val="fr-CH"/>
        </w:rPr>
        <w:t> </w:t>
      </w:r>
      <w:r w:rsidRPr="006F5D9F">
        <w:rPr>
          <w:lang w:val="fr-CH"/>
        </w:rPr>
        <w:t>:</w:t>
      </w:r>
      <w:r w:rsidRPr="006F5D9F">
        <w:rPr>
          <w:lang w:val="fr-CH"/>
        </w:rPr>
        <w:tab/>
        <w:t>densité spectrale de puissance du signal brouilleur (W/Hz)</w:t>
      </w:r>
    </w:p>
    <w:p w14:paraId="1848DEE8" w14:textId="77777777" w:rsidR="003E3EB5" w:rsidRPr="006F5D9F" w:rsidRDefault="003E3EB5" w:rsidP="003E3EB5">
      <w:pPr>
        <w:pStyle w:val="Equationlegend"/>
        <w:rPr>
          <w:lang w:val="fr-CH"/>
        </w:rPr>
      </w:pPr>
      <w:r w:rsidRPr="006F5D9F">
        <w:rPr>
          <w:lang w:val="fr-CH"/>
        </w:rPr>
        <w:tab/>
      </w:r>
      <w:proofErr w:type="gramStart"/>
      <w:r w:rsidRPr="006F5D9F">
        <w:rPr>
          <w:i/>
          <w:lang w:val="fr-CH"/>
        </w:rPr>
        <w:t>H(</w:t>
      </w:r>
      <w:r w:rsidRPr="006F5D9F">
        <w:rPr>
          <w:sz w:val="8"/>
          <w:lang w:val="fr-CH"/>
        </w:rPr>
        <w:t> </w:t>
      </w:r>
      <w:r w:rsidRPr="006F5D9F">
        <w:rPr>
          <w:i/>
          <w:lang w:val="fr-CH"/>
        </w:rPr>
        <w:t>f</w:t>
      </w:r>
      <w:proofErr w:type="gramEnd"/>
      <w:r w:rsidRPr="006F5D9F">
        <w:rPr>
          <w:sz w:val="8"/>
          <w:lang w:val="fr-CH"/>
        </w:rPr>
        <w:t> </w:t>
      </w:r>
      <w:r w:rsidRPr="006F5D9F">
        <w:rPr>
          <w:lang w:val="fr-CH"/>
        </w:rPr>
        <w:t>)</w:t>
      </w:r>
      <w:r w:rsidRPr="006F5D9F">
        <w:rPr>
          <w:sz w:val="8"/>
          <w:lang w:val="fr-CH"/>
        </w:rPr>
        <w:t> </w:t>
      </w:r>
      <w:r w:rsidRPr="006F5D9F">
        <w:rPr>
          <w:lang w:val="fr-CH"/>
        </w:rPr>
        <w:t>:</w:t>
      </w:r>
      <w:r w:rsidRPr="006F5D9F">
        <w:rPr>
          <w:lang w:val="fr-CH"/>
        </w:rPr>
        <w:tab/>
        <w:t>courbe de fréquence FI équivalente du récepteur brouillé</w:t>
      </w:r>
    </w:p>
    <w:p w14:paraId="3E9C1BCF" w14:textId="77777777" w:rsidR="003E3EB5" w:rsidRPr="006F5D9F" w:rsidRDefault="003E3EB5" w:rsidP="003E3EB5">
      <w:pPr>
        <w:pStyle w:val="Equationlegend"/>
        <w:rPr>
          <w:lang w:val="fr-CH"/>
        </w:rPr>
      </w:pPr>
      <w:r w:rsidRPr="006F5D9F">
        <w:rPr>
          <w:lang w:val="fr-CH"/>
        </w:rPr>
        <w:tab/>
      </w:r>
      <w:r w:rsidRPr="006F5D9F">
        <w:rPr>
          <w:lang w:val="fr-CH"/>
        </w:rPr>
        <w:sym w:font="Symbol" w:char="F044"/>
      </w:r>
      <w:proofErr w:type="gramStart"/>
      <w:r w:rsidRPr="006F5D9F">
        <w:rPr>
          <w:i/>
          <w:lang w:val="fr-CH"/>
        </w:rPr>
        <w:t>f</w:t>
      </w:r>
      <w:proofErr w:type="gramEnd"/>
      <w:r w:rsidRPr="006F5D9F">
        <w:rPr>
          <w:sz w:val="8"/>
          <w:lang w:val="fr-CH"/>
        </w:rPr>
        <w:t> </w:t>
      </w:r>
      <w:r w:rsidRPr="006F5D9F">
        <w:rPr>
          <w:lang w:val="fr-CH"/>
        </w:rPr>
        <w:t>:</w:t>
      </w:r>
      <w:r w:rsidRPr="006F5D9F">
        <w:rPr>
          <w:lang w:val="fr-CH"/>
        </w:rPr>
        <w:tab/>
        <w:t>séparation en fréquence entre le récepteur brouillé et l'émetteur brouilleur.</w:t>
      </w:r>
    </w:p>
    <w:p w14:paraId="05E3B084" w14:textId="77777777" w:rsidR="003E3EB5" w:rsidRPr="006F5D9F" w:rsidRDefault="003E3EB5" w:rsidP="003E3EB5">
      <w:pPr>
        <w:rPr>
          <w:lang w:val="fr-CH"/>
        </w:rPr>
      </w:pPr>
      <w:r w:rsidRPr="006F5D9F">
        <w:rPr>
          <w:lang w:val="fr-CH"/>
        </w:rPr>
        <w:t>On notera que l'équation (7) ne diffère pas de l'équation (2) même si les limites inférieures d'intégration sont différentes.</w:t>
      </w:r>
    </w:p>
    <w:p w14:paraId="0AF7630A" w14:textId="77777777" w:rsidR="003E3EB5" w:rsidRPr="006F5D9F" w:rsidRDefault="003E3EB5" w:rsidP="003E3EB5">
      <w:pPr>
        <w:rPr>
          <w:lang w:val="fr-CH"/>
        </w:rPr>
      </w:pPr>
      <w:r w:rsidRPr="006F5D9F">
        <w:rPr>
          <w:lang w:val="fr-CH"/>
        </w:rPr>
        <w:t xml:space="preserve">Il ressort à l'évidence de l'équation (7) que le facteur </w:t>
      </w:r>
      <w:proofErr w:type="gramStart"/>
      <w:r w:rsidRPr="007F2F42">
        <w:rPr>
          <w:iCs/>
          <w:color w:val="000000"/>
          <w:lang w:val="fr-CH"/>
        </w:rPr>
        <w:t>OCR</w:t>
      </w:r>
      <w:r w:rsidRPr="006F5D9F">
        <w:rPr>
          <w:color w:val="000000"/>
          <w:lang w:val="fr-CH"/>
        </w:rPr>
        <w:t>(</w:t>
      </w:r>
      <w:proofErr w:type="gramEnd"/>
      <w:r w:rsidRPr="006F5D9F">
        <w:rPr>
          <w:rFonts w:ascii="Symbol" w:hAnsi="Symbol"/>
          <w:color w:val="000000"/>
          <w:lang w:val="fr-CH"/>
        </w:rPr>
        <w:t></w:t>
      </w:r>
      <w:r w:rsidRPr="006F5D9F">
        <w:rPr>
          <w:i/>
          <w:color w:val="000000"/>
          <w:lang w:val="fr-CH"/>
        </w:rPr>
        <w:t>f</w:t>
      </w:r>
      <w:r w:rsidRPr="006F5D9F">
        <w:rPr>
          <w:sz w:val="8"/>
          <w:lang w:val="fr-CH"/>
        </w:rPr>
        <w:t> </w:t>
      </w:r>
      <w:r w:rsidRPr="006F5D9F">
        <w:rPr>
          <w:color w:val="000000"/>
          <w:lang w:val="fr-CH"/>
        </w:rPr>
        <w:t>)</w:t>
      </w:r>
      <w:r w:rsidRPr="006F5D9F">
        <w:rPr>
          <w:lang w:val="fr-CH"/>
        </w:rPr>
        <w:t xml:space="preserve"> dépend dans une large mesure de l'importance du chevauchement entre la bande passante du récepteur et le spectre de puissance du signal brouilleur: en effet, plus </w:t>
      </w:r>
      <w:r w:rsidRPr="006F5D9F">
        <w:rPr>
          <w:lang w:val="fr-CH"/>
        </w:rPr>
        <w:sym w:font="Symbol" w:char="F044"/>
      </w:r>
      <w:r w:rsidRPr="006F5D9F">
        <w:rPr>
          <w:i/>
          <w:lang w:val="fr-CH"/>
        </w:rPr>
        <w:t>f</w:t>
      </w:r>
      <w:r w:rsidRPr="006F5D9F">
        <w:rPr>
          <w:lang w:val="fr-CH"/>
        </w:rPr>
        <w:t xml:space="preserve"> augmente, plus le chevauchement diminue, ce qui se traduit par une puissance brouilleuse plus faible ou, ce qui est équivalent, par des valeurs plus élevées pour </w:t>
      </w:r>
      <w:r w:rsidRPr="007F2F42">
        <w:rPr>
          <w:iCs/>
          <w:color w:val="000000"/>
          <w:lang w:val="fr-CH"/>
        </w:rPr>
        <w:t>OCR</w:t>
      </w:r>
      <w:r w:rsidRPr="006F5D9F">
        <w:rPr>
          <w:color w:val="000000"/>
          <w:lang w:val="fr-CH"/>
        </w:rPr>
        <w:t>(</w:t>
      </w:r>
      <w:r w:rsidRPr="006F5D9F">
        <w:rPr>
          <w:rFonts w:ascii="Symbol" w:hAnsi="Symbol"/>
          <w:color w:val="000000"/>
          <w:lang w:val="fr-CH"/>
        </w:rPr>
        <w:t></w:t>
      </w:r>
      <w:r w:rsidRPr="006F5D9F">
        <w:rPr>
          <w:i/>
          <w:color w:val="000000"/>
          <w:lang w:val="fr-CH"/>
        </w:rPr>
        <w:t>f</w:t>
      </w:r>
      <w:r w:rsidRPr="006F5D9F">
        <w:rPr>
          <w:sz w:val="8"/>
          <w:lang w:val="fr-CH"/>
        </w:rPr>
        <w:t> </w:t>
      </w:r>
      <w:r w:rsidRPr="006F5D9F">
        <w:rPr>
          <w:color w:val="000000"/>
          <w:lang w:val="fr-CH"/>
        </w:rPr>
        <w:t>)</w:t>
      </w:r>
      <w:r w:rsidRPr="006F5D9F">
        <w:rPr>
          <w:lang w:val="fr-CH"/>
        </w:rPr>
        <w:t>.</w:t>
      </w:r>
    </w:p>
    <w:p w14:paraId="4F9F3B1E" w14:textId="77777777" w:rsidR="003E3EB5" w:rsidRPr="006F5D9F" w:rsidRDefault="003E3EB5" w:rsidP="003E3EB5">
      <w:pPr>
        <w:rPr>
          <w:lang w:val="fr-CH"/>
        </w:rPr>
      </w:pPr>
      <w:r w:rsidRPr="006F5D9F">
        <w:rPr>
          <w:lang w:val="fr-CH"/>
        </w:rPr>
        <w:t xml:space="preserve">Le </w:t>
      </w:r>
      <w:r w:rsidRPr="006F5D9F">
        <w:rPr>
          <w:i/>
          <w:lang w:val="fr-CH"/>
        </w:rPr>
        <w:t>facteur spatial</w:t>
      </w:r>
      <w:r w:rsidRPr="006F5D9F">
        <w:rPr>
          <w:lang w:val="fr-CH"/>
        </w:rPr>
        <w:t xml:space="preserve"> concerne le calcul de la distance rapporté à l'affaiblissement du </w:t>
      </w:r>
      <w:proofErr w:type="gramStart"/>
      <w:r w:rsidRPr="006F5D9F">
        <w:rPr>
          <w:lang w:val="fr-CH"/>
        </w:rPr>
        <w:t>signal;</w:t>
      </w:r>
      <w:proofErr w:type="gramEnd"/>
      <w:r w:rsidRPr="006F5D9F">
        <w:rPr>
          <w:lang w:val="fr-CH"/>
        </w:rPr>
        <w:t xml:space="preserve"> il est étroitement lié au modèle de propagation qui sera utilisé et à la distribution statistique du signal brouilleur sur la partie avant du récepteur brouillé. Il convient d'utiliser un modèle de propagation approprié recommandé par l'UIT-R.</w:t>
      </w:r>
    </w:p>
    <w:p w14:paraId="2AABC87D" w14:textId="77777777" w:rsidR="003E3EB5" w:rsidRPr="006F5D9F" w:rsidRDefault="003E3EB5" w:rsidP="003E3EB5">
      <w:pPr>
        <w:rPr>
          <w:lang w:val="fr-CH"/>
        </w:rPr>
      </w:pPr>
      <w:r w:rsidRPr="006F5D9F">
        <w:rPr>
          <w:lang w:val="fr-CH"/>
        </w:rPr>
        <w:t>Le modèle de propagation qui sera utilisé dans ce cas dépend bien sûr de la configuration du système ainsi que de la bande de fréquences d'exploitation, de l'environnement géographique autour de la zone de service et de la largeur de bande du système.</w:t>
      </w:r>
    </w:p>
    <w:p w14:paraId="1B372E0B" w14:textId="77777777" w:rsidR="003E3EB5" w:rsidRPr="006F5D9F" w:rsidRDefault="003E3EB5" w:rsidP="003E3EB5">
      <w:pPr>
        <w:pStyle w:val="Heading2"/>
        <w:rPr>
          <w:lang w:val="fr-CH"/>
        </w:rPr>
      </w:pPr>
      <w:r w:rsidRPr="006F5D9F">
        <w:rPr>
          <w:lang w:val="fr-CH"/>
        </w:rPr>
        <w:t>2.2</w:t>
      </w:r>
      <w:r w:rsidRPr="006F5D9F">
        <w:rPr>
          <w:lang w:val="fr-CH"/>
        </w:rPr>
        <w:tab/>
        <w:t>Critère de brouillage</w:t>
      </w:r>
    </w:p>
    <w:p w14:paraId="2EEE0C2D" w14:textId="77777777" w:rsidR="003E3EB5" w:rsidRPr="006F5D9F" w:rsidRDefault="003E3EB5" w:rsidP="003E3EB5">
      <w:pPr>
        <w:rPr>
          <w:lang w:val="fr-CH"/>
        </w:rPr>
      </w:pPr>
      <w:r w:rsidRPr="006F5D9F">
        <w:rPr>
          <w:lang w:val="fr-CH"/>
        </w:rPr>
        <w:t xml:space="preserve">Il s'agit généralement d'une relation simple basée sur ce que l'on entend par brouillage préjudiciable ou brouillage tolérable. Ce critère devrait, en principe, être lié au niveau de dégradation de qualité que le récepteur brouillé peut tolérer mais ce n'est pas réalisable ne serait-ce que parce qu'il existe de nombreux types de systèmes et de techniques différents qui ne sont peut-être pas capables de traiter les brouillages de la même façon. On adopte donc un critère plus générique basé sur un rapport de protection </w:t>
      </w:r>
      <w:r w:rsidRPr="006F5D9F">
        <w:rPr>
          <w:rFonts w:ascii="Symbol" w:hAnsi="Symbol"/>
          <w:lang w:val="fr-CH"/>
        </w:rPr>
        <w:t></w:t>
      </w:r>
      <w:r w:rsidRPr="006F5D9F">
        <w:rPr>
          <w:lang w:val="fr-CH"/>
        </w:rPr>
        <w:t xml:space="preserve"> (dB). On considérera que le brouillage est tolérable si l'inégalité suivante est </w:t>
      </w:r>
      <w:proofErr w:type="gramStart"/>
      <w:r w:rsidRPr="006F5D9F">
        <w:rPr>
          <w:lang w:val="fr-CH"/>
        </w:rPr>
        <w:t>satisfaite:</w:t>
      </w:r>
      <w:proofErr w:type="gramEnd"/>
    </w:p>
    <w:p w14:paraId="7D55EC51"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12"/>
          <w:lang w:val="fr-CH"/>
        </w:rPr>
        <w:object w:dxaOrig="1120" w:dyaOrig="360" w14:anchorId="004C73D4">
          <v:shape id="_x0000_i1030" type="#_x0000_t75" style="width:56.1pt;height:18.25pt" o:ole="">
            <v:imagedata r:id="rId17" o:title=""/>
          </v:shape>
          <o:OLEObject Type="Embed" ProgID="Equation.3" ShapeID="_x0000_i1030" DrawAspect="Content" ObjectID="_1649068311" r:id="rId18"/>
        </w:object>
      </w:r>
      <w:r w:rsidRPr="006F5D9F">
        <w:rPr>
          <w:lang w:val="fr-CH"/>
        </w:rPr>
        <w:tab/>
        <w:t>(8)</w:t>
      </w:r>
    </w:p>
    <w:p w14:paraId="6457D4B0" w14:textId="77777777" w:rsidR="003E3EB5" w:rsidRPr="006F5D9F" w:rsidRDefault="003E3EB5" w:rsidP="003E3EB5">
      <w:pPr>
        <w:rPr>
          <w:lang w:val="fr-CH"/>
        </w:rPr>
      </w:pPr>
      <w:proofErr w:type="gramStart"/>
      <w:r w:rsidRPr="006F5D9F">
        <w:rPr>
          <w:lang w:val="fr-CH"/>
        </w:rPr>
        <w:t>où:</w:t>
      </w:r>
      <w:proofErr w:type="gramEnd"/>
    </w:p>
    <w:p w14:paraId="1887481F" w14:textId="77777777" w:rsidR="003E3EB5" w:rsidRPr="006F5D9F" w:rsidRDefault="003E3EB5" w:rsidP="003E3EB5">
      <w:pPr>
        <w:pStyle w:val="Equationlegend"/>
        <w:rPr>
          <w:lang w:val="fr-CH"/>
        </w:rPr>
      </w:pPr>
      <w:r w:rsidRPr="006F5D9F">
        <w:rPr>
          <w:lang w:val="fr-CH"/>
        </w:rPr>
        <w:tab/>
      </w:r>
      <w:r w:rsidRPr="006F5D9F">
        <w:rPr>
          <w:i/>
          <w:lang w:val="fr-CH"/>
        </w:rPr>
        <w:t>P</w:t>
      </w:r>
      <w:r w:rsidRPr="006F5D9F">
        <w:rPr>
          <w:i/>
          <w:position w:val="-4"/>
          <w:sz w:val="16"/>
          <w:lang w:val="fr-CH"/>
        </w:rPr>
        <w:t>d</w:t>
      </w:r>
      <w:r w:rsidRPr="006F5D9F">
        <w:rPr>
          <w:sz w:val="8"/>
          <w:lang w:val="fr-CH"/>
        </w:rPr>
        <w:t> </w:t>
      </w:r>
      <w:r w:rsidRPr="006F5D9F">
        <w:rPr>
          <w:lang w:val="fr-CH"/>
        </w:rPr>
        <w:t>:</w:t>
      </w:r>
      <w:r w:rsidRPr="006F5D9F">
        <w:rPr>
          <w:lang w:val="fr-CH"/>
        </w:rPr>
        <w:tab/>
        <w:t>niveau du signal utile (dBW)</w:t>
      </w:r>
    </w:p>
    <w:p w14:paraId="18E67B1F" w14:textId="77777777" w:rsidR="003E3EB5" w:rsidRPr="006F5D9F" w:rsidRDefault="003E3EB5" w:rsidP="003E3EB5">
      <w:pPr>
        <w:pStyle w:val="Equationlegend"/>
        <w:rPr>
          <w:lang w:val="fr-CH"/>
        </w:rPr>
      </w:pPr>
      <w:r w:rsidRPr="006F5D9F">
        <w:rPr>
          <w:lang w:val="fr-CH"/>
        </w:rPr>
        <w:tab/>
      </w:r>
      <w:r w:rsidRPr="006F5D9F">
        <w:rPr>
          <w:i/>
          <w:lang w:val="fr-CH"/>
        </w:rPr>
        <w:t>P</w:t>
      </w:r>
      <w:r w:rsidRPr="006F5D9F">
        <w:rPr>
          <w:i/>
          <w:position w:val="-4"/>
          <w:sz w:val="16"/>
          <w:lang w:val="fr-CH"/>
        </w:rPr>
        <w:t>i</w:t>
      </w:r>
      <w:r w:rsidRPr="006F5D9F">
        <w:rPr>
          <w:sz w:val="8"/>
          <w:lang w:val="fr-CH"/>
        </w:rPr>
        <w:t> </w:t>
      </w:r>
      <w:r w:rsidRPr="006F5D9F">
        <w:rPr>
          <w:lang w:val="fr-CH"/>
        </w:rPr>
        <w:t>:</w:t>
      </w:r>
      <w:r w:rsidRPr="006F5D9F">
        <w:rPr>
          <w:lang w:val="fr-CH"/>
        </w:rPr>
        <w:tab/>
        <w:t>niveau du signal brouilleur (dBW)</w:t>
      </w:r>
    </w:p>
    <w:p w14:paraId="5D0E0E08" w14:textId="77777777" w:rsidR="003E3EB5" w:rsidRPr="006F5D9F" w:rsidRDefault="003E3EB5" w:rsidP="003E3EB5">
      <w:pPr>
        <w:pStyle w:val="Equationlegend"/>
        <w:rPr>
          <w:lang w:val="fr-CH"/>
        </w:rPr>
      </w:pPr>
      <w:r w:rsidRPr="006F5D9F">
        <w:rPr>
          <w:lang w:val="fr-CH"/>
        </w:rPr>
        <w:tab/>
      </w:r>
      <w:r w:rsidRPr="006F5D9F">
        <w:rPr>
          <w:rFonts w:ascii="Symbol" w:hAnsi="Symbol"/>
          <w:lang w:val="fr-CH"/>
        </w:rPr>
        <w:t></w:t>
      </w:r>
      <w:r w:rsidRPr="006F5D9F">
        <w:rPr>
          <w:sz w:val="8"/>
          <w:lang w:val="fr-CH"/>
        </w:rPr>
        <w:t> </w:t>
      </w:r>
      <w:r w:rsidRPr="006F5D9F">
        <w:rPr>
          <w:lang w:val="fr-CH"/>
        </w:rPr>
        <w:t>:</w:t>
      </w:r>
      <w:r w:rsidRPr="006F5D9F">
        <w:rPr>
          <w:lang w:val="fr-CH"/>
        </w:rPr>
        <w:tab/>
        <w:t>rapport de protection (dB).</w:t>
      </w:r>
    </w:p>
    <w:p w14:paraId="7F3D2477" w14:textId="77777777" w:rsidR="003E3EB5" w:rsidRPr="006F5D9F" w:rsidRDefault="003E3EB5" w:rsidP="003E3EB5">
      <w:pPr>
        <w:pStyle w:val="Heading2"/>
        <w:rPr>
          <w:lang w:val="fr-CH"/>
        </w:rPr>
      </w:pPr>
      <w:r w:rsidRPr="006F5D9F">
        <w:rPr>
          <w:lang w:val="fr-CH"/>
        </w:rPr>
        <w:t>2.3</w:t>
      </w:r>
      <w:r w:rsidRPr="006F5D9F">
        <w:rPr>
          <w:lang w:val="fr-CH"/>
        </w:rPr>
        <w:tab/>
        <w:t>Procédure</w:t>
      </w:r>
    </w:p>
    <w:p w14:paraId="67ACE815" w14:textId="77777777" w:rsidR="003E3EB5" w:rsidRPr="006F5D9F" w:rsidRDefault="003E3EB5" w:rsidP="003E3EB5">
      <w:pPr>
        <w:rPr>
          <w:lang w:val="fr-CH"/>
        </w:rPr>
      </w:pPr>
      <w:r w:rsidRPr="006F5D9F">
        <w:rPr>
          <w:lang w:val="fr-CH"/>
        </w:rPr>
        <w:t xml:space="preserve">On peut résumer comme suit la procédure d'élaboration d'une règle de séparation en fréquence et en </w:t>
      </w:r>
      <w:proofErr w:type="gramStart"/>
      <w:r w:rsidRPr="006F5D9F">
        <w:rPr>
          <w:lang w:val="fr-CH"/>
        </w:rPr>
        <w:t>distance:</w:t>
      </w:r>
      <w:proofErr w:type="gramEnd"/>
    </w:p>
    <w:p w14:paraId="6F505B65" w14:textId="77777777" w:rsidR="003E3EB5" w:rsidRPr="006F5D9F" w:rsidRDefault="003E3EB5" w:rsidP="003E3EB5">
      <w:pPr>
        <w:pStyle w:val="enumlev1"/>
        <w:tabs>
          <w:tab w:val="left" w:pos="964"/>
        </w:tabs>
        <w:ind w:left="0" w:firstLine="0"/>
        <w:rPr>
          <w:lang w:val="fr-CH"/>
        </w:rPr>
      </w:pPr>
      <w:r w:rsidRPr="006F5D9F">
        <w:rPr>
          <w:i/>
          <w:lang w:val="fr-CH"/>
        </w:rPr>
        <w:t xml:space="preserve">Etape </w:t>
      </w:r>
      <w:proofErr w:type="gramStart"/>
      <w:r w:rsidRPr="006F5D9F">
        <w:rPr>
          <w:i/>
          <w:lang w:val="fr-CH"/>
        </w:rPr>
        <w:t>1</w:t>
      </w:r>
      <w:r w:rsidRPr="006F5D9F">
        <w:rPr>
          <w:lang w:val="fr-CH"/>
        </w:rPr>
        <w:t>:</w:t>
      </w:r>
      <w:proofErr w:type="gramEnd"/>
      <w:r w:rsidRPr="006F5D9F">
        <w:rPr>
          <w:lang w:val="fr-CH"/>
        </w:rPr>
        <w:tab/>
        <w:t xml:space="preserve">Détermination du niveau du signal utile </w:t>
      </w:r>
      <w:r w:rsidRPr="006F5D9F">
        <w:rPr>
          <w:i/>
          <w:lang w:val="fr-CH"/>
        </w:rPr>
        <w:t>P</w:t>
      </w:r>
      <w:r w:rsidRPr="006F5D9F">
        <w:rPr>
          <w:i/>
          <w:position w:val="-4"/>
          <w:sz w:val="16"/>
          <w:lang w:val="fr-CH"/>
        </w:rPr>
        <w:t>d</w:t>
      </w:r>
      <w:r w:rsidRPr="006F5D9F">
        <w:rPr>
          <w:lang w:val="fr-CH"/>
        </w:rPr>
        <w:t xml:space="preserve"> (dBW) sur la partie avant du récepteur brouillé.</w:t>
      </w:r>
    </w:p>
    <w:p w14:paraId="78CF35DD" w14:textId="77777777" w:rsidR="003E3EB5" w:rsidRPr="006F5D9F" w:rsidRDefault="003E3EB5" w:rsidP="003E3EB5">
      <w:pPr>
        <w:pStyle w:val="enumlev1"/>
        <w:tabs>
          <w:tab w:val="left" w:pos="964"/>
        </w:tabs>
        <w:ind w:left="0" w:firstLine="0"/>
        <w:rPr>
          <w:lang w:val="fr-CH"/>
        </w:rPr>
      </w:pPr>
      <w:r w:rsidRPr="006F5D9F">
        <w:rPr>
          <w:i/>
          <w:lang w:val="fr-CH"/>
        </w:rPr>
        <w:t xml:space="preserve">Etape </w:t>
      </w:r>
      <w:proofErr w:type="gramStart"/>
      <w:r w:rsidRPr="006F5D9F">
        <w:rPr>
          <w:i/>
          <w:lang w:val="fr-CH"/>
        </w:rPr>
        <w:t>2</w:t>
      </w:r>
      <w:r w:rsidRPr="006F5D9F">
        <w:rPr>
          <w:lang w:val="fr-CH"/>
        </w:rPr>
        <w:t>:</w:t>
      </w:r>
      <w:proofErr w:type="gramEnd"/>
      <w:r w:rsidRPr="006F5D9F">
        <w:rPr>
          <w:lang w:val="fr-CH"/>
        </w:rPr>
        <w:tab/>
        <w:t>Calcul du niveau résultant</w:t>
      </w:r>
      <w:r w:rsidRPr="006F5D9F">
        <w:rPr>
          <w:i/>
          <w:lang w:val="fr-CH"/>
        </w:rPr>
        <w:t xml:space="preserve"> </w:t>
      </w:r>
      <w:r w:rsidRPr="006F5D9F">
        <w:rPr>
          <w:lang w:val="fr-CH"/>
        </w:rPr>
        <w:t>de brouillage sur la partie avant du récepteur brouillé à l'aide de la formule:</w:t>
      </w:r>
    </w:p>
    <w:p w14:paraId="40524902" w14:textId="77777777" w:rsidR="003E3EB5" w:rsidRPr="006F5D9F" w:rsidRDefault="003E3EB5" w:rsidP="003E3EB5">
      <w:pPr>
        <w:pStyle w:val="Equation"/>
        <w:rPr>
          <w:lang w:val="fr-CH"/>
        </w:rPr>
      </w:pPr>
      <w:r w:rsidRPr="006F5D9F">
        <w:rPr>
          <w:lang w:val="fr-CH"/>
        </w:rPr>
        <w:tab/>
      </w:r>
      <w:r w:rsidRPr="006F5D9F">
        <w:rPr>
          <w:lang w:val="fr-CH"/>
        </w:rPr>
        <w:tab/>
      </w:r>
      <w:r w:rsidR="007F2F42" w:rsidRPr="006F5D9F">
        <w:rPr>
          <w:position w:val="-14"/>
          <w:lang w:val="fr-CH"/>
        </w:rPr>
        <w:object w:dxaOrig="2820" w:dyaOrig="380" w14:anchorId="100437C7">
          <v:shape id="_x0000_i1031" type="#_x0000_t75" style="width:141.2pt;height:19.15pt" o:ole="">
            <v:imagedata r:id="rId19" o:title=""/>
          </v:shape>
          <o:OLEObject Type="Embed" ProgID="Equation.3" ShapeID="_x0000_i1031" DrawAspect="Content" ObjectID="_1649068312" r:id="rId20"/>
        </w:object>
      </w:r>
      <w:r w:rsidRPr="006F5D9F">
        <w:rPr>
          <w:lang w:val="fr-CH"/>
        </w:rPr>
        <w:tab/>
        <w:t>(9)</w:t>
      </w:r>
    </w:p>
    <w:p w14:paraId="2FC7B6F5" w14:textId="77777777" w:rsidR="003E3EB5" w:rsidRPr="006F5D9F" w:rsidRDefault="00746369" w:rsidP="003E3EB5">
      <w:pPr>
        <w:spacing w:before="0"/>
        <w:rPr>
          <w:lang w:val="fr-CH"/>
        </w:rPr>
      </w:pPr>
      <w:r>
        <w:rPr>
          <w:lang w:val="fr-CH"/>
        </w:rPr>
        <w:br w:type="page"/>
      </w:r>
      <w:proofErr w:type="gramStart"/>
      <w:r w:rsidR="003E3EB5" w:rsidRPr="006F5D9F">
        <w:rPr>
          <w:lang w:val="fr-CH"/>
        </w:rPr>
        <w:t>où:</w:t>
      </w:r>
      <w:proofErr w:type="gramEnd"/>
    </w:p>
    <w:p w14:paraId="1BC297B1" w14:textId="77777777" w:rsidR="003E3EB5" w:rsidRPr="006F5D9F" w:rsidRDefault="003E3EB5" w:rsidP="003E3EB5">
      <w:pPr>
        <w:pStyle w:val="Equationlegend"/>
        <w:rPr>
          <w:lang w:val="fr-CH"/>
        </w:rPr>
      </w:pPr>
      <w:r w:rsidRPr="006F5D9F">
        <w:rPr>
          <w:lang w:val="fr-CH"/>
        </w:rPr>
        <w:tab/>
      </w:r>
      <w:r w:rsidRPr="006F5D9F">
        <w:rPr>
          <w:i/>
          <w:lang w:val="fr-CH"/>
        </w:rPr>
        <w:t>P</w:t>
      </w:r>
      <w:r w:rsidRPr="006F5D9F">
        <w:rPr>
          <w:i/>
          <w:position w:val="-4"/>
          <w:sz w:val="16"/>
          <w:lang w:val="fr-CH"/>
        </w:rPr>
        <w:t>t</w:t>
      </w:r>
      <w:r w:rsidRPr="006F5D9F">
        <w:rPr>
          <w:sz w:val="8"/>
          <w:lang w:val="fr-CH"/>
        </w:rPr>
        <w:t> </w:t>
      </w:r>
      <w:r w:rsidRPr="006F5D9F">
        <w:rPr>
          <w:lang w:val="fr-CH"/>
        </w:rPr>
        <w:t>:</w:t>
      </w:r>
      <w:r w:rsidRPr="006F5D9F">
        <w:rPr>
          <w:lang w:val="fr-CH"/>
        </w:rPr>
        <w:tab/>
        <w:t xml:space="preserve">puissance isotrope rayonnée équivalente (p.i.r.e.) de l'émetteur brouilleur (dBW) </w:t>
      </w:r>
    </w:p>
    <w:p w14:paraId="13422E1B" w14:textId="77777777" w:rsidR="003E3EB5" w:rsidRPr="006F5D9F" w:rsidRDefault="003E3EB5" w:rsidP="003E3EB5">
      <w:pPr>
        <w:pStyle w:val="Equationlegend"/>
        <w:rPr>
          <w:lang w:val="fr-CH"/>
        </w:rPr>
      </w:pPr>
      <w:r w:rsidRPr="006F5D9F">
        <w:rPr>
          <w:lang w:val="fr-CH"/>
        </w:rPr>
        <w:tab/>
      </w:r>
      <w:r w:rsidRPr="006F5D9F">
        <w:rPr>
          <w:i/>
          <w:lang w:val="fr-CH"/>
        </w:rPr>
        <w:t>G</w:t>
      </w:r>
      <w:r w:rsidRPr="006F5D9F">
        <w:rPr>
          <w:i/>
          <w:position w:val="-4"/>
          <w:sz w:val="16"/>
          <w:lang w:val="fr-CH"/>
        </w:rPr>
        <w:t>r</w:t>
      </w:r>
      <w:r w:rsidRPr="006F5D9F">
        <w:rPr>
          <w:sz w:val="8"/>
          <w:lang w:val="fr-CH"/>
        </w:rPr>
        <w:t> </w:t>
      </w:r>
      <w:r w:rsidRPr="006F5D9F">
        <w:rPr>
          <w:lang w:val="fr-CH"/>
        </w:rPr>
        <w:t>:</w:t>
      </w:r>
      <w:r w:rsidRPr="006F5D9F">
        <w:rPr>
          <w:lang w:val="fr-CH"/>
        </w:rPr>
        <w:tab/>
        <w:t>gain de l'antenne de réception par rapport à une antenne isotrope (dBi)</w:t>
      </w:r>
    </w:p>
    <w:p w14:paraId="6CEF7C40" w14:textId="77777777" w:rsidR="003E3EB5" w:rsidRPr="006F5D9F" w:rsidRDefault="003E3EB5" w:rsidP="003E3EB5">
      <w:pPr>
        <w:pStyle w:val="Equationlegend"/>
        <w:rPr>
          <w:lang w:val="fr-CH"/>
        </w:rPr>
      </w:pPr>
      <w:r w:rsidRPr="006F5D9F">
        <w:rPr>
          <w:lang w:val="fr-CH"/>
        </w:rPr>
        <w:tab/>
      </w:r>
      <w:r w:rsidRPr="006F5D9F">
        <w:rPr>
          <w:i/>
          <w:lang w:val="fr-CH"/>
        </w:rPr>
        <w:t>L</w:t>
      </w:r>
      <w:r w:rsidRPr="006F5D9F">
        <w:rPr>
          <w:i/>
          <w:position w:val="-4"/>
          <w:sz w:val="16"/>
          <w:lang w:val="fr-CH"/>
        </w:rPr>
        <w:t>p</w:t>
      </w:r>
      <w:r w:rsidRPr="006F5D9F">
        <w:rPr>
          <w:sz w:val="8"/>
          <w:lang w:val="fr-CH"/>
        </w:rPr>
        <w:t> </w:t>
      </w:r>
      <w:r w:rsidRPr="006F5D9F">
        <w:rPr>
          <w:lang w:val="fr-CH"/>
        </w:rPr>
        <w:t>:</w:t>
      </w:r>
      <w:r w:rsidRPr="006F5D9F">
        <w:rPr>
          <w:lang w:val="fr-CH"/>
        </w:rPr>
        <w:tab/>
        <w:t>affaiblissement sur le trajet de propagation</w:t>
      </w:r>
    </w:p>
    <w:p w14:paraId="3A7E972A" w14:textId="77777777" w:rsidR="003E3EB5" w:rsidRPr="006F5D9F" w:rsidRDefault="003E3EB5" w:rsidP="003E3EB5">
      <w:pPr>
        <w:pStyle w:val="Equationlegend"/>
        <w:rPr>
          <w:lang w:val="fr-CH"/>
        </w:rPr>
      </w:pPr>
      <w:r w:rsidRPr="006F5D9F">
        <w:rPr>
          <w:lang w:val="fr-CH"/>
        </w:rPr>
        <w:tab/>
      </w:r>
      <w:r w:rsidRPr="007F2F42">
        <w:rPr>
          <w:iCs/>
          <w:color w:val="000000"/>
          <w:lang w:val="fr-CH"/>
        </w:rPr>
        <w:t>OCR</w:t>
      </w:r>
      <w:r w:rsidRPr="006F5D9F">
        <w:rPr>
          <w:sz w:val="8"/>
          <w:lang w:val="fr-CH"/>
        </w:rPr>
        <w:t> </w:t>
      </w:r>
      <w:r w:rsidRPr="006F5D9F">
        <w:rPr>
          <w:color w:val="000000"/>
          <w:lang w:val="fr-CH"/>
        </w:rPr>
        <w:t>(</w:t>
      </w:r>
      <w:r w:rsidRPr="006F5D9F">
        <w:rPr>
          <w:rFonts w:ascii="Symbol" w:hAnsi="Symbol"/>
          <w:color w:val="000000"/>
          <w:lang w:val="fr-CH"/>
        </w:rPr>
        <w:t></w:t>
      </w:r>
      <w:proofErr w:type="gramStart"/>
      <w:r w:rsidRPr="006F5D9F">
        <w:rPr>
          <w:i/>
          <w:color w:val="000000"/>
          <w:lang w:val="fr-CH"/>
        </w:rPr>
        <w:t>f</w:t>
      </w:r>
      <w:r w:rsidRPr="006F5D9F">
        <w:rPr>
          <w:sz w:val="8"/>
          <w:lang w:val="fr-CH"/>
        </w:rPr>
        <w:t> </w:t>
      </w:r>
      <w:r w:rsidRPr="006F5D9F">
        <w:rPr>
          <w:color w:val="000000"/>
          <w:lang w:val="fr-CH"/>
        </w:rPr>
        <w:t>)</w:t>
      </w:r>
      <w:proofErr w:type="gramEnd"/>
      <w:r w:rsidRPr="006F5D9F">
        <w:rPr>
          <w:sz w:val="8"/>
          <w:lang w:val="fr-CH"/>
        </w:rPr>
        <w:t> </w:t>
      </w:r>
      <w:r w:rsidRPr="006F5D9F">
        <w:rPr>
          <w:lang w:val="fr-CH"/>
        </w:rPr>
        <w:t>:</w:t>
      </w:r>
      <w:r w:rsidRPr="006F5D9F">
        <w:rPr>
          <w:lang w:val="fr-CH"/>
        </w:rPr>
        <w:tab/>
        <w:t xml:space="preserve">facteur de rejet hors canal pour un espacement des fréquences </w:t>
      </w:r>
      <w:r w:rsidRPr="006F5D9F">
        <w:rPr>
          <w:rFonts w:ascii="Symbol" w:hAnsi="Symbol"/>
          <w:color w:val="000000"/>
          <w:lang w:val="fr-CH"/>
        </w:rPr>
        <w:t></w:t>
      </w:r>
      <w:r w:rsidRPr="006F5D9F">
        <w:rPr>
          <w:i/>
          <w:color w:val="000000"/>
          <w:lang w:val="fr-CH"/>
        </w:rPr>
        <w:t>f</w:t>
      </w:r>
      <w:r w:rsidRPr="006F5D9F">
        <w:rPr>
          <w:lang w:val="fr-CH"/>
        </w:rPr>
        <w:t xml:space="preserve"> exprimé par l'équation (7).</w:t>
      </w:r>
    </w:p>
    <w:p w14:paraId="257A0019" w14:textId="77777777" w:rsidR="003E3EB5" w:rsidRPr="006F5D9F" w:rsidRDefault="003E3EB5" w:rsidP="003E3EB5">
      <w:pPr>
        <w:rPr>
          <w:lang w:val="fr-CH"/>
        </w:rPr>
      </w:pPr>
      <w:r w:rsidRPr="006F5D9F">
        <w:rPr>
          <w:lang w:val="fr-CH"/>
        </w:rPr>
        <w:t xml:space="preserve">On se place dans l'hypothèse des valeurs </w:t>
      </w:r>
      <w:r w:rsidRPr="007F2F42">
        <w:rPr>
          <w:iCs/>
          <w:color w:val="000000"/>
          <w:lang w:val="fr-CH"/>
        </w:rPr>
        <w:t>OCR</w:t>
      </w:r>
      <w:r w:rsidRPr="006F5D9F">
        <w:rPr>
          <w:lang w:val="fr-CH"/>
        </w:rPr>
        <w:t xml:space="preserve"> utilisées dans la présente Recommandation, qui a plus pour but de présenter la méthodologie des valeurs </w:t>
      </w:r>
      <w:r w:rsidRPr="007F2F42">
        <w:rPr>
          <w:iCs/>
          <w:color w:val="000000"/>
          <w:lang w:val="fr-CH"/>
        </w:rPr>
        <w:t>OCR</w:t>
      </w:r>
      <w:r w:rsidRPr="006F5D9F">
        <w:rPr>
          <w:lang w:val="fr-CH"/>
        </w:rPr>
        <w:t xml:space="preserve"> que leur mise au point.</w:t>
      </w:r>
    </w:p>
    <w:p w14:paraId="546290C1" w14:textId="77777777" w:rsidR="003E3EB5" w:rsidRPr="006F5D9F" w:rsidRDefault="003E3EB5" w:rsidP="003E3EB5">
      <w:pPr>
        <w:pStyle w:val="enumlev1"/>
        <w:tabs>
          <w:tab w:val="left" w:pos="964"/>
        </w:tabs>
        <w:ind w:left="0" w:firstLine="0"/>
        <w:rPr>
          <w:lang w:val="fr-CH"/>
        </w:rPr>
      </w:pPr>
      <w:r w:rsidRPr="006F5D9F">
        <w:rPr>
          <w:i/>
          <w:lang w:val="fr-CH"/>
        </w:rPr>
        <w:t xml:space="preserve">Etape </w:t>
      </w:r>
      <w:proofErr w:type="gramStart"/>
      <w:r w:rsidRPr="006F5D9F">
        <w:rPr>
          <w:i/>
          <w:lang w:val="fr-CH"/>
        </w:rPr>
        <w:t>3</w:t>
      </w:r>
      <w:r w:rsidRPr="006F5D9F">
        <w:rPr>
          <w:lang w:val="fr-CH"/>
        </w:rPr>
        <w:t>:</w:t>
      </w:r>
      <w:proofErr w:type="gramEnd"/>
      <w:r w:rsidRPr="006F5D9F">
        <w:rPr>
          <w:lang w:val="fr-CH"/>
        </w:rPr>
        <w:tab/>
        <w:t xml:space="preserve">Utilisation de </w:t>
      </w:r>
      <w:r w:rsidRPr="006F5D9F">
        <w:rPr>
          <w:i/>
          <w:lang w:val="fr-CH"/>
        </w:rPr>
        <w:t>P</w:t>
      </w:r>
      <w:r w:rsidRPr="006F5D9F">
        <w:rPr>
          <w:i/>
          <w:position w:val="-4"/>
          <w:sz w:val="16"/>
          <w:lang w:val="fr-CH"/>
        </w:rPr>
        <w:t>d</w:t>
      </w:r>
      <w:r w:rsidRPr="006F5D9F">
        <w:rPr>
          <w:lang w:val="fr-CH"/>
        </w:rPr>
        <w:t xml:space="preserve"> et </w:t>
      </w:r>
      <w:r w:rsidRPr="006F5D9F">
        <w:rPr>
          <w:i/>
          <w:lang w:val="fr-CH"/>
        </w:rPr>
        <w:t>P</w:t>
      </w:r>
      <w:r w:rsidRPr="006F5D9F">
        <w:rPr>
          <w:i/>
          <w:position w:val="-4"/>
          <w:sz w:val="16"/>
          <w:lang w:val="fr-CH"/>
        </w:rPr>
        <w:t>i</w:t>
      </w:r>
      <w:r w:rsidRPr="006F5D9F">
        <w:rPr>
          <w:lang w:val="fr-CH"/>
        </w:rPr>
        <w:t xml:space="preserve"> des étapes 1 et 2 dans l'équation (8) pour obtenir ou calculer numériquement une relation entre la séparation en fréquence </w:t>
      </w:r>
      <w:r w:rsidRPr="006F5D9F">
        <w:rPr>
          <w:lang w:val="fr-CH"/>
        </w:rPr>
        <w:sym w:font="Symbol" w:char="F044"/>
      </w:r>
      <w:r w:rsidRPr="006F5D9F">
        <w:rPr>
          <w:i/>
          <w:lang w:val="fr-CH"/>
        </w:rPr>
        <w:t xml:space="preserve">f </w:t>
      </w:r>
      <w:r w:rsidRPr="006F5D9F">
        <w:rPr>
          <w:lang w:val="fr-CH"/>
        </w:rPr>
        <w:t>et la séparation en distance </w:t>
      </w:r>
      <w:r w:rsidRPr="006F5D9F">
        <w:rPr>
          <w:i/>
          <w:lang w:val="fr-CH"/>
        </w:rPr>
        <w:t>d</w:t>
      </w:r>
      <w:r w:rsidRPr="006F5D9F">
        <w:rPr>
          <w:lang w:val="fr-CH"/>
        </w:rPr>
        <w:t xml:space="preserve"> de façon à ce que le brouillage soit considéré comme tolérable.</w:t>
      </w:r>
    </w:p>
    <w:p w14:paraId="64581580" w14:textId="77777777" w:rsidR="003E3EB5" w:rsidRPr="006F5D9F" w:rsidRDefault="003E3EB5" w:rsidP="003E3EB5">
      <w:pPr>
        <w:pStyle w:val="Heading2"/>
        <w:rPr>
          <w:lang w:val="fr-CH"/>
        </w:rPr>
      </w:pPr>
      <w:r w:rsidRPr="006F5D9F">
        <w:rPr>
          <w:lang w:val="fr-CH"/>
        </w:rPr>
        <w:t>2.4</w:t>
      </w:r>
      <w:r w:rsidRPr="006F5D9F">
        <w:rPr>
          <w:lang w:val="fr-CH"/>
        </w:rPr>
        <w:tab/>
        <w:t>Autre procédure</w:t>
      </w:r>
    </w:p>
    <w:p w14:paraId="223DC417" w14:textId="77777777" w:rsidR="003E3EB5" w:rsidRPr="006F5D9F" w:rsidRDefault="003E3EB5" w:rsidP="003E3EB5">
      <w:pPr>
        <w:rPr>
          <w:lang w:val="fr-CH"/>
        </w:rPr>
      </w:pPr>
      <w:r w:rsidRPr="006F5D9F">
        <w:rPr>
          <w:lang w:val="fr-CH"/>
        </w:rPr>
        <w:t>Dans l'environnement réel, le signal reçu par le récepteur brouillé subit un évanouissement par occultation, qui est représenté par une distribution log-normale. Pour compenser cet effet d'évanouissement, il convient que le niveau du signal reçu soit supérieur au niveau de sensibilité. Une autre procédure pour déterminer un isolement requis entre le récepteur brouillé et l'émetteur brouilleur, qui tient compte de l'effet d'évanouissement par occultation, est présentée ci-</w:t>
      </w:r>
      <w:proofErr w:type="gramStart"/>
      <w:r w:rsidRPr="006F5D9F">
        <w:rPr>
          <w:lang w:val="fr-CH"/>
        </w:rPr>
        <w:t>après:</w:t>
      </w:r>
      <w:proofErr w:type="gramEnd"/>
    </w:p>
    <w:p w14:paraId="3698721C" w14:textId="77777777" w:rsidR="003E3EB5" w:rsidRPr="006F5D9F" w:rsidRDefault="003E3EB5" w:rsidP="003E3EB5">
      <w:pPr>
        <w:tabs>
          <w:tab w:val="clear" w:pos="1191"/>
          <w:tab w:val="left" w:pos="993"/>
        </w:tabs>
        <w:rPr>
          <w:lang w:val="fr-CH"/>
        </w:rPr>
      </w:pPr>
      <w:r w:rsidRPr="006F5D9F">
        <w:rPr>
          <w:i/>
          <w:iCs/>
          <w:lang w:val="fr-CH"/>
        </w:rPr>
        <w:t xml:space="preserve">Etape </w:t>
      </w:r>
      <w:proofErr w:type="gramStart"/>
      <w:r w:rsidRPr="006F5D9F">
        <w:rPr>
          <w:i/>
          <w:iCs/>
          <w:lang w:val="fr-CH"/>
        </w:rPr>
        <w:t>1</w:t>
      </w:r>
      <w:r w:rsidRPr="006F5D9F">
        <w:rPr>
          <w:lang w:val="fr-CH"/>
        </w:rPr>
        <w:t>:</w:t>
      </w:r>
      <w:proofErr w:type="gramEnd"/>
      <w:r w:rsidRPr="006F5D9F">
        <w:rPr>
          <w:i/>
          <w:iCs/>
          <w:lang w:val="fr-CH"/>
        </w:rPr>
        <w:t xml:space="preserve"> </w:t>
      </w:r>
      <w:r w:rsidRPr="006F5D9F">
        <w:rPr>
          <w:i/>
          <w:iCs/>
          <w:lang w:val="fr-CH"/>
        </w:rPr>
        <w:tab/>
      </w:r>
      <w:r w:rsidRPr="006F5D9F">
        <w:rPr>
          <w:lang w:val="fr-CH"/>
        </w:rPr>
        <w:t>Calculer l'isolement requis pour que l'émetteur brouilleur n'occasionne pas de brouillages radioélectriques au récepteur au moyen de la formule suivante:</w:t>
      </w:r>
    </w:p>
    <w:p w14:paraId="115E6827" w14:textId="77777777" w:rsidR="003E3EB5" w:rsidRPr="006F5D9F" w:rsidRDefault="003E3EB5" w:rsidP="003E3EB5">
      <w:pPr>
        <w:pStyle w:val="Equation"/>
        <w:rPr>
          <w:szCs w:val="24"/>
          <w:lang w:val="fr-CH" w:eastAsia="ko-KR"/>
        </w:rPr>
      </w:pPr>
      <w:r w:rsidRPr="006F5D9F">
        <w:rPr>
          <w:lang w:val="fr-CH" w:eastAsia="ko-KR"/>
        </w:rPr>
        <w:tab/>
      </w:r>
      <w:r w:rsidRPr="006F5D9F">
        <w:rPr>
          <w:lang w:val="fr-CH" w:eastAsia="ko-KR"/>
        </w:rPr>
        <w:tab/>
      </w:r>
      <w:r w:rsidR="00B05B2B" w:rsidRPr="006F5D9F">
        <w:rPr>
          <w:position w:val="-12"/>
          <w:lang w:val="fr-CH" w:eastAsia="ko-KR"/>
        </w:rPr>
        <w:object w:dxaOrig="5460" w:dyaOrig="420" w14:anchorId="0CDC83C5">
          <v:shape id="_x0000_i1032" type="#_x0000_t75" style="width:273.05pt;height:21.05pt" o:ole="">
            <v:imagedata r:id="rId21" o:title=""/>
          </v:shape>
          <o:OLEObject Type="Embed" ProgID="Equation.3" ShapeID="_x0000_i1032" DrawAspect="Content" ObjectID="_1649068313" r:id="rId22"/>
        </w:object>
      </w:r>
      <w:r w:rsidRPr="006F5D9F">
        <w:rPr>
          <w:lang w:val="fr-CH" w:eastAsia="ko-KR"/>
        </w:rPr>
        <w:tab/>
      </w:r>
      <w:r w:rsidRPr="006F5D9F">
        <w:rPr>
          <w:lang w:val="fr-CH"/>
        </w:rPr>
        <w:t>(</w:t>
      </w:r>
      <w:r w:rsidRPr="006F5D9F">
        <w:rPr>
          <w:lang w:val="fr-CH" w:eastAsia="ko-KR"/>
        </w:rPr>
        <w:t>10</w:t>
      </w:r>
      <w:r w:rsidRPr="006F5D9F">
        <w:rPr>
          <w:lang w:val="fr-CH"/>
        </w:rPr>
        <w:t>)</w:t>
      </w:r>
    </w:p>
    <w:p w14:paraId="6DCE5AAF" w14:textId="77777777" w:rsidR="003E3EB5" w:rsidRPr="006F5D9F" w:rsidRDefault="003E3EB5" w:rsidP="003E3EB5">
      <w:pPr>
        <w:rPr>
          <w:lang w:val="fr-CH"/>
        </w:rPr>
      </w:pPr>
      <w:proofErr w:type="gramStart"/>
      <w:r w:rsidRPr="006F5D9F">
        <w:rPr>
          <w:lang w:val="fr-CH"/>
        </w:rPr>
        <w:t>où:</w:t>
      </w:r>
      <w:proofErr w:type="gramEnd"/>
    </w:p>
    <w:p w14:paraId="2079E675" w14:textId="77777777" w:rsidR="003E3EB5" w:rsidRPr="006F5D9F" w:rsidRDefault="003E3EB5" w:rsidP="003E3EB5">
      <w:pPr>
        <w:pStyle w:val="Equationlegend"/>
        <w:rPr>
          <w:lang w:val="fr-CH"/>
        </w:rPr>
      </w:pPr>
      <w:r w:rsidRPr="006F5D9F">
        <w:rPr>
          <w:lang w:val="fr-CH"/>
        </w:rPr>
        <w:tab/>
      </w:r>
      <w:proofErr w:type="gramStart"/>
      <w:r w:rsidRPr="006F5D9F">
        <w:rPr>
          <w:i/>
          <w:iCs/>
          <w:lang w:val="fr-CH"/>
        </w:rPr>
        <w:t>L</w:t>
      </w:r>
      <w:r w:rsidRPr="006F5D9F">
        <w:rPr>
          <w:i/>
          <w:iCs/>
          <w:vertAlign w:val="subscript"/>
          <w:lang w:val="fr-CH"/>
        </w:rPr>
        <w:t>I</w:t>
      </w:r>
      <w:r w:rsidRPr="006F5D9F">
        <w:rPr>
          <w:lang w:val="fr-CH"/>
        </w:rPr>
        <w:t>:</w:t>
      </w:r>
      <w:proofErr w:type="gramEnd"/>
      <w:r w:rsidRPr="006F5D9F">
        <w:rPr>
          <w:lang w:val="fr-CH"/>
        </w:rPr>
        <w:t xml:space="preserve"> </w:t>
      </w:r>
      <w:r w:rsidRPr="006F5D9F">
        <w:rPr>
          <w:lang w:val="fr-CH"/>
        </w:rPr>
        <w:tab/>
        <w:t>isolement requis entre l'émetteur brouilleur et le récepteur brouillé afin d'assurer un brouillage tolérable (dB)</w:t>
      </w:r>
    </w:p>
    <w:p w14:paraId="7F8AEC25" w14:textId="77777777" w:rsidR="003E3EB5" w:rsidRPr="006F5D9F" w:rsidRDefault="003E3EB5" w:rsidP="003E3EB5">
      <w:pPr>
        <w:pStyle w:val="Equationlegend"/>
        <w:rPr>
          <w:lang w:val="fr-CH"/>
        </w:rPr>
      </w:pPr>
      <w:r w:rsidRPr="006F5D9F">
        <w:rPr>
          <w:lang w:val="fr-CH"/>
        </w:rPr>
        <w:tab/>
      </w:r>
      <w:proofErr w:type="gramStart"/>
      <w:r w:rsidRPr="006F5D9F">
        <w:rPr>
          <w:i/>
          <w:iCs/>
          <w:lang w:val="fr-CH"/>
        </w:rPr>
        <w:t>P</w:t>
      </w:r>
      <w:r w:rsidRPr="006F5D9F">
        <w:rPr>
          <w:i/>
          <w:iCs/>
          <w:vertAlign w:val="subscript"/>
          <w:lang w:val="fr-CH"/>
        </w:rPr>
        <w:t>t</w:t>
      </w:r>
      <w:r w:rsidRPr="006F5D9F">
        <w:rPr>
          <w:lang w:val="fr-CH"/>
        </w:rPr>
        <w:t>:</w:t>
      </w:r>
      <w:proofErr w:type="gramEnd"/>
      <w:r w:rsidRPr="006F5D9F">
        <w:rPr>
          <w:lang w:val="fr-CH"/>
        </w:rPr>
        <w:tab/>
        <w:t>puissance isotrope rayonnée équivalente (p.i.r.e.) de l'émetteur brouilleur (dBW)</w:t>
      </w:r>
    </w:p>
    <w:p w14:paraId="0F9238E3" w14:textId="77777777" w:rsidR="003E3EB5" w:rsidRPr="006F5D9F" w:rsidRDefault="003E3EB5" w:rsidP="003E3EB5">
      <w:pPr>
        <w:pStyle w:val="Equationlegend"/>
        <w:rPr>
          <w:lang w:val="fr-CH"/>
        </w:rPr>
      </w:pPr>
      <w:r w:rsidRPr="006F5D9F">
        <w:rPr>
          <w:lang w:val="fr-CH"/>
        </w:rPr>
        <w:tab/>
      </w:r>
      <w:proofErr w:type="gramStart"/>
      <w:r w:rsidRPr="006F5D9F">
        <w:rPr>
          <w:i/>
          <w:iCs/>
          <w:lang w:val="fr-CH"/>
        </w:rPr>
        <w:t>G</w:t>
      </w:r>
      <w:r w:rsidRPr="006F5D9F">
        <w:rPr>
          <w:i/>
          <w:iCs/>
          <w:vertAlign w:val="subscript"/>
          <w:lang w:val="fr-CH"/>
        </w:rPr>
        <w:t>r</w:t>
      </w:r>
      <w:r w:rsidRPr="006F5D9F">
        <w:rPr>
          <w:lang w:val="fr-CH"/>
        </w:rPr>
        <w:t>:</w:t>
      </w:r>
      <w:proofErr w:type="gramEnd"/>
      <w:r w:rsidRPr="006F5D9F">
        <w:rPr>
          <w:lang w:val="fr-CH"/>
        </w:rPr>
        <w:t xml:space="preserve"> </w:t>
      </w:r>
      <w:r w:rsidRPr="006F5D9F">
        <w:rPr>
          <w:lang w:val="fr-CH"/>
        </w:rPr>
        <w:tab/>
        <w:t>gain de l'antenne de réception par rapport à une antenne isotrope (dBi)</w:t>
      </w:r>
    </w:p>
    <w:p w14:paraId="779D103D" w14:textId="77777777" w:rsidR="003E3EB5" w:rsidRPr="006F5D9F" w:rsidRDefault="003E3EB5" w:rsidP="003E3EB5">
      <w:pPr>
        <w:pStyle w:val="Equationlegend"/>
        <w:rPr>
          <w:lang w:val="fr-CH"/>
        </w:rPr>
      </w:pPr>
      <w:r w:rsidRPr="006F5D9F">
        <w:rPr>
          <w:lang w:val="fr-CH"/>
        </w:rPr>
        <w:tab/>
      </w:r>
      <w:proofErr w:type="gramStart"/>
      <w:r w:rsidRPr="006F5D9F">
        <w:rPr>
          <w:i/>
          <w:iCs/>
          <w:lang w:val="fr-CH"/>
        </w:rPr>
        <w:t>P</w:t>
      </w:r>
      <w:r w:rsidRPr="007F2F42">
        <w:rPr>
          <w:i/>
          <w:iCs/>
          <w:vertAlign w:val="subscript"/>
          <w:lang w:val="fr-CH"/>
        </w:rPr>
        <w:t>min</w:t>
      </w:r>
      <w:r w:rsidRPr="006F5D9F">
        <w:rPr>
          <w:lang w:val="fr-CH"/>
        </w:rPr>
        <w:t>:</w:t>
      </w:r>
      <w:proofErr w:type="gramEnd"/>
      <w:r w:rsidRPr="006F5D9F">
        <w:rPr>
          <w:lang w:val="fr-CH"/>
        </w:rPr>
        <w:tab/>
        <w:t>niveau minimal du signal utile (dBW)</w:t>
      </w:r>
    </w:p>
    <w:p w14:paraId="5F84E1B4" w14:textId="77777777" w:rsidR="003E3EB5" w:rsidRPr="006F5D9F" w:rsidRDefault="003E3EB5" w:rsidP="003E3EB5">
      <w:pPr>
        <w:pStyle w:val="Equationlegend"/>
        <w:rPr>
          <w:szCs w:val="24"/>
          <w:lang w:val="fr-CH"/>
        </w:rPr>
      </w:pPr>
      <w:r w:rsidRPr="006F5D9F">
        <w:rPr>
          <w:lang w:val="fr-CH"/>
        </w:rPr>
        <w:tab/>
      </w:r>
      <w:r w:rsidRPr="006F5D9F">
        <w:rPr>
          <w:lang w:val="fr-CH"/>
        </w:rPr>
        <w:sym w:font="Symbol" w:char="F061"/>
      </w:r>
      <w:r w:rsidRPr="006F5D9F">
        <w:rPr>
          <w:lang w:val="fr-CH"/>
        </w:rPr>
        <w:t>:</w:t>
      </w:r>
      <w:r w:rsidRPr="006F5D9F">
        <w:rPr>
          <w:lang w:val="fr-CH"/>
        </w:rPr>
        <w:tab/>
        <w:t>rapport de protection (dB)</w:t>
      </w:r>
    </w:p>
    <w:p w14:paraId="07D3A5D0" w14:textId="77777777" w:rsidR="003E3EB5" w:rsidRPr="006F5D9F" w:rsidRDefault="003E3EB5" w:rsidP="003E3EB5">
      <w:pPr>
        <w:pStyle w:val="Equationlegend"/>
        <w:rPr>
          <w:lang w:val="fr-CH"/>
        </w:rPr>
      </w:pPr>
      <w:r w:rsidRPr="006F5D9F">
        <w:rPr>
          <w:lang w:val="fr-CH"/>
        </w:rPr>
        <w:tab/>
      </w:r>
      <w:r w:rsidRPr="007F2F42">
        <w:rPr>
          <w:lang w:val="fr-CH"/>
        </w:rPr>
        <w:t>OCR</w:t>
      </w:r>
      <w:r w:rsidRPr="006F5D9F">
        <w:rPr>
          <w:lang w:val="fr-CH"/>
        </w:rPr>
        <w:t>(</w:t>
      </w:r>
      <w:r w:rsidRPr="006F5D9F">
        <w:rPr>
          <w:lang w:val="fr-CH"/>
        </w:rPr>
        <w:sym w:font="Symbol" w:char="F044"/>
      </w:r>
      <w:r w:rsidRPr="006F5D9F">
        <w:rPr>
          <w:i/>
          <w:iCs/>
          <w:lang w:val="fr-CH"/>
        </w:rPr>
        <w:t>f</w:t>
      </w:r>
      <w:proofErr w:type="gramStart"/>
      <w:r w:rsidRPr="006F5D9F">
        <w:rPr>
          <w:lang w:val="fr-CH"/>
        </w:rPr>
        <w:t>):</w:t>
      </w:r>
      <w:proofErr w:type="gramEnd"/>
      <w:r w:rsidRPr="006F5D9F">
        <w:rPr>
          <w:lang w:val="fr-CH"/>
        </w:rPr>
        <w:tab/>
        <w:t xml:space="preserve">facteur de rejet hors canal pour un espacement des fréquences </w:t>
      </w:r>
      <w:r w:rsidRPr="006F5D9F">
        <w:rPr>
          <w:lang w:val="fr-CH"/>
        </w:rPr>
        <w:sym w:font="Symbol" w:char="F044"/>
      </w:r>
      <w:r w:rsidRPr="006F5D9F">
        <w:rPr>
          <w:i/>
          <w:iCs/>
          <w:lang w:val="fr-CH"/>
        </w:rPr>
        <w:t>f</w:t>
      </w:r>
      <w:r w:rsidRPr="006F5D9F">
        <w:rPr>
          <w:lang w:val="fr-CH"/>
        </w:rPr>
        <w:t xml:space="preserve"> exprimé par l'équation (7)</w:t>
      </w:r>
    </w:p>
    <w:p w14:paraId="5D8CD3DC" w14:textId="77777777" w:rsidR="003E3EB5" w:rsidRPr="006F5D9F" w:rsidRDefault="003E3EB5" w:rsidP="003E3EB5">
      <w:pPr>
        <w:pStyle w:val="Equationlegend"/>
        <w:rPr>
          <w:lang w:val="fr-CH"/>
        </w:rPr>
      </w:pPr>
      <w:r w:rsidRPr="006F5D9F">
        <w:rPr>
          <w:lang w:val="fr-CH"/>
        </w:rPr>
        <w:tab/>
      </w:r>
      <w:proofErr w:type="gramStart"/>
      <w:r w:rsidRPr="006F5D9F">
        <w:rPr>
          <w:i/>
          <w:iCs/>
          <w:lang w:val="fr-CH"/>
        </w:rPr>
        <w:t>N</w:t>
      </w:r>
      <w:r w:rsidRPr="006F5D9F">
        <w:rPr>
          <w:lang w:val="fr-CH"/>
        </w:rPr>
        <w:t>:</w:t>
      </w:r>
      <w:proofErr w:type="gramEnd"/>
      <w:r w:rsidRPr="006F5D9F">
        <w:rPr>
          <w:lang w:val="fr-CH"/>
        </w:rPr>
        <w:tab/>
        <w:t>marge de protection contre les évanouissements suivant une distribution log</w:t>
      </w:r>
      <w:r w:rsidRPr="006F5D9F">
        <w:rPr>
          <w:lang w:val="fr-CH"/>
        </w:rPr>
        <w:noBreakHyphen/>
        <w:t>normale (dB).</w:t>
      </w:r>
    </w:p>
    <w:p w14:paraId="7EA87AB5" w14:textId="77777777" w:rsidR="003E3EB5" w:rsidRPr="006F5D9F" w:rsidRDefault="003E3EB5" w:rsidP="003E3EB5">
      <w:pPr>
        <w:pStyle w:val="enumlev1"/>
        <w:tabs>
          <w:tab w:val="left" w:pos="964"/>
        </w:tabs>
        <w:ind w:left="0" w:firstLine="0"/>
        <w:rPr>
          <w:lang w:val="fr-CH"/>
        </w:rPr>
      </w:pPr>
      <w:r w:rsidRPr="006F5D9F">
        <w:rPr>
          <w:i/>
          <w:lang w:val="fr-CH"/>
        </w:rPr>
        <w:t xml:space="preserve">Etape </w:t>
      </w:r>
      <w:proofErr w:type="gramStart"/>
      <w:r w:rsidRPr="006F5D9F">
        <w:rPr>
          <w:i/>
          <w:lang w:val="fr-CH"/>
        </w:rPr>
        <w:t>2</w:t>
      </w:r>
      <w:r w:rsidRPr="006F5D9F">
        <w:rPr>
          <w:iCs/>
          <w:lang w:val="fr-CH"/>
        </w:rPr>
        <w:t>:</w:t>
      </w:r>
      <w:proofErr w:type="gramEnd"/>
      <w:r w:rsidRPr="006F5D9F">
        <w:rPr>
          <w:i/>
          <w:lang w:val="fr-CH"/>
        </w:rPr>
        <w:t xml:space="preserve"> </w:t>
      </w:r>
      <w:r w:rsidRPr="006F5D9F">
        <w:rPr>
          <w:lang w:val="fr-CH"/>
        </w:rPr>
        <w:tab/>
        <w:t xml:space="preserve">Employer un modèle de propagation de l'UIT-R approprié pour l'équation (10) afin d'obtenir la séparation en fréquence, </w:t>
      </w:r>
      <w:r w:rsidRPr="006F5D9F">
        <w:rPr>
          <w:lang w:val="fr-CH"/>
        </w:rPr>
        <w:sym w:font="Symbol" w:char="F044"/>
      </w:r>
      <w:r w:rsidRPr="006F5D9F">
        <w:rPr>
          <w:i/>
          <w:lang w:val="fr-CH"/>
        </w:rPr>
        <w:t>f</w:t>
      </w:r>
      <w:r w:rsidRPr="006F5D9F">
        <w:rPr>
          <w:lang w:val="fr-CH"/>
        </w:rPr>
        <w:t>,</w:t>
      </w:r>
      <w:r w:rsidRPr="006F5D9F">
        <w:rPr>
          <w:i/>
          <w:lang w:val="fr-CH"/>
        </w:rPr>
        <w:t xml:space="preserve"> </w:t>
      </w:r>
      <w:r w:rsidRPr="006F5D9F">
        <w:rPr>
          <w:lang w:val="fr-CH"/>
        </w:rPr>
        <w:t xml:space="preserve">et la séparation en distance, </w:t>
      </w:r>
      <w:r w:rsidRPr="006F5D9F">
        <w:rPr>
          <w:i/>
          <w:lang w:val="fr-CH"/>
        </w:rPr>
        <w:t>d</w:t>
      </w:r>
      <w:r w:rsidRPr="006F5D9F">
        <w:rPr>
          <w:lang w:val="fr-CH"/>
        </w:rPr>
        <w:t>, pour lesquelles le brouillage peut être tolérable.</w:t>
      </w:r>
    </w:p>
    <w:p w14:paraId="20785F27" w14:textId="77777777" w:rsidR="003E3EB5" w:rsidRPr="006F5D9F" w:rsidRDefault="003E3EB5" w:rsidP="003E3EB5">
      <w:pPr>
        <w:pStyle w:val="Heading2"/>
        <w:rPr>
          <w:lang w:val="fr-CH"/>
        </w:rPr>
      </w:pPr>
      <w:r w:rsidRPr="006F5D9F">
        <w:rPr>
          <w:lang w:val="fr-CH"/>
        </w:rPr>
        <w:t>2.5</w:t>
      </w:r>
      <w:r w:rsidRPr="006F5D9F">
        <w:rPr>
          <w:lang w:val="fr-CH"/>
        </w:rPr>
        <w:tab/>
        <w:t>Prise en considération de l'isolement de l'antenne</w:t>
      </w:r>
    </w:p>
    <w:p w14:paraId="44E71623" w14:textId="77777777" w:rsidR="003E3EB5" w:rsidRPr="006F5D9F" w:rsidRDefault="003E3EB5" w:rsidP="003E3EB5">
      <w:pPr>
        <w:rPr>
          <w:lang w:val="fr-CH"/>
        </w:rPr>
      </w:pPr>
      <w:r w:rsidRPr="006F5D9F">
        <w:rPr>
          <w:lang w:val="fr-CH"/>
        </w:rPr>
        <w:t xml:space="preserve">Lorsque plusieurs </w:t>
      </w:r>
      <w:r w:rsidRPr="006F5D9F">
        <w:rPr>
          <w:iCs/>
          <w:lang w:val="fr-CH"/>
        </w:rPr>
        <w:t>système</w:t>
      </w:r>
      <w:r w:rsidRPr="006F5D9F">
        <w:rPr>
          <w:lang w:val="fr-CH"/>
        </w:rPr>
        <w:t>s radioélectriques différents sont situés au même endroit, la notion d'isolement de l'antenne peut entrer dans le calcul du brouillage entre eux. La Fig. 1 donne des exemples génériques de disposition d'antenne qui illustrent l'isolement des configurations horizontale (HI), verticale (V</w:t>
      </w:r>
      <w:r>
        <w:rPr>
          <w:lang w:val="fr-CH"/>
        </w:rPr>
        <w:t>I</w:t>
      </w:r>
      <w:r w:rsidRPr="006F5D9F">
        <w:rPr>
          <w:lang w:val="fr-CH"/>
        </w:rPr>
        <w:t xml:space="preserve">) et oblique (SI). </w:t>
      </w:r>
    </w:p>
    <w:p w14:paraId="704914AE" w14:textId="77777777" w:rsidR="003E3EB5" w:rsidRPr="006F5D9F" w:rsidRDefault="003E3EB5" w:rsidP="003E3EB5">
      <w:pPr>
        <w:rPr>
          <w:lang w:val="fr-CH"/>
        </w:rPr>
      </w:pPr>
      <w:r w:rsidRPr="006F5D9F">
        <w:rPr>
          <w:lang w:val="fr-CH"/>
        </w:rPr>
        <w:t xml:space="preserve">L'isolement d'antenne dépend surtout de la séparation en distance et de la longueur d'onde, </w:t>
      </w:r>
      <w:r w:rsidRPr="006F5D9F">
        <w:rPr>
          <w:rFonts w:eastAsia="Gulim"/>
          <w:lang w:val="fr-CH" w:eastAsia="ko-KR"/>
        </w:rPr>
        <w:sym w:font="Symbol" w:char="006C"/>
      </w:r>
      <w:r w:rsidRPr="006F5D9F">
        <w:rPr>
          <w:rFonts w:eastAsia="Gulim"/>
          <w:lang w:val="fr-CH" w:eastAsia="ko-KR"/>
        </w:rPr>
        <w:t>, (m). La séparation en distance entre deux antennes est la distance du centre de l'antenne brouilleuse à celui de l'antenne de réception victime</w:t>
      </w:r>
      <w:r w:rsidRPr="006F5D9F">
        <w:rPr>
          <w:rStyle w:val="FootnoteReference"/>
          <w:rFonts w:eastAsia="Gulim"/>
          <w:lang w:val="fr-CH" w:eastAsia="ko-KR"/>
        </w:rPr>
        <w:footnoteReference w:id="2"/>
      </w:r>
      <w:r w:rsidRPr="006F5D9F">
        <w:rPr>
          <w:rFonts w:eastAsia="Gulim"/>
          <w:lang w:val="fr-CH" w:eastAsia="ko-KR"/>
        </w:rPr>
        <w:t xml:space="preserve">. Les isolements d'antenne à antenne sont normalement exprimés en dB d'affaiblissement. </w:t>
      </w:r>
    </w:p>
    <w:p w14:paraId="3EAB3A7E" w14:textId="77777777" w:rsidR="003E3EB5" w:rsidRPr="006F5D9F" w:rsidRDefault="003E3EB5" w:rsidP="003E3EB5">
      <w:pPr>
        <w:rPr>
          <w:rFonts w:eastAsia="Gulim"/>
          <w:lang w:val="fr-CH" w:eastAsia="ko-KR"/>
        </w:rPr>
      </w:pPr>
      <w:r w:rsidRPr="006F5D9F">
        <w:rPr>
          <w:lang w:val="fr-CH"/>
        </w:rPr>
        <w:t xml:space="preserve">L'isolement entre deux antennes doublets peut être calculé approximativement au moyen des équations </w:t>
      </w:r>
      <w:r w:rsidRPr="006F5D9F">
        <w:rPr>
          <w:rFonts w:eastAsia="Gulim"/>
          <w:lang w:val="fr-CH" w:eastAsia="ko-KR"/>
        </w:rPr>
        <w:t>(10a), (10b) et (10c</w:t>
      </w:r>
      <w:proofErr w:type="gramStart"/>
      <w:r w:rsidRPr="006F5D9F">
        <w:rPr>
          <w:rFonts w:eastAsia="Gulim"/>
          <w:lang w:val="fr-CH" w:eastAsia="ko-KR"/>
        </w:rPr>
        <w:t>):</w:t>
      </w:r>
      <w:proofErr w:type="gramEnd"/>
    </w:p>
    <w:p w14:paraId="49EFC12D" w14:textId="77777777" w:rsidR="007F2F42" w:rsidRDefault="007F2F42" w:rsidP="007F2F42">
      <w:pPr>
        <w:pStyle w:val="Blanc"/>
      </w:pPr>
    </w:p>
    <w:p w14:paraId="0DD2A72E" w14:textId="77777777" w:rsidR="003E3EB5" w:rsidRPr="006F5D9F" w:rsidRDefault="003E3EB5" w:rsidP="003E3EB5">
      <w:pPr>
        <w:pStyle w:val="Equation"/>
        <w:rPr>
          <w:lang w:val="fr-CH" w:eastAsia="ko-KR"/>
        </w:rPr>
      </w:pPr>
      <w:r w:rsidRPr="006F5D9F">
        <w:rPr>
          <w:lang w:val="fr-CH"/>
        </w:rPr>
        <w:tab/>
      </w:r>
      <w:r w:rsidRPr="006F5D9F">
        <w:rPr>
          <w:lang w:val="fr-CH"/>
        </w:rPr>
        <w:tab/>
      </w:r>
      <w:r w:rsidRPr="006F5D9F">
        <w:rPr>
          <w:position w:val="-10"/>
          <w:lang w:val="fr-CH"/>
        </w:rPr>
        <w:object w:dxaOrig="2540" w:dyaOrig="320" w14:anchorId="02B7E070">
          <v:shape id="_x0000_i1033" type="#_x0000_t75" style="width:127.15pt;height:15.9pt" o:ole="">
            <v:imagedata r:id="rId23" o:title=""/>
          </v:shape>
          <o:OLEObject Type="Embed" ProgID="Equation.3" ShapeID="_x0000_i1033" DrawAspect="Content" ObjectID="_1649068314" r:id="rId24"/>
        </w:object>
      </w:r>
      <w:r w:rsidRPr="006F5D9F">
        <w:rPr>
          <w:lang w:val="fr-CH"/>
        </w:rPr>
        <w:tab/>
        <w:t>(10a)</w:t>
      </w:r>
    </w:p>
    <w:p w14:paraId="65643C4B" w14:textId="77777777" w:rsidR="007F2F42" w:rsidRDefault="007F2F42" w:rsidP="007F2F42">
      <w:pPr>
        <w:pStyle w:val="Blanc"/>
      </w:pPr>
    </w:p>
    <w:p w14:paraId="5169E602" w14:textId="77777777" w:rsidR="003E3EB5" w:rsidRPr="006F5D9F" w:rsidRDefault="003E3EB5" w:rsidP="003E3EB5">
      <w:pPr>
        <w:pStyle w:val="Equation"/>
        <w:rPr>
          <w:lang w:val="fr-CH" w:eastAsia="ko-KR"/>
        </w:rPr>
      </w:pPr>
      <w:r w:rsidRPr="006F5D9F">
        <w:rPr>
          <w:lang w:val="fr-CH"/>
        </w:rPr>
        <w:tab/>
      </w:r>
      <w:r w:rsidRPr="006F5D9F">
        <w:rPr>
          <w:lang w:val="fr-CH"/>
        </w:rPr>
        <w:tab/>
      </w:r>
      <w:r w:rsidRPr="006F5D9F">
        <w:rPr>
          <w:position w:val="-10"/>
          <w:lang w:val="fr-CH"/>
        </w:rPr>
        <w:object w:dxaOrig="2540" w:dyaOrig="320" w14:anchorId="6329D360">
          <v:shape id="_x0000_i1034" type="#_x0000_t75" style="width:127.15pt;height:15.9pt" o:ole="">
            <v:imagedata r:id="rId25" o:title=""/>
          </v:shape>
          <o:OLEObject Type="Embed" ProgID="Equation.3" ShapeID="_x0000_i1034" DrawAspect="Content" ObjectID="_1649068315" r:id="rId26"/>
        </w:object>
      </w:r>
      <w:r w:rsidRPr="006F5D9F">
        <w:rPr>
          <w:lang w:val="fr-CH"/>
        </w:rPr>
        <w:tab/>
        <w:t>(10b)</w:t>
      </w:r>
    </w:p>
    <w:p w14:paraId="66A9AF9E" w14:textId="77777777" w:rsidR="007F2F42" w:rsidRDefault="007F2F42" w:rsidP="007F2F42">
      <w:pPr>
        <w:pStyle w:val="Blanc"/>
      </w:pPr>
    </w:p>
    <w:p w14:paraId="16C338E3"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10"/>
          <w:lang w:val="fr-CH"/>
        </w:rPr>
        <w:object w:dxaOrig="2760" w:dyaOrig="320" w14:anchorId="569F0018">
          <v:shape id="_x0000_i1035" type="#_x0000_t75" style="width:137.9pt;height:15.9pt" o:ole="">
            <v:imagedata r:id="rId27" o:title=""/>
          </v:shape>
          <o:OLEObject Type="Embed" ProgID="Equation.3" ShapeID="_x0000_i1035" DrawAspect="Content" ObjectID="_1649068316" r:id="rId28"/>
        </w:object>
      </w:r>
      <w:r w:rsidRPr="006F5D9F">
        <w:rPr>
          <w:lang w:val="fr-CH"/>
        </w:rPr>
        <w:tab/>
        <w:t>(10c)</w:t>
      </w:r>
    </w:p>
    <w:p w14:paraId="5A6A12F0" w14:textId="77777777" w:rsidR="007F2F42" w:rsidRDefault="007F2F42" w:rsidP="007F2F42">
      <w:pPr>
        <w:pStyle w:val="Blanc"/>
      </w:pPr>
    </w:p>
    <w:p w14:paraId="32655D0D" w14:textId="77777777" w:rsidR="003E3EB5" w:rsidRPr="006F5D9F" w:rsidRDefault="003E3EB5" w:rsidP="003E3EB5">
      <w:pPr>
        <w:rPr>
          <w:lang w:val="fr-CH" w:eastAsia="ko-KR"/>
        </w:rPr>
      </w:pPr>
      <w:proofErr w:type="gramStart"/>
      <w:r w:rsidRPr="006F5D9F">
        <w:rPr>
          <w:lang w:val="fr-CH"/>
        </w:rPr>
        <w:t>où</w:t>
      </w:r>
      <w:proofErr w:type="gramEnd"/>
      <w:r w:rsidRPr="006F5D9F">
        <w:rPr>
          <w:lang w:val="fr-CH" w:eastAsia="ko-KR"/>
        </w:rPr>
        <w:t xml:space="preserve"> </w:t>
      </w:r>
      <w:r w:rsidRPr="006F5D9F">
        <w:rPr>
          <w:lang w:val="fr-CH" w:eastAsia="ko-KR"/>
        </w:rPr>
        <w:sym w:font="Symbol" w:char="0071"/>
      </w:r>
      <w:r w:rsidRPr="006F5D9F">
        <w:rPr>
          <w:lang w:val="fr-CH" w:eastAsia="ko-KR"/>
        </w:rPr>
        <w:t xml:space="preserve"> (rad) est tan</w:t>
      </w:r>
      <w:r w:rsidRPr="006F5D9F">
        <w:rPr>
          <w:vertAlign w:val="superscript"/>
          <w:lang w:val="fr-CH" w:eastAsia="ko-KR"/>
        </w:rPr>
        <w:t>–1</w:t>
      </w:r>
      <w:r w:rsidRPr="006F5D9F">
        <w:rPr>
          <w:lang w:val="fr-CH" w:eastAsia="ko-KR"/>
        </w:rPr>
        <w:t>(</w:t>
      </w:r>
      <w:r w:rsidRPr="006F5D9F">
        <w:rPr>
          <w:i/>
          <w:lang w:val="fr-CH" w:eastAsia="ko-KR"/>
        </w:rPr>
        <w:t>y/x</w:t>
      </w:r>
      <w:r w:rsidRPr="006F5D9F">
        <w:rPr>
          <w:lang w:val="fr-CH" w:eastAsia="ko-KR"/>
        </w:rPr>
        <w:t xml:space="preserve">), </w:t>
      </w:r>
      <w:r w:rsidRPr="006F5D9F">
        <w:rPr>
          <w:i/>
          <w:lang w:val="fr-CH" w:eastAsia="ko-KR"/>
        </w:rPr>
        <w:t>x</w:t>
      </w:r>
      <w:r w:rsidRPr="006F5D9F">
        <w:rPr>
          <w:lang w:val="fr-CH" w:eastAsia="ko-KR"/>
        </w:rPr>
        <w:t xml:space="preserve"> est la distance horizontale et </w:t>
      </w:r>
      <w:r w:rsidRPr="006F5D9F">
        <w:rPr>
          <w:i/>
          <w:iCs/>
          <w:lang w:val="fr-CH" w:eastAsia="ko-KR"/>
        </w:rPr>
        <w:t>y</w:t>
      </w:r>
      <w:r w:rsidRPr="006F5D9F">
        <w:rPr>
          <w:lang w:val="fr-CH" w:eastAsia="ko-KR"/>
        </w:rPr>
        <w:t xml:space="preserve"> est la distance verticale. Les équations sont applicables pour </w:t>
      </w:r>
      <w:r w:rsidRPr="006F5D9F">
        <w:rPr>
          <w:i/>
          <w:lang w:val="fr-CH" w:eastAsia="ko-KR"/>
        </w:rPr>
        <w:t>x</w:t>
      </w:r>
      <w:r w:rsidRPr="006F5D9F">
        <w:rPr>
          <w:lang w:val="fr-CH" w:eastAsia="ko-KR"/>
        </w:rPr>
        <w:t xml:space="preserve"> supérieur à 10</w:t>
      </w:r>
      <w:r w:rsidRPr="006F5D9F">
        <w:rPr>
          <w:rFonts w:ascii="Symbol" w:hAnsi="Symbol"/>
          <w:iCs/>
          <w:lang w:val="fr-CH" w:eastAsia="ko-KR"/>
        </w:rPr>
        <w:t></w:t>
      </w:r>
      <w:r w:rsidRPr="006F5D9F">
        <w:rPr>
          <w:lang w:val="fr-CH" w:eastAsia="ko-KR"/>
        </w:rPr>
        <w:t xml:space="preserve"> et </w:t>
      </w:r>
      <w:r w:rsidRPr="006F5D9F">
        <w:rPr>
          <w:i/>
          <w:lang w:val="fr-CH" w:eastAsia="ko-KR"/>
        </w:rPr>
        <w:t>y</w:t>
      </w:r>
      <w:r w:rsidRPr="006F5D9F">
        <w:rPr>
          <w:lang w:val="fr-CH" w:eastAsia="ko-KR"/>
        </w:rPr>
        <w:t xml:space="preserve"> supérieur à </w:t>
      </w:r>
      <w:r w:rsidRPr="006F5D9F">
        <w:rPr>
          <w:iCs/>
          <w:lang w:val="fr-CH" w:eastAsia="ko-KR"/>
        </w:rPr>
        <w:sym w:font="Symbol" w:char="006C"/>
      </w:r>
      <w:r w:rsidRPr="006F5D9F">
        <w:rPr>
          <w:lang w:val="fr-CH" w:eastAsia="ko-KR"/>
        </w:rPr>
        <w:t>.</w:t>
      </w:r>
    </w:p>
    <w:p w14:paraId="75AF89B8" w14:textId="77777777" w:rsidR="003E3EB5" w:rsidRPr="006F5D9F" w:rsidRDefault="003E3EB5" w:rsidP="007F2F42">
      <w:pPr>
        <w:rPr>
          <w:lang w:val="fr-CH" w:eastAsia="ko-KR"/>
        </w:rPr>
      </w:pPr>
      <w:r w:rsidRPr="006F5D9F">
        <w:rPr>
          <w:lang w:val="fr-CH" w:eastAsia="ko-KR"/>
        </w:rPr>
        <w:t xml:space="preserve">Les isolements obtenus à partir des équations </w:t>
      </w:r>
      <w:r w:rsidRPr="006F5D9F">
        <w:rPr>
          <w:lang w:val="fr-CH"/>
        </w:rPr>
        <w:t xml:space="preserve">(10a), (10b) et (10c) </w:t>
      </w:r>
      <w:r w:rsidRPr="006F5D9F">
        <w:rPr>
          <w:lang w:val="fr-CH" w:eastAsia="ko-KR"/>
        </w:rPr>
        <w:t>peuvent être substitués à l'affaiblissement de transmission de référence (</w:t>
      </w:r>
      <w:r w:rsidRPr="006F5D9F">
        <w:rPr>
          <w:i/>
          <w:lang w:val="fr-CH"/>
        </w:rPr>
        <w:t>L</w:t>
      </w:r>
      <w:r w:rsidRPr="006F5D9F">
        <w:rPr>
          <w:i/>
          <w:vertAlign w:val="subscript"/>
          <w:lang w:val="fr-CH"/>
        </w:rPr>
        <w:t>b</w:t>
      </w:r>
      <w:r w:rsidRPr="006F5D9F">
        <w:rPr>
          <w:position w:val="-3"/>
          <w:sz w:val="12"/>
          <w:lang w:val="fr-CH"/>
        </w:rPr>
        <w:t> </w:t>
      </w:r>
      <w:r w:rsidRPr="006F5D9F">
        <w:rPr>
          <w:lang w:val="fr-CH"/>
        </w:rPr>
        <w:t>(</w:t>
      </w:r>
      <w:proofErr w:type="gramStart"/>
      <w:r w:rsidRPr="006F5D9F">
        <w:rPr>
          <w:i/>
          <w:lang w:val="fr-CH"/>
        </w:rPr>
        <w:t>d</w:t>
      </w:r>
      <w:r w:rsidRPr="006F5D9F">
        <w:rPr>
          <w:sz w:val="8"/>
          <w:lang w:val="fr-CH"/>
        </w:rPr>
        <w:t> </w:t>
      </w:r>
      <w:r w:rsidRPr="006F5D9F">
        <w:rPr>
          <w:lang w:val="fr-CH"/>
        </w:rPr>
        <w:t>)</w:t>
      </w:r>
      <w:proofErr w:type="gramEnd"/>
      <w:r w:rsidRPr="006F5D9F">
        <w:rPr>
          <w:lang w:val="fr-CH" w:eastAsia="ko-KR"/>
        </w:rPr>
        <w:t xml:space="preserve">) de l'équation (1) ou à l'affaiblissement sur le trajet de </w:t>
      </w:r>
      <w:r w:rsidRPr="006F5D9F">
        <w:rPr>
          <w:lang w:val="fr-CH"/>
        </w:rPr>
        <w:t xml:space="preserve">propagation </w:t>
      </w:r>
      <w:r w:rsidRPr="006F5D9F">
        <w:rPr>
          <w:lang w:val="fr-CH" w:eastAsia="ko-KR"/>
        </w:rPr>
        <w:t>(</w:t>
      </w:r>
      <w:r w:rsidRPr="006F5D9F">
        <w:rPr>
          <w:i/>
          <w:lang w:val="fr-CH"/>
        </w:rPr>
        <w:t>L</w:t>
      </w:r>
      <w:r w:rsidRPr="006F5D9F">
        <w:rPr>
          <w:i/>
          <w:vertAlign w:val="subscript"/>
          <w:lang w:val="fr-CH"/>
        </w:rPr>
        <w:t>p</w:t>
      </w:r>
      <w:r w:rsidRPr="006F5D9F">
        <w:rPr>
          <w:lang w:val="fr-CH" w:eastAsia="ko-KR"/>
        </w:rPr>
        <w:t>) de l'équation (9) lorsque deux stations sont situées au même endroit.</w:t>
      </w:r>
    </w:p>
    <w:p w14:paraId="6A435B6A" w14:textId="77777777" w:rsidR="003E3EB5" w:rsidRPr="006F5D9F" w:rsidRDefault="003E3EB5" w:rsidP="004D7895">
      <w:pPr>
        <w:pStyle w:val="FigureNo"/>
        <w:rPr>
          <w:lang w:val="fr-CH"/>
        </w:rPr>
      </w:pPr>
      <w:r w:rsidRPr="006F5D9F">
        <w:rPr>
          <w:lang w:val="fr-CH"/>
        </w:rPr>
        <w:t>FIGURE 1</w:t>
      </w:r>
    </w:p>
    <w:p w14:paraId="3516F036" w14:textId="77777777" w:rsidR="003E3EB5" w:rsidRPr="006F5D9F" w:rsidRDefault="003E3EB5" w:rsidP="003E3EB5">
      <w:pPr>
        <w:pStyle w:val="Figuretitle"/>
        <w:rPr>
          <w:sz w:val="20"/>
          <w:lang w:val="fr-CH" w:eastAsia="ko-KR"/>
        </w:rPr>
      </w:pPr>
      <w:r w:rsidRPr="006F5D9F">
        <w:rPr>
          <w:sz w:val="20"/>
          <w:lang w:val="fr-CH" w:eastAsia="ko-KR"/>
        </w:rPr>
        <w:t xml:space="preserve">Isolement d'antenne horizontal, vertical et oblique </w:t>
      </w:r>
    </w:p>
    <w:p w14:paraId="4C0A2760" w14:textId="77777777" w:rsidR="003E3EB5" w:rsidRPr="006F5D9F" w:rsidRDefault="007F2F42" w:rsidP="004D7895">
      <w:pPr>
        <w:pStyle w:val="Figure"/>
        <w:rPr>
          <w:lang w:val="fr-CH" w:eastAsia="ko-KR"/>
        </w:rPr>
      </w:pPr>
      <w:r w:rsidRPr="006F5D9F">
        <w:rPr>
          <w:lang w:val="fr-CH"/>
        </w:rPr>
        <w:object w:dxaOrig="7883" w:dyaOrig="8210" w14:anchorId="2CD38331">
          <v:shape id="_x0000_i1036" type="#_x0000_t75" style="width:394.6pt;height:410.05pt" o:ole="">
            <v:imagedata r:id="rId29" o:title=""/>
          </v:shape>
          <o:OLEObject Type="Embed" ProgID="CorelDRAW.Graphic.12" ShapeID="_x0000_i1036" DrawAspect="Content" ObjectID="_1649068317" r:id="rId30"/>
        </w:object>
      </w:r>
    </w:p>
    <w:p w14:paraId="3C956CF6" w14:textId="77777777" w:rsidR="003E3EB5" w:rsidRPr="006F5D9F" w:rsidRDefault="003E3EB5" w:rsidP="003E3EB5">
      <w:pPr>
        <w:pStyle w:val="Heading1"/>
        <w:rPr>
          <w:lang w:val="fr-CH"/>
        </w:rPr>
      </w:pPr>
      <w:r w:rsidRPr="006F5D9F">
        <w:rPr>
          <w:lang w:val="fr-CH"/>
        </w:rPr>
        <w:t>3</w:t>
      </w:r>
      <w:r w:rsidRPr="006F5D9F">
        <w:rPr>
          <w:lang w:val="fr-CH"/>
        </w:rPr>
        <w:tab/>
        <w:t>Application à des systèmes de radiocommunication mobiles terrestres</w:t>
      </w:r>
    </w:p>
    <w:p w14:paraId="4B81E019" w14:textId="77777777" w:rsidR="003E3EB5" w:rsidRPr="006F5D9F" w:rsidRDefault="003E3EB5" w:rsidP="003E3EB5">
      <w:pPr>
        <w:rPr>
          <w:lang w:val="fr-CH"/>
        </w:rPr>
      </w:pPr>
      <w:r w:rsidRPr="006F5D9F">
        <w:rPr>
          <w:lang w:val="fr-CH"/>
        </w:rPr>
        <w:t xml:space="preserve">Un exemple faisant intervenir deux systèmes de radiocommunication mobiles terrestres différents est donné dans le présent paragraphe pour expliquer la méthode décrite ci-dessus. Les deux systèmes considérés pourraient être numériques ou analogiques avec accès multiple par répartition dans le temps (AMRT) ou fréquence (AMRF). Nos calculs se fondent sur des gabarits d'émissions spectrales et sur des critères de sélectivité pour le </w:t>
      </w:r>
      <w:proofErr w:type="gramStart"/>
      <w:r w:rsidRPr="006F5D9F">
        <w:rPr>
          <w:lang w:val="fr-CH"/>
        </w:rPr>
        <w:t>récepteur;</w:t>
      </w:r>
      <w:proofErr w:type="gramEnd"/>
      <w:r w:rsidRPr="006F5D9F">
        <w:rPr>
          <w:lang w:val="fr-CH"/>
        </w:rPr>
        <w:t xml:space="preserve"> les résultats sont donc indépendants des techniques de modulation qui pourraient être utilisées par l'un ou l'autre système. Dans cet exemple, on est parti du principe que les caractéristiques de sélectivité du récepteur étaient analogues aux caractéristiques des gabarits des émissions spectrales, ce qui est censé être le cas pour des systèmes numériques.</w:t>
      </w:r>
    </w:p>
    <w:p w14:paraId="507F0AE7" w14:textId="77777777" w:rsidR="003E3EB5" w:rsidRPr="006F5D9F" w:rsidRDefault="003E3EB5" w:rsidP="003E3EB5">
      <w:pPr>
        <w:rPr>
          <w:lang w:val="fr-CH"/>
        </w:rPr>
      </w:pPr>
      <w:r w:rsidRPr="006F5D9F">
        <w:rPr>
          <w:lang w:val="fr-CH"/>
        </w:rPr>
        <w:t>Les hypothèses prises pour les deux systèmes sont résumées dans les Tableaux 1 et 2.</w:t>
      </w:r>
    </w:p>
    <w:p w14:paraId="34D2285E" w14:textId="77777777" w:rsidR="003E3EB5" w:rsidRPr="006F5D9F" w:rsidRDefault="003E3EB5" w:rsidP="003E3EB5">
      <w:pPr>
        <w:pStyle w:val="TableNo"/>
        <w:rPr>
          <w:lang w:val="fr-CH"/>
        </w:rPr>
      </w:pPr>
      <w:r w:rsidRPr="006F5D9F">
        <w:rPr>
          <w:lang w:val="fr-CH"/>
        </w:rPr>
        <w:t>TABLEAU 1</w:t>
      </w:r>
    </w:p>
    <w:p w14:paraId="7D637FED" w14:textId="77777777" w:rsidR="003E3EB5" w:rsidRPr="006F5D9F" w:rsidRDefault="003E3EB5" w:rsidP="003E3EB5">
      <w:pPr>
        <w:pStyle w:val="Tabletitle"/>
        <w:rPr>
          <w:lang w:val="fr-CH"/>
        </w:rPr>
      </w:pPr>
      <w:r w:rsidRPr="006F5D9F">
        <w:rPr>
          <w:lang w:val="fr-CH"/>
        </w:rPr>
        <w:t>Paramètres pris pour hypothèse dans l'exemple considéré</w:t>
      </w:r>
    </w:p>
    <w:tbl>
      <w:tblPr>
        <w:tblW w:w="0" w:type="auto"/>
        <w:jc w:val="center"/>
        <w:tblLayout w:type="fixed"/>
        <w:tblCellMar>
          <w:left w:w="107" w:type="dxa"/>
          <w:right w:w="107" w:type="dxa"/>
        </w:tblCellMar>
        <w:tblLook w:val="0000" w:firstRow="0" w:lastRow="0" w:firstColumn="0" w:lastColumn="0" w:noHBand="0" w:noVBand="0"/>
      </w:tblPr>
      <w:tblGrid>
        <w:gridCol w:w="4253"/>
        <w:gridCol w:w="2041"/>
      </w:tblGrid>
      <w:tr w:rsidR="003E3EB5" w:rsidRPr="006F5D9F" w14:paraId="1DFC711D" w14:textId="77777777" w:rsidTr="003E3EB5">
        <w:tblPrEx>
          <w:tblCellMar>
            <w:top w:w="0" w:type="dxa"/>
            <w:bottom w:w="0" w:type="dxa"/>
          </w:tblCellMar>
        </w:tblPrEx>
        <w:trPr>
          <w:jc w:val="center"/>
        </w:trPr>
        <w:tc>
          <w:tcPr>
            <w:tcW w:w="4253" w:type="dxa"/>
            <w:tcBorders>
              <w:top w:val="single" w:sz="6" w:space="0" w:color="000000"/>
              <w:left w:val="single" w:sz="6" w:space="0" w:color="000000"/>
              <w:bottom w:val="single" w:sz="6" w:space="0" w:color="FFFFFF"/>
              <w:right w:val="single" w:sz="6" w:space="0" w:color="FFFFFF"/>
            </w:tcBorders>
          </w:tcPr>
          <w:p w14:paraId="6D2FA8DF" w14:textId="77777777" w:rsidR="003E3EB5" w:rsidRPr="006F5D9F" w:rsidRDefault="003E3EB5" w:rsidP="003E3EB5">
            <w:pPr>
              <w:pStyle w:val="Tabletext"/>
              <w:rPr>
                <w:lang w:val="fr-CH"/>
              </w:rPr>
            </w:pPr>
            <w:r w:rsidRPr="006F5D9F">
              <w:rPr>
                <w:lang w:val="fr-CH"/>
              </w:rPr>
              <w:t xml:space="preserve">Niveau minimal du signal utile, </w:t>
            </w:r>
            <w:r w:rsidRPr="006F5D9F">
              <w:rPr>
                <w:i/>
                <w:lang w:val="fr-CH"/>
              </w:rPr>
              <w:t>P</w:t>
            </w:r>
            <w:r w:rsidRPr="006F5D9F">
              <w:rPr>
                <w:i/>
                <w:vertAlign w:val="subscript"/>
                <w:lang w:val="fr-CH"/>
              </w:rPr>
              <w:t>min</w:t>
            </w:r>
          </w:p>
        </w:tc>
        <w:tc>
          <w:tcPr>
            <w:tcW w:w="2041" w:type="dxa"/>
            <w:tcBorders>
              <w:top w:val="single" w:sz="6" w:space="0" w:color="000000"/>
              <w:left w:val="single" w:sz="6" w:space="0" w:color="000000"/>
              <w:bottom w:val="single" w:sz="6" w:space="0" w:color="FFFFFF"/>
              <w:right w:val="single" w:sz="6" w:space="0" w:color="000000"/>
            </w:tcBorders>
          </w:tcPr>
          <w:p w14:paraId="586E63ED" w14:textId="77777777" w:rsidR="003E3EB5" w:rsidRPr="006F5D9F" w:rsidRDefault="003E3EB5" w:rsidP="003E3EB5">
            <w:pPr>
              <w:pStyle w:val="Tabletext"/>
              <w:jc w:val="center"/>
              <w:rPr>
                <w:lang w:val="fr-CH"/>
              </w:rPr>
            </w:pPr>
            <w:r w:rsidRPr="006F5D9F">
              <w:rPr>
                <w:lang w:val="fr-CH"/>
              </w:rPr>
              <w:t>–</w:t>
            </w:r>
            <w:r w:rsidRPr="006F5D9F">
              <w:rPr>
                <w:sz w:val="4"/>
                <w:lang w:val="fr-CH"/>
              </w:rPr>
              <w:t> </w:t>
            </w:r>
            <w:r w:rsidRPr="006F5D9F">
              <w:rPr>
                <w:lang w:val="fr-CH"/>
              </w:rPr>
              <w:t>145</w:t>
            </w:r>
            <w:r w:rsidRPr="006F5D9F">
              <w:rPr>
                <w:i/>
                <w:lang w:val="fr-CH"/>
              </w:rPr>
              <w:t> </w:t>
            </w:r>
            <w:r w:rsidRPr="006F5D9F">
              <w:rPr>
                <w:lang w:val="fr-CH"/>
              </w:rPr>
              <w:t>dBW</w:t>
            </w:r>
          </w:p>
        </w:tc>
      </w:tr>
      <w:tr w:rsidR="003E3EB5" w:rsidRPr="006F5D9F" w14:paraId="285C309B" w14:textId="77777777" w:rsidTr="003E3EB5">
        <w:tblPrEx>
          <w:tblCellMar>
            <w:top w:w="0" w:type="dxa"/>
            <w:bottom w:w="0" w:type="dxa"/>
          </w:tblCellMar>
        </w:tblPrEx>
        <w:trPr>
          <w:jc w:val="center"/>
        </w:trPr>
        <w:tc>
          <w:tcPr>
            <w:tcW w:w="4253" w:type="dxa"/>
            <w:tcBorders>
              <w:top w:val="single" w:sz="6" w:space="0" w:color="000000"/>
              <w:left w:val="single" w:sz="6" w:space="0" w:color="000000"/>
              <w:bottom w:val="single" w:sz="6" w:space="0" w:color="FFFFFF"/>
              <w:right w:val="single" w:sz="6" w:space="0" w:color="FFFFFF"/>
            </w:tcBorders>
          </w:tcPr>
          <w:p w14:paraId="788C1C3B" w14:textId="77777777" w:rsidR="003E3EB5" w:rsidRPr="006F5D9F" w:rsidRDefault="003E3EB5" w:rsidP="003E3EB5">
            <w:pPr>
              <w:pStyle w:val="Tabletext"/>
              <w:rPr>
                <w:lang w:val="fr-CH"/>
              </w:rPr>
            </w:pPr>
            <w:r w:rsidRPr="006F5D9F">
              <w:rPr>
                <w:lang w:val="fr-CH"/>
              </w:rPr>
              <w:t xml:space="preserve">Rapport de protection requis, </w:t>
            </w:r>
            <w:r w:rsidRPr="006F5D9F">
              <w:rPr>
                <w:rFonts w:ascii="Symbol" w:hAnsi="Symbol"/>
                <w:lang w:val="fr-CH"/>
              </w:rPr>
              <w:t></w:t>
            </w:r>
          </w:p>
        </w:tc>
        <w:tc>
          <w:tcPr>
            <w:tcW w:w="2041" w:type="dxa"/>
            <w:tcBorders>
              <w:top w:val="single" w:sz="6" w:space="0" w:color="000000"/>
              <w:left w:val="single" w:sz="6" w:space="0" w:color="000000"/>
              <w:bottom w:val="single" w:sz="6" w:space="0" w:color="FFFFFF"/>
              <w:right w:val="single" w:sz="6" w:space="0" w:color="000000"/>
            </w:tcBorders>
          </w:tcPr>
          <w:p w14:paraId="3223F434" w14:textId="77777777" w:rsidR="003E3EB5" w:rsidRPr="006F5D9F" w:rsidRDefault="003E3EB5" w:rsidP="003E3EB5">
            <w:pPr>
              <w:pStyle w:val="Tabletext"/>
              <w:jc w:val="center"/>
              <w:rPr>
                <w:lang w:val="fr-CH"/>
              </w:rPr>
            </w:pPr>
            <w:r w:rsidRPr="006F5D9F">
              <w:rPr>
                <w:lang w:val="fr-CH"/>
              </w:rPr>
              <w:t>18 dB</w:t>
            </w:r>
          </w:p>
        </w:tc>
      </w:tr>
      <w:tr w:rsidR="003E3EB5" w:rsidRPr="006F5D9F" w14:paraId="48F0DE09" w14:textId="77777777" w:rsidTr="003E3EB5">
        <w:tblPrEx>
          <w:tblCellMar>
            <w:top w:w="0" w:type="dxa"/>
            <w:bottom w:w="0" w:type="dxa"/>
          </w:tblCellMar>
        </w:tblPrEx>
        <w:trPr>
          <w:jc w:val="center"/>
        </w:trPr>
        <w:tc>
          <w:tcPr>
            <w:tcW w:w="4253" w:type="dxa"/>
            <w:tcBorders>
              <w:top w:val="single" w:sz="6" w:space="0" w:color="000000"/>
              <w:left w:val="single" w:sz="6" w:space="0" w:color="000000"/>
              <w:bottom w:val="single" w:sz="6" w:space="0" w:color="FFFFFF"/>
              <w:right w:val="single" w:sz="6" w:space="0" w:color="FFFFFF"/>
            </w:tcBorders>
          </w:tcPr>
          <w:p w14:paraId="73C1693F" w14:textId="77777777" w:rsidR="003E3EB5" w:rsidRPr="006F5D9F" w:rsidRDefault="003E3EB5" w:rsidP="003E3EB5">
            <w:pPr>
              <w:pStyle w:val="Tabletext"/>
              <w:rPr>
                <w:lang w:val="fr-CH"/>
              </w:rPr>
            </w:pPr>
            <w:r w:rsidRPr="006F5D9F">
              <w:rPr>
                <w:lang w:val="fr-CH"/>
              </w:rPr>
              <w:t xml:space="preserve">Hauteur de l'antenne de la station de base, </w:t>
            </w:r>
            <w:r w:rsidRPr="006F5D9F">
              <w:rPr>
                <w:i/>
                <w:lang w:val="fr-CH"/>
              </w:rPr>
              <w:t>h</w:t>
            </w:r>
            <w:r w:rsidRPr="006F5D9F">
              <w:rPr>
                <w:i/>
                <w:vertAlign w:val="subscript"/>
                <w:lang w:val="fr-CH"/>
              </w:rPr>
              <w:t>b</w:t>
            </w:r>
          </w:p>
        </w:tc>
        <w:tc>
          <w:tcPr>
            <w:tcW w:w="2041" w:type="dxa"/>
            <w:tcBorders>
              <w:top w:val="single" w:sz="6" w:space="0" w:color="000000"/>
              <w:left w:val="single" w:sz="6" w:space="0" w:color="000000"/>
              <w:bottom w:val="single" w:sz="6" w:space="0" w:color="FFFFFF"/>
              <w:right w:val="single" w:sz="6" w:space="0" w:color="000000"/>
            </w:tcBorders>
          </w:tcPr>
          <w:p w14:paraId="5DEF85E7" w14:textId="77777777" w:rsidR="003E3EB5" w:rsidRPr="006F5D9F" w:rsidRDefault="003E3EB5" w:rsidP="003E3EB5">
            <w:pPr>
              <w:pStyle w:val="Tabletext"/>
              <w:jc w:val="center"/>
              <w:rPr>
                <w:lang w:val="fr-CH"/>
              </w:rPr>
            </w:pPr>
            <w:r w:rsidRPr="006F5D9F">
              <w:rPr>
                <w:lang w:val="fr-CH"/>
              </w:rPr>
              <w:t>75 m</w:t>
            </w:r>
          </w:p>
        </w:tc>
      </w:tr>
      <w:tr w:rsidR="003E3EB5" w:rsidRPr="006F5D9F" w14:paraId="1847B0FA" w14:textId="77777777" w:rsidTr="003E3EB5">
        <w:tblPrEx>
          <w:tblCellMar>
            <w:top w:w="0" w:type="dxa"/>
            <w:bottom w:w="0" w:type="dxa"/>
          </w:tblCellMar>
        </w:tblPrEx>
        <w:trPr>
          <w:jc w:val="center"/>
        </w:trPr>
        <w:tc>
          <w:tcPr>
            <w:tcW w:w="4253" w:type="dxa"/>
            <w:tcBorders>
              <w:top w:val="single" w:sz="6" w:space="0" w:color="000000"/>
              <w:left w:val="single" w:sz="6" w:space="0" w:color="000000"/>
              <w:bottom w:val="single" w:sz="6" w:space="0" w:color="FFFFFF"/>
              <w:right w:val="single" w:sz="6" w:space="0" w:color="FFFFFF"/>
            </w:tcBorders>
          </w:tcPr>
          <w:p w14:paraId="5B82E76B" w14:textId="77777777" w:rsidR="003E3EB5" w:rsidRPr="006F5D9F" w:rsidRDefault="003E3EB5" w:rsidP="003E3EB5">
            <w:pPr>
              <w:pStyle w:val="Tabletext"/>
              <w:rPr>
                <w:lang w:val="fr-CH"/>
              </w:rPr>
            </w:pPr>
            <w:r w:rsidRPr="006F5D9F">
              <w:rPr>
                <w:lang w:val="fr-CH"/>
              </w:rPr>
              <w:t xml:space="preserve">Fréquence d'exploitation, </w:t>
            </w:r>
            <w:r w:rsidRPr="006F5D9F">
              <w:rPr>
                <w:i/>
                <w:lang w:val="fr-CH"/>
              </w:rPr>
              <w:t>f</w:t>
            </w:r>
          </w:p>
        </w:tc>
        <w:tc>
          <w:tcPr>
            <w:tcW w:w="2041" w:type="dxa"/>
            <w:tcBorders>
              <w:top w:val="single" w:sz="6" w:space="0" w:color="000000"/>
              <w:left w:val="single" w:sz="6" w:space="0" w:color="000000"/>
              <w:bottom w:val="single" w:sz="6" w:space="0" w:color="FFFFFF"/>
              <w:right w:val="single" w:sz="6" w:space="0" w:color="000000"/>
            </w:tcBorders>
          </w:tcPr>
          <w:p w14:paraId="47F4E024" w14:textId="77777777" w:rsidR="003E3EB5" w:rsidRPr="006F5D9F" w:rsidRDefault="003E3EB5" w:rsidP="003E3EB5">
            <w:pPr>
              <w:pStyle w:val="Tabletext"/>
              <w:jc w:val="center"/>
              <w:rPr>
                <w:lang w:val="fr-CH"/>
              </w:rPr>
            </w:pPr>
            <w:r w:rsidRPr="006F5D9F">
              <w:rPr>
                <w:lang w:val="fr-CH"/>
              </w:rPr>
              <w:t>450 MHz</w:t>
            </w:r>
          </w:p>
        </w:tc>
      </w:tr>
      <w:tr w:rsidR="003E3EB5" w:rsidRPr="006F5D9F" w14:paraId="5E436F0E" w14:textId="77777777" w:rsidTr="003E3EB5">
        <w:tblPrEx>
          <w:tblCellMar>
            <w:top w:w="0" w:type="dxa"/>
            <w:bottom w:w="0" w:type="dxa"/>
          </w:tblCellMar>
        </w:tblPrEx>
        <w:trPr>
          <w:jc w:val="center"/>
        </w:trPr>
        <w:tc>
          <w:tcPr>
            <w:tcW w:w="4253" w:type="dxa"/>
            <w:tcBorders>
              <w:top w:val="single" w:sz="6" w:space="0" w:color="000000"/>
              <w:left w:val="single" w:sz="6" w:space="0" w:color="000000"/>
              <w:bottom w:val="single" w:sz="6" w:space="0" w:color="FFFFFF"/>
              <w:right w:val="single" w:sz="6" w:space="0" w:color="FFFFFF"/>
            </w:tcBorders>
          </w:tcPr>
          <w:p w14:paraId="115D2FE1" w14:textId="77777777" w:rsidR="003E3EB5" w:rsidRPr="006F5D9F" w:rsidRDefault="003E3EB5" w:rsidP="003E3EB5">
            <w:pPr>
              <w:pStyle w:val="Tabletext"/>
              <w:rPr>
                <w:lang w:val="fr-CH"/>
              </w:rPr>
            </w:pPr>
            <w:r w:rsidRPr="006F5D9F">
              <w:rPr>
                <w:lang w:val="fr-CH"/>
              </w:rPr>
              <w:t>p.i.r.e. de la station de base</w:t>
            </w:r>
          </w:p>
        </w:tc>
        <w:tc>
          <w:tcPr>
            <w:tcW w:w="2041" w:type="dxa"/>
            <w:tcBorders>
              <w:top w:val="single" w:sz="6" w:space="0" w:color="000000"/>
              <w:left w:val="single" w:sz="6" w:space="0" w:color="000000"/>
              <w:bottom w:val="single" w:sz="6" w:space="0" w:color="FFFFFF"/>
              <w:right w:val="single" w:sz="6" w:space="0" w:color="000000"/>
            </w:tcBorders>
          </w:tcPr>
          <w:p w14:paraId="3F028209" w14:textId="77777777" w:rsidR="003E3EB5" w:rsidRPr="006F5D9F" w:rsidRDefault="003E3EB5" w:rsidP="003E3EB5">
            <w:pPr>
              <w:pStyle w:val="Tabletext"/>
              <w:jc w:val="center"/>
              <w:rPr>
                <w:lang w:val="fr-CH"/>
              </w:rPr>
            </w:pPr>
            <w:r w:rsidRPr="006F5D9F">
              <w:rPr>
                <w:lang w:val="fr-CH"/>
              </w:rPr>
              <w:t>20 dBW</w:t>
            </w:r>
          </w:p>
        </w:tc>
      </w:tr>
      <w:tr w:rsidR="003E3EB5" w:rsidRPr="006F5D9F" w14:paraId="6E90626B" w14:textId="77777777" w:rsidTr="003E3EB5">
        <w:tblPrEx>
          <w:tblCellMar>
            <w:top w:w="0" w:type="dxa"/>
            <w:bottom w:w="0" w:type="dxa"/>
          </w:tblCellMar>
        </w:tblPrEx>
        <w:trPr>
          <w:jc w:val="center"/>
        </w:trPr>
        <w:tc>
          <w:tcPr>
            <w:tcW w:w="4253" w:type="dxa"/>
            <w:tcBorders>
              <w:top w:val="single" w:sz="6" w:space="0" w:color="000000"/>
              <w:left w:val="single" w:sz="6" w:space="0" w:color="000000"/>
              <w:bottom w:val="single" w:sz="6" w:space="0" w:color="FFFFFF"/>
              <w:right w:val="single" w:sz="6" w:space="0" w:color="FFFFFF"/>
            </w:tcBorders>
          </w:tcPr>
          <w:p w14:paraId="5C08597B" w14:textId="77777777" w:rsidR="003E3EB5" w:rsidRPr="006F5D9F" w:rsidRDefault="003E3EB5" w:rsidP="003E3EB5">
            <w:pPr>
              <w:pStyle w:val="Tabletext"/>
              <w:rPr>
                <w:lang w:val="fr-CH"/>
              </w:rPr>
            </w:pPr>
            <w:r w:rsidRPr="006F5D9F">
              <w:rPr>
                <w:lang w:val="fr-CH"/>
              </w:rPr>
              <w:t>Gain de l'antenne de réception de la station de base</w:t>
            </w:r>
          </w:p>
        </w:tc>
        <w:tc>
          <w:tcPr>
            <w:tcW w:w="2041" w:type="dxa"/>
            <w:tcBorders>
              <w:top w:val="single" w:sz="6" w:space="0" w:color="000000"/>
              <w:left w:val="single" w:sz="6" w:space="0" w:color="000000"/>
              <w:bottom w:val="single" w:sz="6" w:space="0" w:color="FFFFFF"/>
              <w:right w:val="single" w:sz="6" w:space="0" w:color="000000"/>
            </w:tcBorders>
          </w:tcPr>
          <w:p w14:paraId="475DA504" w14:textId="77777777" w:rsidR="003E3EB5" w:rsidRPr="006F5D9F" w:rsidRDefault="003E3EB5" w:rsidP="003E3EB5">
            <w:pPr>
              <w:pStyle w:val="Tabletext"/>
              <w:jc w:val="center"/>
              <w:rPr>
                <w:lang w:val="fr-CH"/>
              </w:rPr>
            </w:pPr>
            <w:r w:rsidRPr="006F5D9F">
              <w:rPr>
                <w:lang w:val="fr-CH"/>
              </w:rPr>
              <w:t>0 dBi</w:t>
            </w:r>
          </w:p>
        </w:tc>
      </w:tr>
      <w:tr w:rsidR="003E3EB5" w:rsidRPr="006F5D9F" w14:paraId="28B9D3DE" w14:textId="77777777" w:rsidTr="003E3EB5">
        <w:tblPrEx>
          <w:tblCellMar>
            <w:top w:w="0" w:type="dxa"/>
            <w:bottom w:w="0" w:type="dxa"/>
          </w:tblCellMar>
        </w:tblPrEx>
        <w:trPr>
          <w:jc w:val="center"/>
        </w:trPr>
        <w:tc>
          <w:tcPr>
            <w:tcW w:w="4253" w:type="dxa"/>
            <w:tcBorders>
              <w:top w:val="single" w:sz="6" w:space="0" w:color="000000"/>
              <w:left w:val="single" w:sz="6" w:space="0" w:color="000000"/>
              <w:right w:val="single" w:sz="6" w:space="0" w:color="FFFFFF"/>
            </w:tcBorders>
          </w:tcPr>
          <w:p w14:paraId="341C8627" w14:textId="77777777" w:rsidR="003E3EB5" w:rsidRPr="006F5D9F" w:rsidRDefault="003E3EB5" w:rsidP="003E3EB5">
            <w:pPr>
              <w:pStyle w:val="Tabletext"/>
              <w:rPr>
                <w:lang w:val="fr-CH"/>
              </w:rPr>
            </w:pPr>
            <w:r w:rsidRPr="006F5D9F">
              <w:rPr>
                <w:lang w:val="fr-CH"/>
              </w:rPr>
              <w:t xml:space="preserve">Permittivité relative équivalente, </w:t>
            </w:r>
            <w:r w:rsidRPr="006F5D9F">
              <w:rPr>
                <w:rFonts w:ascii="Symbol" w:hAnsi="Symbol"/>
                <w:lang w:val="fr-CH"/>
              </w:rPr>
              <w:t></w:t>
            </w:r>
          </w:p>
        </w:tc>
        <w:tc>
          <w:tcPr>
            <w:tcW w:w="2041" w:type="dxa"/>
            <w:tcBorders>
              <w:top w:val="single" w:sz="6" w:space="0" w:color="000000"/>
              <w:left w:val="single" w:sz="6" w:space="0" w:color="000000"/>
              <w:right w:val="single" w:sz="6" w:space="0" w:color="000000"/>
            </w:tcBorders>
          </w:tcPr>
          <w:p w14:paraId="45535392" w14:textId="77777777" w:rsidR="003E3EB5" w:rsidRPr="006F5D9F" w:rsidRDefault="003E3EB5" w:rsidP="003E3EB5">
            <w:pPr>
              <w:pStyle w:val="Tabletext"/>
              <w:jc w:val="center"/>
              <w:rPr>
                <w:lang w:val="fr-CH"/>
              </w:rPr>
            </w:pPr>
            <w:r w:rsidRPr="006F5D9F">
              <w:rPr>
                <w:lang w:val="fr-CH"/>
              </w:rPr>
              <w:t>30</w:t>
            </w:r>
          </w:p>
        </w:tc>
      </w:tr>
      <w:tr w:rsidR="003E3EB5" w:rsidRPr="006F5D9F" w14:paraId="29FAD73B" w14:textId="77777777" w:rsidTr="003E3EB5">
        <w:tblPrEx>
          <w:tblCellMar>
            <w:top w:w="0" w:type="dxa"/>
            <w:bottom w:w="0" w:type="dxa"/>
          </w:tblCellMar>
        </w:tblPrEx>
        <w:trPr>
          <w:jc w:val="center"/>
        </w:trPr>
        <w:tc>
          <w:tcPr>
            <w:tcW w:w="4253" w:type="dxa"/>
            <w:tcBorders>
              <w:left w:val="single" w:sz="6" w:space="0" w:color="000000"/>
              <w:bottom w:val="single" w:sz="6" w:space="0" w:color="auto"/>
              <w:right w:val="single" w:sz="6" w:space="0" w:color="FFFFFF"/>
            </w:tcBorders>
          </w:tcPr>
          <w:p w14:paraId="7C01BE97" w14:textId="77777777" w:rsidR="003E3EB5" w:rsidRPr="006F5D9F" w:rsidRDefault="003E3EB5" w:rsidP="003E3EB5">
            <w:pPr>
              <w:pStyle w:val="Tabletext"/>
              <w:rPr>
                <w:lang w:val="fr-CH"/>
              </w:rPr>
            </w:pPr>
            <w:r w:rsidRPr="006F5D9F">
              <w:rPr>
                <w:lang w:val="fr-CH"/>
              </w:rPr>
              <w:t>Conductivité équivalente,</w:t>
            </w:r>
            <w:r w:rsidRPr="006F5D9F">
              <w:rPr>
                <w:i/>
                <w:lang w:val="fr-CH"/>
              </w:rPr>
              <w:t xml:space="preserve"> </w:t>
            </w:r>
            <w:r w:rsidRPr="006F5D9F">
              <w:rPr>
                <w:rFonts w:ascii="Symbol" w:hAnsi="Symbol"/>
                <w:lang w:val="fr-CH"/>
              </w:rPr>
              <w:t></w:t>
            </w:r>
          </w:p>
        </w:tc>
        <w:tc>
          <w:tcPr>
            <w:tcW w:w="2041" w:type="dxa"/>
            <w:tcBorders>
              <w:left w:val="single" w:sz="6" w:space="0" w:color="000000"/>
              <w:bottom w:val="single" w:sz="6" w:space="0" w:color="auto"/>
              <w:right w:val="single" w:sz="6" w:space="0" w:color="000000"/>
            </w:tcBorders>
          </w:tcPr>
          <w:p w14:paraId="69F9A9FA" w14:textId="77777777" w:rsidR="003E3EB5" w:rsidRPr="006F5D9F" w:rsidRDefault="003E3EB5" w:rsidP="003E3EB5">
            <w:pPr>
              <w:pStyle w:val="Tabletext"/>
              <w:jc w:val="center"/>
              <w:rPr>
                <w:lang w:val="fr-CH"/>
              </w:rPr>
            </w:pPr>
            <w:r w:rsidRPr="006F5D9F">
              <w:rPr>
                <w:lang w:val="fr-CH"/>
              </w:rPr>
              <w:t>10</w:t>
            </w:r>
            <w:r w:rsidR="004D7895">
              <w:rPr>
                <w:vertAlign w:val="superscript"/>
                <w:lang w:val="fr-CH"/>
              </w:rPr>
              <w:t>–</w:t>
            </w:r>
            <w:r w:rsidRPr="006F5D9F">
              <w:rPr>
                <w:vertAlign w:val="superscript"/>
                <w:lang w:val="fr-CH"/>
              </w:rPr>
              <w:t>2</w:t>
            </w:r>
            <w:r w:rsidRPr="006F5D9F">
              <w:rPr>
                <w:lang w:val="fr-CH"/>
              </w:rPr>
              <w:t xml:space="preserve"> S/m</w:t>
            </w:r>
          </w:p>
        </w:tc>
      </w:tr>
    </w:tbl>
    <w:p w14:paraId="171FAC22" w14:textId="77777777" w:rsidR="003E3EB5" w:rsidRPr="006F5D9F" w:rsidRDefault="003E3EB5" w:rsidP="003E3EB5">
      <w:pPr>
        <w:pStyle w:val="Tablefin"/>
        <w:rPr>
          <w:lang w:val="fr-CH"/>
        </w:rPr>
      </w:pPr>
    </w:p>
    <w:p w14:paraId="351B4295" w14:textId="77777777" w:rsidR="003E3EB5" w:rsidRPr="006F5D9F" w:rsidRDefault="003E3EB5" w:rsidP="003E3EB5">
      <w:pPr>
        <w:rPr>
          <w:lang w:val="fr-CH"/>
        </w:rPr>
      </w:pPr>
      <w:r w:rsidRPr="006F5D9F">
        <w:rPr>
          <w:lang w:val="fr-CH"/>
        </w:rPr>
        <w:t xml:space="preserve">Il y a quatre scénarios de brouillage dans le cas de systèmes de radiocommunication mobiles </w:t>
      </w:r>
      <w:proofErr w:type="gramStart"/>
      <w:r w:rsidRPr="006F5D9F">
        <w:rPr>
          <w:lang w:val="fr-CH"/>
        </w:rPr>
        <w:t>terrestres:</w:t>
      </w:r>
      <w:proofErr w:type="gramEnd"/>
      <w:r w:rsidRPr="006F5D9F">
        <w:rPr>
          <w:lang w:val="fr-CH"/>
        </w:rPr>
        <w:t xml:space="preserve"> station de base-station de base, station de base-station mobile, station mobile-station de base et station mobile-station mobile. Pour les systèmes simplex, où la station de base et les stations mobiles émettent sur la même fréquence, les quatre scénarios de brouillage sont présents. Pour les systèmes duplex </w:t>
      </w:r>
      <w:proofErr w:type="gramStart"/>
      <w:r w:rsidRPr="006F5D9F">
        <w:rPr>
          <w:lang w:val="fr-CH"/>
        </w:rPr>
        <w:t>par contre</w:t>
      </w:r>
      <w:proofErr w:type="gramEnd"/>
      <w:r w:rsidRPr="006F5D9F">
        <w:rPr>
          <w:lang w:val="fr-CH"/>
        </w:rPr>
        <w:t xml:space="preserve"> où les stations mobiles et la station de base émettent sur des fréquences différentes, seuls les scénarios de brouillage station de base-station mobile et station mobile-station de base doivent être pris en considération. Aux fins de l'analyse de la distance de séparation toutefois, seul le cas le plus défavorable doit être </w:t>
      </w:r>
      <w:proofErr w:type="gramStart"/>
      <w:r w:rsidRPr="006F5D9F">
        <w:rPr>
          <w:lang w:val="fr-CH"/>
        </w:rPr>
        <w:t>examiné;</w:t>
      </w:r>
      <w:proofErr w:type="gramEnd"/>
      <w:r w:rsidRPr="006F5D9F">
        <w:rPr>
          <w:lang w:val="fr-CH"/>
        </w:rPr>
        <w:t xml:space="preserve"> c'est-à-dire le cas de brouillage qui exige la distance de séparation la plus grande entre les systèmes. Dans la plupart des situations, on peut partir du principe que les stations de base fonctionnent pendant près de 100% du temps et que le mode de brouillage entre stations de base est le mode dominant qui exige la distance de séparation la plus grande. C'est la raison pour laquelle d'autres modes ne sont pas pris en considération ici.</w:t>
      </w:r>
    </w:p>
    <w:p w14:paraId="71D62ABD" w14:textId="77777777" w:rsidR="003E3EB5" w:rsidRPr="006F5D9F" w:rsidRDefault="003E3EB5" w:rsidP="003E3EB5">
      <w:pPr>
        <w:rPr>
          <w:lang w:val="fr-CH"/>
        </w:rPr>
      </w:pPr>
      <w:r w:rsidRPr="006F5D9F">
        <w:rPr>
          <w:lang w:val="fr-CH"/>
        </w:rPr>
        <w:t>Nous allons maintenant présenter les modèles de propagation pour les systèmes de radiocommunication mobiles terrestres puis les résultats numériques pour chacun des deux combinaisons de systèmes étudiées.</w:t>
      </w:r>
    </w:p>
    <w:p w14:paraId="403281FB" w14:textId="77777777" w:rsidR="003E3EB5" w:rsidRPr="006F5D9F" w:rsidRDefault="003E3EB5" w:rsidP="003E3EB5">
      <w:pPr>
        <w:pStyle w:val="Heading2"/>
        <w:rPr>
          <w:lang w:val="fr-CH"/>
        </w:rPr>
      </w:pPr>
      <w:r w:rsidRPr="006F5D9F">
        <w:rPr>
          <w:lang w:val="fr-CH"/>
        </w:rPr>
        <w:t>3.1</w:t>
      </w:r>
      <w:r w:rsidRPr="006F5D9F">
        <w:rPr>
          <w:lang w:val="fr-CH"/>
        </w:rPr>
        <w:tab/>
        <w:t>Brouillage entre stations de base</w:t>
      </w:r>
    </w:p>
    <w:p w14:paraId="6CB1549F" w14:textId="77777777" w:rsidR="003E3EB5" w:rsidRPr="006F5D9F" w:rsidRDefault="003E3EB5" w:rsidP="003E3EB5">
      <w:pPr>
        <w:rPr>
          <w:lang w:val="fr-CH"/>
        </w:rPr>
      </w:pPr>
      <w:r w:rsidRPr="006F5D9F">
        <w:rPr>
          <w:lang w:val="fr-CH"/>
        </w:rPr>
        <w:t xml:space="preserve">Le modèle de propagation choisi pour le mode entre stations de base est le modèle de propagation par diffraction (voir la Recommandation UIT-R P.526). D'après ce modèle, l'affaiblissement sur le trajet est exprimé par la formule </w:t>
      </w:r>
      <w:proofErr w:type="gramStart"/>
      <w:r w:rsidRPr="006F5D9F">
        <w:rPr>
          <w:lang w:val="fr-CH"/>
        </w:rPr>
        <w:t>suivante:</w:t>
      </w:r>
      <w:proofErr w:type="gramEnd"/>
    </w:p>
    <w:p w14:paraId="6A083AD1" w14:textId="77777777" w:rsidR="003E3EB5" w:rsidRPr="006F5D9F" w:rsidRDefault="003E3EB5" w:rsidP="003E3EB5">
      <w:pPr>
        <w:pStyle w:val="Blanc"/>
        <w:rPr>
          <w:sz w:val="12"/>
          <w:lang w:val="fr-CH"/>
        </w:rPr>
      </w:pPr>
    </w:p>
    <w:p w14:paraId="58C542DC" w14:textId="77777777" w:rsidR="003E3EB5" w:rsidRPr="006F5D9F" w:rsidRDefault="003E3EB5" w:rsidP="003E3EB5">
      <w:pPr>
        <w:pStyle w:val="Equation"/>
        <w:rPr>
          <w:lang w:val="fr-CH"/>
        </w:rPr>
      </w:pPr>
      <w:r w:rsidRPr="006F5D9F">
        <w:rPr>
          <w:lang w:val="fr-CH"/>
        </w:rPr>
        <w:tab/>
      </w:r>
      <w:r w:rsidRPr="006F5D9F">
        <w:rPr>
          <w:lang w:val="fr-CH"/>
        </w:rPr>
        <w:tab/>
      </w:r>
      <w:r w:rsidR="007F2F42" w:rsidRPr="006F5D9F">
        <w:rPr>
          <w:position w:val="-16"/>
          <w:lang w:val="fr-CH"/>
        </w:rPr>
        <w:object w:dxaOrig="2160" w:dyaOrig="400" w14:anchorId="495CCCE9">
          <v:shape id="_x0000_i1037" type="#_x0000_t75" style="width:108pt;height:20.1pt" o:ole="">
            <v:imagedata r:id="rId31" o:title=""/>
          </v:shape>
          <o:OLEObject Type="Embed" ProgID="Equation.2" ShapeID="_x0000_i1037" DrawAspect="Content" ObjectID="_1649068318" r:id="rId32"/>
        </w:object>
      </w:r>
      <w:r w:rsidRPr="006F5D9F">
        <w:rPr>
          <w:lang w:val="fr-CH"/>
        </w:rPr>
        <w:tab/>
        <w:t>(11)</w:t>
      </w:r>
    </w:p>
    <w:p w14:paraId="22A2D115" w14:textId="77777777" w:rsidR="003E3EB5" w:rsidRPr="006F5D9F" w:rsidRDefault="003E3EB5" w:rsidP="003E3EB5">
      <w:pPr>
        <w:rPr>
          <w:lang w:val="fr-CH"/>
        </w:rPr>
      </w:pPr>
      <w:proofErr w:type="gramStart"/>
      <w:r w:rsidRPr="006F5D9F">
        <w:rPr>
          <w:color w:val="000000"/>
          <w:lang w:val="fr-CH"/>
        </w:rPr>
        <w:t>où</w:t>
      </w:r>
      <w:r w:rsidRPr="006F5D9F">
        <w:rPr>
          <w:lang w:val="fr-CH"/>
        </w:rPr>
        <w:t>:</w:t>
      </w:r>
      <w:proofErr w:type="gramEnd"/>
    </w:p>
    <w:p w14:paraId="5B3BE054" w14:textId="77777777" w:rsidR="003E3EB5" w:rsidRPr="006F5D9F" w:rsidRDefault="003E3EB5" w:rsidP="003E3EB5">
      <w:pPr>
        <w:pStyle w:val="Equationlegend"/>
        <w:rPr>
          <w:lang w:val="fr-CH"/>
        </w:rPr>
      </w:pPr>
      <w:r w:rsidRPr="006F5D9F">
        <w:rPr>
          <w:lang w:val="fr-CH"/>
        </w:rPr>
        <w:tab/>
      </w:r>
      <w:r w:rsidRPr="006F5D9F">
        <w:rPr>
          <w:i/>
          <w:lang w:val="fr-CH"/>
        </w:rPr>
        <w:t>L</w:t>
      </w:r>
      <w:r w:rsidRPr="006F5D9F">
        <w:rPr>
          <w:i/>
          <w:position w:val="-4"/>
          <w:sz w:val="16"/>
          <w:lang w:val="fr-CH"/>
        </w:rPr>
        <w:t>FS</w:t>
      </w:r>
      <w:r w:rsidRPr="006F5D9F">
        <w:rPr>
          <w:sz w:val="8"/>
          <w:lang w:val="fr-CH"/>
        </w:rPr>
        <w:t> </w:t>
      </w:r>
      <w:r w:rsidRPr="006F5D9F">
        <w:rPr>
          <w:lang w:val="fr-CH"/>
        </w:rPr>
        <w:t>:</w:t>
      </w:r>
      <w:r w:rsidRPr="006F5D9F">
        <w:rPr>
          <w:lang w:val="fr-CH"/>
        </w:rPr>
        <w:tab/>
        <w:t xml:space="preserve">affaiblissement sur le trajet (dB) dû à l'espace libre (FS, </w:t>
      </w:r>
      <w:r w:rsidRPr="006F5D9F">
        <w:rPr>
          <w:i/>
          <w:iCs/>
          <w:lang w:val="fr-CH"/>
        </w:rPr>
        <w:t>free space</w:t>
      </w:r>
      <w:r w:rsidRPr="006F5D9F">
        <w:rPr>
          <w:lang w:val="fr-CH"/>
        </w:rPr>
        <w:t>)</w:t>
      </w:r>
    </w:p>
    <w:p w14:paraId="2319DE38" w14:textId="77777777" w:rsidR="003E3EB5" w:rsidRPr="006F5D9F" w:rsidRDefault="003E3EB5" w:rsidP="003E3EB5">
      <w:pPr>
        <w:pStyle w:val="Equationlegend"/>
        <w:rPr>
          <w:lang w:val="fr-CH"/>
        </w:rPr>
      </w:pPr>
      <w:r w:rsidRPr="006F5D9F">
        <w:rPr>
          <w:lang w:val="fr-CH"/>
        </w:rPr>
        <w:tab/>
      </w:r>
      <w:r w:rsidRPr="006F5D9F">
        <w:rPr>
          <w:i/>
          <w:lang w:val="fr-CH"/>
        </w:rPr>
        <w:t>L</w:t>
      </w:r>
      <w:r w:rsidRPr="006F5D9F">
        <w:rPr>
          <w:i/>
          <w:position w:val="-4"/>
          <w:sz w:val="16"/>
          <w:lang w:val="fr-CH"/>
        </w:rPr>
        <w:t>DIF/FS</w:t>
      </w:r>
      <w:r w:rsidRPr="006F5D9F">
        <w:rPr>
          <w:sz w:val="8"/>
          <w:lang w:val="fr-CH"/>
        </w:rPr>
        <w:t> </w:t>
      </w:r>
      <w:r w:rsidRPr="006F5D9F">
        <w:rPr>
          <w:lang w:val="fr-CH"/>
        </w:rPr>
        <w:t>:</w:t>
      </w:r>
      <w:r w:rsidRPr="006F5D9F">
        <w:rPr>
          <w:lang w:val="fr-CH"/>
        </w:rPr>
        <w:tab/>
        <w:t xml:space="preserve">rapport de l'affaiblissement par diffraction sur l'affaiblissement en espace libre (dB) et défini comme </w:t>
      </w:r>
      <w:proofErr w:type="gramStart"/>
      <w:r w:rsidRPr="006F5D9F">
        <w:rPr>
          <w:lang w:val="fr-CH"/>
        </w:rPr>
        <w:t>suit:</w:t>
      </w:r>
      <w:proofErr w:type="gramEnd"/>
    </w:p>
    <w:p w14:paraId="326ECCCE"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32"/>
          <w:sz w:val="20"/>
          <w:lang w:val="fr-CH"/>
        </w:rPr>
        <w:object w:dxaOrig="5480" w:dyaOrig="760" w14:anchorId="082DE5E2">
          <v:shape id="_x0000_i1038" type="#_x0000_t75" style="width:273.95pt;height:37.85pt" o:ole="">
            <v:imagedata r:id="rId33" o:title=""/>
          </v:shape>
          <o:OLEObject Type="Embed" ProgID="Equation.3" ShapeID="_x0000_i1038" DrawAspect="Content" ObjectID="_1649068319" r:id="rId34"/>
        </w:object>
      </w:r>
      <w:r w:rsidRPr="006F5D9F">
        <w:rPr>
          <w:lang w:val="fr-CH"/>
        </w:rPr>
        <w:tab/>
        <w:t>(12)</w:t>
      </w:r>
    </w:p>
    <w:p w14:paraId="5FB3D918" w14:textId="77777777" w:rsidR="003E3EB5" w:rsidRPr="006F5D9F" w:rsidRDefault="003E3EB5" w:rsidP="003E3EB5">
      <w:pPr>
        <w:spacing w:before="0"/>
        <w:rPr>
          <w:lang w:val="fr-CH"/>
        </w:rPr>
      </w:pPr>
      <w:r w:rsidRPr="006F5D9F">
        <w:rPr>
          <w:color w:val="000000"/>
          <w:lang w:val="fr-CH"/>
        </w:rPr>
        <w:br w:type="page"/>
      </w:r>
      <w:proofErr w:type="gramStart"/>
      <w:r w:rsidRPr="006F5D9F">
        <w:rPr>
          <w:color w:val="000000"/>
          <w:lang w:val="fr-CH"/>
        </w:rPr>
        <w:t>où</w:t>
      </w:r>
      <w:r w:rsidRPr="006F5D9F">
        <w:rPr>
          <w:lang w:val="fr-CH"/>
        </w:rPr>
        <w:t>:</w:t>
      </w:r>
      <w:proofErr w:type="gramEnd"/>
    </w:p>
    <w:p w14:paraId="119C5AE4" w14:textId="77777777" w:rsidR="003E3EB5" w:rsidRPr="006F5D9F" w:rsidRDefault="003E3EB5" w:rsidP="003E3EB5">
      <w:pPr>
        <w:pStyle w:val="Equationlegend"/>
        <w:rPr>
          <w:lang w:val="fr-CH"/>
        </w:rPr>
      </w:pPr>
      <w:r w:rsidRPr="006F5D9F">
        <w:rPr>
          <w:lang w:val="fr-CH"/>
        </w:rPr>
        <w:tab/>
      </w:r>
      <w:r w:rsidRPr="006F5D9F">
        <w:rPr>
          <w:i/>
          <w:lang w:val="fr-CH"/>
        </w:rPr>
        <w:t>F</w:t>
      </w:r>
      <w:r w:rsidRPr="006F5D9F">
        <w:rPr>
          <w:lang w:val="fr-CH"/>
        </w:rPr>
        <w:t>(</w:t>
      </w:r>
      <w:r w:rsidRPr="006F5D9F">
        <w:rPr>
          <w:i/>
          <w:lang w:val="fr-CH"/>
        </w:rPr>
        <w:t>X</w:t>
      </w:r>
      <w:r w:rsidRPr="006F5D9F">
        <w:rPr>
          <w:lang w:val="fr-CH"/>
        </w:rPr>
        <w:t>)</w:t>
      </w:r>
      <w:r w:rsidRPr="006F5D9F">
        <w:rPr>
          <w:sz w:val="8"/>
          <w:lang w:val="fr-CH"/>
        </w:rPr>
        <w:t> </w:t>
      </w:r>
      <w:r w:rsidRPr="006F5D9F">
        <w:rPr>
          <w:lang w:val="fr-CH"/>
        </w:rPr>
        <w:t>:</w:t>
      </w:r>
      <w:r w:rsidRPr="006F5D9F">
        <w:rPr>
          <w:lang w:val="fr-CH"/>
        </w:rPr>
        <w:tab/>
        <w:t>une valeur de gain qui dépend de la distance normalisée entre les stations de base</w:t>
      </w:r>
    </w:p>
    <w:p w14:paraId="3657A942" w14:textId="77777777" w:rsidR="003E3EB5" w:rsidRPr="006F5D9F" w:rsidRDefault="003E3EB5" w:rsidP="003E3EB5">
      <w:pPr>
        <w:pStyle w:val="Equationlegend"/>
        <w:rPr>
          <w:lang w:val="fr-CH"/>
        </w:rPr>
      </w:pPr>
      <w:r w:rsidRPr="006F5D9F">
        <w:rPr>
          <w:lang w:val="fr-CH"/>
        </w:rPr>
        <w:tab/>
      </w:r>
      <w:r w:rsidRPr="006F5D9F">
        <w:rPr>
          <w:i/>
          <w:lang w:val="fr-CH"/>
        </w:rPr>
        <w:t>G</w:t>
      </w:r>
      <w:r w:rsidRPr="006F5D9F">
        <w:rPr>
          <w:lang w:val="fr-CH"/>
        </w:rPr>
        <w:t>(</w:t>
      </w:r>
      <w:r w:rsidRPr="006F5D9F">
        <w:rPr>
          <w:i/>
          <w:lang w:val="fr-CH"/>
        </w:rPr>
        <w:t>Y</w:t>
      </w:r>
      <w:r w:rsidRPr="006F5D9F">
        <w:rPr>
          <w:lang w:val="fr-CH"/>
        </w:rPr>
        <w:t xml:space="preserve">1), </w:t>
      </w:r>
      <w:r w:rsidRPr="006F5D9F">
        <w:rPr>
          <w:i/>
          <w:lang w:val="fr-CH"/>
        </w:rPr>
        <w:t>G</w:t>
      </w:r>
      <w:r w:rsidRPr="006F5D9F">
        <w:rPr>
          <w:lang w:val="fr-CH"/>
        </w:rPr>
        <w:t>(</w:t>
      </w:r>
      <w:r w:rsidRPr="006F5D9F">
        <w:rPr>
          <w:i/>
          <w:lang w:val="fr-CH"/>
        </w:rPr>
        <w:t>Y</w:t>
      </w:r>
      <w:r w:rsidRPr="006F5D9F">
        <w:rPr>
          <w:lang w:val="fr-CH"/>
        </w:rPr>
        <w:t>2)</w:t>
      </w:r>
      <w:r w:rsidRPr="006F5D9F">
        <w:rPr>
          <w:sz w:val="8"/>
          <w:lang w:val="fr-CH"/>
        </w:rPr>
        <w:t> </w:t>
      </w:r>
      <w:r w:rsidRPr="006F5D9F">
        <w:rPr>
          <w:lang w:val="fr-CH"/>
        </w:rPr>
        <w:t>:</w:t>
      </w:r>
      <w:r w:rsidRPr="006F5D9F">
        <w:rPr>
          <w:lang w:val="fr-CH"/>
        </w:rPr>
        <w:tab/>
        <w:t>valeurs de gain qui dépendent des hauteurs d'antenne normalisées des stations de base</w:t>
      </w:r>
    </w:p>
    <w:p w14:paraId="5C0506F1" w14:textId="77777777" w:rsidR="003E3EB5" w:rsidRPr="006F5D9F" w:rsidRDefault="003E3EB5" w:rsidP="003E3EB5">
      <w:pPr>
        <w:pStyle w:val="Equationlegend"/>
        <w:rPr>
          <w:lang w:val="fr-CH"/>
        </w:rPr>
      </w:pPr>
      <w:r w:rsidRPr="006F5D9F">
        <w:rPr>
          <w:lang w:val="fr-CH"/>
        </w:rPr>
        <w:tab/>
      </w:r>
      <w:r w:rsidRPr="006F5D9F">
        <w:rPr>
          <w:i/>
          <w:lang w:val="fr-CH"/>
        </w:rPr>
        <w:t>X</w:t>
      </w:r>
      <w:r w:rsidRPr="006F5D9F">
        <w:rPr>
          <w:sz w:val="8"/>
          <w:lang w:val="fr-CH"/>
        </w:rPr>
        <w:t> </w:t>
      </w:r>
      <w:r w:rsidRPr="006F5D9F">
        <w:rPr>
          <w:lang w:val="fr-CH"/>
        </w:rPr>
        <w:t>:</w:t>
      </w:r>
      <w:r w:rsidRPr="006F5D9F">
        <w:rPr>
          <w:lang w:val="fr-CH"/>
        </w:rPr>
        <w:tab/>
        <w:t>distance normalisée entre les antennes des stations de base</w:t>
      </w:r>
    </w:p>
    <w:p w14:paraId="47E82DB5" w14:textId="77777777" w:rsidR="003E3EB5" w:rsidRPr="006F5D9F" w:rsidRDefault="003E3EB5" w:rsidP="003E3EB5">
      <w:pPr>
        <w:pStyle w:val="Equationlegend"/>
        <w:rPr>
          <w:lang w:val="fr-CH"/>
        </w:rPr>
      </w:pPr>
      <w:r w:rsidRPr="006F5D9F">
        <w:rPr>
          <w:lang w:val="fr-CH"/>
        </w:rPr>
        <w:tab/>
      </w:r>
      <w:r w:rsidRPr="006F5D9F">
        <w:rPr>
          <w:i/>
          <w:lang w:val="fr-CH"/>
        </w:rPr>
        <w:t>Y</w:t>
      </w:r>
      <w:r w:rsidRPr="006F5D9F">
        <w:rPr>
          <w:lang w:val="fr-CH"/>
        </w:rPr>
        <w:t xml:space="preserve">1, </w:t>
      </w:r>
      <w:r w:rsidRPr="006F5D9F">
        <w:rPr>
          <w:i/>
          <w:lang w:val="fr-CH"/>
        </w:rPr>
        <w:t>Y</w:t>
      </w:r>
      <w:r w:rsidRPr="006F5D9F">
        <w:rPr>
          <w:lang w:val="fr-CH"/>
        </w:rPr>
        <w:t>2</w:t>
      </w:r>
      <w:r w:rsidRPr="006F5D9F">
        <w:rPr>
          <w:sz w:val="8"/>
          <w:lang w:val="fr-CH"/>
        </w:rPr>
        <w:t> </w:t>
      </w:r>
      <w:r w:rsidRPr="006F5D9F">
        <w:rPr>
          <w:lang w:val="fr-CH"/>
        </w:rPr>
        <w:t>:</w:t>
      </w:r>
      <w:r w:rsidRPr="006F5D9F">
        <w:rPr>
          <w:lang w:val="fr-CH"/>
        </w:rPr>
        <w:tab/>
        <w:t xml:space="preserve">hauteurs d'antenne normalisées, définies comme </w:t>
      </w:r>
      <w:proofErr w:type="gramStart"/>
      <w:r w:rsidRPr="006F5D9F">
        <w:rPr>
          <w:lang w:val="fr-CH"/>
        </w:rPr>
        <w:t>suit:</w:t>
      </w:r>
      <w:proofErr w:type="gramEnd"/>
    </w:p>
    <w:p w14:paraId="312E50A5" w14:textId="77777777" w:rsidR="003E3EB5" w:rsidRPr="006F5D9F" w:rsidRDefault="003E3EB5" w:rsidP="003E3EB5">
      <w:pPr>
        <w:pStyle w:val="Blanc"/>
        <w:rPr>
          <w:sz w:val="12"/>
          <w:lang w:val="fr-CH"/>
        </w:rPr>
      </w:pPr>
    </w:p>
    <w:p w14:paraId="58D8A640" w14:textId="77777777" w:rsidR="003E3EB5" w:rsidRPr="006F5D9F" w:rsidRDefault="003E3EB5" w:rsidP="003E3EB5">
      <w:pPr>
        <w:pStyle w:val="Equation"/>
        <w:rPr>
          <w:lang w:val="fr-CH"/>
        </w:rPr>
      </w:pPr>
      <w:r w:rsidRPr="006F5D9F">
        <w:rPr>
          <w:lang w:val="fr-CH"/>
        </w:rPr>
        <w:tab/>
      </w:r>
      <w:r w:rsidRPr="006F5D9F">
        <w:rPr>
          <w:lang w:val="fr-CH"/>
        </w:rPr>
        <w:tab/>
      </w:r>
      <w:r w:rsidR="007F2F42" w:rsidRPr="006F5D9F">
        <w:rPr>
          <w:position w:val="-12"/>
          <w:lang w:val="fr-CH"/>
        </w:rPr>
        <w:object w:dxaOrig="2079" w:dyaOrig="420" w14:anchorId="63D8BD68">
          <v:shape id="_x0000_i1039" type="#_x0000_t75" style="width:103.8pt;height:20.55pt" o:ole="">
            <v:imagedata r:id="rId35" o:title=""/>
          </v:shape>
          <o:OLEObject Type="Embed" ProgID="Equation.3" ShapeID="_x0000_i1039" DrawAspect="Content" ObjectID="_1649068320" r:id="rId36"/>
        </w:object>
      </w:r>
      <w:r w:rsidRPr="006F5D9F">
        <w:rPr>
          <w:lang w:val="fr-CH"/>
        </w:rPr>
        <w:tab/>
        <w:t>(13)</w:t>
      </w:r>
    </w:p>
    <w:p w14:paraId="0A6EDD10" w14:textId="77777777" w:rsidR="003E3EB5" w:rsidRPr="006F5D9F" w:rsidRDefault="003E3EB5" w:rsidP="003E3EB5">
      <w:pPr>
        <w:pStyle w:val="Equation"/>
        <w:rPr>
          <w:lang w:val="fr-CH"/>
        </w:rPr>
      </w:pPr>
      <w:r w:rsidRPr="006F5D9F">
        <w:rPr>
          <w:lang w:val="fr-CH"/>
        </w:rPr>
        <w:tab/>
      </w:r>
      <w:r w:rsidRPr="006F5D9F">
        <w:rPr>
          <w:lang w:val="fr-CH"/>
        </w:rPr>
        <w:tab/>
      </w:r>
      <w:r w:rsidR="007F2F42" w:rsidRPr="006F5D9F">
        <w:rPr>
          <w:position w:val="-14"/>
          <w:lang w:val="fr-CH"/>
        </w:rPr>
        <w:object w:dxaOrig="2940" w:dyaOrig="440" w14:anchorId="0CE7225D">
          <v:shape id="_x0000_i1040" type="#_x0000_t75" style="width:147.25pt;height:21.5pt" o:ole="">
            <v:imagedata r:id="rId37" o:title=""/>
          </v:shape>
          <o:OLEObject Type="Embed" ProgID="Equation.3" ShapeID="_x0000_i1040" DrawAspect="Content" ObjectID="_1649068321" r:id="rId38"/>
        </w:object>
      </w:r>
      <w:r w:rsidRPr="006F5D9F">
        <w:rPr>
          <w:lang w:val="fr-CH"/>
        </w:rPr>
        <w:tab/>
        <w:t>(14)</w:t>
      </w:r>
    </w:p>
    <w:p w14:paraId="5A23734C" w14:textId="77777777" w:rsidR="003E3EB5" w:rsidRPr="006F5D9F" w:rsidRDefault="003E3EB5" w:rsidP="003E3EB5">
      <w:pPr>
        <w:pStyle w:val="enumlev2"/>
        <w:spacing w:before="0"/>
        <w:rPr>
          <w:lang w:val="fr-CH"/>
        </w:rPr>
      </w:pPr>
      <w:proofErr w:type="gramStart"/>
      <w:r w:rsidRPr="006F5D9F">
        <w:rPr>
          <w:color w:val="000000"/>
          <w:lang w:val="fr-CH"/>
        </w:rPr>
        <w:t>où</w:t>
      </w:r>
      <w:r w:rsidRPr="006F5D9F">
        <w:rPr>
          <w:lang w:val="fr-CH"/>
        </w:rPr>
        <w:t>:</w:t>
      </w:r>
      <w:proofErr w:type="gramEnd"/>
    </w:p>
    <w:p w14:paraId="1D0B0533"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32"/>
          <w:lang w:val="fr-CH"/>
        </w:rPr>
        <w:object w:dxaOrig="2500" w:dyaOrig="780" w14:anchorId="1A1E0CA0">
          <v:shape id="_x0000_i1041" type="#_x0000_t75" style="width:124.85pt;height:38.8pt" o:ole="">
            <v:imagedata r:id="rId39" o:title=""/>
          </v:shape>
          <o:OLEObject Type="Embed" ProgID="Equation.3" ShapeID="_x0000_i1041" DrawAspect="Content" ObjectID="_1649068322" r:id="rId40"/>
        </w:object>
      </w:r>
      <w:r w:rsidRPr="006F5D9F">
        <w:rPr>
          <w:lang w:val="fr-CH"/>
        </w:rPr>
        <w:tab/>
        <w:t>(15)</w:t>
      </w:r>
    </w:p>
    <w:p w14:paraId="4AD34028" w14:textId="77777777" w:rsidR="003E3EB5" w:rsidRPr="006F5D9F" w:rsidRDefault="003E3EB5" w:rsidP="003E3EB5">
      <w:pPr>
        <w:pStyle w:val="Blanc"/>
        <w:rPr>
          <w:sz w:val="12"/>
          <w:lang w:val="fr-CH"/>
        </w:rPr>
      </w:pPr>
    </w:p>
    <w:p w14:paraId="25511513" w14:textId="77777777" w:rsidR="003E3EB5" w:rsidRPr="006F5D9F" w:rsidRDefault="003E3EB5" w:rsidP="003E3EB5">
      <w:pPr>
        <w:pStyle w:val="Equationlegend"/>
        <w:rPr>
          <w:lang w:val="fr-CH"/>
        </w:rPr>
      </w:pPr>
      <w:r w:rsidRPr="006F5D9F">
        <w:rPr>
          <w:i/>
          <w:lang w:val="fr-CH"/>
        </w:rPr>
        <w:tab/>
        <w:t>K</w:t>
      </w:r>
      <w:r w:rsidRPr="006F5D9F">
        <w:rPr>
          <w:sz w:val="8"/>
          <w:lang w:val="fr-CH"/>
        </w:rPr>
        <w:t> </w:t>
      </w:r>
      <w:r w:rsidRPr="006F5D9F">
        <w:rPr>
          <w:lang w:val="fr-CH"/>
        </w:rPr>
        <w:t>:</w:t>
      </w:r>
      <w:r w:rsidRPr="006F5D9F">
        <w:rPr>
          <w:lang w:val="fr-CH"/>
        </w:rPr>
        <w:tab/>
        <w:t xml:space="preserve">admittance à la surface de la Terre pour la polarisation </w:t>
      </w:r>
      <w:proofErr w:type="gramStart"/>
      <w:r w:rsidRPr="006F5D9F">
        <w:rPr>
          <w:lang w:val="fr-CH"/>
        </w:rPr>
        <w:t>verticale:</w:t>
      </w:r>
      <w:proofErr w:type="gramEnd"/>
    </w:p>
    <w:p w14:paraId="32A24BE0" w14:textId="77777777" w:rsidR="003E3EB5" w:rsidRPr="006F5D9F" w:rsidRDefault="003E3EB5" w:rsidP="003E3EB5">
      <w:pPr>
        <w:pStyle w:val="Blanc"/>
        <w:rPr>
          <w:sz w:val="12"/>
          <w:lang w:val="fr-CH"/>
        </w:rPr>
      </w:pPr>
    </w:p>
    <w:p w14:paraId="17459F47" w14:textId="77777777" w:rsidR="003E3EB5" w:rsidRPr="006F5D9F" w:rsidRDefault="003E3EB5" w:rsidP="003E3EB5">
      <w:pPr>
        <w:pStyle w:val="Equation"/>
        <w:tabs>
          <w:tab w:val="clear" w:pos="794"/>
          <w:tab w:val="left" w:pos="1361"/>
        </w:tabs>
        <w:rPr>
          <w:lang w:val="fr-CH"/>
        </w:rPr>
      </w:pPr>
      <w:r w:rsidRPr="006F5D9F">
        <w:rPr>
          <w:lang w:val="fr-CH"/>
        </w:rPr>
        <w:tab/>
      </w:r>
      <w:r w:rsidRPr="006F5D9F">
        <w:rPr>
          <w:lang w:val="fr-CH"/>
        </w:rPr>
        <w:tab/>
      </w:r>
      <w:r w:rsidR="007F2F42" w:rsidRPr="006F5D9F">
        <w:rPr>
          <w:position w:val="-12"/>
          <w:sz w:val="20"/>
          <w:lang w:val="fr-CH"/>
        </w:rPr>
        <w:object w:dxaOrig="6880" w:dyaOrig="480" w14:anchorId="0DD70A81">
          <v:shape id="_x0000_i1042" type="#_x0000_t75" style="width:344.1pt;height:23.85pt" o:ole="">
            <v:imagedata r:id="rId41" o:title=""/>
          </v:shape>
          <o:OLEObject Type="Embed" ProgID="Equation.3" ShapeID="_x0000_i1042" DrawAspect="Content" ObjectID="_1649068323" r:id="rId42"/>
        </w:object>
      </w:r>
      <w:r w:rsidRPr="006F5D9F">
        <w:rPr>
          <w:lang w:val="fr-CH"/>
        </w:rPr>
        <w:tab/>
        <w:t>(16)</w:t>
      </w:r>
    </w:p>
    <w:p w14:paraId="64FC2488" w14:textId="77777777" w:rsidR="003E3EB5" w:rsidRPr="006F5D9F" w:rsidRDefault="003E3EB5" w:rsidP="003E3EB5">
      <w:pPr>
        <w:pStyle w:val="Blanc"/>
        <w:rPr>
          <w:lang w:val="fr-CH"/>
        </w:rPr>
      </w:pPr>
    </w:p>
    <w:p w14:paraId="38126905" w14:textId="77777777" w:rsidR="003E3EB5" w:rsidRPr="006F5D9F" w:rsidRDefault="003E3EB5" w:rsidP="003E3EB5">
      <w:pPr>
        <w:pStyle w:val="enumlev2"/>
        <w:spacing w:before="0"/>
        <w:rPr>
          <w:lang w:val="fr-CH"/>
        </w:rPr>
      </w:pPr>
      <w:proofErr w:type="gramStart"/>
      <w:r w:rsidRPr="006F5D9F">
        <w:rPr>
          <w:color w:val="000000"/>
          <w:lang w:val="fr-CH"/>
        </w:rPr>
        <w:t>où</w:t>
      </w:r>
      <w:r w:rsidRPr="006F5D9F">
        <w:rPr>
          <w:lang w:val="fr-CH"/>
        </w:rPr>
        <w:t>:</w:t>
      </w:r>
      <w:proofErr w:type="gramEnd"/>
    </w:p>
    <w:p w14:paraId="3553C912" w14:textId="77777777" w:rsidR="003E3EB5" w:rsidRPr="006F5D9F" w:rsidRDefault="003E3EB5" w:rsidP="003E3EB5">
      <w:pPr>
        <w:pStyle w:val="Equationlegend"/>
        <w:rPr>
          <w:lang w:val="fr-CH"/>
        </w:rPr>
      </w:pPr>
      <w:r w:rsidRPr="006F5D9F">
        <w:rPr>
          <w:rFonts w:ascii="Symbol" w:hAnsi="Symbol"/>
          <w:lang w:val="fr-CH"/>
        </w:rPr>
        <w:tab/>
      </w:r>
      <w:r w:rsidRPr="006F5D9F">
        <w:rPr>
          <w:rFonts w:ascii="Symbol" w:hAnsi="Symbol"/>
          <w:lang w:val="fr-CH"/>
        </w:rPr>
        <w:t></w:t>
      </w:r>
      <w:r w:rsidRPr="006F5D9F">
        <w:rPr>
          <w:sz w:val="8"/>
          <w:lang w:val="fr-CH"/>
        </w:rPr>
        <w:t> </w:t>
      </w:r>
      <w:r w:rsidRPr="006F5D9F">
        <w:rPr>
          <w:lang w:val="fr-CH"/>
        </w:rPr>
        <w:t>:</w:t>
      </w:r>
      <w:r w:rsidRPr="006F5D9F">
        <w:rPr>
          <w:lang w:val="fr-CH"/>
        </w:rPr>
        <w:tab/>
        <w:t>permittivité relative équivalente de la Terre</w:t>
      </w:r>
    </w:p>
    <w:p w14:paraId="6A5592B9" w14:textId="77777777" w:rsidR="003E3EB5" w:rsidRPr="006F5D9F" w:rsidRDefault="003E3EB5" w:rsidP="003E3EB5">
      <w:pPr>
        <w:pStyle w:val="Equationlegend"/>
        <w:rPr>
          <w:lang w:val="fr-CH"/>
        </w:rPr>
      </w:pPr>
      <w:r w:rsidRPr="006F5D9F">
        <w:rPr>
          <w:rFonts w:ascii="Symbol" w:hAnsi="Symbol"/>
          <w:lang w:val="fr-CH"/>
        </w:rPr>
        <w:tab/>
      </w:r>
      <w:r w:rsidRPr="006F5D9F">
        <w:rPr>
          <w:rFonts w:ascii="Symbol" w:hAnsi="Symbol"/>
          <w:lang w:val="fr-CH"/>
        </w:rPr>
        <w:t></w:t>
      </w:r>
      <w:r w:rsidRPr="006F5D9F">
        <w:rPr>
          <w:sz w:val="8"/>
          <w:lang w:val="fr-CH"/>
        </w:rPr>
        <w:t> </w:t>
      </w:r>
      <w:r w:rsidRPr="006F5D9F">
        <w:rPr>
          <w:lang w:val="fr-CH"/>
        </w:rPr>
        <w:t>:</w:t>
      </w:r>
      <w:r w:rsidRPr="006F5D9F">
        <w:rPr>
          <w:lang w:val="fr-CH"/>
        </w:rPr>
        <w:tab/>
        <w:t>conductivité équivalente de la Terre (S/m)</w:t>
      </w:r>
    </w:p>
    <w:p w14:paraId="6FEAC594" w14:textId="77777777" w:rsidR="003E3EB5" w:rsidRPr="006F5D9F" w:rsidRDefault="003E3EB5" w:rsidP="003E3EB5">
      <w:pPr>
        <w:pStyle w:val="Equationlegend"/>
        <w:rPr>
          <w:lang w:val="fr-CH"/>
        </w:rPr>
      </w:pPr>
      <w:r w:rsidRPr="006F5D9F">
        <w:rPr>
          <w:i/>
          <w:lang w:val="fr-CH"/>
        </w:rPr>
        <w:tab/>
      </w:r>
      <w:proofErr w:type="gramStart"/>
      <w:r w:rsidRPr="006F5D9F">
        <w:rPr>
          <w:i/>
          <w:lang w:val="fr-CH"/>
        </w:rPr>
        <w:t>a</w:t>
      </w:r>
      <w:r w:rsidRPr="006F5D9F">
        <w:rPr>
          <w:i/>
          <w:position w:val="-4"/>
          <w:sz w:val="16"/>
          <w:lang w:val="fr-CH"/>
        </w:rPr>
        <w:t>e</w:t>
      </w:r>
      <w:proofErr w:type="gramEnd"/>
      <w:r w:rsidRPr="006F5D9F">
        <w:rPr>
          <w:sz w:val="8"/>
          <w:lang w:val="fr-CH"/>
        </w:rPr>
        <w:t> </w:t>
      </w:r>
      <w:r w:rsidRPr="006F5D9F">
        <w:rPr>
          <w:lang w:val="fr-CH"/>
        </w:rPr>
        <w:t>:</w:t>
      </w:r>
      <w:r w:rsidRPr="006F5D9F">
        <w:rPr>
          <w:lang w:val="fr-CH"/>
        </w:rPr>
        <w:tab/>
        <w:t>rayon terrestre équivalent égal à 4/3 de 6</w:t>
      </w:r>
      <w:r w:rsidRPr="006F5D9F">
        <w:rPr>
          <w:sz w:val="12"/>
          <w:lang w:val="fr-CH"/>
        </w:rPr>
        <w:t> </w:t>
      </w:r>
      <w:r w:rsidRPr="006F5D9F">
        <w:rPr>
          <w:lang w:val="fr-CH"/>
        </w:rPr>
        <w:t>371 km</w:t>
      </w:r>
    </w:p>
    <w:p w14:paraId="1CAAC112" w14:textId="77777777" w:rsidR="003E3EB5" w:rsidRPr="006F5D9F" w:rsidRDefault="003E3EB5" w:rsidP="003E3EB5">
      <w:pPr>
        <w:pStyle w:val="Equationlegend"/>
        <w:rPr>
          <w:lang w:val="fr-CH"/>
        </w:rPr>
      </w:pPr>
      <w:r w:rsidRPr="006F5D9F">
        <w:rPr>
          <w:i/>
          <w:lang w:val="fr-CH"/>
        </w:rPr>
        <w:tab/>
      </w:r>
      <w:proofErr w:type="gramStart"/>
      <w:r w:rsidRPr="006F5D9F">
        <w:rPr>
          <w:i/>
          <w:lang w:val="fr-CH"/>
        </w:rPr>
        <w:t>d</w:t>
      </w:r>
      <w:proofErr w:type="gramEnd"/>
      <w:r w:rsidRPr="006F5D9F">
        <w:rPr>
          <w:sz w:val="8"/>
          <w:lang w:val="fr-CH"/>
        </w:rPr>
        <w:t> </w:t>
      </w:r>
      <w:r w:rsidRPr="006F5D9F">
        <w:rPr>
          <w:lang w:val="fr-CH"/>
        </w:rPr>
        <w:t>:</w:t>
      </w:r>
      <w:r w:rsidRPr="006F5D9F">
        <w:rPr>
          <w:lang w:val="fr-CH"/>
        </w:rPr>
        <w:tab/>
        <w:t>distance entre l'émetteur et le récepteur (km)</w:t>
      </w:r>
    </w:p>
    <w:p w14:paraId="5DBD7E38" w14:textId="77777777" w:rsidR="003E3EB5" w:rsidRPr="006F5D9F" w:rsidRDefault="003E3EB5" w:rsidP="003E3EB5">
      <w:pPr>
        <w:pStyle w:val="Equationlegend"/>
        <w:rPr>
          <w:lang w:val="fr-CH"/>
        </w:rPr>
      </w:pPr>
      <w:r w:rsidRPr="006F5D9F">
        <w:rPr>
          <w:i/>
          <w:lang w:val="fr-CH"/>
        </w:rPr>
        <w:tab/>
      </w:r>
      <w:proofErr w:type="gramStart"/>
      <w:r w:rsidRPr="006F5D9F">
        <w:rPr>
          <w:i/>
          <w:lang w:val="fr-CH"/>
        </w:rPr>
        <w:t>f</w:t>
      </w:r>
      <w:proofErr w:type="gramEnd"/>
      <w:r w:rsidRPr="006F5D9F">
        <w:rPr>
          <w:sz w:val="8"/>
          <w:lang w:val="fr-CH"/>
        </w:rPr>
        <w:t> </w:t>
      </w:r>
      <w:r w:rsidRPr="006F5D9F">
        <w:rPr>
          <w:lang w:val="fr-CH"/>
        </w:rPr>
        <w:t>:</w:t>
      </w:r>
      <w:r w:rsidRPr="006F5D9F">
        <w:rPr>
          <w:lang w:val="fr-CH"/>
        </w:rPr>
        <w:tab/>
        <w:t>fréquence d'émission</w:t>
      </w:r>
    </w:p>
    <w:p w14:paraId="49A00A67" w14:textId="77777777" w:rsidR="003E3EB5" w:rsidRPr="006F5D9F" w:rsidRDefault="003E3EB5" w:rsidP="003E3EB5">
      <w:pPr>
        <w:pStyle w:val="Equationlegend"/>
        <w:rPr>
          <w:lang w:val="fr-CH"/>
        </w:rPr>
      </w:pPr>
      <w:r w:rsidRPr="006F5D9F">
        <w:rPr>
          <w:i/>
          <w:lang w:val="fr-CH"/>
        </w:rPr>
        <w:tab/>
      </w:r>
      <w:proofErr w:type="gramStart"/>
      <w:r w:rsidRPr="006F5D9F">
        <w:rPr>
          <w:i/>
          <w:lang w:val="fr-CH"/>
        </w:rPr>
        <w:t>h</w:t>
      </w:r>
      <w:proofErr w:type="gramEnd"/>
      <w:r w:rsidRPr="006F5D9F">
        <w:rPr>
          <w:i/>
          <w:vertAlign w:val="subscript"/>
          <w:lang w:val="fr-CH"/>
        </w:rPr>
        <w:t xml:space="preserve">1 </w:t>
      </w:r>
      <w:r w:rsidRPr="006F5D9F">
        <w:rPr>
          <w:lang w:val="fr-CH"/>
        </w:rPr>
        <w:t xml:space="preserve">et </w:t>
      </w:r>
      <w:r w:rsidRPr="006F5D9F">
        <w:rPr>
          <w:i/>
          <w:lang w:val="fr-CH"/>
        </w:rPr>
        <w:t>h</w:t>
      </w:r>
      <w:r w:rsidRPr="006F5D9F">
        <w:rPr>
          <w:i/>
          <w:vertAlign w:val="subscript"/>
          <w:lang w:val="fr-CH"/>
        </w:rPr>
        <w:t>2</w:t>
      </w:r>
      <w:r w:rsidRPr="006F5D9F">
        <w:rPr>
          <w:sz w:val="8"/>
          <w:lang w:val="fr-CH"/>
        </w:rPr>
        <w:t> </w:t>
      </w:r>
      <w:r w:rsidRPr="006F5D9F">
        <w:rPr>
          <w:lang w:val="fr-CH"/>
        </w:rPr>
        <w:t>:</w:t>
      </w:r>
      <w:r w:rsidRPr="006F5D9F">
        <w:rPr>
          <w:lang w:val="fr-CH"/>
        </w:rPr>
        <w:tab/>
        <w:t>hauteurs respectives de l'antenne de l'émetteur et de l'antenne du récepteur (m).</w:t>
      </w:r>
    </w:p>
    <w:p w14:paraId="1BBBE604" w14:textId="77777777" w:rsidR="003E3EB5" w:rsidRPr="006F5D9F" w:rsidRDefault="003E3EB5" w:rsidP="003E3EB5">
      <w:pPr>
        <w:pStyle w:val="Blanc"/>
        <w:rPr>
          <w:sz w:val="12"/>
          <w:lang w:val="fr-CH"/>
        </w:rPr>
      </w:pPr>
    </w:p>
    <w:p w14:paraId="1273DDB4" w14:textId="77777777" w:rsidR="003E3EB5" w:rsidRPr="003E3EB5" w:rsidRDefault="003E3EB5" w:rsidP="003E3EB5">
      <w:pPr>
        <w:pStyle w:val="Equation"/>
        <w:rPr>
          <w:lang w:val="es-ES_tradnl"/>
        </w:rPr>
      </w:pPr>
      <w:r w:rsidRPr="006F5D9F">
        <w:rPr>
          <w:lang w:val="fr-CH"/>
        </w:rPr>
        <w:tab/>
      </w:r>
      <w:r w:rsidRPr="006F5D9F">
        <w:rPr>
          <w:lang w:val="fr-CH"/>
        </w:rPr>
        <w:tab/>
      </w:r>
      <w:r w:rsidR="007F2F42" w:rsidRPr="006F5D9F">
        <w:rPr>
          <w:position w:val="-10"/>
          <w:lang w:val="fr-CH"/>
        </w:rPr>
        <w:object w:dxaOrig="2940" w:dyaOrig="320" w14:anchorId="0DBAA912">
          <v:shape id="_x0000_i1043" type="#_x0000_t75" style="width:146.8pt;height:16.35pt" o:ole="">
            <v:imagedata r:id="rId43" o:title=""/>
          </v:shape>
          <o:OLEObject Type="Embed" ProgID="Equation.3" ShapeID="_x0000_i1043" DrawAspect="Content" ObjectID="_1649068324" r:id="rId44"/>
        </w:object>
      </w:r>
      <w:r w:rsidRPr="003E3EB5">
        <w:rPr>
          <w:lang w:val="es-ES_tradnl"/>
        </w:rPr>
        <w:tab/>
        <w:t>(17)</w:t>
      </w:r>
    </w:p>
    <w:p w14:paraId="020D095A" w14:textId="77777777" w:rsidR="003E3EB5" w:rsidRPr="003E3EB5" w:rsidRDefault="003E3EB5" w:rsidP="003E3EB5">
      <w:pPr>
        <w:pStyle w:val="Blanc"/>
        <w:rPr>
          <w:sz w:val="12"/>
          <w:lang w:val="es-ES_tradnl"/>
        </w:rPr>
      </w:pPr>
    </w:p>
    <w:p w14:paraId="492C75B2" w14:textId="77777777" w:rsidR="003E3EB5" w:rsidRPr="003E3EB5" w:rsidRDefault="003E3EB5" w:rsidP="003E3EB5">
      <w:pPr>
        <w:pStyle w:val="Equation"/>
        <w:tabs>
          <w:tab w:val="clear" w:pos="794"/>
          <w:tab w:val="left" w:pos="567"/>
          <w:tab w:val="left" w:pos="6096"/>
          <w:tab w:val="left" w:pos="6663"/>
          <w:tab w:val="left" w:pos="7371"/>
          <w:tab w:val="left" w:pos="7797"/>
        </w:tabs>
        <w:rPr>
          <w:lang w:val="es-ES_tradnl"/>
        </w:rPr>
      </w:pPr>
      <w:r w:rsidRPr="003E3EB5">
        <w:rPr>
          <w:lang w:val="es-ES_tradnl"/>
        </w:rPr>
        <w:tab/>
      </w:r>
      <w:r w:rsidRPr="003E3EB5">
        <w:rPr>
          <w:i/>
          <w:lang w:val="es-ES_tradnl"/>
        </w:rPr>
        <w:t>G(</w:t>
      </w:r>
      <w:proofErr w:type="gramStart"/>
      <w:r w:rsidRPr="003E3EB5">
        <w:rPr>
          <w:i/>
          <w:lang w:val="es-ES_tradnl"/>
        </w:rPr>
        <w:t>Y)</w:t>
      </w:r>
      <w:r w:rsidRPr="003E3EB5">
        <w:rPr>
          <w:lang w:val="es-ES_tradnl"/>
        </w:rPr>
        <w:t xml:space="preserve">  </w:t>
      </w:r>
      <w:r w:rsidRPr="006F5D9F">
        <w:rPr>
          <w:rFonts w:ascii="Symbol" w:hAnsi="Symbol"/>
          <w:lang w:val="fr-CH"/>
        </w:rPr>
        <w:t></w:t>
      </w:r>
      <w:proofErr w:type="gramEnd"/>
      <w:r w:rsidRPr="003E3EB5">
        <w:rPr>
          <w:lang w:val="es-ES_tradnl"/>
        </w:rPr>
        <w:t xml:space="preserve">  17,6 (</w:t>
      </w:r>
      <w:r w:rsidRPr="003E3EB5">
        <w:rPr>
          <w:i/>
          <w:lang w:val="es-ES_tradnl"/>
        </w:rPr>
        <w:t>Y</w:t>
      </w:r>
      <w:r w:rsidRPr="003E3EB5">
        <w:rPr>
          <w:lang w:val="es-ES_tradnl"/>
        </w:rPr>
        <w:t xml:space="preserve">  –  1,1)</w:t>
      </w:r>
      <w:r w:rsidRPr="003E3EB5">
        <w:rPr>
          <w:vertAlign w:val="superscript"/>
          <w:lang w:val="es-ES_tradnl"/>
        </w:rPr>
        <w:t>1/2</w:t>
      </w:r>
      <w:r w:rsidRPr="003E3EB5">
        <w:rPr>
          <w:lang w:val="es-ES_tradnl"/>
        </w:rPr>
        <w:t xml:space="preserve">  –  5 log  (</w:t>
      </w:r>
      <w:r w:rsidRPr="003E3EB5">
        <w:rPr>
          <w:i/>
          <w:lang w:val="es-ES_tradnl"/>
        </w:rPr>
        <w:t>Y</w:t>
      </w:r>
      <w:r w:rsidRPr="003E3EB5">
        <w:rPr>
          <w:lang w:val="es-ES_tradnl"/>
        </w:rPr>
        <w:t xml:space="preserve">  –  1,1)  –  8</w:t>
      </w:r>
      <w:r w:rsidRPr="003E3EB5">
        <w:rPr>
          <w:lang w:val="es-ES_tradnl"/>
        </w:rPr>
        <w:tab/>
        <w:t>pour</w:t>
      </w:r>
      <w:r w:rsidRPr="003E3EB5">
        <w:rPr>
          <w:lang w:val="es-ES_tradnl"/>
        </w:rPr>
        <w:tab/>
        <w:t xml:space="preserve">              </w:t>
      </w:r>
      <w:r w:rsidRPr="003E3EB5">
        <w:rPr>
          <w:i/>
          <w:lang w:val="es-ES_tradnl"/>
        </w:rPr>
        <w:t>Y</w:t>
      </w:r>
      <w:r w:rsidRPr="003E3EB5">
        <w:rPr>
          <w:lang w:val="es-ES_tradnl"/>
        </w:rPr>
        <w:t xml:space="preserve">  &gt;  2</w:t>
      </w:r>
      <w:r w:rsidRPr="003E3EB5">
        <w:rPr>
          <w:lang w:val="es-ES_tradnl"/>
        </w:rPr>
        <w:tab/>
        <w:t>(18)</w:t>
      </w:r>
    </w:p>
    <w:p w14:paraId="49AC09C1" w14:textId="77777777" w:rsidR="003E3EB5" w:rsidRPr="003E3EB5" w:rsidRDefault="003E3EB5" w:rsidP="003E3EB5">
      <w:pPr>
        <w:pStyle w:val="Equation"/>
        <w:tabs>
          <w:tab w:val="clear" w:pos="794"/>
          <w:tab w:val="left" w:pos="567"/>
          <w:tab w:val="left" w:pos="6096"/>
          <w:tab w:val="left" w:pos="6663"/>
          <w:tab w:val="left" w:pos="7371"/>
          <w:tab w:val="left" w:pos="7797"/>
        </w:tabs>
        <w:rPr>
          <w:lang w:val="es-ES_tradnl"/>
        </w:rPr>
      </w:pPr>
      <w:r w:rsidRPr="003E3EB5">
        <w:rPr>
          <w:lang w:val="es-ES_tradnl"/>
        </w:rPr>
        <w:tab/>
      </w:r>
      <w:r w:rsidRPr="003E3EB5">
        <w:rPr>
          <w:i/>
          <w:lang w:val="es-ES_tradnl"/>
        </w:rPr>
        <w:t>G</w:t>
      </w:r>
      <w:r w:rsidRPr="003E3EB5">
        <w:rPr>
          <w:lang w:val="es-ES_tradnl"/>
        </w:rPr>
        <w:t>(</w:t>
      </w:r>
      <w:proofErr w:type="gramStart"/>
      <w:r w:rsidRPr="003E3EB5">
        <w:rPr>
          <w:i/>
          <w:lang w:val="es-ES_tradnl"/>
        </w:rPr>
        <w:t>Y</w:t>
      </w:r>
      <w:r w:rsidRPr="003E3EB5">
        <w:rPr>
          <w:lang w:val="es-ES_tradnl"/>
        </w:rPr>
        <w:t xml:space="preserve">)  </w:t>
      </w:r>
      <w:r w:rsidRPr="006F5D9F">
        <w:rPr>
          <w:rFonts w:ascii="Symbol" w:hAnsi="Symbol"/>
          <w:lang w:val="fr-CH"/>
        </w:rPr>
        <w:t></w:t>
      </w:r>
      <w:proofErr w:type="gramEnd"/>
      <w:r w:rsidRPr="003E3EB5">
        <w:rPr>
          <w:lang w:val="es-ES_tradnl"/>
        </w:rPr>
        <w:t xml:space="preserve">  20 log(</w:t>
      </w:r>
      <w:r w:rsidRPr="003E3EB5">
        <w:rPr>
          <w:i/>
          <w:lang w:val="es-ES_tradnl"/>
        </w:rPr>
        <w:t>Y</w:t>
      </w:r>
      <w:r w:rsidRPr="003E3EB5">
        <w:rPr>
          <w:lang w:val="es-ES_tradnl"/>
        </w:rPr>
        <w:t xml:space="preserve">  +  0,1</w:t>
      </w:r>
      <w:r w:rsidRPr="003E3EB5">
        <w:rPr>
          <w:i/>
          <w:lang w:val="es-ES_tradnl"/>
        </w:rPr>
        <w:t xml:space="preserve">Y </w:t>
      </w:r>
      <w:r w:rsidRPr="003E3EB5">
        <w:rPr>
          <w:vertAlign w:val="superscript"/>
          <w:lang w:val="es-ES_tradnl"/>
        </w:rPr>
        <w:t>3</w:t>
      </w:r>
      <w:r w:rsidRPr="003E3EB5">
        <w:rPr>
          <w:lang w:val="es-ES_tradnl"/>
        </w:rPr>
        <w:t>)</w:t>
      </w:r>
      <w:r w:rsidRPr="003E3EB5">
        <w:rPr>
          <w:lang w:val="es-ES_tradnl"/>
        </w:rPr>
        <w:tab/>
      </w:r>
      <w:r w:rsidRPr="003E3EB5">
        <w:rPr>
          <w:lang w:val="es-ES_tradnl"/>
        </w:rPr>
        <w:tab/>
        <w:t>pour</w:t>
      </w:r>
      <w:r w:rsidRPr="003E3EB5">
        <w:rPr>
          <w:lang w:val="es-ES_tradnl"/>
        </w:rPr>
        <w:tab/>
        <w:t xml:space="preserve">10 </w:t>
      </w:r>
      <w:r w:rsidRPr="003E3EB5">
        <w:rPr>
          <w:i/>
          <w:lang w:val="es-ES_tradnl"/>
        </w:rPr>
        <w:t>K</w:t>
      </w:r>
      <w:r w:rsidRPr="003E3EB5">
        <w:rPr>
          <w:lang w:val="es-ES_tradnl"/>
        </w:rPr>
        <w:t xml:space="preserve">  &lt;  </w:t>
      </w:r>
      <w:r w:rsidRPr="003E3EB5">
        <w:rPr>
          <w:i/>
          <w:lang w:val="es-ES_tradnl"/>
        </w:rPr>
        <w:t>Y</w:t>
      </w:r>
      <w:r w:rsidRPr="003E3EB5">
        <w:rPr>
          <w:lang w:val="es-ES_tradnl"/>
        </w:rPr>
        <w:t xml:space="preserve">  &lt;  2</w:t>
      </w:r>
      <w:r w:rsidRPr="003E3EB5">
        <w:rPr>
          <w:lang w:val="es-ES_tradnl"/>
        </w:rPr>
        <w:tab/>
        <w:t>(19)</w:t>
      </w:r>
    </w:p>
    <w:p w14:paraId="67FF04A8" w14:textId="77777777" w:rsidR="003E3EB5" w:rsidRPr="003E3EB5" w:rsidRDefault="003E3EB5" w:rsidP="003E3EB5">
      <w:pPr>
        <w:pStyle w:val="Equation"/>
        <w:tabs>
          <w:tab w:val="clear" w:pos="794"/>
          <w:tab w:val="left" w:pos="567"/>
          <w:tab w:val="left" w:pos="6096"/>
          <w:tab w:val="left" w:pos="6663"/>
          <w:tab w:val="left" w:pos="7371"/>
          <w:tab w:val="left" w:pos="7797"/>
        </w:tabs>
        <w:rPr>
          <w:lang w:val="es-ES_tradnl"/>
        </w:rPr>
      </w:pPr>
      <w:r w:rsidRPr="003E3EB5">
        <w:rPr>
          <w:lang w:val="es-ES_tradnl"/>
        </w:rPr>
        <w:tab/>
      </w:r>
      <w:r w:rsidRPr="003E3EB5">
        <w:rPr>
          <w:i/>
          <w:lang w:val="es-ES_tradnl"/>
        </w:rPr>
        <w:t>G</w:t>
      </w:r>
      <w:r w:rsidRPr="003E3EB5">
        <w:rPr>
          <w:lang w:val="es-ES_tradnl"/>
        </w:rPr>
        <w:t>(</w:t>
      </w:r>
      <w:proofErr w:type="gramStart"/>
      <w:r w:rsidRPr="003E3EB5">
        <w:rPr>
          <w:i/>
          <w:lang w:val="es-ES_tradnl"/>
        </w:rPr>
        <w:t>Y</w:t>
      </w:r>
      <w:r w:rsidRPr="003E3EB5">
        <w:rPr>
          <w:lang w:val="es-ES_tradnl"/>
        </w:rPr>
        <w:t xml:space="preserve">)  </w:t>
      </w:r>
      <w:r w:rsidRPr="006F5D9F">
        <w:rPr>
          <w:rFonts w:ascii="Symbol" w:hAnsi="Symbol"/>
          <w:lang w:val="fr-CH"/>
        </w:rPr>
        <w:t></w:t>
      </w:r>
      <w:proofErr w:type="gramEnd"/>
      <w:r w:rsidRPr="003E3EB5">
        <w:rPr>
          <w:lang w:val="es-ES_tradnl"/>
        </w:rPr>
        <w:t xml:space="preserve">  2  +  20 log </w:t>
      </w:r>
      <w:r w:rsidRPr="003E3EB5">
        <w:rPr>
          <w:i/>
          <w:lang w:val="es-ES_tradnl"/>
        </w:rPr>
        <w:t>K</w:t>
      </w:r>
      <w:r w:rsidRPr="003E3EB5">
        <w:rPr>
          <w:lang w:val="es-ES_tradnl"/>
        </w:rPr>
        <w:t xml:space="preserve">  +  9 log(</w:t>
      </w:r>
      <w:r w:rsidRPr="003E3EB5">
        <w:rPr>
          <w:i/>
          <w:lang w:val="es-ES_tradnl"/>
        </w:rPr>
        <w:t>Y</w:t>
      </w:r>
      <w:r w:rsidRPr="003E3EB5">
        <w:rPr>
          <w:lang w:val="es-ES_tradnl"/>
        </w:rPr>
        <w:t>/</w:t>
      </w:r>
      <w:r w:rsidRPr="003E3EB5">
        <w:rPr>
          <w:i/>
          <w:lang w:val="es-ES_tradnl"/>
        </w:rPr>
        <w:t>K</w:t>
      </w:r>
      <w:r w:rsidRPr="003E3EB5">
        <w:rPr>
          <w:lang w:val="es-ES_tradnl"/>
        </w:rPr>
        <w:t>)[log(</w:t>
      </w:r>
      <w:r w:rsidRPr="003E3EB5">
        <w:rPr>
          <w:i/>
          <w:lang w:val="es-ES_tradnl"/>
        </w:rPr>
        <w:t>Y</w:t>
      </w:r>
      <w:r w:rsidRPr="003E3EB5">
        <w:rPr>
          <w:lang w:val="es-ES_tradnl"/>
        </w:rPr>
        <w:t>/</w:t>
      </w:r>
      <w:r w:rsidRPr="003E3EB5">
        <w:rPr>
          <w:i/>
          <w:lang w:val="es-ES_tradnl"/>
        </w:rPr>
        <w:t>K</w:t>
      </w:r>
      <w:r w:rsidRPr="003E3EB5">
        <w:rPr>
          <w:lang w:val="es-ES_tradnl"/>
        </w:rPr>
        <w:t>) + 1]</w:t>
      </w:r>
      <w:r w:rsidRPr="003E3EB5">
        <w:rPr>
          <w:lang w:val="es-ES_tradnl"/>
        </w:rPr>
        <w:tab/>
        <w:t>pour</w:t>
      </w:r>
      <w:r w:rsidRPr="003E3EB5">
        <w:rPr>
          <w:lang w:val="es-ES_tradnl"/>
        </w:rPr>
        <w:tab/>
      </w:r>
      <w:r w:rsidRPr="003E3EB5">
        <w:rPr>
          <w:i/>
          <w:lang w:val="es-ES_tradnl"/>
        </w:rPr>
        <w:t>K</w:t>
      </w:r>
      <w:r w:rsidRPr="003E3EB5">
        <w:rPr>
          <w:lang w:val="es-ES_tradnl"/>
        </w:rPr>
        <w:t xml:space="preserve">/10  &lt;  </w:t>
      </w:r>
      <w:r w:rsidRPr="003E3EB5">
        <w:rPr>
          <w:i/>
          <w:lang w:val="es-ES_tradnl"/>
        </w:rPr>
        <w:t xml:space="preserve">Y </w:t>
      </w:r>
      <w:r w:rsidRPr="003E3EB5">
        <w:rPr>
          <w:lang w:val="es-ES_tradnl"/>
        </w:rPr>
        <w:t xml:space="preserve"> &lt;  10 </w:t>
      </w:r>
      <w:r w:rsidRPr="003E3EB5">
        <w:rPr>
          <w:i/>
          <w:lang w:val="es-ES_tradnl"/>
        </w:rPr>
        <w:t>K</w:t>
      </w:r>
      <w:r w:rsidRPr="003E3EB5">
        <w:rPr>
          <w:lang w:val="es-ES_tradnl"/>
        </w:rPr>
        <w:tab/>
        <w:t>(20)</w:t>
      </w:r>
    </w:p>
    <w:p w14:paraId="3D628F2D" w14:textId="77777777" w:rsidR="003E3EB5" w:rsidRPr="006F5D9F" w:rsidRDefault="003E3EB5" w:rsidP="003E3EB5">
      <w:pPr>
        <w:pStyle w:val="Equation"/>
        <w:tabs>
          <w:tab w:val="clear" w:pos="794"/>
          <w:tab w:val="left" w:pos="567"/>
          <w:tab w:val="left" w:pos="6096"/>
          <w:tab w:val="left" w:pos="6663"/>
          <w:tab w:val="left" w:pos="7371"/>
          <w:tab w:val="left" w:pos="7797"/>
        </w:tabs>
        <w:rPr>
          <w:lang w:val="fr-CH"/>
        </w:rPr>
      </w:pPr>
      <w:r w:rsidRPr="003E3EB5">
        <w:rPr>
          <w:lang w:val="es-ES_tradnl"/>
        </w:rPr>
        <w:tab/>
      </w:r>
      <w:r w:rsidRPr="006F5D9F">
        <w:rPr>
          <w:i/>
          <w:lang w:val="fr-CH"/>
        </w:rPr>
        <w:t>G</w:t>
      </w:r>
      <w:r w:rsidRPr="006F5D9F">
        <w:rPr>
          <w:lang w:val="fr-CH"/>
        </w:rPr>
        <w:t>(</w:t>
      </w:r>
      <w:proofErr w:type="gramStart"/>
      <w:r w:rsidRPr="006F5D9F">
        <w:rPr>
          <w:i/>
          <w:lang w:val="fr-CH"/>
        </w:rPr>
        <w:t>Y</w:t>
      </w:r>
      <w:r w:rsidRPr="006F5D9F">
        <w:rPr>
          <w:lang w:val="fr-CH"/>
        </w:rPr>
        <w:t xml:space="preserve">)  </w:t>
      </w:r>
      <w:r w:rsidRPr="006F5D9F">
        <w:rPr>
          <w:rFonts w:ascii="Symbol" w:hAnsi="Symbol"/>
          <w:lang w:val="fr-CH"/>
        </w:rPr>
        <w:t></w:t>
      </w:r>
      <w:proofErr w:type="gramEnd"/>
      <w:r w:rsidRPr="006F5D9F">
        <w:rPr>
          <w:lang w:val="fr-CH"/>
        </w:rPr>
        <w:t xml:space="preserve">  2  + 20 log </w:t>
      </w:r>
      <w:r w:rsidRPr="006F5D9F">
        <w:rPr>
          <w:i/>
          <w:lang w:val="fr-CH"/>
        </w:rPr>
        <w:t>K</w:t>
      </w:r>
      <w:r w:rsidRPr="006F5D9F">
        <w:rPr>
          <w:lang w:val="fr-CH"/>
        </w:rPr>
        <w:tab/>
      </w:r>
      <w:r w:rsidRPr="006F5D9F">
        <w:rPr>
          <w:lang w:val="fr-CH"/>
        </w:rPr>
        <w:tab/>
        <w:t xml:space="preserve">pour  </w:t>
      </w:r>
      <w:r w:rsidRPr="006F5D9F">
        <w:rPr>
          <w:lang w:val="fr-CH"/>
        </w:rPr>
        <w:tab/>
        <w:t xml:space="preserve">      </w:t>
      </w:r>
      <w:r w:rsidRPr="006F5D9F">
        <w:rPr>
          <w:i/>
          <w:lang w:val="fr-CH"/>
        </w:rPr>
        <w:t>Y</w:t>
      </w:r>
      <w:r w:rsidRPr="006F5D9F">
        <w:rPr>
          <w:lang w:val="fr-CH"/>
        </w:rPr>
        <w:t xml:space="preserve">  &lt; </w:t>
      </w:r>
      <w:r w:rsidRPr="006F5D9F">
        <w:rPr>
          <w:i/>
          <w:lang w:val="fr-CH"/>
        </w:rPr>
        <w:t>K</w:t>
      </w:r>
      <w:r w:rsidRPr="006F5D9F">
        <w:rPr>
          <w:lang w:val="fr-CH"/>
        </w:rPr>
        <w:t xml:space="preserve">  &lt;  10</w:t>
      </w:r>
      <w:r w:rsidRPr="006F5D9F">
        <w:rPr>
          <w:lang w:val="fr-CH"/>
        </w:rPr>
        <w:tab/>
        <w:t>(21)</w:t>
      </w:r>
    </w:p>
    <w:p w14:paraId="091B8BA4" w14:textId="77777777" w:rsidR="003E3EB5" w:rsidRPr="006F5D9F" w:rsidRDefault="003E3EB5" w:rsidP="003E3EB5">
      <w:pPr>
        <w:pStyle w:val="Blanc"/>
        <w:rPr>
          <w:lang w:val="fr-CH"/>
        </w:rPr>
      </w:pPr>
    </w:p>
    <w:p w14:paraId="00C8C156" w14:textId="77777777" w:rsidR="003E3EB5" w:rsidRPr="006F5D9F" w:rsidRDefault="003E3EB5" w:rsidP="003E3EB5">
      <w:pPr>
        <w:rPr>
          <w:lang w:val="fr-CH"/>
        </w:rPr>
      </w:pPr>
      <w:proofErr w:type="gramStart"/>
      <w:r w:rsidRPr="006F5D9F">
        <w:rPr>
          <w:lang w:val="fr-CH"/>
        </w:rPr>
        <w:t>où</w:t>
      </w:r>
      <w:proofErr w:type="gramEnd"/>
      <w:r w:rsidRPr="006F5D9F">
        <w:rPr>
          <w:lang w:val="fr-CH"/>
        </w:rPr>
        <w:t xml:space="preserve"> </w:t>
      </w:r>
      <w:r w:rsidRPr="006F5D9F">
        <w:rPr>
          <w:i/>
          <w:lang w:val="fr-CH"/>
        </w:rPr>
        <w:t>K</w:t>
      </w:r>
      <w:r w:rsidRPr="006F5D9F">
        <w:rPr>
          <w:lang w:val="fr-CH"/>
        </w:rPr>
        <w:t xml:space="preserve"> est l'admittance normalisée à la surface de la Terre.</w:t>
      </w:r>
    </w:p>
    <w:p w14:paraId="30ADC0E8" w14:textId="77777777" w:rsidR="003E3EB5" w:rsidRPr="006F5D9F" w:rsidRDefault="003E3EB5" w:rsidP="003E3EB5">
      <w:pPr>
        <w:pStyle w:val="Heading2"/>
        <w:rPr>
          <w:lang w:val="fr-CH"/>
        </w:rPr>
      </w:pPr>
      <w:r w:rsidRPr="006F5D9F">
        <w:rPr>
          <w:lang w:val="fr-CH"/>
        </w:rPr>
        <w:t>3.2</w:t>
      </w:r>
      <w:r w:rsidRPr="006F5D9F">
        <w:rPr>
          <w:lang w:val="fr-CH"/>
        </w:rPr>
        <w:tab/>
        <w:t>Résultats numériques</w:t>
      </w:r>
    </w:p>
    <w:p w14:paraId="14CE54C2" w14:textId="77777777" w:rsidR="003E3EB5" w:rsidRPr="006F5D9F" w:rsidRDefault="003E3EB5" w:rsidP="003E3EB5">
      <w:pPr>
        <w:pStyle w:val="Heading3"/>
        <w:rPr>
          <w:lang w:val="fr-CH"/>
        </w:rPr>
      </w:pPr>
      <w:r w:rsidRPr="006F5D9F">
        <w:rPr>
          <w:lang w:val="fr-CH"/>
        </w:rPr>
        <w:t>3.2.1</w:t>
      </w:r>
      <w:r w:rsidRPr="006F5D9F">
        <w:rPr>
          <w:lang w:val="fr-CH"/>
        </w:rPr>
        <w:tab/>
        <w:t>Aspects liés au spectre</w:t>
      </w:r>
    </w:p>
    <w:p w14:paraId="4A96589A" w14:textId="77777777" w:rsidR="003E3EB5" w:rsidRPr="006F5D9F" w:rsidRDefault="003E3EB5" w:rsidP="003E3EB5">
      <w:pPr>
        <w:rPr>
          <w:lang w:val="fr-CH"/>
        </w:rPr>
      </w:pPr>
      <w:r w:rsidRPr="006F5D9F">
        <w:rPr>
          <w:lang w:val="fr-CH"/>
        </w:rPr>
        <w:t xml:space="preserve">On a utilisé l'équation (7) pour calculer le facteur </w:t>
      </w:r>
      <w:proofErr w:type="gramStart"/>
      <w:r w:rsidRPr="007F2F42">
        <w:rPr>
          <w:iCs/>
          <w:color w:val="000000"/>
          <w:lang w:val="fr-CH"/>
        </w:rPr>
        <w:t>OCR</w:t>
      </w:r>
      <w:r w:rsidRPr="006F5D9F">
        <w:rPr>
          <w:color w:val="000000"/>
          <w:lang w:val="fr-CH"/>
        </w:rPr>
        <w:t>(</w:t>
      </w:r>
      <w:proofErr w:type="gramEnd"/>
      <w:r w:rsidRPr="006F5D9F">
        <w:rPr>
          <w:rFonts w:ascii="Symbol" w:hAnsi="Symbol"/>
          <w:color w:val="000000"/>
          <w:lang w:val="fr-CH"/>
        </w:rPr>
        <w:t></w:t>
      </w:r>
      <w:r w:rsidRPr="006F5D9F">
        <w:rPr>
          <w:i/>
          <w:color w:val="000000"/>
          <w:lang w:val="fr-CH"/>
        </w:rPr>
        <w:t>f</w:t>
      </w:r>
      <w:r w:rsidRPr="006F5D9F">
        <w:rPr>
          <w:sz w:val="8"/>
          <w:lang w:val="fr-CH"/>
        </w:rPr>
        <w:t> </w:t>
      </w:r>
      <w:r w:rsidRPr="006F5D9F">
        <w:rPr>
          <w:color w:val="000000"/>
          <w:lang w:val="fr-CH"/>
        </w:rPr>
        <w:t>)</w:t>
      </w:r>
      <w:r w:rsidRPr="006F5D9F">
        <w:rPr>
          <w:lang w:val="fr-CH"/>
        </w:rPr>
        <w:t xml:space="preserve">, en fonction de </w:t>
      </w:r>
      <w:r w:rsidRPr="006F5D9F">
        <w:rPr>
          <w:rFonts w:ascii="Symbol" w:hAnsi="Symbol"/>
          <w:color w:val="000000"/>
          <w:lang w:val="fr-CH"/>
        </w:rPr>
        <w:t></w:t>
      </w:r>
      <w:r w:rsidRPr="006F5D9F">
        <w:rPr>
          <w:i/>
          <w:lang w:val="fr-CH"/>
        </w:rPr>
        <w:t>f</w:t>
      </w:r>
      <w:r w:rsidRPr="006F5D9F">
        <w:rPr>
          <w:lang w:val="fr-CH"/>
        </w:rPr>
        <w:t xml:space="preserve">. Dans notre exemple, nous examinons les deux cas d'étude </w:t>
      </w:r>
      <w:proofErr w:type="gramStart"/>
      <w:r w:rsidRPr="006F5D9F">
        <w:rPr>
          <w:lang w:val="fr-CH"/>
        </w:rPr>
        <w:t>suivants:</w:t>
      </w:r>
      <w:proofErr w:type="gramEnd"/>
    </w:p>
    <w:p w14:paraId="04D1DE08" w14:textId="77777777" w:rsidR="003E3EB5" w:rsidRPr="006F5D9F" w:rsidRDefault="003E3EB5" w:rsidP="003E3EB5">
      <w:pPr>
        <w:pStyle w:val="enumlev1"/>
        <w:rPr>
          <w:lang w:val="fr-CH"/>
        </w:rPr>
      </w:pPr>
      <w:r w:rsidRPr="006F5D9F">
        <w:rPr>
          <w:i/>
          <w:lang w:val="fr-CH"/>
        </w:rPr>
        <w:t xml:space="preserve">Cas </w:t>
      </w:r>
      <w:proofErr w:type="gramStart"/>
      <w:r w:rsidRPr="006F5D9F">
        <w:rPr>
          <w:i/>
          <w:lang w:val="fr-CH"/>
        </w:rPr>
        <w:t>1</w:t>
      </w:r>
      <w:r w:rsidRPr="006F5D9F">
        <w:rPr>
          <w:lang w:val="fr-CH"/>
        </w:rPr>
        <w:t>:</w:t>
      </w:r>
      <w:proofErr w:type="gramEnd"/>
      <w:r w:rsidRPr="006F5D9F">
        <w:rPr>
          <w:lang w:val="fr-CH"/>
        </w:rPr>
        <w:tab/>
        <w:t>Système à 25 kHz brouillant un système à 12,5 kHz;</w:t>
      </w:r>
    </w:p>
    <w:p w14:paraId="023F9F0B" w14:textId="77777777" w:rsidR="003E3EB5" w:rsidRPr="006F5D9F" w:rsidRDefault="003E3EB5" w:rsidP="003E3EB5">
      <w:pPr>
        <w:pStyle w:val="enumlev1"/>
        <w:rPr>
          <w:lang w:val="fr-CH"/>
        </w:rPr>
      </w:pPr>
      <w:r w:rsidRPr="006F5D9F">
        <w:rPr>
          <w:i/>
          <w:lang w:val="fr-CH"/>
        </w:rPr>
        <w:t xml:space="preserve">Cas </w:t>
      </w:r>
      <w:proofErr w:type="gramStart"/>
      <w:r w:rsidRPr="006F5D9F">
        <w:rPr>
          <w:i/>
          <w:lang w:val="fr-CH"/>
        </w:rPr>
        <w:t>2</w:t>
      </w:r>
      <w:r w:rsidRPr="006F5D9F">
        <w:rPr>
          <w:lang w:val="fr-CH"/>
        </w:rPr>
        <w:t>:</w:t>
      </w:r>
      <w:proofErr w:type="gramEnd"/>
      <w:r w:rsidRPr="006F5D9F">
        <w:rPr>
          <w:lang w:val="fr-CH"/>
        </w:rPr>
        <w:tab/>
        <w:t>Système à 12,5 kHz brouillant un système à 25 kHz.</w:t>
      </w:r>
    </w:p>
    <w:p w14:paraId="5DC51D12" w14:textId="77777777" w:rsidR="003E3EB5" w:rsidRPr="006F5D9F" w:rsidRDefault="003E3EB5" w:rsidP="003E3EB5">
      <w:pPr>
        <w:rPr>
          <w:lang w:val="fr-CH"/>
        </w:rPr>
      </w:pPr>
      <w:r w:rsidRPr="006F5D9F">
        <w:rPr>
          <w:lang w:val="fr-CH"/>
        </w:rPr>
        <w:t xml:space="preserve">Les hypothèses numériques pour les deux cas sont indiquées dans le Tableau 2 dans lequel le facteur </w:t>
      </w:r>
      <w:proofErr w:type="gramStart"/>
      <w:r w:rsidRPr="007F2F42">
        <w:rPr>
          <w:iCs/>
          <w:color w:val="000000"/>
          <w:lang w:val="fr-CH"/>
        </w:rPr>
        <w:t>OCR</w:t>
      </w:r>
      <w:r w:rsidRPr="006F5D9F">
        <w:rPr>
          <w:color w:val="000000"/>
          <w:lang w:val="fr-CH"/>
        </w:rPr>
        <w:t>(</w:t>
      </w:r>
      <w:proofErr w:type="gramEnd"/>
      <w:r w:rsidRPr="006F5D9F">
        <w:rPr>
          <w:rFonts w:ascii="Symbol" w:hAnsi="Symbol"/>
          <w:color w:val="000000"/>
          <w:lang w:val="fr-CH"/>
        </w:rPr>
        <w:t></w:t>
      </w:r>
      <w:r w:rsidRPr="006F5D9F">
        <w:rPr>
          <w:i/>
          <w:color w:val="000000"/>
          <w:lang w:val="fr-CH"/>
        </w:rPr>
        <w:t>f</w:t>
      </w:r>
      <w:r w:rsidRPr="006F5D9F">
        <w:rPr>
          <w:sz w:val="8"/>
          <w:lang w:val="fr-CH"/>
        </w:rPr>
        <w:t> </w:t>
      </w:r>
      <w:r w:rsidRPr="006F5D9F">
        <w:rPr>
          <w:color w:val="000000"/>
          <w:lang w:val="fr-CH"/>
        </w:rPr>
        <w:t>)</w:t>
      </w:r>
      <w:r w:rsidRPr="006F5D9F">
        <w:rPr>
          <w:lang w:val="fr-CH"/>
        </w:rPr>
        <w:t xml:space="preserve"> est exprimé en fonction de la séparation en fréquence </w:t>
      </w:r>
      <w:r w:rsidRPr="006F5D9F">
        <w:rPr>
          <w:rFonts w:ascii="Symbol" w:hAnsi="Symbol"/>
          <w:lang w:val="fr-CH"/>
        </w:rPr>
        <w:t></w:t>
      </w:r>
      <w:r w:rsidRPr="006F5D9F">
        <w:rPr>
          <w:i/>
          <w:lang w:val="fr-CH"/>
        </w:rPr>
        <w:t>f</w:t>
      </w:r>
      <w:r w:rsidRPr="006F5D9F">
        <w:rPr>
          <w:lang w:val="fr-CH"/>
        </w:rPr>
        <w:t xml:space="preserve"> (kHz).</w:t>
      </w:r>
    </w:p>
    <w:p w14:paraId="6DF91E98" w14:textId="77777777" w:rsidR="003E3EB5" w:rsidRPr="006F5D9F" w:rsidRDefault="003E3EB5" w:rsidP="003E3EB5">
      <w:pPr>
        <w:pStyle w:val="TableNo"/>
        <w:rPr>
          <w:lang w:val="fr-CH"/>
        </w:rPr>
      </w:pPr>
      <w:r w:rsidRPr="006F5D9F">
        <w:rPr>
          <w:lang w:val="fr-CH"/>
        </w:rPr>
        <w:t>TABLEAU 2</w:t>
      </w:r>
    </w:p>
    <w:p w14:paraId="0917A302" w14:textId="77777777" w:rsidR="003E3EB5" w:rsidRPr="006F5D9F" w:rsidRDefault="003E3EB5" w:rsidP="003E3EB5">
      <w:pPr>
        <w:pStyle w:val="Tabletitle"/>
        <w:rPr>
          <w:lang w:val="fr-CH"/>
        </w:rPr>
      </w:pPr>
      <w:r w:rsidRPr="006F5D9F">
        <w:rPr>
          <w:lang w:val="fr-CH"/>
        </w:rPr>
        <w:t xml:space="preserve">Résultats concernant l'OCR (dB) dans le cas d'un brouillage </w:t>
      </w:r>
      <w:r w:rsidRPr="006F5D9F">
        <w:rPr>
          <w:lang w:val="fr-CH"/>
        </w:rPr>
        <w:br/>
        <w:t>entre deux systèmes différents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2268"/>
        <w:gridCol w:w="2268"/>
      </w:tblGrid>
      <w:tr w:rsidR="003E3EB5" w:rsidRPr="006F5D9F" w14:paraId="7DA02751" w14:textId="77777777" w:rsidTr="003E3EB5">
        <w:tblPrEx>
          <w:tblCellMar>
            <w:top w:w="0" w:type="dxa"/>
            <w:bottom w:w="0" w:type="dxa"/>
          </w:tblCellMar>
        </w:tblPrEx>
        <w:trPr>
          <w:jc w:val="center"/>
        </w:trPr>
        <w:tc>
          <w:tcPr>
            <w:tcW w:w="2268" w:type="dxa"/>
          </w:tcPr>
          <w:p w14:paraId="6AD54BE1" w14:textId="77777777" w:rsidR="003E3EB5" w:rsidRPr="006F5D9F" w:rsidRDefault="003E3EB5" w:rsidP="003E3EB5">
            <w:pPr>
              <w:pStyle w:val="Tablehead"/>
              <w:rPr>
                <w:lang w:val="fr-CH"/>
              </w:rPr>
            </w:pPr>
            <w:r w:rsidRPr="006F5D9F">
              <w:rPr>
                <w:rFonts w:ascii="Symbol" w:hAnsi="Symbol"/>
                <w:lang w:val="fr-CH"/>
              </w:rPr>
              <w:t></w:t>
            </w:r>
            <w:r w:rsidRPr="006F5D9F">
              <w:rPr>
                <w:i/>
                <w:lang w:val="fr-CH"/>
              </w:rPr>
              <w:t>f</w:t>
            </w:r>
            <w:r w:rsidRPr="006F5D9F">
              <w:rPr>
                <w:lang w:val="fr-CH"/>
              </w:rPr>
              <w:t xml:space="preserve"> </w:t>
            </w:r>
            <w:r w:rsidRPr="006F5D9F">
              <w:rPr>
                <w:lang w:val="fr-CH"/>
              </w:rPr>
              <w:br/>
              <w:t>(kHz)</w:t>
            </w:r>
          </w:p>
        </w:tc>
        <w:tc>
          <w:tcPr>
            <w:tcW w:w="2268" w:type="dxa"/>
          </w:tcPr>
          <w:p w14:paraId="13CCF3DF" w14:textId="77777777" w:rsidR="003E3EB5" w:rsidRPr="006F5D9F" w:rsidRDefault="003E3EB5" w:rsidP="003E3EB5">
            <w:pPr>
              <w:pStyle w:val="Tablehead"/>
              <w:rPr>
                <w:lang w:val="fr-CH"/>
              </w:rPr>
            </w:pPr>
            <w:r w:rsidRPr="006F5D9F">
              <w:rPr>
                <w:lang w:val="fr-CH"/>
              </w:rPr>
              <w:t xml:space="preserve">Cas </w:t>
            </w:r>
            <w:proofErr w:type="gramStart"/>
            <w:r w:rsidRPr="006F5D9F">
              <w:rPr>
                <w:lang w:val="fr-CH"/>
              </w:rPr>
              <w:t>1:</w:t>
            </w:r>
            <w:proofErr w:type="gramEnd"/>
            <w:r w:rsidRPr="006F5D9F">
              <w:rPr>
                <w:lang w:val="fr-CH"/>
              </w:rPr>
              <w:t xml:space="preserve"> </w:t>
            </w:r>
            <w:r w:rsidRPr="006F5D9F">
              <w:rPr>
                <w:color w:val="000000"/>
                <w:lang w:val="fr-CH"/>
              </w:rPr>
              <w:t>OCR(</w:t>
            </w:r>
            <w:r w:rsidRPr="006F5D9F">
              <w:rPr>
                <w:rFonts w:ascii="Symbol" w:hAnsi="Symbol"/>
                <w:color w:val="000000"/>
                <w:lang w:val="fr-CH"/>
              </w:rPr>
              <w:t></w:t>
            </w:r>
            <w:r w:rsidRPr="006F5D9F">
              <w:rPr>
                <w:i/>
                <w:color w:val="000000"/>
                <w:lang w:val="fr-CH"/>
              </w:rPr>
              <w:t>f</w:t>
            </w:r>
            <w:r w:rsidRPr="006F5D9F">
              <w:rPr>
                <w:sz w:val="8"/>
                <w:lang w:val="fr-CH"/>
              </w:rPr>
              <w:t> </w:t>
            </w:r>
            <w:r w:rsidRPr="006F5D9F">
              <w:rPr>
                <w:color w:val="000000"/>
                <w:lang w:val="fr-CH"/>
              </w:rPr>
              <w:t>)</w:t>
            </w:r>
            <w:r w:rsidRPr="006F5D9F">
              <w:rPr>
                <w:color w:val="000000"/>
                <w:lang w:val="fr-CH"/>
              </w:rPr>
              <w:br/>
              <w:t>(dB)</w:t>
            </w:r>
          </w:p>
        </w:tc>
        <w:tc>
          <w:tcPr>
            <w:tcW w:w="2268" w:type="dxa"/>
          </w:tcPr>
          <w:p w14:paraId="38B472AD" w14:textId="77777777" w:rsidR="003E3EB5" w:rsidRPr="006F5D9F" w:rsidRDefault="003E3EB5" w:rsidP="003E3EB5">
            <w:pPr>
              <w:pStyle w:val="Tablehead"/>
              <w:rPr>
                <w:lang w:val="fr-CH"/>
              </w:rPr>
            </w:pPr>
            <w:r w:rsidRPr="006F5D9F">
              <w:rPr>
                <w:lang w:val="fr-CH"/>
              </w:rPr>
              <w:t xml:space="preserve">Cas </w:t>
            </w:r>
            <w:proofErr w:type="gramStart"/>
            <w:r w:rsidRPr="006F5D9F">
              <w:rPr>
                <w:lang w:val="fr-CH"/>
              </w:rPr>
              <w:t>2:</w:t>
            </w:r>
            <w:proofErr w:type="gramEnd"/>
            <w:r w:rsidRPr="006F5D9F">
              <w:rPr>
                <w:lang w:val="fr-CH"/>
              </w:rPr>
              <w:t xml:space="preserve"> </w:t>
            </w:r>
            <w:r w:rsidRPr="006F5D9F">
              <w:rPr>
                <w:color w:val="000000"/>
                <w:lang w:val="fr-CH"/>
              </w:rPr>
              <w:t>OCR(</w:t>
            </w:r>
            <w:r w:rsidRPr="006F5D9F">
              <w:rPr>
                <w:rFonts w:ascii="Symbol" w:hAnsi="Symbol"/>
                <w:color w:val="000000"/>
                <w:lang w:val="fr-CH"/>
              </w:rPr>
              <w:t></w:t>
            </w:r>
            <w:r w:rsidRPr="006F5D9F">
              <w:rPr>
                <w:i/>
                <w:color w:val="000000"/>
                <w:lang w:val="fr-CH"/>
              </w:rPr>
              <w:t>f</w:t>
            </w:r>
            <w:r w:rsidRPr="006F5D9F">
              <w:rPr>
                <w:sz w:val="8"/>
                <w:lang w:val="fr-CH"/>
              </w:rPr>
              <w:t> </w:t>
            </w:r>
            <w:r w:rsidRPr="006F5D9F">
              <w:rPr>
                <w:color w:val="000000"/>
                <w:lang w:val="fr-CH"/>
              </w:rPr>
              <w:t>)</w:t>
            </w:r>
            <w:r w:rsidRPr="006F5D9F">
              <w:rPr>
                <w:color w:val="000000"/>
                <w:lang w:val="fr-CH"/>
              </w:rPr>
              <w:br/>
              <w:t>(dB)</w:t>
            </w:r>
          </w:p>
        </w:tc>
      </w:tr>
      <w:tr w:rsidR="003E3EB5" w:rsidRPr="006F5D9F" w14:paraId="43701F27" w14:textId="77777777" w:rsidTr="003E3EB5">
        <w:tblPrEx>
          <w:tblCellMar>
            <w:top w:w="0" w:type="dxa"/>
            <w:bottom w:w="0" w:type="dxa"/>
          </w:tblCellMar>
        </w:tblPrEx>
        <w:trPr>
          <w:jc w:val="center"/>
        </w:trPr>
        <w:tc>
          <w:tcPr>
            <w:tcW w:w="2268" w:type="dxa"/>
          </w:tcPr>
          <w:p w14:paraId="041151C7" w14:textId="77777777" w:rsidR="003E3EB5" w:rsidRPr="006F5D9F" w:rsidRDefault="003E3EB5" w:rsidP="003E3EB5">
            <w:pPr>
              <w:pStyle w:val="Tabletext"/>
              <w:jc w:val="center"/>
              <w:rPr>
                <w:lang w:val="fr-CH"/>
              </w:rPr>
            </w:pPr>
            <w:r w:rsidRPr="006F5D9F">
              <w:rPr>
                <w:lang w:val="fr-CH"/>
              </w:rPr>
              <w:t>0</w:t>
            </w:r>
          </w:p>
        </w:tc>
        <w:tc>
          <w:tcPr>
            <w:tcW w:w="2268" w:type="dxa"/>
          </w:tcPr>
          <w:p w14:paraId="277B02CE" w14:textId="77777777" w:rsidR="003E3EB5" w:rsidRPr="006F5D9F" w:rsidRDefault="003E3EB5" w:rsidP="003E3EB5">
            <w:pPr>
              <w:pStyle w:val="Tabletext"/>
              <w:jc w:val="center"/>
              <w:rPr>
                <w:lang w:val="fr-CH"/>
              </w:rPr>
            </w:pPr>
            <w:r w:rsidRPr="006F5D9F">
              <w:rPr>
                <w:rFonts w:ascii="Symbol" w:hAnsi="Symbol"/>
                <w:lang w:val="fr-CH"/>
              </w:rPr>
              <w:t></w:t>
            </w:r>
            <w:r w:rsidRPr="006F5D9F">
              <w:rPr>
                <w:lang w:val="fr-CH"/>
              </w:rPr>
              <w:t xml:space="preserve"> 0</w:t>
            </w:r>
          </w:p>
        </w:tc>
        <w:tc>
          <w:tcPr>
            <w:tcW w:w="2268" w:type="dxa"/>
          </w:tcPr>
          <w:p w14:paraId="35276590" w14:textId="77777777" w:rsidR="003E3EB5" w:rsidRPr="006F5D9F" w:rsidRDefault="003E3EB5" w:rsidP="003E3EB5">
            <w:pPr>
              <w:pStyle w:val="Tabletext"/>
              <w:jc w:val="center"/>
              <w:rPr>
                <w:lang w:val="fr-CH"/>
              </w:rPr>
            </w:pPr>
            <w:r w:rsidRPr="006F5D9F">
              <w:rPr>
                <w:rFonts w:ascii="Symbol" w:hAnsi="Symbol"/>
                <w:lang w:val="fr-CH"/>
              </w:rPr>
              <w:t></w:t>
            </w:r>
            <w:r w:rsidRPr="006F5D9F">
              <w:rPr>
                <w:lang w:val="fr-CH"/>
              </w:rPr>
              <w:t xml:space="preserve"> 0</w:t>
            </w:r>
          </w:p>
        </w:tc>
      </w:tr>
      <w:tr w:rsidR="003E3EB5" w:rsidRPr="006F5D9F" w14:paraId="6BC66E89" w14:textId="77777777" w:rsidTr="003E3EB5">
        <w:tblPrEx>
          <w:tblCellMar>
            <w:top w:w="0" w:type="dxa"/>
            <w:bottom w:w="0" w:type="dxa"/>
          </w:tblCellMar>
        </w:tblPrEx>
        <w:trPr>
          <w:jc w:val="center"/>
        </w:trPr>
        <w:tc>
          <w:tcPr>
            <w:tcW w:w="2268" w:type="dxa"/>
          </w:tcPr>
          <w:p w14:paraId="3F67ECD7" w14:textId="77777777" w:rsidR="003E3EB5" w:rsidRPr="006F5D9F" w:rsidRDefault="003E3EB5" w:rsidP="003E3EB5">
            <w:pPr>
              <w:pStyle w:val="Tabletext"/>
              <w:ind w:left="851"/>
              <w:rPr>
                <w:lang w:val="fr-CH"/>
              </w:rPr>
            </w:pPr>
            <w:r w:rsidRPr="006F5D9F">
              <w:rPr>
                <w:lang w:val="fr-CH"/>
              </w:rPr>
              <w:t>12,5</w:t>
            </w:r>
          </w:p>
        </w:tc>
        <w:tc>
          <w:tcPr>
            <w:tcW w:w="2268" w:type="dxa"/>
          </w:tcPr>
          <w:p w14:paraId="10F5CD80" w14:textId="77777777" w:rsidR="003E3EB5" w:rsidRPr="006F5D9F" w:rsidRDefault="003E3EB5" w:rsidP="003E3EB5">
            <w:pPr>
              <w:pStyle w:val="Tabletext"/>
              <w:ind w:right="794"/>
              <w:jc w:val="right"/>
              <w:rPr>
                <w:lang w:val="fr-CH"/>
              </w:rPr>
            </w:pPr>
            <w:r w:rsidRPr="006F5D9F">
              <w:rPr>
                <w:lang w:val="fr-CH"/>
              </w:rPr>
              <w:t>26,4</w:t>
            </w:r>
          </w:p>
        </w:tc>
        <w:tc>
          <w:tcPr>
            <w:tcW w:w="2268" w:type="dxa"/>
          </w:tcPr>
          <w:p w14:paraId="40D94F5D" w14:textId="77777777" w:rsidR="003E3EB5" w:rsidRPr="006F5D9F" w:rsidRDefault="003E3EB5" w:rsidP="003E3EB5">
            <w:pPr>
              <w:pStyle w:val="Tabletext"/>
              <w:ind w:left="907"/>
              <w:rPr>
                <w:lang w:val="fr-CH"/>
              </w:rPr>
            </w:pPr>
            <w:r w:rsidRPr="006F5D9F">
              <w:rPr>
                <w:lang w:val="fr-CH"/>
              </w:rPr>
              <w:t>29</w:t>
            </w:r>
          </w:p>
        </w:tc>
      </w:tr>
      <w:tr w:rsidR="003E3EB5" w:rsidRPr="006F5D9F" w14:paraId="5BF317BB" w14:textId="77777777" w:rsidTr="003E3EB5">
        <w:tblPrEx>
          <w:tblCellMar>
            <w:top w:w="0" w:type="dxa"/>
            <w:bottom w:w="0" w:type="dxa"/>
          </w:tblCellMar>
        </w:tblPrEx>
        <w:trPr>
          <w:jc w:val="center"/>
        </w:trPr>
        <w:tc>
          <w:tcPr>
            <w:tcW w:w="2268" w:type="dxa"/>
          </w:tcPr>
          <w:p w14:paraId="368B701C" w14:textId="77777777" w:rsidR="003E3EB5" w:rsidRPr="006F5D9F" w:rsidRDefault="003E3EB5" w:rsidP="003E3EB5">
            <w:pPr>
              <w:pStyle w:val="Tabletext"/>
              <w:ind w:left="851"/>
              <w:rPr>
                <w:lang w:val="fr-CH"/>
              </w:rPr>
            </w:pPr>
            <w:r w:rsidRPr="006F5D9F">
              <w:rPr>
                <w:lang w:val="fr-CH"/>
              </w:rPr>
              <w:t>25</w:t>
            </w:r>
          </w:p>
        </w:tc>
        <w:tc>
          <w:tcPr>
            <w:tcW w:w="2268" w:type="dxa"/>
          </w:tcPr>
          <w:p w14:paraId="1E58C335" w14:textId="77777777" w:rsidR="003E3EB5" w:rsidRPr="006F5D9F" w:rsidRDefault="003E3EB5" w:rsidP="003E3EB5">
            <w:pPr>
              <w:pStyle w:val="Tabletext"/>
              <w:ind w:right="794"/>
              <w:jc w:val="right"/>
              <w:rPr>
                <w:lang w:val="fr-CH"/>
              </w:rPr>
            </w:pPr>
            <w:r w:rsidRPr="006F5D9F">
              <w:rPr>
                <w:lang w:val="fr-CH"/>
              </w:rPr>
              <w:t>57,7</w:t>
            </w:r>
          </w:p>
        </w:tc>
        <w:tc>
          <w:tcPr>
            <w:tcW w:w="2268" w:type="dxa"/>
          </w:tcPr>
          <w:p w14:paraId="4E458459" w14:textId="77777777" w:rsidR="003E3EB5" w:rsidRPr="006F5D9F" w:rsidRDefault="003E3EB5" w:rsidP="003E3EB5">
            <w:pPr>
              <w:pStyle w:val="Tabletext"/>
              <w:ind w:left="907"/>
              <w:rPr>
                <w:lang w:val="fr-CH"/>
              </w:rPr>
            </w:pPr>
            <w:r w:rsidRPr="006F5D9F">
              <w:rPr>
                <w:lang w:val="fr-CH"/>
              </w:rPr>
              <w:t>58,8</w:t>
            </w:r>
          </w:p>
        </w:tc>
      </w:tr>
      <w:tr w:rsidR="003E3EB5" w:rsidRPr="006F5D9F" w14:paraId="7496E35D" w14:textId="77777777" w:rsidTr="003E3EB5">
        <w:tblPrEx>
          <w:tblCellMar>
            <w:top w:w="0" w:type="dxa"/>
            <w:bottom w:w="0" w:type="dxa"/>
          </w:tblCellMar>
        </w:tblPrEx>
        <w:trPr>
          <w:jc w:val="center"/>
        </w:trPr>
        <w:tc>
          <w:tcPr>
            <w:tcW w:w="2268" w:type="dxa"/>
          </w:tcPr>
          <w:p w14:paraId="17E25321" w14:textId="77777777" w:rsidR="003E3EB5" w:rsidRPr="006F5D9F" w:rsidRDefault="003E3EB5" w:rsidP="003E3EB5">
            <w:pPr>
              <w:pStyle w:val="Tabletext"/>
              <w:ind w:left="851"/>
              <w:rPr>
                <w:lang w:val="fr-CH"/>
              </w:rPr>
            </w:pPr>
            <w:r w:rsidRPr="006F5D9F">
              <w:rPr>
                <w:lang w:val="fr-CH"/>
              </w:rPr>
              <w:t>37,5</w:t>
            </w:r>
          </w:p>
        </w:tc>
        <w:tc>
          <w:tcPr>
            <w:tcW w:w="2268" w:type="dxa"/>
          </w:tcPr>
          <w:p w14:paraId="609BC592" w14:textId="77777777" w:rsidR="003E3EB5" w:rsidRPr="006F5D9F" w:rsidRDefault="003E3EB5" w:rsidP="003E3EB5">
            <w:pPr>
              <w:pStyle w:val="Tabletext"/>
              <w:ind w:right="794"/>
              <w:jc w:val="right"/>
              <w:rPr>
                <w:lang w:val="fr-CH"/>
              </w:rPr>
            </w:pPr>
            <w:r w:rsidRPr="006F5D9F">
              <w:rPr>
                <w:lang w:val="fr-CH"/>
              </w:rPr>
              <w:t>57,7</w:t>
            </w:r>
          </w:p>
        </w:tc>
        <w:tc>
          <w:tcPr>
            <w:tcW w:w="2268" w:type="dxa"/>
          </w:tcPr>
          <w:p w14:paraId="52F74ECD" w14:textId="77777777" w:rsidR="003E3EB5" w:rsidRPr="006F5D9F" w:rsidRDefault="003E3EB5" w:rsidP="003E3EB5">
            <w:pPr>
              <w:pStyle w:val="Tabletext"/>
              <w:ind w:left="907"/>
              <w:rPr>
                <w:lang w:val="fr-CH"/>
              </w:rPr>
            </w:pPr>
            <w:r w:rsidRPr="006F5D9F">
              <w:rPr>
                <w:lang w:val="fr-CH"/>
              </w:rPr>
              <w:t>59</w:t>
            </w:r>
          </w:p>
        </w:tc>
      </w:tr>
    </w:tbl>
    <w:p w14:paraId="5B9D5F45" w14:textId="77777777" w:rsidR="003E3EB5" w:rsidRPr="006F5D9F" w:rsidRDefault="003E3EB5" w:rsidP="003E3EB5">
      <w:pPr>
        <w:pStyle w:val="Tablefin"/>
        <w:rPr>
          <w:lang w:val="fr-CH"/>
        </w:rPr>
      </w:pPr>
    </w:p>
    <w:p w14:paraId="3F5CB6E7" w14:textId="77777777" w:rsidR="003E3EB5" w:rsidRPr="006F5D9F" w:rsidRDefault="003E3EB5" w:rsidP="003E3EB5">
      <w:pPr>
        <w:pStyle w:val="Heading3"/>
        <w:rPr>
          <w:lang w:val="fr-CH"/>
        </w:rPr>
      </w:pPr>
      <w:r w:rsidRPr="006F5D9F">
        <w:rPr>
          <w:lang w:val="fr-CH"/>
        </w:rPr>
        <w:t>3.2.2</w:t>
      </w:r>
      <w:r w:rsidRPr="006F5D9F">
        <w:rPr>
          <w:lang w:val="fr-CH"/>
        </w:rPr>
        <w:tab/>
        <w:t>Aspects liés à l'espace</w:t>
      </w:r>
    </w:p>
    <w:p w14:paraId="62E197C7" w14:textId="77777777" w:rsidR="003E3EB5" w:rsidRPr="006F5D9F" w:rsidRDefault="003E3EB5" w:rsidP="003E3EB5">
      <w:pPr>
        <w:rPr>
          <w:lang w:val="fr-CH"/>
        </w:rPr>
      </w:pPr>
      <w:r w:rsidRPr="006F5D9F">
        <w:rPr>
          <w:lang w:val="fr-CH"/>
        </w:rPr>
        <w:t xml:space="preserve">A partir des paramètres indiqués dans les Tableaux 1 et 2 et en prenant pour hypothèse une distribution log normale de la puissance du signal reçu utile, un facteur de variabilité de l'emplacement de 17 dB, la couverture à 90% du système mobile terrestre est de 32 km. Le niveau correspondant de puissance du récepteur utile </w:t>
      </w:r>
      <w:proofErr w:type="gramStart"/>
      <w:r w:rsidRPr="006F5D9F">
        <w:rPr>
          <w:lang w:val="fr-CH"/>
        </w:rPr>
        <w:t>est:</w:t>
      </w:r>
      <w:proofErr w:type="gramEnd"/>
    </w:p>
    <w:p w14:paraId="0388A1A9" w14:textId="77777777" w:rsidR="003E3EB5" w:rsidRPr="006F5D9F" w:rsidRDefault="003E3EB5" w:rsidP="003E3EB5">
      <w:pPr>
        <w:pStyle w:val="Blanc"/>
        <w:rPr>
          <w:lang w:val="fr-CH"/>
        </w:rPr>
      </w:pPr>
    </w:p>
    <w:p w14:paraId="2BAE873E" w14:textId="77777777" w:rsidR="003E3EB5" w:rsidRPr="006F5D9F" w:rsidRDefault="003E3EB5" w:rsidP="003E3EB5">
      <w:pPr>
        <w:pStyle w:val="Equation"/>
        <w:rPr>
          <w:lang w:val="fr-CH"/>
        </w:rPr>
      </w:pPr>
      <w:r w:rsidRPr="006F5D9F">
        <w:rPr>
          <w:lang w:val="fr-CH"/>
        </w:rPr>
        <w:tab/>
      </w:r>
      <w:r w:rsidRPr="006F5D9F">
        <w:rPr>
          <w:lang w:val="fr-CH"/>
        </w:rPr>
        <w:tab/>
      </w:r>
      <w:proofErr w:type="gramStart"/>
      <w:r w:rsidRPr="006F5D9F">
        <w:rPr>
          <w:i/>
          <w:lang w:val="fr-CH"/>
        </w:rPr>
        <w:t>P</w:t>
      </w:r>
      <w:r w:rsidRPr="006F5D9F">
        <w:rPr>
          <w:i/>
          <w:position w:val="-4"/>
          <w:sz w:val="18"/>
          <w:lang w:val="fr-CH"/>
        </w:rPr>
        <w:t>d</w:t>
      </w:r>
      <w:r w:rsidRPr="006F5D9F">
        <w:rPr>
          <w:lang w:val="fr-CH"/>
        </w:rPr>
        <w:t xml:space="preserve">  </w:t>
      </w:r>
      <w:r w:rsidRPr="006F5D9F">
        <w:rPr>
          <w:rFonts w:ascii="Symbol" w:hAnsi="Symbol"/>
          <w:lang w:val="fr-CH"/>
        </w:rPr>
        <w:t></w:t>
      </w:r>
      <w:proofErr w:type="gramEnd"/>
      <w:r w:rsidRPr="006F5D9F">
        <w:rPr>
          <w:lang w:val="fr-CH"/>
        </w:rPr>
        <w:t xml:space="preserve">  </w:t>
      </w:r>
      <w:r w:rsidRPr="006F5D9F">
        <w:rPr>
          <w:i/>
          <w:lang w:val="fr-CH"/>
        </w:rPr>
        <w:t>P</w:t>
      </w:r>
      <w:r w:rsidRPr="006F5D9F">
        <w:rPr>
          <w:i/>
          <w:position w:val="-4"/>
          <w:sz w:val="18"/>
          <w:lang w:val="fr-CH"/>
        </w:rPr>
        <w:t>min</w:t>
      </w:r>
      <w:r w:rsidRPr="006F5D9F">
        <w:rPr>
          <w:lang w:val="fr-CH"/>
        </w:rPr>
        <w:t xml:space="preserve">  </w:t>
      </w:r>
      <w:r w:rsidRPr="006F5D9F">
        <w:rPr>
          <w:rFonts w:ascii="Symbol" w:hAnsi="Symbol"/>
          <w:lang w:val="fr-CH"/>
        </w:rPr>
        <w:t></w:t>
      </w:r>
      <w:r w:rsidRPr="006F5D9F">
        <w:rPr>
          <w:lang w:val="fr-CH"/>
        </w:rPr>
        <w:t xml:space="preserve">  </w:t>
      </w:r>
      <w:r w:rsidRPr="006F5D9F">
        <w:rPr>
          <w:i/>
          <w:lang w:val="fr-CH"/>
        </w:rPr>
        <w:t>L</w:t>
      </w:r>
      <w:r w:rsidRPr="006F5D9F">
        <w:rPr>
          <w:i/>
          <w:position w:val="-4"/>
          <w:sz w:val="18"/>
          <w:lang w:val="fr-CH"/>
        </w:rPr>
        <w:t>VF</w:t>
      </w:r>
      <w:r w:rsidRPr="006F5D9F">
        <w:rPr>
          <w:lang w:val="fr-CH"/>
        </w:rPr>
        <w:t xml:space="preserve">  </w:t>
      </w:r>
      <w:r w:rsidRPr="006F5D9F">
        <w:rPr>
          <w:rFonts w:ascii="Symbol" w:hAnsi="Symbol"/>
          <w:lang w:val="fr-CH"/>
        </w:rPr>
        <w:t></w:t>
      </w:r>
      <w:r w:rsidRPr="006F5D9F">
        <w:rPr>
          <w:lang w:val="fr-CH"/>
        </w:rPr>
        <w:t xml:space="preserve">  –</w:t>
      </w:r>
      <w:r w:rsidRPr="006F5D9F">
        <w:rPr>
          <w:sz w:val="4"/>
          <w:lang w:val="fr-CH"/>
        </w:rPr>
        <w:t> </w:t>
      </w:r>
      <w:r w:rsidRPr="006F5D9F">
        <w:rPr>
          <w:lang w:val="fr-CH"/>
        </w:rPr>
        <w:t>128 dBW</w:t>
      </w:r>
    </w:p>
    <w:p w14:paraId="61872DDD" w14:textId="77777777" w:rsidR="003E3EB5" w:rsidRPr="006F5D9F" w:rsidRDefault="003E3EB5" w:rsidP="003E3EB5">
      <w:pPr>
        <w:pStyle w:val="Blanc"/>
        <w:rPr>
          <w:sz w:val="12"/>
          <w:lang w:val="fr-CH"/>
        </w:rPr>
      </w:pPr>
    </w:p>
    <w:p w14:paraId="19F7570C" w14:textId="77777777" w:rsidR="003E3EB5" w:rsidRPr="006F5D9F" w:rsidRDefault="003E3EB5" w:rsidP="003E3EB5">
      <w:pPr>
        <w:rPr>
          <w:lang w:val="fr-CH"/>
        </w:rPr>
      </w:pPr>
      <w:r w:rsidRPr="006F5D9F">
        <w:rPr>
          <w:lang w:val="fr-CH"/>
        </w:rPr>
        <w:t xml:space="preserve">Par conséquent, le niveau de brouillage acceptable </w:t>
      </w:r>
      <w:proofErr w:type="gramStart"/>
      <w:r w:rsidRPr="006F5D9F">
        <w:rPr>
          <w:lang w:val="fr-CH"/>
        </w:rPr>
        <w:t>est:</w:t>
      </w:r>
      <w:proofErr w:type="gramEnd"/>
      <w:r w:rsidRPr="006F5D9F">
        <w:rPr>
          <w:lang w:val="fr-CH"/>
        </w:rPr>
        <w:t xml:space="preserve"> </w:t>
      </w:r>
      <w:r w:rsidRPr="006F5D9F">
        <w:rPr>
          <w:i/>
          <w:lang w:val="fr-CH"/>
        </w:rPr>
        <w:t>P</w:t>
      </w:r>
      <w:r w:rsidRPr="006F5D9F">
        <w:rPr>
          <w:i/>
          <w:position w:val="-4"/>
          <w:sz w:val="16"/>
          <w:lang w:val="fr-CH"/>
        </w:rPr>
        <w:t>d</w:t>
      </w:r>
      <w:r w:rsidRPr="006F5D9F">
        <w:rPr>
          <w:lang w:val="fr-CH"/>
        </w:rPr>
        <w:t xml:space="preserve"> – </w:t>
      </w:r>
      <w:r w:rsidRPr="006F5D9F">
        <w:rPr>
          <w:rFonts w:ascii="Symbol" w:hAnsi="Symbol"/>
          <w:lang w:val="fr-CH"/>
        </w:rPr>
        <w:t></w:t>
      </w:r>
      <w:r w:rsidRPr="006F5D9F">
        <w:rPr>
          <w:lang w:val="fr-CH"/>
        </w:rPr>
        <w:t xml:space="preserve"> </w:t>
      </w:r>
      <w:r w:rsidRPr="006F5D9F">
        <w:rPr>
          <w:rFonts w:ascii="Symbol" w:hAnsi="Symbol"/>
          <w:lang w:val="fr-CH"/>
        </w:rPr>
        <w:t></w:t>
      </w:r>
      <w:r w:rsidRPr="006F5D9F">
        <w:rPr>
          <w:lang w:val="fr-CH"/>
        </w:rPr>
        <w:t xml:space="preserve"> –</w:t>
      </w:r>
      <w:r w:rsidRPr="006F5D9F">
        <w:rPr>
          <w:sz w:val="4"/>
          <w:lang w:val="fr-CH"/>
        </w:rPr>
        <w:t> </w:t>
      </w:r>
      <w:r w:rsidRPr="006F5D9F">
        <w:rPr>
          <w:lang w:val="fr-CH"/>
        </w:rPr>
        <w:t>146 dBW.</w:t>
      </w:r>
    </w:p>
    <w:p w14:paraId="40D32015" w14:textId="77777777" w:rsidR="003E3EB5" w:rsidRPr="006F5D9F" w:rsidRDefault="003E3EB5" w:rsidP="003E3EB5">
      <w:pPr>
        <w:rPr>
          <w:lang w:val="fr-CH"/>
        </w:rPr>
      </w:pPr>
      <w:r w:rsidRPr="006F5D9F">
        <w:rPr>
          <w:lang w:val="fr-CH"/>
        </w:rPr>
        <w:t xml:space="preserve">Les séparations en distance requises, </w:t>
      </w:r>
      <w:r w:rsidRPr="006F5D9F">
        <w:rPr>
          <w:i/>
          <w:lang w:val="fr-CH"/>
        </w:rPr>
        <w:t>D</w:t>
      </w:r>
      <w:r w:rsidRPr="006F5D9F">
        <w:rPr>
          <w:lang w:val="fr-CH"/>
        </w:rPr>
        <w:t>, entre stations de base pour les deux cas étudiés ont été calculées à l'aide de la méthode présentée dans la présente Recommandation. Le Tableau 3 récapitule les résultats.</w:t>
      </w:r>
    </w:p>
    <w:p w14:paraId="7E828C5C" w14:textId="77777777" w:rsidR="003E3EB5" w:rsidRPr="006F5D9F" w:rsidRDefault="003E3EB5" w:rsidP="003E3EB5">
      <w:pPr>
        <w:pStyle w:val="TableNo"/>
        <w:rPr>
          <w:lang w:val="fr-CH"/>
        </w:rPr>
      </w:pPr>
      <w:r w:rsidRPr="006F5D9F">
        <w:rPr>
          <w:lang w:val="fr-CH"/>
        </w:rPr>
        <w:t>TABLEAU 3</w:t>
      </w:r>
    </w:p>
    <w:p w14:paraId="714F913E" w14:textId="77777777" w:rsidR="003E3EB5" w:rsidRPr="006F5D9F" w:rsidRDefault="003E3EB5" w:rsidP="003E3EB5">
      <w:pPr>
        <w:pStyle w:val="Tabletitle"/>
        <w:rPr>
          <w:lang w:val="fr-CH"/>
        </w:rPr>
      </w:pPr>
      <w:r w:rsidRPr="006F5D9F">
        <w:rPr>
          <w:lang w:val="fr-CH"/>
        </w:rPr>
        <w:t xml:space="preserve">Séparation en distance requise, </w:t>
      </w:r>
      <w:r w:rsidRPr="006F5D9F">
        <w:rPr>
          <w:i/>
          <w:lang w:val="fr-CH"/>
        </w:rPr>
        <w:t>D</w:t>
      </w:r>
      <w:r w:rsidRPr="006F5D9F">
        <w:rPr>
          <w:lang w:val="fr-CH"/>
        </w:rPr>
        <w:t xml:space="preserve"> (km) </w:t>
      </w:r>
      <w:r w:rsidRPr="006F5D9F">
        <w:rPr>
          <w:lang w:val="fr-CH"/>
        </w:rPr>
        <w:br/>
        <w:t xml:space="preserve">et séparation en fréquence, </w:t>
      </w:r>
      <w:r w:rsidRPr="006F5D9F">
        <w:rPr>
          <w:lang w:val="fr-CH"/>
        </w:rPr>
        <w:sym w:font="Symbol" w:char="F044"/>
      </w:r>
      <w:r w:rsidRPr="006F5D9F">
        <w:rPr>
          <w:i/>
          <w:lang w:val="fr-CH"/>
        </w:rPr>
        <w:t>f</w:t>
      </w:r>
      <w:r w:rsidRPr="006F5D9F">
        <w:rPr>
          <w:lang w:val="fr-CH"/>
        </w:rPr>
        <w:t xml:space="preserve"> (kHz)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2268"/>
      </w:tblGrid>
      <w:tr w:rsidR="003E3EB5" w:rsidRPr="006F5D9F" w14:paraId="36348A56" w14:textId="77777777" w:rsidTr="003E3EB5">
        <w:tblPrEx>
          <w:tblCellMar>
            <w:top w:w="0" w:type="dxa"/>
            <w:bottom w:w="0" w:type="dxa"/>
          </w:tblCellMar>
        </w:tblPrEx>
        <w:trPr>
          <w:jc w:val="center"/>
        </w:trPr>
        <w:tc>
          <w:tcPr>
            <w:tcW w:w="2268" w:type="dxa"/>
          </w:tcPr>
          <w:p w14:paraId="1483E00D" w14:textId="77777777" w:rsidR="003E3EB5" w:rsidRPr="006F5D9F" w:rsidRDefault="003E3EB5" w:rsidP="003E3EB5">
            <w:pPr>
              <w:pStyle w:val="Tablehead"/>
              <w:rPr>
                <w:lang w:val="fr-CH"/>
              </w:rPr>
            </w:pPr>
            <w:r w:rsidRPr="006F5D9F">
              <w:rPr>
                <w:rFonts w:ascii="Symbol" w:hAnsi="Symbol"/>
                <w:lang w:val="fr-CH"/>
              </w:rPr>
              <w:t></w:t>
            </w:r>
            <w:r w:rsidRPr="006F5D9F">
              <w:rPr>
                <w:i/>
                <w:lang w:val="fr-CH"/>
              </w:rPr>
              <w:t>f</w:t>
            </w:r>
            <w:r w:rsidRPr="006F5D9F">
              <w:rPr>
                <w:lang w:val="fr-CH"/>
              </w:rPr>
              <w:t xml:space="preserve"> </w:t>
            </w:r>
            <w:r w:rsidRPr="006F5D9F">
              <w:rPr>
                <w:lang w:val="fr-CH"/>
              </w:rPr>
              <w:br/>
              <w:t>(kHz)</w:t>
            </w:r>
          </w:p>
        </w:tc>
        <w:tc>
          <w:tcPr>
            <w:tcW w:w="2268" w:type="dxa"/>
          </w:tcPr>
          <w:p w14:paraId="22371530" w14:textId="77777777" w:rsidR="003E3EB5" w:rsidRPr="006F5D9F" w:rsidRDefault="003E3EB5" w:rsidP="003E3EB5">
            <w:pPr>
              <w:pStyle w:val="Tablehead"/>
              <w:rPr>
                <w:lang w:val="fr-CH"/>
              </w:rPr>
            </w:pPr>
            <w:r w:rsidRPr="006F5D9F">
              <w:rPr>
                <w:lang w:val="fr-CH"/>
              </w:rPr>
              <w:t xml:space="preserve">Cas 1 et Cas </w:t>
            </w:r>
            <w:proofErr w:type="gramStart"/>
            <w:r w:rsidRPr="006F5D9F">
              <w:rPr>
                <w:lang w:val="fr-CH"/>
              </w:rPr>
              <w:t>2:</w:t>
            </w:r>
            <w:proofErr w:type="gramEnd"/>
            <w:r w:rsidRPr="006F5D9F">
              <w:rPr>
                <w:lang w:val="fr-CH"/>
              </w:rPr>
              <w:t xml:space="preserve"> </w:t>
            </w:r>
            <w:r w:rsidRPr="006F5D9F">
              <w:rPr>
                <w:i/>
                <w:color w:val="000000"/>
                <w:lang w:val="fr-CH"/>
              </w:rPr>
              <w:t>D</w:t>
            </w:r>
            <w:r w:rsidRPr="006F5D9F">
              <w:rPr>
                <w:color w:val="000000"/>
                <w:lang w:val="fr-CH"/>
              </w:rPr>
              <w:br/>
              <w:t>(km)</w:t>
            </w:r>
          </w:p>
        </w:tc>
      </w:tr>
      <w:tr w:rsidR="003E3EB5" w:rsidRPr="006F5D9F" w14:paraId="08472523" w14:textId="77777777" w:rsidTr="003E3EB5">
        <w:tblPrEx>
          <w:tblCellMar>
            <w:top w:w="0" w:type="dxa"/>
            <w:bottom w:w="0" w:type="dxa"/>
          </w:tblCellMar>
        </w:tblPrEx>
        <w:trPr>
          <w:jc w:val="center"/>
        </w:trPr>
        <w:tc>
          <w:tcPr>
            <w:tcW w:w="2268" w:type="dxa"/>
          </w:tcPr>
          <w:p w14:paraId="18ABCC0D" w14:textId="77777777" w:rsidR="003E3EB5" w:rsidRPr="006F5D9F" w:rsidRDefault="003E3EB5" w:rsidP="003E3EB5">
            <w:pPr>
              <w:pStyle w:val="Tabletext"/>
              <w:jc w:val="center"/>
              <w:rPr>
                <w:lang w:val="fr-CH"/>
              </w:rPr>
            </w:pPr>
            <w:r w:rsidRPr="006F5D9F">
              <w:rPr>
                <w:lang w:val="fr-CH"/>
              </w:rPr>
              <w:t>0</w:t>
            </w:r>
          </w:p>
        </w:tc>
        <w:tc>
          <w:tcPr>
            <w:tcW w:w="2268" w:type="dxa"/>
          </w:tcPr>
          <w:p w14:paraId="11BFDB27" w14:textId="77777777" w:rsidR="003E3EB5" w:rsidRPr="006F5D9F" w:rsidRDefault="003E3EB5" w:rsidP="003E3EB5">
            <w:pPr>
              <w:pStyle w:val="Tabletext"/>
              <w:jc w:val="center"/>
              <w:rPr>
                <w:lang w:val="fr-CH"/>
              </w:rPr>
            </w:pPr>
            <w:r w:rsidRPr="006F5D9F">
              <w:rPr>
                <w:lang w:val="fr-CH"/>
              </w:rPr>
              <w:t>107,5</w:t>
            </w:r>
          </w:p>
        </w:tc>
      </w:tr>
      <w:tr w:rsidR="003E3EB5" w:rsidRPr="006F5D9F" w14:paraId="0C1C8537" w14:textId="77777777" w:rsidTr="003E3EB5">
        <w:tblPrEx>
          <w:tblCellMar>
            <w:top w:w="0" w:type="dxa"/>
            <w:bottom w:w="0" w:type="dxa"/>
          </w:tblCellMar>
        </w:tblPrEx>
        <w:trPr>
          <w:jc w:val="center"/>
        </w:trPr>
        <w:tc>
          <w:tcPr>
            <w:tcW w:w="2268" w:type="dxa"/>
          </w:tcPr>
          <w:p w14:paraId="2C686B82" w14:textId="77777777" w:rsidR="003E3EB5" w:rsidRPr="006F5D9F" w:rsidRDefault="003E3EB5" w:rsidP="003E3EB5">
            <w:pPr>
              <w:pStyle w:val="Tabletext"/>
              <w:ind w:left="851"/>
              <w:rPr>
                <w:lang w:val="fr-CH"/>
              </w:rPr>
            </w:pPr>
            <w:r w:rsidRPr="006F5D9F">
              <w:rPr>
                <w:lang w:val="fr-CH"/>
              </w:rPr>
              <w:t>12,5</w:t>
            </w:r>
          </w:p>
        </w:tc>
        <w:tc>
          <w:tcPr>
            <w:tcW w:w="2268" w:type="dxa"/>
          </w:tcPr>
          <w:p w14:paraId="3CF1321E" w14:textId="77777777" w:rsidR="003E3EB5" w:rsidRPr="006F5D9F" w:rsidRDefault="003E3EB5" w:rsidP="003E3EB5">
            <w:pPr>
              <w:pStyle w:val="Tabletext"/>
              <w:ind w:left="907"/>
              <w:rPr>
                <w:lang w:val="fr-CH"/>
              </w:rPr>
            </w:pPr>
            <w:r w:rsidRPr="006F5D9F">
              <w:rPr>
                <w:lang w:val="fr-CH"/>
              </w:rPr>
              <w:t>72,5</w:t>
            </w:r>
          </w:p>
        </w:tc>
      </w:tr>
      <w:tr w:rsidR="003E3EB5" w:rsidRPr="006F5D9F" w14:paraId="637CC7FB" w14:textId="77777777" w:rsidTr="003E3EB5">
        <w:tblPrEx>
          <w:tblCellMar>
            <w:top w:w="0" w:type="dxa"/>
            <w:bottom w:w="0" w:type="dxa"/>
          </w:tblCellMar>
        </w:tblPrEx>
        <w:trPr>
          <w:jc w:val="center"/>
        </w:trPr>
        <w:tc>
          <w:tcPr>
            <w:tcW w:w="2268" w:type="dxa"/>
          </w:tcPr>
          <w:p w14:paraId="3D2F3A11" w14:textId="77777777" w:rsidR="003E3EB5" w:rsidRPr="006F5D9F" w:rsidRDefault="003E3EB5" w:rsidP="003E3EB5">
            <w:pPr>
              <w:pStyle w:val="Tabletext"/>
              <w:ind w:left="851"/>
              <w:rPr>
                <w:lang w:val="fr-CH"/>
              </w:rPr>
            </w:pPr>
            <w:r w:rsidRPr="006F5D9F">
              <w:rPr>
                <w:lang w:val="fr-CH"/>
              </w:rPr>
              <w:t>25</w:t>
            </w:r>
          </w:p>
        </w:tc>
        <w:tc>
          <w:tcPr>
            <w:tcW w:w="2268" w:type="dxa"/>
          </w:tcPr>
          <w:p w14:paraId="57D362A9" w14:textId="77777777" w:rsidR="003E3EB5" w:rsidRPr="006F5D9F" w:rsidRDefault="003E3EB5" w:rsidP="003E3EB5">
            <w:pPr>
              <w:pStyle w:val="Tabletext"/>
              <w:ind w:left="907"/>
              <w:rPr>
                <w:lang w:val="fr-CH"/>
              </w:rPr>
            </w:pPr>
            <w:r w:rsidRPr="006F5D9F">
              <w:rPr>
                <w:lang w:val="fr-CH"/>
              </w:rPr>
              <w:t>33</w:t>
            </w:r>
          </w:p>
        </w:tc>
      </w:tr>
      <w:tr w:rsidR="003E3EB5" w:rsidRPr="006F5D9F" w14:paraId="6AB321CC" w14:textId="77777777" w:rsidTr="003E3EB5">
        <w:tblPrEx>
          <w:tblCellMar>
            <w:top w:w="0" w:type="dxa"/>
            <w:bottom w:w="0" w:type="dxa"/>
          </w:tblCellMar>
        </w:tblPrEx>
        <w:trPr>
          <w:jc w:val="center"/>
        </w:trPr>
        <w:tc>
          <w:tcPr>
            <w:tcW w:w="2268" w:type="dxa"/>
          </w:tcPr>
          <w:p w14:paraId="4510D92D" w14:textId="77777777" w:rsidR="003E3EB5" w:rsidRPr="006F5D9F" w:rsidRDefault="003E3EB5" w:rsidP="003E3EB5">
            <w:pPr>
              <w:pStyle w:val="Tabletext"/>
              <w:ind w:left="851"/>
              <w:rPr>
                <w:lang w:val="fr-CH"/>
              </w:rPr>
            </w:pPr>
            <w:r w:rsidRPr="006F5D9F">
              <w:rPr>
                <w:lang w:val="fr-CH"/>
              </w:rPr>
              <w:t>37,5</w:t>
            </w:r>
          </w:p>
        </w:tc>
        <w:tc>
          <w:tcPr>
            <w:tcW w:w="2268" w:type="dxa"/>
          </w:tcPr>
          <w:p w14:paraId="326869E4" w14:textId="77777777" w:rsidR="003E3EB5" w:rsidRPr="006F5D9F" w:rsidRDefault="003E3EB5" w:rsidP="003E3EB5">
            <w:pPr>
              <w:pStyle w:val="Tabletext"/>
              <w:ind w:left="907"/>
              <w:rPr>
                <w:lang w:val="fr-CH"/>
              </w:rPr>
            </w:pPr>
            <w:r w:rsidRPr="006F5D9F">
              <w:rPr>
                <w:lang w:val="fr-CH"/>
              </w:rPr>
              <w:t>33</w:t>
            </w:r>
          </w:p>
        </w:tc>
      </w:tr>
    </w:tbl>
    <w:p w14:paraId="7524845F" w14:textId="77777777" w:rsidR="003E3EB5" w:rsidRPr="006F5D9F" w:rsidRDefault="003E3EB5" w:rsidP="003E3EB5">
      <w:pPr>
        <w:pStyle w:val="Tablefin"/>
        <w:rPr>
          <w:lang w:val="fr-CH"/>
        </w:rPr>
      </w:pPr>
    </w:p>
    <w:p w14:paraId="14F7149E" w14:textId="77777777" w:rsidR="003E3EB5" w:rsidRPr="006F5D9F" w:rsidRDefault="003E3EB5" w:rsidP="003E3EB5">
      <w:pPr>
        <w:pStyle w:val="Heading3"/>
        <w:rPr>
          <w:lang w:val="fr-CH" w:eastAsia="zh-CN"/>
        </w:rPr>
      </w:pPr>
      <w:r w:rsidRPr="006F5D9F">
        <w:rPr>
          <w:lang w:val="fr-CH" w:eastAsia="zh-CN"/>
        </w:rPr>
        <w:t>3.2.3</w:t>
      </w:r>
      <w:r w:rsidRPr="006F5D9F">
        <w:rPr>
          <w:lang w:val="fr-CH" w:eastAsia="zh-CN"/>
        </w:rPr>
        <w:tab/>
        <w:t>Aspects liés à l'isolement en fonction de la marge de protection contre les évanouissements</w:t>
      </w:r>
    </w:p>
    <w:p w14:paraId="65DEBEA6" w14:textId="77777777" w:rsidR="003E3EB5" w:rsidRPr="006F5D9F" w:rsidRDefault="003E3EB5" w:rsidP="003E3EB5">
      <w:pPr>
        <w:rPr>
          <w:lang w:val="fr-CH"/>
        </w:rPr>
      </w:pPr>
      <w:r w:rsidRPr="006F5D9F">
        <w:rPr>
          <w:lang w:val="fr-CH"/>
        </w:rPr>
        <w:t xml:space="preserve">Au moyen des paramètres indiqués dans les Tableaux 1 et 2 et de l'autre procédure décrite au § 2.4, on obtient l'isolement requis, </w:t>
      </w:r>
      <w:r w:rsidRPr="006F5D9F">
        <w:rPr>
          <w:i/>
          <w:lang w:val="fr-CH"/>
        </w:rPr>
        <w:t>L</w:t>
      </w:r>
      <w:r w:rsidRPr="006F5D9F">
        <w:rPr>
          <w:i/>
          <w:vertAlign w:val="subscript"/>
          <w:lang w:val="fr-CH"/>
        </w:rPr>
        <w:t>I</w:t>
      </w:r>
      <w:r w:rsidRPr="006F5D9F">
        <w:rPr>
          <w:lang w:val="fr-CH"/>
        </w:rPr>
        <w:t xml:space="preserve">, en fonction de la marge de protection contre les évanouissements suivant une distribution </w:t>
      </w:r>
      <w:r w:rsidRPr="006F5D9F">
        <w:rPr>
          <w:lang w:val="fr-CH" w:eastAsia="ko-KR"/>
        </w:rPr>
        <w:t>log</w:t>
      </w:r>
      <w:r w:rsidRPr="006F5D9F">
        <w:rPr>
          <w:lang w:val="fr-CH" w:eastAsia="ko-KR"/>
        </w:rPr>
        <w:noBreakHyphen/>
        <w:t xml:space="preserve">normale, représenté dans le </w:t>
      </w:r>
      <w:r w:rsidRPr="006F5D9F">
        <w:rPr>
          <w:lang w:val="fr-CH"/>
        </w:rPr>
        <w:t>Tableau 4.</w:t>
      </w:r>
    </w:p>
    <w:p w14:paraId="2D44CA8F" w14:textId="77777777" w:rsidR="003E3EB5" w:rsidRPr="006F5D9F" w:rsidRDefault="003E3EB5" w:rsidP="003E3EB5">
      <w:pPr>
        <w:pStyle w:val="TableNo"/>
        <w:rPr>
          <w:lang w:val="fr-CH"/>
        </w:rPr>
      </w:pPr>
      <w:r w:rsidRPr="006F5D9F">
        <w:rPr>
          <w:lang w:val="fr-CH"/>
        </w:rPr>
        <w:t>TABLEAU 4</w:t>
      </w:r>
    </w:p>
    <w:p w14:paraId="431BAB23" w14:textId="77777777" w:rsidR="003E3EB5" w:rsidRPr="006F5D9F" w:rsidRDefault="003E3EB5" w:rsidP="003E3EB5">
      <w:pPr>
        <w:pStyle w:val="Tabletitle"/>
        <w:rPr>
          <w:lang w:val="fr-CH"/>
        </w:rPr>
      </w:pPr>
      <w:r w:rsidRPr="006F5D9F">
        <w:rPr>
          <w:lang w:val="fr-CH"/>
        </w:rPr>
        <w:t xml:space="preserve">Isolement requis, </w:t>
      </w:r>
      <w:r w:rsidRPr="006F5D9F">
        <w:rPr>
          <w:i/>
          <w:iCs/>
          <w:lang w:val="fr-CH"/>
        </w:rPr>
        <w:t>L</w:t>
      </w:r>
      <w:r w:rsidRPr="006F5D9F">
        <w:rPr>
          <w:i/>
          <w:iCs/>
          <w:vertAlign w:val="subscript"/>
          <w:lang w:val="fr-CH"/>
        </w:rPr>
        <w:t>I</w:t>
      </w:r>
      <w:r w:rsidRPr="006F5D9F">
        <w:rPr>
          <w:rFonts w:ascii="Times New Roman Bold" w:hAnsi="Times New Roman Bold"/>
          <w:i/>
          <w:iCs/>
          <w:szCs w:val="24"/>
          <w:lang w:val="fr-CH"/>
        </w:rPr>
        <w:t xml:space="preserve"> </w:t>
      </w:r>
      <w:r w:rsidRPr="006F5D9F">
        <w:rPr>
          <w:lang w:val="fr-CH"/>
        </w:rPr>
        <w:t xml:space="preserve">(dB), en fonction de la marge de protection contre </w:t>
      </w:r>
      <w:r w:rsidRPr="006F5D9F">
        <w:rPr>
          <w:lang w:val="fr-CH"/>
        </w:rPr>
        <w:br/>
        <w:t xml:space="preserve">les évanouissements suivant une distribution log-normale, </w:t>
      </w:r>
      <w:r w:rsidRPr="006F5D9F">
        <w:rPr>
          <w:i/>
          <w:iCs/>
          <w:lang w:val="fr-CH"/>
        </w:rPr>
        <w:t xml:space="preserve">N </w:t>
      </w:r>
      <w:r w:rsidRPr="006F5D9F">
        <w:rPr>
          <w:lang w:val="fr-CH"/>
        </w:rPr>
        <w:t>(dB)</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1701"/>
        <w:gridCol w:w="1701"/>
        <w:gridCol w:w="1701"/>
      </w:tblGrid>
      <w:tr w:rsidR="003E3EB5" w:rsidRPr="006F5D9F" w14:paraId="10C95742" w14:textId="77777777" w:rsidTr="003E3EB5">
        <w:tblPrEx>
          <w:tblCellMar>
            <w:top w:w="0" w:type="dxa"/>
            <w:bottom w:w="0" w:type="dxa"/>
          </w:tblCellMar>
        </w:tblPrEx>
        <w:trPr>
          <w:jc w:val="center"/>
        </w:trPr>
        <w:tc>
          <w:tcPr>
            <w:tcW w:w="1701" w:type="dxa"/>
            <w:vMerge w:val="restart"/>
            <w:tcBorders>
              <w:top w:val="single" w:sz="6" w:space="0" w:color="auto"/>
              <w:left w:val="single" w:sz="6" w:space="0" w:color="auto"/>
              <w:right w:val="single" w:sz="6" w:space="0" w:color="auto"/>
            </w:tcBorders>
          </w:tcPr>
          <w:p w14:paraId="178139BB" w14:textId="77777777" w:rsidR="003E3EB5" w:rsidRPr="006F5D9F" w:rsidRDefault="003E3EB5" w:rsidP="003E3EB5">
            <w:pPr>
              <w:pStyle w:val="Tabletext"/>
              <w:jc w:val="center"/>
              <w:rPr>
                <w:b/>
                <w:lang w:val="fr-CH"/>
              </w:rPr>
            </w:pPr>
            <w:r w:rsidRPr="006F5D9F">
              <w:rPr>
                <w:b/>
                <w:szCs w:val="22"/>
                <w:lang w:val="fr-CH"/>
              </w:rPr>
              <w:sym w:font="Symbol" w:char="F044"/>
            </w:r>
            <w:proofErr w:type="gramStart"/>
            <w:r w:rsidRPr="006F5D9F">
              <w:rPr>
                <w:b/>
                <w:i/>
                <w:szCs w:val="22"/>
                <w:lang w:val="fr-CH"/>
              </w:rPr>
              <w:t>f</w:t>
            </w:r>
            <w:proofErr w:type="gramEnd"/>
            <w:r w:rsidRPr="006F5D9F">
              <w:rPr>
                <w:rFonts w:eastAsia="Batang"/>
                <w:b/>
                <w:i/>
                <w:szCs w:val="22"/>
                <w:lang w:val="fr-CH" w:eastAsia="ko-KR"/>
              </w:rPr>
              <w:t xml:space="preserve"> </w:t>
            </w:r>
            <w:r w:rsidRPr="006F5D9F">
              <w:rPr>
                <w:rFonts w:eastAsia="Batang"/>
                <w:b/>
                <w:i/>
                <w:szCs w:val="22"/>
                <w:lang w:val="fr-CH" w:eastAsia="ko-KR"/>
              </w:rPr>
              <w:br/>
            </w:r>
            <w:r w:rsidRPr="006F5D9F">
              <w:rPr>
                <w:b/>
                <w:lang w:val="fr-CH"/>
              </w:rPr>
              <w:t>(kHz)</w:t>
            </w:r>
          </w:p>
        </w:tc>
        <w:tc>
          <w:tcPr>
            <w:tcW w:w="3402" w:type="dxa"/>
            <w:gridSpan w:val="2"/>
            <w:tcBorders>
              <w:top w:val="single" w:sz="6" w:space="0" w:color="auto"/>
              <w:left w:val="single" w:sz="6" w:space="0" w:color="auto"/>
              <w:bottom w:val="single" w:sz="6" w:space="0" w:color="auto"/>
              <w:right w:val="single" w:sz="6" w:space="0" w:color="auto"/>
            </w:tcBorders>
          </w:tcPr>
          <w:p w14:paraId="53907082" w14:textId="77777777" w:rsidR="003E3EB5" w:rsidRPr="006F5D9F" w:rsidRDefault="003E3EB5" w:rsidP="003E3EB5">
            <w:pPr>
              <w:pStyle w:val="Tabletext"/>
              <w:jc w:val="center"/>
              <w:rPr>
                <w:b/>
                <w:lang w:val="fr-CH"/>
              </w:rPr>
            </w:pPr>
            <w:r w:rsidRPr="006F5D9F">
              <w:rPr>
                <w:b/>
                <w:lang w:val="fr-CH"/>
              </w:rPr>
              <w:t>Cas 1</w:t>
            </w:r>
          </w:p>
        </w:tc>
        <w:tc>
          <w:tcPr>
            <w:tcW w:w="3402" w:type="dxa"/>
            <w:gridSpan w:val="2"/>
            <w:tcBorders>
              <w:top w:val="single" w:sz="6" w:space="0" w:color="auto"/>
              <w:left w:val="single" w:sz="6" w:space="0" w:color="auto"/>
              <w:bottom w:val="single" w:sz="6" w:space="0" w:color="auto"/>
              <w:right w:val="single" w:sz="6" w:space="0" w:color="auto"/>
            </w:tcBorders>
          </w:tcPr>
          <w:p w14:paraId="67390031" w14:textId="77777777" w:rsidR="003E3EB5" w:rsidRPr="006F5D9F" w:rsidRDefault="003E3EB5" w:rsidP="003E3EB5">
            <w:pPr>
              <w:pStyle w:val="Tabletext"/>
              <w:jc w:val="center"/>
              <w:rPr>
                <w:b/>
                <w:lang w:val="fr-CH"/>
              </w:rPr>
            </w:pPr>
            <w:r w:rsidRPr="006F5D9F">
              <w:rPr>
                <w:b/>
                <w:lang w:val="fr-CH"/>
              </w:rPr>
              <w:t>Cas 2</w:t>
            </w:r>
          </w:p>
        </w:tc>
      </w:tr>
      <w:tr w:rsidR="003E3EB5" w:rsidRPr="006F5D9F" w14:paraId="1CB2EECD" w14:textId="77777777" w:rsidTr="003E3EB5">
        <w:tblPrEx>
          <w:tblCellMar>
            <w:top w:w="0" w:type="dxa"/>
            <w:bottom w:w="0" w:type="dxa"/>
          </w:tblCellMar>
        </w:tblPrEx>
        <w:trPr>
          <w:jc w:val="center"/>
        </w:trPr>
        <w:tc>
          <w:tcPr>
            <w:tcW w:w="1701" w:type="dxa"/>
            <w:vMerge/>
            <w:tcBorders>
              <w:left w:val="single" w:sz="6" w:space="0" w:color="auto"/>
              <w:bottom w:val="single" w:sz="6" w:space="0" w:color="auto"/>
              <w:right w:val="single" w:sz="6" w:space="0" w:color="auto"/>
            </w:tcBorders>
          </w:tcPr>
          <w:p w14:paraId="17253155" w14:textId="77777777" w:rsidR="003E3EB5" w:rsidRPr="006F5D9F" w:rsidRDefault="003E3EB5" w:rsidP="003E3EB5">
            <w:pPr>
              <w:pStyle w:val="Tabletext"/>
              <w:jc w:val="center"/>
              <w:rPr>
                <w:lang w:val="fr-CH"/>
              </w:rPr>
            </w:pPr>
          </w:p>
        </w:tc>
        <w:tc>
          <w:tcPr>
            <w:tcW w:w="1701" w:type="dxa"/>
            <w:tcBorders>
              <w:top w:val="single" w:sz="6" w:space="0" w:color="auto"/>
              <w:left w:val="single" w:sz="6" w:space="0" w:color="auto"/>
              <w:bottom w:val="single" w:sz="6" w:space="0" w:color="auto"/>
              <w:right w:val="single" w:sz="6" w:space="0" w:color="auto"/>
            </w:tcBorders>
          </w:tcPr>
          <w:p w14:paraId="08E23FC2" w14:textId="77777777" w:rsidR="003E3EB5" w:rsidRPr="006F5D9F" w:rsidRDefault="003E3EB5" w:rsidP="003E3EB5">
            <w:pPr>
              <w:pStyle w:val="Tabletext"/>
              <w:jc w:val="center"/>
              <w:rPr>
                <w:lang w:val="fr-CH"/>
              </w:rPr>
            </w:pPr>
            <w:r w:rsidRPr="006F5D9F">
              <w:rPr>
                <w:i/>
                <w:lang w:val="fr-CH"/>
              </w:rPr>
              <w:t>N</w:t>
            </w:r>
            <w:r w:rsidRPr="006F5D9F">
              <w:rPr>
                <w:lang w:val="fr-CH"/>
              </w:rPr>
              <w:t xml:space="preserve"> = 3</w:t>
            </w:r>
          </w:p>
        </w:tc>
        <w:tc>
          <w:tcPr>
            <w:tcW w:w="1701" w:type="dxa"/>
            <w:tcBorders>
              <w:top w:val="single" w:sz="6" w:space="0" w:color="auto"/>
              <w:left w:val="single" w:sz="6" w:space="0" w:color="auto"/>
              <w:bottom w:val="single" w:sz="6" w:space="0" w:color="auto"/>
              <w:right w:val="single" w:sz="6" w:space="0" w:color="auto"/>
            </w:tcBorders>
          </w:tcPr>
          <w:p w14:paraId="6AB49997" w14:textId="77777777" w:rsidR="003E3EB5" w:rsidRPr="006F5D9F" w:rsidRDefault="003E3EB5" w:rsidP="003E3EB5">
            <w:pPr>
              <w:pStyle w:val="Tabletext"/>
              <w:jc w:val="center"/>
              <w:rPr>
                <w:lang w:val="fr-CH"/>
              </w:rPr>
            </w:pPr>
            <w:r w:rsidRPr="006F5D9F">
              <w:rPr>
                <w:i/>
                <w:lang w:val="fr-CH"/>
              </w:rPr>
              <w:t>N</w:t>
            </w:r>
            <w:r w:rsidRPr="006F5D9F">
              <w:rPr>
                <w:lang w:val="fr-CH"/>
              </w:rPr>
              <w:t xml:space="preserve"> = 10</w:t>
            </w:r>
          </w:p>
        </w:tc>
        <w:tc>
          <w:tcPr>
            <w:tcW w:w="1701" w:type="dxa"/>
            <w:tcBorders>
              <w:top w:val="single" w:sz="6" w:space="0" w:color="auto"/>
              <w:left w:val="single" w:sz="6" w:space="0" w:color="auto"/>
              <w:bottom w:val="single" w:sz="6" w:space="0" w:color="auto"/>
              <w:right w:val="single" w:sz="6" w:space="0" w:color="auto"/>
            </w:tcBorders>
          </w:tcPr>
          <w:p w14:paraId="2D7524D3" w14:textId="77777777" w:rsidR="003E3EB5" w:rsidRPr="006F5D9F" w:rsidRDefault="003E3EB5" w:rsidP="003E3EB5">
            <w:pPr>
              <w:pStyle w:val="Tabletext"/>
              <w:jc w:val="center"/>
              <w:rPr>
                <w:lang w:val="fr-CH"/>
              </w:rPr>
            </w:pPr>
            <w:r w:rsidRPr="006F5D9F">
              <w:rPr>
                <w:i/>
                <w:lang w:val="fr-CH"/>
              </w:rPr>
              <w:t>N</w:t>
            </w:r>
            <w:r w:rsidRPr="006F5D9F">
              <w:rPr>
                <w:lang w:val="fr-CH"/>
              </w:rPr>
              <w:t xml:space="preserve"> = 3</w:t>
            </w:r>
          </w:p>
        </w:tc>
        <w:tc>
          <w:tcPr>
            <w:tcW w:w="1701" w:type="dxa"/>
            <w:tcBorders>
              <w:top w:val="single" w:sz="6" w:space="0" w:color="auto"/>
              <w:left w:val="single" w:sz="6" w:space="0" w:color="auto"/>
              <w:bottom w:val="single" w:sz="6" w:space="0" w:color="auto"/>
              <w:right w:val="single" w:sz="6" w:space="0" w:color="auto"/>
            </w:tcBorders>
          </w:tcPr>
          <w:p w14:paraId="02128CDF" w14:textId="77777777" w:rsidR="003E3EB5" w:rsidRPr="006F5D9F" w:rsidRDefault="003E3EB5" w:rsidP="003E3EB5">
            <w:pPr>
              <w:pStyle w:val="Tabletext"/>
              <w:jc w:val="center"/>
              <w:rPr>
                <w:lang w:val="fr-CH"/>
              </w:rPr>
            </w:pPr>
            <w:r w:rsidRPr="006F5D9F">
              <w:rPr>
                <w:i/>
                <w:lang w:val="fr-CH"/>
              </w:rPr>
              <w:t>N</w:t>
            </w:r>
            <w:r w:rsidRPr="006F5D9F">
              <w:rPr>
                <w:lang w:val="fr-CH"/>
              </w:rPr>
              <w:t xml:space="preserve"> = 10</w:t>
            </w:r>
          </w:p>
        </w:tc>
      </w:tr>
      <w:tr w:rsidR="003E3EB5" w:rsidRPr="006F5D9F" w14:paraId="11E77CFC" w14:textId="77777777" w:rsidTr="003E3EB5">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14:paraId="177FF343" w14:textId="77777777" w:rsidR="003E3EB5" w:rsidRPr="006F5D9F" w:rsidRDefault="003E3EB5" w:rsidP="003E3EB5">
            <w:pPr>
              <w:pStyle w:val="Tabletext"/>
              <w:jc w:val="center"/>
              <w:rPr>
                <w:lang w:val="fr-CH"/>
              </w:rPr>
            </w:pPr>
            <w:r w:rsidRPr="006F5D9F">
              <w:rPr>
                <w:lang w:val="fr-CH"/>
              </w:rPr>
              <w:t>0</w:t>
            </w:r>
          </w:p>
          <w:p w14:paraId="22A41214" w14:textId="77777777" w:rsidR="003E3EB5" w:rsidRPr="006F5D9F" w:rsidRDefault="003E3EB5" w:rsidP="003E3EB5">
            <w:pPr>
              <w:pStyle w:val="Tabletext"/>
              <w:ind w:left="567"/>
              <w:rPr>
                <w:lang w:val="fr-CH"/>
              </w:rPr>
            </w:pPr>
            <w:r w:rsidRPr="006F5D9F">
              <w:rPr>
                <w:lang w:val="fr-CH"/>
              </w:rPr>
              <w:t>12,5</w:t>
            </w:r>
          </w:p>
          <w:p w14:paraId="0B5660B6" w14:textId="77777777" w:rsidR="003E3EB5" w:rsidRPr="006F5D9F" w:rsidRDefault="003E3EB5" w:rsidP="003E3EB5">
            <w:pPr>
              <w:pStyle w:val="Tabletext"/>
              <w:ind w:left="567"/>
              <w:rPr>
                <w:lang w:val="fr-CH"/>
              </w:rPr>
            </w:pPr>
            <w:r w:rsidRPr="006F5D9F">
              <w:rPr>
                <w:lang w:val="fr-CH"/>
              </w:rPr>
              <w:t>25</w:t>
            </w:r>
          </w:p>
          <w:p w14:paraId="0BC8D89F" w14:textId="77777777" w:rsidR="003E3EB5" w:rsidRPr="006F5D9F" w:rsidRDefault="003E3EB5" w:rsidP="003E3EB5">
            <w:pPr>
              <w:pStyle w:val="Tabletext"/>
              <w:ind w:left="567"/>
              <w:rPr>
                <w:lang w:val="fr-CH"/>
              </w:rPr>
            </w:pPr>
            <w:r w:rsidRPr="006F5D9F">
              <w:rPr>
                <w:lang w:val="fr-CH"/>
              </w:rPr>
              <w:t>37,5</w:t>
            </w:r>
          </w:p>
        </w:tc>
        <w:tc>
          <w:tcPr>
            <w:tcW w:w="1701" w:type="dxa"/>
            <w:tcBorders>
              <w:top w:val="single" w:sz="6" w:space="0" w:color="auto"/>
              <w:left w:val="single" w:sz="6" w:space="0" w:color="auto"/>
              <w:bottom w:val="single" w:sz="6" w:space="0" w:color="auto"/>
              <w:right w:val="single" w:sz="6" w:space="0" w:color="auto"/>
            </w:tcBorders>
          </w:tcPr>
          <w:p w14:paraId="332B0F93" w14:textId="77777777" w:rsidR="003E3EB5" w:rsidRPr="006F5D9F" w:rsidRDefault="003E3EB5" w:rsidP="003E3EB5">
            <w:pPr>
              <w:pStyle w:val="Tabletext"/>
              <w:jc w:val="center"/>
              <w:rPr>
                <w:lang w:val="fr-CH"/>
              </w:rPr>
            </w:pPr>
            <w:r w:rsidRPr="006F5D9F">
              <w:rPr>
                <w:lang w:val="fr-CH"/>
              </w:rPr>
              <w:t>183,02</w:t>
            </w:r>
          </w:p>
          <w:p w14:paraId="16013CA4" w14:textId="77777777" w:rsidR="003E3EB5" w:rsidRPr="006F5D9F" w:rsidRDefault="003E3EB5" w:rsidP="003E3EB5">
            <w:pPr>
              <w:pStyle w:val="Tabletext"/>
              <w:jc w:val="center"/>
              <w:rPr>
                <w:lang w:val="fr-CH"/>
              </w:rPr>
            </w:pPr>
            <w:r w:rsidRPr="006F5D9F">
              <w:rPr>
                <w:lang w:val="fr-CH"/>
              </w:rPr>
              <w:t>156,62</w:t>
            </w:r>
          </w:p>
          <w:p w14:paraId="488028EF" w14:textId="77777777" w:rsidR="003E3EB5" w:rsidRPr="006F5D9F" w:rsidRDefault="003E3EB5" w:rsidP="003E3EB5">
            <w:pPr>
              <w:pStyle w:val="Tabletext"/>
              <w:jc w:val="center"/>
              <w:rPr>
                <w:lang w:val="fr-CH"/>
              </w:rPr>
            </w:pPr>
            <w:r w:rsidRPr="006F5D9F">
              <w:rPr>
                <w:lang w:val="fr-CH"/>
              </w:rPr>
              <w:t>125,32</w:t>
            </w:r>
          </w:p>
          <w:p w14:paraId="77AF2BFE" w14:textId="77777777" w:rsidR="003E3EB5" w:rsidRPr="006F5D9F" w:rsidRDefault="003E3EB5" w:rsidP="003E3EB5">
            <w:pPr>
              <w:pStyle w:val="Tabletext"/>
              <w:jc w:val="center"/>
              <w:rPr>
                <w:lang w:val="fr-CH"/>
              </w:rPr>
            </w:pPr>
            <w:r w:rsidRPr="006F5D9F">
              <w:rPr>
                <w:lang w:val="fr-CH"/>
              </w:rPr>
              <w:t>125,32</w:t>
            </w:r>
          </w:p>
        </w:tc>
        <w:tc>
          <w:tcPr>
            <w:tcW w:w="1701" w:type="dxa"/>
            <w:tcBorders>
              <w:top w:val="single" w:sz="6" w:space="0" w:color="auto"/>
              <w:left w:val="single" w:sz="6" w:space="0" w:color="auto"/>
              <w:bottom w:val="single" w:sz="6" w:space="0" w:color="auto"/>
              <w:right w:val="single" w:sz="6" w:space="0" w:color="auto"/>
            </w:tcBorders>
          </w:tcPr>
          <w:p w14:paraId="1637A0F1" w14:textId="77777777" w:rsidR="003E3EB5" w:rsidRPr="006F5D9F" w:rsidRDefault="003E3EB5" w:rsidP="003E3EB5">
            <w:pPr>
              <w:pStyle w:val="Tabletext"/>
              <w:jc w:val="center"/>
              <w:rPr>
                <w:lang w:val="fr-CH"/>
              </w:rPr>
            </w:pPr>
            <w:r w:rsidRPr="006F5D9F">
              <w:rPr>
                <w:lang w:val="fr-CH"/>
              </w:rPr>
              <w:t>173,46</w:t>
            </w:r>
          </w:p>
          <w:p w14:paraId="6F260627" w14:textId="77777777" w:rsidR="003E3EB5" w:rsidRPr="006F5D9F" w:rsidRDefault="003E3EB5" w:rsidP="003E3EB5">
            <w:pPr>
              <w:pStyle w:val="Tabletext"/>
              <w:jc w:val="center"/>
              <w:rPr>
                <w:lang w:val="fr-CH"/>
              </w:rPr>
            </w:pPr>
            <w:r w:rsidRPr="006F5D9F">
              <w:rPr>
                <w:lang w:val="fr-CH"/>
              </w:rPr>
              <w:t>147,06</w:t>
            </w:r>
          </w:p>
          <w:p w14:paraId="20C706BF" w14:textId="77777777" w:rsidR="003E3EB5" w:rsidRPr="006F5D9F" w:rsidRDefault="003E3EB5" w:rsidP="003E3EB5">
            <w:pPr>
              <w:pStyle w:val="Tabletext"/>
              <w:jc w:val="center"/>
              <w:rPr>
                <w:lang w:val="fr-CH"/>
              </w:rPr>
            </w:pPr>
            <w:r w:rsidRPr="006F5D9F">
              <w:rPr>
                <w:lang w:val="fr-CH"/>
              </w:rPr>
              <w:t>115,76</w:t>
            </w:r>
          </w:p>
          <w:p w14:paraId="0E5A9B8A" w14:textId="77777777" w:rsidR="003E3EB5" w:rsidRPr="006F5D9F" w:rsidRDefault="003E3EB5" w:rsidP="003E3EB5">
            <w:pPr>
              <w:pStyle w:val="Tabletext"/>
              <w:jc w:val="center"/>
              <w:rPr>
                <w:lang w:val="fr-CH"/>
              </w:rPr>
            </w:pPr>
            <w:r w:rsidRPr="006F5D9F">
              <w:rPr>
                <w:lang w:val="fr-CH"/>
              </w:rPr>
              <w:t>115,76</w:t>
            </w:r>
          </w:p>
        </w:tc>
        <w:tc>
          <w:tcPr>
            <w:tcW w:w="1701" w:type="dxa"/>
            <w:tcBorders>
              <w:top w:val="single" w:sz="6" w:space="0" w:color="auto"/>
              <w:left w:val="single" w:sz="6" w:space="0" w:color="auto"/>
              <w:bottom w:val="single" w:sz="6" w:space="0" w:color="auto"/>
              <w:right w:val="single" w:sz="6" w:space="0" w:color="auto"/>
            </w:tcBorders>
          </w:tcPr>
          <w:p w14:paraId="450DC1EB" w14:textId="77777777" w:rsidR="003E3EB5" w:rsidRPr="006F5D9F" w:rsidRDefault="003E3EB5" w:rsidP="003E3EB5">
            <w:pPr>
              <w:pStyle w:val="Tabletext"/>
              <w:jc w:val="center"/>
              <w:rPr>
                <w:lang w:val="fr-CH"/>
              </w:rPr>
            </w:pPr>
            <w:r w:rsidRPr="006F5D9F">
              <w:rPr>
                <w:lang w:val="fr-CH"/>
              </w:rPr>
              <w:t>183,02</w:t>
            </w:r>
          </w:p>
          <w:p w14:paraId="3BD52478" w14:textId="77777777" w:rsidR="003E3EB5" w:rsidRPr="006F5D9F" w:rsidRDefault="003E3EB5" w:rsidP="003E3EB5">
            <w:pPr>
              <w:pStyle w:val="Tabletext"/>
              <w:jc w:val="center"/>
              <w:rPr>
                <w:lang w:val="fr-CH"/>
              </w:rPr>
            </w:pPr>
            <w:r w:rsidRPr="006F5D9F">
              <w:rPr>
                <w:lang w:val="fr-CH"/>
              </w:rPr>
              <w:t>154,02</w:t>
            </w:r>
          </w:p>
          <w:p w14:paraId="7AE4F019" w14:textId="77777777" w:rsidR="003E3EB5" w:rsidRPr="006F5D9F" w:rsidRDefault="003E3EB5" w:rsidP="003E3EB5">
            <w:pPr>
              <w:pStyle w:val="Tabletext"/>
              <w:jc w:val="center"/>
              <w:rPr>
                <w:lang w:val="fr-CH"/>
              </w:rPr>
            </w:pPr>
            <w:r w:rsidRPr="006F5D9F">
              <w:rPr>
                <w:lang w:val="fr-CH"/>
              </w:rPr>
              <w:t>124,22</w:t>
            </w:r>
          </w:p>
          <w:p w14:paraId="3BDBED7D" w14:textId="77777777" w:rsidR="003E3EB5" w:rsidRPr="006F5D9F" w:rsidRDefault="003E3EB5" w:rsidP="003E3EB5">
            <w:pPr>
              <w:pStyle w:val="Tabletext"/>
              <w:jc w:val="center"/>
              <w:rPr>
                <w:lang w:val="fr-CH"/>
              </w:rPr>
            </w:pPr>
            <w:r w:rsidRPr="006F5D9F">
              <w:rPr>
                <w:lang w:val="fr-CH"/>
              </w:rPr>
              <w:t>124,02</w:t>
            </w:r>
          </w:p>
        </w:tc>
        <w:tc>
          <w:tcPr>
            <w:tcW w:w="1701" w:type="dxa"/>
            <w:tcBorders>
              <w:top w:val="single" w:sz="6" w:space="0" w:color="auto"/>
              <w:left w:val="single" w:sz="6" w:space="0" w:color="auto"/>
              <w:bottom w:val="single" w:sz="6" w:space="0" w:color="auto"/>
              <w:right w:val="single" w:sz="6" w:space="0" w:color="auto"/>
            </w:tcBorders>
          </w:tcPr>
          <w:p w14:paraId="7F32985E" w14:textId="77777777" w:rsidR="003E3EB5" w:rsidRPr="006F5D9F" w:rsidRDefault="003E3EB5" w:rsidP="003E3EB5">
            <w:pPr>
              <w:pStyle w:val="Tabletext"/>
              <w:jc w:val="center"/>
              <w:rPr>
                <w:lang w:val="fr-CH"/>
              </w:rPr>
            </w:pPr>
            <w:r w:rsidRPr="006F5D9F">
              <w:rPr>
                <w:lang w:val="fr-CH"/>
              </w:rPr>
              <w:t>173,46</w:t>
            </w:r>
          </w:p>
          <w:p w14:paraId="530C44AF" w14:textId="77777777" w:rsidR="003E3EB5" w:rsidRPr="006F5D9F" w:rsidRDefault="003E3EB5" w:rsidP="003E3EB5">
            <w:pPr>
              <w:pStyle w:val="Tabletext"/>
              <w:jc w:val="center"/>
              <w:rPr>
                <w:lang w:val="fr-CH"/>
              </w:rPr>
            </w:pPr>
            <w:r w:rsidRPr="006F5D9F">
              <w:rPr>
                <w:lang w:val="fr-CH"/>
              </w:rPr>
              <w:t>144,46</w:t>
            </w:r>
          </w:p>
          <w:p w14:paraId="18B3D534" w14:textId="77777777" w:rsidR="003E3EB5" w:rsidRPr="006F5D9F" w:rsidRDefault="003E3EB5" w:rsidP="003E3EB5">
            <w:pPr>
              <w:pStyle w:val="Tabletext"/>
              <w:jc w:val="center"/>
              <w:rPr>
                <w:lang w:val="fr-CH"/>
              </w:rPr>
            </w:pPr>
            <w:r w:rsidRPr="006F5D9F">
              <w:rPr>
                <w:lang w:val="fr-CH"/>
              </w:rPr>
              <w:t>114,66</w:t>
            </w:r>
          </w:p>
          <w:p w14:paraId="4606E762" w14:textId="77777777" w:rsidR="003E3EB5" w:rsidRPr="006F5D9F" w:rsidRDefault="003E3EB5" w:rsidP="003E3EB5">
            <w:pPr>
              <w:pStyle w:val="Tabletext"/>
              <w:jc w:val="center"/>
              <w:rPr>
                <w:lang w:val="fr-CH"/>
              </w:rPr>
            </w:pPr>
            <w:r w:rsidRPr="006F5D9F">
              <w:rPr>
                <w:lang w:val="fr-CH"/>
              </w:rPr>
              <w:t>114,46</w:t>
            </w:r>
          </w:p>
        </w:tc>
      </w:tr>
      <w:tr w:rsidR="003E3EB5" w:rsidRPr="006F5D9F" w14:paraId="76308E21" w14:textId="77777777" w:rsidTr="003E3EB5">
        <w:tblPrEx>
          <w:tblCellMar>
            <w:top w:w="0" w:type="dxa"/>
            <w:bottom w:w="0" w:type="dxa"/>
          </w:tblCellMar>
        </w:tblPrEx>
        <w:trPr>
          <w:jc w:val="center"/>
        </w:trPr>
        <w:tc>
          <w:tcPr>
            <w:tcW w:w="8505" w:type="dxa"/>
            <w:gridSpan w:val="5"/>
            <w:tcBorders>
              <w:top w:val="single" w:sz="6" w:space="0" w:color="auto"/>
              <w:left w:val="nil"/>
              <w:bottom w:val="nil"/>
              <w:right w:val="nil"/>
            </w:tcBorders>
          </w:tcPr>
          <w:p w14:paraId="78B295FA" w14:textId="77777777" w:rsidR="003E3EB5" w:rsidRPr="006F5D9F" w:rsidRDefault="003E3EB5" w:rsidP="003E3EB5">
            <w:pPr>
              <w:pStyle w:val="Tablelegend"/>
              <w:rPr>
                <w:lang w:val="fr-CH"/>
              </w:rPr>
            </w:pPr>
            <w:r w:rsidRPr="006F5D9F">
              <w:rPr>
                <w:lang w:val="fr-CH"/>
              </w:rPr>
              <w:t xml:space="preserve">A noter que plus </w:t>
            </w:r>
            <w:r w:rsidRPr="006F5D9F">
              <w:rPr>
                <w:i/>
                <w:lang w:val="fr-CH"/>
              </w:rPr>
              <w:t>N</w:t>
            </w:r>
            <w:r w:rsidRPr="006F5D9F">
              <w:rPr>
                <w:lang w:val="fr-CH"/>
              </w:rPr>
              <w:t xml:space="preserve"> est grande moins l'isolement est important.</w:t>
            </w:r>
          </w:p>
        </w:tc>
      </w:tr>
    </w:tbl>
    <w:p w14:paraId="3FC980FF" w14:textId="77777777" w:rsidR="003E3EB5" w:rsidRPr="006F5D9F" w:rsidRDefault="003E3EB5" w:rsidP="003E3EB5">
      <w:pPr>
        <w:pStyle w:val="Tablefin"/>
        <w:rPr>
          <w:lang w:val="fr-CH"/>
        </w:rPr>
      </w:pPr>
    </w:p>
    <w:p w14:paraId="30669DF7" w14:textId="77777777" w:rsidR="003E3EB5" w:rsidRPr="006F5D9F" w:rsidRDefault="003E3EB5" w:rsidP="003E3EB5">
      <w:pPr>
        <w:pStyle w:val="Heading1"/>
        <w:rPr>
          <w:lang w:val="fr-CH"/>
        </w:rPr>
      </w:pPr>
      <w:r w:rsidRPr="006F5D9F">
        <w:rPr>
          <w:lang w:val="fr-CH"/>
        </w:rPr>
        <w:t>4</w:t>
      </w:r>
      <w:r w:rsidRPr="006F5D9F">
        <w:rPr>
          <w:lang w:val="fr-CH"/>
        </w:rPr>
        <w:tab/>
        <w:t>Caractéristique fréquence/distance applicable à l'intermodulation</w:t>
      </w:r>
    </w:p>
    <w:p w14:paraId="6BC6D2B6" w14:textId="77777777" w:rsidR="003E3EB5" w:rsidRPr="006F5D9F" w:rsidRDefault="003E3EB5" w:rsidP="003E3EB5">
      <w:pPr>
        <w:rPr>
          <w:lang w:val="fr-CH"/>
        </w:rPr>
      </w:pPr>
      <w:r w:rsidRPr="006F5D9F">
        <w:rPr>
          <w:lang w:val="fr-CH"/>
        </w:rPr>
        <w:t>Les systèmes mobiles terrestres sont affectés non seulement par les brouillages dans le même canal ou les brouillages dans le canal adjacent mais aussi par les brouillages imputables aux produits d'intermodulation. Dans le cas d'une intermodulation du troisième ordre entre deux signaux dans le récepteur, puisque deux émetteurs de station de base interviennent dans la formation d'un produit d'intermodulation, il existe un lien entre les distances minimales acceptables qui les séparent du récepteur brouillé.</w:t>
      </w:r>
    </w:p>
    <w:p w14:paraId="458E82FB" w14:textId="77777777" w:rsidR="003E3EB5" w:rsidRPr="006F5D9F" w:rsidRDefault="003E3EB5" w:rsidP="003E3EB5">
      <w:pPr>
        <w:rPr>
          <w:lang w:val="fr-CH"/>
        </w:rPr>
      </w:pPr>
      <w:r w:rsidRPr="006F5D9F">
        <w:rPr>
          <w:lang w:val="fr-CH"/>
        </w:rPr>
        <w:t>En partant de l'hypothèse que le gain d'antenne du récepteur est égal à l'affaiblissement total du récepteur, que la valeur moyenne du niveau minimal du signal utile pour obtenir une valeur de 12 dB pour le rapport SINAD en présence de bruit est de –</w:t>
      </w:r>
      <w:r w:rsidRPr="006F5D9F">
        <w:rPr>
          <w:sz w:val="4"/>
          <w:lang w:val="fr-CH"/>
        </w:rPr>
        <w:t> </w:t>
      </w:r>
      <w:r w:rsidRPr="006F5D9F">
        <w:rPr>
          <w:lang w:val="fr-CH"/>
        </w:rPr>
        <w:t>145 dBW, qu'on utilise un affaiblissement sur le trajet en espace libre et que tous les émetteurs ont une même p.i.r.e. égale à 20 dBW on peut se servir de la caractéristique fréquence/distance applicable à la bande 410</w:t>
      </w:r>
      <w:r w:rsidRPr="006F5D9F">
        <w:rPr>
          <w:lang w:val="fr-CH"/>
        </w:rPr>
        <w:noBreakHyphen/>
        <w:t xml:space="preserve">470 MHz pour prévoir les niveaux de puissance brouilleuse, au niveau du récepteur brouillé. Dans ce </w:t>
      </w:r>
      <w:proofErr w:type="gramStart"/>
      <w:r w:rsidRPr="006F5D9F">
        <w:rPr>
          <w:lang w:val="fr-CH"/>
        </w:rPr>
        <w:t>modèle:</w:t>
      </w:r>
      <w:proofErr w:type="gramEnd"/>
    </w:p>
    <w:p w14:paraId="0743C28F"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12"/>
          <w:lang w:val="fr-CH"/>
        </w:rPr>
        <w:object w:dxaOrig="3480" w:dyaOrig="360" w14:anchorId="4CF4BF7A">
          <v:shape id="_x0000_i1044" type="#_x0000_t75" style="width:173.45pt;height:18.25pt" o:ole="">
            <v:imagedata r:id="rId45" o:title=""/>
          </v:shape>
          <o:OLEObject Type="Embed" ProgID="Equation.3" ShapeID="_x0000_i1044" DrawAspect="Content" ObjectID="_1649068325" r:id="rId46"/>
        </w:object>
      </w:r>
      <w:r w:rsidRPr="006F5D9F">
        <w:rPr>
          <w:lang w:val="fr-CH"/>
        </w:rPr>
        <w:tab/>
        <w:t>(22)</w:t>
      </w:r>
    </w:p>
    <w:p w14:paraId="4D8BA697" w14:textId="77777777" w:rsidR="003E3EB5" w:rsidRPr="006F5D9F" w:rsidRDefault="003E3EB5" w:rsidP="003E3EB5">
      <w:pPr>
        <w:pStyle w:val="Equation"/>
        <w:rPr>
          <w:lang w:val="fr-CH" w:eastAsia="ko-KR"/>
        </w:rPr>
      </w:pPr>
      <w:proofErr w:type="gramStart"/>
      <w:r w:rsidRPr="006F5D9F">
        <w:rPr>
          <w:lang w:val="fr-CH"/>
        </w:rPr>
        <w:t>où:</w:t>
      </w:r>
      <w:proofErr w:type="gramEnd"/>
    </w:p>
    <w:p w14:paraId="0182C301" w14:textId="77777777" w:rsidR="003E3EB5" w:rsidRPr="006F5D9F" w:rsidRDefault="003E3EB5" w:rsidP="003E3EB5">
      <w:pPr>
        <w:pStyle w:val="Equationlegend"/>
        <w:rPr>
          <w:lang w:val="fr-CH"/>
        </w:rPr>
      </w:pPr>
      <w:r w:rsidRPr="006F5D9F">
        <w:rPr>
          <w:lang w:val="fr-CH"/>
        </w:rPr>
        <w:tab/>
      </w:r>
      <w:r w:rsidRPr="006F5D9F">
        <w:rPr>
          <w:i/>
          <w:lang w:val="fr-CH"/>
        </w:rPr>
        <w:t>P</w:t>
      </w:r>
      <w:r w:rsidRPr="006F5D9F">
        <w:rPr>
          <w:sz w:val="8"/>
          <w:lang w:val="fr-CH"/>
        </w:rPr>
        <w:t> </w:t>
      </w:r>
      <w:r w:rsidRPr="006F5D9F">
        <w:rPr>
          <w:lang w:val="fr-CH"/>
        </w:rPr>
        <w:t>:</w:t>
      </w:r>
      <w:r w:rsidRPr="006F5D9F">
        <w:rPr>
          <w:lang w:val="fr-CH"/>
        </w:rPr>
        <w:tab/>
        <w:t>niveau de puissance brouilleuse résultant (dBW) dans le récepteur brouillé</w:t>
      </w:r>
    </w:p>
    <w:p w14:paraId="107FB02B" w14:textId="77777777" w:rsidR="003E3EB5" w:rsidRPr="006F5D9F" w:rsidRDefault="003E3EB5" w:rsidP="003E3EB5">
      <w:pPr>
        <w:pStyle w:val="Equationlegend"/>
        <w:rPr>
          <w:lang w:val="fr-CH"/>
        </w:rPr>
      </w:pPr>
      <w:r w:rsidRPr="006F5D9F">
        <w:rPr>
          <w:lang w:val="fr-CH"/>
        </w:rPr>
        <w:tab/>
      </w:r>
      <w:r w:rsidRPr="006F5D9F">
        <w:rPr>
          <w:i/>
          <w:lang w:val="fr-CH"/>
        </w:rPr>
        <w:t>P</w:t>
      </w:r>
      <w:r w:rsidRPr="006F5D9F">
        <w:rPr>
          <w:i/>
          <w:position w:val="-4"/>
          <w:sz w:val="16"/>
          <w:lang w:val="fr-CH"/>
        </w:rPr>
        <w:t>N</w:t>
      </w:r>
      <w:r w:rsidRPr="006F5D9F">
        <w:rPr>
          <w:sz w:val="8"/>
          <w:lang w:val="fr-CH"/>
        </w:rPr>
        <w:t> </w:t>
      </w:r>
      <w:r w:rsidRPr="006F5D9F">
        <w:rPr>
          <w:lang w:val="fr-CH"/>
        </w:rPr>
        <w:t>:</w:t>
      </w:r>
      <w:r w:rsidRPr="006F5D9F">
        <w:rPr>
          <w:lang w:val="fr-CH"/>
        </w:rPr>
        <w:tab/>
        <w:t>puissance reçue (dBW) de l'émetteur dont la fréquence est la plus proche de la fréquence du récepteur brouillé</w:t>
      </w:r>
    </w:p>
    <w:p w14:paraId="0D961AF2" w14:textId="77777777" w:rsidR="003E3EB5" w:rsidRPr="006F5D9F" w:rsidRDefault="003E3EB5" w:rsidP="003E3EB5">
      <w:pPr>
        <w:pStyle w:val="Equationlegend"/>
        <w:rPr>
          <w:lang w:val="fr-CH"/>
        </w:rPr>
      </w:pPr>
      <w:r w:rsidRPr="006F5D9F">
        <w:rPr>
          <w:lang w:val="fr-CH"/>
        </w:rPr>
        <w:tab/>
      </w:r>
      <w:r w:rsidRPr="006F5D9F">
        <w:rPr>
          <w:i/>
          <w:lang w:val="fr-CH"/>
        </w:rPr>
        <w:t>P</w:t>
      </w:r>
      <w:r w:rsidRPr="006F5D9F">
        <w:rPr>
          <w:i/>
          <w:position w:val="-4"/>
          <w:sz w:val="16"/>
          <w:lang w:val="fr-CH"/>
        </w:rPr>
        <w:t>F</w:t>
      </w:r>
      <w:r w:rsidRPr="006F5D9F">
        <w:rPr>
          <w:sz w:val="8"/>
          <w:lang w:val="fr-CH"/>
        </w:rPr>
        <w:t> </w:t>
      </w:r>
      <w:r w:rsidRPr="006F5D9F">
        <w:rPr>
          <w:lang w:val="fr-CH"/>
        </w:rPr>
        <w:t>:</w:t>
      </w:r>
      <w:r w:rsidRPr="006F5D9F">
        <w:rPr>
          <w:lang w:val="fr-CH"/>
        </w:rPr>
        <w:tab/>
        <w:t>puissance reçue (dBW) de l'émetteur dont la fréquence est la plus éloignée de la fréquence du récepteur brouillé</w:t>
      </w:r>
    </w:p>
    <w:p w14:paraId="5294732B" w14:textId="77777777" w:rsidR="003E3EB5" w:rsidRPr="006F5D9F" w:rsidRDefault="003E3EB5" w:rsidP="003E3EB5">
      <w:pPr>
        <w:pStyle w:val="Equationlegend"/>
        <w:rPr>
          <w:lang w:val="fr-CH"/>
        </w:rPr>
      </w:pPr>
      <w:r w:rsidRPr="006F5D9F">
        <w:rPr>
          <w:lang w:val="fr-CH"/>
        </w:rPr>
        <w:tab/>
      </w:r>
      <w:r w:rsidRPr="006F5D9F">
        <w:rPr>
          <w:rFonts w:ascii="Symbol" w:hAnsi="Symbol"/>
          <w:lang w:val="fr-CH"/>
        </w:rPr>
        <w:t></w:t>
      </w:r>
      <w:r w:rsidRPr="006F5D9F">
        <w:rPr>
          <w:i/>
          <w:lang w:val="fr-CH"/>
        </w:rPr>
        <w:t>f</w:t>
      </w:r>
      <w:r w:rsidRPr="006F5D9F">
        <w:rPr>
          <w:sz w:val="8"/>
          <w:lang w:val="fr-CH"/>
        </w:rPr>
        <w:t> </w:t>
      </w:r>
      <w:r w:rsidRPr="006F5D9F">
        <w:rPr>
          <w:lang w:val="fr-CH"/>
        </w:rPr>
        <w:t>:</w:t>
      </w:r>
      <w:r w:rsidRPr="006F5D9F">
        <w:rPr>
          <w:lang w:val="fr-CH"/>
        </w:rPr>
        <w:tab/>
        <w:t>séparation en fréquence entre la fréquence de l'émetteur proche et celle de l'émetteur distant (MHz).</w:t>
      </w:r>
    </w:p>
    <w:p w14:paraId="24131220" w14:textId="77777777" w:rsidR="003E3EB5" w:rsidRPr="006F5D9F" w:rsidRDefault="003E3EB5" w:rsidP="003E3EB5">
      <w:pPr>
        <w:rPr>
          <w:lang w:val="fr-CH"/>
        </w:rPr>
      </w:pPr>
      <w:r w:rsidRPr="006F5D9F">
        <w:rPr>
          <w:lang w:val="fr-CH"/>
        </w:rPr>
        <w:t xml:space="preserve">Avec une fréquence porteuse de 460 MHz, on observerait une intermodulation du troisième ordre entre deux signaux </w:t>
      </w:r>
      <w:proofErr w:type="gramStart"/>
      <w:r w:rsidRPr="006F5D9F">
        <w:rPr>
          <w:lang w:val="fr-CH"/>
        </w:rPr>
        <w:t>si:</w:t>
      </w:r>
      <w:proofErr w:type="gramEnd"/>
    </w:p>
    <w:p w14:paraId="0AAB1B29" w14:textId="77777777" w:rsidR="003E3EB5" w:rsidRPr="006F5D9F" w:rsidRDefault="003E3EB5" w:rsidP="003E3EB5">
      <w:pPr>
        <w:pStyle w:val="Equation"/>
        <w:rPr>
          <w:lang w:val="fr-CH"/>
        </w:rPr>
      </w:pPr>
      <w:r w:rsidRPr="006F5D9F">
        <w:rPr>
          <w:lang w:val="fr-CH"/>
        </w:rPr>
        <w:tab/>
      </w:r>
      <w:r w:rsidRPr="006F5D9F">
        <w:rPr>
          <w:lang w:val="fr-CH"/>
        </w:rPr>
        <w:tab/>
      </w:r>
      <w:r w:rsidRPr="006F5D9F">
        <w:rPr>
          <w:position w:val="-10"/>
          <w:sz w:val="20"/>
          <w:lang w:val="fr-CH"/>
        </w:rPr>
        <w:object w:dxaOrig="1240" w:dyaOrig="320" w14:anchorId="64627E0A">
          <v:shape id="_x0000_i1045" type="#_x0000_t75" style="width:62.2pt;height:15.9pt" o:ole="">
            <v:imagedata r:id="rId47" o:title=""/>
          </v:shape>
          <o:OLEObject Type="Embed" ProgID="Equation.3" ShapeID="_x0000_i1045" DrawAspect="Content" ObjectID="_1649068326" r:id="rId48"/>
        </w:object>
      </w:r>
      <w:r w:rsidRPr="006F5D9F">
        <w:rPr>
          <w:position w:val="-4"/>
          <w:lang w:val="fr-CH"/>
        </w:rPr>
        <w:tab/>
        <w:t>(23)</w:t>
      </w:r>
    </w:p>
    <w:p w14:paraId="613DBCF3" w14:textId="77777777" w:rsidR="003E3EB5" w:rsidRPr="006F5D9F" w:rsidRDefault="003E3EB5" w:rsidP="003E3EB5">
      <w:pPr>
        <w:rPr>
          <w:lang w:val="fr-CH"/>
        </w:rPr>
      </w:pPr>
      <w:proofErr w:type="gramStart"/>
      <w:r w:rsidRPr="006F5D9F">
        <w:rPr>
          <w:lang w:val="fr-CH"/>
        </w:rPr>
        <w:t>où</w:t>
      </w:r>
      <w:proofErr w:type="gramEnd"/>
      <w:r w:rsidRPr="006F5D9F">
        <w:rPr>
          <w:lang w:val="fr-CH"/>
        </w:rPr>
        <w:t xml:space="preserve"> </w:t>
      </w:r>
      <w:r w:rsidRPr="006F5D9F">
        <w:rPr>
          <w:i/>
          <w:lang w:val="fr-CH"/>
        </w:rPr>
        <w:t>d</w:t>
      </w:r>
      <w:r w:rsidRPr="006F5D9F">
        <w:rPr>
          <w:lang w:val="fr-CH"/>
        </w:rPr>
        <w:t xml:space="preserve"> est la distance séparant une station en service et une station que l'on se propose d'exploiter. On a supposé une marge de protection de 6 dB entre le niveau de puissance brouilleuse et le niveau minimal de puissance utile. On pourra trouver des informations utiles dans la Recommandation UIT-R SM.1134. Étant donné que la station que l'on se propose d'exploiter </w:t>
      </w:r>
      <w:proofErr w:type="gramStart"/>
      <w:r w:rsidRPr="006F5D9F">
        <w:rPr>
          <w:lang w:val="fr-CH"/>
        </w:rPr>
        <w:t>peut être</w:t>
      </w:r>
      <w:proofErr w:type="gramEnd"/>
      <w:r w:rsidRPr="006F5D9F">
        <w:rPr>
          <w:lang w:val="fr-CH"/>
        </w:rPr>
        <w:t xml:space="preserve"> concernée par l'apparition d'un produit d'intermodulation, soit comme récepteur brouillé soit comme émetteur distant ou comme émetteur proche, il faut, pour déterminer la caractéristique fréquence-distance décrite à la Fig. 2, utiliser la courbe B avec la courbe A. La zone au-dessus de la courbe correspond aux situations de brouillage </w:t>
      </w:r>
      <w:proofErr w:type="gramStart"/>
      <w:r w:rsidRPr="006F5D9F">
        <w:rPr>
          <w:lang w:val="fr-CH"/>
        </w:rPr>
        <w:t>admissibles;</w:t>
      </w:r>
      <w:proofErr w:type="gramEnd"/>
      <w:r w:rsidRPr="006F5D9F">
        <w:rPr>
          <w:lang w:val="fr-CH"/>
        </w:rPr>
        <w:t xml:space="preserve"> celle située en dessous de la courbe correspond à des situations de brouillage potentielles.</w:t>
      </w:r>
    </w:p>
    <w:p w14:paraId="188693F1" w14:textId="77777777" w:rsidR="003E3EB5" w:rsidRPr="006F5D9F" w:rsidRDefault="004D7895" w:rsidP="003E3EB5">
      <w:pPr>
        <w:pStyle w:val="FigureNo"/>
        <w:rPr>
          <w:lang w:val="fr-CH"/>
        </w:rPr>
      </w:pPr>
      <w:r w:rsidRPr="006F5D9F">
        <w:rPr>
          <w:lang w:val="fr-CH"/>
        </w:rPr>
        <w:object w:dxaOrig="8002" w:dyaOrig="8800" w14:anchorId="318A33DB">
          <v:shape id="_x0000_i1046" type="#_x0000_t75" style="width:399.75pt;height:440.4pt" o:ole="">
            <v:imagedata r:id="rId49" o:title=""/>
          </v:shape>
          <o:OLEObject Type="Embed" ProgID="CorelDRAW.Graphic.12" ShapeID="_x0000_i1046" DrawAspect="Content" ObjectID="_1649068327" r:id="rId50"/>
        </w:object>
      </w:r>
    </w:p>
    <w:p w14:paraId="7DE639F9" w14:textId="77777777" w:rsidR="003E3EB5" w:rsidRPr="006F5D9F" w:rsidRDefault="003E3EB5" w:rsidP="00746369">
      <w:pPr>
        <w:pStyle w:val="Heading1"/>
        <w:spacing w:before="240"/>
        <w:rPr>
          <w:lang w:val="fr-CH"/>
        </w:rPr>
      </w:pPr>
      <w:r w:rsidRPr="006F5D9F">
        <w:rPr>
          <w:lang w:val="fr-CH"/>
        </w:rPr>
        <w:t>5</w:t>
      </w:r>
      <w:r w:rsidRPr="006F5D9F">
        <w:rPr>
          <w:lang w:val="fr-CH"/>
        </w:rPr>
        <w:tab/>
        <w:t>Conclusions</w:t>
      </w:r>
    </w:p>
    <w:p w14:paraId="044AF2DB" w14:textId="77777777" w:rsidR="00A6617B" w:rsidRDefault="003E3EB5" w:rsidP="004D7895">
      <w:pPr>
        <w:rPr>
          <w:lang w:val="fr-CH"/>
        </w:rPr>
      </w:pPr>
      <w:r w:rsidRPr="006F5D9F">
        <w:rPr>
          <w:lang w:val="fr-CH"/>
        </w:rPr>
        <w:t>Pour attribuer une fréquence à une station nouvelle que l'on se propose d'exploiter, il faut tout d'abord évaluer les brouillages dans le même canal et les brouillages dans les canaux adjacents en utilisant les caractéristiques fréquence-distance appropriées. Une fois que ces caractéristiques sont respectées, les stations exploitées susceptibles d'être concernées par un brouillage d'intermodulation avec la station que l'on se propose d'exploiter sont alors examinées sur la base de la caractéristique fréquence-distance applicable à l'intermodulation. Une analyse détaillée est ensuite faite si ces caractéristiques ne sont pas respectées. Il convient de noter que les analyses figurant dans la présente Recommandation ne tiennent pas compte des obstacles artificiels ou naturels.</w:t>
      </w:r>
    </w:p>
    <w:p w14:paraId="4A537687" w14:textId="77777777" w:rsidR="00746369" w:rsidRPr="005E5925" w:rsidRDefault="00746369" w:rsidP="004D7895">
      <w:pPr>
        <w:rPr>
          <w:rFonts w:ascii="Symbol" w:hAnsi="Symbol"/>
          <w:lang w:val="fr-CH"/>
        </w:rPr>
      </w:pPr>
    </w:p>
    <w:p w14:paraId="7EF6F101" w14:textId="77777777" w:rsidR="004D7895" w:rsidRDefault="004D7895" w:rsidP="004D7895">
      <w:pPr>
        <w:pStyle w:val="Line"/>
      </w:pPr>
    </w:p>
    <w:sectPr w:rsidR="004D7895">
      <w:headerReference w:type="even" r:id="rId51"/>
      <w:headerReference w:type="default" r:id="rId5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0A94" w14:textId="77777777" w:rsidR="001D25B5" w:rsidRDefault="001D25B5">
      <w:r>
        <w:separator/>
      </w:r>
    </w:p>
  </w:endnote>
  <w:endnote w:type="continuationSeparator" w:id="0">
    <w:p w14:paraId="6822D46A" w14:textId="77777777" w:rsidR="001D25B5" w:rsidRDefault="001D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1374" w14:textId="77777777" w:rsidR="001D25B5" w:rsidRDefault="001D25B5">
      <w:r>
        <w:separator/>
      </w:r>
    </w:p>
  </w:footnote>
  <w:footnote w:type="continuationSeparator" w:id="0">
    <w:p w14:paraId="5446981D" w14:textId="77777777" w:rsidR="001D25B5" w:rsidRDefault="001D25B5">
      <w:r>
        <w:continuationSeparator/>
      </w:r>
    </w:p>
  </w:footnote>
  <w:footnote w:id="1">
    <w:p w14:paraId="049A9208" w14:textId="2F2C1896" w:rsidR="006775E3" w:rsidRPr="006775E3" w:rsidRDefault="006775E3" w:rsidP="003230AF">
      <w:pPr>
        <w:pStyle w:val="FootnoteText"/>
        <w:spacing w:before="0"/>
      </w:pPr>
      <w:r>
        <w:rPr>
          <w:rStyle w:val="FootnoteReference"/>
        </w:rPr>
        <w:t>*</w:t>
      </w:r>
      <w:r>
        <w:t xml:space="preserve"> </w:t>
      </w:r>
      <w:r>
        <w:tab/>
      </w:r>
      <w:r w:rsidRPr="006775E3">
        <w:t>La Commission d'études 1 des radiocommunications a apporté des modifications rédactionnelles à la présente Recommandation en 201</w:t>
      </w:r>
      <w:r>
        <w:t>8</w:t>
      </w:r>
      <w:r w:rsidRPr="006775E3">
        <w:t xml:space="preserve"> et en 2019 conformément aux dispositions de la Résolution UIT</w:t>
      </w:r>
      <w:r w:rsidRPr="006775E3">
        <w:noBreakHyphen/>
        <w:t>R 1.</w:t>
      </w:r>
    </w:p>
  </w:footnote>
  <w:footnote w:id="2">
    <w:p w14:paraId="14B0424D" w14:textId="77777777" w:rsidR="001D25B5" w:rsidRPr="00D77DD7" w:rsidRDefault="001D25B5" w:rsidP="003E3EB5">
      <w:pPr>
        <w:pStyle w:val="FootnoteText"/>
        <w:rPr>
          <w:lang w:val="fr-CH"/>
        </w:rPr>
      </w:pPr>
      <w:r>
        <w:rPr>
          <w:rStyle w:val="FootnoteReference"/>
        </w:rPr>
        <w:footnoteRef/>
      </w:r>
      <w:r>
        <w:t xml:space="preserve"> </w:t>
      </w:r>
      <w:r>
        <w:rPr>
          <w:lang w:val="fr-CH"/>
        </w:rPr>
        <w:tab/>
        <w:t xml:space="preserve">En situation réelle, la distance entre l'antenne du </w:t>
      </w:r>
      <w:r w:rsidRPr="00D77DD7">
        <w:rPr>
          <w:iCs/>
          <w:lang w:val="fr-CH"/>
        </w:rPr>
        <w:t>système</w:t>
      </w:r>
      <w:r>
        <w:rPr>
          <w:lang w:val="fr-CH"/>
        </w:rPr>
        <w:t xml:space="preserve"> brouilleur et l'antenne du récepteur victime peut être mesurée entre les bordures les plus proches des deux </w:t>
      </w:r>
      <w:r w:rsidRPr="00D77DD7">
        <w:rPr>
          <w:iCs/>
          <w:lang w:val="fr-CH"/>
        </w:rPr>
        <w:t>système</w:t>
      </w:r>
      <w:r>
        <w:rPr>
          <w:lang w:val="fr-CH"/>
        </w:rPr>
        <w:t>s d'antenne, pour plus de commodité.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CC11" w14:textId="5E1D8E13" w:rsidR="001D25B5" w:rsidRDefault="001D25B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05B2B">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3230AF">
      <w:rPr>
        <w:b/>
        <w:bCs/>
        <w:noProof/>
        <w:lang w:val="en-US"/>
      </w:rPr>
      <w:t>UIT-R  SM.337-6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3124" w14:textId="6E2B08FE" w:rsidR="001D25B5" w:rsidRDefault="001D25B5">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3230AF">
      <w:rPr>
        <w:b/>
        <w:bCs/>
        <w:noProof/>
      </w:rPr>
      <w:t>UIT-R  SM.337-6</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B05B2B">
      <w:rPr>
        <w:rStyle w:val="PageNumber"/>
        <w:b/>
        <w:bCs/>
        <w:noProof/>
      </w:rPr>
      <w:t>13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CH"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0D1"/>
    <w:rsid w:val="000A22D8"/>
    <w:rsid w:val="001D25B5"/>
    <w:rsid w:val="001F1D91"/>
    <w:rsid w:val="00286CA7"/>
    <w:rsid w:val="002D2D9F"/>
    <w:rsid w:val="002D76C4"/>
    <w:rsid w:val="003230AF"/>
    <w:rsid w:val="003E3EB5"/>
    <w:rsid w:val="004A6A14"/>
    <w:rsid w:val="004D7895"/>
    <w:rsid w:val="005E5925"/>
    <w:rsid w:val="00607D68"/>
    <w:rsid w:val="006775E3"/>
    <w:rsid w:val="006F51A5"/>
    <w:rsid w:val="00746369"/>
    <w:rsid w:val="007468DA"/>
    <w:rsid w:val="007F2F42"/>
    <w:rsid w:val="00A010D1"/>
    <w:rsid w:val="00A6617B"/>
    <w:rsid w:val="00AB0DC8"/>
    <w:rsid w:val="00B05B2B"/>
    <w:rsid w:val="00B44E24"/>
    <w:rsid w:val="00DF4176"/>
    <w:rsid w:val="00E3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879ED3"/>
  <w15:chartTrackingRefBased/>
  <w15:docId w15:val="{A6B46A76-5D51-4E04-853C-51CD2E6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A1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4A6A14"/>
    <w:pPr>
      <w:keepNext/>
      <w:keepLines/>
      <w:spacing w:before="480"/>
      <w:ind w:left="794" w:hanging="794"/>
      <w:outlineLvl w:val="0"/>
    </w:pPr>
    <w:rPr>
      <w:b/>
    </w:rPr>
  </w:style>
  <w:style w:type="paragraph" w:styleId="Heading2">
    <w:name w:val="heading 2"/>
    <w:basedOn w:val="Heading1"/>
    <w:next w:val="Normal"/>
    <w:qFormat/>
    <w:rsid w:val="004A6A14"/>
    <w:pPr>
      <w:spacing w:before="320"/>
      <w:outlineLvl w:val="1"/>
    </w:pPr>
  </w:style>
  <w:style w:type="paragraph" w:styleId="Heading3">
    <w:name w:val="heading 3"/>
    <w:basedOn w:val="Heading1"/>
    <w:next w:val="Normal"/>
    <w:qFormat/>
    <w:rsid w:val="004A6A14"/>
    <w:pPr>
      <w:spacing w:before="200"/>
      <w:outlineLvl w:val="2"/>
    </w:pPr>
  </w:style>
  <w:style w:type="paragraph" w:styleId="Heading4">
    <w:name w:val="heading 4"/>
    <w:basedOn w:val="Heading3"/>
    <w:next w:val="Normal"/>
    <w:qFormat/>
    <w:rsid w:val="004A6A14"/>
    <w:pPr>
      <w:tabs>
        <w:tab w:val="clear" w:pos="794"/>
        <w:tab w:val="left" w:pos="992"/>
      </w:tabs>
      <w:ind w:left="992" w:hanging="992"/>
      <w:outlineLvl w:val="3"/>
    </w:pPr>
  </w:style>
  <w:style w:type="paragraph" w:styleId="Heading5">
    <w:name w:val="heading 5"/>
    <w:basedOn w:val="Heading4"/>
    <w:next w:val="Normal"/>
    <w:qFormat/>
    <w:rsid w:val="004A6A14"/>
    <w:pPr>
      <w:outlineLvl w:val="4"/>
    </w:pPr>
  </w:style>
  <w:style w:type="paragraph" w:styleId="Heading6">
    <w:name w:val="heading 6"/>
    <w:basedOn w:val="Heading4"/>
    <w:next w:val="Normal"/>
    <w:qFormat/>
    <w:rsid w:val="004A6A14"/>
    <w:pPr>
      <w:tabs>
        <w:tab w:val="clear" w:pos="992"/>
        <w:tab w:val="clear" w:pos="1191"/>
      </w:tabs>
      <w:ind w:left="1588" w:hanging="1588"/>
      <w:outlineLvl w:val="5"/>
    </w:pPr>
  </w:style>
  <w:style w:type="paragraph" w:styleId="Heading7">
    <w:name w:val="heading 7"/>
    <w:basedOn w:val="Heading6"/>
    <w:next w:val="Normal"/>
    <w:qFormat/>
    <w:rsid w:val="004A6A14"/>
    <w:pPr>
      <w:outlineLvl w:val="6"/>
    </w:pPr>
  </w:style>
  <w:style w:type="paragraph" w:styleId="Heading8">
    <w:name w:val="heading 8"/>
    <w:basedOn w:val="Heading6"/>
    <w:next w:val="Normal"/>
    <w:qFormat/>
    <w:rsid w:val="004A6A14"/>
    <w:pPr>
      <w:outlineLvl w:val="7"/>
    </w:pPr>
  </w:style>
  <w:style w:type="paragraph" w:styleId="Heading9">
    <w:name w:val="heading 9"/>
    <w:basedOn w:val="Heading6"/>
    <w:next w:val="Normal"/>
    <w:qFormat/>
    <w:rsid w:val="004A6A14"/>
    <w:pPr>
      <w:jc w:val="left"/>
      <w:outlineLvl w:val="8"/>
    </w:pPr>
  </w:style>
  <w:style w:type="character" w:default="1" w:styleId="DefaultParagraphFont">
    <w:name w:val="Default Paragraph Font"/>
    <w:semiHidden/>
    <w:rsid w:val="004A6A1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A6A14"/>
  </w:style>
  <w:style w:type="paragraph" w:styleId="Header">
    <w:name w:val="header"/>
    <w:basedOn w:val="Normal"/>
    <w:rsid w:val="004A6A1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4A6A1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4A6A14"/>
  </w:style>
  <w:style w:type="paragraph" w:customStyle="1" w:styleId="Headingb">
    <w:name w:val="Heading_b"/>
    <w:basedOn w:val="Heading3"/>
    <w:next w:val="Normal"/>
    <w:link w:val="HeadingbChar"/>
    <w:qFormat/>
    <w:rsid w:val="004A6A14"/>
    <w:pPr>
      <w:spacing w:before="160"/>
      <w:ind w:left="0" w:firstLine="0"/>
      <w:outlineLvl w:val="9"/>
    </w:pPr>
  </w:style>
  <w:style w:type="paragraph" w:customStyle="1" w:styleId="Headingi">
    <w:name w:val="Heading_i"/>
    <w:basedOn w:val="Heading3"/>
    <w:next w:val="Normal"/>
    <w:rsid w:val="004A6A14"/>
    <w:pPr>
      <w:spacing w:before="160"/>
      <w:ind w:left="0" w:firstLine="0"/>
    </w:pPr>
    <w:rPr>
      <w:b w:val="0"/>
      <w:i/>
    </w:rPr>
  </w:style>
  <w:style w:type="character" w:customStyle="1" w:styleId="href">
    <w:name w:val="href"/>
    <w:basedOn w:val="DefaultParagraphFont"/>
    <w:rsid w:val="004A6A14"/>
  </w:style>
  <w:style w:type="paragraph" w:customStyle="1" w:styleId="enumlev1">
    <w:name w:val="enumlev1"/>
    <w:basedOn w:val="Normal"/>
    <w:rsid w:val="004A6A14"/>
    <w:pPr>
      <w:spacing w:before="80"/>
      <w:ind w:left="794" w:hanging="794"/>
    </w:pPr>
  </w:style>
  <w:style w:type="paragraph" w:customStyle="1" w:styleId="enumlev2">
    <w:name w:val="enumlev2"/>
    <w:basedOn w:val="enumlev1"/>
    <w:rsid w:val="004A6A14"/>
    <w:pPr>
      <w:ind w:left="1191" w:hanging="397"/>
    </w:pPr>
  </w:style>
  <w:style w:type="paragraph" w:customStyle="1" w:styleId="enumlev3">
    <w:name w:val="enumlev3"/>
    <w:basedOn w:val="enumlev2"/>
    <w:rsid w:val="004A6A14"/>
    <w:pPr>
      <w:ind w:left="1588"/>
    </w:pPr>
  </w:style>
  <w:style w:type="paragraph" w:customStyle="1" w:styleId="Normalaftertitle">
    <w:name w:val="Normal_after_title"/>
    <w:basedOn w:val="Normal"/>
    <w:next w:val="Normal"/>
    <w:rsid w:val="004A6A14"/>
    <w:pPr>
      <w:spacing w:before="320"/>
    </w:pPr>
  </w:style>
  <w:style w:type="paragraph" w:customStyle="1" w:styleId="Note">
    <w:name w:val="Note"/>
    <w:basedOn w:val="Normal"/>
    <w:rsid w:val="004A6A14"/>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4A6A1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4A6A14"/>
    <w:pPr>
      <w:spacing w:before="240"/>
    </w:pPr>
    <w:rPr>
      <w:sz w:val="22"/>
      <w:lang w:val="es-ES_tradnl"/>
    </w:rPr>
  </w:style>
  <w:style w:type="paragraph" w:customStyle="1" w:styleId="Recref">
    <w:name w:val="Rec_ref"/>
    <w:basedOn w:val="Normal"/>
    <w:next w:val="Recdate"/>
    <w:rsid w:val="004A6A14"/>
    <w:pPr>
      <w:jc w:val="center"/>
    </w:pPr>
  </w:style>
  <w:style w:type="paragraph" w:customStyle="1" w:styleId="Recdate">
    <w:name w:val="Rec_date"/>
    <w:basedOn w:val="Recref"/>
    <w:next w:val="Normalaftertitle"/>
    <w:rsid w:val="004A6A14"/>
    <w:pPr>
      <w:jc w:val="right"/>
    </w:pPr>
  </w:style>
  <w:style w:type="paragraph" w:customStyle="1" w:styleId="AnnexNoTitle">
    <w:name w:val="Annex_NoTitle"/>
    <w:basedOn w:val="Normal"/>
    <w:next w:val="Normalaftertitle"/>
    <w:rsid w:val="003230AF"/>
    <w:pPr>
      <w:keepNext/>
      <w:keepLines/>
      <w:spacing w:before="480" w:after="80"/>
      <w:jc w:val="center"/>
      <w:outlineLvl w:val="0"/>
    </w:pPr>
    <w:rPr>
      <w:b/>
      <w:sz w:val="28"/>
    </w:rPr>
  </w:style>
  <w:style w:type="paragraph" w:customStyle="1" w:styleId="AppendixNoTitle">
    <w:name w:val="Appendix_NoTitle"/>
    <w:basedOn w:val="AnnexNoTitle"/>
    <w:next w:val="Normal"/>
    <w:rsid w:val="004A6A14"/>
  </w:style>
  <w:style w:type="paragraph" w:customStyle="1" w:styleId="Tablefin">
    <w:name w:val="Table_fin"/>
    <w:basedOn w:val="Normal"/>
    <w:next w:val="Normal"/>
    <w:rsid w:val="004A6A14"/>
    <w:pPr>
      <w:spacing w:before="0"/>
    </w:pPr>
    <w:rPr>
      <w:sz w:val="20"/>
      <w:lang w:val="en-GB"/>
    </w:rPr>
  </w:style>
  <w:style w:type="paragraph" w:customStyle="1" w:styleId="Tablehead">
    <w:name w:val="Table_head"/>
    <w:basedOn w:val="Normal"/>
    <w:next w:val="Normal"/>
    <w:rsid w:val="004A6A14"/>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A6A14"/>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A6A14"/>
    <w:pPr>
      <w:keepNext/>
      <w:spacing w:before="360" w:after="120"/>
      <w:jc w:val="center"/>
    </w:pPr>
  </w:style>
  <w:style w:type="paragraph" w:customStyle="1" w:styleId="Tabletext">
    <w:name w:val="Table_text"/>
    <w:basedOn w:val="Normal"/>
    <w:rsid w:val="004A6A14"/>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4A6A14"/>
    <w:pPr>
      <w:tabs>
        <w:tab w:val="clear" w:pos="1191"/>
        <w:tab w:val="clear" w:pos="1588"/>
        <w:tab w:val="clear" w:pos="1985"/>
        <w:tab w:val="center" w:pos="4820"/>
        <w:tab w:val="right" w:pos="9639"/>
      </w:tabs>
    </w:pPr>
  </w:style>
  <w:style w:type="paragraph" w:customStyle="1" w:styleId="Equationlegend">
    <w:name w:val="Equation_legend"/>
    <w:basedOn w:val="NormalIndent"/>
    <w:rsid w:val="004A6A14"/>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rsid w:val="004A6A14"/>
    <w:pPr>
      <w:ind w:left="794"/>
    </w:pPr>
  </w:style>
  <w:style w:type="paragraph" w:customStyle="1" w:styleId="Figurelegend">
    <w:name w:val="Figure_legend"/>
    <w:basedOn w:val="Normal"/>
    <w:rsid w:val="004A6A1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A6A14"/>
    <w:pPr>
      <w:keepNext/>
      <w:keepLines/>
      <w:spacing w:before="480" w:after="80"/>
      <w:jc w:val="center"/>
    </w:pPr>
    <w:rPr>
      <w:caps/>
      <w:sz w:val="18"/>
    </w:rPr>
  </w:style>
  <w:style w:type="paragraph" w:customStyle="1" w:styleId="tocpart">
    <w:name w:val="tocpart"/>
    <w:basedOn w:val="Normal"/>
    <w:rsid w:val="004A6A1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A6A14"/>
    <w:pPr>
      <w:keepNext/>
      <w:keepLines/>
      <w:spacing w:before="480"/>
      <w:jc w:val="center"/>
    </w:pPr>
    <w:rPr>
      <w:sz w:val="28"/>
    </w:rPr>
  </w:style>
  <w:style w:type="paragraph" w:customStyle="1" w:styleId="Arttitle">
    <w:name w:val="Art_title"/>
    <w:basedOn w:val="Normal"/>
    <w:next w:val="Normalaftertitle"/>
    <w:rsid w:val="004A6A14"/>
    <w:pPr>
      <w:keepNext/>
      <w:keepLines/>
      <w:spacing w:before="240"/>
      <w:jc w:val="center"/>
    </w:pPr>
    <w:rPr>
      <w:b/>
      <w:sz w:val="28"/>
    </w:rPr>
  </w:style>
  <w:style w:type="paragraph" w:customStyle="1" w:styleId="Blanc">
    <w:name w:val="Blanc"/>
    <w:basedOn w:val="Normal"/>
    <w:next w:val="Tabletext"/>
    <w:rsid w:val="004A6A1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4A6A1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A6A14"/>
    <w:pPr>
      <w:keepNext/>
      <w:keepLines/>
      <w:spacing w:before="160"/>
      <w:ind w:left="794"/>
    </w:pPr>
    <w:rPr>
      <w:i/>
    </w:rPr>
  </w:style>
  <w:style w:type="paragraph" w:customStyle="1" w:styleId="ChapNo">
    <w:name w:val="Chap_No"/>
    <w:basedOn w:val="ArtNo"/>
    <w:next w:val="Chaptitle"/>
    <w:rsid w:val="004A6A14"/>
    <w:rPr>
      <w:b/>
    </w:rPr>
  </w:style>
  <w:style w:type="paragraph" w:customStyle="1" w:styleId="Chaptitle">
    <w:name w:val="Chap_title"/>
    <w:basedOn w:val="Arttitle"/>
    <w:next w:val="Normalaftertitle"/>
    <w:rsid w:val="004A6A14"/>
  </w:style>
  <w:style w:type="character" w:styleId="FootnoteReference">
    <w:name w:val="footnote reference"/>
    <w:basedOn w:val="DefaultParagraphFont"/>
    <w:semiHidden/>
    <w:rsid w:val="004A6A14"/>
    <w:rPr>
      <w:position w:val="6"/>
      <w:sz w:val="18"/>
    </w:rPr>
  </w:style>
  <w:style w:type="paragraph" w:styleId="FootnoteText">
    <w:name w:val="footnote text"/>
    <w:basedOn w:val="Normal"/>
    <w:semiHidden/>
    <w:rsid w:val="004A6A14"/>
    <w:pPr>
      <w:keepLines/>
      <w:tabs>
        <w:tab w:val="left" w:pos="255"/>
      </w:tabs>
      <w:ind w:left="255" w:hanging="255"/>
    </w:pPr>
    <w:rPr>
      <w:sz w:val="22"/>
    </w:rPr>
  </w:style>
  <w:style w:type="paragraph" w:styleId="Index1">
    <w:name w:val="index 1"/>
    <w:basedOn w:val="Normal"/>
    <w:next w:val="Normal"/>
    <w:semiHidden/>
    <w:rsid w:val="004A6A14"/>
  </w:style>
  <w:style w:type="paragraph" w:styleId="Index2">
    <w:name w:val="index 2"/>
    <w:basedOn w:val="Normal"/>
    <w:next w:val="Normal"/>
    <w:semiHidden/>
    <w:rsid w:val="004A6A14"/>
    <w:pPr>
      <w:ind w:left="283"/>
    </w:pPr>
  </w:style>
  <w:style w:type="paragraph" w:styleId="Index3">
    <w:name w:val="index 3"/>
    <w:basedOn w:val="Normal"/>
    <w:next w:val="Normal"/>
    <w:semiHidden/>
    <w:rsid w:val="004A6A14"/>
    <w:pPr>
      <w:ind w:left="566"/>
    </w:pPr>
  </w:style>
  <w:style w:type="paragraph" w:styleId="IndexHeading">
    <w:name w:val="index heading"/>
    <w:basedOn w:val="Normal"/>
    <w:next w:val="Index1"/>
    <w:semiHidden/>
    <w:rsid w:val="004A6A14"/>
  </w:style>
  <w:style w:type="paragraph" w:customStyle="1" w:styleId="Line">
    <w:name w:val="Line"/>
    <w:basedOn w:val="Normal"/>
    <w:next w:val="Normal"/>
    <w:rsid w:val="004A6A1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4A6A1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A6A14"/>
  </w:style>
  <w:style w:type="paragraph" w:customStyle="1" w:styleId="Partref">
    <w:name w:val="Part_ref"/>
    <w:basedOn w:val="Normal"/>
    <w:next w:val="Normal"/>
    <w:rsid w:val="004A6A14"/>
    <w:pPr>
      <w:keepNext/>
      <w:keepLines/>
      <w:spacing w:after="280"/>
      <w:jc w:val="center"/>
    </w:pPr>
  </w:style>
  <w:style w:type="paragraph" w:customStyle="1" w:styleId="Parttitle">
    <w:name w:val="Part_title"/>
    <w:basedOn w:val="Normal"/>
    <w:next w:val="Normalaftertitle"/>
    <w:rsid w:val="004A6A1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A6A14"/>
  </w:style>
  <w:style w:type="paragraph" w:customStyle="1" w:styleId="QuestionNo">
    <w:name w:val="Question_No"/>
    <w:basedOn w:val="RecNo"/>
    <w:next w:val="Normal"/>
    <w:rsid w:val="004A6A14"/>
  </w:style>
  <w:style w:type="paragraph" w:customStyle="1" w:styleId="Questionref">
    <w:name w:val="Question_ref"/>
    <w:basedOn w:val="Recref"/>
    <w:next w:val="Questiondate"/>
    <w:rsid w:val="004A6A14"/>
  </w:style>
  <w:style w:type="paragraph" w:customStyle="1" w:styleId="Questiontitle">
    <w:name w:val="Question_title"/>
    <w:basedOn w:val="Normal"/>
    <w:next w:val="Questionref"/>
    <w:rsid w:val="004A6A14"/>
  </w:style>
  <w:style w:type="paragraph" w:customStyle="1" w:styleId="Reftext">
    <w:name w:val="Ref_text"/>
    <w:basedOn w:val="Normal"/>
    <w:rsid w:val="004A6A14"/>
    <w:pPr>
      <w:ind w:left="794" w:hanging="794"/>
    </w:pPr>
    <w:rPr>
      <w:sz w:val="22"/>
    </w:rPr>
  </w:style>
  <w:style w:type="paragraph" w:customStyle="1" w:styleId="Reftitle">
    <w:name w:val="Ref_title"/>
    <w:basedOn w:val="Normal"/>
    <w:next w:val="Reftext"/>
    <w:rsid w:val="004A6A1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A6A14"/>
  </w:style>
  <w:style w:type="paragraph" w:customStyle="1" w:styleId="RepNo">
    <w:name w:val="Rep_No"/>
    <w:basedOn w:val="RecNo"/>
    <w:next w:val="Reptitle"/>
    <w:rsid w:val="004A6A14"/>
  </w:style>
  <w:style w:type="paragraph" w:customStyle="1" w:styleId="Repref">
    <w:name w:val="Rep_ref"/>
    <w:basedOn w:val="Recref"/>
    <w:next w:val="Repdate"/>
    <w:rsid w:val="004A6A14"/>
  </w:style>
  <w:style w:type="paragraph" w:customStyle="1" w:styleId="Reptitle">
    <w:name w:val="Rep_title"/>
    <w:basedOn w:val="Rectitle"/>
    <w:next w:val="Repref"/>
    <w:rsid w:val="004A6A14"/>
  </w:style>
  <w:style w:type="paragraph" w:customStyle="1" w:styleId="Resdate">
    <w:name w:val="Res_date"/>
    <w:basedOn w:val="Recdate"/>
    <w:next w:val="Normalaftertitle"/>
    <w:rsid w:val="004A6A14"/>
  </w:style>
  <w:style w:type="paragraph" w:customStyle="1" w:styleId="ResNo">
    <w:name w:val="Res_No"/>
    <w:basedOn w:val="RecNo"/>
    <w:next w:val="Restitle"/>
    <w:rsid w:val="004A6A14"/>
  </w:style>
  <w:style w:type="paragraph" w:customStyle="1" w:styleId="Resref">
    <w:name w:val="Res_ref"/>
    <w:basedOn w:val="Recref"/>
    <w:next w:val="Resdate"/>
    <w:rsid w:val="004A6A14"/>
  </w:style>
  <w:style w:type="paragraph" w:customStyle="1" w:styleId="Restitle">
    <w:name w:val="Res_title"/>
    <w:basedOn w:val="Normal"/>
    <w:next w:val="Resref"/>
    <w:rsid w:val="004A6A14"/>
    <w:pPr>
      <w:spacing w:before="240"/>
      <w:jc w:val="center"/>
    </w:pPr>
    <w:rPr>
      <w:b/>
      <w:sz w:val="28"/>
    </w:rPr>
  </w:style>
  <w:style w:type="paragraph" w:customStyle="1" w:styleId="SectionNo">
    <w:name w:val="Section_No"/>
    <w:basedOn w:val="Normal"/>
    <w:next w:val="Normal"/>
    <w:rsid w:val="004A6A14"/>
  </w:style>
  <w:style w:type="paragraph" w:customStyle="1" w:styleId="Sectiontitle">
    <w:name w:val="Section_title"/>
    <w:basedOn w:val="Normal"/>
    <w:next w:val="Normalaftertitle"/>
    <w:rsid w:val="004A6A1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A6A14"/>
    <w:pPr>
      <w:tabs>
        <w:tab w:val="clear" w:pos="794"/>
        <w:tab w:val="clear" w:pos="1191"/>
        <w:tab w:val="clear" w:pos="1588"/>
        <w:tab w:val="clear" w:pos="1985"/>
        <w:tab w:val="right" w:pos="9611"/>
      </w:tabs>
    </w:pPr>
    <w:rPr>
      <w:i/>
    </w:rPr>
  </w:style>
  <w:style w:type="paragraph" w:styleId="TOC1">
    <w:name w:val="toc 1"/>
    <w:basedOn w:val="Normal"/>
    <w:semiHidden/>
    <w:rsid w:val="004A6A1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4A6A14"/>
    <w:pPr>
      <w:tabs>
        <w:tab w:val="clear" w:pos="567"/>
        <w:tab w:val="left" w:pos="1276"/>
      </w:tabs>
      <w:spacing w:before="160"/>
      <w:ind w:left="1276" w:hanging="709"/>
    </w:pPr>
  </w:style>
  <w:style w:type="paragraph" w:styleId="TOC3">
    <w:name w:val="toc 3"/>
    <w:basedOn w:val="TOC2"/>
    <w:semiHidden/>
    <w:rsid w:val="004A6A14"/>
    <w:pPr>
      <w:tabs>
        <w:tab w:val="clear" w:pos="1276"/>
        <w:tab w:val="left" w:pos="2155"/>
      </w:tabs>
      <w:ind w:left="2155" w:hanging="879"/>
    </w:pPr>
  </w:style>
  <w:style w:type="paragraph" w:styleId="TOC4">
    <w:name w:val="toc 4"/>
    <w:basedOn w:val="TOC3"/>
    <w:semiHidden/>
    <w:rsid w:val="004A6A14"/>
    <w:pPr>
      <w:tabs>
        <w:tab w:val="left" w:pos="3261"/>
      </w:tabs>
      <w:spacing w:before="80"/>
      <w:ind w:left="3261" w:hanging="993"/>
    </w:pPr>
  </w:style>
  <w:style w:type="paragraph" w:styleId="TOC5">
    <w:name w:val="toc 5"/>
    <w:basedOn w:val="TOC4"/>
    <w:semiHidden/>
    <w:rsid w:val="004A6A14"/>
  </w:style>
  <w:style w:type="paragraph" w:styleId="TOC6">
    <w:name w:val="toc 6"/>
    <w:basedOn w:val="TOC4"/>
    <w:semiHidden/>
    <w:rsid w:val="004A6A14"/>
  </w:style>
  <w:style w:type="paragraph" w:styleId="TOC7">
    <w:name w:val="toc 7"/>
    <w:basedOn w:val="TOC4"/>
    <w:semiHidden/>
    <w:rsid w:val="004A6A14"/>
  </w:style>
  <w:style w:type="paragraph" w:styleId="TOC8">
    <w:name w:val="toc 8"/>
    <w:basedOn w:val="TOC4"/>
    <w:semiHidden/>
    <w:rsid w:val="004A6A14"/>
  </w:style>
  <w:style w:type="paragraph" w:customStyle="1" w:styleId="Rectitle">
    <w:name w:val="Rec_title"/>
    <w:basedOn w:val="Normal"/>
    <w:next w:val="Recref"/>
    <w:rsid w:val="004A6A14"/>
    <w:pPr>
      <w:keepNext/>
      <w:keepLines/>
      <w:spacing w:before="240"/>
      <w:jc w:val="center"/>
    </w:pPr>
    <w:rPr>
      <w:b/>
      <w:sz w:val="28"/>
    </w:rPr>
  </w:style>
  <w:style w:type="paragraph" w:customStyle="1" w:styleId="Annexref">
    <w:name w:val="Annex_ref"/>
    <w:basedOn w:val="Normal"/>
    <w:next w:val="Normalaftertitle"/>
    <w:rsid w:val="004A6A14"/>
    <w:pPr>
      <w:keepNext/>
      <w:keepLines/>
      <w:spacing w:after="280"/>
      <w:jc w:val="center"/>
    </w:pPr>
  </w:style>
  <w:style w:type="paragraph" w:customStyle="1" w:styleId="Appendixref">
    <w:name w:val="Appendix_ref"/>
    <w:basedOn w:val="Annexref"/>
    <w:next w:val="Normalaftertitle"/>
    <w:rsid w:val="004A6A14"/>
  </w:style>
  <w:style w:type="paragraph" w:customStyle="1" w:styleId="Figuretitle">
    <w:name w:val="Figure_title"/>
    <w:basedOn w:val="Normal"/>
    <w:next w:val="Figure"/>
    <w:link w:val="FiguretitleChar"/>
    <w:rsid w:val="004A6A14"/>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4A6A14"/>
    <w:pPr>
      <w:keepNext/>
      <w:spacing w:before="0" w:after="120"/>
      <w:jc w:val="center"/>
    </w:pPr>
    <w:rPr>
      <w:b/>
    </w:rPr>
  </w:style>
  <w:style w:type="paragraph" w:customStyle="1" w:styleId="Summary">
    <w:name w:val="Summary"/>
    <w:basedOn w:val="Normal"/>
    <w:next w:val="Normalaftertitle"/>
    <w:rsid w:val="004A6A14"/>
    <w:pPr>
      <w:spacing w:after="480"/>
    </w:pPr>
    <w:rPr>
      <w:sz w:val="22"/>
      <w:lang w:val="es-ES_tradnl"/>
    </w:rPr>
  </w:style>
  <w:style w:type="paragraph" w:customStyle="1" w:styleId="TableLegendNote">
    <w:name w:val="Table_Legend_Note"/>
    <w:basedOn w:val="Tablelegend"/>
    <w:next w:val="Tablelegend"/>
    <w:rsid w:val="004A6A14"/>
    <w:pPr>
      <w:ind w:left="-85" w:firstLine="0"/>
    </w:pPr>
    <w:rPr>
      <w:lang w:val="en-US"/>
    </w:rPr>
  </w:style>
  <w:style w:type="paragraph" w:customStyle="1" w:styleId="Figure">
    <w:name w:val="Figure"/>
    <w:basedOn w:val="FigureNo"/>
    <w:next w:val="Normal"/>
    <w:rsid w:val="004A6A14"/>
    <w:pPr>
      <w:keepNext w:val="0"/>
      <w:spacing w:before="0" w:after="240"/>
    </w:pPr>
  </w:style>
  <w:style w:type="paragraph" w:customStyle="1" w:styleId="Figurewithouttitle">
    <w:name w:val="Figure_without_title"/>
    <w:basedOn w:val="Normal"/>
    <w:next w:val="Normalaftertitle"/>
    <w:rsid w:val="003E3EB5"/>
    <w:pPr>
      <w:keepLines/>
      <w:spacing w:before="240" w:after="120"/>
      <w:jc w:val="center"/>
    </w:pPr>
  </w:style>
  <w:style w:type="character" w:customStyle="1" w:styleId="EquationChar">
    <w:name w:val="Equation Char"/>
    <w:basedOn w:val="DefaultParagraphFont"/>
    <w:link w:val="Equation"/>
    <w:locked/>
    <w:rsid w:val="003E3EB5"/>
    <w:rPr>
      <w:sz w:val="24"/>
      <w:lang w:val="fr-FR" w:eastAsia="en-US" w:bidi="ar-SA"/>
    </w:rPr>
  </w:style>
  <w:style w:type="character" w:customStyle="1" w:styleId="FiguretitleChar">
    <w:name w:val="Figure_title Char"/>
    <w:basedOn w:val="DefaultParagraphFont"/>
    <w:link w:val="Figuretitle"/>
    <w:rsid w:val="003E3EB5"/>
    <w:rPr>
      <w:rFonts w:ascii="Times New Roman Bold" w:hAnsi="Times New Roman Bold"/>
      <w:b/>
      <w:sz w:val="18"/>
      <w:lang w:val="fr-FR" w:eastAsia="en-US" w:bidi="ar-SA"/>
    </w:rPr>
  </w:style>
  <w:style w:type="character" w:customStyle="1" w:styleId="HeadingbChar">
    <w:name w:val="Heading_b Char"/>
    <w:link w:val="Headingb"/>
    <w:locked/>
    <w:rsid w:val="006775E3"/>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3</TotalTime>
  <Pages>13</Pages>
  <Words>4046</Words>
  <Characters>21448</Characters>
  <Application>Microsoft Office Word</Application>
  <DocSecurity>0</DocSecurity>
  <Lines>766</Lines>
  <Paragraphs>554</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29.01.09/KJ</dc:description>
  <cp:lastModifiedBy>Gachet, Christelle</cp:lastModifiedBy>
  <cp:revision>4</cp:revision>
  <cp:lastPrinted>2005-02-10T15:54:00Z</cp:lastPrinted>
  <dcterms:created xsi:type="dcterms:W3CDTF">2020-04-22T11:33:00Z</dcterms:created>
  <dcterms:modified xsi:type="dcterms:W3CDTF">2020-04-22T11:36:00Z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