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F9" w:rsidRPr="004618C0" w:rsidRDefault="003727F9" w:rsidP="00560C4C">
      <w:pPr>
        <w:pStyle w:val="RecNo"/>
        <w:spacing w:before="0"/>
        <w:rPr>
          <w:lang w:val="en-US"/>
        </w:rPr>
      </w:pPr>
      <w:proofErr w:type="gramStart"/>
      <w:r w:rsidRPr="004618C0">
        <w:rPr>
          <w:lang w:val="en-US" w:eastAsia="ko-KR"/>
        </w:rPr>
        <w:t xml:space="preserve">RECOMMENDATION </w:t>
      </w:r>
      <w:r>
        <w:rPr>
          <w:lang w:val="en-US" w:eastAsia="ko-KR"/>
        </w:rPr>
        <w:t xml:space="preserve"> </w:t>
      </w:r>
      <w:r w:rsidRPr="003727F9">
        <w:rPr>
          <w:rStyle w:val="href"/>
          <w:lang w:val="en-US"/>
        </w:rPr>
        <w:t>ITU</w:t>
      </w:r>
      <w:proofErr w:type="gramEnd"/>
      <w:r w:rsidRPr="003727F9">
        <w:rPr>
          <w:rStyle w:val="href"/>
          <w:lang w:val="en-US"/>
        </w:rPr>
        <w:t>-R  SM.337-</w:t>
      </w:r>
      <w:r>
        <w:rPr>
          <w:rStyle w:val="href"/>
          <w:lang w:val="en-US"/>
        </w:rPr>
        <w:t>6</w:t>
      </w:r>
      <w:r w:rsidR="00D17DB3">
        <w:rPr>
          <w:rStyle w:val="FootnoteReference"/>
          <w:lang w:val="en-US"/>
        </w:rPr>
        <w:footnoteReference w:customMarkFollows="1" w:id="1"/>
        <w:t>*</w:t>
      </w:r>
    </w:p>
    <w:p w:rsidR="003727F9" w:rsidRDefault="003727F9" w:rsidP="003727F9">
      <w:pPr>
        <w:pStyle w:val="Rectitle"/>
        <w:rPr>
          <w:lang w:val="en-US"/>
        </w:rPr>
      </w:pPr>
      <w:r w:rsidRPr="004618C0">
        <w:rPr>
          <w:lang w:val="en-US"/>
        </w:rPr>
        <w:t>Frequency and distance separations</w:t>
      </w:r>
    </w:p>
    <w:p w:rsidR="003727F9" w:rsidRPr="004618C0" w:rsidRDefault="003727F9" w:rsidP="003727F9">
      <w:pPr>
        <w:pStyle w:val="Recdate"/>
        <w:rPr>
          <w:lang w:val="en-US"/>
        </w:rPr>
      </w:pPr>
    </w:p>
    <w:p w:rsidR="003727F9" w:rsidRDefault="003727F9" w:rsidP="003727F9">
      <w:pPr>
        <w:pStyle w:val="Recdate"/>
        <w:rPr>
          <w:lang w:val="en-US"/>
        </w:rPr>
      </w:pPr>
      <w:r w:rsidRPr="004618C0">
        <w:rPr>
          <w:lang w:val="en-US"/>
        </w:rPr>
        <w:t>(1948-1951-1953-1963-1970-1974-1990-1992-1997</w:t>
      </w:r>
      <w:r>
        <w:rPr>
          <w:lang w:val="en-US"/>
        </w:rPr>
        <w:t>-2007-2008</w:t>
      </w:r>
      <w:r w:rsidRPr="004618C0">
        <w:rPr>
          <w:lang w:val="en-US"/>
        </w:rPr>
        <w:t>)</w:t>
      </w:r>
    </w:p>
    <w:p w:rsidR="003727F9" w:rsidRPr="003727F9" w:rsidRDefault="003727F9" w:rsidP="003727F9">
      <w:pPr>
        <w:pStyle w:val="HeadingSum"/>
        <w:rPr>
          <w:lang w:val="en-US"/>
        </w:rPr>
      </w:pPr>
      <w:r w:rsidRPr="003727F9">
        <w:rPr>
          <w:lang w:val="en-US"/>
        </w:rPr>
        <w:t>Scope</w:t>
      </w:r>
    </w:p>
    <w:p w:rsidR="003727F9" w:rsidRDefault="003727F9" w:rsidP="003B30F0">
      <w:pPr>
        <w:pStyle w:val="Summary"/>
        <w:spacing w:after="120"/>
        <w:rPr>
          <w:lang w:val="en-US" w:eastAsia="ko-KR"/>
        </w:rPr>
      </w:pPr>
      <w:r w:rsidRPr="003727F9">
        <w:rPr>
          <w:lang w:val="en-US" w:eastAsia="ko-KR"/>
        </w:rPr>
        <w:t>This Recommendation provides the procedures for calculating distance and frequency separations for an acceptable interference level.</w:t>
      </w:r>
    </w:p>
    <w:p w:rsidR="003B30F0" w:rsidRPr="003B30F0" w:rsidRDefault="003B30F0" w:rsidP="003B30F0">
      <w:pPr>
        <w:pStyle w:val="Headingb"/>
        <w:rPr>
          <w:rFonts w:eastAsia="Batang"/>
          <w:sz w:val="22"/>
          <w:szCs w:val="22"/>
          <w:lang w:val="en-GB"/>
        </w:rPr>
      </w:pPr>
      <w:r w:rsidRPr="003B30F0">
        <w:rPr>
          <w:rFonts w:eastAsia="Batang"/>
          <w:sz w:val="22"/>
          <w:szCs w:val="22"/>
          <w:lang w:val="en-GB"/>
        </w:rPr>
        <w:t>Keywords</w:t>
      </w:r>
    </w:p>
    <w:p w:rsidR="003B30F0" w:rsidRPr="00F52A66" w:rsidRDefault="003B30F0" w:rsidP="003B30F0">
      <w:pPr>
        <w:rPr>
          <w:rFonts w:eastAsia="Batang"/>
          <w:lang w:val="en-US" w:eastAsia="ko-KR"/>
        </w:rPr>
      </w:pPr>
      <w:r>
        <w:rPr>
          <w:rFonts w:eastAsia="Calibri"/>
          <w:lang w:val="en-US"/>
        </w:rPr>
        <w:t>I</w:t>
      </w:r>
      <w:r w:rsidRPr="00F52A66">
        <w:rPr>
          <w:rFonts w:eastAsia="Calibri"/>
          <w:lang w:val="en-US"/>
        </w:rPr>
        <w:t>nterference level, receiver selectivity, channel, frequency separation, protection ratio</w:t>
      </w:r>
    </w:p>
    <w:p w:rsidR="003727F9" w:rsidRPr="003727F9" w:rsidRDefault="003727F9" w:rsidP="003727F9">
      <w:pPr>
        <w:pStyle w:val="Normalaftertitle"/>
        <w:rPr>
          <w:lang w:val="en-US"/>
        </w:rPr>
      </w:pPr>
      <w:r w:rsidRPr="003727F9">
        <w:rPr>
          <w:lang w:val="en-US"/>
        </w:rPr>
        <w:t xml:space="preserve">The ITU </w:t>
      </w:r>
      <w:proofErr w:type="spellStart"/>
      <w:r w:rsidRPr="003727F9">
        <w:rPr>
          <w:lang w:val="en-US"/>
        </w:rPr>
        <w:t>Radiocommunication</w:t>
      </w:r>
      <w:proofErr w:type="spellEnd"/>
      <w:r w:rsidRPr="003727F9">
        <w:rPr>
          <w:lang w:val="en-US"/>
        </w:rPr>
        <w:t xml:space="preserve"> Assembly,</w:t>
      </w:r>
    </w:p>
    <w:p w:rsidR="003727F9" w:rsidRPr="004618C0" w:rsidRDefault="003727F9" w:rsidP="003727F9">
      <w:pPr>
        <w:pStyle w:val="Call"/>
        <w:rPr>
          <w:lang w:val="en-US"/>
        </w:rPr>
      </w:pPr>
      <w:proofErr w:type="gramStart"/>
      <w:r w:rsidRPr="004618C0">
        <w:rPr>
          <w:lang w:val="en-US"/>
        </w:rPr>
        <w:t>considering</w:t>
      </w:r>
      <w:proofErr w:type="gramEnd"/>
    </w:p>
    <w:p w:rsidR="003727F9" w:rsidRPr="004618C0" w:rsidRDefault="003727F9" w:rsidP="003727F9">
      <w:pPr>
        <w:rPr>
          <w:lang w:val="en-US"/>
        </w:rPr>
      </w:pPr>
      <w:r w:rsidRPr="004618C0">
        <w:rPr>
          <w:lang w:val="en-US"/>
        </w:rPr>
        <w:t>a)</w:t>
      </w:r>
      <w:r w:rsidRPr="004618C0">
        <w:rPr>
          <w:lang w:val="en-US"/>
        </w:rPr>
        <w:tab/>
      </w:r>
      <w:proofErr w:type="gramStart"/>
      <w:r w:rsidRPr="004618C0">
        <w:rPr>
          <w:lang w:val="en-US"/>
        </w:rPr>
        <w:t>that</w:t>
      </w:r>
      <w:proofErr w:type="gramEnd"/>
      <w:r w:rsidRPr="004618C0">
        <w:rPr>
          <w:lang w:val="en-US"/>
        </w:rPr>
        <w:t>, in the more usual cases, the primary factors which determine appropriate frequency or distance separation criteria include:</w:t>
      </w:r>
    </w:p>
    <w:p w:rsidR="003727F9" w:rsidRPr="004618C0" w:rsidRDefault="003727F9" w:rsidP="003727F9">
      <w:pPr>
        <w:pStyle w:val="enumlev1"/>
        <w:rPr>
          <w:lang w:val="en-US"/>
        </w:rPr>
      </w:pPr>
      <w:r w:rsidRPr="004618C0">
        <w:rPr>
          <w:lang w:val="en-US"/>
        </w:rPr>
        <w:t>–</w:t>
      </w:r>
      <w:r w:rsidRPr="004618C0">
        <w:rPr>
          <w:lang w:val="en-US"/>
        </w:rPr>
        <w:tab/>
      </w:r>
      <w:proofErr w:type="gramStart"/>
      <w:r w:rsidRPr="004618C0">
        <w:rPr>
          <w:lang w:val="en-US"/>
        </w:rPr>
        <w:t>the</w:t>
      </w:r>
      <w:proofErr w:type="gramEnd"/>
      <w:r w:rsidRPr="004618C0">
        <w:rPr>
          <w:lang w:val="en-US"/>
        </w:rPr>
        <w:t xml:space="preserve"> signal power and spectral distribution required by the receiver;</w:t>
      </w:r>
    </w:p>
    <w:p w:rsidR="003727F9" w:rsidRPr="004618C0" w:rsidRDefault="003727F9" w:rsidP="003727F9">
      <w:pPr>
        <w:pStyle w:val="enumlev1"/>
        <w:rPr>
          <w:lang w:val="en-US"/>
        </w:rPr>
      </w:pPr>
      <w:r w:rsidRPr="004618C0">
        <w:rPr>
          <w:lang w:val="en-US"/>
        </w:rPr>
        <w:t>–</w:t>
      </w:r>
      <w:r w:rsidRPr="004618C0">
        <w:rPr>
          <w:lang w:val="en-US"/>
        </w:rPr>
        <w:tab/>
      </w:r>
      <w:proofErr w:type="gramStart"/>
      <w:r w:rsidRPr="004618C0">
        <w:rPr>
          <w:lang w:val="en-US"/>
        </w:rPr>
        <w:t>the</w:t>
      </w:r>
      <w:proofErr w:type="gramEnd"/>
      <w:r w:rsidRPr="004618C0">
        <w:rPr>
          <w:lang w:val="en-US"/>
        </w:rPr>
        <w:t xml:space="preserve"> power and spectral distribution of the interfering signals and noise intercepted by the receiver;</w:t>
      </w:r>
    </w:p>
    <w:p w:rsidR="003727F9" w:rsidRPr="004618C0" w:rsidRDefault="003727F9" w:rsidP="003727F9">
      <w:pPr>
        <w:pStyle w:val="enumlev1"/>
        <w:rPr>
          <w:lang w:val="en-US"/>
        </w:rPr>
      </w:pPr>
      <w:r w:rsidRPr="004618C0">
        <w:rPr>
          <w:lang w:val="en-US"/>
        </w:rPr>
        <w:t>–</w:t>
      </w:r>
      <w:r w:rsidRPr="004618C0">
        <w:rPr>
          <w:lang w:val="en-US"/>
        </w:rPr>
        <w:tab/>
      </w:r>
      <w:proofErr w:type="gramStart"/>
      <w:r w:rsidRPr="004618C0">
        <w:rPr>
          <w:lang w:val="en-US"/>
        </w:rPr>
        <w:t>the</w:t>
      </w:r>
      <w:proofErr w:type="gramEnd"/>
      <w:r w:rsidRPr="004618C0">
        <w:rPr>
          <w:lang w:val="en-US"/>
        </w:rPr>
        <w:t xml:space="preserve"> distance dependence of the transmission losses of the radio </w:t>
      </w:r>
      <w:proofErr w:type="spellStart"/>
      <w:r w:rsidRPr="004618C0">
        <w:rPr>
          <w:lang w:val="en-US"/>
        </w:rPr>
        <w:t>equipments</w:t>
      </w:r>
      <w:proofErr w:type="spellEnd"/>
      <w:r w:rsidRPr="004618C0">
        <w:rPr>
          <w:lang w:val="en-US"/>
        </w:rPr>
        <w:t>;</w:t>
      </w:r>
    </w:p>
    <w:p w:rsidR="003727F9" w:rsidRPr="004618C0" w:rsidRDefault="003727F9" w:rsidP="003B30F0">
      <w:pPr>
        <w:spacing w:before="40"/>
        <w:rPr>
          <w:lang w:val="en-US"/>
        </w:rPr>
      </w:pPr>
      <w:r w:rsidRPr="004618C0">
        <w:rPr>
          <w:lang w:val="en-US"/>
        </w:rPr>
        <w:t>b)</w:t>
      </w:r>
      <w:r w:rsidRPr="004618C0">
        <w:rPr>
          <w:lang w:val="en-US"/>
        </w:rPr>
        <w:tab/>
      </w:r>
      <w:proofErr w:type="gramStart"/>
      <w:r w:rsidRPr="004618C0">
        <w:rPr>
          <w:lang w:val="en-US"/>
        </w:rPr>
        <w:t>that</w:t>
      </w:r>
      <w:proofErr w:type="gramEnd"/>
      <w:r w:rsidRPr="004618C0">
        <w:rPr>
          <w:lang w:val="en-US"/>
        </w:rPr>
        <w:t xml:space="preserve"> transmitters, in general, emit radiations outside the frequency bandwidth necessarily occupied by the emission;</w:t>
      </w:r>
    </w:p>
    <w:p w:rsidR="003727F9" w:rsidRPr="004618C0" w:rsidRDefault="003727F9" w:rsidP="003B30F0">
      <w:pPr>
        <w:spacing w:before="40"/>
        <w:rPr>
          <w:lang w:val="en-US"/>
        </w:rPr>
      </w:pPr>
      <w:r w:rsidRPr="004618C0">
        <w:rPr>
          <w:lang w:val="en-US"/>
        </w:rPr>
        <w:t>c)</w:t>
      </w:r>
      <w:r w:rsidRPr="004618C0">
        <w:rPr>
          <w:lang w:val="en-US"/>
        </w:rPr>
        <w:tab/>
        <w:t>that many factors are involved, among which are the properties of the transmission medium (which are variable in character and difficult to determine), the characteristics of the receiver and, for aural reception, the discriminating properties of the human ear;</w:t>
      </w:r>
    </w:p>
    <w:p w:rsidR="003727F9" w:rsidRPr="004618C0" w:rsidRDefault="003727F9" w:rsidP="003B30F0">
      <w:pPr>
        <w:spacing w:before="40"/>
        <w:rPr>
          <w:lang w:val="en-US"/>
        </w:rPr>
      </w:pPr>
      <w:r w:rsidRPr="004618C0">
        <w:rPr>
          <w:lang w:val="en-US"/>
        </w:rPr>
        <w:t>d)</w:t>
      </w:r>
      <w:r w:rsidRPr="004618C0">
        <w:rPr>
          <w:lang w:val="en-US"/>
        </w:rPr>
        <w:tab/>
      </w:r>
      <w:proofErr w:type="gramStart"/>
      <w:r w:rsidRPr="004618C0">
        <w:rPr>
          <w:lang w:val="en-US"/>
        </w:rPr>
        <w:t>that</w:t>
      </w:r>
      <w:proofErr w:type="gramEnd"/>
      <w:r w:rsidRPr="004618C0">
        <w:rPr>
          <w:lang w:val="en-US"/>
        </w:rPr>
        <w:t xml:space="preserve"> trade-offs in either frequency or distance separations of the radio equipment are possible,</w:t>
      </w:r>
    </w:p>
    <w:p w:rsidR="003727F9" w:rsidRPr="004618C0" w:rsidRDefault="003727F9" w:rsidP="003727F9">
      <w:pPr>
        <w:pStyle w:val="Call"/>
        <w:rPr>
          <w:lang w:val="en-US"/>
        </w:rPr>
      </w:pPr>
      <w:proofErr w:type="gramStart"/>
      <w:r w:rsidRPr="004618C0">
        <w:rPr>
          <w:lang w:val="en-US"/>
        </w:rPr>
        <w:t>recommends</w:t>
      </w:r>
      <w:proofErr w:type="gramEnd"/>
    </w:p>
    <w:p w:rsidR="003727F9" w:rsidRPr="004618C0" w:rsidRDefault="003727F9" w:rsidP="003727F9">
      <w:pPr>
        <w:rPr>
          <w:lang w:val="en-US"/>
        </w:rPr>
      </w:pPr>
      <w:r w:rsidRPr="004618C0">
        <w:rPr>
          <w:b/>
          <w:lang w:val="en-US"/>
        </w:rPr>
        <w:t>1</w:t>
      </w:r>
      <w:r w:rsidRPr="004618C0">
        <w:rPr>
          <w:lang w:val="en-US"/>
        </w:rPr>
        <w:tab/>
        <w:t>that the frequency-distance (FD) separations of radio equipment should be calculated by the following method:</w:t>
      </w:r>
    </w:p>
    <w:p w:rsidR="003727F9" w:rsidRPr="004618C0" w:rsidRDefault="003727F9" w:rsidP="003B30F0">
      <w:pPr>
        <w:spacing w:before="60"/>
        <w:rPr>
          <w:lang w:val="en-US"/>
        </w:rPr>
      </w:pPr>
      <w:r w:rsidRPr="004618C0">
        <w:rPr>
          <w:b/>
          <w:lang w:val="en-US"/>
        </w:rPr>
        <w:t>1.1</w:t>
      </w:r>
      <w:r w:rsidRPr="004618C0">
        <w:rPr>
          <w:lang w:val="en-US"/>
        </w:rPr>
        <w:tab/>
      </w:r>
      <w:bookmarkStart w:id="0" w:name="_GoBack"/>
      <w:r w:rsidRPr="004618C0">
        <w:rPr>
          <w:lang w:val="en-US"/>
        </w:rPr>
        <w:t>determine the power and spectral distribution of the signal intercepted by the receiver;</w:t>
      </w:r>
    </w:p>
    <w:p w:rsidR="003727F9" w:rsidRPr="004618C0" w:rsidRDefault="003727F9" w:rsidP="003B30F0">
      <w:pPr>
        <w:spacing w:before="60"/>
        <w:rPr>
          <w:lang w:val="en-US"/>
        </w:rPr>
      </w:pPr>
      <w:r w:rsidRPr="004618C0">
        <w:rPr>
          <w:b/>
          <w:lang w:val="en-US"/>
        </w:rPr>
        <w:t>1.2</w:t>
      </w:r>
      <w:r w:rsidRPr="004618C0">
        <w:rPr>
          <w:lang w:val="en-US"/>
        </w:rPr>
        <w:tab/>
        <w:t>determine the power and spectral distribution of the interfering signals and noise intercepted by the receiver;</w:t>
      </w:r>
    </w:p>
    <w:p w:rsidR="003727F9" w:rsidRPr="004618C0" w:rsidRDefault="003727F9" w:rsidP="003B30F0">
      <w:pPr>
        <w:spacing w:before="60"/>
        <w:rPr>
          <w:lang w:val="en-US"/>
        </w:rPr>
      </w:pPr>
      <w:r w:rsidRPr="004618C0">
        <w:rPr>
          <w:b/>
          <w:lang w:val="en-US"/>
        </w:rPr>
        <w:t>1.3</w:t>
      </w:r>
      <w:r w:rsidRPr="004618C0">
        <w:rPr>
          <w:lang w:val="en-US"/>
        </w:rPr>
        <w:tab/>
        <w:t>determine the interactive effects among wanted signals, interference and receiver characteristics for various frequency or distance separations by using the basic equations given in Annex 1 along with, if necessary, simple approximations to the integral expressions and the concept described in Annex 2;</w:t>
      </w:r>
    </w:p>
    <w:p w:rsidR="003727F9" w:rsidRPr="004618C0" w:rsidRDefault="003727F9" w:rsidP="003B30F0">
      <w:pPr>
        <w:spacing w:before="60"/>
        <w:rPr>
          <w:lang w:val="en-US"/>
        </w:rPr>
      </w:pPr>
      <w:r w:rsidRPr="004618C0">
        <w:rPr>
          <w:b/>
          <w:lang w:val="en-US"/>
        </w:rPr>
        <w:t>1.4</w:t>
      </w:r>
      <w:r w:rsidRPr="004618C0">
        <w:rPr>
          <w:lang w:val="en-US"/>
        </w:rPr>
        <w:tab/>
        <w:t xml:space="preserve">determine, from </w:t>
      </w:r>
      <w:bookmarkEnd w:id="0"/>
      <w:r w:rsidRPr="004618C0">
        <w:rPr>
          <w:lang w:val="en-US"/>
        </w:rPr>
        <w:t>these data, the degree of frequency or distance separation that will provide the required grade of service and the required service probability. Account should be taken of the fluctuating nature both of the signal and of the interference, and, whenever appropriate, the discriminating properties of the listener or viewer;</w:t>
      </w:r>
    </w:p>
    <w:p w:rsidR="003727F9" w:rsidRPr="004618C0" w:rsidRDefault="00170D6C" w:rsidP="003727F9">
      <w:pPr>
        <w:rPr>
          <w:lang w:val="en-US"/>
        </w:rPr>
      </w:pPr>
      <w:r>
        <w:rPr>
          <w:b/>
          <w:lang w:val="en-US"/>
        </w:rPr>
        <w:br w:type="page"/>
      </w:r>
      <w:r w:rsidR="003727F9" w:rsidRPr="004618C0">
        <w:rPr>
          <w:b/>
          <w:lang w:val="en-US"/>
        </w:rPr>
        <w:lastRenderedPageBreak/>
        <w:t>1.5</w:t>
      </w:r>
      <w:r w:rsidR="003727F9" w:rsidRPr="004618C0">
        <w:rPr>
          <w:lang w:val="en-US"/>
        </w:rPr>
        <w:tab/>
        <w:t>determine the appropriate ITU-R propagation model to be used;</w:t>
      </w:r>
    </w:p>
    <w:p w:rsidR="003727F9" w:rsidRDefault="003727F9" w:rsidP="003727F9">
      <w:pPr>
        <w:rPr>
          <w:lang w:val="en-US"/>
        </w:rPr>
      </w:pPr>
      <w:r w:rsidRPr="004618C0">
        <w:rPr>
          <w:b/>
          <w:lang w:val="en-US"/>
        </w:rPr>
        <w:t>2</w:t>
      </w:r>
      <w:r w:rsidRPr="004618C0">
        <w:rPr>
          <w:lang w:val="en-US"/>
        </w:rPr>
        <w:tab/>
        <w:t>that, at every stage of the calculation, comparison should be made, as far as possible, with data obtained under controlled representative operating conditions, especially in connection with the final figure arrived at for the frequency or distance separation among radio equipment.</w:t>
      </w:r>
    </w:p>
    <w:p w:rsidR="003727F9" w:rsidRPr="004618C0" w:rsidRDefault="003727F9" w:rsidP="003727F9">
      <w:pPr>
        <w:rPr>
          <w:lang w:val="en-US"/>
        </w:rPr>
      </w:pPr>
    </w:p>
    <w:p w:rsidR="003727F9" w:rsidRPr="00E74059" w:rsidRDefault="003727F9" w:rsidP="003727F9">
      <w:pPr>
        <w:pStyle w:val="AnnexNoTitle"/>
        <w:rPr>
          <w:lang w:val="en-US"/>
        </w:rPr>
      </w:pPr>
      <w:r w:rsidRPr="00E74059">
        <w:rPr>
          <w:lang w:val="en-US"/>
        </w:rPr>
        <w:t>Annex 1</w:t>
      </w:r>
      <w:r w:rsidRPr="00E74059">
        <w:rPr>
          <w:lang w:val="en-US"/>
        </w:rPr>
        <w:br/>
      </w:r>
      <w:r>
        <w:rPr>
          <w:lang w:val="en-US"/>
        </w:rPr>
        <w:br/>
      </w:r>
      <w:r w:rsidRPr="00E74059">
        <w:rPr>
          <w:lang w:val="en-US"/>
        </w:rPr>
        <w:t xml:space="preserve">Basic </w:t>
      </w:r>
      <w:r>
        <w:rPr>
          <w:lang w:val="en-US"/>
        </w:rPr>
        <w:t>e</w:t>
      </w:r>
      <w:r w:rsidRPr="00E74059">
        <w:rPr>
          <w:lang w:val="en-US"/>
        </w:rPr>
        <w:t>quations</w:t>
      </w:r>
    </w:p>
    <w:p w:rsidR="003727F9" w:rsidRDefault="003727F9" w:rsidP="003727F9">
      <w:pPr>
        <w:pStyle w:val="Normalaftertitle"/>
        <w:rPr>
          <w:lang w:val="en-US"/>
        </w:rPr>
      </w:pPr>
      <w:r>
        <w:rPr>
          <w:lang w:val="en-US"/>
        </w:rPr>
        <w:t xml:space="preserve">This Annex describes basic equations which quantify the interactive effects among wanted signals, interference, and receiver characteristics for various frequencies and </w:t>
      </w:r>
      <w:r w:rsidRPr="003727F9">
        <w:rPr>
          <w:lang w:val="en-US"/>
        </w:rPr>
        <w:t>FD</w:t>
      </w:r>
      <w:r>
        <w:rPr>
          <w:lang w:val="en-US"/>
        </w:rPr>
        <w:t xml:space="preserve"> separations. The measures are:</w:t>
      </w:r>
    </w:p>
    <w:p w:rsidR="003727F9" w:rsidRDefault="003727F9" w:rsidP="003727F9">
      <w:pPr>
        <w:pStyle w:val="enumlev1"/>
        <w:rPr>
          <w:lang w:val="en-US"/>
        </w:rPr>
      </w:pPr>
      <w:r>
        <w:rPr>
          <w:lang w:val="en-US"/>
        </w:rPr>
        <w:t>–</w:t>
      </w:r>
      <w:r>
        <w:rPr>
          <w:lang w:val="en-US"/>
        </w:rPr>
        <w:tab/>
      </w:r>
      <w:proofErr w:type="gramStart"/>
      <w:r>
        <w:rPr>
          <w:lang w:val="en-US"/>
        </w:rPr>
        <w:t>frequency</w:t>
      </w:r>
      <w:proofErr w:type="gramEnd"/>
      <w:r>
        <w:rPr>
          <w:lang w:val="en-US"/>
        </w:rPr>
        <w:t xml:space="preserve"> dependent rejection (FDR) which is a measure of the rejection produced by the receiver selectivity curve on an unwanted transmitter emission spectra;</w:t>
      </w:r>
    </w:p>
    <w:p w:rsidR="003727F9" w:rsidRDefault="003727F9" w:rsidP="00734DD6">
      <w:pPr>
        <w:pStyle w:val="enumlev1"/>
        <w:rPr>
          <w:lang w:val="en-US"/>
        </w:rPr>
      </w:pPr>
      <w:r>
        <w:rPr>
          <w:lang w:val="en-US"/>
        </w:rPr>
        <w:t>–</w:t>
      </w:r>
      <w:r>
        <w:rPr>
          <w:lang w:val="en-US"/>
        </w:rPr>
        <w:tab/>
        <w:t>FD which is a measure of the minimum distance separation that is required between a victim receiver and an interferer as a function of the difference between their tuned frequencies;</w:t>
      </w:r>
    </w:p>
    <w:p w:rsidR="003727F9" w:rsidRDefault="003727F9" w:rsidP="003727F9">
      <w:pPr>
        <w:pStyle w:val="enumlev1"/>
        <w:rPr>
          <w:lang w:val="en-US"/>
        </w:rPr>
      </w:pPr>
      <w:r>
        <w:rPr>
          <w:lang w:val="en-US"/>
        </w:rPr>
        <w:t>–</w:t>
      </w:r>
      <w:r>
        <w:rPr>
          <w:lang w:val="en-US"/>
        </w:rPr>
        <w:tab/>
      </w:r>
      <w:proofErr w:type="gramStart"/>
      <w:r>
        <w:rPr>
          <w:lang w:val="en-US"/>
        </w:rPr>
        <w:t>relative</w:t>
      </w:r>
      <w:proofErr w:type="gramEnd"/>
      <w:r>
        <w:rPr>
          <w:lang w:val="en-US"/>
        </w:rPr>
        <w:t xml:space="preserve"> radio-frequency protection ratio </w:t>
      </w:r>
      <w:r>
        <w:rPr>
          <w:i/>
          <w:lang w:val="en-US"/>
        </w:rPr>
        <w:t>A</w:t>
      </w:r>
      <w:r>
        <w:rPr>
          <w:lang w:val="en-US"/>
        </w:rPr>
        <w:t xml:space="preserve"> (see Recommendation ITU-R BS.560) which is the difference </w:t>
      </w:r>
      <w:r w:rsidRPr="004618C0">
        <w:rPr>
          <w:lang w:val="en-US"/>
        </w:rPr>
        <w:t>(dB)</w:t>
      </w:r>
      <w:r>
        <w:rPr>
          <w:lang w:val="en-US"/>
        </w:rPr>
        <w:t xml:space="preserve"> between the protection ratio when the carriers of the wanted and unwanted transmitters have a frequency difference of </w:t>
      </w:r>
      <w:r>
        <w:rPr>
          <w:rFonts w:ascii="Symbol" w:hAnsi="Symbol"/>
          <w:lang w:val="en-US"/>
        </w:rPr>
        <w:t></w:t>
      </w:r>
      <w:r>
        <w:rPr>
          <w:i/>
          <w:lang w:val="en-US"/>
        </w:rPr>
        <w:t>f</w:t>
      </w:r>
      <w:r>
        <w:rPr>
          <w:lang w:val="en-US"/>
        </w:rPr>
        <w:t xml:space="preserve"> and the protection ratio when the carriers of these transmitters have the same frequency.</w:t>
      </w:r>
    </w:p>
    <w:p w:rsidR="003727F9" w:rsidRDefault="003727F9" w:rsidP="003727F9">
      <w:pPr>
        <w:rPr>
          <w:lang w:val="en-US"/>
        </w:rPr>
      </w:pPr>
      <w:r>
        <w:rPr>
          <w:lang w:val="en-US"/>
        </w:rPr>
        <w:t>The FD and FDR are measures of the interference coupling mechanism between interferer and receiver and are the basic solutions required for many interference evaluations. They aid in the solution of co-channel frequency sharing and adjacent band or channel interference problems by providing estimates of the minimum frequency and distance separation criteria between interferer and receiver which are required for acceptable receiver performance.</w:t>
      </w:r>
    </w:p>
    <w:p w:rsidR="003727F9" w:rsidRDefault="003727F9" w:rsidP="003727F9">
      <w:pPr>
        <w:rPr>
          <w:lang w:val="en-US"/>
        </w:rPr>
      </w:pPr>
      <w:r>
        <w:rPr>
          <w:lang w:val="en-US"/>
        </w:rPr>
        <w:t>The interference level at the receiver is a function of the gains and losses the interference signal will incur between the source and the receiver and is expressed by:</w:t>
      </w:r>
    </w:p>
    <w:p w:rsidR="003727F9" w:rsidRPr="000C166B" w:rsidRDefault="003727F9" w:rsidP="003727F9">
      <w:pPr>
        <w:pStyle w:val="Equation"/>
        <w:rPr>
          <w:lang w:val="en-US"/>
        </w:rPr>
      </w:pPr>
      <w:r>
        <w:rPr>
          <w:lang w:val="en-US"/>
        </w:rPr>
        <w:tab/>
      </w:r>
      <w:r>
        <w:rPr>
          <w:lang w:val="en-US"/>
        </w:rPr>
        <w:tab/>
      </w:r>
      <w:r w:rsidRPr="000C166B">
        <w:rPr>
          <w:i/>
          <w:lang w:val="en-US"/>
        </w:rPr>
        <w:t>I</w:t>
      </w:r>
      <w:r>
        <w:rPr>
          <w:lang w:val="en-US"/>
        </w:rPr>
        <w:t xml:space="preserve"> = </w:t>
      </w:r>
      <w:r w:rsidRPr="000C166B">
        <w:rPr>
          <w:i/>
          <w:lang w:val="en-US"/>
        </w:rPr>
        <w:t>P</w:t>
      </w:r>
      <w:r w:rsidRPr="000C166B">
        <w:rPr>
          <w:i/>
          <w:vertAlign w:val="subscript"/>
          <w:lang w:val="en-US"/>
        </w:rPr>
        <w:t>t</w:t>
      </w:r>
      <w:r>
        <w:rPr>
          <w:lang w:val="en-US"/>
        </w:rPr>
        <w:t xml:space="preserve"> + </w:t>
      </w:r>
      <w:r w:rsidRPr="000C166B">
        <w:rPr>
          <w:i/>
          <w:lang w:val="en-US"/>
        </w:rPr>
        <w:t>G</w:t>
      </w:r>
      <w:r w:rsidRPr="000C166B">
        <w:rPr>
          <w:i/>
          <w:vertAlign w:val="subscript"/>
          <w:lang w:val="en-US"/>
        </w:rPr>
        <w:t>t</w:t>
      </w:r>
      <w:r>
        <w:rPr>
          <w:lang w:val="en-US"/>
        </w:rPr>
        <w:t xml:space="preserve"> + </w:t>
      </w:r>
      <w:r w:rsidRPr="000C166B">
        <w:rPr>
          <w:i/>
          <w:lang w:val="en-US"/>
        </w:rPr>
        <w:t>G</w:t>
      </w:r>
      <w:r w:rsidRPr="000C166B">
        <w:rPr>
          <w:i/>
          <w:vertAlign w:val="subscript"/>
          <w:lang w:val="en-US"/>
        </w:rPr>
        <w:t>r</w:t>
      </w:r>
      <w:r>
        <w:rPr>
          <w:lang w:val="en-US"/>
        </w:rPr>
        <w:t xml:space="preserve"> – </w:t>
      </w:r>
      <w:proofErr w:type="spellStart"/>
      <w:proofErr w:type="gramStart"/>
      <w:r w:rsidRPr="000C166B">
        <w:rPr>
          <w:i/>
          <w:lang w:val="en-US"/>
        </w:rPr>
        <w:t>L</w:t>
      </w:r>
      <w:r w:rsidRPr="000C166B">
        <w:rPr>
          <w:i/>
          <w:vertAlign w:val="subscript"/>
          <w:lang w:val="en-US"/>
        </w:rPr>
        <w:t>b</w:t>
      </w:r>
      <w:proofErr w:type="spellEnd"/>
      <w:r>
        <w:rPr>
          <w:lang w:val="en-US"/>
        </w:rPr>
        <w:t>(</w:t>
      </w:r>
      <w:proofErr w:type="gramEnd"/>
      <w:r w:rsidRPr="000C166B">
        <w:rPr>
          <w:i/>
          <w:lang w:val="en-US"/>
        </w:rPr>
        <w:t>d</w:t>
      </w:r>
      <w:r>
        <w:rPr>
          <w:lang w:val="en-US"/>
        </w:rPr>
        <w:t xml:space="preserve">) – </w:t>
      </w:r>
      <w:r w:rsidRPr="000C166B">
        <w:rPr>
          <w:i/>
          <w:lang w:val="en-US"/>
        </w:rPr>
        <w:t>FDR</w:t>
      </w:r>
      <w:r>
        <w:rPr>
          <w:lang w:val="en-US"/>
        </w:rPr>
        <w:t>(</w:t>
      </w:r>
      <w:r>
        <w:rPr>
          <w:lang w:val="en-US"/>
        </w:rPr>
        <w:sym w:font="Symbol" w:char="F044"/>
      </w:r>
      <w:r w:rsidRPr="000C166B">
        <w:rPr>
          <w:i/>
          <w:lang w:val="en-US"/>
        </w:rPr>
        <w:t>f</w:t>
      </w:r>
      <w:r w:rsidRPr="000C166B">
        <w:rPr>
          <w:lang w:val="en-US"/>
        </w:rPr>
        <w:t xml:space="preserve"> </w:t>
      </w:r>
      <w:r>
        <w:rPr>
          <w:lang w:val="en-US"/>
        </w:rPr>
        <w:t>)</w:t>
      </w:r>
      <w:r w:rsidRPr="000C166B">
        <w:rPr>
          <w:lang w:val="en-US"/>
        </w:rPr>
        <w:t xml:space="preserve">                </w:t>
      </w:r>
      <w:proofErr w:type="spellStart"/>
      <w:r w:rsidRPr="000C166B">
        <w:rPr>
          <w:lang w:val="en-US"/>
        </w:rPr>
        <w:t>dBW</w:t>
      </w:r>
      <w:proofErr w:type="spellEnd"/>
      <w:r>
        <w:rPr>
          <w:lang w:val="en-US"/>
        </w:rPr>
        <w:tab/>
        <w:t>(1)</w:t>
      </w:r>
    </w:p>
    <w:p w:rsidR="003727F9" w:rsidRPr="004618C0" w:rsidRDefault="003727F9" w:rsidP="003727F9">
      <w:pPr>
        <w:rPr>
          <w:lang w:val="en-US"/>
        </w:rPr>
      </w:pPr>
      <w:proofErr w:type="gramStart"/>
      <w:r w:rsidRPr="004618C0">
        <w:rPr>
          <w:lang w:val="en-US"/>
        </w:rPr>
        <w:t>where</w:t>
      </w:r>
      <w:proofErr w:type="gramEnd"/>
      <w:r w:rsidRPr="004618C0">
        <w:rPr>
          <w:lang w:val="en-US"/>
        </w:rPr>
        <w:t>:</w:t>
      </w:r>
    </w:p>
    <w:p w:rsidR="003727F9" w:rsidRPr="004618C0" w:rsidRDefault="003727F9" w:rsidP="003727F9">
      <w:pPr>
        <w:pStyle w:val="Equationlegend"/>
      </w:pPr>
      <w:r w:rsidRPr="004618C0">
        <w:tab/>
      </w:r>
      <w:proofErr w:type="gramStart"/>
      <w:r w:rsidRPr="004618C0">
        <w:rPr>
          <w:i/>
        </w:rPr>
        <w:t>P</w:t>
      </w:r>
      <w:r w:rsidRPr="00FF0C13">
        <w:rPr>
          <w:i/>
          <w:vertAlign w:val="subscript"/>
        </w:rPr>
        <w:t>t</w:t>
      </w:r>
      <w:r w:rsidRPr="004618C0">
        <w:rPr>
          <w:sz w:val="8"/>
        </w:rPr>
        <w:t> </w:t>
      </w:r>
      <w:r w:rsidRPr="004618C0">
        <w:t>:</w:t>
      </w:r>
      <w:proofErr w:type="gramEnd"/>
      <w:r w:rsidRPr="004618C0">
        <w:tab/>
        <w:t>interferer transmitter power (dB)</w:t>
      </w:r>
    </w:p>
    <w:p w:rsidR="003727F9" w:rsidRPr="004618C0" w:rsidRDefault="003727F9" w:rsidP="003727F9">
      <w:pPr>
        <w:pStyle w:val="Equationlegend"/>
      </w:pPr>
      <w:r w:rsidRPr="004618C0">
        <w:tab/>
      </w:r>
      <w:proofErr w:type="gramStart"/>
      <w:r w:rsidRPr="004618C0">
        <w:rPr>
          <w:i/>
        </w:rPr>
        <w:t>G</w:t>
      </w:r>
      <w:r w:rsidRPr="00FF0C13">
        <w:rPr>
          <w:i/>
          <w:vertAlign w:val="subscript"/>
        </w:rPr>
        <w:t>t</w:t>
      </w:r>
      <w:r w:rsidRPr="004618C0">
        <w:rPr>
          <w:sz w:val="8"/>
        </w:rPr>
        <w:t> </w:t>
      </w:r>
      <w:r w:rsidRPr="004618C0">
        <w:t>:</w:t>
      </w:r>
      <w:proofErr w:type="gramEnd"/>
      <w:r w:rsidRPr="004618C0">
        <w:tab/>
        <w:t>gain of interferer antenna in direction of receiver (</w:t>
      </w:r>
      <w:proofErr w:type="spellStart"/>
      <w:r w:rsidRPr="004618C0">
        <w:t>dBi</w:t>
      </w:r>
      <w:proofErr w:type="spellEnd"/>
      <w:r w:rsidRPr="004618C0">
        <w:t>)</w:t>
      </w:r>
    </w:p>
    <w:p w:rsidR="003727F9" w:rsidRPr="004618C0" w:rsidRDefault="003727F9" w:rsidP="003727F9">
      <w:pPr>
        <w:pStyle w:val="Equationlegend"/>
      </w:pPr>
      <w:r w:rsidRPr="004618C0">
        <w:tab/>
      </w:r>
      <w:proofErr w:type="gramStart"/>
      <w:r w:rsidRPr="004618C0">
        <w:rPr>
          <w:i/>
        </w:rPr>
        <w:t>G</w:t>
      </w:r>
      <w:r w:rsidRPr="00FF0C13">
        <w:rPr>
          <w:i/>
          <w:vertAlign w:val="subscript"/>
        </w:rPr>
        <w:t>r</w:t>
      </w:r>
      <w:r w:rsidRPr="004618C0">
        <w:rPr>
          <w:sz w:val="8"/>
        </w:rPr>
        <w:t> </w:t>
      </w:r>
      <w:r w:rsidRPr="004618C0">
        <w:t>:</w:t>
      </w:r>
      <w:proofErr w:type="gramEnd"/>
      <w:r w:rsidRPr="004618C0">
        <w:tab/>
        <w:t>gain of receiver antenna in direction of interferer (</w:t>
      </w:r>
      <w:proofErr w:type="spellStart"/>
      <w:r w:rsidRPr="004618C0">
        <w:t>dBi</w:t>
      </w:r>
      <w:proofErr w:type="spellEnd"/>
      <w:r w:rsidRPr="004618C0">
        <w:t>)</w:t>
      </w:r>
    </w:p>
    <w:p w:rsidR="003727F9" w:rsidRPr="004618C0" w:rsidRDefault="003727F9" w:rsidP="003727F9">
      <w:pPr>
        <w:pStyle w:val="Equationlegend"/>
      </w:pPr>
      <w:r w:rsidRPr="004618C0">
        <w:tab/>
      </w:r>
      <w:proofErr w:type="spellStart"/>
      <w:r w:rsidRPr="004618C0">
        <w:rPr>
          <w:i/>
        </w:rPr>
        <w:t>L</w:t>
      </w:r>
      <w:r w:rsidRPr="00FF0C13">
        <w:rPr>
          <w:i/>
          <w:vertAlign w:val="subscript"/>
        </w:rPr>
        <w:t>b</w:t>
      </w:r>
      <w:proofErr w:type="spellEnd"/>
      <w:r w:rsidRPr="004618C0">
        <w:rPr>
          <w:position w:val="-3"/>
          <w:sz w:val="12"/>
        </w:rPr>
        <w:t> </w:t>
      </w:r>
      <w:r w:rsidRPr="004618C0">
        <w:t>(</w:t>
      </w:r>
      <w:proofErr w:type="gramStart"/>
      <w:r w:rsidRPr="004618C0">
        <w:rPr>
          <w:i/>
        </w:rPr>
        <w:t>d</w:t>
      </w:r>
      <w:r w:rsidRPr="004618C0">
        <w:rPr>
          <w:sz w:val="8"/>
        </w:rPr>
        <w:t> </w:t>
      </w:r>
      <w:r w:rsidRPr="004618C0">
        <w:t>)</w:t>
      </w:r>
      <w:proofErr w:type="gramEnd"/>
      <w:r w:rsidRPr="004618C0">
        <w:rPr>
          <w:sz w:val="8"/>
        </w:rPr>
        <w:t> </w:t>
      </w:r>
      <w:r w:rsidRPr="004618C0">
        <w:t>:</w:t>
      </w:r>
      <w:r w:rsidRPr="004618C0">
        <w:tab/>
      </w:r>
      <w:r>
        <w:t xml:space="preserve">basic transmission loss for a separation distance </w:t>
      </w:r>
      <w:r>
        <w:rPr>
          <w:i/>
        </w:rPr>
        <w:t>d</w:t>
      </w:r>
      <w:r>
        <w:t xml:space="preserve"> between interferer and receiver (dB) (see Recommendation ITU-R P.341)</w:t>
      </w:r>
    </w:p>
    <w:p w:rsidR="003727F9" w:rsidRPr="004618C0" w:rsidRDefault="003727F9" w:rsidP="003727F9">
      <w:pPr>
        <w:rPr>
          <w:lang w:val="en-US"/>
        </w:rPr>
      </w:pPr>
      <w:proofErr w:type="gramStart"/>
      <w:r w:rsidRPr="004618C0">
        <w:rPr>
          <w:lang w:val="en-US"/>
        </w:rPr>
        <w:t>and</w:t>
      </w:r>
      <w:proofErr w:type="gramEnd"/>
    </w:p>
    <w:p w:rsidR="003727F9" w:rsidRDefault="003727F9" w:rsidP="003727F9">
      <w:pPr>
        <w:pStyle w:val="Equation"/>
        <w:rPr>
          <w:b/>
          <w:lang w:val="en-US"/>
        </w:rPr>
      </w:pPr>
      <w:r w:rsidRPr="004618C0">
        <w:rPr>
          <w:lang w:val="en-US"/>
        </w:rPr>
        <w:tab/>
      </w:r>
      <w:r w:rsidRPr="004618C0">
        <w:rPr>
          <w:lang w:val="en-US"/>
        </w:rPr>
        <w:tab/>
      </w:r>
      <w:r w:rsidRPr="00607063">
        <w:rPr>
          <w:position w:val="-74"/>
        </w:rPr>
        <w:object w:dxaOrig="4239"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35pt;height:79.85pt" o:ole="">
            <v:imagedata r:id="rId6" o:title=""/>
          </v:shape>
          <o:OLEObject Type="Embed" ProgID="Equation.3" ShapeID="_x0000_i1025" DrawAspect="Content" ObjectID="_1629876814" r:id="rId7"/>
        </w:object>
      </w:r>
      <w:r w:rsidRPr="004618C0">
        <w:rPr>
          <w:lang w:val="en-US"/>
        </w:rPr>
        <w:t xml:space="preserve">              </w:t>
      </w:r>
      <w:r>
        <w:rPr>
          <w:lang w:val="en-US"/>
        </w:rPr>
        <w:t xml:space="preserve">  </w:t>
      </w:r>
      <w:proofErr w:type="gramStart"/>
      <w:r w:rsidRPr="004618C0">
        <w:rPr>
          <w:lang w:val="en-US"/>
        </w:rPr>
        <w:t>dB</w:t>
      </w:r>
      <w:proofErr w:type="gramEnd"/>
      <w:r>
        <w:rPr>
          <w:lang w:val="en-US"/>
        </w:rPr>
        <w:tab/>
        <w:t>(2)</w:t>
      </w:r>
    </w:p>
    <w:p w:rsidR="003727F9" w:rsidRPr="004618C0" w:rsidRDefault="00D916E3" w:rsidP="003727F9">
      <w:pPr>
        <w:rPr>
          <w:lang w:val="en-US"/>
        </w:rPr>
      </w:pPr>
      <w:r>
        <w:rPr>
          <w:lang w:val="en-US"/>
        </w:rPr>
        <w:br w:type="page"/>
      </w:r>
      <w:proofErr w:type="gramStart"/>
      <w:r w:rsidR="003727F9">
        <w:rPr>
          <w:lang w:val="en-US"/>
        </w:rPr>
        <w:lastRenderedPageBreak/>
        <w:t>where</w:t>
      </w:r>
      <w:proofErr w:type="gramEnd"/>
      <w:r w:rsidR="003727F9" w:rsidRPr="004618C0">
        <w:rPr>
          <w:lang w:val="en-US"/>
        </w:rPr>
        <w:t>:</w:t>
      </w:r>
    </w:p>
    <w:p w:rsidR="003727F9" w:rsidRPr="004618C0" w:rsidRDefault="003727F9" w:rsidP="003727F9">
      <w:pPr>
        <w:pStyle w:val="Equationlegend"/>
      </w:pPr>
      <w:r w:rsidRPr="004618C0">
        <w:tab/>
      </w:r>
      <w:proofErr w:type="gramStart"/>
      <w:r w:rsidRPr="004618C0">
        <w:rPr>
          <w:i/>
        </w:rPr>
        <w:t>P</w:t>
      </w:r>
      <w:r w:rsidRPr="004618C0">
        <w:t>(</w:t>
      </w:r>
      <w:proofErr w:type="gramEnd"/>
      <w:r w:rsidRPr="004618C0">
        <w:rPr>
          <w:sz w:val="8"/>
        </w:rPr>
        <w:t> </w:t>
      </w:r>
      <w:r w:rsidRPr="004618C0">
        <w:rPr>
          <w:i/>
        </w:rPr>
        <w:t>f</w:t>
      </w:r>
      <w:r w:rsidRPr="004618C0">
        <w:rPr>
          <w:sz w:val="8"/>
        </w:rPr>
        <w:t> </w:t>
      </w:r>
      <w:r w:rsidRPr="004618C0">
        <w:t>)</w:t>
      </w:r>
      <w:r w:rsidRPr="004618C0">
        <w:rPr>
          <w:sz w:val="8"/>
        </w:rPr>
        <w:t> </w:t>
      </w:r>
      <w:r w:rsidRPr="004618C0">
        <w:t>:</w:t>
      </w:r>
      <w:r w:rsidRPr="004618C0">
        <w:rPr>
          <w:sz w:val="16"/>
        </w:rPr>
        <w:tab/>
      </w:r>
      <w:r>
        <w:t>power spectral density of the interfering signal equivalent intermediate frequency (IF)</w:t>
      </w:r>
    </w:p>
    <w:p w:rsidR="003727F9" w:rsidRPr="004618C0" w:rsidRDefault="003727F9" w:rsidP="003727F9">
      <w:pPr>
        <w:pStyle w:val="Equationlegend"/>
      </w:pPr>
      <w:r w:rsidRPr="004618C0">
        <w:tab/>
      </w:r>
      <w:proofErr w:type="gramStart"/>
      <w:r w:rsidRPr="004618C0">
        <w:rPr>
          <w:i/>
        </w:rPr>
        <w:t>H</w:t>
      </w:r>
      <w:r w:rsidRPr="004618C0">
        <w:t>(</w:t>
      </w:r>
      <w:proofErr w:type="gramEnd"/>
      <w:r w:rsidRPr="004618C0">
        <w:rPr>
          <w:sz w:val="8"/>
        </w:rPr>
        <w:t> </w:t>
      </w:r>
      <w:r w:rsidRPr="004618C0">
        <w:rPr>
          <w:i/>
        </w:rPr>
        <w:t>f</w:t>
      </w:r>
      <w:r w:rsidRPr="004618C0">
        <w:rPr>
          <w:sz w:val="8"/>
        </w:rPr>
        <w:t> </w:t>
      </w:r>
      <w:r w:rsidRPr="004618C0">
        <w:t>)</w:t>
      </w:r>
      <w:r w:rsidRPr="004618C0">
        <w:rPr>
          <w:sz w:val="8"/>
        </w:rPr>
        <w:t xml:space="preserve"> </w:t>
      </w:r>
      <w:r w:rsidRPr="004618C0">
        <w:t>:</w:t>
      </w:r>
      <w:r w:rsidRPr="004618C0">
        <w:tab/>
      </w:r>
      <w:r>
        <w:t>frequency response of the receiver</w:t>
      </w:r>
    </w:p>
    <w:p w:rsidR="003727F9" w:rsidRDefault="003727F9" w:rsidP="003727F9">
      <w:pPr>
        <w:pStyle w:val="Equation"/>
        <w:rPr>
          <w:b/>
          <w:lang w:val="en-US"/>
        </w:rPr>
      </w:pPr>
      <w:r w:rsidRPr="004618C0">
        <w:rPr>
          <w:lang w:val="en-US"/>
        </w:rPr>
        <w:tab/>
      </w:r>
      <w:r w:rsidRPr="004618C0">
        <w:rPr>
          <w:lang w:val="en-US"/>
        </w:rPr>
        <w:tab/>
      </w:r>
      <w:r>
        <w:rPr>
          <w:lang w:val="en-US"/>
        </w:rPr>
        <w:sym w:font="Symbol" w:char="F044"/>
      </w:r>
      <w:r w:rsidRPr="00C1569F">
        <w:rPr>
          <w:i/>
          <w:lang w:val="en-US"/>
        </w:rPr>
        <w:t>f</w:t>
      </w:r>
      <w:r>
        <w:rPr>
          <w:lang w:val="en-US"/>
        </w:rPr>
        <w:t xml:space="preserve"> = </w:t>
      </w:r>
      <w:proofErr w:type="spellStart"/>
      <w:r w:rsidRPr="00C1569F">
        <w:rPr>
          <w:i/>
          <w:lang w:val="en-US"/>
        </w:rPr>
        <w:t>f</w:t>
      </w:r>
      <w:r w:rsidRPr="00C1569F">
        <w:rPr>
          <w:i/>
          <w:vertAlign w:val="subscript"/>
          <w:lang w:val="en-US"/>
        </w:rPr>
        <w:t>t</w:t>
      </w:r>
      <w:proofErr w:type="spellEnd"/>
      <w:r>
        <w:rPr>
          <w:lang w:val="en-US"/>
        </w:rPr>
        <w:t xml:space="preserve"> – </w:t>
      </w:r>
      <w:proofErr w:type="spellStart"/>
      <w:proofErr w:type="gramStart"/>
      <w:r w:rsidRPr="00C1569F">
        <w:rPr>
          <w:i/>
          <w:lang w:val="en-US"/>
        </w:rPr>
        <w:t>f</w:t>
      </w:r>
      <w:r w:rsidRPr="00C1569F">
        <w:rPr>
          <w:i/>
          <w:vertAlign w:val="subscript"/>
          <w:lang w:val="en-US"/>
        </w:rPr>
        <w:t>r</w:t>
      </w:r>
      <w:proofErr w:type="spellEnd"/>
      <w:proofErr w:type="gramEnd"/>
    </w:p>
    <w:p w:rsidR="003727F9" w:rsidRPr="004618C0" w:rsidRDefault="003727F9" w:rsidP="003727F9">
      <w:pPr>
        <w:pStyle w:val="enumlev2"/>
        <w:rPr>
          <w:lang w:val="en-US"/>
        </w:rPr>
      </w:pPr>
      <w:proofErr w:type="gramStart"/>
      <w:r>
        <w:rPr>
          <w:lang w:val="en-US"/>
        </w:rPr>
        <w:t>where</w:t>
      </w:r>
      <w:proofErr w:type="gramEnd"/>
      <w:r w:rsidRPr="004618C0">
        <w:rPr>
          <w:lang w:val="en-US"/>
        </w:rPr>
        <w:t>:</w:t>
      </w:r>
    </w:p>
    <w:p w:rsidR="003727F9" w:rsidRPr="004618C0" w:rsidRDefault="003727F9" w:rsidP="00D17DB3">
      <w:pPr>
        <w:pStyle w:val="Equationlegend"/>
      </w:pPr>
      <w:r>
        <w:rPr>
          <w:i/>
        </w:rPr>
        <w:tab/>
      </w:r>
      <w:proofErr w:type="spellStart"/>
      <w:proofErr w:type="gramStart"/>
      <w:r w:rsidRPr="004618C0">
        <w:rPr>
          <w:i/>
        </w:rPr>
        <w:t>f</w:t>
      </w:r>
      <w:r w:rsidRPr="00C1569F">
        <w:rPr>
          <w:i/>
          <w:vertAlign w:val="subscript"/>
        </w:rPr>
        <w:t>t</w:t>
      </w:r>
      <w:proofErr w:type="spellEnd"/>
      <w:r w:rsidRPr="004618C0">
        <w:rPr>
          <w:sz w:val="8"/>
        </w:rPr>
        <w:t xml:space="preserve"> </w:t>
      </w:r>
      <w:r w:rsidRPr="004618C0">
        <w:t>:</w:t>
      </w:r>
      <w:proofErr w:type="gramEnd"/>
      <w:r w:rsidRPr="004618C0">
        <w:tab/>
      </w:r>
      <w:r>
        <w:t xml:space="preserve">interferer </w:t>
      </w:r>
      <w:r w:rsidR="00D17DB3">
        <w:t>tuned</w:t>
      </w:r>
      <w:r>
        <w:t xml:space="preserve"> frequency</w:t>
      </w:r>
    </w:p>
    <w:p w:rsidR="003727F9" w:rsidRPr="004618C0" w:rsidRDefault="003727F9" w:rsidP="003727F9">
      <w:pPr>
        <w:pStyle w:val="Equationlegend"/>
      </w:pPr>
      <w:r>
        <w:rPr>
          <w:i/>
        </w:rPr>
        <w:tab/>
      </w:r>
      <w:proofErr w:type="spellStart"/>
      <w:proofErr w:type="gramStart"/>
      <w:r w:rsidRPr="004618C0">
        <w:rPr>
          <w:i/>
        </w:rPr>
        <w:t>f</w:t>
      </w:r>
      <w:r w:rsidRPr="00C1569F">
        <w:rPr>
          <w:i/>
          <w:vertAlign w:val="subscript"/>
        </w:rPr>
        <w:t>r</w:t>
      </w:r>
      <w:proofErr w:type="spellEnd"/>
      <w:r w:rsidRPr="004618C0">
        <w:rPr>
          <w:sz w:val="8"/>
        </w:rPr>
        <w:t xml:space="preserve"> </w:t>
      </w:r>
      <w:r w:rsidRPr="004618C0">
        <w:t>:</w:t>
      </w:r>
      <w:proofErr w:type="gramEnd"/>
      <w:r w:rsidRPr="004618C0">
        <w:tab/>
      </w:r>
      <w:r>
        <w:t>receiver tuned frequency.</w:t>
      </w:r>
    </w:p>
    <w:p w:rsidR="003727F9" w:rsidRDefault="003727F9" w:rsidP="003727F9">
      <w:pPr>
        <w:rPr>
          <w:lang w:val="en-US"/>
        </w:rPr>
      </w:pPr>
      <w:r w:rsidRPr="004618C0">
        <w:rPr>
          <w:lang w:val="en-US"/>
        </w:rPr>
        <w:t>The FDR can be divided into two terms, the on-tune rejection (OTR) and the off-frequency rejection (OFR), the additional rejection which results from off-tuning interferer and receiver.</w:t>
      </w:r>
    </w:p>
    <w:p w:rsidR="003727F9" w:rsidRPr="004618C0" w:rsidRDefault="003727F9" w:rsidP="003727F9">
      <w:pPr>
        <w:pStyle w:val="Blanc"/>
      </w:pPr>
    </w:p>
    <w:p w:rsidR="003727F9" w:rsidRPr="004618C0" w:rsidRDefault="003727F9" w:rsidP="003727F9">
      <w:pPr>
        <w:pStyle w:val="Equation"/>
        <w:rPr>
          <w:lang w:val="en-US"/>
        </w:rPr>
      </w:pPr>
      <w:r w:rsidRPr="004618C0">
        <w:rPr>
          <w:lang w:val="en-US"/>
        </w:rPr>
        <w:tab/>
      </w:r>
      <w:r w:rsidRPr="004618C0">
        <w:rPr>
          <w:lang w:val="en-US"/>
        </w:rPr>
        <w:tab/>
      </w:r>
      <w:proofErr w:type="gramStart"/>
      <w:r w:rsidRPr="00C1569F">
        <w:rPr>
          <w:i/>
          <w:lang w:val="en-US"/>
        </w:rPr>
        <w:t>FDR</w:t>
      </w:r>
      <w:r>
        <w:rPr>
          <w:lang w:val="en-US"/>
        </w:rPr>
        <w:t>(</w:t>
      </w:r>
      <w:proofErr w:type="gramEnd"/>
      <w:r>
        <w:rPr>
          <w:lang w:val="en-US"/>
        </w:rPr>
        <w:sym w:font="Symbol" w:char="F044"/>
      </w:r>
      <w:r w:rsidRPr="00C1569F">
        <w:rPr>
          <w:i/>
          <w:lang w:val="en-US"/>
        </w:rPr>
        <w:t>f</w:t>
      </w:r>
      <w:r w:rsidRPr="00C1569F">
        <w:rPr>
          <w:i/>
          <w:sz w:val="8"/>
          <w:szCs w:val="8"/>
          <w:lang w:val="en-US"/>
        </w:rPr>
        <w:t xml:space="preserve"> </w:t>
      </w:r>
      <w:r>
        <w:rPr>
          <w:lang w:val="en-US"/>
        </w:rPr>
        <w:t xml:space="preserve">) = </w:t>
      </w:r>
      <w:r w:rsidRPr="00C1569F">
        <w:rPr>
          <w:i/>
          <w:lang w:val="en-US"/>
        </w:rPr>
        <w:t>OTR</w:t>
      </w:r>
      <w:r>
        <w:rPr>
          <w:lang w:val="en-US"/>
        </w:rPr>
        <w:t xml:space="preserve"> + </w:t>
      </w:r>
      <w:r w:rsidRPr="00C1569F">
        <w:rPr>
          <w:i/>
          <w:lang w:val="en-US"/>
        </w:rPr>
        <w:t>OFR</w:t>
      </w:r>
      <w:r>
        <w:rPr>
          <w:lang w:val="en-US"/>
        </w:rPr>
        <w:t>(</w:t>
      </w:r>
      <w:r>
        <w:rPr>
          <w:lang w:val="en-US"/>
        </w:rPr>
        <w:sym w:font="Symbol" w:char="F044"/>
      </w:r>
      <w:r w:rsidRPr="00C1569F">
        <w:rPr>
          <w:i/>
          <w:lang w:val="en-US"/>
        </w:rPr>
        <w:t>f</w:t>
      </w:r>
      <w:r w:rsidRPr="00C1569F">
        <w:rPr>
          <w:sz w:val="8"/>
          <w:szCs w:val="8"/>
          <w:lang w:val="en-US"/>
        </w:rPr>
        <w:t xml:space="preserve"> </w:t>
      </w:r>
      <w:r>
        <w:rPr>
          <w:lang w:val="en-US"/>
        </w:rPr>
        <w:t>)</w:t>
      </w:r>
      <w:r w:rsidRPr="004618C0">
        <w:rPr>
          <w:lang w:val="en-US"/>
        </w:rPr>
        <w:t xml:space="preserve">                dB</w:t>
      </w:r>
      <w:r w:rsidRPr="004618C0">
        <w:rPr>
          <w:lang w:val="en-US"/>
        </w:rPr>
        <w:tab/>
        <w:t>(3)</w:t>
      </w:r>
    </w:p>
    <w:p w:rsidR="003727F9" w:rsidRPr="004618C0" w:rsidRDefault="003727F9" w:rsidP="003727F9">
      <w:pPr>
        <w:rPr>
          <w:lang w:val="en-US"/>
        </w:rPr>
      </w:pPr>
      <w:proofErr w:type="gramStart"/>
      <w:r>
        <w:rPr>
          <w:lang w:val="en-US"/>
        </w:rPr>
        <w:t>where</w:t>
      </w:r>
      <w:proofErr w:type="gramEnd"/>
      <w:r w:rsidRPr="004618C0">
        <w:rPr>
          <w:lang w:val="en-US"/>
        </w:rPr>
        <w:t>:</w:t>
      </w:r>
    </w:p>
    <w:p w:rsidR="003727F9" w:rsidRDefault="003727F9" w:rsidP="003727F9">
      <w:pPr>
        <w:pStyle w:val="Equation"/>
        <w:rPr>
          <w:lang w:val="en-US"/>
        </w:rPr>
      </w:pPr>
      <w:r>
        <w:rPr>
          <w:lang w:val="en-US"/>
        </w:rPr>
        <w:tab/>
      </w:r>
      <w:r>
        <w:rPr>
          <w:lang w:val="en-US"/>
        </w:rPr>
        <w:tab/>
      </w:r>
      <w:r w:rsidRPr="00C1569F">
        <w:rPr>
          <w:position w:val="-74"/>
          <w:lang w:val="en-US"/>
        </w:rPr>
        <w:object w:dxaOrig="3280" w:dyaOrig="1600">
          <v:shape id="_x0000_i1026" type="#_x0000_t75" style="width:163.95pt;height:79.85pt" o:ole="">
            <v:imagedata r:id="rId8" o:title=""/>
          </v:shape>
          <o:OLEObject Type="Embed" ProgID="Equation.3" ShapeID="_x0000_i1026" DrawAspect="Content" ObjectID="_1629876815" r:id="rId9"/>
        </w:object>
      </w:r>
      <w:r w:rsidRPr="004618C0">
        <w:rPr>
          <w:lang w:val="en-US"/>
        </w:rPr>
        <w:t xml:space="preserve">                </w:t>
      </w:r>
      <w:proofErr w:type="gramStart"/>
      <w:r>
        <w:rPr>
          <w:lang w:val="en-US"/>
        </w:rPr>
        <w:t>dB</w:t>
      </w:r>
      <w:proofErr w:type="gramEnd"/>
      <w:r>
        <w:rPr>
          <w:lang w:val="en-US"/>
        </w:rPr>
        <w:tab/>
        <w:t>(4)</w:t>
      </w:r>
    </w:p>
    <w:p w:rsidR="003727F9" w:rsidRDefault="003727F9" w:rsidP="003727F9">
      <w:pPr>
        <w:pStyle w:val="Blanc"/>
      </w:pPr>
    </w:p>
    <w:p w:rsidR="003727F9" w:rsidRDefault="003727F9" w:rsidP="003727F9">
      <w:pPr>
        <w:pStyle w:val="Equation"/>
        <w:rPr>
          <w:lang w:val="en-US"/>
        </w:rPr>
      </w:pPr>
      <w:r>
        <w:rPr>
          <w:lang w:val="en-US"/>
        </w:rPr>
        <w:tab/>
      </w:r>
      <w:r>
        <w:rPr>
          <w:lang w:val="en-US"/>
        </w:rPr>
        <w:tab/>
      </w:r>
      <w:r w:rsidR="008F080E" w:rsidRPr="008F080E">
        <w:rPr>
          <w:position w:val="-78"/>
          <w:lang w:val="en-US"/>
        </w:rPr>
        <w:object w:dxaOrig="3920" w:dyaOrig="1680">
          <v:shape id="_x0000_i1027" type="#_x0000_t75" style="width:196.05pt;height:84.1pt" o:ole="">
            <v:imagedata r:id="rId10" o:title=""/>
          </v:shape>
          <o:OLEObject Type="Embed" ProgID="Equation.3" ShapeID="_x0000_i1027" DrawAspect="Content" ObjectID="_1629876816" r:id="rId11"/>
        </w:object>
      </w:r>
      <w:r w:rsidRPr="004618C0">
        <w:rPr>
          <w:lang w:val="en-US"/>
        </w:rPr>
        <w:t xml:space="preserve">                </w:t>
      </w:r>
      <w:proofErr w:type="gramStart"/>
      <w:r>
        <w:rPr>
          <w:lang w:val="en-US"/>
        </w:rPr>
        <w:t>dB</w:t>
      </w:r>
      <w:proofErr w:type="gramEnd"/>
      <w:r>
        <w:rPr>
          <w:lang w:val="en-US"/>
        </w:rPr>
        <w:tab/>
        <w:t>(5)</w:t>
      </w:r>
    </w:p>
    <w:p w:rsidR="003727F9" w:rsidRDefault="003727F9" w:rsidP="003727F9">
      <w:pPr>
        <w:pStyle w:val="Blanc"/>
      </w:pPr>
    </w:p>
    <w:p w:rsidR="003727F9" w:rsidRDefault="003727F9" w:rsidP="003727F9">
      <w:pPr>
        <w:rPr>
          <w:lang w:val="en-US"/>
        </w:rPr>
      </w:pPr>
      <w:r>
        <w:rPr>
          <w:lang w:val="en-US"/>
        </w:rPr>
        <w:t>The on-tune rejection also called the correction factor, can often be approximated by:</w:t>
      </w:r>
    </w:p>
    <w:p w:rsidR="003727F9" w:rsidRDefault="003727F9" w:rsidP="003727F9">
      <w:pPr>
        <w:pStyle w:val="Blanc"/>
      </w:pPr>
      <w:bookmarkStart w:id="1" w:name="F009"/>
    </w:p>
    <w:p w:rsidR="003727F9" w:rsidRPr="004618C0" w:rsidRDefault="003727F9" w:rsidP="003727F9">
      <w:pPr>
        <w:pStyle w:val="Equation"/>
        <w:rPr>
          <w:lang w:val="en-US"/>
        </w:rPr>
      </w:pPr>
      <w:r w:rsidRPr="003727F9">
        <w:rPr>
          <w:lang w:val="en-US"/>
        </w:rPr>
        <w:tab/>
      </w:r>
      <w:r w:rsidRPr="003727F9">
        <w:rPr>
          <w:lang w:val="en-US"/>
        </w:rPr>
        <w:tab/>
      </w:r>
      <w:r w:rsidRPr="00100DC7">
        <w:rPr>
          <w:position w:val="-32"/>
        </w:rPr>
        <w:object w:dxaOrig="3040" w:dyaOrig="760">
          <v:shape id="_x0000_i1028" type="#_x0000_t75" style="width:151.25pt;height:38.1pt" o:ole="">
            <v:imagedata r:id="rId12" o:title=""/>
          </v:shape>
          <o:OLEObject Type="Embed" ProgID="Equation.3" ShapeID="_x0000_i1028" DrawAspect="Content" ObjectID="_1629876817" r:id="rId13"/>
        </w:object>
      </w:r>
      <w:r w:rsidRPr="004618C0">
        <w:rPr>
          <w:lang w:val="en-US"/>
        </w:rPr>
        <w:tab/>
        <w:t>(6)</w:t>
      </w:r>
      <w:bookmarkEnd w:id="1"/>
    </w:p>
    <w:p w:rsidR="003727F9" w:rsidRPr="004618C0" w:rsidRDefault="003727F9" w:rsidP="003727F9">
      <w:pPr>
        <w:rPr>
          <w:lang w:val="en-US"/>
        </w:rPr>
      </w:pPr>
      <w:proofErr w:type="gramStart"/>
      <w:r>
        <w:rPr>
          <w:lang w:val="en-US"/>
        </w:rPr>
        <w:t>where</w:t>
      </w:r>
      <w:proofErr w:type="gramEnd"/>
      <w:r w:rsidRPr="004618C0">
        <w:rPr>
          <w:lang w:val="en-US"/>
        </w:rPr>
        <w:t>:</w:t>
      </w:r>
    </w:p>
    <w:p w:rsidR="003727F9" w:rsidRPr="004618C0" w:rsidRDefault="003727F9" w:rsidP="003727F9">
      <w:pPr>
        <w:pStyle w:val="Equationlegend"/>
      </w:pPr>
      <w:r>
        <w:tab/>
      </w:r>
      <w:proofErr w:type="gramStart"/>
      <w:r w:rsidRPr="004618C0">
        <w:rPr>
          <w:i/>
        </w:rPr>
        <w:t>B</w:t>
      </w:r>
      <w:r w:rsidRPr="00C1569F">
        <w:rPr>
          <w:i/>
          <w:vertAlign w:val="subscript"/>
        </w:rPr>
        <w:t>R</w:t>
      </w:r>
      <w:r w:rsidRPr="004618C0">
        <w:rPr>
          <w:sz w:val="8"/>
        </w:rPr>
        <w:t xml:space="preserve"> </w:t>
      </w:r>
      <w:r w:rsidRPr="004618C0">
        <w:t>:</w:t>
      </w:r>
      <w:proofErr w:type="gramEnd"/>
      <w:r w:rsidRPr="004618C0">
        <w:tab/>
      </w:r>
      <w:r>
        <w:t>interfered receiver 3 dB bandwidth (Hz)</w:t>
      </w:r>
    </w:p>
    <w:p w:rsidR="003727F9" w:rsidRPr="00E34D2E" w:rsidRDefault="003727F9" w:rsidP="003727F9">
      <w:pPr>
        <w:pStyle w:val="Equationlegend"/>
        <w:rPr>
          <w:lang w:val="de-CH"/>
        </w:rPr>
      </w:pPr>
      <w:r>
        <w:tab/>
      </w:r>
      <w:r w:rsidRPr="00E34D2E">
        <w:rPr>
          <w:i/>
          <w:lang w:val="de-CH"/>
        </w:rPr>
        <w:t>B</w:t>
      </w:r>
      <w:r w:rsidRPr="00E34D2E">
        <w:rPr>
          <w:i/>
          <w:vertAlign w:val="subscript"/>
          <w:lang w:val="de-CH"/>
        </w:rPr>
        <w:t>T</w:t>
      </w:r>
      <w:r w:rsidRPr="00E34D2E">
        <w:rPr>
          <w:sz w:val="8"/>
          <w:lang w:val="de-CH"/>
        </w:rPr>
        <w:t xml:space="preserve"> </w:t>
      </w:r>
      <w:r w:rsidRPr="00E34D2E">
        <w:rPr>
          <w:lang w:val="de-CH"/>
        </w:rPr>
        <w:t>:</w:t>
      </w:r>
      <w:r w:rsidRPr="00E34D2E">
        <w:rPr>
          <w:lang w:val="de-CH"/>
        </w:rPr>
        <w:tab/>
        <w:t>interferer transmitter 3 dB bandwidth (Hz)</w:t>
      </w:r>
    </w:p>
    <w:p w:rsidR="003727F9" w:rsidRPr="004618C0" w:rsidRDefault="003727F9" w:rsidP="003727F9">
      <w:pPr>
        <w:pStyle w:val="Equationlegend"/>
      </w:pPr>
      <w:r w:rsidRPr="00E34D2E">
        <w:rPr>
          <w:lang w:val="de-CH"/>
        </w:rPr>
        <w:tab/>
      </w:r>
      <w:r w:rsidRPr="004618C0">
        <w:rPr>
          <w:i/>
        </w:rPr>
        <w:t>K</w:t>
      </w:r>
      <w:r w:rsidRPr="004618C0">
        <w:t xml:space="preserve"> </w:t>
      </w:r>
      <w:r>
        <w:rPr>
          <w:rFonts w:ascii="Symbol" w:hAnsi="Symbol"/>
        </w:rPr>
        <w:t></w:t>
      </w:r>
      <w:r w:rsidRPr="004618C0">
        <w:tab/>
      </w:r>
      <w:r>
        <w:t>20 for non-coherent signals</w:t>
      </w:r>
    </w:p>
    <w:p w:rsidR="003727F9" w:rsidRPr="004618C0" w:rsidRDefault="003727F9" w:rsidP="003727F9">
      <w:pPr>
        <w:pStyle w:val="Equationlegend"/>
      </w:pPr>
      <w:r>
        <w:tab/>
      </w:r>
      <w:r w:rsidRPr="004618C0">
        <w:rPr>
          <w:i/>
          <w:color w:val="FFFFFF"/>
        </w:rPr>
        <w:t>K</w:t>
      </w:r>
      <w:r w:rsidRPr="004618C0">
        <w:rPr>
          <w:color w:val="FFFFFF"/>
        </w:rPr>
        <w:t xml:space="preserve"> </w:t>
      </w:r>
      <w:r>
        <w:rPr>
          <w:rFonts w:ascii="Symbol" w:hAnsi="Symbol"/>
        </w:rPr>
        <w:t></w:t>
      </w:r>
      <w:r w:rsidRPr="004618C0">
        <w:rPr>
          <w:i/>
          <w:color w:val="000000"/>
        </w:rPr>
        <w:tab/>
      </w:r>
      <w:r>
        <w:t>20 for pulse signals.</w:t>
      </w:r>
    </w:p>
    <w:p w:rsidR="003727F9" w:rsidRPr="004618C0" w:rsidRDefault="003727F9" w:rsidP="003727F9">
      <w:pPr>
        <w:pStyle w:val="AnnexNoTitle"/>
        <w:rPr>
          <w:lang w:val="en-US"/>
        </w:rPr>
      </w:pPr>
      <w:r w:rsidRPr="004618C0">
        <w:rPr>
          <w:lang w:val="en-US"/>
        </w:rPr>
        <w:lastRenderedPageBreak/>
        <w:t>Annex 2</w:t>
      </w:r>
      <w:r w:rsidRPr="004618C0">
        <w:rPr>
          <w:lang w:val="en-US"/>
        </w:rPr>
        <w:br/>
      </w:r>
      <w:r w:rsidRPr="004618C0">
        <w:rPr>
          <w:lang w:val="en-US"/>
        </w:rPr>
        <w:br/>
        <w:t xml:space="preserve">Methodology to determine frequency and </w:t>
      </w:r>
      <w:r w:rsidRPr="004618C0">
        <w:rPr>
          <w:lang w:val="en-US"/>
        </w:rPr>
        <w:br/>
        <w:t>distance separation for radio systems</w:t>
      </w:r>
    </w:p>
    <w:p w:rsidR="003727F9" w:rsidRPr="004618C0" w:rsidRDefault="003727F9" w:rsidP="003727F9">
      <w:pPr>
        <w:pStyle w:val="Heading1"/>
        <w:rPr>
          <w:lang w:val="en-US"/>
        </w:rPr>
      </w:pPr>
      <w:r w:rsidRPr="004618C0">
        <w:rPr>
          <w:lang w:val="en-US"/>
        </w:rPr>
        <w:t>1</w:t>
      </w:r>
      <w:r w:rsidRPr="004618C0">
        <w:rPr>
          <w:lang w:val="en-US"/>
        </w:rPr>
        <w:tab/>
        <w:t>Introduction</w:t>
      </w:r>
    </w:p>
    <w:p w:rsidR="003727F9" w:rsidRPr="004618C0" w:rsidRDefault="003727F9" w:rsidP="003727F9">
      <w:pPr>
        <w:rPr>
          <w:lang w:val="en-US"/>
        </w:rPr>
      </w:pPr>
      <w:r w:rsidRPr="004618C0">
        <w:rPr>
          <w:lang w:val="en-US"/>
        </w:rPr>
        <w:t xml:space="preserve">It is well known that FD rules are an important part of the frequency management process in most radio services. In channelized services, these rules take the following form: co-channel transmitters must be separated by at least </w:t>
      </w:r>
      <w:r w:rsidRPr="004618C0">
        <w:rPr>
          <w:i/>
          <w:lang w:val="en-US"/>
        </w:rPr>
        <w:t>d</w:t>
      </w:r>
      <w:r w:rsidRPr="003727F9">
        <w:rPr>
          <w:vertAlign w:val="subscript"/>
          <w:lang w:val="en-US"/>
        </w:rPr>
        <w:t>0</w:t>
      </w:r>
      <w:r w:rsidRPr="004618C0">
        <w:rPr>
          <w:lang w:val="en-US"/>
        </w:rPr>
        <w:t xml:space="preserve"> (km), the adjacent channel transmitters must be separated by at least </w:t>
      </w:r>
      <w:r w:rsidRPr="004618C0">
        <w:rPr>
          <w:i/>
          <w:lang w:val="en-US"/>
        </w:rPr>
        <w:t>d</w:t>
      </w:r>
      <w:r w:rsidRPr="003727F9">
        <w:rPr>
          <w:vertAlign w:val="subscript"/>
          <w:lang w:val="en-US"/>
        </w:rPr>
        <w:t>1</w:t>
      </w:r>
      <w:r w:rsidRPr="004618C0">
        <w:rPr>
          <w:lang w:val="en-US"/>
        </w:rPr>
        <w:t xml:space="preserve"> (km), transmitters separated by two channels must be at least </w:t>
      </w:r>
      <w:r w:rsidRPr="004618C0">
        <w:rPr>
          <w:i/>
          <w:lang w:val="en-US"/>
        </w:rPr>
        <w:t>d</w:t>
      </w:r>
      <w:r w:rsidRPr="003727F9">
        <w:rPr>
          <w:vertAlign w:val="subscript"/>
          <w:lang w:val="en-US"/>
        </w:rPr>
        <w:t>2</w:t>
      </w:r>
      <w:r w:rsidRPr="004618C0">
        <w:rPr>
          <w:lang w:val="en-US"/>
        </w:rPr>
        <w:t xml:space="preserve"> (km) away and so on. For older technologies the FD rules are usually well known by now. However, the introduction of new technologies raises the question: what kind of FD rules a spectrum manager should apply when new and old systems occupy the same frequency band? The methodology that is required to determine FD separation rules between both similar and dissimilar systems is given below.</w:t>
      </w:r>
    </w:p>
    <w:p w:rsidR="003727F9" w:rsidRPr="004618C0" w:rsidRDefault="003727F9" w:rsidP="003727F9">
      <w:pPr>
        <w:pStyle w:val="Heading1"/>
        <w:rPr>
          <w:lang w:val="en-US"/>
        </w:rPr>
      </w:pPr>
      <w:r w:rsidRPr="004618C0">
        <w:rPr>
          <w:lang w:val="en-US"/>
        </w:rPr>
        <w:t>2</w:t>
      </w:r>
      <w:r w:rsidRPr="004618C0">
        <w:rPr>
          <w:lang w:val="en-US"/>
        </w:rPr>
        <w:tab/>
        <w:t>Methodology</w:t>
      </w:r>
    </w:p>
    <w:p w:rsidR="003727F9" w:rsidRPr="004618C0" w:rsidRDefault="003727F9" w:rsidP="003727F9">
      <w:pPr>
        <w:rPr>
          <w:color w:val="000000"/>
          <w:lang w:val="en-US"/>
        </w:rPr>
      </w:pPr>
      <w:r w:rsidRPr="004618C0">
        <w:rPr>
          <w:color w:val="000000"/>
          <w:lang w:val="en-US"/>
        </w:rPr>
        <w:t xml:space="preserve">The development of a new </w:t>
      </w:r>
      <w:r w:rsidRPr="004618C0">
        <w:rPr>
          <w:lang w:val="en-US"/>
        </w:rPr>
        <w:t>FD</w:t>
      </w:r>
      <w:r w:rsidRPr="004618C0">
        <w:rPr>
          <w:color w:val="000000"/>
          <w:lang w:val="en-US"/>
        </w:rPr>
        <w:t xml:space="preserve"> rule requires the computation of the level of interference at the input of the victim receiver, and also requires the definition of an acceptable interference criterion.</w:t>
      </w:r>
    </w:p>
    <w:p w:rsidR="003727F9" w:rsidRPr="004618C0" w:rsidRDefault="003727F9" w:rsidP="003727F9">
      <w:pPr>
        <w:pStyle w:val="Heading2"/>
        <w:rPr>
          <w:lang w:val="en-US"/>
        </w:rPr>
      </w:pPr>
      <w:r w:rsidRPr="004618C0">
        <w:rPr>
          <w:lang w:val="en-US"/>
        </w:rPr>
        <w:t>2.1</w:t>
      </w:r>
      <w:r w:rsidRPr="004618C0">
        <w:rPr>
          <w:lang w:val="en-US"/>
        </w:rPr>
        <w:tab/>
        <w:t>Interference computation</w:t>
      </w:r>
    </w:p>
    <w:p w:rsidR="003727F9" w:rsidRPr="004618C0" w:rsidRDefault="003727F9" w:rsidP="003727F9">
      <w:pPr>
        <w:rPr>
          <w:lang w:val="en-US"/>
        </w:rPr>
      </w:pPr>
      <w:r w:rsidRPr="004618C0">
        <w:rPr>
          <w:color w:val="000000"/>
          <w:lang w:val="en-US"/>
        </w:rPr>
        <w:t>This depends on two primary factors: a spectral factor and a spatial factor.</w:t>
      </w:r>
    </w:p>
    <w:p w:rsidR="003727F9" w:rsidRPr="004618C0" w:rsidRDefault="003727F9" w:rsidP="003727F9">
      <w:pPr>
        <w:rPr>
          <w:lang w:val="en-US"/>
        </w:rPr>
      </w:pPr>
      <w:r w:rsidRPr="004618C0">
        <w:rPr>
          <w:lang w:val="en-US"/>
        </w:rPr>
        <w:t xml:space="preserve">The </w:t>
      </w:r>
      <w:r w:rsidRPr="004618C0">
        <w:rPr>
          <w:i/>
          <w:color w:val="000000"/>
          <w:lang w:val="en-US"/>
        </w:rPr>
        <w:t>spectral factor</w:t>
      </w:r>
      <w:r w:rsidRPr="004618C0">
        <w:rPr>
          <w:color w:val="000000"/>
          <w:lang w:val="en-US"/>
        </w:rPr>
        <w:t xml:space="preserve"> depends on the spectral characteristics of the interfering transmitter and the frequency response of the victim receiver. For computational purposes one must have accurate knowledge of the power spectral density of the interfering signal which depends on factors such as the underlying modulation technique and the bandwidth of the information signal for analogue systems and the transmitted data rate in the case of digital systems.</w:t>
      </w:r>
    </w:p>
    <w:p w:rsidR="003727F9" w:rsidRPr="004618C0" w:rsidRDefault="003727F9" w:rsidP="003727F9">
      <w:pPr>
        <w:rPr>
          <w:lang w:val="en-US"/>
        </w:rPr>
      </w:pPr>
      <w:r w:rsidRPr="004618C0">
        <w:rPr>
          <w:color w:val="000000"/>
          <w:lang w:val="en-US"/>
        </w:rPr>
        <w:t>As far as the victim receiver is concerned, one must know the equivalent IF frequency response characteristics of the receiver. Manufacturer’s specifications such as the 6 dB and the 40 dB bandwidth of the IF stage may be used as a basis for modeling the receiver’s IF frequency response.</w:t>
      </w:r>
    </w:p>
    <w:p w:rsidR="003727F9" w:rsidRPr="004618C0" w:rsidRDefault="003727F9" w:rsidP="003727F9">
      <w:pPr>
        <w:rPr>
          <w:lang w:val="en-US"/>
        </w:rPr>
      </w:pPr>
      <w:r w:rsidRPr="004618C0">
        <w:rPr>
          <w:color w:val="000000"/>
          <w:lang w:val="en-US"/>
        </w:rPr>
        <w:t xml:space="preserve">The spectral factor is represented by the off-channel-rejection factor </w:t>
      </w:r>
      <w:proofErr w:type="gramStart"/>
      <w:r w:rsidRPr="003727F9">
        <w:rPr>
          <w:iCs/>
          <w:color w:val="000000"/>
          <w:lang w:val="en-US"/>
        </w:rPr>
        <w:t>OCR</w:t>
      </w:r>
      <w:r w:rsidRPr="004618C0">
        <w:rPr>
          <w:color w:val="000000"/>
          <w:lang w:val="en-US"/>
        </w:rPr>
        <w:t>(</w:t>
      </w:r>
      <w:proofErr w:type="gramEnd"/>
      <w:r w:rsidRPr="006777E8">
        <w:rPr>
          <w:rFonts w:ascii="Symbol" w:hAnsi="Symbol"/>
          <w:color w:val="000000"/>
        </w:rPr>
        <w:t></w:t>
      </w:r>
      <w:r w:rsidRPr="004618C0">
        <w:rPr>
          <w:i/>
          <w:color w:val="000000"/>
          <w:lang w:val="en-US"/>
        </w:rPr>
        <w:t>f</w:t>
      </w:r>
      <w:r w:rsidRPr="004618C0">
        <w:rPr>
          <w:sz w:val="8"/>
          <w:lang w:val="en-US"/>
        </w:rPr>
        <w:t> </w:t>
      </w:r>
      <w:r w:rsidRPr="004618C0">
        <w:rPr>
          <w:color w:val="000000"/>
          <w:lang w:val="en-US"/>
        </w:rPr>
        <w:t>), which is defined by the following relationship:</w:t>
      </w:r>
    </w:p>
    <w:p w:rsidR="003727F9" w:rsidRPr="004618C0" w:rsidRDefault="003727F9" w:rsidP="003727F9">
      <w:pPr>
        <w:pStyle w:val="Equation"/>
        <w:rPr>
          <w:lang w:val="en-US"/>
        </w:rPr>
      </w:pPr>
      <w:r w:rsidRPr="004618C0">
        <w:rPr>
          <w:lang w:val="en-US"/>
        </w:rPr>
        <w:tab/>
      </w:r>
      <w:r w:rsidRPr="004618C0">
        <w:rPr>
          <w:lang w:val="en-US"/>
        </w:rPr>
        <w:tab/>
      </w:r>
      <w:r w:rsidR="008F080E" w:rsidRPr="008F080E">
        <w:rPr>
          <w:position w:val="-78"/>
        </w:rPr>
        <w:object w:dxaOrig="4220" w:dyaOrig="1680">
          <v:shape id="_x0000_i1029" type="#_x0000_t75" style="width:211.15pt;height:84.1pt" o:ole="">
            <v:imagedata r:id="rId14" o:title=""/>
          </v:shape>
          <o:OLEObject Type="Embed" ProgID="Equation.3" ShapeID="_x0000_i1029" DrawAspect="Content" ObjectID="_1629876818" r:id="rId15"/>
        </w:object>
      </w:r>
      <w:r w:rsidRPr="004618C0">
        <w:rPr>
          <w:lang w:val="en-US"/>
        </w:rPr>
        <w:t xml:space="preserve">                </w:t>
      </w:r>
      <w:proofErr w:type="gramStart"/>
      <w:r w:rsidRPr="004618C0">
        <w:rPr>
          <w:lang w:val="en-US"/>
        </w:rPr>
        <w:t>dB</w:t>
      </w:r>
      <w:proofErr w:type="gramEnd"/>
      <w:r w:rsidRPr="004618C0">
        <w:rPr>
          <w:lang w:val="en-US"/>
        </w:rPr>
        <w:tab/>
        <w:t>(7)</w:t>
      </w:r>
    </w:p>
    <w:p w:rsidR="003727F9" w:rsidRPr="004618C0" w:rsidRDefault="003727F9" w:rsidP="003727F9">
      <w:pPr>
        <w:rPr>
          <w:lang w:val="en-US"/>
        </w:rPr>
      </w:pPr>
      <w:proofErr w:type="gramStart"/>
      <w:r w:rsidRPr="004618C0">
        <w:rPr>
          <w:lang w:val="en-US"/>
        </w:rPr>
        <w:t>where</w:t>
      </w:r>
      <w:proofErr w:type="gramEnd"/>
      <w:r w:rsidRPr="004618C0">
        <w:rPr>
          <w:lang w:val="en-US"/>
        </w:rPr>
        <w:t>:</w:t>
      </w:r>
    </w:p>
    <w:p w:rsidR="003727F9" w:rsidRPr="006777E8" w:rsidRDefault="003727F9" w:rsidP="003727F9">
      <w:pPr>
        <w:pStyle w:val="Equationlegend"/>
      </w:pPr>
      <w:r w:rsidRPr="006777E8">
        <w:tab/>
      </w:r>
      <w:proofErr w:type="gramStart"/>
      <w:r w:rsidRPr="006777E8">
        <w:rPr>
          <w:i/>
        </w:rPr>
        <w:t>P(</w:t>
      </w:r>
      <w:proofErr w:type="gramEnd"/>
      <w:r w:rsidRPr="006777E8">
        <w:rPr>
          <w:sz w:val="8"/>
        </w:rPr>
        <w:t> </w:t>
      </w:r>
      <w:r w:rsidRPr="006777E8">
        <w:rPr>
          <w:i/>
        </w:rPr>
        <w:t>f</w:t>
      </w:r>
      <w:r w:rsidRPr="006777E8">
        <w:rPr>
          <w:sz w:val="8"/>
        </w:rPr>
        <w:t> </w:t>
      </w:r>
      <w:r w:rsidRPr="006777E8">
        <w:t>)</w:t>
      </w:r>
      <w:r w:rsidRPr="006777E8">
        <w:rPr>
          <w:sz w:val="8"/>
        </w:rPr>
        <w:t> </w:t>
      </w:r>
      <w:r w:rsidRPr="006777E8">
        <w:t>:</w:t>
      </w:r>
      <w:r w:rsidRPr="006777E8">
        <w:tab/>
        <w:t>power spectral density of the interfering signal in (W/Hz)</w:t>
      </w:r>
    </w:p>
    <w:p w:rsidR="003727F9" w:rsidRPr="006777E8" w:rsidRDefault="003727F9" w:rsidP="003727F9">
      <w:pPr>
        <w:pStyle w:val="Equationlegend"/>
      </w:pPr>
      <w:r w:rsidRPr="006777E8">
        <w:tab/>
      </w:r>
      <w:proofErr w:type="gramStart"/>
      <w:r w:rsidRPr="006777E8">
        <w:rPr>
          <w:i/>
        </w:rPr>
        <w:t>H(</w:t>
      </w:r>
      <w:proofErr w:type="gramEnd"/>
      <w:r w:rsidRPr="006777E8">
        <w:rPr>
          <w:sz w:val="8"/>
        </w:rPr>
        <w:t> </w:t>
      </w:r>
      <w:r w:rsidRPr="006777E8">
        <w:rPr>
          <w:i/>
        </w:rPr>
        <w:t>f</w:t>
      </w:r>
      <w:r w:rsidRPr="006777E8">
        <w:rPr>
          <w:sz w:val="8"/>
        </w:rPr>
        <w:t> </w:t>
      </w:r>
      <w:r w:rsidRPr="006777E8">
        <w:t>)</w:t>
      </w:r>
      <w:r w:rsidRPr="006777E8">
        <w:rPr>
          <w:sz w:val="8"/>
        </w:rPr>
        <w:t> </w:t>
      </w:r>
      <w:r w:rsidRPr="006777E8">
        <w:t>:</w:t>
      </w:r>
      <w:r w:rsidRPr="006777E8">
        <w:tab/>
        <w:t>equivalent IF frequency response of the victim receiver</w:t>
      </w:r>
    </w:p>
    <w:p w:rsidR="003727F9" w:rsidRPr="006777E8" w:rsidRDefault="003727F9" w:rsidP="003727F9">
      <w:pPr>
        <w:pStyle w:val="Equationlegend"/>
      </w:pPr>
      <w:r w:rsidRPr="006777E8">
        <w:tab/>
      </w:r>
      <w:r w:rsidRPr="006777E8">
        <w:sym w:font="Symbol" w:char="F044"/>
      </w:r>
      <w:proofErr w:type="gramStart"/>
      <w:r w:rsidRPr="006777E8">
        <w:rPr>
          <w:i/>
        </w:rPr>
        <w:t>f</w:t>
      </w:r>
      <w:r w:rsidRPr="006777E8">
        <w:rPr>
          <w:sz w:val="8"/>
        </w:rPr>
        <w:t> </w:t>
      </w:r>
      <w:r w:rsidRPr="006777E8">
        <w:t>:</w:t>
      </w:r>
      <w:proofErr w:type="gramEnd"/>
      <w:r w:rsidRPr="006777E8">
        <w:tab/>
        <w:t>frequency separation between the victim receiver and the interfering transmitter.</w:t>
      </w:r>
    </w:p>
    <w:p w:rsidR="003727F9" w:rsidRPr="004618C0" w:rsidRDefault="003727F9" w:rsidP="003727F9">
      <w:pPr>
        <w:rPr>
          <w:lang w:val="en-US"/>
        </w:rPr>
      </w:pPr>
      <w:r w:rsidRPr="004618C0">
        <w:rPr>
          <w:color w:val="000000"/>
          <w:lang w:val="en-US"/>
        </w:rPr>
        <w:t>Note that equation (7) is not different from equation (2), even though the lower limits of integration are different.</w:t>
      </w:r>
    </w:p>
    <w:p w:rsidR="003727F9" w:rsidRPr="004618C0" w:rsidRDefault="003727F9" w:rsidP="003727F9">
      <w:pPr>
        <w:rPr>
          <w:lang w:val="en-US"/>
        </w:rPr>
      </w:pPr>
      <w:r w:rsidRPr="004618C0">
        <w:rPr>
          <w:color w:val="000000"/>
          <w:lang w:val="en-US"/>
        </w:rPr>
        <w:lastRenderedPageBreak/>
        <w:t xml:space="preserve">It is evident from equation (7) that </w:t>
      </w:r>
      <w:proofErr w:type="gramStart"/>
      <w:r w:rsidRPr="003727F9">
        <w:rPr>
          <w:iCs/>
          <w:color w:val="000000"/>
          <w:lang w:val="en-US"/>
        </w:rPr>
        <w:t>OCR</w:t>
      </w:r>
      <w:r w:rsidRPr="004618C0">
        <w:rPr>
          <w:color w:val="000000"/>
          <w:lang w:val="en-US"/>
        </w:rPr>
        <w:t>(</w:t>
      </w:r>
      <w:proofErr w:type="gramEnd"/>
      <w:r w:rsidRPr="006777E8">
        <w:rPr>
          <w:rFonts w:ascii="Symbol" w:hAnsi="Symbol"/>
          <w:color w:val="000000"/>
        </w:rPr>
        <w:t></w:t>
      </w:r>
      <w:r w:rsidRPr="004618C0">
        <w:rPr>
          <w:i/>
          <w:color w:val="000000"/>
          <w:lang w:val="en-US"/>
        </w:rPr>
        <w:t>f</w:t>
      </w:r>
      <w:r w:rsidRPr="004618C0">
        <w:rPr>
          <w:sz w:val="8"/>
          <w:lang w:val="en-US"/>
        </w:rPr>
        <w:t> </w:t>
      </w:r>
      <w:r w:rsidRPr="004618C0">
        <w:rPr>
          <w:color w:val="000000"/>
          <w:lang w:val="en-US"/>
        </w:rPr>
        <w:t xml:space="preserve">) is strongly dependent on the extent of overlapping between the receiver passband and the power spectrum of the interfering signal. As </w:t>
      </w:r>
      <w:r w:rsidRPr="006777E8">
        <w:rPr>
          <w:rFonts w:ascii="Symbol" w:hAnsi="Symbol"/>
          <w:color w:val="000000"/>
        </w:rPr>
        <w:t></w:t>
      </w:r>
      <w:r w:rsidRPr="004618C0">
        <w:rPr>
          <w:i/>
          <w:color w:val="000000"/>
          <w:lang w:val="en-US"/>
        </w:rPr>
        <w:t>f</w:t>
      </w:r>
      <w:r w:rsidRPr="004618C0">
        <w:rPr>
          <w:color w:val="000000"/>
          <w:lang w:val="en-US"/>
        </w:rPr>
        <w:t xml:space="preserve"> increases, the extent of overlapping diminishes, thus resulting in lower interference power or, equivalently, higher values for </w:t>
      </w:r>
      <w:proofErr w:type="gramStart"/>
      <w:r w:rsidRPr="008F080E">
        <w:rPr>
          <w:iCs/>
          <w:color w:val="000000"/>
          <w:lang w:val="en-US"/>
        </w:rPr>
        <w:t>OCR</w:t>
      </w:r>
      <w:r w:rsidRPr="004618C0">
        <w:rPr>
          <w:color w:val="000000"/>
          <w:lang w:val="en-US"/>
        </w:rPr>
        <w:t>(</w:t>
      </w:r>
      <w:proofErr w:type="gramEnd"/>
      <w:r w:rsidRPr="006777E8">
        <w:rPr>
          <w:rFonts w:ascii="Symbol" w:hAnsi="Symbol"/>
          <w:color w:val="000000"/>
        </w:rPr>
        <w:t></w:t>
      </w:r>
      <w:r w:rsidRPr="004618C0">
        <w:rPr>
          <w:i/>
          <w:color w:val="000000"/>
          <w:lang w:val="en-US"/>
        </w:rPr>
        <w:t>f</w:t>
      </w:r>
      <w:r w:rsidRPr="004618C0">
        <w:rPr>
          <w:sz w:val="8"/>
          <w:lang w:val="en-US"/>
        </w:rPr>
        <w:t> </w:t>
      </w:r>
      <w:r w:rsidRPr="004618C0">
        <w:rPr>
          <w:color w:val="000000"/>
          <w:lang w:val="en-US"/>
        </w:rPr>
        <w:t>).</w:t>
      </w:r>
    </w:p>
    <w:p w:rsidR="003727F9" w:rsidRPr="004618C0" w:rsidRDefault="003727F9" w:rsidP="003727F9">
      <w:pPr>
        <w:rPr>
          <w:lang w:val="en-US"/>
        </w:rPr>
      </w:pPr>
      <w:r w:rsidRPr="004618C0">
        <w:rPr>
          <w:lang w:val="en-US"/>
        </w:rPr>
        <w:t xml:space="preserve">The </w:t>
      </w:r>
      <w:r w:rsidRPr="004618C0">
        <w:rPr>
          <w:i/>
          <w:color w:val="000000"/>
          <w:lang w:val="en-US"/>
        </w:rPr>
        <w:t>spatial factor</w:t>
      </w:r>
      <w:r w:rsidRPr="004618C0">
        <w:rPr>
          <w:color w:val="000000"/>
          <w:lang w:val="en-US"/>
        </w:rPr>
        <w:t xml:space="preserve"> of the methodology is concerned with the computation of the distance related signal attenuation; it is closely related to the propagation model to be used and to the statistical distribution of the interfering signal at the front end of the victim receiver. An appropriate propagation model as recommended by ITU-R should be used.</w:t>
      </w:r>
    </w:p>
    <w:p w:rsidR="003727F9" w:rsidRPr="004618C0" w:rsidRDefault="003727F9" w:rsidP="003727F9">
      <w:pPr>
        <w:rPr>
          <w:lang w:val="en-US"/>
        </w:rPr>
      </w:pPr>
      <w:r w:rsidRPr="004618C0">
        <w:rPr>
          <w:color w:val="000000"/>
          <w:lang w:val="en-US"/>
        </w:rPr>
        <w:t>The propagation model to be used with this procedure is of course dependent on the system configuration as well as the operating frequency band and the geographical environment surrounding the service area and the system bandwidth.</w:t>
      </w:r>
    </w:p>
    <w:p w:rsidR="003727F9" w:rsidRPr="004618C0" w:rsidRDefault="003727F9" w:rsidP="003727F9">
      <w:pPr>
        <w:pStyle w:val="Heading2"/>
        <w:rPr>
          <w:lang w:val="en-US"/>
        </w:rPr>
      </w:pPr>
      <w:r w:rsidRPr="004618C0">
        <w:rPr>
          <w:lang w:val="en-US"/>
        </w:rPr>
        <w:t>2.2</w:t>
      </w:r>
      <w:r w:rsidRPr="004618C0">
        <w:rPr>
          <w:lang w:val="en-US"/>
        </w:rPr>
        <w:tab/>
        <w:t>Interference criterion</w:t>
      </w:r>
    </w:p>
    <w:p w:rsidR="003727F9" w:rsidRPr="004618C0" w:rsidRDefault="003727F9" w:rsidP="003727F9">
      <w:pPr>
        <w:rPr>
          <w:lang w:val="en-US"/>
        </w:rPr>
      </w:pPr>
      <w:r w:rsidRPr="004618C0">
        <w:rPr>
          <w:lang w:val="en-US"/>
        </w:rPr>
        <w:t xml:space="preserve">This usually is a simple relationship based on which one judges the interference as harmful or tolerable. Such a criterion should ideally be tied to the level of performance degradation the victim receiver may be capable of tolerating. This however is not practical at least from the point of view that there are many different types of systems and technologies that may not be capable of dealing with interference the same way. A more generic criterion based on a protection ratio </w:t>
      </w:r>
      <w:r w:rsidRPr="006777E8">
        <w:rPr>
          <w:rFonts w:ascii="Symbol" w:hAnsi="Symbol"/>
        </w:rPr>
        <w:t></w:t>
      </w:r>
      <w:r w:rsidRPr="004618C0">
        <w:rPr>
          <w:lang w:val="en-US"/>
        </w:rPr>
        <w:t xml:space="preserve"> (dB) is therefore adopted. The interference will be considered tolerable if the following inequality is satisfied:</w:t>
      </w:r>
    </w:p>
    <w:p w:rsidR="003727F9" w:rsidRPr="004618C0" w:rsidRDefault="003727F9" w:rsidP="003727F9">
      <w:pPr>
        <w:pStyle w:val="Equation"/>
        <w:rPr>
          <w:lang w:val="en-US"/>
        </w:rPr>
      </w:pPr>
      <w:r w:rsidRPr="004618C0">
        <w:rPr>
          <w:lang w:val="en-US"/>
        </w:rPr>
        <w:tab/>
      </w:r>
      <w:r w:rsidRPr="004618C0">
        <w:rPr>
          <w:lang w:val="en-US"/>
        </w:rPr>
        <w:tab/>
      </w:r>
      <w:r w:rsidR="008F080E" w:rsidRPr="006777E8">
        <w:rPr>
          <w:position w:val="-12"/>
        </w:rPr>
        <w:object w:dxaOrig="1060" w:dyaOrig="360">
          <v:shape id="_x0000_i1030" type="#_x0000_t75" style="width:53.25pt;height:18.15pt" o:ole="">
            <v:imagedata r:id="rId16" o:title=""/>
          </v:shape>
          <o:OLEObject Type="Embed" ProgID="Equation.3" ShapeID="_x0000_i1030" DrawAspect="Content" ObjectID="_1629876819" r:id="rId17"/>
        </w:object>
      </w:r>
      <w:r w:rsidRPr="004618C0">
        <w:rPr>
          <w:lang w:val="en-US"/>
        </w:rPr>
        <w:tab/>
        <w:t>(8)</w:t>
      </w:r>
    </w:p>
    <w:p w:rsidR="003727F9" w:rsidRPr="004618C0" w:rsidRDefault="003727F9" w:rsidP="003727F9">
      <w:pPr>
        <w:rPr>
          <w:lang w:val="en-US"/>
        </w:rPr>
      </w:pPr>
      <w:proofErr w:type="gramStart"/>
      <w:r w:rsidRPr="004618C0">
        <w:rPr>
          <w:lang w:val="en-US"/>
        </w:rPr>
        <w:t>where</w:t>
      </w:r>
      <w:proofErr w:type="gramEnd"/>
      <w:r w:rsidRPr="004618C0">
        <w:rPr>
          <w:lang w:val="en-US"/>
        </w:rPr>
        <w:t>:</w:t>
      </w:r>
    </w:p>
    <w:p w:rsidR="003727F9" w:rsidRPr="006777E8" w:rsidRDefault="003727F9" w:rsidP="003727F9">
      <w:pPr>
        <w:pStyle w:val="Equationlegend"/>
      </w:pPr>
      <w:r w:rsidRPr="006777E8">
        <w:tab/>
      </w:r>
      <w:proofErr w:type="spellStart"/>
      <w:proofErr w:type="gramStart"/>
      <w:r w:rsidRPr="006777E8">
        <w:rPr>
          <w:i/>
        </w:rPr>
        <w:t>P</w:t>
      </w:r>
      <w:r w:rsidRPr="00084085">
        <w:rPr>
          <w:i/>
          <w:vertAlign w:val="subscript"/>
        </w:rPr>
        <w:t>d</w:t>
      </w:r>
      <w:proofErr w:type="spellEnd"/>
      <w:r w:rsidRPr="006777E8">
        <w:rPr>
          <w:sz w:val="8"/>
        </w:rPr>
        <w:t> </w:t>
      </w:r>
      <w:r w:rsidRPr="006777E8">
        <w:t>:</w:t>
      </w:r>
      <w:proofErr w:type="gramEnd"/>
      <w:r w:rsidRPr="006777E8">
        <w:tab/>
        <w:t>desired signal level (</w:t>
      </w:r>
      <w:proofErr w:type="spellStart"/>
      <w:r w:rsidRPr="006777E8">
        <w:t>dBW</w:t>
      </w:r>
      <w:proofErr w:type="spellEnd"/>
      <w:r w:rsidRPr="006777E8">
        <w:t>)</w:t>
      </w:r>
    </w:p>
    <w:p w:rsidR="003727F9" w:rsidRPr="006777E8" w:rsidRDefault="003727F9" w:rsidP="003727F9">
      <w:pPr>
        <w:pStyle w:val="Equationlegend"/>
      </w:pPr>
      <w:r w:rsidRPr="006777E8">
        <w:tab/>
      </w:r>
      <w:proofErr w:type="gramStart"/>
      <w:r w:rsidRPr="006777E8">
        <w:rPr>
          <w:i/>
        </w:rPr>
        <w:t>P</w:t>
      </w:r>
      <w:r w:rsidRPr="00084085">
        <w:rPr>
          <w:i/>
          <w:vertAlign w:val="subscript"/>
        </w:rPr>
        <w:t>i</w:t>
      </w:r>
      <w:r w:rsidRPr="006777E8">
        <w:rPr>
          <w:sz w:val="8"/>
        </w:rPr>
        <w:t> </w:t>
      </w:r>
      <w:r w:rsidRPr="006777E8">
        <w:t>:</w:t>
      </w:r>
      <w:proofErr w:type="gramEnd"/>
      <w:r w:rsidRPr="006777E8">
        <w:tab/>
        <w:t>interfering signal level (</w:t>
      </w:r>
      <w:proofErr w:type="spellStart"/>
      <w:r w:rsidRPr="006777E8">
        <w:t>dBW</w:t>
      </w:r>
      <w:proofErr w:type="spellEnd"/>
      <w:r w:rsidRPr="006777E8">
        <w:t>)</w:t>
      </w:r>
    </w:p>
    <w:p w:rsidR="003727F9" w:rsidRPr="006777E8" w:rsidRDefault="003727F9" w:rsidP="003727F9">
      <w:pPr>
        <w:pStyle w:val="Equationlegend"/>
      </w:pPr>
      <w:r w:rsidRPr="006777E8">
        <w:tab/>
      </w:r>
      <w:proofErr w:type="gramStart"/>
      <w:r w:rsidRPr="006777E8">
        <w:rPr>
          <w:rFonts w:ascii="Symbol" w:hAnsi="Symbol"/>
        </w:rPr>
        <w:t></w:t>
      </w:r>
      <w:r w:rsidRPr="006777E8">
        <w:rPr>
          <w:sz w:val="8"/>
        </w:rPr>
        <w:t> </w:t>
      </w:r>
      <w:r w:rsidRPr="006777E8">
        <w:t>:</w:t>
      </w:r>
      <w:proofErr w:type="gramEnd"/>
      <w:r w:rsidRPr="006777E8">
        <w:tab/>
        <w:t>protection ratio (dB).</w:t>
      </w:r>
    </w:p>
    <w:p w:rsidR="003727F9" w:rsidRPr="004618C0" w:rsidRDefault="003727F9" w:rsidP="003727F9">
      <w:pPr>
        <w:pStyle w:val="Heading2"/>
        <w:rPr>
          <w:lang w:val="en-US"/>
        </w:rPr>
      </w:pPr>
      <w:r w:rsidRPr="004618C0">
        <w:rPr>
          <w:lang w:val="en-US"/>
        </w:rPr>
        <w:t>2.3</w:t>
      </w:r>
      <w:r w:rsidRPr="004618C0">
        <w:rPr>
          <w:lang w:val="en-US"/>
        </w:rPr>
        <w:tab/>
        <w:t>Procedure</w:t>
      </w:r>
    </w:p>
    <w:p w:rsidR="003727F9" w:rsidRPr="004618C0" w:rsidRDefault="003727F9" w:rsidP="003727F9">
      <w:pPr>
        <w:rPr>
          <w:lang w:val="en-US"/>
        </w:rPr>
      </w:pPr>
      <w:r w:rsidRPr="004618C0">
        <w:rPr>
          <w:color w:val="000000"/>
          <w:lang w:val="en-US"/>
        </w:rPr>
        <w:t>The procedure for developing a FD separation rule can now be summarized as follows:</w:t>
      </w:r>
    </w:p>
    <w:p w:rsidR="003727F9" w:rsidRPr="004618C0" w:rsidRDefault="003727F9" w:rsidP="00734DD6">
      <w:pPr>
        <w:rPr>
          <w:lang w:val="en-US"/>
        </w:rPr>
      </w:pPr>
      <w:r w:rsidRPr="004618C0">
        <w:rPr>
          <w:i/>
          <w:lang w:val="en-US"/>
        </w:rPr>
        <w:t>Step 1</w:t>
      </w:r>
      <w:r w:rsidRPr="004618C0">
        <w:rPr>
          <w:lang w:val="en-US"/>
        </w:rPr>
        <w:t>:</w:t>
      </w:r>
      <w:r w:rsidRPr="004618C0">
        <w:rPr>
          <w:lang w:val="en-US"/>
        </w:rPr>
        <w:tab/>
        <w:t xml:space="preserve">Determine the desired signal level </w:t>
      </w:r>
      <w:proofErr w:type="spellStart"/>
      <w:r w:rsidRPr="004618C0">
        <w:rPr>
          <w:i/>
          <w:lang w:val="en-US"/>
        </w:rPr>
        <w:t>P</w:t>
      </w:r>
      <w:r w:rsidRPr="003727F9">
        <w:rPr>
          <w:i/>
          <w:vertAlign w:val="subscript"/>
          <w:lang w:val="en-US"/>
        </w:rPr>
        <w:t>d</w:t>
      </w:r>
      <w:proofErr w:type="spellEnd"/>
      <w:r w:rsidRPr="004618C0">
        <w:rPr>
          <w:lang w:val="en-US"/>
        </w:rPr>
        <w:t xml:space="preserve"> (</w:t>
      </w:r>
      <w:proofErr w:type="spellStart"/>
      <w:r w:rsidRPr="004618C0">
        <w:rPr>
          <w:lang w:val="en-US"/>
        </w:rPr>
        <w:t>dBW</w:t>
      </w:r>
      <w:proofErr w:type="spellEnd"/>
      <w:r w:rsidRPr="004618C0">
        <w:rPr>
          <w:lang w:val="en-US"/>
        </w:rPr>
        <w:t>) at the victim receiver front end.</w:t>
      </w:r>
    </w:p>
    <w:p w:rsidR="003727F9" w:rsidRPr="004618C0" w:rsidRDefault="003727F9" w:rsidP="00734DD6">
      <w:pPr>
        <w:rPr>
          <w:lang w:val="en-US"/>
        </w:rPr>
      </w:pPr>
      <w:r w:rsidRPr="004618C0">
        <w:rPr>
          <w:i/>
          <w:lang w:val="en-US"/>
        </w:rPr>
        <w:t>Step 2</w:t>
      </w:r>
      <w:r w:rsidRPr="004618C0">
        <w:rPr>
          <w:lang w:val="en-US"/>
        </w:rPr>
        <w:t>:</w:t>
      </w:r>
      <w:r w:rsidRPr="004618C0">
        <w:rPr>
          <w:lang w:val="en-US"/>
        </w:rPr>
        <w:tab/>
        <w:t>Calculate the resulting level of interference at the victim receiver’s front end using the formula:</w:t>
      </w:r>
    </w:p>
    <w:p w:rsidR="003727F9" w:rsidRPr="004618C0" w:rsidRDefault="003727F9" w:rsidP="003727F9">
      <w:pPr>
        <w:pStyle w:val="Equation"/>
        <w:rPr>
          <w:lang w:val="en-US"/>
        </w:rPr>
      </w:pPr>
      <w:r w:rsidRPr="004618C0">
        <w:rPr>
          <w:lang w:val="en-US"/>
        </w:rPr>
        <w:tab/>
      </w:r>
      <w:r w:rsidRPr="004618C0">
        <w:rPr>
          <w:lang w:val="en-US"/>
        </w:rPr>
        <w:tab/>
      </w:r>
      <w:r w:rsidR="008F080E" w:rsidRPr="008F080E">
        <w:rPr>
          <w:position w:val="-16"/>
        </w:rPr>
        <w:object w:dxaOrig="2700" w:dyaOrig="400">
          <v:shape id="_x0000_i1031" type="#_x0000_t75" style="width:135.55pt;height:19.95pt" o:ole="">
            <v:imagedata r:id="rId18" o:title=""/>
          </v:shape>
          <o:OLEObject Type="Embed" ProgID="Equation.3" ShapeID="_x0000_i1031" DrawAspect="Content" ObjectID="_1629876820" r:id="rId19"/>
        </w:object>
      </w:r>
      <w:r w:rsidRPr="004618C0">
        <w:rPr>
          <w:lang w:val="en-US"/>
        </w:rPr>
        <w:tab/>
        <w:t>(9)</w:t>
      </w:r>
    </w:p>
    <w:p w:rsidR="003727F9" w:rsidRPr="004618C0" w:rsidRDefault="003727F9" w:rsidP="003727F9">
      <w:pPr>
        <w:rPr>
          <w:lang w:val="en-US"/>
        </w:rPr>
      </w:pPr>
      <w:proofErr w:type="gramStart"/>
      <w:r w:rsidRPr="004618C0">
        <w:rPr>
          <w:lang w:val="en-US"/>
        </w:rPr>
        <w:t>where</w:t>
      </w:r>
      <w:proofErr w:type="gramEnd"/>
      <w:r w:rsidRPr="004618C0">
        <w:rPr>
          <w:lang w:val="en-US"/>
        </w:rPr>
        <w:t>:</w:t>
      </w:r>
    </w:p>
    <w:p w:rsidR="003727F9" w:rsidRPr="006777E8" w:rsidRDefault="003727F9" w:rsidP="003727F9">
      <w:pPr>
        <w:pStyle w:val="Equationlegend"/>
      </w:pPr>
      <w:r w:rsidRPr="006777E8">
        <w:tab/>
      </w:r>
      <w:proofErr w:type="gramStart"/>
      <w:r w:rsidRPr="006777E8">
        <w:rPr>
          <w:i/>
        </w:rPr>
        <w:t>P</w:t>
      </w:r>
      <w:r w:rsidRPr="00084085">
        <w:rPr>
          <w:i/>
          <w:vertAlign w:val="subscript"/>
        </w:rPr>
        <w:t>t</w:t>
      </w:r>
      <w:r w:rsidRPr="006777E8">
        <w:rPr>
          <w:sz w:val="8"/>
        </w:rPr>
        <w:t> </w:t>
      </w:r>
      <w:r w:rsidRPr="006777E8">
        <w:t>:</w:t>
      </w:r>
      <w:proofErr w:type="gramEnd"/>
      <w:r w:rsidRPr="006777E8">
        <w:tab/>
        <w:t xml:space="preserve">equivalent </w:t>
      </w:r>
      <w:proofErr w:type="spellStart"/>
      <w:r w:rsidRPr="006777E8">
        <w:t>isotropically</w:t>
      </w:r>
      <w:proofErr w:type="spellEnd"/>
      <w:r w:rsidRPr="006777E8">
        <w:t xml:space="preserve"> radiated power (</w:t>
      </w:r>
      <w:proofErr w:type="spellStart"/>
      <w:r w:rsidRPr="006777E8">
        <w:t>e.i.r.p</w:t>
      </w:r>
      <w:proofErr w:type="spellEnd"/>
      <w:r w:rsidRPr="006777E8">
        <w:t>.) of the interfering transmitter (</w:t>
      </w:r>
      <w:proofErr w:type="spellStart"/>
      <w:r w:rsidRPr="006777E8">
        <w:t>dBW</w:t>
      </w:r>
      <w:proofErr w:type="spellEnd"/>
      <w:r w:rsidRPr="006777E8">
        <w:t>)</w:t>
      </w:r>
    </w:p>
    <w:p w:rsidR="003727F9" w:rsidRPr="006777E8" w:rsidRDefault="003727F9" w:rsidP="003727F9">
      <w:pPr>
        <w:pStyle w:val="Equationlegend"/>
      </w:pPr>
      <w:r w:rsidRPr="006777E8">
        <w:tab/>
      </w:r>
      <w:proofErr w:type="gramStart"/>
      <w:r w:rsidRPr="006777E8">
        <w:rPr>
          <w:i/>
        </w:rPr>
        <w:t>G</w:t>
      </w:r>
      <w:r w:rsidRPr="00084085">
        <w:rPr>
          <w:i/>
          <w:vertAlign w:val="subscript"/>
        </w:rPr>
        <w:t>r</w:t>
      </w:r>
      <w:r w:rsidRPr="006777E8">
        <w:rPr>
          <w:sz w:val="8"/>
        </w:rPr>
        <w:t> </w:t>
      </w:r>
      <w:r w:rsidRPr="006777E8">
        <w:t>:</w:t>
      </w:r>
      <w:proofErr w:type="gramEnd"/>
      <w:r w:rsidRPr="006777E8">
        <w:tab/>
        <w:t>gain of the receiving antenna with respect to an isotropic antenna (</w:t>
      </w:r>
      <w:proofErr w:type="spellStart"/>
      <w:r w:rsidRPr="006777E8">
        <w:t>dBi</w:t>
      </w:r>
      <w:proofErr w:type="spellEnd"/>
      <w:r w:rsidRPr="006777E8">
        <w:t>)</w:t>
      </w:r>
    </w:p>
    <w:p w:rsidR="003727F9" w:rsidRPr="006777E8" w:rsidRDefault="003727F9" w:rsidP="003727F9">
      <w:pPr>
        <w:pStyle w:val="Equationlegend"/>
      </w:pPr>
      <w:r w:rsidRPr="006777E8">
        <w:tab/>
      </w:r>
      <w:proofErr w:type="spellStart"/>
      <w:proofErr w:type="gramStart"/>
      <w:r w:rsidRPr="006777E8">
        <w:rPr>
          <w:i/>
        </w:rPr>
        <w:t>L</w:t>
      </w:r>
      <w:r w:rsidRPr="00084085">
        <w:rPr>
          <w:i/>
          <w:vertAlign w:val="subscript"/>
        </w:rPr>
        <w:t>p</w:t>
      </w:r>
      <w:proofErr w:type="spellEnd"/>
      <w:r w:rsidRPr="006777E8">
        <w:rPr>
          <w:sz w:val="8"/>
        </w:rPr>
        <w:t> </w:t>
      </w:r>
      <w:r w:rsidRPr="006777E8">
        <w:t>:</w:t>
      </w:r>
      <w:proofErr w:type="gramEnd"/>
      <w:r w:rsidRPr="006777E8">
        <w:tab/>
        <w:t>propagation path loss</w:t>
      </w:r>
    </w:p>
    <w:p w:rsidR="003727F9" w:rsidRPr="006777E8" w:rsidRDefault="003727F9" w:rsidP="003727F9">
      <w:pPr>
        <w:pStyle w:val="Equationlegend"/>
      </w:pPr>
      <w:r w:rsidRPr="006777E8">
        <w:tab/>
      </w:r>
      <w:r w:rsidRPr="003727F9">
        <w:rPr>
          <w:iCs/>
          <w:color w:val="000000"/>
        </w:rPr>
        <w:t>OCR</w:t>
      </w:r>
      <w:r w:rsidRPr="006777E8">
        <w:rPr>
          <w:sz w:val="8"/>
        </w:rPr>
        <w:t> </w:t>
      </w:r>
      <w:r w:rsidRPr="006777E8">
        <w:rPr>
          <w:color w:val="000000"/>
        </w:rPr>
        <w:t>(</w:t>
      </w:r>
      <w:r w:rsidRPr="006777E8">
        <w:rPr>
          <w:rFonts w:ascii="Symbol" w:hAnsi="Symbol"/>
          <w:color w:val="000000"/>
        </w:rPr>
        <w:t></w:t>
      </w:r>
      <w:proofErr w:type="gramStart"/>
      <w:r w:rsidRPr="006777E8">
        <w:rPr>
          <w:i/>
          <w:color w:val="000000"/>
        </w:rPr>
        <w:t>f</w:t>
      </w:r>
      <w:r w:rsidRPr="006777E8">
        <w:rPr>
          <w:sz w:val="8"/>
        </w:rPr>
        <w:t> </w:t>
      </w:r>
      <w:r w:rsidRPr="006777E8">
        <w:rPr>
          <w:color w:val="000000"/>
        </w:rPr>
        <w:t>)</w:t>
      </w:r>
      <w:proofErr w:type="gramEnd"/>
      <w:r w:rsidRPr="006777E8">
        <w:rPr>
          <w:sz w:val="8"/>
        </w:rPr>
        <w:t> </w:t>
      </w:r>
      <w:r w:rsidRPr="006777E8">
        <w:t>:</w:t>
      </w:r>
      <w:r w:rsidRPr="006777E8">
        <w:tab/>
        <w:t xml:space="preserve">off-channel-rejection factor for a frequency separation </w:t>
      </w:r>
      <w:r w:rsidRPr="006777E8">
        <w:rPr>
          <w:rFonts w:ascii="Symbol" w:hAnsi="Symbol"/>
        </w:rPr>
        <w:t></w:t>
      </w:r>
      <w:r w:rsidRPr="006777E8">
        <w:rPr>
          <w:i/>
        </w:rPr>
        <w:t>f</w:t>
      </w:r>
      <w:r w:rsidRPr="006777E8">
        <w:t xml:space="preserve"> as expressed by equation (7).</w:t>
      </w:r>
    </w:p>
    <w:p w:rsidR="003727F9" w:rsidRPr="004618C0" w:rsidRDefault="003727F9" w:rsidP="003727F9">
      <w:pPr>
        <w:rPr>
          <w:lang w:val="en-US"/>
        </w:rPr>
      </w:pPr>
      <w:r w:rsidRPr="004618C0">
        <w:rPr>
          <w:lang w:val="en-US"/>
        </w:rPr>
        <w:t xml:space="preserve">The </w:t>
      </w:r>
      <w:r w:rsidRPr="003727F9">
        <w:rPr>
          <w:iCs/>
          <w:lang w:val="en-US"/>
        </w:rPr>
        <w:t xml:space="preserve">OCR </w:t>
      </w:r>
      <w:r w:rsidRPr="004618C0">
        <w:rPr>
          <w:lang w:val="en-US"/>
        </w:rPr>
        <w:t xml:space="preserve">values used in this paper are assumed. The purpose of this Recommendation is to present the methodology rather than the development of </w:t>
      </w:r>
      <w:r w:rsidRPr="003727F9">
        <w:rPr>
          <w:iCs/>
          <w:lang w:val="en-US"/>
        </w:rPr>
        <w:t>OCR</w:t>
      </w:r>
      <w:r w:rsidRPr="004618C0">
        <w:rPr>
          <w:lang w:val="en-US"/>
        </w:rPr>
        <w:t xml:space="preserve"> values.</w:t>
      </w:r>
    </w:p>
    <w:p w:rsidR="003727F9" w:rsidRPr="004618C0" w:rsidRDefault="003727F9" w:rsidP="00734DD6">
      <w:pPr>
        <w:rPr>
          <w:lang w:val="en-US"/>
        </w:rPr>
      </w:pPr>
      <w:r w:rsidRPr="004618C0">
        <w:rPr>
          <w:i/>
          <w:lang w:val="en-US"/>
        </w:rPr>
        <w:lastRenderedPageBreak/>
        <w:t>Step 3</w:t>
      </w:r>
      <w:r w:rsidRPr="004618C0">
        <w:rPr>
          <w:lang w:val="en-US"/>
        </w:rPr>
        <w:t>:</w:t>
      </w:r>
      <w:r w:rsidRPr="004618C0">
        <w:rPr>
          <w:lang w:val="en-US"/>
        </w:rPr>
        <w:tab/>
        <w:t xml:space="preserve">Substitute </w:t>
      </w:r>
      <w:proofErr w:type="spellStart"/>
      <w:r w:rsidRPr="004618C0">
        <w:rPr>
          <w:i/>
          <w:lang w:val="en-US"/>
        </w:rPr>
        <w:t>P</w:t>
      </w:r>
      <w:r w:rsidRPr="003727F9">
        <w:rPr>
          <w:i/>
          <w:vertAlign w:val="subscript"/>
          <w:lang w:val="en-US"/>
        </w:rPr>
        <w:t>d</w:t>
      </w:r>
      <w:proofErr w:type="spellEnd"/>
      <w:r w:rsidRPr="004618C0">
        <w:rPr>
          <w:lang w:val="en-US"/>
        </w:rPr>
        <w:t xml:space="preserve"> and </w:t>
      </w:r>
      <w:r w:rsidRPr="004618C0">
        <w:rPr>
          <w:i/>
          <w:lang w:val="en-US"/>
        </w:rPr>
        <w:t>P</w:t>
      </w:r>
      <w:r w:rsidRPr="003727F9">
        <w:rPr>
          <w:i/>
          <w:vertAlign w:val="subscript"/>
          <w:lang w:val="en-US"/>
        </w:rPr>
        <w:t>i</w:t>
      </w:r>
      <w:r w:rsidRPr="004618C0">
        <w:rPr>
          <w:lang w:val="en-US"/>
        </w:rPr>
        <w:t xml:space="preserve"> of steps 1 and 2 above into equation (8) to derive or numerically compute a relationship between the frequency separation </w:t>
      </w:r>
      <w:r w:rsidRPr="006777E8">
        <w:rPr>
          <w:rFonts w:ascii="Symbol" w:hAnsi="Symbol"/>
        </w:rPr>
        <w:t></w:t>
      </w:r>
      <w:r w:rsidRPr="004618C0">
        <w:rPr>
          <w:i/>
          <w:lang w:val="en-US"/>
        </w:rPr>
        <w:t>f</w:t>
      </w:r>
      <w:r w:rsidRPr="004618C0">
        <w:rPr>
          <w:lang w:val="en-US"/>
        </w:rPr>
        <w:t xml:space="preserve"> and the distance separation </w:t>
      </w:r>
      <w:r w:rsidRPr="004618C0">
        <w:rPr>
          <w:i/>
          <w:lang w:val="en-US"/>
        </w:rPr>
        <w:t>d</w:t>
      </w:r>
      <w:r w:rsidRPr="004618C0">
        <w:rPr>
          <w:lang w:val="en-US"/>
        </w:rPr>
        <w:t xml:space="preserve"> such that the interference is considered tolerable.</w:t>
      </w:r>
    </w:p>
    <w:p w:rsidR="003727F9" w:rsidRPr="004618C0" w:rsidRDefault="003727F9" w:rsidP="003727F9">
      <w:pPr>
        <w:pStyle w:val="Heading2"/>
        <w:rPr>
          <w:lang w:val="en-US"/>
        </w:rPr>
      </w:pPr>
      <w:r w:rsidRPr="004618C0">
        <w:rPr>
          <w:lang w:val="en-US"/>
        </w:rPr>
        <w:t>2.4</w:t>
      </w:r>
      <w:r w:rsidRPr="004618C0">
        <w:rPr>
          <w:lang w:val="en-US"/>
        </w:rPr>
        <w:tab/>
        <w:t>Alternative procedure</w:t>
      </w:r>
    </w:p>
    <w:p w:rsidR="003727F9" w:rsidRPr="004618C0" w:rsidRDefault="003727F9" w:rsidP="003727F9">
      <w:pPr>
        <w:rPr>
          <w:lang w:val="en-US"/>
        </w:rPr>
      </w:pPr>
      <w:r w:rsidRPr="004618C0">
        <w:rPr>
          <w:lang w:val="en-US"/>
        </w:rPr>
        <w:t xml:space="preserve">In the real environment, the received signal at the victim receiver experiences shadow fading which is represented by log-normal distribution. To compensate for this fading effect, the received signal level should be higher than the sensitivity level. An alternative procedure for determining a required isolation between the victim and the interferer, reflecting the shadowing effect, is presented as follows: </w:t>
      </w:r>
    </w:p>
    <w:p w:rsidR="003727F9" w:rsidRPr="004618C0" w:rsidRDefault="003727F9" w:rsidP="003727F9">
      <w:pPr>
        <w:rPr>
          <w:lang w:val="en-US" w:eastAsia="ko-KR"/>
        </w:rPr>
      </w:pPr>
      <w:r w:rsidRPr="004618C0">
        <w:rPr>
          <w:i/>
          <w:lang w:val="en-US"/>
        </w:rPr>
        <w:t>Step 1</w:t>
      </w:r>
      <w:r w:rsidRPr="004618C0">
        <w:rPr>
          <w:lang w:val="en-US"/>
        </w:rPr>
        <w:t>:</w:t>
      </w:r>
      <w:r w:rsidRPr="004618C0">
        <w:rPr>
          <w:lang w:val="en-US"/>
        </w:rPr>
        <w:tab/>
        <w:t>Calculate the required isolation in order to prevent the interferer from causing radio interference to the victim using the formula:</w:t>
      </w:r>
    </w:p>
    <w:p w:rsidR="003727F9" w:rsidRPr="004618C0" w:rsidRDefault="003727F9" w:rsidP="003727F9">
      <w:pPr>
        <w:pStyle w:val="Equation"/>
        <w:rPr>
          <w:szCs w:val="24"/>
          <w:lang w:val="en-US" w:eastAsia="ko-KR"/>
        </w:rPr>
      </w:pPr>
      <w:r w:rsidRPr="004618C0">
        <w:rPr>
          <w:lang w:val="en-US" w:eastAsia="ko-KR"/>
        </w:rPr>
        <w:tab/>
      </w:r>
      <w:r w:rsidRPr="004618C0">
        <w:rPr>
          <w:lang w:val="en-US" w:eastAsia="ko-KR"/>
        </w:rPr>
        <w:tab/>
      </w:r>
      <w:r w:rsidR="008F080E" w:rsidRPr="008F080E">
        <w:rPr>
          <w:position w:val="-12"/>
          <w:lang w:eastAsia="ko-KR"/>
        </w:rPr>
        <w:object w:dxaOrig="5260" w:dyaOrig="440">
          <v:shape id="_x0000_i1032" type="#_x0000_t75" style="width:263.2pt;height:21.8pt" o:ole="">
            <v:imagedata r:id="rId20" o:title=""/>
          </v:shape>
          <o:OLEObject Type="Embed" ProgID="Equation.3" ShapeID="_x0000_i1032" DrawAspect="Content" ObjectID="_1629876821" r:id="rId21"/>
        </w:object>
      </w:r>
      <w:r w:rsidRPr="004618C0">
        <w:rPr>
          <w:lang w:val="en-US" w:eastAsia="ko-KR"/>
        </w:rPr>
        <w:tab/>
      </w:r>
      <w:r w:rsidRPr="004618C0">
        <w:rPr>
          <w:lang w:val="en-US"/>
        </w:rPr>
        <w:t>(</w:t>
      </w:r>
      <w:r w:rsidRPr="004618C0">
        <w:rPr>
          <w:lang w:val="en-US" w:eastAsia="ko-KR"/>
        </w:rPr>
        <w:t>10</w:t>
      </w:r>
      <w:r w:rsidRPr="004618C0">
        <w:rPr>
          <w:lang w:val="en-US"/>
        </w:rPr>
        <w:t>)</w:t>
      </w:r>
    </w:p>
    <w:p w:rsidR="003727F9" w:rsidRPr="004618C0" w:rsidRDefault="003727F9" w:rsidP="003727F9">
      <w:pPr>
        <w:rPr>
          <w:lang w:val="en-US"/>
        </w:rPr>
      </w:pPr>
      <w:proofErr w:type="gramStart"/>
      <w:r w:rsidRPr="004618C0">
        <w:rPr>
          <w:lang w:val="en-US"/>
        </w:rPr>
        <w:t>where</w:t>
      </w:r>
      <w:proofErr w:type="gramEnd"/>
      <w:r w:rsidRPr="004618C0">
        <w:rPr>
          <w:lang w:val="en-US"/>
        </w:rPr>
        <w:t>:</w:t>
      </w:r>
    </w:p>
    <w:p w:rsidR="003727F9" w:rsidRPr="006777E8" w:rsidRDefault="003727F9" w:rsidP="003727F9">
      <w:pPr>
        <w:pStyle w:val="Equationlegend"/>
      </w:pPr>
      <w:r w:rsidRPr="006777E8">
        <w:tab/>
      </w:r>
      <w:r w:rsidRPr="006777E8">
        <w:rPr>
          <w:i/>
          <w:iCs/>
        </w:rPr>
        <w:t>L</w:t>
      </w:r>
      <w:r w:rsidRPr="006777E8">
        <w:rPr>
          <w:i/>
          <w:iCs/>
          <w:vertAlign w:val="subscript"/>
        </w:rPr>
        <w:t>I</w:t>
      </w:r>
      <w:r w:rsidRPr="006777E8">
        <w:t xml:space="preserve">: </w:t>
      </w:r>
      <w:r w:rsidRPr="006777E8">
        <w:tab/>
        <w:t>isolation required between the interferer and the victim to ensure tolerable interference (dB)</w:t>
      </w:r>
    </w:p>
    <w:p w:rsidR="003727F9" w:rsidRPr="006777E8" w:rsidRDefault="003727F9" w:rsidP="003727F9">
      <w:pPr>
        <w:pStyle w:val="Equationlegend"/>
      </w:pPr>
      <w:r w:rsidRPr="006777E8">
        <w:tab/>
      </w:r>
      <w:r w:rsidRPr="006777E8">
        <w:rPr>
          <w:i/>
          <w:iCs/>
        </w:rPr>
        <w:t>P</w:t>
      </w:r>
      <w:r w:rsidRPr="006777E8">
        <w:rPr>
          <w:i/>
          <w:iCs/>
          <w:vertAlign w:val="subscript"/>
        </w:rPr>
        <w:t>t</w:t>
      </w:r>
      <w:r w:rsidRPr="006777E8">
        <w:t>:</w:t>
      </w:r>
      <w:r w:rsidRPr="006777E8">
        <w:tab/>
        <w:t>equivalent isotropic radiated power (</w:t>
      </w:r>
      <w:proofErr w:type="spellStart"/>
      <w:r w:rsidRPr="006777E8">
        <w:t>e.i.r.p</w:t>
      </w:r>
      <w:proofErr w:type="spellEnd"/>
      <w:r w:rsidRPr="006777E8">
        <w:t>.) of the interfering transmitter (</w:t>
      </w:r>
      <w:proofErr w:type="spellStart"/>
      <w:r w:rsidRPr="006777E8">
        <w:t>dBW</w:t>
      </w:r>
      <w:proofErr w:type="spellEnd"/>
      <w:r w:rsidRPr="006777E8">
        <w:t>)</w:t>
      </w:r>
    </w:p>
    <w:p w:rsidR="003727F9" w:rsidRPr="006777E8" w:rsidRDefault="003727F9" w:rsidP="003727F9">
      <w:pPr>
        <w:pStyle w:val="Equationlegend"/>
      </w:pPr>
      <w:r w:rsidRPr="006777E8">
        <w:tab/>
      </w:r>
      <w:r w:rsidRPr="006777E8">
        <w:rPr>
          <w:i/>
          <w:iCs/>
        </w:rPr>
        <w:t>G</w:t>
      </w:r>
      <w:r w:rsidRPr="006777E8">
        <w:rPr>
          <w:i/>
          <w:iCs/>
          <w:vertAlign w:val="subscript"/>
        </w:rPr>
        <w:t>r</w:t>
      </w:r>
      <w:r w:rsidRPr="006777E8">
        <w:t xml:space="preserve">: </w:t>
      </w:r>
      <w:r w:rsidRPr="006777E8">
        <w:tab/>
        <w:t>gain of the receiving antenna with respect to an isotropic antenna (</w:t>
      </w:r>
      <w:proofErr w:type="spellStart"/>
      <w:r w:rsidRPr="006777E8">
        <w:t>dBi</w:t>
      </w:r>
      <w:proofErr w:type="spellEnd"/>
      <w:r w:rsidRPr="006777E8">
        <w:t>)</w:t>
      </w:r>
    </w:p>
    <w:p w:rsidR="003727F9" w:rsidRPr="006777E8" w:rsidRDefault="003727F9" w:rsidP="003727F9">
      <w:pPr>
        <w:pStyle w:val="Equationlegend"/>
      </w:pPr>
      <w:r w:rsidRPr="006777E8">
        <w:tab/>
      </w:r>
      <w:proofErr w:type="spellStart"/>
      <w:r w:rsidRPr="006777E8">
        <w:rPr>
          <w:i/>
          <w:iCs/>
        </w:rPr>
        <w:t>P</w:t>
      </w:r>
      <w:r w:rsidRPr="004F1AF6">
        <w:rPr>
          <w:i/>
          <w:vertAlign w:val="subscript"/>
        </w:rPr>
        <w:t>min</w:t>
      </w:r>
      <w:proofErr w:type="spellEnd"/>
      <w:r w:rsidRPr="006777E8">
        <w:t>:</w:t>
      </w:r>
      <w:r w:rsidRPr="006777E8">
        <w:tab/>
        <w:t>minimum desired signal level (</w:t>
      </w:r>
      <w:proofErr w:type="spellStart"/>
      <w:r w:rsidRPr="006777E8">
        <w:t>dBW</w:t>
      </w:r>
      <w:proofErr w:type="spellEnd"/>
      <w:r w:rsidRPr="006777E8">
        <w:t>)</w:t>
      </w:r>
    </w:p>
    <w:p w:rsidR="003727F9" w:rsidRPr="006777E8" w:rsidRDefault="003727F9" w:rsidP="003727F9">
      <w:pPr>
        <w:pStyle w:val="Equationlegend"/>
        <w:rPr>
          <w:szCs w:val="24"/>
        </w:rPr>
      </w:pPr>
      <w:r w:rsidRPr="006777E8">
        <w:tab/>
      </w:r>
      <w:r w:rsidRPr="006777E8">
        <w:sym w:font="Symbol" w:char="F061"/>
      </w:r>
      <w:r w:rsidRPr="006777E8">
        <w:t>:</w:t>
      </w:r>
      <w:r w:rsidRPr="006777E8">
        <w:tab/>
      </w:r>
      <w:proofErr w:type="gramStart"/>
      <w:r w:rsidRPr="006777E8">
        <w:t>protection</w:t>
      </w:r>
      <w:proofErr w:type="gramEnd"/>
      <w:r w:rsidRPr="006777E8">
        <w:t xml:space="preserve"> ratio (dB)</w:t>
      </w:r>
    </w:p>
    <w:p w:rsidR="003727F9" w:rsidRPr="006777E8" w:rsidRDefault="003727F9" w:rsidP="003727F9">
      <w:pPr>
        <w:pStyle w:val="Equationlegend"/>
      </w:pPr>
      <w:r w:rsidRPr="006777E8">
        <w:tab/>
      </w:r>
      <w:proofErr w:type="gramStart"/>
      <w:r w:rsidRPr="003727F9">
        <w:t>OCR</w:t>
      </w:r>
      <w:r w:rsidRPr="006777E8">
        <w:rPr>
          <w:i/>
          <w:iCs/>
        </w:rPr>
        <w:t>(</w:t>
      </w:r>
      <w:proofErr w:type="gramEnd"/>
      <w:r w:rsidRPr="006777E8">
        <w:rPr>
          <w:rFonts w:ascii="Symbol" w:hAnsi="Symbol"/>
        </w:rPr>
        <w:t></w:t>
      </w:r>
      <w:r w:rsidRPr="006777E8">
        <w:rPr>
          <w:i/>
          <w:iCs/>
        </w:rPr>
        <w:t>f</w:t>
      </w:r>
      <w:r w:rsidRPr="006777E8">
        <w:t>):</w:t>
      </w:r>
      <w:r w:rsidRPr="006777E8">
        <w:tab/>
        <w:t xml:space="preserve">off-channel-rejection factor for a frequency separation </w:t>
      </w:r>
      <w:r w:rsidRPr="006777E8">
        <w:sym w:font="Symbol" w:char="F044"/>
      </w:r>
      <w:r w:rsidRPr="006777E8">
        <w:rPr>
          <w:i/>
          <w:iCs/>
        </w:rPr>
        <w:t>f</w:t>
      </w:r>
      <w:r w:rsidRPr="006777E8">
        <w:t xml:space="preserve"> as expressed by equation (7)</w:t>
      </w:r>
    </w:p>
    <w:p w:rsidR="003727F9" w:rsidRPr="006777E8" w:rsidRDefault="003727F9" w:rsidP="003727F9">
      <w:pPr>
        <w:pStyle w:val="Equationlegend"/>
      </w:pPr>
      <w:r w:rsidRPr="006777E8">
        <w:tab/>
      </w:r>
      <w:r w:rsidRPr="006777E8">
        <w:rPr>
          <w:i/>
          <w:iCs/>
        </w:rPr>
        <w:t>N</w:t>
      </w:r>
      <w:r w:rsidRPr="006777E8">
        <w:t>:</w:t>
      </w:r>
      <w:r w:rsidRPr="006777E8">
        <w:tab/>
        <w:t xml:space="preserve"> log-normal fading margin (dB).</w:t>
      </w:r>
    </w:p>
    <w:p w:rsidR="003727F9" w:rsidRDefault="003727F9" w:rsidP="00734DD6">
      <w:pPr>
        <w:rPr>
          <w:lang w:val="en-US"/>
        </w:rPr>
      </w:pPr>
      <w:r w:rsidRPr="004618C0">
        <w:rPr>
          <w:i/>
          <w:lang w:val="en-US"/>
        </w:rPr>
        <w:t>Step 2</w:t>
      </w:r>
      <w:r w:rsidRPr="00734DD6">
        <w:rPr>
          <w:iCs/>
          <w:lang w:val="en-US"/>
        </w:rPr>
        <w:t>:</w:t>
      </w:r>
      <w:r w:rsidRPr="004618C0">
        <w:rPr>
          <w:i/>
          <w:lang w:val="en-US"/>
        </w:rPr>
        <w:tab/>
      </w:r>
      <w:r w:rsidRPr="004618C0">
        <w:rPr>
          <w:lang w:val="en-US"/>
        </w:rPr>
        <w:t xml:space="preserve">Employing an appropriate ITU-R propagation model to equation (10) gives the frequency separation </w:t>
      </w:r>
      <w:r w:rsidRPr="006777E8">
        <w:sym w:font="Symbol" w:char="F044"/>
      </w:r>
      <w:r w:rsidRPr="004618C0">
        <w:rPr>
          <w:i/>
          <w:lang w:val="en-US"/>
        </w:rPr>
        <w:t xml:space="preserve">f </w:t>
      </w:r>
      <w:r w:rsidRPr="004618C0">
        <w:rPr>
          <w:lang w:val="en-US"/>
        </w:rPr>
        <w:t xml:space="preserve">and the distance separation </w:t>
      </w:r>
      <w:r w:rsidRPr="004618C0">
        <w:rPr>
          <w:i/>
          <w:lang w:val="en-US"/>
        </w:rPr>
        <w:t>d</w:t>
      </w:r>
      <w:r w:rsidRPr="004618C0">
        <w:rPr>
          <w:lang w:val="en-US"/>
        </w:rPr>
        <w:t xml:space="preserve"> </w:t>
      </w:r>
      <w:r w:rsidRPr="004618C0">
        <w:rPr>
          <w:lang w:val="en-US" w:eastAsia="ko-KR"/>
        </w:rPr>
        <w:t>at which the interference can be tolerable</w:t>
      </w:r>
      <w:r w:rsidRPr="004618C0">
        <w:rPr>
          <w:lang w:val="en-US"/>
        </w:rPr>
        <w:t>.</w:t>
      </w:r>
    </w:p>
    <w:p w:rsidR="003727F9" w:rsidRPr="003727F9" w:rsidRDefault="003727F9" w:rsidP="003727F9">
      <w:pPr>
        <w:pStyle w:val="Heading2"/>
        <w:rPr>
          <w:lang w:val="en-US" w:eastAsia="ko-KR"/>
        </w:rPr>
      </w:pPr>
      <w:r w:rsidRPr="003727F9">
        <w:rPr>
          <w:lang w:val="en-US" w:eastAsia="ko-KR"/>
        </w:rPr>
        <w:t>2.5</w:t>
      </w:r>
      <w:r w:rsidRPr="003727F9">
        <w:rPr>
          <w:lang w:val="en-US" w:eastAsia="ko-KR"/>
        </w:rPr>
        <w:tab/>
        <w:t>Consideration of antenna isolation</w:t>
      </w:r>
    </w:p>
    <w:p w:rsidR="003727F9" w:rsidRPr="003727F9" w:rsidRDefault="003727F9" w:rsidP="003727F9">
      <w:pPr>
        <w:rPr>
          <w:rFonts w:eastAsia="Gulim"/>
          <w:lang w:val="en-US" w:eastAsia="ko-KR"/>
        </w:rPr>
      </w:pPr>
      <w:r w:rsidRPr="003727F9">
        <w:rPr>
          <w:rFonts w:eastAsia="Gulim"/>
          <w:lang w:val="en-US" w:eastAsia="ko-KR"/>
        </w:rPr>
        <w:t>When several different radio systems are co-located, the antenna isolation concept can be brought into consideration in the calculation of interference between them. Figure 1 gives generic examples of antenna arrangements which illustrate the isolations of horizontal (HI), vertical (VI) and slant (SI) antenna configurations.</w:t>
      </w:r>
    </w:p>
    <w:p w:rsidR="003727F9" w:rsidRPr="003727F9" w:rsidRDefault="003727F9" w:rsidP="003727F9">
      <w:pPr>
        <w:rPr>
          <w:rFonts w:eastAsia="Gulim"/>
          <w:lang w:val="en-US" w:eastAsia="ko-KR"/>
        </w:rPr>
      </w:pPr>
      <w:r w:rsidRPr="003727F9">
        <w:rPr>
          <w:rFonts w:eastAsia="Gulim"/>
          <w:lang w:val="en-US" w:eastAsia="ko-KR"/>
        </w:rPr>
        <w:t>The antenna isolation is mainly dependent on distance separation and wavelength</w:t>
      </w:r>
      <w:proofErr w:type="gramStart"/>
      <w:r>
        <w:rPr>
          <w:rFonts w:eastAsia="Gulim"/>
          <w:lang w:val="en-US" w:eastAsia="ko-KR"/>
        </w:rPr>
        <w:t xml:space="preserve">, </w:t>
      </w:r>
      <w:proofErr w:type="gramEnd"/>
      <w:r w:rsidRPr="008817C2">
        <w:rPr>
          <w:rFonts w:eastAsia="Gulim"/>
          <w:lang w:eastAsia="ko-KR"/>
        </w:rPr>
        <w:sym w:font="Symbol" w:char="006C"/>
      </w:r>
      <w:r w:rsidRPr="003727F9">
        <w:rPr>
          <w:rFonts w:eastAsia="Gulim"/>
          <w:lang w:val="en-US" w:eastAsia="ko-KR"/>
        </w:rPr>
        <w:t xml:space="preserve">, </w:t>
      </w:r>
      <w:r>
        <w:rPr>
          <w:rFonts w:eastAsia="Gulim"/>
          <w:lang w:val="en-US" w:eastAsia="ko-KR"/>
        </w:rPr>
        <w:t>(m)</w:t>
      </w:r>
      <w:r w:rsidRPr="003727F9">
        <w:rPr>
          <w:rFonts w:eastAsia="Gulim"/>
          <w:lang w:val="en-US" w:eastAsia="ko-KR"/>
        </w:rPr>
        <w:t xml:space="preserve">. The distance separation between two antennas is the distance from the </w:t>
      </w:r>
      <w:proofErr w:type="spellStart"/>
      <w:r w:rsidRPr="003727F9">
        <w:rPr>
          <w:rFonts w:eastAsia="Gulim"/>
          <w:lang w:val="en-US" w:eastAsia="ko-KR"/>
        </w:rPr>
        <w:t>centre</w:t>
      </w:r>
      <w:proofErr w:type="spellEnd"/>
      <w:r w:rsidRPr="003727F9">
        <w:rPr>
          <w:rFonts w:eastAsia="Gulim"/>
          <w:lang w:val="en-US" w:eastAsia="ko-KR"/>
        </w:rPr>
        <w:t xml:space="preserve"> of interferer antenna to that of victim receiver antenna</w:t>
      </w:r>
      <w:r w:rsidRPr="008817C2">
        <w:rPr>
          <w:rStyle w:val="FootnoteReference"/>
          <w:rFonts w:eastAsia="Gulim"/>
          <w:lang w:eastAsia="ko-KR"/>
        </w:rPr>
        <w:footnoteReference w:id="2"/>
      </w:r>
      <w:r w:rsidRPr="003727F9">
        <w:rPr>
          <w:rFonts w:eastAsia="Gulim"/>
          <w:lang w:val="en-US" w:eastAsia="ko-KR"/>
        </w:rPr>
        <w:t>. Antenna-to-antenna isolations are normally expressed in terms of dB of attenuation.</w:t>
      </w:r>
    </w:p>
    <w:p w:rsidR="003727F9" w:rsidRPr="003727F9" w:rsidRDefault="00B84598" w:rsidP="00B84598">
      <w:pPr>
        <w:rPr>
          <w:rFonts w:eastAsia="Gulim"/>
          <w:lang w:val="en-US" w:eastAsia="ko-KR"/>
        </w:rPr>
      </w:pPr>
      <w:r>
        <w:rPr>
          <w:rFonts w:eastAsia="Gulim"/>
          <w:lang w:val="en-US" w:eastAsia="ko-KR"/>
        </w:rPr>
        <w:br w:type="page"/>
      </w:r>
      <w:r w:rsidR="003727F9" w:rsidRPr="003727F9">
        <w:rPr>
          <w:rFonts w:eastAsia="Gulim"/>
          <w:lang w:val="en-US" w:eastAsia="ko-KR"/>
        </w:rPr>
        <w:lastRenderedPageBreak/>
        <w:t>The isolation between two dipole antennas can be approximately computed by using the following equations (10a), (10b) and (10c)</w:t>
      </w:r>
      <w:r>
        <w:rPr>
          <w:rFonts w:eastAsia="Gulim"/>
          <w:lang w:val="en-US" w:eastAsia="ko-KR"/>
        </w:rPr>
        <w:t>:</w:t>
      </w:r>
    </w:p>
    <w:p w:rsidR="003727F9" w:rsidRPr="003727F9" w:rsidRDefault="003727F9" w:rsidP="003727F9">
      <w:pPr>
        <w:pStyle w:val="Equation"/>
        <w:rPr>
          <w:lang w:val="en-US" w:eastAsia="ko-KR"/>
        </w:rPr>
      </w:pPr>
      <w:r w:rsidRPr="003727F9">
        <w:rPr>
          <w:lang w:val="en-US"/>
        </w:rPr>
        <w:tab/>
      </w:r>
      <w:r w:rsidRPr="003727F9">
        <w:rPr>
          <w:lang w:val="en-US"/>
        </w:rPr>
        <w:tab/>
      </w:r>
      <w:r w:rsidRPr="008817C2">
        <w:rPr>
          <w:position w:val="-10"/>
        </w:rPr>
        <w:object w:dxaOrig="2540" w:dyaOrig="320">
          <v:shape id="_x0000_i1033" type="#_x0000_t75" style="width:127.05pt;height:15.75pt" o:ole="">
            <v:imagedata r:id="rId22" o:title=""/>
          </v:shape>
          <o:OLEObject Type="Embed" ProgID="Equation.3" ShapeID="_x0000_i1033" DrawAspect="Content" ObjectID="_1629876822" r:id="rId23"/>
        </w:object>
      </w:r>
      <w:r w:rsidRPr="003727F9">
        <w:rPr>
          <w:lang w:val="en-US"/>
        </w:rPr>
        <w:tab/>
        <w:t>(10a)</w:t>
      </w:r>
    </w:p>
    <w:p w:rsidR="003727F9" w:rsidRPr="003727F9" w:rsidRDefault="003727F9" w:rsidP="003727F9">
      <w:pPr>
        <w:pStyle w:val="Equation"/>
        <w:rPr>
          <w:lang w:val="en-US" w:eastAsia="ko-KR"/>
        </w:rPr>
      </w:pPr>
      <w:r w:rsidRPr="003727F9">
        <w:rPr>
          <w:lang w:val="en-US"/>
        </w:rPr>
        <w:tab/>
      </w:r>
      <w:r w:rsidRPr="003727F9">
        <w:rPr>
          <w:lang w:val="en-US"/>
        </w:rPr>
        <w:tab/>
      </w:r>
      <w:r w:rsidRPr="008817C2">
        <w:rPr>
          <w:position w:val="-10"/>
        </w:rPr>
        <w:object w:dxaOrig="2540" w:dyaOrig="320">
          <v:shape id="_x0000_i1034" type="#_x0000_t75" style="width:127.05pt;height:15.75pt" o:ole="">
            <v:imagedata r:id="rId24" o:title=""/>
          </v:shape>
          <o:OLEObject Type="Embed" ProgID="Equation.3" ShapeID="_x0000_i1034" DrawAspect="Content" ObjectID="_1629876823" r:id="rId25"/>
        </w:object>
      </w:r>
      <w:r w:rsidRPr="003727F9">
        <w:rPr>
          <w:lang w:val="en-US"/>
        </w:rPr>
        <w:tab/>
        <w:t>(10b)</w:t>
      </w:r>
    </w:p>
    <w:p w:rsidR="003727F9" w:rsidRPr="003727F9" w:rsidRDefault="003727F9" w:rsidP="003727F9">
      <w:pPr>
        <w:pStyle w:val="Equation"/>
        <w:rPr>
          <w:lang w:val="en-US"/>
        </w:rPr>
      </w:pPr>
      <w:r w:rsidRPr="003727F9">
        <w:rPr>
          <w:lang w:val="en-US"/>
        </w:rPr>
        <w:tab/>
      </w:r>
      <w:r w:rsidRPr="003727F9">
        <w:rPr>
          <w:lang w:val="en-US"/>
        </w:rPr>
        <w:tab/>
      </w:r>
      <w:r w:rsidR="00E6348A" w:rsidRPr="008817C2">
        <w:rPr>
          <w:position w:val="-10"/>
        </w:rPr>
        <w:object w:dxaOrig="2760" w:dyaOrig="320">
          <v:shape id="_x0000_i1035" type="#_x0000_t75" style="width:137.95pt;height:15.75pt" o:ole="">
            <v:imagedata r:id="rId26" o:title=""/>
          </v:shape>
          <o:OLEObject Type="Embed" ProgID="Equation.3" ShapeID="_x0000_i1035" DrawAspect="Content" ObjectID="_1629876824" r:id="rId27"/>
        </w:object>
      </w:r>
      <w:r w:rsidRPr="003727F9">
        <w:rPr>
          <w:lang w:val="en-US"/>
        </w:rPr>
        <w:tab/>
        <w:t>(10c)</w:t>
      </w:r>
    </w:p>
    <w:p w:rsidR="003727F9" w:rsidRPr="003727F9" w:rsidRDefault="003727F9" w:rsidP="003727F9">
      <w:pPr>
        <w:rPr>
          <w:lang w:val="en-US" w:eastAsia="ko-KR"/>
        </w:rPr>
      </w:pPr>
      <w:proofErr w:type="gramStart"/>
      <w:r w:rsidRPr="003727F9">
        <w:rPr>
          <w:lang w:val="en-US"/>
        </w:rPr>
        <w:t>where</w:t>
      </w:r>
      <w:proofErr w:type="gramEnd"/>
      <w:r w:rsidRPr="003727F9">
        <w:rPr>
          <w:lang w:val="en-US" w:eastAsia="ko-KR"/>
        </w:rPr>
        <w:t xml:space="preserve"> </w:t>
      </w:r>
      <w:r w:rsidRPr="008817C2">
        <w:rPr>
          <w:lang w:eastAsia="ko-KR"/>
        </w:rPr>
        <w:sym w:font="Symbol" w:char="0071"/>
      </w:r>
      <w:r w:rsidRPr="003727F9">
        <w:rPr>
          <w:lang w:val="en-US" w:eastAsia="ko-KR"/>
        </w:rPr>
        <w:t xml:space="preserve"> (rad) is tan</w:t>
      </w:r>
      <w:r w:rsidRPr="003727F9">
        <w:rPr>
          <w:vertAlign w:val="superscript"/>
          <w:lang w:val="en-US" w:eastAsia="ko-KR"/>
        </w:rPr>
        <w:t>–1</w:t>
      </w:r>
      <w:r w:rsidRPr="003727F9">
        <w:rPr>
          <w:lang w:val="en-US" w:eastAsia="ko-KR"/>
        </w:rPr>
        <w:t>(</w:t>
      </w:r>
      <w:r w:rsidRPr="003727F9">
        <w:rPr>
          <w:i/>
          <w:lang w:val="en-US" w:eastAsia="ko-KR"/>
        </w:rPr>
        <w:t>y/x</w:t>
      </w:r>
      <w:r w:rsidRPr="003727F9">
        <w:rPr>
          <w:lang w:val="en-US" w:eastAsia="ko-KR"/>
        </w:rPr>
        <w:t xml:space="preserve">), </w:t>
      </w:r>
      <w:r w:rsidRPr="003727F9">
        <w:rPr>
          <w:i/>
          <w:lang w:val="en-US" w:eastAsia="ko-KR"/>
        </w:rPr>
        <w:t>x</w:t>
      </w:r>
      <w:r w:rsidRPr="003727F9">
        <w:rPr>
          <w:lang w:val="en-US" w:eastAsia="ko-KR"/>
        </w:rPr>
        <w:t xml:space="preserve"> is the horizontal distance, and </w:t>
      </w:r>
      <w:r w:rsidRPr="003727F9">
        <w:rPr>
          <w:i/>
          <w:iCs/>
          <w:lang w:val="en-US" w:eastAsia="ko-KR"/>
        </w:rPr>
        <w:t>y</w:t>
      </w:r>
      <w:r w:rsidRPr="003727F9">
        <w:rPr>
          <w:lang w:val="en-US" w:eastAsia="ko-KR"/>
        </w:rPr>
        <w:t xml:space="preserve"> is the vertical distance. The equations are applicable when </w:t>
      </w:r>
      <w:r w:rsidRPr="003727F9">
        <w:rPr>
          <w:i/>
          <w:lang w:val="en-US" w:eastAsia="ko-KR"/>
        </w:rPr>
        <w:t>x</w:t>
      </w:r>
      <w:r w:rsidRPr="003727F9">
        <w:rPr>
          <w:lang w:val="en-US" w:eastAsia="ko-KR"/>
        </w:rPr>
        <w:t xml:space="preserve"> is greater than 10</w:t>
      </w:r>
      <w:r w:rsidRPr="008817C2">
        <w:rPr>
          <w:rFonts w:ascii="Symbol" w:hAnsi="Symbol"/>
          <w:iCs/>
          <w:lang w:eastAsia="ko-KR"/>
        </w:rPr>
        <w:t></w:t>
      </w:r>
      <w:r w:rsidRPr="003727F9">
        <w:rPr>
          <w:lang w:val="en-US" w:eastAsia="ko-KR"/>
        </w:rPr>
        <w:t xml:space="preserve"> and </w:t>
      </w:r>
      <w:r w:rsidRPr="003727F9">
        <w:rPr>
          <w:i/>
          <w:lang w:val="en-US" w:eastAsia="ko-KR"/>
        </w:rPr>
        <w:t>y</w:t>
      </w:r>
      <w:r w:rsidRPr="003727F9">
        <w:rPr>
          <w:lang w:val="en-US" w:eastAsia="ko-KR"/>
        </w:rPr>
        <w:t xml:space="preserve"> is greater </w:t>
      </w:r>
      <w:proofErr w:type="gramStart"/>
      <w:r w:rsidRPr="003727F9">
        <w:rPr>
          <w:lang w:val="en-US" w:eastAsia="ko-KR"/>
        </w:rPr>
        <w:t xml:space="preserve">than </w:t>
      </w:r>
      <w:proofErr w:type="gramEnd"/>
      <w:r w:rsidRPr="008817C2">
        <w:rPr>
          <w:iCs/>
          <w:lang w:eastAsia="ko-KR"/>
        </w:rPr>
        <w:sym w:font="Symbol" w:char="006C"/>
      </w:r>
      <w:r w:rsidRPr="003727F9">
        <w:rPr>
          <w:lang w:val="en-US" w:eastAsia="ko-KR"/>
        </w:rPr>
        <w:t>.</w:t>
      </w:r>
    </w:p>
    <w:p w:rsidR="003727F9" w:rsidRPr="003727F9" w:rsidRDefault="003727F9" w:rsidP="003727F9">
      <w:pPr>
        <w:rPr>
          <w:lang w:val="en-US" w:eastAsia="ko-KR"/>
        </w:rPr>
      </w:pPr>
      <w:r w:rsidRPr="003727F9">
        <w:rPr>
          <w:lang w:val="en-US" w:eastAsia="ko-KR"/>
        </w:rPr>
        <w:t>These isolations obtained from equation</w:t>
      </w:r>
      <w:r w:rsidR="00E6348A">
        <w:rPr>
          <w:lang w:val="en-US" w:eastAsia="ko-KR"/>
        </w:rPr>
        <w:t>s</w:t>
      </w:r>
      <w:r w:rsidRPr="003727F9">
        <w:rPr>
          <w:lang w:val="en-US" w:eastAsia="ko-KR"/>
        </w:rPr>
        <w:t xml:space="preserve"> (10a), (10b) and (10c) can be substituted for the </w:t>
      </w:r>
      <w:r w:rsidRPr="003727F9">
        <w:rPr>
          <w:lang w:val="en-US"/>
        </w:rPr>
        <w:t>basic transmission loss</w:t>
      </w:r>
      <w:r w:rsidRPr="003727F9">
        <w:rPr>
          <w:lang w:val="en-US" w:eastAsia="ko-KR"/>
        </w:rPr>
        <w:t xml:space="preserve"> (</w:t>
      </w:r>
      <w:proofErr w:type="spellStart"/>
      <w:r w:rsidRPr="003727F9">
        <w:rPr>
          <w:i/>
          <w:lang w:val="en-US"/>
        </w:rPr>
        <w:t>L</w:t>
      </w:r>
      <w:r w:rsidRPr="003727F9">
        <w:rPr>
          <w:i/>
          <w:vertAlign w:val="subscript"/>
          <w:lang w:val="en-US"/>
        </w:rPr>
        <w:t>b</w:t>
      </w:r>
      <w:proofErr w:type="spellEnd"/>
      <w:r w:rsidRPr="003727F9">
        <w:rPr>
          <w:position w:val="-3"/>
          <w:sz w:val="12"/>
          <w:lang w:val="en-US"/>
        </w:rPr>
        <w:t> </w:t>
      </w:r>
      <w:r w:rsidRPr="003727F9">
        <w:rPr>
          <w:lang w:val="en-US"/>
        </w:rPr>
        <w:t>(</w:t>
      </w:r>
      <w:proofErr w:type="gramStart"/>
      <w:r w:rsidRPr="003727F9">
        <w:rPr>
          <w:i/>
          <w:lang w:val="en-US"/>
        </w:rPr>
        <w:t>d</w:t>
      </w:r>
      <w:r w:rsidRPr="003727F9">
        <w:rPr>
          <w:sz w:val="8"/>
          <w:lang w:val="en-US"/>
        </w:rPr>
        <w:t> </w:t>
      </w:r>
      <w:r w:rsidRPr="003727F9">
        <w:rPr>
          <w:lang w:val="en-US"/>
        </w:rPr>
        <w:t>)</w:t>
      </w:r>
      <w:proofErr w:type="gramEnd"/>
      <w:r w:rsidRPr="003727F9">
        <w:rPr>
          <w:lang w:val="en-US" w:eastAsia="ko-KR"/>
        </w:rPr>
        <w:t xml:space="preserve">) of equation (1) or the </w:t>
      </w:r>
      <w:r w:rsidRPr="003727F9">
        <w:rPr>
          <w:lang w:val="en-US"/>
        </w:rPr>
        <w:t>propagation path loss</w:t>
      </w:r>
      <w:r w:rsidRPr="003727F9">
        <w:rPr>
          <w:lang w:val="en-US" w:eastAsia="ko-KR"/>
        </w:rPr>
        <w:t xml:space="preserve"> (</w:t>
      </w:r>
      <w:proofErr w:type="spellStart"/>
      <w:r w:rsidRPr="003727F9">
        <w:rPr>
          <w:i/>
          <w:lang w:val="en-US"/>
        </w:rPr>
        <w:t>L</w:t>
      </w:r>
      <w:r w:rsidRPr="003727F9">
        <w:rPr>
          <w:i/>
          <w:vertAlign w:val="subscript"/>
          <w:lang w:val="en-US"/>
        </w:rPr>
        <w:t>p</w:t>
      </w:r>
      <w:proofErr w:type="spellEnd"/>
      <w:r w:rsidRPr="003727F9">
        <w:rPr>
          <w:lang w:val="en-US" w:eastAsia="ko-KR"/>
        </w:rPr>
        <w:t>) of equation (9) when two stations are co-located.</w:t>
      </w:r>
    </w:p>
    <w:p w:rsidR="003727F9" w:rsidRPr="003727F9" w:rsidRDefault="003727F9" w:rsidP="003727F9">
      <w:pPr>
        <w:pStyle w:val="FigureNo"/>
        <w:rPr>
          <w:lang w:val="en-US" w:eastAsia="ko-KR"/>
        </w:rPr>
      </w:pPr>
      <w:r w:rsidRPr="003727F9">
        <w:rPr>
          <w:lang w:val="en-US" w:eastAsia="ko-KR"/>
        </w:rPr>
        <w:t>FIGURE 1</w:t>
      </w:r>
    </w:p>
    <w:p w:rsidR="003727F9" w:rsidRPr="003727F9" w:rsidRDefault="003727F9" w:rsidP="003727F9">
      <w:pPr>
        <w:pStyle w:val="Figuretitle"/>
        <w:rPr>
          <w:lang w:val="en-US" w:eastAsia="ko-KR"/>
        </w:rPr>
      </w:pPr>
      <w:r w:rsidRPr="003727F9">
        <w:rPr>
          <w:lang w:val="en-US" w:eastAsia="ko-KR"/>
        </w:rPr>
        <w:t>Antenna isolation in horizontal, vertical and slant direction</w:t>
      </w:r>
    </w:p>
    <w:p w:rsidR="003727F9" w:rsidRPr="008817C2" w:rsidRDefault="00734DD6" w:rsidP="00E6348A">
      <w:pPr>
        <w:pStyle w:val="Figure"/>
      </w:pPr>
      <w:r>
        <w:object w:dxaOrig="7706" w:dyaOrig="8210">
          <v:shape id="_x0000_i1036" type="#_x0000_t75" style="width:385.4pt;height:410.2pt" o:ole="">
            <v:imagedata r:id="rId28" o:title=""/>
          </v:shape>
          <o:OLEObject Type="Embed" ProgID="CorelDRAW.Graphic.12" ShapeID="_x0000_i1036" DrawAspect="Content" ObjectID="_1629876825" r:id="rId29"/>
        </w:object>
      </w:r>
    </w:p>
    <w:p w:rsidR="003727F9" w:rsidRPr="004618C0" w:rsidRDefault="003727F9" w:rsidP="003727F9">
      <w:pPr>
        <w:pStyle w:val="Heading1"/>
        <w:rPr>
          <w:lang w:val="en-US"/>
        </w:rPr>
      </w:pPr>
      <w:r w:rsidRPr="004618C0">
        <w:rPr>
          <w:lang w:val="en-US"/>
        </w:rPr>
        <w:lastRenderedPageBreak/>
        <w:t>3</w:t>
      </w:r>
      <w:r w:rsidRPr="004618C0">
        <w:rPr>
          <w:lang w:val="en-US"/>
        </w:rPr>
        <w:tab/>
        <w:t>Application to land mobile radio systems</w:t>
      </w:r>
    </w:p>
    <w:p w:rsidR="003727F9" w:rsidRPr="004618C0" w:rsidRDefault="003727F9" w:rsidP="003727F9">
      <w:pPr>
        <w:rPr>
          <w:strike/>
          <w:lang w:val="en-US"/>
        </w:rPr>
      </w:pPr>
      <w:r w:rsidRPr="004618C0">
        <w:rPr>
          <w:lang w:val="en-US"/>
        </w:rPr>
        <w:t>To demonstrate the methodology described above, an example using two dissimilar land mobile radio (LMR) systems is described in this section. The two systems considered could be digital or analogue with TDMA or FDMA access techniques. Our computations are based on spectral emission masks and certain receiver selectivity requirements and as such the results are independent of any particular modulation techniques that may be used by either of the two systems. In this example, the receiver selectivity was assumed to have similar characteristics to the spectral emission masks, a consideration which is expected to be the case for digital systems.</w:t>
      </w:r>
    </w:p>
    <w:p w:rsidR="003727F9" w:rsidRPr="004618C0" w:rsidRDefault="003727F9" w:rsidP="003727F9">
      <w:pPr>
        <w:rPr>
          <w:lang w:val="en-US"/>
        </w:rPr>
      </w:pPr>
      <w:r w:rsidRPr="004618C0">
        <w:rPr>
          <w:lang w:val="en-US"/>
        </w:rPr>
        <w:t>The assumptions made for the two systems are summarized in Tables 1 and 2:</w:t>
      </w:r>
    </w:p>
    <w:p w:rsidR="003727F9" w:rsidRPr="004618C0" w:rsidRDefault="003727F9" w:rsidP="003727F9">
      <w:pPr>
        <w:pStyle w:val="TableNo"/>
        <w:rPr>
          <w:lang w:val="en-US"/>
        </w:rPr>
      </w:pPr>
      <w:r w:rsidRPr="004618C0">
        <w:rPr>
          <w:lang w:val="en-US"/>
        </w:rPr>
        <w:t>TABLE 1</w:t>
      </w:r>
    </w:p>
    <w:p w:rsidR="003727F9" w:rsidRPr="004618C0" w:rsidRDefault="003727F9" w:rsidP="003727F9">
      <w:pPr>
        <w:pStyle w:val="Tabletitle"/>
        <w:rPr>
          <w:lang w:val="en-US"/>
        </w:rPr>
      </w:pPr>
      <w:r w:rsidRPr="004618C0">
        <w:rPr>
          <w:lang w:val="en-US"/>
        </w:rPr>
        <w:t>Assumed parameters for the example</w:t>
      </w:r>
    </w:p>
    <w:tbl>
      <w:tblPr>
        <w:tblW w:w="0" w:type="auto"/>
        <w:jc w:val="center"/>
        <w:tblLayout w:type="fixed"/>
        <w:tblCellMar>
          <w:left w:w="107" w:type="dxa"/>
          <w:right w:w="107" w:type="dxa"/>
        </w:tblCellMar>
        <w:tblLook w:val="0000" w:firstRow="0" w:lastRow="0" w:firstColumn="0" w:lastColumn="0" w:noHBand="0" w:noVBand="0"/>
      </w:tblPr>
      <w:tblGrid>
        <w:gridCol w:w="3402"/>
        <w:gridCol w:w="2041"/>
      </w:tblGrid>
      <w:tr w:rsidR="003727F9" w:rsidRPr="006777E8">
        <w:trPr>
          <w:jc w:val="center"/>
        </w:trPr>
        <w:tc>
          <w:tcPr>
            <w:tcW w:w="3402" w:type="dxa"/>
            <w:tcBorders>
              <w:top w:val="single" w:sz="6" w:space="0" w:color="000000"/>
              <w:left w:val="single" w:sz="6" w:space="0" w:color="000000"/>
              <w:bottom w:val="single" w:sz="6" w:space="0" w:color="FFFFFF"/>
              <w:right w:val="single" w:sz="6" w:space="0" w:color="FFFFFF"/>
            </w:tcBorders>
          </w:tcPr>
          <w:p w:rsidR="003727F9" w:rsidRPr="004618C0" w:rsidRDefault="003727F9" w:rsidP="00E6348A">
            <w:pPr>
              <w:pStyle w:val="Tabletext"/>
              <w:jc w:val="left"/>
              <w:rPr>
                <w:lang w:val="en-US"/>
              </w:rPr>
            </w:pPr>
            <w:r w:rsidRPr="004618C0">
              <w:rPr>
                <w:lang w:val="en-US"/>
              </w:rPr>
              <w:t xml:space="preserve">Minimum desired signal level, </w:t>
            </w:r>
            <w:proofErr w:type="spellStart"/>
            <w:r w:rsidRPr="004618C0">
              <w:rPr>
                <w:i/>
                <w:lang w:val="en-US"/>
              </w:rPr>
              <w:t>P</w:t>
            </w:r>
            <w:r w:rsidRPr="004F1AF6">
              <w:rPr>
                <w:i/>
                <w:vertAlign w:val="subscript"/>
                <w:lang w:val="en-US"/>
              </w:rPr>
              <w:t>min</w:t>
            </w:r>
            <w:proofErr w:type="spellEnd"/>
          </w:p>
        </w:tc>
        <w:tc>
          <w:tcPr>
            <w:tcW w:w="2041" w:type="dxa"/>
            <w:tcBorders>
              <w:top w:val="single" w:sz="6" w:space="0" w:color="000000"/>
              <w:left w:val="single" w:sz="6" w:space="0" w:color="000000"/>
              <w:bottom w:val="single" w:sz="6" w:space="0" w:color="FFFFFF"/>
              <w:right w:val="single" w:sz="6" w:space="0" w:color="000000"/>
            </w:tcBorders>
          </w:tcPr>
          <w:p w:rsidR="003727F9" w:rsidRPr="006777E8" w:rsidRDefault="003727F9" w:rsidP="00560C4C">
            <w:pPr>
              <w:pStyle w:val="Tabletext"/>
              <w:jc w:val="center"/>
            </w:pPr>
            <w:r w:rsidRPr="006777E8">
              <w:t>–145 </w:t>
            </w:r>
            <w:proofErr w:type="spellStart"/>
            <w:r w:rsidRPr="006777E8">
              <w:t>dBW</w:t>
            </w:r>
            <w:proofErr w:type="spellEnd"/>
          </w:p>
        </w:tc>
      </w:tr>
      <w:tr w:rsidR="003727F9" w:rsidRPr="006777E8">
        <w:trPr>
          <w:jc w:val="center"/>
        </w:trPr>
        <w:tc>
          <w:tcPr>
            <w:tcW w:w="3402" w:type="dxa"/>
            <w:tcBorders>
              <w:top w:val="single" w:sz="6" w:space="0" w:color="000000"/>
              <w:left w:val="single" w:sz="6" w:space="0" w:color="000000"/>
              <w:bottom w:val="single" w:sz="6" w:space="0" w:color="FFFFFF"/>
              <w:right w:val="single" w:sz="6" w:space="0" w:color="FFFFFF"/>
            </w:tcBorders>
          </w:tcPr>
          <w:p w:rsidR="003727F9" w:rsidRPr="006777E8" w:rsidRDefault="003727F9" w:rsidP="00E6348A">
            <w:pPr>
              <w:pStyle w:val="Tabletext"/>
              <w:jc w:val="left"/>
            </w:pPr>
            <w:proofErr w:type="spellStart"/>
            <w:r w:rsidRPr="006777E8">
              <w:t>Required</w:t>
            </w:r>
            <w:proofErr w:type="spellEnd"/>
            <w:r w:rsidRPr="006777E8">
              <w:t xml:space="preserve"> protection ratio, </w:t>
            </w:r>
            <w:r w:rsidRPr="006777E8">
              <w:rPr>
                <w:rFonts w:ascii="Symbol" w:hAnsi="Symbol"/>
                <w:sz w:val="24"/>
              </w:rPr>
              <w:t></w:t>
            </w:r>
          </w:p>
        </w:tc>
        <w:tc>
          <w:tcPr>
            <w:tcW w:w="2041" w:type="dxa"/>
            <w:tcBorders>
              <w:top w:val="single" w:sz="6" w:space="0" w:color="000000"/>
              <w:left w:val="single" w:sz="6" w:space="0" w:color="000000"/>
              <w:bottom w:val="single" w:sz="6" w:space="0" w:color="FFFFFF"/>
              <w:right w:val="single" w:sz="6" w:space="0" w:color="000000"/>
            </w:tcBorders>
          </w:tcPr>
          <w:p w:rsidR="003727F9" w:rsidRPr="006777E8" w:rsidRDefault="003727F9" w:rsidP="00560C4C">
            <w:pPr>
              <w:pStyle w:val="Tabletext"/>
              <w:jc w:val="center"/>
            </w:pPr>
            <w:r w:rsidRPr="006777E8">
              <w:t>18 dB</w:t>
            </w:r>
          </w:p>
        </w:tc>
      </w:tr>
      <w:tr w:rsidR="003727F9" w:rsidRPr="006777E8">
        <w:trPr>
          <w:jc w:val="center"/>
        </w:trPr>
        <w:tc>
          <w:tcPr>
            <w:tcW w:w="3402" w:type="dxa"/>
            <w:tcBorders>
              <w:top w:val="single" w:sz="6" w:space="0" w:color="000000"/>
              <w:left w:val="single" w:sz="6" w:space="0" w:color="000000"/>
              <w:bottom w:val="single" w:sz="6" w:space="0" w:color="FFFFFF"/>
              <w:right w:val="single" w:sz="6" w:space="0" w:color="FFFFFF"/>
            </w:tcBorders>
          </w:tcPr>
          <w:p w:rsidR="003727F9" w:rsidRPr="004618C0" w:rsidRDefault="003727F9" w:rsidP="00E6348A">
            <w:pPr>
              <w:pStyle w:val="Tabletext"/>
              <w:jc w:val="left"/>
              <w:rPr>
                <w:lang w:val="en-US"/>
              </w:rPr>
            </w:pPr>
            <w:r w:rsidRPr="004618C0">
              <w:rPr>
                <w:lang w:val="en-US"/>
              </w:rPr>
              <w:t xml:space="preserve">Base station antenna height, </w:t>
            </w:r>
            <w:proofErr w:type="spellStart"/>
            <w:r w:rsidRPr="004618C0">
              <w:rPr>
                <w:i/>
                <w:lang w:val="en-US"/>
              </w:rPr>
              <w:t>h</w:t>
            </w:r>
            <w:r w:rsidRPr="004618C0">
              <w:rPr>
                <w:i/>
                <w:vertAlign w:val="subscript"/>
                <w:lang w:val="en-US"/>
              </w:rPr>
              <w:t>b</w:t>
            </w:r>
            <w:proofErr w:type="spellEnd"/>
          </w:p>
        </w:tc>
        <w:tc>
          <w:tcPr>
            <w:tcW w:w="2041" w:type="dxa"/>
            <w:tcBorders>
              <w:top w:val="single" w:sz="6" w:space="0" w:color="000000"/>
              <w:left w:val="single" w:sz="6" w:space="0" w:color="000000"/>
              <w:bottom w:val="single" w:sz="6" w:space="0" w:color="FFFFFF"/>
              <w:right w:val="single" w:sz="6" w:space="0" w:color="000000"/>
            </w:tcBorders>
          </w:tcPr>
          <w:p w:rsidR="003727F9" w:rsidRPr="006777E8" w:rsidRDefault="003727F9" w:rsidP="00560C4C">
            <w:pPr>
              <w:pStyle w:val="Tabletext"/>
              <w:jc w:val="center"/>
            </w:pPr>
            <w:r w:rsidRPr="006777E8">
              <w:t>75 m</w:t>
            </w:r>
          </w:p>
        </w:tc>
      </w:tr>
      <w:tr w:rsidR="003727F9" w:rsidRPr="006777E8">
        <w:trPr>
          <w:jc w:val="center"/>
        </w:trPr>
        <w:tc>
          <w:tcPr>
            <w:tcW w:w="3402" w:type="dxa"/>
            <w:tcBorders>
              <w:top w:val="single" w:sz="6" w:space="0" w:color="000000"/>
              <w:left w:val="single" w:sz="6" w:space="0" w:color="000000"/>
              <w:bottom w:val="single" w:sz="6" w:space="0" w:color="FFFFFF"/>
              <w:right w:val="single" w:sz="6" w:space="0" w:color="FFFFFF"/>
            </w:tcBorders>
          </w:tcPr>
          <w:p w:rsidR="003727F9" w:rsidRPr="006777E8" w:rsidRDefault="003727F9" w:rsidP="00E6348A">
            <w:pPr>
              <w:pStyle w:val="Tabletext"/>
              <w:jc w:val="left"/>
              <w:rPr>
                <w:i/>
              </w:rPr>
            </w:pPr>
            <w:r w:rsidRPr="006777E8">
              <w:t xml:space="preserve">Operating </w:t>
            </w:r>
            <w:proofErr w:type="spellStart"/>
            <w:r w:rsidRPr="006777E8">
              <w:t>frequency</w:t>
            </w:r>
            <w:proofErr w:type="spellEnd"/>
            <w:r w:rsidRPr="006777E8">
              <w:t xml:space="preserve">, </w:t>
            </w:r>
            <w:r w:rsidRPr="006777E8">
              <w:rPr>
                <w:i/>
              </w:rPr>
              <w:t>f</w:t>
            </w:r>
          </w:p>
        </w:tc>
        <w:tc>
          <w:tcPr>
            <w:tcW w:w="2041" w:type="dxa"/>
            <w:tcBorders>
              <w:top w:val="single" w:sz="6" w:space="0" w:color="000000"/>
              <w:left w:val="single" w:sz="6" w:space="0" w:color="000000"/>
              <w:bottom w:val="single" w:sz="6" w:space="0" w:color="FFFFFF"/>
              <w:right w:val="single" w:sz="6" w:space="0" w:color="000000"/>
            </w:tcBorders>
          </w:tcPr>
          <w:p w:rsidR="003727F9" w:rsidRPr="006777E8" w:rsidRDefault="003727F9" w:rsidP="00560C4C">
            <w:pPr>
              <w:pStyle w:val="Tabletext"/>
              <w:jc w:val="center"/>
            </w:pPr>
            <w:r w:rsidRPr="006777E8">
              <w:t>450 MHz</w:t>
            </w:r>
          </w:p>
        </w:tc>
      </w:tr>
      <w:tr w:rsidR="003727F9" w:rsidRPr="006777E8">
        <w:trPr>
          <w:jc w:val="center"/>
        </w:trPr>
        <w:tc>
          <w:tcPr>
            <w:tcW w:w="3402" w:type="dxa"/>
            <w:tcBorders>
              <w:top w:val="single" w:sz="6" w:space="0" w:color="000000"/>
              <w:left w:val="single" w:sz="6" w:space="0" w:color="000000"/>
              <w:bottom w:val="single" w:sz="6" w:space="0" w:color="FFFFFF"/>
              <w:right w:val="single" w:sz="6" w:space="0" w:color="FFFFFF"/>
            </w:tcBorders>
          </w:tcPr>
          <w:p w:rsidR="003727F9" w:rsidRPr="006777E8" w:rsidRDefault="003727F9" w:rsidP="00E6348A">
            <w:pPr>
              <w:pStyle w:val="Tabletext"/>
              <w:jc w:val="left"/>
            </w:pPr>
            <w:r w:rsidRPr="006777E8">
              <w:t xml:space="preserve">Base station </w:t>
            </w:r>
            <w:proofErr w:type="spellStart"/>
            <w:r w:rsidRPr="006777E8">
              <w:t>e.i.r.p</w:t>
            </w:r>
            <w:proofErr w:type="spellEnd"/>
            <w:r w:rsidRPr="006777E8">
              <w:t>.</w:t>
            </w:r>
          </w:p>
        </w:tc>
        <w:tc>
          <w:tcPr>
            <w:tcW w:w="2041" w:type="dxa"/>
            <w:tcBorders>
              <w:top w:val="single" w:sz="6" w:space="0" w:color="000000"/>
              <w:left w:val="single" w:sz="6" w:space="0" w:color="000000"/>
              <w:bottom w:val="single" w:sz="6" w:space="0" w:color="FFFFFF"/>
              <w:right w:val="single" w:sz="6" w:space="0" w:color="000000"/>
            </w:tcBorders>
          </w:tcPr>
          <w:p w:rsidR="003727F9" w:rsidRPr="006777E8" w:rsidRDefault="003727F9" w:rsidP="00560C4C">
            <w:pPr>
              <w:pStyle w:val="Tabletext"/>
              <w:jc w:val="center"/>
            </w:pPr>
            <w:r w:rsidRPr="006777E8">
              <w:t xml:space="preserve">20 </w:t>
            </w:r>
            <w:proofErr w:type="spellStart"/>
            <w:r w:rsidRPr="006777E8">
              <w:t>dBW</w:t>
            </w:r>
            <w:proofErr w:type="spellEnd"/>
          </w:p>
        </w:tc>
      </w:tr>
      <w:tr w:rsidR="003727F9" w:rsidRPr="006777E8">
        <w:trPr>
          <w:jc w:val="center"/>
        </w:trPr>
        <w:tc>
          <w:tcPr>
            <w:tcW w:w="3402" w:type="dxa"/>
            <w:tcBorders>
              <w:top w:val="single" w:sz="6" w:space="0" w:color="000000"/>
              <w:left w:val="single" w:sz="6" w:space="0" w:color="000000"/>
              <w:bottom w:val="single" w:sz="6" w:space="0" w:color="FFFFFF"/>
              <w:right w:val="single" w:sz="6" w:space="0" w:color="FFFFFF"/>
            </w:tcBorders>
          </w:tcPr>
          <w:p w:rsidR="003727F9" w:rsidRPr="006777E8" w:rsidRDefault="003727F9" w:rsidP="00E6348A">
            <w:pPr>
              <w:pStyle w:val="Tabletext"/>
              <w:jc w:val="left"/>
            </w:pPr>
            <w:r w:rsidRPr="006777E8">
              <w:t xml:space="preserve">Base </w:t>
            </w:r>
            <w:proofErr w:type="spellStart"/>
            <w:r w:rsidRPr="006777E8">
              <w:t>receiving</w:t>
            </w:r>
            <w:proofErr w:type="spellEnd"/>
            <w:r w:rsidRPr="006777E8">
              <w:t xml:space="preserve"> </w:t>
            </w:r>
            <w:proofErr w:type="spellStart"/>
            <w:r w:rsidRPr="006777E8">
              <w:t>antenna</w:t>
            </w:r>
            <w:proofErr w:type="spellEnd"/>
            <w:r w:rsidRPr="006777E8">
              <w:t xml:space="preserve"> gain</w:t>
            </w:r>
          </w:p>
        </w:tc>
        <w:tc>
          <w:tcPr>
            <w:tcW w:w="2041" w:type="dxa"/>
            <w:tcBorders>
              <w:top w:val="single" w:sz="6" w:space="0" w:color="000000"/>
              <w:left w:val="single" w:sz="6" w:space="0" w:color="000000"/>
              <w:bottom w:val="single" w:sz="6" w:space="0" w:color="FFFFFF"/>
              <w:right w:val="single" w:sz="6" w:space="0" w:color="000000"/>
            </w:tcBorders>
          </w:tcPr>
          <w:p w:rsidR="003727F9" w:rsidRPr="006777E8" w:rsidRDefault="003727F9" w:rsidP="00560C4C">
            <w:pPr>
              <w:pStyle w:val="Tabletext"/>
              <w:jc w:val="center"/>
            </w:pPr>
            <w:r w:rsidRPr="006777E8">
              <w:t xml:space="preserve">0 </w:t>
            </w:r>
            <w:proofErr w:type="spellStart"/>
            <w:r w:rsidRPr="006777E8">
              <w:t>dBi</w:t>
            </w:r>
            <w:proofErr w:type="spellEnd"/>
          </w:p>
        </w:tc>
      </w:tr>
      <w:tr w:rsidR="003727F9" w:rsidRPr="006777E8">
        <w:trPr>
          <w:jc w:val="center"/>
        </w:trPr>
        <w:tc>
          <w:tcPr>
            <w:tcW w:w="3402" w:type="dxa"/>
            <w:tcBorders>
              <w:top w:val="single" w:sz="6" w:space="0" w:color="000000"/>
              <w:left w:val="single" w:sz="6" w:space="0" w:color="000000"/>
              <w:bottom w:val="nil"/>
              <w:right w:val="single" w:sz="6" w:space="0" w:color="FFFFFF"/>
            </w:tcBorders>
          </w:tcPr>
          <w:p w:rsidR="003727F9" w:rsidRPr="006777E8" w:rsidRDefault="003727F9" w:rsidP="00E6348A">
            <w:pPr>
              <w:pStyle w:val="Tabletext"/>
              <w:jc w:val="left"/>
            </w:pPr>
            <w:proofErr w:type="spellStart"/>
            <w:r w:rsidRPr="006777E8">
              <w:t>Equivalent</w:t>
            </w:r>
            <w:proofErr w:type="spellEnd"/>
            <w:r w:rsidRPr="006777E8">
              <w:t xml:space="preserve"> relative</w:t>
            </w:r>
            <w:r w:rsidRPr="006777E8">
              <w:rPr>
                <w:lang w:val="en-US"/>
              </w:rPr>
              <w:t xml:space="preserve"> permittivity</w:t>
            </w:r>
            <w:r w:rsidRPr="006777E8">
              <w:t xml:space="preserve">, </w:t>
            </w:r>
            <w:r w:rsidRPr="006777E8">
              <w:sym w:font="Symbol" w:char="F065"/>
            </w:r>
          </w:p>
        </w:tc>
        <w:tc>
          <w:tcPr>
            <w:tcW w:w="2041" w:type="dxa"/>
            <w:tcBorders>
              <w:top w:val="single" w:sz="6" w:space="0" w:color="000000"/>
              <w:left w:val="single" w:sz="6" w:space="0" w:color="000000"/>
              <w:bottom w:val="nil"/>
              <w:right w:val="single" w:sz="6" w:space="0" w:color="000000"/>
            </w:tcBorders>
          </w:tcPr>
          <w:p w:rsidR="003727F9" w:rsidRPr="006777E8" w:rsidRDefault="003727F9" w:rsidP="00560C4C">
            <w:pPr>
              <w:pStyle w:val="Tabletext"/>
              <w:jc w:val="center"/>
            </w:pPr>
            <w:r w:rsidRPr="006777E8">
              <w:t>30</w:t>
            </w:r>
          </w:p>
        </w:tc>
      </w:tr>
      <w:tr w:rsidR="003727F9" w:rsidRPr="006777E8">
        <w:trPr>
          <w:jc w:val="center"/>
        </w:trPr>
        <w:tc>
          <w:tcPr>
            <w:tcW w:w="3402" w:type="dxa"/>
            <w:tcBorders>
              <w:top w:val="nil"/>
              <w:left w:val="single" w:sz="6" w:space="0" w:color="000000"/>
              <w:bottom w:val="single" w:sz="6" w:space="0" w:color="auto"/>
              <w:right w:val="single" w:sz="6" w:space="0" w:color="FFFFFF"/>
            </w:tcBorders>
          </w:tcPr>
          <w:p w:rsidR="003727F9" w:rsidRPr="006777E8" w:rsidRDefault="003727F9" w:rsidP="00E6348A">
            <w:pPr>
              <w:pStyle w:val="Tabletext"/>
              <w:jc w:val="left"/>
            </w:pPr>
            <w:proofErr w:type="spellStart"/>
            <w:r w:rsidRPr="006777E8">
              <w:t>Equivalent</w:t>
            </w:r>
            <w:proofErr w:type="spellEnd"/>
            <w:r w:rsidRPr="006777E8">
              <w:t xml:space="preserve"> </w:t>
            </w:r>
            <w:proofErr w:type="spellStart"/>
            <w:r w:rsidRPr="006777E8">
              <w:t>conductivity</w:t>
            </w:r>
            <w:proofErr w:type="spellEnd"/>
            <w:r w:rsidRPr="006777E8">
              <w:t xml:space="preserve">, </w:t>
            </w:r>
            <w:r w:rsidRPr="006777E8">
              <w:sym w:font="Symbol" w:char="F073"/>
            </w:r>
          </w:p>
        </w:tc>
        <w:tc>
          <w:tcPr>
            <w:tcW w:w="2041" w:type="dxa"/>
            <w:tcBorders>
              <w:top w:val="nil"/>
              <w:left w:val="single" w:sz="6" w:space="0" w:color="000000"/>
              <w:bottom w:val="single" w:sz="6" w:space="0" w:color="auto"/>
              <w:right w:val="single" w:sz="6" w:space="0" w:color="000000"/>
            </w:tcBorders>
          </w:tcPr>
          <w:p w:rsidR="003727F9" w:rsidRPr="006777E8" w:rsidRDefault="003727F9" w:rsidP="00560C4C">
            <w:pPr>
              <w:pStyle w:val="Tabletext"/>
              <w:jc w:val="center"/>
            </w:pPr>
            <w:r w:rsidRPr="006777E8">
              <w:t>10</w:t>
            </w:r>
            <w:r w:rsidRPr="006777E8">
              <w:rPr>
                <w:vertAlign w:val="superscript"/>
              </w:rPr>
              <w:t>–2</w:t>
            </w:r>
            <w:r w:rsidRPr="006777E8">
              <w:t xml:space="preserve"> S/m</w:t>
            </w:r>
          </w:p>
        </w:tc>
      </w:tr>
    </w:tbl>
    <w:p w:rsidR="003727F9" w:rsidRDefault="003727F9" w:rsidP="003727F9">
      <w:pPr>
        <w:pStyle w:val="Tablefin"/>
      </w:pPr>
    </w:p>
    <w:p w:rsidR="003727F9" w:rsidRPr="004618C0" w:rsidRDefault="003727F9" w:rsidP="003727F9">
      <w:pPr>
        <w:rPr>
          <w:lang w:val="en-US"/>
        </w:rPr>
      </w:pPr>
      <w:r w:rsidRPr="004618C0">
        <w:rPr>
          <w:lang w:val="en-US"/>
        </w:rPr>
        <w:t>In LMR systems there are four modes of interference: base-to-base, base-to-mobile, mobile-to-base and mobile-to-mobile. In simplex systems, where the base and the mobiles transmit on the same frequency, all four modes of interference are present. On the other hand, in duplex systems the mobiles and the base transmit on different frequencies and hence only the base-to-mobile and the mobile</w:t>
      </w:r>
      <w:r w:rsidRPr="004618C0">
        <w:rPr>
          <w:lang w:val="en-US"/>
        </w:rPr>
        <w:noBreakHyphen/>
        <w:t>to-base modes need to be considered. For the distance of separation analysis purpose however, we only need to look at the worst case; the interference case that demands the greatest isolation distance between systems. In most situations, base stations can be assumed to operate close to 100% of the time and the base-to-base interference mode is the dominant mode demanding the largest distance of separation. For this reason, other modes are not considered herein.</w:t>
      </w:r>
    </w:p>
    <w:p w:rsidR="003727F9" w:rsidRPr="004618C0" w:rsidRDefault="003727F9" w:rsidP="003727F9">
      <w:pPr>
        <w:rPr>
          <w:lang w:val="en-US"/>
        </w:rPr>
      </w:pPr>
      <w:r w:rsidRPr="004618C0">
        <w:rPr>
          <w:lang w:val="en-US"/>
        </w:rPr>
        <w:t>We now proceed to present the propagation models for LMR systems, followed by the numerical results for each of the two system combinations under study.</w:t>
      </w:r>
    </w:p>
    <w:p w:rsidR="003727F9" w:rsidRPr="004618C0" w:rsidRDefault="003727F9" w:rsidP="003727F9">
      <w:pPr>
        <w:pStyle w:val="Heading2"/>
        <w:rPr>
          <w:lang w:val="en-US"/>
        </w:rPr>
      </w:pPr>
      <w:r w:rsidRPr="004618C0">
        <w:rPr>
          <w:lang w:val="en-US"/>
        </w:rPr>
        <w:t>3.1</w:t>
      </w:r>
      <w:r w:rsidRPr="004618C0">
        <w:rPr>
          <w:lang w:val="en-US"/>
        </w:rPr>
        <w:tab/>
        <w:t>Base-to-base interference</w:t>
      </w:r>
    </w:p>
    <w:p w:rsidR="003727F9" w:rsidRPr="004618C0" w:rsidRDefault="003727F9" w:rsidP="003727F9">
      <w:pPr>
        <w:rPr>
          <w:lang w:val="en-US"/>
        </w:rPr>
      </w:pPr>
      <w:r w:rsidRPr="004618C0">
        <w:rPr>
          <w:lang w:val="en-US"/>
        </w:rPr>
        <w:t>The propagation model chosen for the base-to-base mode is the diffraction propagation model (see Recommendation ITU-R P.526). Under this model, the path loss is expressed as:</w:t>
      </w:r>
    </w:p>
    <w:p w:rsidR="003727F9" w:rsidRPr="004618C0" w:rsidRDefault="003727F9" w:rsidP="003727F9">
      <w:pPr>
        <w:pStyle w:val="Equation"/>
        <w:rPr>
          <w:lang w:val="en-US"/>
        </w:rPr>
      </w:pPr>
      <w:r w:rsidRPr="004618C0">
        <w:rPr>
          <w:lang w:val="en-US"/>
        </w:rPr>
        <w:tab/>
      </w:r>
      <w:r w:rsidRPr="004618C0">
        <w:rPr>
          <w:lang w:val="en-US"/>
        </w:rPr>
        <w:tab/>
      </w:r>
      <w:r w:rsidRPr="006777E8">
        <w:rPr>
          <w:position w:val="-16"/>
          <w:sz w:val="20"/>
        </w:rPr>
        <w:object w:dxaOrig="2360" w:dyaOrig="400">
          <v:shape id="_x0000_i1037" type="#_x0000_t75" style="width:117.4pt;height:19.95pt" o:ole="">
            <v:imagedata r:id="rId30" o:title=""/>
          </v:shape>
          <o:OLEObject Type="Embed" ProgID="Equation.3" ShapeID="_x0000_i1037" DrawAspect="Content" ObjectID="_1629876826" r:id="rId31"/>
        </w:object>
      </w:r>
      <w:r w:rsidRPr="004618C0">
        <w:rPr>
          <w:lang w:val="en-US"/>
        </w:rPr>
        <w:tab/>
        <w:t>(11)</w:t>
      </w:r>
    </w:p>
    <w:p w:rsidR="003727F9" w:rsidRPr="004618C0" w:rsidRDefault="003727F9" w:rsidP="003727F9">
      <w:pPr>
        <w:rPr>
          <w:lang w:val="en-US"/>
        </w:rPr>
      </w:pPr>
      <w:proofErr w:type="gramStart"/>
      <w:r w:rsidRPr="004618C0">
        <w:rPr>
          <w:lang w:val="en-US"/>
        </w:rPr>
        <w:t>where</w:t>
      </w:r>
      <w:proofErr w:type="gramEnd"/>
      <w:r w:rsidRPr="004618C0">
        <w:rPr>
          <w:lang w:val="en-US"/>
        </w:rPr>
        <w:t>:</w:t>
      </w:r>
    </w:p>
    <w:p w:rsidR="003727F9" w:rsidRPr="006777E8" w:rsidRDefault="003727F9" w:rsidP="003727F9">
      <w:pPr>
        <w:pStyle w:val="Equationlegend"/>
      </w:pPr>
      <w:r w:rsidRPr="006777E8">
        <w:tab/>
      </w:r>
      <w:proofErr w:type="gramStart"/>
      <w:r w:rsidRPr="006777E8">
        <w:rPr>
          <w:i/>
        </w:rPr>
        <w:t>L</w:t>
      </w:r>
      <w:r w:rsidRPr="00084085">
        <w:rPr>
          <w:i/>
          <w:vertAlign w:val="subscript"/>
        </w:rPr>
        <w:t>FS</w:t>
      </w:r>
      <w:r w:rsidRPr="006777E8">
        <w:rPr>
          <w:sz w:val="8"/>
        </w:rPr>
        <w:t> </w:t>
      </w:r>
      <w:r w:rsidRPr="006777E8">
        <w:t>:</w:t>
      </w:r>
      <w:proofErr w:type="gramEnd"/>
      <w:r w:rsidRPr="006777E8">
        <w:tab/>
        <w:t>path loss (dB), due to free space</w:t>
      </w:r>
    </w:p>
    <w:p w:rsidR="003727F9" w:rsidRPr="006777E8" w:rsidRDefault="003727F9" w:rsidP="003727F9">
      <w:pPr>
        <w:pStyle w:val="Equationlegend"/>
      </w:pPr>
      <w:r w:rsidRPr="006777E8">
        <w:tab/>
      </w:r>
      <w:r w:rsidRPr="006777E8">
        <w:rPr>
          <w:i/>
        </w:rPr>
        <w:t>L</w:t>
      </w:r>
      <w:r w:rsidRPr="00084085">
        <w:rPr>
          <w:i/>
          <w:vertAlign w:val="subscript"/>
        </w:rPr>
        <w:t>DIF/</w:t>
      </w:r>
      <w:proofErr w:type="gramStart"/>
      <w:r w:rsidRPr="00084085">
        <w:rPr>
          <w:i/>
          <w:vertAlign w:val="subscript"/>
        </w:rPr>
        <w:t>FS</w:t>
      </w:r>
      <w:r w:rsidRPr="006777E8">
        <w:rPr>
          <w:sz w:val="8"/>
        </w:rPr>
        <w:t> </w:t>
      </w:r>
      <w:r w:rsidRPr="006777E8">
        <w:t>:</w:t>
      </w:r>
      <w:proofErr w:type="gramEnd"/>
      <w:r w:rsidRPr="006777E8">
        <w:tab/>
        <w:t>diffraction loss over free space loss (dB) and is defined as follows:</w:t>
      </w:r>
    </w:p>
    <w:p w:rsidR="003727F9" w:rsidRPr="004618C0" w:rsidRDefault="003727F9" w:rsidP="003727F9">
      <w:pPr>
        <w:pStyle w:val="Equation"/>
        <w:rPr>
          <w:lang w:val="en-US"/>
        </w:rPr>
      </w:pPr>
      <w:r w:rsidRPr="004618C0">
        <w:rPr>
          <w:lang w:val="en-US"/>
        </w:rPr>
        <w:tab/>
      </w:r>
      <w:r w:rsidRPr="004618C0">
        <w:rPr>
          <w:lang w:val="en-US"/>
        </w:rPr>
        <w:tab/>
      </w:r>
      <w:r w:rsidRPr="006777E8">
        <w:rPr>
          <w:position w:val="-32"/>
          <w:sz w:val="20"/>
        </w:rPr>
        <w:object w:dxaOrig="5480" w:dyaOrig="760">
          <v:shape id="_x0000_i1038" type="#_x0000_t75" style="width:274.1pt;height:38.1pt" o:ole="">
            <v:imagedata r:id="rId32" o:title=""/>
          </v:shape>
          <o:OLEObject Type="Embed" ProgID="Equation.3" ShapeID="_x0000_i1038" DrawAspect="Content" ObjectID="_1629876827" r:id="rId33"/>
        </w:object>
      </w:r>
      <w:r w:rsidRPr="004618C0">
        <w:rPr>
          <w:lang w:val="en-US"/>
        </w:rPr>
        <w:tab/>
        <w:t>(12)</w:t>
      </w:r>
    </w:p>
    <w:p w:rsidR="003727F9" w:rsidRPr="004618C0" w:rsidRDefault="003727F9" w:rsidP="003727F9">
      <w:pPr>
        <w:rPr>
          <w:lang w:val="en-US"/>
        </w:rPr>
      </w:pPr>
      <w:proofErr w:type="gramStart"/>
      <w:r w:rsidRPr="004618C0">
        <w:rPr>
          <w:lang w:val="en-US"/>
        </w:rPr>
        <w:lastRenderedPageBreak/>
        <w:t>where</w:t>
      </w:r>
      <w:proofErr w:type="gramEnd"/>
      <w:r w:rsidRPr="004618C0">
        <w:rPr>
          <w:lang w:val="en-US"/>
        </w:rPr>
        <w:t>:</w:t>
      </w:r>
    </w:p>
    <w:p w:rsidR="003727F9" w:rsidRPr="006777E8" w:rsidRDefault="003727F9" w:rsidP="003727F9">
      <w:pPr>
        <w:pStyle w:val="Equationlegend"/>
      </w:pPr>
      <w:r w:rsidRPr="006777E8">
        <w:tab/>
      </w:r>
      <w:r w:rsidRPr="006777E8">
        <w:rPr>
          <w:i/>
        </w:rPr>
        <w:t>F</w:t>
      </w:r>
      <w:r w:rsidRPr="006777E8">
        <w:t>(</w:t>
      </w:r>
      <w:r w:rsidRPr="006777E8">
        <w:rPr>
          <w:i/>
        </w:rPr>
        <w:t>X</w:t>
      </w:r>
      <w:proofErr w:type="gramStart"/>
      <w:r w:rsidRPr="006777E8">
        <w:t>)</w:t>
      </w:r>
      <w:r w:rsidRPr="006777E8">
        <w:rPr>
          <w:sz w:val="8"/>
        </w:rPr>
        <w:t> </w:t>
      </w:r>
      <w:r w:rsidRPr="006777E8">
        <w:t>:</w:t>
      </w:r>
      <w:proofErr w:type="gramEnd"/>
      <w:r w:rsidRPr="006777E8">
        <w:tab/>
        <w:t>gain term dependent on the normalized distance between base stations</w:t>
      </w:r>
    </w:p>
    <w:p w:rsidR="003727F9" w:rsidRPr="006777E8" w:rsidRDefault="003727F9" w:rsidP="003727F9">
      <w:pPr>
        <w:pStyle w:val="Equationlegend"/>
      </w:pPr>
      <w:r w:rsidRPr="006777E8">
        <w:tab/>
      </w:r>
      <w:proofErr w:type="gramStart"/>
      <w:r w:rsidRPr="006777E8">
        <w:rPr>
          <w:i/>
        </w:rPr>
        <w:t>G</w:t>
      </w:r>
      <w:r w:rsidRPr="006777E8">
        <w:t>(</w:t>
      </w:r>
      <w:proofErr w:type="gramEnd"/>
      <w:r w:rsidRPr="006777E8">
        <w:rPr>
          <w:i/>
        </w:rPr>
        <w:t>Y</w:t>
      </w:r>
      <w:r w:rsidRPr="006777E8">
        <w:t xml:space="preserve">1), </w:t>
      </w:r>
      <w:r w:rsidRPr="006777E8">
        <w:rPr>
          <w:i/>
        </w:rPr>
        <w:t>G</w:t>
      </w:r>
      <w:r w:rsidRPr="006777E8">
        <w:t>(</w:t>
      </w:r>
      <w:r w:rsidRPr="006777E8">
        <w:rPr>
          <w:i/>
        </w:rPr>
        <w:t>Y</w:t>
      </w:r>
      <w:r w:rsidRPr="006777E8">
        <w:t>2)</w:t>
      </w:r>
      <w:r w:rsidRPr="006777E8">
        <w:rPr>
          <w:sz w:val="8"/>
        </w:rPr>
        <w:t> </w:t>
      </w:r>
      <w:r w:rsidRPr="006777E8">
        <w:t>:</w:t>
      </w:r>
      <w:r w:rsidRPr="006777E8">
        <w:tab/>
        <w:t>gain terms dependent on the base stations normalized antenna heights</w:t>
      </w:r>
    </w:p>
    <w:p w:rsidR="003727F9" w:rsidRPr="006777E8" w:rsidRDefault="003727F9" w:rsidP="003727F9">
      <w:pPr>
        <w:pStyle w:val="Equationlegend"/>
      </w:pPr>
      <w:r w:rsidRPr="006777E8">
        <w:tab/>
      </w:r>
      <w:proofErr w:type="gramStart"/>
      <w:r w:rsidRPr="006777E8">
        <w:rPr>
          <w:i/>
        </w:rPr>
        <w:t>X</w:t>
      </w:r>
      <w:r w:rsidRPr="006777E8">
        <w:rPr>
          <w:sz w:val="8"/>
        </w:rPr>
        <w:t> </w:t>
      </w:r>
      <w:r w:rsidRPr="006777E8">
        <w:t>:</w:t>
      </w:r>
      <w:proofErr w:type="gramEnd"/>
      <w:r w:rsidRPr="006777E8">
        <w:tab/>
        <w:t>normalized distance between the base stations antennas</w:t>
      </w:r>
    </w:p>
    <w:p w:rsidR="003727F9" w:rsidRPr="006777E8" w:rsidRDefault="003727F9" w:rsidP="003727F9">
      <w:pPr>
        <w:pStyle w:val="Equationlegend"/>
      </w:pPr>
      <w:r w:rsidRPr="006777E8">
        <w:tab/>
      </w:r>
      <w:r w:rsidRPr="006777E8">
        <w:rPr>
          <w:i/>
        </w:rPr>
        <w:t>Y</w:t>
      </w:r>
      <w:r w:rsidRPr="006777E8">
        <w:t xml:space="preserve">1, </w:t>
      </w:r>
      <w:proofErr w:type="gramStart"/>
      <w:r w:rsidRPr="006777E8">
        <w:rPr>
          <w:i/>
        </w:rPr>
        <w:t>Y</w:t>
      </w:r>
      <w:r w:rsidRPr="006777E8">
        <w:t>2</w:t>
      </w:r>
      <w:r w:rsidRPr="006777E8">
        <w:rPr>
          <w:sz w:val="8"/>
        </w:rPr>
        <w:t> </w:t>
      </w:r>
      <w:r w:rsidRPr="006777E8">
        <w:t>:</w:t>
      </w:r>
      <w:proofErr w:type="gramEnd"/>
      <w:r w:rsidRPr="006777E8">
        <w:tab/>
        <w:t>normalized antenna heights and are defined as follows:</w:t>
      </w:r>
    </w:p>
    <w:p w:rsidR="003727F9" w:rsidRPr="004618C0" w:rsidRDefault="003727F9" w:rsidP="003727F9">
      <w:pPr>
        <w:pStyle w:val="Equation"/>
        <w:rPr>
          <w:lang w:val="en-US"/>
        </w:rPr>
      </w:pPr>
      <w:r w:rsidRPr="004618C0">
        <w:rPr>
          <w:lang w:val="en-US"/>
        </w:rPr>
        <w:tab/>
      </w:r>
      <w:r w:rsidRPr="004618C0">
        <w:rPr>
          <w:lang w:val="en-US"/>
        </w:rPr>
        <w:tab/>
      </w:r>
      <w:r w:rsidRPr="006777E8">
        <w:rPr>
          <w:position w:val="-12"/>
        </w:rPr>
        <w:object w:dxaOrig="2100" w:dyaOrig="420">
          <v:shape id="_x0000_i1039" type="#_x0000_t75" style="width:105.3pt;height:20.55pt" o:ole="">
            <v:imagedata r:id="rId34" o:title=""/>
          </v:shape>
          <o:OLEObject Type="Embed" ProgID="Equation.3" ShapeID="_x0000_i1039" DrawAspect="Content" ObjectID="_1629876828" r:id="rId35"/>
        </w:object>
      </w:r>
      <w:r w:rsidRPr="004618C0">
        <w:rPr>
          <w:lang w:val="en-US"/>
        </w:rPr>
        <w:tab/>
        <w:t>(13)</w:t>
      </w:r>
    </w:p>
    <w:p w:rsidR="003727F9" w:rsidRPr="004618C0" w:rsidRDefault="003727F9" w:rsidP="003727F9">
      <w:pPr>
        <w:pStyle w:val="Equation"/>
        <w:rPr>
          <w:lang w:val="en-US"/>
        </w:rPr>
      </w:pPr>
      <w:r w:rsidRPr="004618C0">
        <w:rPr>
          <w:lang w:val="en-US"/>
        </w:rPr>
        <w:tab/>
      </w:r>
      <w:r w:rsidRPr="004618C0">
        <w:rPr>
          <w:lang w:val="en-US"/>
        </w:rPr>
        <w:tab/>
      </w:r>
      <w:r w:rsidRPr="006777E8">
        <w:rPr>
          <w:position w:val="-12"/>
        </w:rPr>
        <w:object w:dxaOrig="2940" w:dyaOrig="420">
          <v:shape id="_x0000_i1040" type="#_x0000_t75" style="width:147.05pt;height:20.55pt" o:ole="">
            <v:imagedata r:id="rId36" o:title=""/>
          </v:shape>
          <o:OLEObject Type="Embed" ProgID="Equation.3" ShapeID="_x0000_i1040" DrawAspect="Content" ObjectID="_1629876829" r:id="rId37"/>
        </w:object>
      </w:r>
      <w:r w:rsidRPr="004618C0">
        <w:rPr>
          <w:lang w:val="en-US"/>
        </w:rPr>
        <w:tab/>
        <w:t>(14)</w:t>
      </w:r>
    </w:p>
    <w:p w:rsidR="003727F9" w:rsidRPr="004618C0" w:rsidRDefault="003727F9" w:rsidP="003727F9">
      <w:pPr>
        <w:pStyle w:val="enumlev2"/>
        <w:rPr>
          <w:lang w:val="en-US"/>
        </w:rPr>
      </w:pPr>
      <w:proofErr w:type="gramStart"/>
      <w:r w:rsidRPr="004618C0">
        <w:rPr>
          <w:lang w:val="en-US"/>
        </w:rPr>
        <w:t>where</w:t>
      </w:r>
      <w:proofErr w:type="gramEnd"/>
      <w:r w:rsidRPr="004618C0">
        <w:rPr>
          <w:lang w:val="en-US"/>
        </w:rPr>
        <w:t>:</w:t>
      </w:r>
    </w:p>
    <w:p w:rsidR="003727F9" w:rsidRPr="004618C0" w:rsidRDefault="003727F9" w:rsidP="003727F9">
      <w:pPr>
        <w:pStyle w:val="Equation"/>
        <w:rPr>
          <w:lang w:val="en-US"/>
        </w:rPr>
      </w:pPr>
      <w:bookmarkStart w:id="2" w:name="F011"/>
      <w:r w:rsidRPr="004618C0">
        <w:rPr>
          <w:lang w:val="en-US"/>
        </w:rPr>
        <w:tab/>
      </w:r>
      <w:r w:rsidRPr="004618C0">
        <w:rPr>
          <w:lang w:val="en-US"/>
        </w:rPr>
        <w:tab/>
      </w:r>
      <w:r w:rsidRPr="00084085">
        <w:rPr>
          <w:position w:val="-26"/>
        </w:rPr>
        <w:object w:dxaOrig="2400" w:dyaOrig="700">
          <v:shape id="_x0000_i1041" type="#_x0000_t75" style="width:120.4pt;height:35.1pt" o:ole="">
            <v:imagedata r:id="rId38" o:title=""/>
          </v:shape>
          <o:OLEObject Type="Embed" ProgID="Equation.3" ShapeID="_x0000_i1041" DrawAspect="Content" ObjectID="_1629876830" r:id="rId39"/>
        </w:object>
      </w:r>
      <w:r w:rsidRPr="004618C0">
        <w:rPr>
          <w:lang w:val="en-US"/>
        </w:rPr>
        <w:tab/>
      </w:r>
      <w:bookmarkEnd w:id="2"/>
      <w:r w:rsidRPr="004618C0">
        <w:rPr>
          <w:lang w:val="en-US"/>
        </w:rPr>
        <w:t>(15)</w:t>
      </w:r>
    </w:p>
    <w:p w:rsidR="003727F9" w:rsidRDefault="003727F9" w:rsidP="003727F9">
      <w:pPr>
        <w:pStyle w:val="Blanc"/>
      </w:pPr>
    </w:p>
    <w:p w:rsidR="003727F9" w:rsidRPr="004618C0" w:rsidRDefault="003727F9" w:rsidP="003727F9">
      <w:pPr>
        <w:pStyle w:val="enumlev2"/>
        <w:rPr>
          <w:lang w:val="en-US"/>
        </w:rPr>
      </w:pPr>
      <w:proofErr w:type="gramStart"/>
      <w:r w:rsidRPr="004618C0">
        <w:rPr>
          <w:i/>
          <w:lang w:val="en-US"/>
        </w:rPr>
        <w:t>K</w:t>
      </w:r>
      <w:r w:rsidRPr="004618C0">
        <w:rPr>
          <w:sz w:val="8"/>
          <w:lang w:val="en-US"/>
        </w:rPr>
        <w:t> </w:t>
      </w:r>
      <w:r w:rsidRPr="004618C0">
        <w:rPr>
          <w:lang w:val="en-US"/>
        </w:rPr>
        <w:t>:</w:t>
      </w:r>
      <w:proofErr w:type="gramEnd"/>
      <w:r w:rsidRPr="004618C0">
        <w:rPr>
          <w:lang w:val="en-US"/>
        </w:rPr>
        <w:tab/>
        <w:t>surface admittance of the Earth for vertical polarization:</w:t>
      </w:r>
    </w:p>
    <w:p w:rsidR="003727F9" w:rsidRPr="004618C0" w:rsidRDefault="003727F9" w:rsidP="003727F9">
      <w:pPr>
        <w:pStyle w:val="Equation"/>
        <w:rPr>
          <w:lang w:val="en-US"/>
        </w:rPr>
      </w:pPr>
      <w:r w:rsidRPr="004618C0">
        <w:rPr>
          <w:lang w:val="en-US"/>
        </w:rPr>
        <w:tab/>
      </w:r>
      <w:r w:rsidRPr="004618C0">
        <w:rPr>
          <w:lang w:val="en-US"/>
        </w:rPr>
        <w:tab/>
      </w:r>
      <w:r w:rsidRPr="006777E8">
        <w:rPr>
          <w:position w:val="-12"/>
          <w:sz w:val="20"/>
        </w:rPr>
        <w:object w:dxaOrig="7080" w:dyaOrig="480">
          <v:shape id="_x0000_i1042" type="#_x0000_t75" style="width:353.35pt;height:23.6pt" o:ole="">
            <v:imagedata r:id="rId40" o:title=""/>
          </v:shape>
          <o:OLEObject Type="Embed" ProgID="Equation.3" ShapeID="_x0000_i1042" DrawAspect="Content" ObjectID="_1629876831" r:id="rId41"/>
        </w:object>
      </w:r>
      <w:r w:rsidRPr="004618C0">
        <w:rPr>
          <w:lang w:val="en-US"/>
        </w:rPr>
        <w:tab/>
        <w:t>(16)</w:t>
      </w:r>
    </w:p>
    <w:p w:rsidR="003727F9" w:rsidRPr="004618C0" w:rsidRDefault="003727F9" w:rsidP="003727F9">
      <w:pPr>
        <w:rPr>
          <w:lang w:val="en-US"/>
        </w:rPr>
      </w:pPr>
      <w:proofErr w:type="gramStart"/>
      <w:r w:rsidRPr="004618C0">
        <w:rPr>
          <w:lang w:val="en-US"/>
        </w:rPr>
        <w:t>where</w:t>
      </w:r>
      <w:proofErr w:type="gramEnd"/>
      <w:r w:rsidRPr="004618C0">
        <w:rPr>
          <w:lang w:val="en-US"/>
        </w:rPr>
        <w:t>:</w:t>
      </w:r>
    </w:p>
    <w:p w:rsidR="003727F9" w:rsidRPr="006777E8" w:rsidRDefault="003727F9" w:rsidP="003727F9">
      <w:pPr>
        <w:pStyle w:val="Equationlegend"/>
      </w:pPr>
      <w:r w:rsidRPr="006777E8">
        <w:rPr>
          <w:rFonts w:ascii="Symbol" w:hAnsi="Symbol"/>
        </w:rPr>
        <w:tab/>
      </w:r>
      <w:proofErr w:type="gramStart"/>
      <w:r w:rsidRPr="006777E8">
        <w:rPr>
          <w:rFonts w:ascii="Symbol" w:hAnsi="Symbol"/>
        </w:rPr>
        <w:t></w:t>
      </w:r>
      <w:r w:rsidRPr="006777E8">
        <w:rPr>
          <w:sz w:val="8"/>
        </w:rPr>
        <w:t> </w:t>
      </w:r>
      <w:r w:rsidRPr="006777E8">
        <w:t>:</w:t>
      </w:r>
      <w:proofErr w:type="gramEnd"/>
      <w:r w:rsidRPr="006777E8">
        <w:tab/>
        <w:t>equivalent relative permittivity of the Earth</w:t>
      </w:r>
    </w:p>
    <w:p w:rsidR="003727F9" w:rsidRPr="006777E8" w:rsidRDefault="003727F9" w:rsidP="003727F9">
      <w:pPr>
        <w:pStyle w:val="Equationlegend"/>
      </w:pPr>
      <w:r w:rsidRPr="006777E8">
        <w:rPr>
          <w:rFonts w:ascii="Symbol" w:hAnsi="Symbol"/>
        </w:rPr>
        <w:tab/>
      </w:r>
      <w:proofErr w:type="gramStart"/>
      <w:r w:rsidRPr="006777E8">
        <w:rPr>
          <w:rFonts w:ascii="Symbol" w:hAnsi="Symbol"/>
        </w:rPr>
        <w:t></w:t>
      </w:r>
      <w:r w:rsidRPr="006777E8">
        <w:rPr>
          <w:sz w:val="8"/>
        </w:rPr>
        <w:t> </w:t>
      </w:r>
      <w:r w:rsidRPr="006777E8">
        <w:t>:</w:t>
      </w:r>
      <w:proofErr w:type="gramEnd"/>
      <w:r w:rsidRPr="006777E8">
        <w:tab/>
        <w:t>equivalent conductivity (S/m) of the Earth</w:t>
      </w:r>
    </w:p>
    <w:p w:rsidR="003727F9" w:rsidRPr="006777E8" w:rsidRDefault="003727F9" w:rsidP="003727F9">
      <w:pPr>
        <w:pStyle w:val="Equationlegend"/>
      </w:pPr>
      <w:r w:rsidRPr="006777E8">
        <w:rPr>
          <w:i/>
        </w:rPr>
        <w:tab/>
      </w:r>
      <w:proofErr w:type="gramStart"/>
      <w:r w:rsidRPr="006777E8">
        <w:rPr>
          <w:i/>
        </w:rPr>
        <w:t>a</w:t>
      </w:r>
      <w:r w:rsidRPr="00084085">
        <w:rPr>
          <w:i/>
          <w:vertAlign w:val="subscript"/>
        </w:rPr>
        <w:t>e</w:t>
      </w:r>
      <w:r w:rsidRPr="006777E8">
        <w:rPr>
          <w:sz w:val="8"/>
        </w:rPr>
        <w:t> </w:t>
      </w:r>
      <w:r w:rsidRPr="006777E8">
        <w:t>:</w:t>
      </w:r>
      <w:proofErr w:type="gramEnd"/>
      <w:r w:rsidRPr="006777E8">
        <w:tab/>
        <w:t>equivalent earth radius equal to 4/3 of 6</w:t>
      </w:r>
      <w:r w:rsidR="00734DD6">
        <w:t xml:space="preserve"> </w:t>
      </w:r>
      <w:r w:rsidRPr="006777E8">
        <w:t>371 km</w:t>
      </w:r>
    </w:p>
    <w:p w:rsidR="003727F9" w:rsidRPr="006777E8" w:rsidRDefault="003727F9" w:rsidP="003727F9">
      <w:pPr>
        <w:pStyle w:val="Equationlegend"/>
      </w:pPr>
      <w:r w:rsidRPr="006777E8">
        <w:rPr>
          <w:i/>
        </w:rPr>
        <w:tab/>
      </w:r>
      <w:proofErr w:type="gramStart"/>
      <w:r w:rsidRPr="006777E8">
        <w:rPr>
          <w:i/>
        </w:rPr>
        <w:t>d</w:t>
      </w:r>
      <w:r w:rsidRPr="006777E8">
        <w:rPr>
          <w:sz w:val="8"/>
        </w:rPr>
        <w:t> </w:t>
      </w:r>
      <w:r w:rsidRPr="006777E8">
        <w:t>:</w:t>
      </w:r>
      <w:proofErr w:type="gramEnd"/>
      <w:r w:rsidRPr="006777E8">
        <w:tab/>
        <w:t>distance between the transmitter and the receiver (km)</w:t>
      </w:r>
    </w:p>
    <w:p w:rsidR="003727F9" w:rsidRPr="006777E8" w:rsidRDefault="003727F9" w:rsidP="003727F9">
      <w:pPr>
        <w:pStyle w:val="Equationlegend"/>
      </w:pPr>
      <w:r w:rsidRPr="006777E8">
        <w:rPr>
          <w:i/>
        </w:rPr>
        <w:tab/>
      </w:r>
      <w:proofErr w:type="gramStart"/>
      <w:r w:rsidRPr="006777E8">
        <w:rPr>
          <w:i/>
        </w:rPr>
        <w:t>f</w:t>
      </w:r>
      <w:r w:rsidRPr="006777E8">
        <w:rPr>
          <w:sz w:val="8"/>
        </w:rPr>
        <w:t> </w:t>
      </w:r>
      <w:r w:rsidRPr="006777E8">
        <w:t>:</w:t>
      </w:r>
      <w:proofErr w:type="gramEnd"/>
      <w:r w:rsidRPr="006777E8">
        <w:tab/>
        <w:t>transmit frequency</w:t>
      </w:r>
    </w:p>
    <w:p w:rsidR="003727F9" w:rsidRPr="006777E8" w:rsidRDefault="003727F9" w:rsidP="003727F9">
      <w:pPr>
        <w:pStyle w:val="Equationlegend"/>
        <w:rPr>
          <w:lang w:eastAsia="ko-KR"/>
        </w:rPr>
      </w:pPr>
      <w:r w:rsidRPr="006777E8">
        <w:rPr>
          <w:i/>
        </w:rPr>
        <w:tab/>
      </w:r>
      <w:proofErr w:type="gramStart"/>
      <w:r w:rsidRPr="006777E8">
        <w:rPr>
          <w:i/>
        </w:rPr>
        <w:t>h</w:t>
      </w:r>
      <w:r w:rsidRPr="00084085">
        <w:rPr>
          <w:vertAlign w:val="subscript"/>
        </w:rPr>
        <w:t>1</w:t>
      </w:r>
      <w:proofErr w:type="gramEnd"/>
      <w:r w:rsidRPr="006777E8">
        <w:t xml:space="preserve"> and </w:t>
      </w:r>
      <w:r w:rsidRPr="006777E8">
        <w:rPr>
          <w:i/>
        </w:rPr>
        <w:t>h</w:t>
      </w:r>
      <w:r w:rsidRPr="00084085">
        <w:rPr>
          <w:vertAlign w:val="subscript"/>
        </w:rPr>
        <w:t>2</w:t>
      </w:r>
      <w:r w:rsidRPr="006777E8">
        <w:rPr>
          <w:sz w:val="8"/>
        </w:rPr>
        <w:t> </w:t>
      </w:r>
      <w:r w:rsidRPr="006777E8">
        <w:t>:</w:t>
      </w:r>
      <w:r w:rsidRPr="006777E8">
        <w:tab/>
        <w:t>respectively the transmitter and receiver antenna heights (m).</w:t>
      </w:r>
      <w:bookmarkStart w:id="3" w:name="F013"/>
    </w:p>
    <w:bookmarkEnd w:id="3"/>
    <w:p w:rsidR="003727F9" w:rsidRPr="004618C0" w:rsidRDefault="003727F9" w:rsidP="003727F9">
      <w:pPr>
        <w:pStyle w:val="Equation"/>
        <w:rPr>
          <w:lang w:val="es-ES_tradnl"/>
        </w:rPr>
      </w:pPr>
      <w:r w:rsidRPr="004618C0">
        <w:rPr>
          <w:lang w:val="en-US"/>
        </w:rPr>
        <w:tab/>
      </w:r>
      <w:r w:rsidRPr="004618C0">
        <w:rPr>
          <w:lang w:val="en-US"/>
        </w:rPr>
        <w:tab/>
      </w:r>
      <w:r w:rsidRPr="006777E8">
        <w:rPr>
          <w:position w:val="-10"/>
        </w:rPr>
        <w:object w:dxaOrig="3019" w:dyaOrig="320">
          <v:shape id="_x0000_i1043" type="#_x0000_t75" style="width:150.65pt;height:16.35pt" o:ole="">
            <v:imagedata r:id="rId42" o:title=""/>
          </v:shape>
          <o:OLEObject Type="Embed" ProgID="Equation.3" ShapeID="_x0000_i1043" DrawAspect="Content" ObjectID="_1629876832" r:id="rId43"/>
        </w:object>
      </w:r>
      <w:r w:rsidRPr="004618C0">
        <w:rPr>
          <w:lang w:val="es-ES_tradnl"/>
        </w:rPr>
        <w:tab/>
        <w:t>(17)</w:t>
      </w:r>
    </w:p>
    <w:p w:rsidR="003727F9" w:rsidRPr="004618C0" w:rsidRDefault="003727F9" w:rsidP="00734DD6">
      <w:pPr>
        <w:pStyle w:val="Equation"/>
        <w:tabs>
          <w:tab w:val="left" w:pos="6300"/>
          <w:tab w:val="left" w:pos="7020"/>
          <w:tab w:val="left" w:pos="7560"/>
        </w:tabs>
        <w:rPr>
          <w:lang w:val="es-ES_tradnl"/>
        </w:rPr>
      </w:pPr>
      <w:r w:rsidRPr="004618C0">
        <w:rPr>
          <w:lang w:val="es-ES_tradnl"/>
        </w:rPr>
        <w:tab/>
      </w:r>
      <w:r w:rsidRPr="004618C0">
        <w:rPr>
          <w:i/>
          <w:lang w:val="es-ES_tradnl"/>
        </w:rPr>
        <w:t>G(Y)</w:t>
      </w:r>
      <w:r w:rsidRPr="004618C0">
        <w:rPr>
          <w:lang w:val="es-ES_tradnl"/>
        </w:rPr>
        <w:t xml:space="preserve">  </w:t>
      </w:r>
      <w:r w:rsidRPr="006777E8">
        <w:rPr>
          <w:rFonts w:ascii="Symbol" w:hAnsi="Symbol"/>
        </w:rPr>
        <w:t></w:t>
      </w:r>
      <w:r w:rsidRPr="004618C0">
        <w:rPr>
          <w:lang w:val="es-ES_tradnl"/>
        </w:rPr>
        <w:t xml:space="preserve">  17.6 (</w:t>
      </w:r>
      <w:r w:rsidRPr="004618C0">
        <w:rPr>
          <w:i/>
          <w:lang w:val="es-ES_tradnl"/>
        </w:rPr>
        <w:t>Y</w:t>
      </w:r>
      <w:r w:rsidRPr="004618C0">
        <w:rPr>
          <w:lang w:val="es-ES_tradnl"/>
        </w:rPr>
        <w:t xml:space="preserve">  –  1.1)</w:t>
      </w:r>
      <w:r w:rsidRPr="004618C0">
        <w:rPr>
          <w:vertAlign w:val="superscript"/>
          <w:lang w:val="es-ES_tradnl"/>
        </w:rPr>
        <w:t>1/2</w:t>
      </w:r>
      <w:r w:rsidRPr="004618C0">
        <w:rPr>
          <w:lang w:val="es-ES_tradnl"/>
        </w:rPr>
        <w:t xml:space="preserve">  –  5 log  (</w:t>
      </w:r>
      <w:r w:rsidRPr="004618C0">
        <w:rPr>
          <w:i/>
          <w:lang w:val="es-ES_tradnl"/>
        </w:rPr>
        <w:t>Y</w:t>
      </w:r>
      <w:r w:rsidRPr="004618C0">
        <w:rPr>
          <w:lang w:val="es-ES_tradnl"/>
        </w:rPr>
        <w:t xml:space="preserve">  –  1.1)  –  8</w:t>
      </w:r>
      <w:r w:rsidRPr="004618C0">
        <w:rPr>
          <w:lang w:val="es-ES_tradnl"/>
        </w:rPr>
        <w:tab/>
      </w:r>
      <w:proofErr w:type="spellStart"/>
      <w:r w:rsidRPr="004618C0">
        <w:rPr>
          <w:lang w:val="es-ES_tradnl"/>
        </w:rPr>
        <w:t>for</w:t>
      </w:r>
      <w:proofErr w:type="spellEnd"/>
      <w:r w:rsidRPr="004618C0">
        <w:rPr>
          <w:lang w:val="es-ES_tradnl"/>
        </w:rPr>
        <w:tab/>
      </w:r>
      <w:r w:rsidR="00734DD6">
        <w:rPr>
          <w:lang w:val="es-ES_tradnl"/>
        </w:rPr>
        <w:tab/>
        <w:t xml:space="preserve">   </w:t>
      </w:r>
      <w:r w:rsidR="00734DD6" w:rsidRPr="00E34D2E">
        <w:rPr>
          <w:lang w:val="es-ES_tradnl"/>
        </w:rPr>
        <w:t xml:space="preserve"> </w:t>
      </w:r>
      <w:r w:rsidRPr="004618C0">
        <w:rPr>
          <w:i/>
          <w:lang w:val="es-ES_tradnl"/>
        </w:rPr>
        <w:t>Y</w:t>
      </w:r>
      <w:r w:rsidRPr="004618C0">
        <w:rPr>
          <w:lang w:val="es-ES_tradnl"/>
        </w:rPr>
        <w:t xml:space="preserve">  &gt;  2</w:t>
      </w:r>
      <w:r w:rsidRPr="004618C0">
        <w:rPr>
          <w:lang w:val="es-ES_tradnl"/>
        </w:rPr>
        <w:tab/>
        <w:t>(18)</w:t>
      </w:r>
    </w:p>
    <w:p w:rsidR="003727F9" w:rsidRPr="004618C0" w:rsidRDefault="003727F9" w:rsidP="00734DD6">
      <w:pPr>
        <w:pStyle w:val="Equation"/>
        <w:tabs>
          <w:tab w:val="left" w:pos="6300"/>
          <w:tab w:val="left" w:pos="7020"/>
          <w:tab w:val="left" w:pos="7560"/>
        </w:tabs>
        <w:rPr>
          <w:lang w:val="es-ES_tradnl"/>
        </w:rPr>
      </w:pPr>
      <w:r w:rsidRPr="004618C0">
        <w:rPr>
          <w:lang w:val="es-ES_tradnl"/>
        </w:rPr>
        <w:tab/>
      </w:r>
      <w:proofErr w:type="gramStart"/>
      <w:r w:rsidRPr="004618C0">
        <w:rPr>
          <w:i/>
          <w:lang w:val="es-ES_tradnl"/>
        </w:rPr>
        <w:t>G</w:t>
      </w:r>
      <w:r w:rsidRPr="004618C0">
        <w:rPr>
          <w:lang w:val="es-ES_tradnl"/>
        </w:rPr>
        <w:t>(</w:t>
      </w:r>
      <w:proofErr w:type="gramEnd"/>
      <w:r w:rsidRPr="004618C0">
        <w:rPr>
          <w:i/>
          <w:lang w:val="es-ES_tradnl"/>
        </w:rPr>
        <w:t>Y</w:t>
      </w:r>
      <w:r w:rsidRPr="004618C0">
        <w:rPr>
          <w:lang w:val="es-ES_tradnl"/>
        </w:rPr>
        <w:t xml:space="preserve">)  </w:t>
      </w:r>
      <w:r w:rsidRPr="006777E8">
        <w:rPr>
          <w:rFonts w:ascii="Symbol" w:hAnsi="Symbol"/>
        </w:rPr>
        <w:t></w:t>
      </w:r>
      <w:r w:rsidRPr="004618C0">
        <w:rPr>
          <w:lang w:val="es-ES_tradnl"/>
        </w:rPr>
        <w:t xml:space="preserve">  20 log(</w:t>
      </w:r>
      <w:r w:rsidRPr="004618C0">
        <w:rPr>
          <w:i/>
          <w:lang w:val="es-ES_tradnl"/>
        </w:rPr>
        <w:t>Y</w:t>
      </w:r>
      <w:r w:rsidRPr="004618C0">
        <w:rPr>
          <w:lang w:val="es-ES_tradnl"/>
        </w:rPr>
        <w:t xml:space="preserve">  +  0.1</w:t>
      </w:r>
      <w:r w:rsidRPr="004618C0">
        <w:rPr>
          <w:i/>
          <w:lang w:val="es-ES_tradnl"/>
        </w:rPr>
        <w:t xml:space="preserve">Y </w:t>
      </w:r>
      <w:r w:rsidRPr="004618C0">
        <w:rPr>
          <w:vertAlign w:val="superscript"/>
          <w:lang w:val="es-ES_tradnl"/>
        </w:rPr>
        <w:t>3</w:t>
      </w:r>
      <w:r w:rsidRPr="004618C0">
        <w:rPr>
          <w:lang w:val="es-ES_tradnl"/>
        </w:rPr>
        <w:t>)</w:t>
      </w:r>
      <w:r w:rsidRPr="004618C0">
        <w:rPr>
          <w:lang w:val="es-ES_tradnl"/>
        </w:rPr>
        <w:tab/>
      </w:r>
      <w:r w:rsidRPr="004618C0">
        <w:rPr>
          <w:lang w:val="es-ES_tradnl"/>
        </w:rPr>
        <w:tab/>
      </w:r>
      <w:proofErr w:type="spellStart"/>
      <w:r w:rsidRPr="004618C0">
        <w:rPr>
          <w:lang w:val="es-ES_tradnl"/>
        </w:rPr>
        <w:t>for</w:t>
      </w:r>
      <w:proofErr w:type="spellEnd"/>
      <w:r w:rsidRPr="004618C0">
        <w:rPr>
          <w:lang w:val="es-ES_tradnl"/>
        </w:rPr>
        <w:tab/>
        <w:t xml:space="preserve">10 </w:t>
      </w:r>
      <w:r w:rsidRPr="004618C0">
        <w:rPr>
          <w:i/>
          <w:lang w:val="es-ES_tradnl"/>
        </w:rPr>
        <w:t>K</w:t>
      </w:r>
      <w:r w:rsidR="00734DD6">
        <w:rPr>
          <w:lang w:val="es-ES_tradnl"/>
        </w:rPr>
        <w:tab/>
      </w:r>
      <w:r w:rsidRPr="004618C0">
        <w:rPr>
          <w:lang w:val="es-ES_tradnl"/>
        </w:rPr>
        <w:t xml:space="preserve">&lt;  </w:t>
      </w:r>
      <w:r w:rsidRPr="004618C0">
        <w:rPr>
          <w:i/>
          <w:lang w:val="es-ES_tradnl"/>
        </w:rPr>
        <w:t>Y</w:t>
      </w:r>
      <w:r w:rsidRPr="004618C0">
        <w:rPr>
          <w:lang w:val="es-ES_tradnl"/>
        </w:rPr>
        <w:t xml:space="preserve">  &lt;  2</w:t>
      </w:r>
      <w:r w:rsidRPr="004618C0">
        <w:rPr>
          <w:lang w:val="es-ES_tradnl"/>
        </w:rPr>
        <w:tab/>
        <w:t>(19)</w:t>
      </w:r>
    </w:p>
    <w:p w:rsidR="003727F9" w:rsidRPr="004618C0" w:rsidRDefault="003727F9" w:rsidP="00734DD6">
      <w:pPr>
        <w:pStyle w:val="Equation"/>
        <w:tabs>
          <w:tab w:val="left" w:pos="6300"/>
          <w:tab w:val="left" w:pos="7020"/>
          <w:tab w:val="left" w:pos="7560"/>
        </w:tabs>
        <w:rPr>
          <w:lang w:val="es-ES_tradnl"/>
        </w:rPr>
      </w:pPr>
      <w:r w:rsidRPr="004618C0">
        <w:rPr>
          <w:lang w:val="es-ES_tradnl"/>
        </w:rPr>
        <w:tab/>
      </w:r>
      <w:r w:rsidRPr="004618C0">
        <w:rPr>
          <w:i/>
          <w:lang w:val="es-ES_tradnl"/>
        </w:rPr>
        <w:t>G</w:t>
      </w:r>
      <w:r w:rsidRPr="004618C0">
        <w:rPr>
          <w:lang w:val="es-ES_tradnl"/>
        </w:rPr>
        <w:t>(</w:t>
      </w:r>
      <w:r w:rsidRPr="004618C0">
        <w:rPr>
          <w:i/>
          <w:lang w:val="es-ES_tradnl"/>
        </w:rPr>
        <w:t>Y</w:t>
      </w:r>
      <w:r w:rsidRPr="004618C0">
        <w:rPr>
          <w:lang w:val="es-ES_tradnl"/>
        </w:rPr>
        <w:t xml:space="preserve">)  </w:t>
      </w:r>
      <w:r w:rsidRPr="006777E8">
        <w:rPr>
          <w:rFonts w:ascii="Symbol" w:hAnsi="Symbol"/>
        </w:rPr>
        <w:t></w:t>
      </w:r>
      <w:r w:rsidRPr="004618C0">
        <w:rPr>
          <w:lang w:val="es-ES_tradnl"/>
        </w:rPr>
        <w:t xml:space="preserve">  2  +  20 log </w:t>
      </w:r>
      <w:r w:rsidRPr="004618C0">
        <w:rPr>
          <w:i/>
          <w:lang w:val="es-ES_tradnl"/>
        </w:rPr>
        <w:t>K</w:t>
      </w:r>
      <w:r w:rsidRPr="004618C0">
        <w:rPr>
          <w:lang w:val="es-ES_tradnl"/>
        </w:rPr>
        <w:t xml:space="preserve">  +  9 log(</w:t>
      </w:r>
      <w:r w:rsidRPr="004618C0">
        <w:rPr>
          <w:i/>
          <w:lang w:val="es-ES_tradnl"/>
        </w:rPr>
        <w:t>Y</w:t>
      </w:r>
      <w:r w:rsidRPr="004618C0">
        <w:rPr>
          <w:lang w:val="es-ES_tradnl"/>
        </w:rPr>
        <w:t>/</w:t>
      </w:r>
      <w:r w:rsidRPr="004618C0">
        <w:rPr>
          <w:i/>
          <w:lang w:val="es-ES_tradnl"/>
        </w:rPr>
        <w:t>K</w:t>
      </w:r>
      <w:r w:rsidRPr="004618C0">
        <w:rPr>
          <w:lang w:val="es-ES_tradnl"/>
        </w:rPr>
        <w:t>)[log(</w:t>
      </w:r>
      <w:r w:rsidRPr="004618C0">
        <w:rPr>
          <w:i/>
          <w:lang w:val="es-ES_tradnl"/>
        </w:rPr>
        <w:t>Y</w:t>
      </w:r>
      <w:r w:rsidRPr="004618C0">
        <w:rPr>
          <w:lang w:val="es-ES_tradnl"/>
        </w:rPr>
        <w:t>/</w:t>
      </w:r>
      <w:r w:rsidRPr="004618C0">
        <w:rPr>
          <w:i/>
          <w:lang w:val="es-ES_tradnl"/>
        </w:rPr>
        <w:t>K</w:t>
      </w:r>
      <w:r w:rsidRPr="004618C0">
        <w:rPr>
          <w:lang w:val="es-ES_tradnl"/>
        </w:rPr>
        <w:t>) + 1]</w:t>
      </w:r>
      <w:r w:rsidRPr="004618C0">
        <w:rPr>
          <w:lang w:val="es-ES_tradnl"/>
        </w:rPr>
        <w:tab/>
      </w:r>
      <w:proofErr w:type="spellStart"/>
      <w:r w:rsidRPr="004618C0">
        <w:rPr>
          <w:lang w:val="es-ES_tradnl"/>
        </w:rPr>
        <w:t>for</w:t>
      </w:r>
      <w:proofErr w:type="spellEnd"/>
      <w:r w:rsidRPr="004618C0">
        <w:rPr>
          <w:lang w:val="es-ES_tradnl"/>
        </w:rPr>
        <w:t xml:space="preserve"> </w:t>
      </w:r>
      <w:r w:rsidRPr="004618C0">
        <w:rPr>
          <w:lang w:val="es-ES_tradnl"/>
        </w:rPr>
        <w:tab/>
      </w:r>
      <w:r w:rsidRPr="004618C0">
        <w:rPr>
          <w:i/>
          <w:lang w:val="es-ES_tradnl"/>
        </w:rPr>
        <w:t>K</w:t>
      </w:r>
      <w:r w:rsidRPr="004618C0">
        <w:rPr>
          <w:lang w:val="es-ES_tradnl"/>
        </w:rPr>
        <w:t>/10</w:t>
      </w:r>
      <w:r w:rsidR="00734DD6">
        <w:rPr>
          <w:lang w:val="es-ES_tradnl"/>
        </w:rPr>
        <w:tab/>
      </w:r>
      <w:r w:rsidRPr="004618C0">
        <w:rPr>
          <w:lang w:val="es-ES_tradnl"/>
        </w:rPr>
        <w:t xml:space="preserve">&lt;  </w:t>
      </w:r>
      <w:r w:rsidRPr="004618C0">
        <w:rPr>
          <w:i/>
          <w:lang w:val="es-ES_tradnl"/>
        </w:rPr>
        <w:t xml:space="preserve">Y </w:t>
      </w:r>
      <w:r w:rsidRPr="004618C0">
        <w:rPr>
          <w:lang w:val="es-ES_tradnl"/>
        </w:rPr>
        <w:t xml:space="preserve"> &lt;  10 </w:t>
      </w:r>
      <w:r w:rsidRPr="004618C0">
        <w:rPr>
          <w:i/>
          <w:lang w:val="es-ES_tradnl"/>
        </w:rPr>
        <w:t>K</w:t>
      </w:r>
      <w:r w:rsidRPr="004618C0">
        <w:rPr>
          <w:lang w:val="es-ES_tradnl"/>
        </w:rPr>
        <w:tab/>
        <w:t>(20)</w:t>
      </w:r>
    </w:p>
    <w:p w:rsidR="003727F9" w:rsidRPr="004618C0" w:rsidRDefault="003727F9" w:rsidP="00734DD6">
      <w:pPr>
        <w:pStyle w:val="Equation"/>
        <w:tabs>
          <w:tab w:val="left" w:pos="6300"/>
          <w:tab w:val="left" w:pos="7020"/>
          <w:tab w:val="left" w:pos="7560"/>
        </w:tabs>
        <w:rPr>
          <w:lang w:val="es-ES_tradnl"/>
        </w:rPr>
      </w:pPr>
      <w:r w:rsidRPr="004618C0">
        <w:rPr>
          <w:lang w:val="es-ES_tradnl"/>
        </w:rPr>
        <w:tab/>
      </w:r>
      <w:proofErr w:type="gramStart"/>
      <w:r w:rsidRPr="004618C0">
        <w:rPr>
          <w:i/>
          <w:lang w:val="es-ES_tradnl"/>
        </w:rPr>
        <w:t>G</w:t>
      </w:r>
      <w:r w:rsidRPr="004618C0">
        <w:rPr>
          <w:lang w:val="es-ES_tradnl"/>
        </w:rPr>
        <w:t>(</w:t>
      </w:r>
      <w:proofErr w:type="gramEnd"/>
      <w:r w:rsidRPr="004618C0">
        <w:rPr>
          <w:i/>
          <w:lang w:val="es-ES_tradnl"/>
        </w:rPr>
        <w:t>Y</w:t>
      </w:r>
      <w:r w:rsidRPr="004618C0">
        <w:rPr>
          <w:lang w:val="es-ES_tradnl"/>
        </w:rPr>
        <w:t xml:space="preserve">)  </w:t>
      </w:r>
      <w:r w:rsidRPr="006777E8">
        <w:rPr>
          <w:rFonts w:ascii="Symbol" w:hAnsi="Symbol"/>
        </w:rPr>
        <w:t></w:t>
      </w:r>
      <w:r w:rsidRPr="004618C0">
        <w:rPr>
          <w:lang w:val="es-ES_tradnl"/>
        </w:rPr>
        <w:t xml:space="preserve">  2  + 20 log </w:t>
      </w:r>
      <w:r w:rsidRPr="004618C0">
        <w:rPr>
          <w:i/>
          <w:lang w:val="es-ES_tradnl"/>
        </w:rPr>
        <w:t>K</w:t>
      </w:r>
      <w:r w:rsidR="00E6348A">
        <w:rPr>
          <w:lang w:val="es-ES_tradnl"/>
        </w:rPr>
        <w:tab/>
      </w:r>
      <w:r w:rsidR="00E6348A">
        <w:rPr>
          <w:lang w:val="es-ES_tradnl"/>
        </w:rPr>
        <w:tab/>
      </w:r>
      <w:proofErr w:type="spellStart"/>
      <w:r w:rsidR="00E6348A">
        <w:rPr>
          <w:lang w:val="es-ES_tradnl"/>
        </w:rPr>
        <w:t>for</w:t>
      </w:r>
      <w:proofErr w:type="spellEnd"/>
      <w:r w:rsidRPr="004618C0">
        <w:rPr>
          <w:lang w:val="es-ES_tradnl"/>
        </w:rPr>
        <w:tab/>
      </w:r>
      <w:r w:rsidRPr="004618C0">
        <w:rPr>
          <w:i/>
          <w:lang w:val="es-ES_tradnl"/>
        </w:rPr>
        <w:t>Y</w:t>
      </w:r>
      <w:r w:rsidR="00734DD6">
        <w:rPr>
          <w:lang w:val="es-ES_tradnl"/>
        </w:rPr>
        <w:tab/>
      </w:r>
      <w:r w:rsidRPr="004618C0">
        <w:rPr>
          <w:lang w:val="es-ES_tradnl"/>
        </w:rPr>
        <w:t xml:space="preserve">&lt; </w:t>
      </w:r>
      <w:r w:rsidRPr="004618C0">
        <w:rPr>
          <w:i/>
          <w:lang w:val="es-ES_tradnl"/>
        </w:rPr>
        <w:t>K</w:t>
      </w:r>
      <w:r w:rsidRPr="004618C0">
        <w:rPr>
          <w:lang w:val="es-ES_tradnl"/>
        </w:rPr>
        <w:t xml:space="preserve">  &lt;  10</w:t>
      </w:r>
      <w:r w:rsidRPr="004618C0">
        <w:rPr>
          <w:lang w:val="es-ES_tradnl"/>
        </w:rPr>
        <w:tab/>
        <w:t>(21)</w:t>
      </w:r>
    </w:p>
    <w:p w:rsidR="003727F9" w:rsidRPr="004618C0" w:rsidRDefault="003727F9" w:rsidP="003727F9">
      <w:pPr>
        <w:rPr>
          <w:lang w:val="en-US"/>
        </w:rPr>
      </w:pPr>
      <w:proofErr w:type="gramStart"/>
      <w:r w:rsidRPr="004618C0">
        <w:rPr>
          <w:lang w:val="en-US"/>
        </w:rPr>
        <w:t>where</w:t>
      </w:r>
      <w:proofErr w:type="gramEnd"/>
      <w:r w:rsidRPr="004618C0">
        <w:rPr>
          <w:lang w:val="en-US"/>
        </w:rPr>
        <w:t xml:space="preserve"> </w:t>
      </w:r>
      <w:r w:rsidRPr="004618C0">
        <w:rPr>
          <w:i/>
          <w:lang w:val="en-US"/>
        </w:rPr>
        <w:t>K</w:t>
      </w:r>
      <w:r w:rsidRPr="004618C0">
        <w:rPr>
          <w:lang w:val="en-US"/>
        </w:rPr>
        <w:t xml:space="preserve"> is the normalized surface admittance.</w:t>
      </w:r>
    </w:p>
    <w:p w:rsidR="003727F9" w:rsidRPr="004618C0" w:rsidRDefault="003727F9" w:rsidP="003727F9">
      <w:pPr>
        <w:pStyle w:val="Heading2"/>
        <w:rPr>
          <w:lang w:val="en-US"/>
        </w:rPr>
      </w:pPr>
      <w:r w:rsidRPr="004618C0">
        <w:rPr>
          <w:lang w:val="en-US"/>
        </w:rPr>
        <w:t>3.2</w:t>
      </w:r>
      <w:r w:rsidRPr="004618C0">
        <w:rPr>
          <w:lang w:val="en-US"/>
        </w:rPr>
        <w:tab/>
        <w:t>Numerical results</w:t>
      </w:r>
    </w:p>
    <w:p w:rsidR="003727F9" w:rsidRPr="004618C0" w:rsidRDefault="003727F9" w:rsidP="003727F9">
      <w:pPr>
        <w:pStyle w:val="Heading3"/>
        <w:rPr>
          <w:lang w:val="en-US"/>
        </w:rPr>
      </w:pPr>
      <w:r w:rsidRPr="004618C0">
        <w:rPr>
          <w:lang w:val="en-US"/>
        </w:rPr>
        <w:t>3.2.1</w:t>
      </w:r>
      <w:r w:rsidRPr="004618C0">
        <w:rPr>
          <w:lang w:val="en-US"/>
        </w:rPr>
        <w:tab/>
        <w:t>Spectral aspects</w:t>
      </w:r>
    </w:p>
    <w:p w:rsidR="003727F9" w:rsidRPr="004618C0" w:rsidRDefault="003727F9" w:rsidP="003727F9">
      <w:pPr>
        <w:rPr>
          <w:lang w:val="en-US"/>
        </w:rPr>
      </w:pPr>
      <w:r w:rsidRPr="004618C0">
        <w:rPr>
          <w:lang w:val="en-US"/>
        </w:rPr>
        <w:t>Equation (7) is used to compute the off-channel</w:t>
      </w:r>
      <w:r>
        <w:rPr>
          <w:lang w:val="en-US"/>
        </w:rPr>
        <w:t>-</w:t>
      </w:r>
      <w:r w:rsidRPr="004618C0">
        <w:rPr>
          <w:lang w:val="en-US"/>
        </w:rPr>
        <w:t>rejection factor</w:t>
      </w:r>
      <w:r w:rsidRPr="004618C0">
        <w:rPr>
          <w:i/>
          <w:lang w:val="en-US"/>
        </w:rPr>
        <w:t xml:space="preserve"> </w:t>
      </w:r>
      <w:proofErr w:type="gramStart"/>
      <w:r w:rsidRPr="00E6348A">
        <w:rPr>
          <w:iCs/>
          <w:lang w:val="en-US"/>
        </w:rPr>
        <w:t>OCR</w:t>
      </w:r>
      <w:r w:rsidRPr="004618C0">
        <w:rPr>
          <w:lang w:val="en-US"/>
        </w:rPr>
        <w:t>(</w:t>
      </w:r>
      <w:proofErr w:type="gramEnd"/>
      <w:r w:rsidRPr="006777E8">
        <w:rPr>
          <w:rFonts w:ascii="Symbol" w:hAnsi="Symbol"/>
        </w:rPr>
        <w:t></w:t>
      </w:r>
      <w:r w:rsidRPr="004618C0">
        <w:rPr>
          <w:i/>
          <w:lang w:val="en-US"/>
        </w:rPr>
        <w:t>f</w:t>
      </w:r>
      <w:r w:rsidRPr="004618C0">
        <w:rPr>
          <w:sz w:val="8"/>
          <w:lang w:val="en-US"/>
        </w:rPr>
        <w:t> </w:t>
      </w:r>
      <w:r w:rsidRPr="004618C0">
        <w:rPr>
          <w:lang w:val="en-US"/>
        </w:rPr>
        <w:t>)</w:t>
      </w:r>
      <w:r w:rsidRPr="004618C0">
        <w:rPr>
          <w:i/>
          <w:lang w:val="en-US"/>
        </w:rPr>
        <w:t xml:space="preserve"> </w:t>
      </w:r>
      <w:r w:rsidRPr="004618C0">
        <w:rPr>
          <w:lang w:val="en-US"/>
        </w:rPr>
        <w:t xml:space="preserve">as a function of </w:t>
      </w:r>
      <w:r w:rsidRPr="006777E8">
        <w:rPr>
          <w:rFonts w:ascii="Symbol" w:hAnsi="Symbol"/>
        </w:rPr>
        <w:t></w:t>
      </w:r>
      <w:r w:rsidRPr="004618C0">
        <w:rPr>
          <w:i/>
          <w:lang w:val="en-US"/>
        </w:rPr>
        <w:t>f</w:t>
      </w:r>
      <w:r w:rsidRPr="004618C0">
        <w:rPr>
          <w:lang w:val="en-US"/>
        </w:rPr>
        <w:t>. In our example, we look at two study cases:</w:t>
      </w:r>
    </w:p>
    <w:p w:rsidR="003727F9" w:rsidRPr="004618C0" w:rsidRDefault="003727F9" w:rsidP="003727F9">
      <w:pPr>
        <w:pStyle w:val="enumlev1"/>
        <w:rPr>
          <w:lang w:val="en-US"/>
        </w:rPr>
      </w:pPr>
      <w:r w:rsidRPr="004618C0">
        <w:rPr>
          <w:i/>
          <w:lang w:val="en-US"/>
        </w:rPr>
        <w:t>Case 1</w:t>
      </w:r>
      <w:r w:rsidRPr="004618C0">
        <w:rPr>
          <w:lang w:val="en-US"/>
        </w:rPr>
        <w:t>:</w:t>
      </w:r>
      <w:r w:rsidRPr="004618C0">
        <w:rPr>
          <w:lang w:val="en-US"/>
        </w:rPr>
        <w:tab/>
        <w:t>A 25 kHz system interfering with a 12.5 kHz system.</w:t>
      </w:r>
    </w:p>
    <w:p w:rsidR="003727F9" w:rsidRPr="004618C0" w:rsidRDefault="003727F9" w:rsidP="003727F9">
      <w:pPr>
        <w:pStyle w:val="enumlev1"/>
        <w:rPr>
          <w:lang w:val="en-US"/>
        </w:rPr>
      </w:pPr>
      <w:r w:rsidRPr="004618C0">
        <w:rPr>
          <w:i/>
          <w:lang w:val="en-US"/>
        </w:rPr>
        <w:t>Case 2</w:t>
      </w:r>
      <w:r w:rsidRPr="004618C0">
        <w:rPr>
          <w:lang w:val="en-US"/>
        </w:rPr>
        <w:t>:</w:t>
      </w:r>
      <w:r w:rsidRPr="004618C0">
        <w:rPr>
          <w:lang w:val="en-US"/>
        </w:rPr>
        <w:tab/>
        <w:t>A 12.5 kHz system interfering with a 25 kHz system.</w:t>
      </w:r>
    </w:p>
    <w:p w:rsidR="003727F9" w:rsidRPr="004618C0" w:rsidRDefault="003727F9" w:rsidP="003727F9">
      <w:pPr>
        <w:rPr>
          <w:lang w:val="en-US"/>
        </w:rPr>
      </w:pPr>
      <w:r w:rsidRPr="004618C0">
        <w:rPr>
          <w:lang w:val="en-US"/>
        </w:rPr>
        <w:t xml:space="preserve">The numerical assumptions for the two cases are shown in Table 2 in which </w:t>
      </w:r>
      <w:proofErr w:type="gramStart"/>
      <w:r w:rsidRPr="00E6348A">
        <w:rPr>
          <w:iCs/>
          <w:lang w:val="en-US"/>
        </w:rPr>
        <w:t>OCR</w:t>
      </w:r>
      <w:r w:rsidRPr="004618C0">
        <w:rPr>
          <w:lang w:val="en-US"/>
        </w:rPr>
        <w:t>(</w:t>
      </w:r>
      <w:proofErr w:type="gramEnd"/>
      <w:r w:rsidRPr="006777E8">
        <w:rPr>
          <w:rFonts w:ascii="Symbol" w:hAnsi="Symbol"/>
        </w:rPr>
        <w:t></w:t>
      </w:r>
      <w:r w:rsidRPr="004618C0">
        <w:rPr>
          <w:i/>
          <w:lang w:val="en-US"/>
        </w:rPr>
        <w:t>f</w:t>
      </w:r>
      <w:r w:rsidRPr="004618C0">
        <w:rPr>
          <w:sz w:val="8"/>
          <w:lang w:val="en-US"/>
        </w:rPr>
        <w:t> </w:t>
      </w:r>
      <w:r w:rsidRPr="004618C0">
        <w:rPr>
          <w:lang w:val="en-US"/>
        </w:rPr>
        <w:t xml:space="preserve">) is expressed as a function of the frequency separation </w:t>
      </w:r>
      <w:r w:rsidRPr="006777E8">
        <w:rPr>
          <w:rFonts w:ascii="Symbol" w:hAnsi="Symbol"/>
        </w:rPr>
        <w:t></w:t>
      </w:r>
      <w:r w:rsidRPr="004618C0">
        <w:rPr>
          <w:i/>
          <w:lang w:val="en-US"/>
        </w:rPr>
        <w:t>f</w:t>
      </w:r>
      <w:r w:rsidRPr="004618C0">
        <w:rPr>
          <w:lang w:val="en-US"/>
        </w:rPr>
        <w:t xml:space="preserve"> (kHz).</w:t>
      </w:r>
    </w:p>
    <w:p w:rsidR="003727F9" w:rsidRPr="004618C0" w:rsidRDefault="00560C4C" w:rsidP="003727F9">
      <w:pPr>
        <w:pStyle w:val="TableNo"/>
        <w:rPr>
          <w:lang w:val="en-US"/>
        </w:rPr>
      </w:pPr>
      <w:r>
        <w:rPr>
          <w:lang w:val="en-US"/>
        </w:rPr>
        <w:br w:type="page"/>
      </w:r>
      <w:r w:rsidR="003727F9" w:rsidRPr="004618C0">
        <w:rPr>
          <w:lang w:val="en-US"/>
        </w:rPr>
        <w:lastRenderedPageBreak/>
        <w:t>TABLE 2</w:t>
      </w:r>
    </w:p>
    <w:p w:rsidR="003727F9" w:rsidRPr="004618C0" w:rsidRDefault="003727F9" w:rsidP="003727F9">
      <w:pPr>
        <w:pStyle w:val="Tabletitle"/>
        <w:rPr>
          <w:lang w:val="en-US"/>
        </w:rPr>
      </w:pPr>
      <w:r w:rsidRPr="004618C0">
        <w:rPr>
          <w:lang w:val="en-US"/>
        </w:rPr>
        <w:t>OCR (dB) results for interference between two dissimilar systems</w:t>
      </w:r>
    </w:p>
    <w:tbl>
      <w:tblPr>
        <w:tblW w:w="67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14"/>
        <w:gridCol w:w="2520"/>
        <w:gridCol w:w="2452"/>
      </w:tblGrid>
      <w:tr w:rsidR="003727F9" w:rsidRPr="006777E8" w:rsidTr="00560C4C">
        <w:trPr>
          <w:jc w:val="center"/>
        </w:trPr>
        <w:tc>
          <w:tcPr>
            <w:tcW w:w="1814" w:type="dxa"/>
            <w:tcBorders>
              <w:top w:val="single" w:sz="6" w:space="0" w:color="auto"/>
              <w:left w:val="single" w:sz="6" w:space="0" w:color="auto"/>
              <w:bottom w:val="single" w:sz="6" w:space="0" w:color="auto"/>
              <w:right w:val="single" w:sz="6" w:space="0" w:color="auto"/>
            </w:tcBorders>
          </w:tcPr>
          <w:p w:rsidR="003727F9" w:rsidRPr="00E6348A" w:rsidRDefault="00B46448" w:rsidP="00E6348A">
            <w:pPr>
              <w:pStyle w:val="Tablehead"/>
            </w:pPr>
            <w:r>
              <w:sym w:font="Symbol" w:char="F044"/>
            </w:r>
            <w:r w:rsidR="003727F9" w:rsidRPr="00B46448">
              <w:rPr>
                <w:i/>
                <w:iCs/>
              </w:rPr>
              <w:t xml:space="preserve">f </w:t>
            </w:r>
            <w:r w:rsidR="003727F9" w:rsidRPr="00B46448">
              <w:rPr>
                <w:i/>
                <w:iCs/>
              </w:rPr>
              <w:br/>
            </w:r>
            <w:r w:rsidR="003727F9" w:rsidRPr="00E6348A">
              <w:t>(kHz)</w:t>
            </w:r>
          </w:p>
        </w:tc>
        <w:tc>
          <w:tcPr>
            <w:tcW w:w="2520" w:type="dxa"/>
            <w:tcBorders>
              <w:top w:val="single" w:sz="6" w:space="0" w:color="auto"/>
              <w:left w:val="single" w:sz="6" w:space="0" w:color="auto"/>
              <w:bottom w:val="single" w:sz="6" w:space="0" w:color="auto"/>
              <w:right w:val="single" w:sz="6" w:space="0" w:color="auto"/>
            </w:tcBorders>
          </w:tcPr>
          <w:p w:rsidR="003727F9" w:rsidRPr="00E6348A" w:rsidRDefault="003727F9" w:rsidP="00E6348A">
            <w:pPr>
              <w:pStyle w:val="Tablehead"/>
            </w:pPr>
            <w:r w:rsidRPr="00E6348A">
              <w:t xml:space="preserve">Case </w:t>
            </w:r>
            <w:proofErr w:type="gramStart"/>
            <w:r w:rsidRPr="00E6348A">
              <w:t>1:</w:t>
            </w:r>
            <w:proofErr w:type="gramEnd"/>
            <w:r w:rsidRPr="00E6348A">
              <w:t xml:space="preserve"> OCR(</w:t>
            </w:r>
            <w:r w:rsidR="00B46448">
              <w:sym w:font="Symbol" w:char="F044"/>
            </w:r>
            <w:r w:rsidR="00B46448" w:rsidRPr="00B46448">
              <w:rPr>
                <w:i/>
                <w:iCs/>
              </w:rPr>
              <w:t>f</w:t>
            </w:r>
            <w:r w:rsidRPr="00E6348A">
              <w:t>)</w:t>
            </w:r>
            <w:r w:rsidRPr="00E6348A">
              <w:br/>
              <w:t>(dB)</w:t>
            </w:r>
          </w:p>
        </w:tc>
        <w:tc>
          <w:tcPr>
            <w:tcW w:w="2452" w:type="dxa"/>
            <w:tcBorders>
              <w:top w:val="single" w:sz="6" w:space="0" w:color="auto"/>
              <w:left w:val="single" w:sz="6" w:space="0" w:color="auto"/>
              <w:bottom w:val="single" w:sz="6" w:space="0" w:color="auto"/>
              <w:right w:val="single" w:sz="6" w:space="0" w:color="auto"/>
            </w:tcBorders>
          </w:tcPr>
          <w:p w:rsidR="003727F9" w:rsidRPr="00E6348A" w:rsidRDefault="003727F9" w:rsidP="00E6348A">
            <w:pPr>
              <w:pStyle w:val="Tablehead"/>
            </w:pPr>
            <w:r w:rsidRPr="00E6348A">
              <w:t xml:space="preserve">Case </w:t>
            </w:r>
            <w:proofErr w:type="gramStart"/>
            <w:r w:rsidRPr="00E6348A">
              <w:t>2:</w:t>
            </w:r>
            <w:proofErr w:type="gramEnd"/>
            <w:r w:rsidRPr="00E6348A">
              <w:t xml:space="preserve"> OCR(</w:t>
            </w:r>
            <w:r w:rsidR="00B46448">
              <w:sym w:font="Symbol" w:char="F044"/>
            </w:r>
            <w:r w:rsidR="00B46448" w:rsidRPr="00B46448">
              <w:rPr>
                <w:i/>
                <w:iCs/>
              </w:rPr>
              <w:t>f</w:t>
            </w:r>
            <w:r w:rsidRPr="00E6348A">
              <w:t>)</w:t>
            </w:r>
            <w:r w:rsidRPr="00E6348A">
              <w:br/>
              <w:t>(dB)</w:t>
            </w:r>
          </w:p>
        </w:tc>
      </w:tr>
      <w:tr w:rsidR="003727F9" w:rsidRPr="006777E8" w:rsidTr="00560C4C">
        <w:trPr>
          <w:jc w:val="center"/>
        </w:trPr>
        <w:tc>
          <w:tcPr>
            <w:tcW w:w="1814"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t>0</w:t>
            </w:r>
          </w:p>
        </w:tc>
        <w:tc>
          <w:tcPr>
            <w:tcW w:w="2520"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rPr>
                <w:rFonts w:ascii="Symbol" w:hAnsi="Symbol"/>
              </w:rPr>
              <w:t></w:t>
            </w:r>
            <w:r>
              <w:t xml:space="preserve"> 0</w:t>
            </w:r>
          </w:p>
        </w:tc>
        <w:tc>
          <w:tcPr>
            <w:tcW w:w="2452"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rPr>
                <w:rFonts w:ascii="Symbol" w:hAnsi="Symbol"/>
              </w:rPr>
              <w:t></w:t>
            </w:r>
            <w:r>
              <w:t xml:space="preserve"> 0</w:t>
            </w:r>
          </w:p>
        </w:tc>
      </w:tr>
      <w:tr w:rsidR="003727F9" w:rsidRPr="006777E8" w:rsidTr="00560C4C">
        <w:trPr>
          <w:jc w:val="center"/>
        </w:trPr>
        <w:tc>
          <w:tcPr>
            <w:tcW w:w="1814"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12.5</w:t>
            </w:r>
          </w:p>
        </w:tc>
        <w:tc>
          <w:tcPr>
            <w:tcW w:w="2520"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26.4</w:t>
            </w:r>
          </w:p>
        </w:tc>
        <w:tc>
          <w:tcPr>
            <w:tcW w:w="2452"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t>29</w:t>
            </w:r>
          </w:p>
        </w:tc>
      </w:tr>
      <w:tr w:rsidR="003727F9" w:rsidRPr="006777E8" w:rsidTr="00560C4C">
        <w:trPr>
          <w:jc w:val="center"/>
        </w:trPr>
        <w:tc>
          <w:tcPr>
            <w:tcW w:w="1814"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t>25</w:t>
            </w:r>
          </w:p>
        </w:tc>
        <w:tc>
          <w:tcPr>
            <w:tcW w:w="2520"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57.7</w:t>
            </w:r>
          </w:p>
        </w:tc>
        <w:tc>
          <w:tcPr>
            <w:tcW w:w="2452"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58.8</w:t>
            </w:r>
          </w:p>
        </w:tc>
      </w:tr>
      <w:tr w:rsidR="003727F9" w:rsidRPr="006777E8" w:rsidTr="00560C4C">
        <w:trPr>
          <w:jc w:val="center"/>
        </w:trPr>
        <w:tc>
          <w:tcPr>
            <w:tcW w:w="1814"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37.5</w:t>
            </w:r>
          </w:p>
        </w:tc>
        <w:tc>
          <w:tcPr>
            <w:tcW w:w="2520"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57.7</w:t>
            </w:r>
          </w:p>
        </w:tc>
        <w:tc>
          <w:tcPr>
            <w:tcW w:w="2452"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t>59</w:t>
            </w:r>
          </w:p>
        </w:tc>
      </w:tr>
    </w:tbl>
    <w:p w:rsidR="00560C4C" w:rsidRDefault="00560C4C" w:rsidP="00560C4C">
      <w:pPr>
        <w:pStyle w:val="Tablefin"/>
      </w:pPr>
    </w:p>
    <w:p w:rsidR="00170D6C" w:rsidRPr="00170D6C" w:rsidRDefault="00170D6C" w:rsidP="00170D6C">
      <w:pPr>
        <w:rPr>
          <w:lang w:val="en-GB"/>
        </w:rPr>
      </w:pPr>
    </w:p>
    <w:p w:rsidR="003727F9" w:rsidRPr="006777E8" w:rsidRDefault="003727F9" w:rsidP="003727F9">
      <w:pPr>
        <w:pStyle w:val="Heading4"/>
      </w:pPr>
      <w:r w:rsidRPr="006777E8">
        <w:t>3.2.2</w:t>
      </w:r>
      <w:r w:rsidRPr="006777E8">
        <w:tab/>
        <w:t>Spatial aspects</w:t>
      </w:r>
    </w:p>
    <w:p w:rsidR="003727F9" w:rsidRPr="004618C0" w:rsidRDefault="003727F9" w:rsidP="003727F9">
      <w:pPr>
        <w:rPr>
          <w:lang w:val="en-US"/>
        </w:rPr>
      </w:pPr>
      <w:r w:rsidRPr="004618C0">
        <w:rPr>
          <w:lang w:val="en-US"/>
        </w:rPr>
        <w:t>Based on the assumed parameters as shown in Tables 1 and 2 and assuming a log normal distribution of the power of the desirable received signal, a location variability factor of 17 dB, the 90% coverage for the land mobile system is 32 km. The corresponding desired receiver power level is:</w:t>
      </w:r>
    </w:p>
    <w:p w:rsidR="00170D6C" w:rsidRDefault="00170D6C" w:rsidP="00170D6C">
      <w:pPr>
        <w:pStyle w:val="Blanc"/>
      </w:pPr>
    </w:p>
    <w:p w:rsidR="003727F9" w:rsidRPr="004618C0" w:rsidRDefault="003727F9" w:rsidP="003727F9">
      <w:pPr>
        <w:pStyle w:val="Equation"/>
        <w:rPr>
          <w:lang w:val="en-US"/>
        </w:rPr>
      </w:pPr>
      <w:r w:rsidRPr="004618C0">
        <w:rPr>
          <w:lang w:val="en-US"/>
        </w:rPr>
        <w:tab/>
      </w:r>
      <w:r w:rsidRPr="004618C0">
        <w:rPr>
          <w:lang w:val="en-US"/>
        </w:rPr>
        <w:tab/>
      </w:r>
      <w:proofErr w:type="spellStart"/>
      <w:proofErr w:type="gramStart"/>
      <w:r w:rsidRPr="004618C0">
        <w:rPr>
          <w:i/>
          <w:lang w:val="en-US"/>
        </w:rPr>
        <w:t>P</w:t>
      </w:r>
      <w:r w:rsidRPr="003727F9">
        <w:rPr>
          <w:i/>
          <w:vertAlign w:val="subscript"/>
          <w:lang w:val="en-US"/>
        </w:rPr>
        <w:t>d</w:t>
      </w:r>
      <w:proofErr w:type="spellEnd"/>
      <w:r w:rsidRPr="004618C0">
        <w:rPr>
          <w:lang w:val="en-US"/>
        </w:rPr>
        <w:t xml:space="preserve">  </w:t>
      </w:r>
      <w:r w:rsidRPr="006777E8">
        <w:rPr>
          <w:rFonts w:ascii="Symbol" w:hAnsi="Symbol"/>
        </w:rPr>
        <w:t></w:t>
      </w:r>
      <w:proofErr w:type="gramEnd"/>
      <w:r w:rsidRPr="004618C0">
        <w:rPr>
          <w:lang w:val="en-US"/>
        </w:rPr>
        <w:t xml:space="preserve">  </w:t>
      </w:r>
      <w:proofErr w:type="spellStart"/>
      <w:r w:rsidRPr="004618C0">
        <w:rPr>
          <w:i/>
          <w:lang w:val="en-US"/>
        </w:rPr>
        <w:t>P</w:t>
      </w:r>
      <w:r w:rsidRPr="003727F9">
        <w:rPr>
          <w:i/>
          <w:vertAlign w:val="subscript"/>
          <w:lang w:val="en-US"/>
        </w:rPr>
        <w:t>min</w:t>
      </w:r>
      <w:proofErr w:type="spellEnd"/>
      <w:r w:rsidRPr="004618C0">
        <w:rPr>
          <w:lang w:val="en-US"/>
        </w:rPr>
        <w:t xml:space="preserve">  </w:t>
      </w:r>
      <w:r w:rsidRPr="006777E8">
        <w:rPr>
          <w:rFonts w:ascii="Symbol" w:hAnsi="Symbol"/>
        </w:rPr>
        <w:t></w:t>
      </w:r>
      <w:r w:rsidRPr="004618C0">
        <w:rPr>
          <w:lang w:val="en-US"/>
        </w:rPr>
        <w:t xml:space="preserve">  </w:t>
      </w:r>
      <w:r w:rsidRPr="004618C0">
        <w:rPr>
          <w:i/>
          <w:lang w:val="en-US"/>
        </w:rPr>
        <w:t>L</w:t>
      </w:r>
      <w:r w:rsidRPr="003727F9">
        <w:rPr>
          <w:i/>
          <w:vertAlign w:val="subscript"/>
          <w:lang w:val="en-US"/>
        </w:rPr>
        <w:t>VF</w:t>
      </w:r>
      <w:r w:rsidRPr="004618C0">
        <w:rPr>
          <w:lang w:val="en-US"/>
        </w:rPr>
        <w:t xml:space="preserve">  </w:t>
      </w:r>
      <w:r w:rsidRPr="006777E8">
        <w:rPr>
          <w:rFonts w:ascii="Symbol" w:hAnsi="Symbol"/>
        </w:rPr>
        <w:t></w:t>
      </w:r>
      <w:r w:rsidRPr="004618C0">
        <w:rPr>
          <w:lang w:val="en-US"/>
        </w:rPr>
        <w:t xml:space="preserve">  –</w:t>
      </w:r>
      <w:r w:rsidRPr="004618C0">
        <w:rPr>
          <w:sz w:val="4"/>
          <w:lang w:val="en-US"/>
        </w:rPr>
        <w:t> </w:t>
      </w:r>
      <w:r w:rsidRPr="004618C0">
        <w:rPr>
          <w:lang w:val="en-US"/>
        </w:rPr>
        <w:t xml:space="preserve">128 </w:t>
      </w:r>
      <w:proofErr w:type="spellStart"/>
      <w:r w:rsidRPr="004618C0">
        <w:rPr>
          <w:lang w:val="en-US"/>
        </w:rPr>
        <w:t>dBW</w:t>
      </w:r>
      <w:proofErr w:type="spellEnd"/>
    </w:p>
    <w:p w:rsidR="00170D6C" w:rsidRDefault="00170D6C" w:rsidP="00170D6C">
      <w:pPr>
        <w:pStyle w:val="Blanc"/>
      </w:pPr>
    </w:p>
    <w:p w:rsidR="003727F9" w:rsidRPr="004618C0" w:rsidRDefault="003727F9" w:rsidP="003727F9">
      <w:pPr>
        <w:rPr>
          <w:lang w:val="en-US"/>
        </w:rPr>
      </w:pPr>
      <w:r w:rsidRPr="004618C0">
        <w:rPr>
          <w:lang w:val="en-US"/>
        </w:rPr>
        <w:t xml:space="preserve">Therefore, the acceptable interference level is: </w:t>
      </w:r>
      <w:proofErr w:type="spellStart"/>
      <w:r w:rsidRPr="004618C0">
        <w:rPr>
          <w:i/>
          <w:lang w:val="en-US"/>
        </w:rPr>
        <w:t>P</w:t>
      </w:r>
      <w:r w:rsidRPr="003727F9">
        <w:rPr>
          <w:i/>
          <w:vertAlign w:val="subscript"/>
          <w:lang w:val="en-US"/>
        </w:rPr>
        <w:t>d</w:t>
      </w:r>
      <w:proofErr w:type="spellEnd"/>
      <w:r w:rsidRPr="004618C0">
        <w:rPr>
          <w:lang w:val="en-US"/>
        </w:rPr>
        <w:t xml:space="preserve"> – </w:t>
      </w:r>
      <w:r w:rsidRPr="006777E8">
        <w:rPr>
          <w:rFonts w:ascii="Symbol" w:hAnsi="Symbol"/>
        </w:rPr>
        <w:t></w:t>
      </w:r>
      <w:r w:rsidRPr="004618C0">
        <w:rPr>
          <w:lang w:val="en-US"/>
        </w:rPr>
        <w:t xml:space="preserve"> </w:t>
      </w:r>
      <w:r w:rsidRPr="006777E8">
        <w:rPr>
          <w:rFonts w:ascii="Symbol" w:hAnsi="Symbol"/>
        </w:rPr>
        <w:t></w:t>
      </w:r>
      <w:r w:rsidRPr="004618C0">
        <w:rPr>
          <w:lang w:val="en-US"/>
        </w:rPr>
        <w:t xml:space="preserve"> –</w:t>
      </w:r>
      <w:r w:rsidRPr="004618C0">
        <w:rPr>
          <w:sz w:val="4"/>
          <w:lang w:val="en-US"/>
        </w:rPr>
        <w:t> </w:t>
      </w:r>
      <w:r w:rsidRPr="004618C0">
        <w:rPr>
          <w:lang w:val="en-US"/>
        </w:rPr>
        <w:t>146 </w:t>
      </w:r>
      <w:proofErr w:type="spellStart"/>
      <w:r w:rsidRPr="004618C0">
        <w:rPr>
          <w:lang w:val="en-US"/>
        </w:rPr>
        <w:t>dBW</w:t>
      </w:r>
      <w:proofErr w:type="spellEnd"/>
      <w:r w:rsidRPr="004618C0">
        <w:rPr>
          <w:lang w:val="en-US"/>
        </w:rPr>
        <w:t>.</w:t>
      </w:r>
    </w:p>
    <w:p w:rsidR="003727F9" w:rsidRDefault="003727F9" w:rsidP="00E6348A">
      <w:pPr>
        <w:rPr>
          <w:lang w:val="en-US"/>
        </w:rPr>
      </w:pPr>
      <w:r w:rsidRPr="004618C0">
        <w:rPr>
          <w:lang w:val="en-US"/>
        </w:rPr>
        <w:t xml:space="preserve">The required separation distances, </w:t>
      </w:r>
      <w:r w:rsidRPr="004618C0">
        <w:rPr>
          <w:i/>
          <w:lang w:val="en-US"/>
        </w:rPr>
        <w:t>D</w:t>
      </w:r>
      <w:r w:rsidRPr="004618C0">
        <w:rPr>
          <w:lang w:val="en-US"/>
        </w:rPr>
        <w:t xml:space="preserve">, between </w:t>
      </w:r>
      <w:proofErr w:type="gramStart"/>
      <w:r w:rsidRPr="004618C0">
        <w:rPr>
          <w:lang w:val="en-US"/>
        </w:rPr>
        <w:t>base</w:t>
      </w:r>
      <w:proofErr w:type="gramEnd"/>
      <w:r w:rsidRPr="004618C0">
        <w:rPr>
          <w:lang w:val="en-US"/>
        </w:rPr>
        <w:t xml:space="preserve"> stations for the two cases under study, have been computed based on the procedure presented in this </w:t>
      </w:r>
      <w:r w:rsidR="00E6348A">
        <w:rPr>
          <w:lang w:val="en-US"/>
        </w:rPr>
        <w:t>text</w:t>
      </w:r>
      <w:r w:rsidRPr="004618C0">
        <w:rPr>
          <w:lang w:val="en-US"/>
        </w:rPr>
        <w:t>. A summary of the results is given in Table 3.</w:t>
      </w:r>
    </w:p>
    <w:p w:rsidR="00170D6C" w:rsidRPr="004618C0" w:rsidRDefault="00170D6C" w:rsidP="00E6348A">
      <w:pPr>
        <w:rPr>
          <w:lang w:val="en-US" w:eastAsia="ko-KR"/>
        </w:rPr>
      </w:pPr>
    </w:p>
    <w:p w:rsidR="003727F9" w:rsidRPr="004618C0" w:rsidRDefault="003727F9" w:rsidP="003727F9">
      <w:pPr>
        <w:pStyle w:val="TableNo"/>
        <w:rPr>
          <w:lang w:val="en-US"/>
        </w:rPr>
      </w:pPr>
      <w:r w:rsidRPr="004618C0">
        <w:rPr>
          <w:lang w:val="en-US"/>
        </w:rPr>
        <w:t>TABLE 3</w:t>
      </w:r>
    </w:p>
    <w:p w:rsidR="003727F9" w:rsidRPr="004618C0" w:rsidRDefault="003727F9" w:rsidP="003727F9">
      <w:pPr>
        <w:pStyle w:val="Tabletitle"/>
        <w:rPr>
          <w:lang w:val="en-US"/>
        </w:rPr>
      </w:pPr>
      <w:r w:rsidRPr="004618C0">
        <w:rPr>
          <w:lang w:val="en-US"/>
        </w:rPr>
        <w:t xml:space="preserve">Required separation distance, </w:t>
      </w:r>
      <w:r w:rsidRPr="004618C0">
        <w:rPr>
          <w:i/>
          <w:lang w:val="en-US"/>
        </w:rPr>
        <w:t>D</w:t>
      </w:r>
      <w:r w:rsidRPr="004618C0">
        <w:rPr>
          <w:lang w:val="en-US"/>
        </w:rPr>
        <w:t xml:space="preserve"> (km), </w:t>
      </w:r>
      <w:r w:rsidRPr="004618C0">
        <w:rPr>
          <w:lang w:val="en-US"/>
        </w:rPr>
        <w:br/>
        <w:t xml:space="preserve">versus frequency separation, </w:t>
      </w:r>
      <w:r w:rsidRPr="006777E8">
        <w:rPr>
          <w:rFonts w:ascii="Symbol" w:hAnsi="Symbol"/>
        </w:rPr>
        <w:t></w:t>
      </w:r>
      <w:r w:rsidRPr="004618C0">
        <w:rPr>
          <w:i/>
          <w:lang w:val="en-US"/>
        </w:rPr>
        <w:t>f</w:t>
      </w:r>
      <w:r w:rsidR="00734DD6" w:rsidRPr="00E34D2E">
        <w:rPr>
          <w:lang w:val="en-GB"/>
        </w:rPr>
        <w:t xml:space="preserve"> </w:t>
      </w:r>
      <w:r w:rsidRPr="004618C0">
        <w:rPr>
          <w:lang w:val="en-US"/>
        </w:rPr>
        <w:t>(kHz)</w:t>
      </w:r>
    </w:p>
    <w:tbl>
      <w:tblPr>
        <w:tblW w:w="47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77"/>
        <w:gridCol w:w="2875"/>
      </w:tblGrid>
      <w:tr w:rsidR="003727F9" w:rsidRPr="00CE25A3" w:rsidTr="00560C4C">
        <w:trPr>
          <w:jc w:val="center"/>
        </w:trPr>
        <w:tc>
          <w:tcPr>
            <w:tcW w:w="1877" w:type="dxa"/>
            <w:tcBorders>
              <w:top w:val="single" w:sz="6" w:space="0" w:color="auto"/>
              <w:left w:val="single" w:sz="6" w:space="0" w:color="auto"/>
              <w:bottom w:val="single" w:sz="6" w:space="0" w:color="auto"/>
              <w:right w:val="single" w:sz="6" w:space="0" w:color="auto"/>
            </w:tcBorders>
          </w:tcPr>
          <w:p w:rsidR="003727F9" w:rsidRPr="00E6348A" w:rsidRDefault="00B46448" w:rsidP="00E6348A">
            <w:pPr>
              <w:pStyle w:val="Tablehead"/>
            </w:pPr>
            <w:r>
              <w:sym w:font="Symbol" w:char="F044"/>
            </w:r>
            <w:r w:rsidRPr="00B46448">
              <w:rPr>
                <w:i/>
                <w:iCs/>
              </w:rPr>
              <w:t>f</w:t>
            </w:r>
            <w:r w:rsidR="003727F9" w:rsidRPr="00E6348A">
              <w:t xml:space="preserve"> </w:t>
            </w:r>
            <w:r w:rsidR="003727F9" w:rsidRPr="00E6348A">
              <w:br/>
              <w:t>(kHz)</w:t>
            </w:r>
          </w:p>
        </w:tc>
        <w:tc>
          <w:tcPr>
            <w:tcW w:w="2875" w:type="dxa"/>
            <w:tcBorders>
              <w:top w:val="single" w:sz="6" w:space="0" w:color="auto"/>
              <w:left w:val="single" w:sz="6" w:space="0" w:color="auto"/>
              <w:bottom w:val="single" w:sz="6" w:space="0" w:color="auto"/>
              <w:right w:val="single" w:sz="6" w:space="0" w:color="auto"/>
            </w:tcBorders>
          </w:tcPr>
          <w:p w:rsidR="003727F9" w:rsidRPr="00E34D2E" w:rsidRDefault="003727F9" w:rsidP="00E6348A">
            <w:pPr>
              <w:pStyle w:val="Tablehead"/>
              <w:rPr>
                <w:lang w:val="en-GB"/>
              </w:rPr>
            </w:pPr>
            <w:r w:rsidRPr="00E34D2E">
              <w:rPr>
                <w:lang w:val="en-GB"/>
              </w:rPr>
              <w:t>Case 1 and Case 2: D</w:t>
            </w:r>
            <w:r w:rsidRPr="00E34D2E">
              <w:rPr>
                <w:lang w:val="en-GB"/>
              </w:rPr>
              <w:br/>
              <w:t>(km)</w:t>
            </w:r>
          </w:p>
        </w:tc>
      </w:tr>
      <w:tr w:rsidR="003727F9" w:rsidRPr="006777E8" w:rsidTr="00560C4C">
        <w:trPr>
          <w:jc w:val="center"/>
        </w:trPr>
        <w:tc>
          <w:tcPr>
            <w:tcW w:w="1877"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0</w:t>
            </w:r>
          </w:p>
        </w:tc>
        <w:tc>
          <w:tcPr>
            <w:tcW w:w="2875"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107.5</w:t>
            </w:r>
          </w:p>
        </w:tc>
      </w:tr>
      <w:tr w:rsidR="003727F9" w:rsidRPr="006777E8" w:rsidTr="00560C4C">
        <w:trPr>
          <w:jc w:val="center"/>
        </w:trPr>
        <w:tc>
          <w:tcPr>
            <w:tcW w:w="1877"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12.5</w:t>
            </w:r>
          </w:p>
        </w:tc>
        <w:tc>
          <w:tcPr>
            <w:tcW w:w="2875"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72.5</w:t>
            </w:r>
          </w:p>
        </w:tc>
      </w:tr>
      <w:tr w:rsidR="003727F9" w:rsidRPr="006777E8" w:rsidTr="00560C4C">
        <w:trPr>
          <w:jc w:val="center"/>
        </w:trPr>
        <w:tc>
          <w:tcPr>
            <w:tcW w:w="1877"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25</w:t>
            </w:r>
          </w:p>
        </w:tc>
        <w:tc>
          <w:tcPr>
            <w:tcW w:w="2875"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33</w:t>
            </w:r>
          </w:p>
        </w:tc>
      </w:tr>
      <w:tr w:rsidR="003727F9" w:rsidRPr="006777E8" w:rsidTr="00560C4C">
        <w:trPr>
          <w:jc w:val="center"/>
        </w:trPr>
        <w:tc>
          <w:tcPr>
            <w:tcW w:w="1877"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37.5</w:t>
            </w:r>
          </w:p>
        </w:tc>
        <w:tc>
          <w:tcPr>
            <w:tcW w:w="2875"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33</w:t>
            </w:r>
          </w:p>
        </w:tc>
      </w:tr>
    </w:tbl>
    <w:p w:rsidR="003727F9" w:rsidRDefault="003727F9" w:rsidP="003727F9">
      <w:pPr>
        <w:pStyle w:val="Tablefin"/>
      </w:pPr>
    </w:p>
    <w:p w:rsidR="00170D6C" w:rsidRPr="00170D6C" w:rsidRDefault="00170D6C" w:rsidP="00170D6C">
      <w:pPr>
        <w:rPr>
          <w:lang w:val="en-GB"/>
        </w:rPr>
      </w:pPr>
    </w:p>
    <w:p w:rsidR="003727F9" w:rsidRPr="00697B99" w:rsidRDefault="003727F9" w:rsidP="003727F9">
      <w:pPr>
        <w:pStyle w:val="Heading3"/>
        <w:rPr>
          <w:lang w:val="en-US" w:eastAsia="ko-KR"/>
        </w:rPr>
      </w:pPr>
      <w:r w:rsidRPr="00697B99">
        <w:rPr>
          <w:lang w:val="en-US"/>
        </w:rPr>
        <w:t>3.2.3</w:t>
      </w:r>
      <w:r w:rsidRPr="00697B99">
        <w:rPr>
          <w:lang w:val="en-US"/>
        </w:rPr>
        <w:tab/>
      </w:r>
      <w:r w:rsidRPr="00697B99">
        <w:rPr>
          <w:lang w:val="en-US" w:eastAsia="ko-KR"/>
        </w:rPr>
        <w:t>Fading margin dependent isolation</w:t>
      </w:r>
      <w:r w:rsidRPr="00697B99">
        <w:rPr>
          <w:lang w:val="en-US"/>
        </w:rPr>
        <w:t xml:space="preserve"> aspects</w:t>
      </w:r>
    </w:p>
    <w:p w:rsidR="003727F9" w:rsidRPr="004618C0" w:rsidRDefault="003727F9" w:rsidP="003727F9">
      <w:pPr>
        <w:rPr>
          <w:lang w:val="en-US"/>
        </w:rPr>
      </w:pPr>
      <w:r w:rsidRPr="004618C0">
        <w:rPr>
          <w:lang w:val="en-US"/>
        </w:rPr>
        <w:t xml:space="preserve">Using the parameters given in Tables 1 and 2 and the alternative procedure described in § 2.4, we obtain the required isolation </w:t>
      </w:r>
      <w:r w:rsidRPr="004618C0">
        <w:rPr>
          <w:i/>
          <w:lang w:val="en-US"/>
        </w:rPr>
        <w:t>L</w:t>
      </w:r>
      <w:r w:rsidRPr="004618C0">
        <w:rPr>
          <w:i/>
          <w:vertAlign w:val="subscript"/>
          <w:lang w:val="en-US"/>
        </w:rPr>
        <w:t>I</w:t>
      </w:r>
      <w:r w:rsidRPr="004618C0">
        <w:rPr>
          <w:lang w:val="en-US"/>
        </w:rPr>
        <w:t xml:space="preserve"> in terms of </w:t>
      </w:r>
      <w:r w:rsidRPr="004618C0">
        <w:rPr>
          <w:lang w:val="en-US" w:eastAsia="ko-KR"/>
        </w:rPr>
        <w:t>log-normal fading margin</w:t>
      </w:r>
      <w:r w:rsidRPr="004618C0">
        <w:rPr>
          <w:lang w:val="en-US"/>
        </w:rPr>
        <w:t xml:space="preserve"> as in Table 4.</w:t>
      </w:r>
    </w:p>
    <w:p w:rsidR="003727F9" w:rsidRPr="004618C0" w:rsidRDefault="00B46448" w:rsidP="003727F9">
      <w:pPr>
        <w:pStyle w:val="TableNo"/>
        <w:rPr>
          <w:lang w:val="en-US"/>
        </w:rPr>
      </w:pPr>
      <w:r>
        <w:rPr>
          <w:lang w:val="en-US"/>
        </w:rPr>
        <w:br w:type="page"/>
      </w:r>
      <w:r w:rsidR="003727F9" w:rsidRPr="004618C0">
        <w:rPr>
          <w:lang w:val="en-US"/>
        </w:rPr>
        <w:lastRenderedPageBreak/>
        <w:t>TABLE 4</w:t>
      </w:r>
    </w:p>
    <w:p w:rsidR="003727F9" w:rsidRPr="004618C0" w:rsidRDefault="003727F9" w:rsidP="003727F9">
      <w:pPr>
        <w:pStyle w:val="Tabletitle"/>
        <w:rPr>
          <w:lang w:val="en-US" w:eastAsia="ko-KR"/>
        </w:rPr>
      </w:pPr>
      <w:r w:rsidRPr="004618C0">
        <w:rPr>
          <w:lang w:val="en-US"/>
        </w:rPr>
        <w:t xml:space="preserve">Required isolation, </w:t>
      </w:r>
      <w:r w:rsidRPr="004618C0">
        <w:rPr>
          <w:i/>
          <w:lang w:val="en-US"/>
        </w:rPr>
        <w:t>L</w:t>
      </w:r>
      <w:r w:rsidRPr="004618C0">
        <w:rPr>
          <w:i/>
          <w:vertAlign w:val="subscript"/>
          <w:lang w:val="en-US"/>
        </w:rPr>
        <w:t>I</w:t>
      </w:r>
      <w:r w:rsidR="00734DD6" w:rsidRPr="00734DD6">
        <w:rPr>
          <w:lang w:val="en-US"/>
        </w:rPr>
        <w:t xml:space="preserve"> </w:t>
      </w:r>
      <w:r w:rsidRPr="004618C0">
        <w:rPr>
          <w:lang w:val="en-US"/>
        </w:rPr>
        <w:t>(dB)</w:t>
      </w:r>
      <w:r w:rsidRPr="004618C0">
        <w:rPr>
          <w:lang w:val="en-US" w:eastAsia="ko-KR"/>
        </w:rPr>
        <w:t xml:space="preserve"> according to log-normal fading margin, </w:t>
      </w:r>
      <w:r w:rsidRPr="004618C0">
        <w:rPr>
          <w:i/>
          <w:iCs/>
          <w:lang w:val="en-US"/>
        </w:rPr>
        <w:t>N</w:t>
      </w:r>
      <w:r w:rsidR="00734DD6">
        <w:rPr>
          <w:i/>
          <w:iCs/>
          <w:lang w:val="en-US"/>
        </w:rPr>
        <w:t xml:space="preserve"> </w:t>
      </w:r>
      <w:r w:rsidRPr="004618C0">
        <w:rPr>
          <w:lang w:val="en-US" w:eastAsia="ko-KR"/>
        </w:rPr>
        <w:t>(dB)</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8"/>
        <w:gridCol w:w="1928"/>
        <w:gridCol w:w="1927"/>
        <w:gridCol w:w="1928"/>
        <w:gridCol w:w="1928"/>
      </w:tblGrid>
      <w:tr w:rsidR="003727F9" w:rsidRPr="006777E8">
        <w:trPr>
          <w:trHeight w:val="308"/>
          <w:jc w:val="center"/>
        </w:trPr>
        <w:tc>
          <w:tcPr>
            <w:tcW w:w="1967" w:type="dxa"/>
            <w:tcBorders>
              <w:top w:val="single" w:sz="6" w:space="0" w:color="auto"/>
              <w:left w:val="single" w:sz="6" w:space="0" w:color="auto"/>
              <w:bottom w:val="single" w:sz="6" w:space="0" w:color="auto"/>
              <w:right w:val="single" w:sz="6" w:space="0" w:color="auto"/>
            </w:tcBorders>
          </w:tcPr>
          <w:p w:rsidR="003727F9" w:rsidRPr="00E6348A" w:rsidRDefault="003727F9" w:rsidP="00E6348A">
            <w:pPr>
              <w:pStyle w:val="Tablehead"/>
            </w:pPr>
            <w:r w:rsidRPr="00E6348A">
              <w:rPr>
                <w:szCs w:val="22"/>
              </w:rPr>
              <w:sym w:font="Symbol" w:char="F044"/>
            </w:r>
            <w:r w:rsidRPr="00B46448">
              <w:rPr>
                <w:i/>
                <w:iCs/>
                <w:szCs w:val="22"/>
              </w:rPr>
              <w:t>f</w:t>
            </w:r>
            <w:r w:rsidRPr="00B46448">
              <w:rPr>
                <w:rFonts w:eastAsia="Batang"/>
                <w:i/>
                <w:iCs/>
                <w:szCs w:val="22"/>
              </w:rPr>
              <w:t xml:space="preserve"> </w:t>
            </w:r>
            <w:r w:rsidRPr="00E6348A">
              <w:rPr>
                <w:rFonts w:eastAsia="Batang"/>
                <w:szCs w:val="22"/>
              </w:rPr>
              <w:br/>
            </w:r>
            <w:r w:rsidRPr="00E6348A">
              <w:t>(kHz)</w:t>
            </w:r>
          </w:p>
        </w:tc>
        <w:tc>
          <w:tcPr>
            <w:tcW w:w="3934" w:type="dxa"/>
            <w:gridSpan w:val="2"/>
            <w:tcBorders>
              <w:top w:val="single" w:sz="6" w:space="0" w:color="auto"/>
              <w:left w:val="single" w:sz="6" w:space="0" w:color="auto"/>
              <w:bottom w:val="single" w:sz="6" w:space="0" w:color="auto"/>
              <w:right w:val="single" w:sz="6" w:space="0" w:color="auto"/>
            </w:tcBorders>
          </w:tcPr>
          <w:p w:rsidR="003727F9" w:rsidRPr="00E6348A" w:rsidRDefault="003727F9" w:rsidP="00E6348A">
            <w:pPr>
              <w:pStyle w:val="Tablehead"/>
            </w:pPr>
            <w:r w:rsidRPr="00E6348A">
              <w:t>Case 1</w:t>
            </w:r>
          </w:p>
        </w:tc>
        <w:tc>
          <w:tcPr>
            <w:tcW w:w="3936" w:type="dxa"/>
            <w:gridSpan w:val="2"/>
            <w:tcBorders>
              <w:top w:val="single" w:sz="6" w:space="0" w:color="auto"/>
              <w:left w:val="single" w:sz="6" w:space="0" w:color="auto"/>
              <w:bottom w:val="single" w:sz="6" w:space="0" w:color="auto"/>
              <w:right w:val="single" w:sz="6" w:space="0" w:color="auto"/>
            </w:tcBorders>
          </w:tcPr>
          <w:p w:rsidR="003727F9" w:rsidRPr="00E6348A" w:rsidRDefault="003727F9" w:rsidP="00E6348A">
            <w:pPr>
              <w:pStyle w:val="Tablehead"/>
            </w:pPr>
            <w:r w:rsidRPr="00E6348A">
              <w:t>Case 2</w:t>
            </w:r>
          </w:p>
        </w:tc>
      </w:tr>
      <w:tr w:rsidR="003727F9" w:rsidRPr="006777E8">
        <w:trPr>
          <w:jc w:val="center"/>
        </w:trPr>
        <w:tc>
          <w:tcPr>
            <w:tcW w:w="1967"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p>
        </w:tc>
        <w:tc>
          <w:tcPr>
            <w:tcW w:w="1967"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rPr>
                <w:i/>
              </w:rPr>
              <w:t>N</w:t>
            </w:r>
            <w:r w:rsidRPr="006777E8">
              <w:t xml:space="preserve"> = 3</w:t>
            </w:r>
          </w:p>
        </w:tc>
        <w:tc>
          <w:tcPr>
            <w:tcW w:w="1967"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rPr>
                <w:i/>
              </w:rPr>
              <w:t>N</w:t>
            </w:r>
            <w:r w:rsidRPr="006777E8">
              <w:t xml:space="preserve"> = 10</w:t>
            </w:r>
          </w:p>
        </w:tc>
        <w:tc>
          <w:tcPr>
            <w:tcW w:w="1968"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rPr>
                <w:i/>
              </w:rPr>
              <w:t>N</w:t>
            </w:r>
            <w:r w:rsidRPr="006777E8">
              <w:t xml:space="preserve"> = 3</w:t>
            </w:r>
          </w:p>
        </w:tc>
        <w:tc>
          <w:tcPr>
            <w:tcW w:w="1968"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rPr>
                <w:i/>
              </w:rPr>
              <w:t>N</w:t>
            </w:r>
            <w:r w:rsidRPr="006777E8">
              <w:t xml:space="preserve"> = 10</w:t>
            </w:r>
          </w:p>
        </w:tc>
      </w:tr>
      <w:tr w:rsidR="003727F9" w:rsidRPr="006777E8">
        <w:trPr>
          <w:jc w:val="center"/>
        </w:trPr>
        <w:tc>
          <w:tcPr>
            <w:tcW w:w="1967"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0</w:t>
            </w:r>
          </w:p>
          <w:p w:rsidR="003727F9" w:rsidRPr="006777E8" w:rsidRDefault="003727F9" w:rsidP="00E6348A">
            <w:pPr>
              <w:pStyle w:val="Tabletext"/>
              <w:jc w:val="center"/>
            </w:pPr>
            <w:r w:rsidRPr="006777E8">
              <w:t>12.5</w:t>
            </w:r>
          </w:p>
          <w:p w:rsidR="003727F9" w:rsidRPr="006777E8" w:rsidRDefault="003727F9" w:rsidP="00E6348A">
            <w:pPr>
              <w:pStyle w:val="Tabletext"/>
              <w:jc w:val="center"/>
            </w:pPr>
            <w:r w:rsidRPr="006777E8">
              <w:t>25</w:t>
            </w:r>
          </w:p>
          <w:p w:rsidR="003727F9" w:rsidRPr="006777E8" w:rsidRDefault="003727F9" w:rsidP="00E6348A">
            <w:pPr>
              <w:pStyle w:val="Tabletext"/>
              <w:jc w:val="center"/>
            </w:pPr>
            <w:r w:rsidRPr="006777E8">
              <w:t>37.5</w:t>
            </w:r>
          </w:p>
        </w:tc>
        <w:tc>
          <w:tcPr>
            <w:tcW w:w="1967"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183.02</w:t>
            </w:r>
          </w:p>
          <w:p w:rsidR="003727F9" w:rsidRPr="006777E8" w:rsidRDefault="003727F9" w:rsidP="00E6348A">
            <w:pPr>
              <w:pStyle w:val="Tabletext"/>
              <w:jc w:val="center"/>
            </w:pPr>
            <w:r w:rsidRPr="006777E8">
              <w:t>156.62</w:t>
            </w:r>
          </w:p>
          <w:p w:rsidR="003727F9" w:rsidRPr="006777E8" w:rsidRDefault="003727F9" w:rsidP="00E6348A">
            <w:pPr>
              <w:pStyle w:val="Tabletext"/>
              <w:jc w:val="center"/>
            </w:pPr>
            <w:r w:rsidRPr="006777E8">
              <w:t>125.32</w:t>
            </w:r>
          </w:p>
          <w:p w:rsidR="003727F9" w:rsidRPr="006777E8" w:rsidRDefault="003727F9" w:rsidP="00E6348A">
            <w:pPr>
              <w:pStyle w:val="Tabletext"/>
              <w:jc w:val="center"/>
            </w:pPr>
            <w:r w:rsidRPr="006777E8">
              <w:t>125.32</w:t>
            </w:r>
          </w:p>
        </w:tc>
        <w:tc>
          <w:tcPr>
            <w:tcW w:w="1967"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173.46</w:t>
            </w:r>
          </w:p>
          <w:p w:rsidR="003727F9" w:rsidRPr="006777E8" w:rsidRDefault="003727F9" w:rsidP="00E6348A">
            <w:pPr>
              <w:pStyle w:val="Tabletext"/>
              <w:jc w:val="center"/>
            </w:pPr>
            <w:r w:rsidRPr="006777E8">
              <w:t>147.06</w:t>
            </w:r>
          </w:p>
          <w:p w:rsidR="003727F9" w:rsidRPr="006777E8" w:rsidRDefault="003727F9" w:rsidP="00E6348A">
            <w:pPr>
              <w:pStyle w:val="Tabletext"/>
              <w:jc w:val="center"/>
            </w:pPr>
            <w:r w:rsidRPr="006777E8">
              <w:t>115.76</w:t>
            </w:r>
          </w:p>
          <w:p w:rsidR="003727F9" w:rsidRPr="006777E8" w:rsidRDefault="003727F9" w:rsidP="00E6348A">
            <w:pPr>
              <w:pStyle w:val="Tabletext"/>
              <w:jc w:val="center"/>
            </w:pPr>
            <w:r w:rsidRPr="006777E8">
              <w:t>115.76</w:t>
            </w:r>
          </w:p>
        </w:tc>
        <w:tc>
          <w:tcPr>
            <w:tcW w:w="1968"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183.02</w:t>
            </w:r>
          </w:p>
          <w:p w:rsidR="003727F9" w:rsidRPr="006777E8" w:rsidRDefault="003727F9" w:rsidP="00E6348A">
            <w:pPr>
              <w:pStyle w:val="Tabletext"/>
              <w:jc w:val="center"/>
            </w:pPr>
            <w:r w:rsidRPr="006777E8">
              <w:t>154.02</w:t>
            </w:r>
          </w:p>
          <w:p w:rsidR="003727F9" w:rsidRPr="006777E8" w:rsidRDefault="003727F9" w:rsidP="00E6348A">
            <w:pPr>
              <w:pStyle w:val="Tabletext"/>
              <w:jc w:val="center"/>
            </w:pPr>
            <w:r w:rsidRPr="006777E8">
              <w:t>124.22</w:t>
            </w:r>
          </w:p>
          <w:p w:rsidR="003727F9" w:rsidRPr="006777E8" w:rsidRDefault="003727F9" w:rsidP="00E6348A">
            <w:pPr>
              <w:pStyle w:val="Tabletext"/>
              <w:jc w:val="center"/>
            </w:pPr>
            <w:r w:rsidRPr="006777E8">
              <w:t>124.02</w:t>
            </w:r>
          </w:p>
        </w:tc>
        <w:tc>
          <w:tcPr>
            <w:tcW w:w="1968" w:type="dxa"/>
            <w:tcBorders>
              <w:top w:val="single" w:sz="6" w:space="0" w:color="auto"/>
              <w:left w:val="single" w:sz="6" w:space="0" w:color="auto"/>
              <w:bottom w:val="single" w:sz="6" w:space="0" w:color="auto"/>
              <w:right w:val="single" w:sz="6" w:space="0" w:color="auto"/>
            </w:tcBorders>
          </w:tcPr>
          <w:p w:rsidR="003727F9" w:rsidRPr="006777E8" w:rsidRDefault="003727F9" w:rsidP="00E6348A">
            <w:pPr>
              <w:pStyle w:val="Tabletext"/>
              <w:jc w:val="center"/>
            </w:pPr>
            <w:r w:rsidRPr="006777E8">
              <w:t>173.46</w:t>
            </w:r>
          </w:p>
          <w:p w:rsidR="003727F9" w:rsidRPr="006777E8" w:rsidRDefault="003727F9" w:rsidP="00E6348A">
            <w:pPr>
              <w:pStyle w:val="Tabletext"/>
              <w:jc w:val="center"/>
            </w:pPr>
            <w:r w:rsidRPr="006777E8">
              <w:t>144.46</w:t>
            </w:r>
          </w:p>
          <w:p w:rsidR="003727F9" w:rsidRPr="006777E8" w:rsidRDefault="003727F9" w:rsidP="00E6348A">
            <w:pPr>
              <w:pStyle w:val="Tabletext"/>
              <w:jc w:val="center"/>
            </w:pPr>
            <w:r w:rsidRPr="006777E8">
              <w:t>114.66</w:t>
            </w:r>
          </w:p>
          <w:p w:rsidR="003727F9" w:rsidRPr="006777E8" w:rsidRDefault="003727F9" w:rsidP="00E6348A">
            <w:pPr>
              <w:pStyle w:val="Tabletext"/>
              <w:jc w:val="center"/>
            </w:pPr>
            <w:r w:rsidRPr="006777E8">
              <w:t>114.46</w:t>
            </w:r>
          </w:p>
        </w:tc>
      </w:tr>
    </w:tbl>
    <w:p w:rsidR="003727F9" w:rsidRPr="004618C0" w:rsidRDefault="003727F9" w:rsidP="003727F9">
      <w:pPr>
        <w:rPr>
          <w:lang w:val="en-US" w:eastAsia="ko-KR"/>
        </w:rPr>
      </w:pPr>
      <w:r w:rsidRPr="004618C0">
        <w:rPr>
          <w:lang w:val="en-US"/>
        </w:rPr>
        <w:t xml:space="preserve">Note that the larger the </w:t>
      </w:r>
      <w:r w:rsidRPr="004618C0">
        <w:rPr>
          <w:i/>
          <w:lang w:val="en-US"/>
        </w:rPr>
        <w:t>N</w:t>
      </w:r>
      <w:r w:rsidRPr="004618C0">
        <w:rPr>
          <w:lang w:val="en-US"/>
        </w:rPr>
        <w:t xml:space="preserve"> requires the lower the isolation.</w:t>
      </w:r>
    </w:p>
    <w:p w:rsidR="003727F9" w:rsidRPr="004618C0" w:rsidRDefault="003727F9" w:rsidP="003727F9">
      <w:pPr>
        <w:pStyle w:val="Heading1"/>
        <w:rPr>
          <w:lang w:val="en-US"/>
        </w:rPr>
      </w:pPr>
      <w:r w:rsidRPr="004618C0">
        <w:rPr>
          <w:lang w:val="en-US"/>
        </w:rPr>
        <w:t>4</w:t>
      </w:r>
      <w:r w:rsidRPr="004618C0">
        <w:rPr>
          <w:lang w:val="en-US"/>
        </w:rPr>
        <w:tab/>
        <w:t>An intermodulation FD rule</w:t>
      </w:r>
    </w:p>
    <w:p w:rsidR="003727F9" w:rsidRPr="004618C0" w:rsidRDefault="003727F9" w:rsidP="003727F9">
      <w:pPr>
        <w:rPr>
          <w:lang w:val="en-US"/>
        </w:rPr>
      </w:pPr>
      <w:r w:rsidRPr="004618C0">
        <w:rPr>
          <w:lang w:val="en-US"/>
        </w:rPr>
        <w:t>In addition to co-channel and adjacent-channel interference, land mobile systems are also affected by intermodulation interference through the formation of intermodulation products. In the case of two-signal third-order receiver inter</w:t>
      </w:r>
      <w:r w:rsidRPr="004618C0">
        <w:rPr>
          <w:lang w:val="en-US"/>
        </w:rPr>
        <w:softHyphen/>
        <w:t>modulation, since two base station transmitters are involved in the formation of an intermodulation product, their minimum acceptable distances from a victim receiver are interrelated.</w:t>
      </w:r>
    </w:p>
    <w:p w:rsidR="003727F9" w:rsidRPr="004618C0" w:rsidRDefault="003727F9" w:rsidP="003727F9">
      <w:pPr>
        <w:rPr>
          <w:lang w:val="en-US"/>
        </w:rPr>
      </w:pPr>
      <w:r w:rsidRPr="004618C0">
        <w:rPr>
          <w:lang w:val="en-US"/>
        </w:rPr>
        <w:t>Based on the assumption that the receiver antenna gain is equal to the receiver total loss, that the average value of the minimum wanted signal level to produce a 12 dB signal-to-interference ratio including noise and distortion (SINAD) in the presence of noise is –</w:t>
      </w:r>
      <w:r w:rsidRPr="004618C0">
        <w:rPr>
          <w:sz w:val="4"/>
          <w:lang w:val="en-US"/>
        </w:rPr>
        <w:t> </w:t>
      </w:r>
      <w:r w:rsidRPr="004618C0">
        <w:rPr>
          <w:lang w:val="en-US"/>
        </w:rPr>
        <w:t xml:space="preserve">145 </w:t>
      </w:r>
      <w:proofErr w:type="spellStart"/>
      <w:r w:rsidRPr="004618C0">
        <w:rPr>
          <w:lang w:val="en-US"/>
        </w:rPr>
        <w:t>dBW</w:t>
      </w:r>
      <w:proofErr w:type="spellEnd"/>
      <w:r w:rsidRPr="004618C0">
        <w:rPr>
          <w:lang w:val="en-US"/>
        </w:rPr>
        <w:t xml:space="preserve">, that the free-space path loss is used and that all transmitters have the same </w:t>
      </w:r>
      <w:proofErr w:type="spellStart"/>
      <w:r w:rsidRPr="004618C0">
        <w:rPr>
          <w:lang w:val="en-US"/>
        </w:rPr>
        <w:t>e.i.r.p</w:t>
      </w:r>
      <w:proofErr w:type="spellEnd"/>
      <w:r w:rsidRPr="004618C0">
        <w:rPr>
          <w:lang w:val="en-US"/>
        </w:rPr>
        <w:t xml:space="preserve">. equal to 20 </w:t>
      </w:r>
      <w:proofErr w:type="spellStart"/>
      <w:r w:rsidRPr="004618C0">
        <w:rPr>
          <w:lang w:val="en-US"/>
        </w:rPr>
        <w:t>dBW</w:t>
      </w:r>
      <w:proofErr w:type="spellEnd"/>
      <w:r w:rsidRPr="004618C0">
        <w:rPr>
          <w:lang w:val="en-US"/>
        </w:rPr>
        <w:t>, the FD rule for the 410-470 MHz band can be established to predict interfering power levels at the victim receiver. In this model:</w:t>
      </w:r>
    </w:p>
    <w:p w:rsidR="003727F9" w:rsidRPr="004618C0" w:rsidRDefault="003727F9" w:rsidP="003727F9">
      <w:pPr>
        <w:pStyle w:val="Equation"/>
        <w:rPr>
          <w:lang w:val="en-US" w:eastAsia="ko-KR"/>
        </w:rPr>
      </w:pPr>
      <w:r w:rsidRPr="004618C0">
        <w:rPr>
          <w:lang w:val="en-US"/>
        </w:rPr>
        <w:tab/>
      </w:r>
      <w:r w:rsidRPr="004618C0">
        <w:rPr>
          <w:lang w:val="en-US"/>
        </w:rPr>
        <w:tab/>
      </w:r>
      <w:r w:rsidRPr="006777E8">
        <w:rPr>
          <w:position w:val="-12"/>
        </w:rPr>
        <w:object w:dxaOrig="3500" w:dyaOrig="360">
          <v:shape id="_x0000_i1044" type="#_x0000_t75" style="width:174.85pt;height:18.15pt" o:ole="">
            <v:imagedata r:id="rId44" o:title=""/>
          </v:shape>
          <o:OLEObject Type="Embed" ProgID="Equation.3" ShapeID="_x0000_i1044" DrawAspect="Content" ObjectID="_1629876833" r:id="rId45"/>
        </w:object>
      </w:r>
      <w:r w:rsidRPr="004618C0">
        <w:rPr>
          <w:lang w:val="en-US"/>
        </w:rPr>
        <w:tab/>
        <w:t>(22)</w:t>
      </w:r>
    </w:p>
    <w:p w:rsidR="003727F9" w:rsidRPr="004618C0" w:rsidRDefault="003727F9" w:rsidP="003727F9">
      <w:pPr>
        <w:rPr>
          <w:lang w:val="en-US"/>
        </w:rPr>
      </w:pPr>
      <w:proofErr w:type="gramStart"/>
      <w:r w:rsidRPr="004618C0">
        <w:rPr>
          <w:lang w:val="en-US"/>
        </w:rPr>
        <w:t>where</w:t>
      </w:r>
      <w:proofErr w:type="gramEnd"/>
      <w:r w:rsidRPr="004618C0">
        <w:rPr>
          <w:lang w:val="en-US"/>
        </w:rPr>
        <w:t>:</w:t>
      </w:r>
    </w:p>
    <w:p w:rsidR="003727F9" w:rsidRPr="006777E8" w:rsidRDefault="003727F9" w:rsidP="003727F9">
      <w:pPr>
        <w:pStyle w:val="Equationlegend"/>
      </w:pPr>
      <w:r w:rsidRPr="006777E8">
        <w:tab/>
      </w:r>
      <w:proofErr w:type="gramStart"/>
      <w:r w:rsidRPr="006777E8">
        <w:rPr>
          <w:i/>
        </w:rPr>
        <w:t>P</w:t>
      </w:r>
      <w:r w:rsidRPr="006777E8">
        <w:rPr>
          <w:sz w:val="8"/>
        </w:rPr>
        <w:t> </w:t>
      </w:r>
      <w:r w:rsidRPr="006777E8">
        <w:t>:</w:t>
      </w:r>
      <w:proofErr w:type="gramEnd"/>
      <w:r w:rsidRPr="006777E8">
        <w:tab/>
        <w:t>resulting interfering power level at the victim receiver (</w:t>
      </w:r>
      <w:proofErr w:type="spellStart"/>
      <w:r w:rsidRPr="006777E8">
        <w:t>dBW</w:t>
      </w:r>
      <w:proofErr w:type="spellEnd"/>
      <w:r w:rsidRPr="006777E8">
        <w:t>)</w:t>
      </w:r>
    </w:p>
    <w:p w:rsidR="003727F9" w:rsidRPr="006777E8" w:rsidRDefault="003727F9" w:rsidP="003727F9">
      <w:pPr>
        <w:pStyle w:val="Equationlegend"/>
      </w:pPr>
      <w:r w:rsidRPr="006777E8">
        <w:tab/>
      </w:r>
      <w:proofErr w:type="gramStart"/>
      <w:r w:rsidRPr="006777E8">
        <w:rPr>
          <w:i/>
        </w:rPr>
        <w:t>P</w:t>
      </w:r>
      <w:r w:rsidRPr="00206C6C">
        <w:rPr>
          <w:i/>
          <w:vertAlign w:val="subscript"/>
        </w:rPr>
        <w:t>N</w:t>
      </w:r>
      <w:r w:rsidRPr="006777E8">
        <w:rPr>
          <w:sz w:val="8"/>
        </w:rPr>
        <w:t> </w:t>
      </w:r>
      <w:r w:rsidRPr="006777E8">
        <w:t>:</w:t>
      </w:r>
      <w:proofErr w:type="gramEnd"/>
      <w:r w:rsidRPr="006777E8">
        <w:tab/>
        <w:t>received power (</w:t>
      </w:r>
      <w:proofErr w:type="spellStart"/>
      <w:r w:rsidRPr="006777E8">
        <w:t>dBW</w:t>
      </w:r>
      <w:proofErr w:type="spellEnd"/>
      <w:r w:rsidRPr="006777E8">
        <w:t>) from the transmitter whose frequency is the nearest to the frequency of the victim receiver</w:t>
      </w:r>
    </w:p>
    <w:p w:rsidR="003727F9" w:rsidRPr="006777E8" w:rsidRDefault="003727F9" w:rsidP="003727F9">
      <w:pPr>
        <w:pStyle w:val="Equationlegend"/>
      </w:pPr>
      <w:r w:rsidRPr="006777E8">
        <w:tab/>
      </w:r>
      <w:proofErr w:type="gramStart"/>
      <w:r w:rsidRPr="006777E8">
        <w:rPr>
          <w:i/>
        </w:rPr>
        <w:t>P</w:t>
      </w:r>
      <w:r w:rsidRPr="00206C6C">
        <w:rPr>
          <w:i/>
          <w:vertAlign w:val="subscript"/>
        </w:rPr>
        <w:t>F</w:t>
      </w:r>
      <w:r w:rsidRPr="006777E8">
        <w:rPr>
          <w:sz w:val="8"/>
        </w:rPr>
        <w:t> </w:t>
      </w:r>
      <w:r w:rsidRPr="006777E8">
        <w:t>:</w:t>
      </w:r>
      <w:proofErr w:type="gramEnd"/>
      <w:r w:rsidRPr="006777E8">
        <w:tab/>
        <w:t>received power (</w:t>
      </w:r>
      <w:proofErr w:type="spellStart"/>
      <w:r w:rsidRPr="006777E8">
        <w:t>dBW</w:t>
      </w:r>
      <w:proofErr w:type="spellEnd"/>
      <w:r w:rsidRPr="006777E8">
        <w:t>) from the transmitter whose frequency is the farthest from the frequency of the victim receiver</w:t>
      </w:r>
    </w:p>
    <w:p w:rsidR="003727F9" w:rsidRPr="006777E8" w:rsidRDefault="003727F9" w:rsidP="003727F9">
      <w:pPr>
        <w:pStyle w:val="Equationlegend"/>
      </w:pPr>
      <w:r w:rsidRPr="006777E8">
        <w:tab/>
      </w:r>
      <w:r w:rsidRPr="006777E8">
        <w:rPr>
          <w:rFonts w:ascii="Symbol" w:hAnsi="Symbol"/>
        </w:rPr>
        <w:t></w:t>
      </w:r>
      <w:proofErr w:type="gramStart"/>
      <w:r w:rsidRPr="00206C6C">
        <w:rPr>
          <w:i/>
        </w:rPr>
        <w:t>f</w:t>
      </w:r>
      <w:r w:rsidRPr="006777E8">
        <w:rPr>
          <w:sz w:val="8"/>
        </w:rPr>
        <w:t> </w:t>
      </w:r>
      <w:r w:rsidRPr="006777E8">
        <w:t>:</w:t>
      </w:r>
      <w:proofErr w:type="gramEnd"/>
      <w:r w:rsidRPr="006777E8">
        <w:tab/>
        <w:t>frequency separation between the near and far transmitter frequencies (MHz).</w:t>
      </w:r>
    </w:p>
    <w:p w:rsidR="003727F9" w:rsidRPr="004618C0" w:rsidRDefault="003727F9" w:rsidP="003727F9">
      <w:pPr>
        <w:rPr>
          <w:lang w:val="en-US"/>
        </w:rPr>
      </w:pPr>
      <w:r w:rsidRPr="004618C0">
        <w:rPr>
          <w:lang w:val="en-US"/>
        </w:rPr>
        <w:t>By using a carrier frequency value equal to 460 MHz, the two-signal third-order intermodulation would occur if:</w:t>
      </w:r>
    </w:p>
    <w:p w:rsidR="003727F9" w:rsidRPr="004618C0" w:rsidRDefault="003727F9" w:rsidP="003727F9">
      <w:pPr>
        <w:pStyle w:val="Equation"/>
        <w:rPr>
          <w:lang w:val="en-US"/>
        </w:rPr>
      </w:pPr>
      <w:r w:rsidRPr="004618C0">
        <w:rPr>
          <w:lang w:val="en-US"/>
        </w:rPr>
        <w:tab/>
      </w:r>
      <w:r w:rsidRPr="004618C0">
        <w:rPr>
          <w:lang w:val="en-US"/>
        </w:rPr>
        <w:tab/>
      </w:r>
      <w:r w:rsidRPr="006777E8">
        <w:rPr>
          <w:position w:val="-10"/>
          <w:sz w:val="20"/>
        </w:rPr>
        <w:object w:dxaOrig="1240" w:dyaOrig="320">
          <v:shape id="_x0000_i1045" type="#_x0000_t75" style="width:61.7pt;height:16.35pt" o:ole="">
            <v:imagedata r:id="rId46" o:title=""/>
          </v:shape>
          <o:OLEObject Type="Embed" ProgID="Equation.3" ShapeID="_x0000_i1045" DrawAspect="Content" ObjectID="_1629876834" r:id="rId47"/>
        </w:object>
      </w:r>
      <w:r w:rsidRPr="004618C0">
        <w:rPr>
          <w:position w:val="-4"/>
          <w:lang w:val="en-US"/>
        </w:rPr>
        <w:tab/>
        <w:t>(23)</w:t>
      </w:r>
    </w:p>
    <w:p w:rsidR="003727F9" w:rsidRPr="004618C0" w:rsidRDefault="003727F9" w:rsidP="00E6348A">
      <w:pPr>
        <w:rPr>
          <w:lang w:val="en-US" w:eastAsia="ko-KR"/>
        </w:rPr>
      </w:pPr>
      <w:proofErr w:type="gramStart"/>
      <w:r w:rsidRPr="004618C0">
        <w:rPr>
          <w:lang w:val="en-US"/>
        </w:rPr>
        <w:t>where</w:t>
      </w:r>
      <w:proofErr w:type="gramEnd"/>
      <w:r w:rsidRPr="004618C0">
        <w:rPr>
          <w:lang w:val="en-US"/>
        </w:rPr>
        <w:t xml:space="preserve"> </w:t>
      </w:r>
      <w:r w:rsidRPr="004618C0">
        <w:rPr>
          <w:i/>
          <w:lang w:val="en-US"/>
        </w:rPr>
        <w:t>d</w:t>
      </w:r>
      <w:r w:rsidRPr="004618C0">
        <w:rPr>
          <w:lang w:val="en-US"/>
        </w:rPr>
        <w:t xml:space="preserve"> is the distance of an existing station from a proposed station. A protection margin of 6 dB between the interfering power level and the minimum wanted power level has been assumed. Useful information may be found in Recommendation ITU-R SM.1134. Since the proposed station may be involved as a victim receiver, a far transmitter or a near transmitter in an intermodulation product, the curve B has to be used with the curve A in establishing the FD rule which is depicted in Fig. </w:t>
      </w:r>
      <w:r w:rsidR="00E6348A">
        <w:rPr>
          <w:lang w:val="en-US"/>
        </w:rPr>
        <w:t>2</w:t>
      </w:r>
      <w:r w:rsidRPr="004618C0">
        <w:rPr>
          <w:lang w:val="en-US"/>
        </w:rPr>
        <w:t>. The area above the curve corresponds to permissible interference situations, while that below corresponds to potential interference situations.</w:t>
      </w:r>
    </w:p>
    <w:p w:rsidR="003727F9" w:rsidRPr="006777E8" w:rsidRDefault="008F080E" w:rsidP="003727F9">
      <w:pPr>
        <w:pStyle w:val="FigureNo"/>
      </w:pPr>
      <w:r>
        <w:object w:dxaOrig="7997" w:dyaOrig="8801">
          <v:shape id="_x0000_i1046" type="#_x0000_t75" style="width:400.55pt;height:439.85pt" o:ole="">
            <v:imagedata r:id="rId48" o:title=""/>
          </v:shape>
          <o:OLEObject Type="Embed" ProgID="CorelDRAW.Graphic.12" ShapeID="_x0000_i1046" DrawAspect="Content" ObjectID="_1629876835" r:id="rId49"/>
        </w:object>
      </w:r>
    </w:p>
    <w:p w:rsidR="00560C4C" w:rsidRDefault="00560C4C" w:rsidP="00560C4C">
      <w:pPr>
        <w:rPr>
          <w:lang w:val="en-US"/>
        </w:rPr>
      </w:pPr>
    </w:p>
    <w:p w:rsidR="003727F9" w:rsidRPr="003727F9" w:rsidRDefault="003727F9" w:rsidP="003727F9">
      <w:pPr>
        <w:pStyle w:val="Heading1"/>
        <w:rPr>
          <w:lang w:val="en-US"/>
        </w:rPr>
      </w:pPr>
      <w:r w:rsidRPr="003727F9">
        <w:rPr>
          <w:lang w:val="en-US"/>
        </w:rPr>
        <w:t>5</w:t>
      </w:r>
      <w:r w:rsidRPr="003727F9">
        <w:rPr>
          <w:lang w:val="en-US"/>
        </w:rPr>
        <w:tab/>
        <w:t>Conclusions</w:t>
      </w:r>
    </w:p>
    <w:p w:rsidR="003727F9" w:rsidRDefault="003727F9" w:rsidP="003727F9">
      <w:pPr>
        <w:rPr>
          <w:lang w:val="en-US"/>
        </w:rPr>
      </w:pPr>
      <w:r w:rsidRPr="004618C0">
        <w:rPr>
          <w:lang w:val="en-US"/>
        </w:rPr>
        <w:t>In order to assign a frequency to a proposed new station, co-channel and adjacent-channel interference is first evaluated using the appropriate FD rules. After these rules are satisfied, existing stations which may be involved in intermodulation interference with the proposed station are then examined based on the intermodulation FD rule. A detailed analysis can then follow if these rules are not satisfied. It should be noted that the analyses contained in this Recommendation do not consider man-made or natural obstructions.</w:t>
      </w:r>
    </w:p>
    <w:p w:rsidR="003727F9" w:rsidRDefault="003727F9" w:rsidP="003727F9">
      <w:pPr>
        <w:rPr>
          <w:lang w:val="en-US"/>
        </w:rPr>
      </w:pPr>
    </w:p>
    <w:p w:rsidR="003727F9" w:rsidRPr="004618C0" w:rsidRDefault="003727F9" w:rsidP="003727F9">
      <w:pPr>
        <w:pStyle w:val="Line"/>
      </w:pPr>
    </w:p>
    <w:p w:rsidR="00A6617B" w:rsidRPr="003727F9" w:rsidRDefault="00A6617B" w:rsidP="00A6617B">
      <w:pPr>
        <w:rPr>
          <w:lang w:val="en-GB"/>
        </w:rPr>
      </w:pPr>
    </w:p>
    <w:sectPr w:rsidR="00A6617B" w:rsidRPr="003727F9">
      <w:headerReference w:type="even" r:id="rId50"/>
      <w:headerReference w:type="default" r:id="rId51"/>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C4C" w:rsidRDefault="00560C4C">
      <w:r>
        <w:separator/>
      </w:r>
    </w:p>
  </w:endnote>
  <w:endnote w:type="continuationSeparator" w:id="0">
    <w:p w:rsidR="00560C4C" w:rsidRDefault="0056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C4C" w:rsidRDefault="00560C4C">
      <w:r>
        <w:separator/>
      </w:r>
    </w:p>
  </w:footnote>
  <w:footnote w:type="continuationSeparator" w:id="0">
    <w:p w:rsidR="00560C4C" w:rsidRDefault="00560C4C">
      <w:r>
        <w:continuationSeparator/>
      </w:r>
    </w:p>
  </w:footnote>
  <w:footnote w:id="1">
    <w:p w:rsidR="00D17DB3" w:rsidRPr="00D17DB3" w:rsidRDefault="00D17DB3" w:rsidP="003B30F0">
      <w:pPr>
        <w:pStyle w:val="FootnoteText"/>
        <w:rPr>
          <w:lang w:val="en-GB"/>
        </w:rPr>
      </w:pPr>
      <w:r w:rsidRPr="00D17DB3">
        <w:rPr>
          <w:rStyle w:val="FootnoteReference"/>
          <w:lang w:val="en-GB"/>
        </w:rPr>
        <w:t>*</w:t>
      </w:r>
      <w:r w:rsidRPr="00D17DB3">
        <w:rPr>
          <w:lang w:val="en-GB"/>
        </w:rPr>
        <w:t xml:space="preserve"> </w:t>
      </w:r>
      <w:r>
        <w:rPr>
          <w:lang w:val="en-GB"/>
        </w:rPr>
        <w:tab/>
      </w:r>
      <w:r w:rsidR="003B30F0" w:rsidRPr="00D17DB3">
        <w:rPr>
          <w:szCs w:val="24"/>
        </w:rPr>
        <w:t xml:space="preserve">Radiocommunication </w:t>
      </w:r>
      <w:proofErr w:type="spellStart"/>
      <w:r w:rsidR="003B30F0" w:rsidRPr="00D17DB3">
        <w:rPr>
          <w:szCs w:val="24"/>
        </w:rPr>
        <w:t>Study</w:t>
      </w:r>
      <w:proofErr w:type="spellEnd"/>
      <w:r w:rsidR="003B30F0" w:rsidRPr="00D17DB3">
        <w:rPr>
          <w:szCs w:val="24"/>
        </w:rPr>
        <w:t xml:space="preserve"> Group 1 made </w:t>
      </w:r>
      <w:proofErr w:type="spellStart"/>
      <w:r w:rsidR="003B30F0" w:rsidRPr="00D17DB3">
        <w:rPr>
          <w:szCs w:val="24"/>
        </w:rPr>
        <w:t>editorial</w:t>
      </w:r>
      <w:proofErr w:type="spellEnd"/>
      <w:r w:rsidR="003B30F0" w:rsidRPr="00D17DB3">
        <w:rPr>
          <w:szCs w:val="24"/>
        </w:rPr>
        <w:t xml:space="preserve"> </w:t>
      </w:r>
      <w:proofErr w:type="spellStart"/>
      <w:r w:rsidR="003B30F0" w:rsidRPr="00D17DB3">
        <w:rPr>
          <w:szCs w:val="24"/>
        </w:rPr>
        <w:t>amendments</w:t>
      </w:r>
      <w:proofErr w:type="spellEnd"/>
      <w:r w:rsidR="003B30F0" w:rsidRPr="00D17DB3">
        <w:rPr>
          <w:szCs w:val="24"/>
        </w:rPr>
        <w:t xml:space="preserve"> to </w:t>
      </w:r>
      <w:proofErr w:type="spellStart"/>
      <w:r w:rsidR="003B30F0" w:rsidRPr="00D17DB3">
        <w:rPr>
          <w:szCs w:val="24"/>
        </w:rPr>
        <w:t>this</w:t>
      </w:r>
      <w:proofErr w:type="spellEnd"/>
      <w:r w:rsidR="003B30F0" w:rsidRPr="00D17DB3">
        <w:rPr>
          <w:szCs w:val="24"/>
        </w:rPr>
        <w:t xml:space="preserve"> </w:t>
      </w:r>
      <w:proofErr w:type="spellStart"/>
      <w:r w:rsidR="003B30F0" w:rsidRPr="00D17DB3">
        <w:rPr>
          <w:szCs w:val="24"/>
        </w:rPr>
        <w:t>Recommendation</w:t>
      </w:r>
      <w:proofErr w:type="spellEnd"/>
      <w:r w:rsidR="003B30F0" w:rsidRPr="00D17DB3">
        <w:rPr>
          <w:szCs w:val="24"/>
        </w:rPr>
        <w:t xml:space="preserve"> in </w:t>
      </w:r>
      <w:r w:rsidR="003B30F0" w:rsidRPr="00B63C60">
        <w:rPr>
          <w:szCs w:val="24"/>
          <w:lang w:val="en-US"/>
        </w:rPr>
        <w:t>the year</w:t>
      </w:r>
      <w:r w:rsidR="003B30F0">
        <w:rPr>
          <w:szCs w:val="24"/>
          <w:lang w:val="en-US"/>
        </w:rPr>
        <w:t>s</w:t>
      </w:r>
      <w:r w:rsidR="003B30F0" w:rsidRPr="00B63C60">
        <w:rPr>
          <w:szCs w:val="24"/>
          <w:lang w:val="en-US"/>
        </w:rPr>
        <w:t xml:space="preserve"> </w:t>
      </w:r>
      <w:r w:rsidR="003B30F0" w:rsidRPr="00D17DB3">
        <w:rPr>
          <w:szCs w:val="24"/>
        </w:rPr>
        <w:t xml:space="preserve">2018 </w:t>
      </w:r>
      <w:r w:rsidR="003B30F0">
        <w:rPr>
          <w:szCs w:val="24"/>
        </w:rPr>
        <w:t xml:space="preserve">and 2019 </w:t>
      </w:r>
      <w:r w:rsidR="003B30F0" w:rsidRPr="00D17DB3">
        <w:rPr>
          <w:szCs w:val="24"/>
        </w:rPr>
        <w:t xml:space="preserve">in accordance </w:t>
      </w:r>
      <w:proofErr w:type="spellStart"/>
      <w:r w:rsidR="003B30F0" w:rsidRPr="00D17DB3">
        <w:rPr>
          <w:szCs w:val="24"/>
        </w:rPr>
        <w:t>with</w:t>
      </w:r>
      <w:proofErr w:type="spellEnd"/>
      <w:r w:rsidR="003B30F0" w:rsidRPr="00D17DB3">
        <w:rPr>
          <w:szCs w:val="24"/>
        </w:rPr>
        <w:t xml:space="preserve"> </w:t>
      </w:r>
      <w:proofErr w:type="spellStart"/>
      <w:r w:rsidR="003B30F0" w:rsidRPr="00D17DB3">
        <w:rPr>
          <w:szCs w:val="24"/>
        </w:rPr>
        <w:t>Resolution</w:t>
      </w:r>
      <w:proofErr w:type="spellEnd"/>
      <w:r w:rsidR="003B30F0" w:rsidRPr="00D17DB3">
        <w:rPr>
          <w:szCs w:val="24"/>
        </w:rPr>
        <w:t xml:space="preserve"> ITU-R 1</w:t>
      </w:r>
      <w:r w:rsidR="003B30F0">
        <w:rPr>
          <w:szCs w:val="24"/>
        </w:rPr>
        <w:t>.</w:t>
      </w:r>
    </w:p>
  </w:footnote>
  <w:footnote w:id="2">
    <w:p w:rsidR="00560C4C" w:rsidRPr="003727F9" w:rsidRDefault="00560C4C" w:rsidP="003727F9">
      <w:pPr>
        <w:pStyle w:val="FootnoteText"/>
        <w:rPr>
          <w:lang w:val="en-US" w:eastAsia="ko-KR"/>
        </w:rPr>
      </w:pPr>
      <w:r>
        <w:rPr>
          <w:rStyle w:val="FootnoteReference"/>
        </w:rPr>
        <w:footnoteRef/>
      </w:r>
      <w:r w:rsidRPr="003727F9">
        <w:rPr>
          <w:lang w:val="en-US"/>
        </w:rPr>
        <w:t xml:space="preserve"> </w:t>
      </w:r>
      <w:r w:rsidRPr="003727F9">
        <w:rPr>
          <w:lang w:val="en-US"/>
        </w:rPr>
        <w:tab/>
        <w:t>In the practical situation the distance between the interferer antenna and victim receiver antenna may be measured between the nearest edges of both antenna systems for convenience.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C4C" w:rsidRDefault="00560C4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5531A6">
      <w:rPr>
        <w:rStyle w:val="PageNumber"/>
        <w:b/>
        <w:bCs/>
        <w:noProof/>
        <w:lang w:val="en-US"/>
      </w:rPr>
      <w:t>12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5531A6">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5531A6">
      <w:rPr>
        <w:b/>
        <w:bCs/>
        <w:noProof/>
      </w:rPr>
      <w:t>ITU-R  SM.337-6</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C4C" w:rsidRDefault="00560C4C">
    <w:pPr>
      <w:pStyle w:val="Header"/>
    </w:pPr>
    <w:r>
      <w:tab/>
    </w:r>
    <w:r>
      <w:rPr>
        <w:b/>
        <w:bCs/>
      </w:rPr>
      <w:fldChar w:fldCharType="begin"/>
    </w:r>
    <w:r>
      <w:rPr>
        <w:b/>
        <w:bCs/>
      </w:rPr>
      <w:instrText xml:space="preserve"> DOCPROPERTY "Header" \* MERGEFORMAT </w:instrText>
    </w:r>
    <w:r>
      <w:rPr>
        <w:b/>
        <w:bCs/>
      </w:rPr>
      <w:fldChar w:fldCharType="separate"/>
    </w:r>
    <w:r w:rsidR="005531A6">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5531A6">
      <w:rPr>
        <w:b/>
        <w:bCs/>
        <w:noProof/>
      </w:rPr>
      <w:t>ITU-R  SM.337-6</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531A6">
      <w:rPr>
        <w:rStyle w:val="PageNumber"/>
        <w:b/>
        <w:bCs/>
        <w:noProof/>
      </w:rPr>
      <w:t>11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7F9"/>
    <w:rsid w:val="00155980"/>
    <w:rsid w:val="00170D6C"/>
    <w:rsid w:val="00204D88"/>
    <w:rsid w:val="002D76C4"/>
    <w:rsid w:val="003727F9"/>
    <w:rsid w:val="003B30F0"/>
    <w:rsid w:val="00544CD8"/>
    <w:rsid w:val="005531A6"/>
    <w:rsid w:val="00560C4C"/>
    <w:rsid w:val="00607D68"/>
    <w:rsid w:val="00734DD6"/>
    <w:rsid w:val="007468DA"/>
    <w:rsid w:val="008F080E"/>
    <w:rsid w:val="00A00C20"/>
    <w:rsid w:val="00A6617B"/>
    <w:rsid w:val="00AB0DC8"/>
    <w:rsid w:val="00B44E24"/>
    <w:rsid w:val="00B46448"/>
    <w:rsid w:val="00B84598"/>
    <w:rsid w:val="00CE25A3"/>
    <w:rsid w:val="00D17DB3"/>
    <w:rsid w:val="00D916E3"/>
    <w:rsid w:val="00DF056C"/>
    <w:rsid w:val="00DF4176"/>
    <w:rsid w:val="00E34D2E"/>
    <w:rsid w:val="00E634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89084C8D-CE35-43FE-9648-9B072B36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DB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D17DB3"/>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
    <w:basedOn w:val="DefaultParagraphFont"/>
    <w:semiHidden/>
    <w:rPr>
      <w:position w:val="6"/>
      <w:sz w:val="18"/>
    </w:rPr>
  </w:style>
  <w:style w:type="paragraph" w:styleId="FootnoteText">
    <w:name w:val="footnote text"/>
    <w:aliases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FiguretitleChar">
    <w:name w:val="Figure_title Char"/>
    <w:basedOn w:val="DefaultParagraphFont"/>
    <w:link w:val="Figuretitle"/>
    <w:rsid w:val="003727F9"/>
    <w:rPr>
      <w:rFonts w:ascii="Times New Roman Bold" w:hAnsi="Times New Roman Bold"/>
      <w:b/>
      <w:sz w:val="18"/>
      <w:lang w:val="fr-FR" w:eastAsia="en-US" w:bidi="ar-SA"/>
    </w:rPr>
  </w:style>
  <w:style w:type="character" w:customStyle="1" w:styleId="EquationChar">
    <w:name w:val="Equation Char"/>
    <w:basedOn w:val="DefaultParagraphFont"/>
    <w:link w:val="Equation"/>
    <w:locked/>
    <w:rsid w:val="003727F9"/>
    <w:rPr>
      <w:sz w:val="24"/>
      <w:lang w:val="fr-FR" w:eastAsia="en-US" w:bidi="ar-SA"/>
    </w:rPr>
  </w:style>
  <w:style w:type="character" w:styleId="CommentReference">
    <w:name w:val="annotation reference"/>
    <w:basedOn w:val="DefaultParagraphFont"/>
    <w:semiHidden/>
    <w:rsid w:val="00734DD6"/>
    <w:rPr>
      <w:sz w:val="16"/>
      <w:szCs w:val="16"/>
    </w:rPr>
  </w:style>
  <w:style w:type="paragraph" w:styleId="CommentText">
    <w:name w:val="annotation text"/>
    <w:basedOn w:val="Normal"/>
    <w:semiHidden/>
    <w:rsid w:val="00734DD6"/>
    <w:rPr>
      <w:sz w:val="20"/>
    </w:rPr>
  </w:style>
  <w:style w:type="paragraph" w:styleId="CommentSubject">
    <w:name w:val="annotation subject"/>
    <w:basedOn w:val="CommentText"/>
    <w:next w:val="CommentText"/>
    <w:semiHidden/>
    <w:rsid w:val="00734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header" Target="header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6</TotalTime>
  <Pages>12</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MCJ_x000d_
1ère épreuve: MCJ_x000d_
REV - 18-08-08 - HB_x000d_
Corr. 22.8.8/KJ_x000d_
1ère épreuve: 28.8.08/KJ_x000d_
REV - 1ère épreuve - 01-09-08 - HB_x000d_
2ème épreuve: 6.11.08/KJ</dc:description>
  <cp:lastModifiedBy>Elliott, Linda</cp:lastModifiedBy>
  <cp:revision>8</cp:revision>
  <cp:lastPrinted>2019-09-13T08:31:00Z</cp:lastPrinted>
  <dcterms:created xsi:type="dcterms:W3CDTF">2018-10-12T12:17:00Z</dcterms:created>
  <dcterms:modified xsi:type="dcterms:W3CDTF">2019-09-13T08:32:00Z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