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94A1C" w14:textId="77777777" w:rsidR="00FD396C" w:rsidRPr="006D3E70" w:rsidRDefault="00FD396C" w:rsidP="00FD396C">
      <w:pPr>
        <w:rPr>
          <w:lang w:val="fr-FR"/>
        </w:rPr>
      </w:pPr>
    </w:p>
    <w:p w14:paraId="0BFCF728" w14:textId="77777777" w:rsidR="00FD396C" w:rsidRPr="006D3E70" w:rsidRDefault="00FD396C" w:rsidP="00FD396C">
      <w:pPr>
        <w:tabs>
          <w:tab w:val="clear" w:pos="794"/>
          <w:tab w:val="clear" w:pos="1191"/>
          <w:tab w:val="clear" w:pos="1588"/>
          <w:tab w:val="clear" w:pos="1985"/>
        </w:tabs>
        <w:rPr>
          <w:lang w:val="fr-FR"/>
        </w:rPr>
      </w:pPr>
    </w:p>
    <w:p w14:paraId="02A26AFD" w14:textId="73D2A955" w:rsidR="00FD396C" w:rsidRPr="006D3E70" w:rsidRDefault="00FD396C" w:rsidP="00FD396C">
      <w:pPr>
        <w:pStyle w:val="CoverNumber"/>
        <w:rPr>
          <w:lang w:val="fr-FR"/>
        </w:rPr>
      </w:pPr>
      <w:r w:rsidRPr="006D3E70">
        <w:rPr>
          <w:lang w:val="fr-FR"/>
        </w:rPr>
        <w:t>Recommandation UIT-R SM.</w:t>
      </w:r>
      <w:r w:rsidR="00532249" w:rsidRPr="006D3E70">
        <w:rPr>
          <w:lang w:val="fr-FR"/>
        </w:rPr>
        <w:t>329-13</w:t>
      </w:r>
    </w:p>
    <w:p w14:paraId="2BEF1AE4" w14:textId="633A4B30" w:rsidR="00FD396C" w:rsidRPr="006D3E70" w:rsidRDefault="00FD396C" w:rsidP="00FD396C">
      <w:pPr>
        <w:pStyle w:val="CoverDate"/>
        <w:rPr>
          <w:lang w:val="fr-FR"/>
        </w:rPr>
      </w:pPr>
      <w:r w:rsidRPr="006D3E70">
        <w:rPr>
          <w:lang w:val="fr-FR"/>
        </w:rPr>
        <w:t>(</w:t>
      </w:r>
      <w:r w:rsidR="00532249" w:rsidRPr="006D3E70">
        <w:rPr>
          <w:lang w:val="fr-FR"/>
        </w:rPr>
        <w:t>09</w:t>
      </w:r>
      <w:r w:rsidRPr="006D3E70">
        <w:rPr>
          <w:lang w:val="fr-FR"/>
        </w:rPr>
        <w:t>/</w:t>
      </w:r>
      <w:r w:rsidR="00532249" w:rsidRPr="006D3E70">
        <w:rPr>
          <w:lang w:val="fr-FR"/>
        </w:rPr>
        <w:t>2024</w:t>
      </w:r>
      <w:r w:rsidRPr="006D3E70">
        <w:rPr>
          <w:lang w:val="fr-FR"/>
        </w:rPr>
        <w:t>)</w:t>
      </w:r>
    </w:p>
    <w:p w14:paraId="0EE77267" w14:textId="77777777" w:rsidR="00FD396C" w:rsidRPr="006D3E70" w:rsidRDefault="00FD396C" w:rsidP="00FD396C">
      <w:pPr>
        <w:pStyle w:val="CoverSeries"/>
        <w:rPr>
          <w:lang w:val="fr-FR"/>
        </w:rPr>
      </w:pPr>
      <w:r w:rsidRPr="006D3E70">
        <w:rPr>
          <w:lang w:val="fr-FR"/>
        </w:rPr>
        <w:t>Série SM: Gestion du spectre</w:t>
      </w:r>
    </w:p>
    <w:p w14:paraId="601C8E2A" w14:textId="54025238" w:rsidR="00FD396C" w:rsidRPr="006D3E70" w:rsidRDefault="00532249" w:rsidP="00FD396C">
      <w:pPr>
        <w:pStyle w:val="CoverTitle"/>
        <w:rPr>
          <w:lang w:val="fr-FR"/>
        </w:rPr>
      </w:pPr>
      <w:r w:rsidRPr="006D3E70">
        <w:rPr>
          <w:lang w:val="fr-FR"/>
        </w:rPr>
        <w:t>Rayonnements non désirés dans le domaine des rayonnements non</w:t>
      </w:r>
      <w:r w:rsidR="00CD0816" w:rsidRPr="006D3E70">
        <w:rPr>
          <w:lang w:val="fr-FR"/>
        </w:rPr>
        <w:t> </w:t>
      </w:r>
      <w:r w:rsidRPr="006D3E70">
        <w:rPr>
          <w:lang w:val="fr-FR"/>
        </w:rPr>
        <w:t>essentiels</w:t>
      </w:r>
    </w:p>
    <w:p w14:paraId="4286DCAA" w14:textId="77777777" w:rsidR="00FD396C" w:rsidRPr="006D3E70" w:rsidRDefault="00FD396C" w:rsidP="00FD396C">
      <w:pPr>
        <w:rPr>
          <w:lang w:val="fr-FR"/>
        </w:rPr>
      </w:pPr>
    </w:p>
    <w:p w14:paraId="4ACC45D1" w14:textId="77777777" w:rsidR="00FD396C" w:rsidRPr="006D3E70" w:rsidRDefault="00FD396C" w:rsidP="00FD396C">
      <w:pPr>
        <w:rPr>
          <w:lang w:val="fr-FR"/>
        </w:rPr>
      </w:pPr>
    </w:p>
    <w:p w14:paraId="199F3786" w14:textId="77777777" w:rsidR="00FD396C" w:rsidRPr="006D3E70" w:rsidRDefault="00FD396C" w:rsidP="00FD396C">
      <w:pPr>
        <w:rPr>
          <w:lang w:val="fr-FR"/>
        </w:rPr>
        <w:sectPr w:rsidR="00FD396C" w:rsidRPr="006D3E70" w:rsidSect="00FD396C">
          <w:headerReference w:type="even" r:id="rId8"/>
          <w:headerReference w:type="default" r:id="rId9"/>
          <w:footerReference w:type="default" r:id="rId10"/>
          <w:pgSz w:w="11907" w:h="16840" w:code="9"/>
          <w:pgMar w:top="1089" w:right="1089" w:bottom="284" w:left="1089" w:header="737" w:footer="284" w:gutter="0"/>
          <w:pgNumType w:start="1"/>
          <w:cols w:space="720"/>
          <w:docGrid w:linePitch="326"/>
        </w:sectPr>
      </w:pPr>
    </w:p>
    <w:p w14:paraId="0C21C5EE" w14:textId="77777777" w:rsidR="00FD396C" w:rsidRPr="006D3E70" w:rsidRDefault="00FD396C" w:rsidP="00FD396C">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80" w:after="0"/>
        <w:rPr>
          <w:bCs/>
          <w:sz w:val="24"/>
          <w:szCs w:val="24"/>
          <w:lang w:val="fr-FR"/>
        </w:rPr>
      </w:pPr>
      <w:bookmarkStart w:id="0" w:name="c2tope"/>
      <w:bookmarkEnd w:id="0"/>
      <w:r w:rsidRPr="006D3E70">
        <w:rPr>
          <w:bCs/>
          <w:sz w:val="24"/>
          <w:szCs w:val="24"/>
          <w:lang w:val="fr-FR"/>
        </w:rPr>
        <w:lastRenderedPageBreak/>
        <w:t>Avant-propos</w:t>
      </w:r>
    </w:p>
    <w:p w14:paraId="06B3026C" w14:textId="61AD2FFA" w:rsidR="00FD396C" w:rsidRPr="006D3E70" w:rsidRDefault="00FD396C" w:rsidP="00FD396C">
      <w:pPr>
        <w:spacing w:before="240"/>
        <w:rPr>
          <w:sz w:val="20"/>
          <w:lang w:val="fr-FR"/>
        </w:rPr>
      </w:pPr>
      <w:r w:rsidRPr="006D3E70">
        <w:rPr>
          <w:sz w:val="20"/>
          <w:lang w:val="fr-FR"/>
        </w:rPr>
        <w:t>Le rôle du Secteur des radiocommunications est d</w:t>
      </w:r>
      <w:r w:rsidR="00324C7C" w:rsidRPr="006D3E70">
        <w:rPr>
          <w:sz w:val="20"/>
          <w:lang w:val="fr-FR"/>
        </w:rPr>
        <w:t>'</w:t>
      </w:r>
      <w:r w:rsidRPr="006D3E70">
        <w:rPr>
          <w:sz w:val="20"/>
          <w:lang w:val="fr-FR"/>
        </w:rPr>
        <w:t>assurer l</w:t>
      </w:r>
      <w:r w:rsidR="00324C7C" w:rsidRPr="006D3E70">
        <w:rPr>
          <w:sz w:val="20"/>
          <w:lang w:val="fr-FR"/>
        </w:rPr>
        <w:t>'</w:t>
      </w:r>
      <w:r w:rsidRPr="006D3E70">
        <w:rPr>
          <w:sz w:val="20"/>
          <w:lang w:val="fr-FR"/>
        </w:rPr>
        <w:t>utilisation rationnelle, équitable, efficace et économique du spectre radioélectrique par tous les services de radiocommunication, y compris les services par satellite, et de procéder à des études pour toutes les gammes de fréquences, à partir desquelles les Recommandations seront élaborées et adoptées.</w:t>
      </w:r>
    </w:p>
    <w:p w14:paraId="1C709D3D" w14:textId="13810A7B" w:rsidR="00FD396C" w:rsidRPr="006D3E70" w:rsidRDefault="00FD396C" w:rsidP="00FD396C">
      <w:pPr>
        <w:rPr>
          <w:sz w:val="20"/>
          <w:lang w:val="fr-FR"/>
        </w:rPr>
      </w:pPr>
      <w:r w:rsidRPr="006D3E70">
        <w:rPr>
          <w:sz w:val="20"/>
          <w:lang w:val="fr-FR"/>
        </w:rPr>
        <w:t>Les fonctions réglementaires et politiques du Secteur des radiocommunications sont remplies par les Conférences mondiales et régionales des radiocommunications et par les Assemblées des radiocommunications assistées par les Commissions d</w:t>
      </w:r>
      <w:r w:rsidR="00324C7C" w:rsidRPr="006D3E70">
        <w:rPr>
          <w:sz w:val="20"/>
          <w:lang w:val="fr-FR"/>
        </w:rPr>
        <w:t>'</w:t>
      </w:r>
      <w:r w:rsidRPr="006D3E70">
        <w:rPr>
          <w:sz w:val="20"/>
          <w:lang w:val="fr-FR"/>
        </w:rPr>
        <w:t>études.</w:t>
      </w:r>
    </w:p>
    <w:p w14:paraId="274CE2E3" w14:textId="77777777" w:rsidR="00FD396C" w:rsidRPr="006D3E70" w:rsidRDefault="00FD396C" w:rsidP="00FD396C">
      <w:pPr>
        <w:pStyle w:val="Heading1"/>
        <w:spacing w:before="360"/>
        <w:jc w:val="center"/>
        <w:rPr>
          <w:szCs w:val="24"/>
          <w:lang w:val="fr-FR"/>
        </w:rPr>
      </w:pPr>
      <w:r w:rsidRPr="006D3E70">
        <w:rPr>
          <w:szCs w:val="24"/>
          <w:lang w:val="fr-FR"/>
        </w:rPr>
        <w:t>Politique en matière de droits de propriété intellectuelle (IPR)</w:t>
      </w:r>
    </w:p>
    <w:p w14:paraId="4BA8DB02" w14:textId="59FFD0C6" w:rsidR="00FD396C" w:rsidRPr="006D3E70" w:rsidRDefault="00FD396C" w:rsidP="00FD396C">
      <w:pPr>
        <w:spacing w:before="240"/>
        <w:rPr>
          <w:sz w:val="20"/>
          <w:lang w:val="fr-FR"/>
        </w:rPr>
      </w:pPr>
      <w:r w:rsidRPr="006D3E70">
        <w:rPr>
          <w:sz w:val="20"/>
          <w:lang w:val="fr-FR"/>
        </w:rPr>
        <w:t>La politique de l</w:t>
      </w:r>
      <w:r w:rsidR="00324C7C" w:rsidRPr="006D3E70">
        <w:rPr>
          <w:sz w:val="20"/>
          <w:lang w:val="fr-FR"/>
        </w:rPr>
        <w:t>'</w:t>
      </w:r>
      <w:r w:rsidRPr="006D3E70">
        <w:rPr>
          <w:sz w:val="20"/>
          <w:lang w:val="fr-FR"/>
        </w:rPr>
        <w:t>UIT</w:t>
      </w:r>
      <w:r w:rsidRPr="006D3E70">
        <w:rPr>
          <w:sz w:val="20"/>
          <w:lang w:val="fr-FR"/>
        </w:rPr>
        <w:noBreakHyphen/>
        <w:t>R en matière de droits de propriété intellectuelle est décrite dans la «Politique commune de l</w:t>
      </w:r>
      <w:r w:rsidR="00324C7C" w:rsidRPr="006D3E70">
        <w:rPr>
          <w:sz w:val="20"/>
          <w:lang w:val="fr-FR"/>
        </w:rPr>
        <w:t>'</w:t>
      </w:r>
      <w:r w:rsidRPr="006D3E70">
        <w:rPr>
          <w:sz w:val="20"/>
          <w:lang w:val="fr-FR"/>
        </w:rPr>
        <w:t>UIT</w:t>
      </w:r>
      <w:r w:rsidRPr="006D3E70">
        <w:rPr>
          <w:sz w:val="20"/>
          <w:lang w:val="fr-FR"/>
        </w:rPr>
        <w:noBreakHyphen/>
        <w:t>T, l</w:t>
      </w:r>
      <w:r w:rsidR="00324C7C" w:rsidRPr="006D3E70">
        <w:rPr>
          <w:sz w:val="20"/>
          <w:lang w:val="fr-FR"/>
        </w:rPr>
        <w:t>'</w:t>
      </w:r>
      <w:r w:rsidRPr="006D3E70">
        <w:rPr>
          <w:sz w:val="20"/>
          <w:lang w:val="fr-FR"/>
        </w:rPr>
        <w:t>UIT</w:t>
      </w:r>
      <w:r w:rsidRPr="006D3E70">
        <w:rPr>
          <w:sz w:val="20"/>
          <w:lang w:val="fr-FR"/>
        </w:rPr>
        <w:noBreakHyphen/>
        <w:t>R, l</w:t>
      </w:r>
      <w:r w:rsidR="00324C7C" w:rsidRPr="006D3E70">
        <w:rPr>
          <w:sz w:val="20"/>
          <w:lang w:val="fr-FR"/>
        </w:rPr>
        <w:t>'</w:t>
      </w:r>
      <w:r w:rsidRPr="006D3E70">
        <w:rPr>
          <w:sz w:val="20"/>
          <w:lang w:val="fr-FR"/>
        </w:rPr>
        <w:t>ISO et la CEI en matière de brevets», dont il est question dans la Résolution UIT-R 1. Les formulaires que les titulaires de brevets doivent utiliser pour soumettre les déclarations de brevet et d</w:t>
      </w:r>
      <w:r w:rsidR="00324C7C" w:rsidRPr="006D3E70">
        <w:rPr>
          <w:sz w:val="20"/>
          <w:lang w:val="fr-FR"/>
        </w:rPr>
        <w:t>'</w:t>
      </w:r>
      <w:r w:rsidRPr="006D3E70">
        <w:rPr>
          <w:sz w:val="20"/>
          <w:lang w:val="fr-FR"/>
        </w:rPr>
        <w:t>octroi de licence sont accessibles à l</w:t>
      </w:r>
      <w:r w:rsidR="00324C7C" w:rsidRPr="006D3E70">
        <w:rPr>
          <w:sz w:val="20"/>
          <w:lang w:val="fr-FR"/>
        </w:rPr>
        <w:t>'</w:t>
      </w:r>
      <w:r w:rsidRPr="006D3E70">
        <w:rPr>
          <w:sz w:val="20"/>
          <w:lang w:val="fr-FR"/>
        </w:rPr>
        <w:t xml:space="preserve">adresse </w:t>
      </w:r>
      <w:hyperlink r:id="rId11" w:history="1">
        <w:r w:rsidRPr="006D3E70">
          <w:rPr>
            <w:rStyle w:val="Hyperlink"/>
            <w:sz w:val="20"/>
            <w:lang w:val="fr-FR"/>
          </w:rPr>
          <w:t>http://www.itu.int/ITU-R/go/patents/fr</w:t>
        </w:r>
      </w:hyperlink>
      <w:r w:rsidRPr="006D3E70">
        <w:rPr>
          <w:sz w:val="20"/>
          <w:lang w:val="fr-FR"/>
        </w:rPr>
        <w:t>, où l</w:t>
      </w:r>
      <w:r w:rsidR="00324C7C" w:rsidRPr="006D3E70">
        <w:rPr>
          <w:sz w:val="20"/>
          <w:lang w:val="fr-FR"/>
        </w:rPr>
        <w:t>'</w:t>
      </w:r>
      <w:r w:rsidRPr="006D3E70">
        <w:rPr>
          <w:sz w:val="20"/>
          <w:lang w:val="fr-FR"/>
        </w:rPr>
        <w:t xml:space="preserve">on trouvera également les Lignes directrices pour la mise en </w:t>
      </w:r>
      <w:r w:rsidR="009522C2" w:rsidRPr="006D3E70">
        <w:rPr>
          <w:sz w:val="20"/>
          <w:lang w:val="fr-FR"/>
        </w:rPr>
        <w:t>œuvre</w:t>
      </w:r>
      <w:r w:rsidRPr="006D3E70">
        <w:rPr>
          <w:sz w:val="20"/>
          <w:lang w:val="fr-FR"/>
        </w:rPr>
        <w:t xml:space="preserve"> de la politique commune en matière de brevets de l</w:t>
      </w:r>
      <w:r w:rsidR="00324C7C" w:rsidRPr="006D3E70">
        <w:rPr>
          <w:sz w:val="20"/>
          <w:lang w:val="fr-FR"/>
        </w:rPr>
        <w:t>'</w:t>
      </w:r>
      <w:r w:rsidRPr="006D3E70">
        <w:rPr>
          <w:sz w:val="20"/>
          <w:lang w:val="fr-FR"/>
        </w:rPr>
        <w:t>UIT</w:t>
      </w:r>
      <w:r w:rsidRPr="006D3E70">
        <w:rPr>
          <w:sz w:val="20"/>
          <w:lang w:val="fr-FR"/>
        </w:rPr>
        <w:noBreakHyphen/>
        <w:t>T, l</w:t>
      </w:r>
      <w:r w:rsidR="00324C7C" w:rsidRPr="006D3E70">
        <w:rPr>
          <w:sz w:val="20"/>
          <w:lang w:val="fr-FR"/>
        </w:rPr>
        <w:t>'</w:t>
      </w:r>
      <w:r w:rsidRPr="006D3E70">
        <w:rPr>
          <w:sz w:val="20"/>
          <w:lang w:val="fr-FR"/>
        </w:rPr>
        <w:t>UIT</w:t>
      </w:r>
      <w:r w:rsidRPr="006D3E70">
        <w:rPr>
          <w:sz w:val="20"/>
          <w:lang w:val="fr-FR"/>
        </w:rPr>
        <w:noBreakHyphen/>
        <w:t>R, l</w:t>
      </w:r>
      <w:r w:rsidR="00324C7C" w:rsidRPr="006D3E70">
        <w:rPr>
          <w:sz w:val="20"/>
          <w:lang w:val="fr-FR"/>
        </w:rPr>
        <w:t>'</w:t>
      </w:r>
      <w:r w:rsidRPr="006D3E70">
        <w:rPr>
          <w:sz w:val="20"/>
          <w:lang w:val="fr-FR"/>
        </w:rPr>
        <w:t>ISO et la CEI</w:t>
      </w:r>
      <w:r w:rsidRPr="006D3E70" w:rsidDel="0061025C">
        <w:rPr>
          <w:sz w:val="20"/>
          <w:lang w:val="fr-FR"/>
        </w:rPr>
        <w:t xml:space="preserve"> </w:t>
      </w:r>
      <w:r w:rsidRPr="006D3E70">
        <w:rPr>
          <w:sz w:val="20"/>
          <w:lang w:val="fr-FR"/>
        </w:rPr>
        <w:t>et la base de données en matière de brevets de l</w:t>
      </w:r>
      <w:r w:rsidR="00324C7C" w:rsidRPr="006D3E70">
        <w:rPr>
          <w:sz w:val="20"/>
          <w:lang w:val="fr-FR"/>
        </w:rPr>
        <w:t>'</w:t>
      </w:r>
      <w:r w:rsidRPr="006D3E70">
        <w:rPr>
          <w:sz w:val="20"/>
          <w:lang w:val="fr-FR"/>
        </w:rPr>
        <w:t>UIT-R.</w:t>
      </w:r>
    </w:p>
    <w:p w14:paraId="27E6AC93" w14:textId="77777777" w:rsidR="00FD396C" w:rsidRPr="006D3E70" w:rsidRDefault="00FD396C" w:rsidP="00FD396C">
      <w:pPr>
        <w:spacing w:before="240"/>
        <w:jc w:val="center"/>
        <w:rPr>
          <w:sz w:val="22"/>
          <w:lang w:val="fr-FR"/>
        </w:rPr>
      </w:pPr>
    </w:p>
    <w:tbl>
      <w:tblPr>
        <w:tblW w:w="5000" w:type="pct"/>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1170"/>
        <w:gridCol w:w="8439"/>
      </w:tblGrid>
      <w:tr w:rsidR="00FD396C" w:rsidRPr="006D3E70" w14:paraId="4245771A" w14:textId="77777777" w:rsidTr="009B33DD">
        <w:tc>
          <w:tcPr>
            <w:tcW w:w="9360" w:type="dxa"/>
            <w:gridSpan w:val="2"/>
          </w:tcPr>
          <w:p w14:paraId="57775CDE" w14:textId="77777777" w:rsidR="00FD396C" w:rsidRPr="006D3E70" w:rsidRDefault="00FD396C" w:rsidP="009B33DD">
            <w:pPr>
              <w:pStyle w:val="Chaptitle"/>
              <w:keepLines w:val="0"/>
              <w:tabs>
                <w:tab w:val="clear" w:pos="794"/>
                <w:tab w:val="clear" w:pos="1191"/>
                <w:tab w:val="clear" w:pos="1588"/>
                <w:tab w:val="clear" w:pos="1985"/>
              </w:tabs>
              <w:overflowPunct/>
              <w:spacing w:before="140"/>
              <w:textAlignment w:val="auto"/>
              <w:rPr>
                <w:sz w:val="22"/>
                <w:szCs w:val="22"/>
                <w:lang w:val="fr-FR"/>
              </w:rPr>
            </w:pPr>
            <w:r w:rsidRPr="006D3E70">
              <w:rPr>
                <w:sz w:val="22"/>
                <w:szCs w:val="22"/>
                <w:lang w:val="fr-FR"/>
              </w:rPr>
              <w:t xml:space="preserve">Séries des Recommandations UIT-R </w:t>
            </w:r>
          </w:p>
          <w:p w14:paraId="193285D8" w14:textId="5604C00D" w:rsidR="00FD396C" w:rsidRPr="006D3E70" w:rsidRDefault="00FD396C" w:rsidP="009B33D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60"/>
              <w:rPr>
                <w:bCs/>
                <w:sz w:val="18"/>
                <w:szCs w:val="18"/>
                <w:lang w:val="fr-FR"/>
              </w:rPr>
            </w:pPr>
            <w:r w:rsidRPr="006D3E70">
              <w:rPr>
                <w:b w:val="0"/>
                <w:sz w:val="18"/>
                <w:szCs w:val="18"/>
                <w:lang w:val="fr-FR"/>
              </w:rPr>
              <w:t>(</w:t>
            </w:r>
            <w:r w:rsidR="009522C2" w:rsidRPr="006D3E70">
              <w:rPr>
                <w:b w:val="0"/>
                <w:sz w:val="18"/>
                <w:szCs w:val="18"/>
                <w:lang w:val="fr-FR"/>
              </w:rPr>
              <w:t>Également</w:t>
            </w:r>
            <w:r w:rsidRPr="006D3E70">
              <w:rPr>
                <w:b w:val="0"/>
                <w:sz w:val="18"/>
                <w:szCs w:val="18"/>
                <w:lang w:val="fr-FR"/>
              </w:rPr>
              <w:t xml:space="preserve"> disponible en ligne: </w:t>
            </w:r>
            <w:hyperlink r:id="rId12" w:history="1">
              <w:r w:rsidRPr="006D3E70">
                <w:rPr>
                  <w:rStyle w:val="Hyperlink"/>
                  <w:b w:val="0"/>
                  <w:bCs/>
                  <w:sz w:val="18"/>
                  <w:szCs w:val="18"/>
                  <w:lang w:val="fr-FR"/>
                </w:rPr>
                <w:t>https://www.itu.int/publ/R-REC/fr</w:t>
              </w:r>
            </w:hyperlink>
            <w:r w:rsidRPr="006D3E70">
              <w:rPr>
                <w:b w:val="0"/>
                <w:bCs/>
                <w:sz w:val="18"/>
                <w:szCs w:val="18"/>
                <w:lang w:val="fr-FR"/>
              </w:rPr>
              <w:t>)</w:t>
            </w:r>
          </w:p>
        </w:tc>
      </w:tr>
      <w:tr w:rsidR="00FD396C" w:rsidRPr="006D3E70" w14:paraId="337B8106" w14:textId="77777777" w:rsidTr="009B33DD">
        <w:tc>
          <w:tcPr>
            <w:tcW w:w="1140" w:type="dxa"/>
            <w:tcBorders>
              <w:bottom w:val="nil"/>
            </w:tcBorders>
          </w:tcPr>
          <w:p w14:paraId="7DF6ECCB" w14:textId="77777777" w:rsidR="00FD396C" w:rsidRPr="006D3E70" w:rsidRDefault="00FD396C" w:rsidP="009B33DD">
            <w:pPr>
              <w:spacing w:before="90" w:after="100"/>
              <w:ind w:left="57"/>
              <w:rPr>
                <w:b/>
                <w:bCs/>
                <w:sz w:val="20"/>
                <w:lang w:val="fr-FR"/>
              </w:rPr>
            </w:pPr>
            <w:r w:rsidRPr="006D3E70">
              <w:rPr>
                <w:b/>
                <w:bCs/>
                <w:sz w:val="20"/>
                <w:lang w:val="fr-FR"/>
              </w:rPr>
              <w:t>Séries</w:t>
            </w:r>
          </w:p>
        </w:tc>
        <w:tc>
          <w:tcPr>
            <w:tcW w:w="8220" w:type="dxa"/>
            <w:tcBorders>
              <w:bottom w:val="nil"/>
            </w:tcBorders>
          </w:tcPr>
          <w:p w14:paraId="04E72B79" w14:textId="77777777" w:rsidR="00FD396C" w:rsidRPr="006D3E70" w:rsidRDefault="00FD396C" w:rsidP="009B33D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90" w:after="100"/>
              <w:rPr>
                <w:bCs/>
                <w:sz w:val="20"/>
                <w:lang w:val="fr-FR"/>
              </w:rPr>
            </w:pPr>
            <w:r w:rsidRPr="006D3E70">
              <w:rPr>
                <w:bCs/>
                <w:sz w:val="20"/>
                <w:lang w:val="fr-FR"/>
              </w:rPr>
              <w:t>Titre</w:t>
            </w:r>
          </w:p>
        </w:tc>
      </w:tr>
      <w:tr w:rsidR="00FD396C" w:rsidRPr="006D3E70" w14:paraId="201EDBD6" w14:textId="77777777" w:rsidTr="009B33DD">
        <w:tc>
          <w:tcPr>
            <w:tcW w:w="1140" w:type="dxa"/>
            <w:tcBorders>
              <w:top w:val="nil"/>
              <w:bottom w:val="nil"/>
            </w:tcBorders>
            <w:shd w:val="clear" w:color="auto" w:fill="auto"/>
          </w:tcPr>
          <w:p w14:paraId="24118245" w14:textId="77777777" w:rsidR="00FD396C" w:rsidRPr="006D3E70" w:rsidRDefault="00FD396C" w:rsidP="009B33DD">
            <w:pPr>
              <w:spacing w:before="30" w:after="30"/>
              <w:ind w:left="57"/>
              <w:jc w:val="left"/>
              <w:rPr>
                <w:rFonts w:ascii="Times New Roman Bold" w:hAnsi="Times New Roman Bold"/>
                <w:b/>
                <w:bCs/>
                <w:sz w:val="20"/>
                <w:lang w:val="fr-FR"/>
              </w:rPr>
            </w:pPr>
            <w:r w:rsidRPr="006D3E70">
              <w:rPr>
                <w:rFonts w:ascii="Times New Roman Bold" w:hAnsi="Times New Roman Bold"/>
                <w:b/>
                <w:bCs/>
                <w:sz w:val="20"/>
                <w:lang w:val="fr-FR"/>
              </w:rPr>
              <w:t>BO</w:t>
            </w:r>
          </w:p>
        </w:tc>
        <w:tc>
          <w:tcPr>
            <w:tcW w:w="8220" w:type="dxa"/>
            <w:tcBorders>
              <w:top w:val="nil"/>
              <w:bottom w:val="nil"/>
            </w:tcBorders>
            <w:shd w:val="clear" w:color="auto" w:fill="auto"/>
          </w:tcPr>
          <w:p w14:paraId="4EBF68A8" w14:textId="77777777" w:rsidR="00FD396C" w:rsidRPr="006D3E70" w:rsidRDefault="00FD396C" w:rsidP="009B33D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6D3E70">
              <w:rPr>
                <w:b w:val="0"/>
                <w:sz w:val="20"/>
                <w:lang w:val="fr-FR"/>
              </w:rPr>
              <w:t>Diffusion par satellite</w:t>
            </w:r>
          </w:p>
        </w:tc>
      </w:tr>
      <w:tr w:rsidR="00FD396C" w:rsidRPr="006D3E70" w14:paraId="38C4B109" w14:textId="77777777" w:rsidTr="009B33DD">
        <w:tc>
          <w:tcPr>
            <w:tcW w:w="1140" w:type="dxa"/>
            <w:tcBorders>
              <w:top w:val="nil"/>
              <w:bottom w:val="nil"/>
            </w:tcBorders>
          </w:tcPr>
          <w:p w14:paraId="5AE45C4F" w14:textId="77777777" w:rsidR="00FD396C" w:rsidRPr="006D3E70" w:rsidRDefault="00FD396C" w:rsidP="009B33DD">
            <w:pPr>
              <w:spacing w:before="30" w:after="30"/>
              <w:ind w:left="57"/>
              <w:jc w:val="left"/>
              <w:rPr>
                <w:rFonts w:ascii="Times New Roman Bold" w:hAnsi="Times New Roman Bold"/>
                <w:b/>
                <w:bCs/>
                <w:sz w:val="20"/>
                <w:lang w:val="fr-FR"/>
              </w:rPr>
            </w:pPr>
            <w:r w:rsidRPr="006D3E70">
              <w:rPr>
                <w:rFonts w:ascii="Times New Roman Bold" w:hAnsi="Times New Roman Bold"/>
                <w:b/>
                <w:bCs/>
                <w:sz w:val="20"/>
                <w:lang w:val="fr-FR"/>
              </w:rPr>
              <w:t>BR</w:t>
            </w:r>
          </w:p>
        </w:tc>
        <w:tc>
          <w:tcPr>
            <w:tcW w:w="8220" w:type="dxa"/>
            <w:tcBorders>
              <w:top w:val="nil"/>
              <w:bottom w:val="nil"/>
            </w:tcBorders>
          </w:tcPr>
          <w:p w14:paraId="05B62C0D" w14:textId="7F68FC60" w:rsidR="00FD396C" w:rsidRPr="006D3E70" w:rsidRDefault="00FD396C" w:rsidP="009B33D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6D3E70">
              <w:rPr>
                <w:b w:val="0"/>
                <w:sz w:val="20"/>
                <w:lang w:val="fr-FR"/>
              </w:rPr>
              <w:t>Enregistrement pour la production, l</w:t>
            </w:r>
            <w:r w:rsidR="00324C7C" w:rsidRPr="006D3E70">
              <w:rPr>
                <w:b w:val="0"/>
                <w:sz w:val="20"/>
                <w:lang w:val="fr-FR"/>
              </w:rPr>
              <w:t>'</w:t>
            </w:r>
            <w:r w:rsidRPr="006D3E70">
              <w:rPr>
                <w:b w:val="0"/>
                <w:sz w:val="20"/>
                <w:lang w:val="fr-FR"/>
              </w:rPr>
              <w:t>archivage et la diffusion; films pour la télévision</w:t>
            </w:r>
          </w:p>
        </w:tc>
      </w:tr>
      <w:tr w:rsidR="00FD396C" w:rsidRPr="006D3E70" w14:paraId="31CB46D2" w14:textId="77777777" w:rsidTr="009B33DD">
        <w:tc>
          <w:tcPr>
            <w:tcW w:w="1140" w:type="dxa"/>
            <w:tcBorders>
              <w:top w:val="nil"/>
              <w:bottom w:val="nil"/>
            </w:tcBorders>
            <w:shd w:val="clear" w:color="auto" w:fill="auto"/>
          </w:tcPr>
          <w:p w14:paraId="6CC87697" w14:textId="77777777" w:rsidR="00FD396C" w:rsidRPr="006D3E70" w:rsidRDefault="00FD396C" w:rsidP="009B33DD">
            <w:pPr>
              <w:spacing w:before="30" w:after="30"/>
              <w:ind w:left="57"/>
              <w:jc w:val="left"/>
              <w:rPr>
                <w:b/>
                <w:bCs/>
                <w:sz w:val="20"/>
                <w:lang w:val="fr-FR"/>
              </w:rPr>
            </w:pPr>
            <w:r w:rsidRPr="006D3E70">
              <w:rPr>
                <w:b/>
                <w:bCs/>
                <w:sz w:val="20"/>
                <w:lang w:val="fr-FR"/>
              </w:rPr>
              <w:t>BS</w:t>
            </w:r>
          </w:p>
        </w:tc>
        <w:tc>
          <w:tcPr>
            <w:tcW w:w="8220" w:type="dxa"/>
            <w:tcBorders>
              <w:top w:val="nil"/>
              <w:bottom w:val="nil"/>
            </w:tcBorders>
            <w:shd w:val="clear" w:color="auto" w:fill="auto"/>
          </w:tcPr>
          <w:p w14:paraId="617A7444" w14:textId="77777777" w:rsidR="00FD396C" w:rsidRPr="006D3E70" w:rsidRDefault="00FD396C" w:rsidP="009B33D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6D3E70">
              <w:rPr>
                <w:b w:val="0"/>
                <w:sz w:val="20"/>
                <w:lang w:val="fr-FR"/>
              </w:rPr>
              <w:t>Service de radiodiffusion sonore</w:t>
            </w:r>
          </w:p>
        </w:tc>
      </w:tr>
      <w:tr w:rsidR="00FD396C" w:rsidRPr="006D3E70" w14:paraId="18A83E04" w14:textId="77777777" w:rsidTr="009B33DD">
        <w:tc>
          <w:tcPr>
            <w:tcW w:w="1140" w:type="dxa"/>
            <w:tcBorders>
              <w:top w:val="nil"/>
              <w:bottom w:val="nil"/>
            </w:tcBorders>
            <w:shd w:val="clear" w:color="auto" w:fill="auto"/>
          </w:tcPr>
          <w:p w14:paraId="5E68B244" w14:textId="77777777" w:rsidR="00FD396C" w:rsidRPr="006D3E70" w:rsidRDefault="00FD396C" w:rsidP="009B33DD">
            <w:pPr>
              <w:spacing w:before="30" w:after="30"/>
              <w:ind w:left="57"/>
              <w:jc w:val="left"/>
              <w:rPr>
                <w:b/>
                <w:bCs/>
                <w:sz w:val="20"/>
                <w:lang w:val="fr-FR"/>
              </w:rPr>
            </w:pPr>
            <w:r w:rsidRPr="006D3E70">
              <w:rPr>
                <w:b/>
                <w:bCs/>
                <w:sz w:val="20"/>
                <w:lang w:val="fr-FR"/>
              </w:rPr>
              <w:t>BT</w:t>
            </w:r>
          </w:p>
        </w:tc>
        <w:tc>
          <w:tcPr>
            <w:tcW w:w="8220" w:type="dxa"/>
            <w:tcBorders>
              <w:top w:val="nil"/>
              <w:bottom w:val="nil"/>
            </w:tcBorders>
            <w:shd w:val="clear" w:color="auto" w:fill="auto"/>
          </w:tcPr>
          <w:p w14:paraId="718BBB95" w14:textId="77777777" w:rsidR="00FD396C" w:rsidRPr="006D3E70" w:rsidRDefault="00FD396C" w:rsidP="009B33D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6D3E70">
              <w:rPr>
                <w:b w:val="0"/>
                <w:sz w:val="20"/>
                <w:lang w:val="fr-FR"/>
              </w:rPr>
              <w:t>Service de radiodiffusion télévisuelle</w:t>
            </w:r>
          </w:p>
        </w:tc>
      </w:tr>
      <w:tr w:rsidR="00FD396C" w:rsidRPr="006D3E70" w14:paraId="56F5B5DD" w14:textId="77777777" w:rsidTr="009B33DD">
        <w:tc>
          <w:tcPr>
            <w:tcW w:w="1140" w:type="dxa"/>
            <w:tcBorders>
              <w:top w:val="nil"/>
              <w:bottom w:val="nil"/>
            </w:tcBorders>
            <w:shd w:val="clear" w:color="auto" w:fill="FFFFFF" w:themeFill="background1"/>
          </w:tcPr>
          <w:p w14:paraId="095FCEBD" w14:textId="77777777" w:rsidR="00FD396C" w:rsidRPr="006D3E70" w:rsidRDefault="00FD396C" w:rsidP="009B33DD">
            <w:pPr>
              <w:spacing w:before="30" w:after="30"/>
              <w:ind w:left="57"/>
              <w:jc w:val="left"/>
              <w:rPr>
                <w:rFonts w:ascii="Times New Roman Bold" w:hAnsi="Times New Roman Bold"/>
                <w:b/>
                <w:bCs/>
                <w:sz w:val="20"/>
                <w:lang w:val="fr-FR"/>
              </w:rPr>
            </w:pPr>
            <w:r w:rsidRPr="006D3E70">
              <w:rPr>
                <w:rFonts w:ascii="Times New Roman Bold" w:hAnsi="Times New Roman Bold"/>
                <w:b/>
                <w:bCs/>
                <w:sz w:val="20"/>
                <w:lang w:val="fr-FR"/>
              </w:rPr>
              <w:t>F</w:t>
            </w:r>
          </w:p>
        </w:tc>
        <w:tc>
          <w:tcPr>
            <w:tcW w:w="8220" w:type="dxa"/>
            <w:tcBorders>
              <w:top w:val="nil"/>
              <w:bottom w:val="nil"/>
            </w:tcBorders>
            <w:shd w:val="clear" w:color="auto" w:fill="FFFFFF" w:themeFill="background1"/>
          </w:tcPr>
          <w:p w14:paraId="3B8ACD60" w14:textId="77777777" w:rsidR="00FD396C" w:rsidRPr="006D3E70" w:rsidRDefault="00FD396C" w:rsidP="009B33D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6D3E70">
              <w:rPr>
                <w:b w:val="0"/>
                <w:sz w:val="20"/>
                <w:lang w:val="fr-FR"/>
              </w:rPr>
              <w:t>Service fixe</w:t>
            </w:r>
          </w:p>
        </w:tc>
      </w:tr>
      <w:tr w:rsidR="00FD396C" w:rsidRPr="006D3E70" w14:paraId="5F5E6094" w14:textId="77777777" w:rsidTr="009B33DD">
        <w:tc>
          <w:tcPr>
            <w:tcW w:w="1140" w:type="dxa"/>
            <w:tcBorders>
              <w:top w:val="nil"/>
              <w:bottom w:val="nil"/>
            </w:tcBorders>
            <w:shd w:val="clear" w:color="auto" w:fill="FFFFFF" w:themeFill="background1"/>
          </w:tcPr>
          <w:p w14:paraId="2B4EBEE5" w14:textId="77777777" w:rsidR="00FD396C" w:rsidRPr="006D3E70" w:rsidRDefault="00FD396C" w:rsidP="009B33DD">
            <w:pPr>
              <w:spacing w:before="30" w:after="30"/>
              <w:ind w:left="57"/>
              <w:jc w:val="left"/>
              <w:rPr>
                <w:b/>
                <w:bCs/>
                <w:sz w:val="20"/>
                <w:lang w:val="fr-FR"/>
              </w:rPr>
            </w:pPr>
            <w:r w:rsidRPr="006D3E70">
              <w:rPr>
                <w:b/>
                <w:bCs/>
                <w:sz w:val="20"/>
                <w:lang w:val="fr-FR"/>
              </w:rPr>
              <w:t>M</w:t>
            </w:r>
          </w:p>
        </w:tc>
        <w:tc>
          <w:tcPr>
            <w:tcW w:w="8220" w:type="dxa"/>
            <w:tcBorders>
              <w:top w:val="nil"/>
              <w:bottom w:val="nil"/>
            </w:tcBorders>
            <w:shd w:val="clear" w:color="auto" w:fill="FFFFFF" w:themeFill="background1"/>
          </w:tcPr>
          <w:p w14:paraId="06FE2858" w14:textId="10E18A0A" w:rsidR="00FD396C" w:rsidRPr="006D3E70" w:rsidRDefault="00FD396C" w:rsidP="009B33D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6D3E70">
              <w:rPr>
                <w:b w:val="0"/>
                <w:sz w:val="20"/>
                <w:lang w:val="fr-FR"/>
              </w:rPr>
              <w:t>Services mobile, de radiorepérage et d</w:t>
            </w:r>
            <w:r w:rsidR="00324C7C" w:rsidRPr="006D3E70">
              <w:rPr>
                <w:b w:val="0"/>
                <w:sz w:val="20"/>
                <w:lang w:val="fr-FR"/>
              </w:rPr>
              <w:t>'</w:t>
            </w:r>
            <w:r w:rsidRPr="006D3E70">
              <w:rPr>
                <w:b w:val="0"/>
                <w:sz w:val="20"/>
                <w:lang w:val="fr-FR"/>
              </w:rPr>
              <w:t>amateur y compris les services par satellite associés</w:t>
            </w:r>
          </w:p>
        </w:tc>
      </w:tr>
      <w:tr w:rsidR="00FD396C" w:rsidRPr="006D3E70" w14:paraId="7FB2F76C" w14:textId="77777777" w:rsidTr="009B33DD">
        <w:tc>
          <w:tcPr>
            <w:tcW w:w="1140" w:type="dxa"/>
            <w:tcBorders>
              <w:top w:val="nil"/>
              <w:bottom w:val="nil"/>
            </w:tcBorders>
            <w:shd w:val="clear" w:color="auto" w:fill="FFFFFF" w:themeFill="background1"/>
          </w:tcPr>
          <w:p w14:paraId="42ABF8D7" w14:textId="77777777" w:rsidR="00FD396C" w:rsidRPr="006D3E70" w:rsidRDefault="00FD396C" w:rsidP="009B33DD">
            <w:pPr>
              <w:spacing w:before="30" w:after="30"/>
              <w:ind w:left="57"/>
              <w:jc w:val="left"/>
              <w:rPr>
                <w:rFonts w:ascii="Times New Roman Bold" w:hAnsi="Times New Roman Bold"/>
                <w:b/>
                <w:bCs/>
                <w:sz w:val="20"/>
                <w:lang w:val="fr-FR"/>
              </w:rPr>
            </w:pPr>
            <w:r w:rsidRPr="006D3E70">
              <w:rPr>
                <w:rFonts w:ascii="Times New Roman Bold" w:hAnsi="Times New Roman Bold"/>
                <w:b/>
                <w:bCs/>
                <w:sz w:val="20"/>
                <w:lang w:val="fr-FR"/>
              </w:rPr>
              <w:t>P</w:t>
            </w:r>
          </w:p>
        </w:tc>
        <w:tc>
          <w:tcPr>
            <w:tcW w:w="8220" w:type="dxa"/>
            <w:tcBorders>
              <w:top w:val="nil"/>
              <w:bottom w:val="nil"/>
            </w:tcBorders>
            <w:shd w:val="clear" w:color="auto" w:fill="FFFFFF" w:themeFill="background1"/>
          </w:tcPr>
          <w:p w14:paraId="5A76193C" w14:textId="77777777" w:rsidR="00FD396C" w:rsidRPr="006D3E70" w:rsidRDefault="00FD396C" w:rsidP="009B33D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6D3E70">
              <w:rPr>
                <w:b w:val="0"/>
                <w:sz w:val="20"/>
                <w:lang w:val="fr-FR"/>
              </w:rPr>
              <w:t>Propagation des ondes radioélectriques</w:t>
            </w:r>
          </w:p>
        </w:tc>
      </w:tr>
      <w:tr w:rsidR="00FD396C" w:rsidRPr="006D3E70" w14:paraId="26D70FBA" w14:textId="77777777" w:rsidTr="009B33DD">
        <w:tc>
          <w:tcPr>
            <w:tcW w:w="1140" w:type="dxa"/>
            <w:tcBorders>
              <w:top w:val="nil"/>
              <w:bottom w:val="nil"/>
            </w:tcBorders>
            <w:shd w:val="clear" w:color="auto" w:fill="FFFFFF" w:themeFill="background1"/>
          </w:tcPr>
          <w:p w14:paraId="0FCAE844" w14:textId="77777777" w:rsidR="00FD396C" w:rsidRPr="006D3E70" w:rsidRDefault="00FD396C" w:rsidP="009B33DD">
            <w:pPr>
              <w:spacing w:before="30" w:after="30"/>
              <w:ind w:left="57"/>
              <w:jc w:val="left"/>
              <w:rPr>
                <w:rFonts w:ascii="Times New Roman Bold" w:hAnsi="Times New Roman Bold"/>
                <w:b/>
                <w:bCs/>
                <w:sz w:val="20"/>
                <w:lang w:val="fr-FR"/>
              </w:rPr>
            </w:pPr>
            <w:r w:rsidRPr="006D3E70">
              <w:rPr>
                <w:rFonts w:ascii="Times New Roman Bold" w:hAnsi="Times New Roman Bold"/>
                <w:b/>
                <w:bCs/>
                <w:sz w:val="20"/>
                <w:lang w:val="fr-FR"/>
              </w:rPr>
              <w:t>RA</w:t>
            </w:r>
          </w:p>
        </w:tc>
        <w:tc>
          <w:tcPr>
            <w:tcW w:w="8220" w:type="dxa"/>
            <w:tcBorders>
              <w:top w:val="nil"/>
              <w:bottom w:val="nil"/>
            </w:tcBorders>
            <w:shd w:val="clear" w:color="auto" w:fill="FFFFFF" w:themeFill="background1"/>
          </w:tcPr>
          <w:p w14:paraId="763D4042" w14:textId="77777777" w:rsidR="00FD396C" w:rsidRPr="006D3E70" w:rsidRDefault="00FD396C" w:rsidP="009B33D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6D3E70">
              <w:rPr>
                <w:b w:val="0"/>
                <w:sz w:val="20"/>
                <w:lang w:val="fr-FR"/>
              </w:rPr>
              <w:t>Radio astronomie</w:t>
            </w:r>
          </w:p>
        </w:tc>
      </w:tr>
      <w:tr w:rsidR="00FD396C" w:rsidRPr="006D3E70" w14:paraId="7EBA2CEC" w14:textId="77777777" w:rsidTr="009B33DD">
        <w:tc>
          <w:tcPr>
            <w:tcW w:w="1140" w:type="dxa"/>
            <w:tcBorders>
              <w:top w:val="nil"/>
              <w:bottom w:val="nil"/>
            </w:tcBorders>
            <w:shd w:val="clear" w:color="auto" w:fill="FFFFFF" w:themeFill="background1"/>
          </w:tcPr>
          <w:p w14:paraId="23830DD7" w14:textId="77777777" w:rsidR="00FD396C" w:rsidRPr="006D3E70" w:rsidRDefault="00FD396C" w:rsidP="009B33DD">
            <w:pPr>
              <w:spacing w:before="30" w:after="30"/>
              <w:ind w:left="57"/>
              <w:jc w:val="left"/>
              <w:rPr>
                <w:rFonts w:ascii="Times New Roman Bold" w:hAnsi="Times New Roman Bold"/>
                <w:b/>
                <w:bCs/>
                <w:sz w:val="20"/>
                <w:lang w:val="fr-FR"/>
              </w:rPr>
            </w:pPr>
            <w:r w:rsidRPr="006D3E70">
              <w:rPr>
                <w:rFonts w:ascii="Times New Roman Bold" w:hAnsi="Times New Roman Bold"/>
                <w:b/>
                <w:bCs/>
                <w:sz w:val="20"/>
                <w:lang w:val="fr-FR"/>
              </w:rPr>
              <w:t>RS</w:t>
            </w:r>
          </w:p>
        </w:tc>
        <w:tc>
          <w:tcPr>
            <w:tcW w:w="8220" w:type="dxa"/>
            <w:tcBorders>
              <w:top w:val="nil"/>
              <w:bottom w:val="nil"/>
            </w:tcBorders>
            <w:shd w:val="clear" w:color="auto" w:fill="FFFFFF" w:themeFill="background1"/>
          </w:tcPr>
          <w:p w14:paraId="75B6BE94" w14:textId="77777777" w:rsidR="00FD396C" w:rsidRPr="006D3E70" w:rsidRDefault="00FD396C" w:rsidP="009B33D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6D3E70">
              <w:rPr>
                <w:b w:val="0"/>
                <w:sz w:val="20"/>
                <w:lang w:val="fr-FR"/>
              </w:rPr>
              <w:t>Systèmes de télédétection</w:t>
            </w:r>
          </w:p>
        </w:tc>
      </w:tr>
      <w:tr w:rsidR="00FD396C" w:rsidRPr="006D3E70" w14:paraId="7615D624" w14:textId="77777777" w:rsidTr="009B33DD">
        <w:tc>
          <w:tcPr>
            <w:tcW w:w="1140" w:type="dxa"/>
            <w:tcBorders>
              <w:top w:val="nil"/>
              <w:bottom w:val="nil"/>
            </w:tcBorders>
            <w:shd w:val="clear" w:color="auto" w:fill="FFFFFF" w:themeFill="background1"/>
          </w:tcPr>
          <w:p w14:paraId="475A4EFF" w14:textId="77777777" w:rsidR="00FD396C" w:rsidRPr="006D3E70" w:rsidRDefault="00FD396C" w:rsidP="009B33DD">
            <w:pPr>
              <w:spacing w:before="30" w:after="30"/>
              <w:ind w:left="57"/>
              <w:jc w:val="left"/>
              <w:rPr>
                <w:rFonts w:ascii="Times New Roman Bold" w:hAnsi="Times New Roman Bold"/>
                <w:b/>
                <w:bCs/>
                <w:sz w:val="20"/>
                <w:lang w:val="fr-FR"/>
              </w:rPr>
            </w:pPr>
            <w:r w:rsidRPr="006D3E70">
              <w:rPr>
                <w:rFonts w:ascii="Times New Roman Bold" w:hAnsi="Times New Roman Bold"/>
                <w:b/>
                <w:bCs/>
                <w:sz w:val="20"/>
                <w:lang w:val="fr-FR"/>
              </w:rPr>
              <w:t>S</w:t>
            </w:r>
          </w:p>
        </w:tc>
        <w:tc>
          <w:tcPr>
            <w:tcW w:w="8220" w:type="dxa"/>
            <w:tcBorders>
              <w:top w:val="nil"/>
              <w:bottom w:val="nil"/>
            </w:tcBorders>
            <w:shd w:val="clear" w:color="auto" w:fill="FFFFFF" w:themeFill="background1"/>
          </w:tcPr>
          <w:p w14:paraId="6E9570D0" w14:textId="77777777" w:rsidR="00FD396C" w:rsidRPr="006D3E70" w:rsidRDefault="00FD396C" w:rsidP="009B33D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6D3E70">
              <w:rPr>
                <w:b w:val="0"/>
                <w:sz w:val="20"/>
                <w:lang w:val="fr-FR"/>
              </w:rPr>
              <w:t>Service fixe par satellite</w:t>
            </w:r>
          </w:p>
        </w:tc>
      </w:tr>
      <w:tr w:rsidR="00FD396C" w:rsidRPr="006D3E70" w14:paraId="137F0718" w14:textId="77777777" w:rsidTr="009B33DD">
        <w:tc>
          <w:tcPr>
            <w:tcW w:w="1140" w:type="dxa"/>
            <w:tcBorders>
              <w:top w:val="nil"/>
              <w:bottom w:val="nil"/>
            </w:tcBorders>
            <w:shd w:val="clear" w:color="auto" w:fill="FFFFFF" w:themeFill="background1"/>
          </w:tcPr>
          <w:p w14:paraId="3EC52993" w14:textId="77777777" w:rsidR="00FD396C" w:rsidRPr="006D3E70" w:rsidRDefault="00FD396C" w:rsidP="009B33DD">
            <w:pPr>
              <w:spacing w:before="30" w:after="30"/>
              <w:ind w:left="57"/>
              <w:jc w:val="left"/>
              <w:rPr>
                <w:rFonts w:ascii="Times New Roman Bold" w:hAnsi="Times New Roman Bold"/>
                <w:sz w:val="20"/>
                <w:lang w:val="fr-FR"/>
              </w:rPr>
            </w:pPr>
            <w:r w:rsidRPr="006D3E70">
              <w:rPr>
                <w:rFonts w:ascii="Times New Roman Bold" w:hAnsi="Times New Roman Bold"/>
                <w:sz w:val="20"/>
                <w:lang w:val="fr-FR"/>
              </w:rPr>
              <w:t>SA</w:t>
            </w:r>
          </w:p>
        </w:tc>
        <w:tc>
          <w:tcPr>
            <w:tcW w:w="8220" w:type="dxa"/>
            <w:tcBorders>
              <w:top w:val="nil"/>
              <w:bottom w:val="nil"/>
            </w:tcBorders>
            <w:shd w:val="clear" w:color="auto" w:fill="FFFFFF" w:themeFill="background1"/>
          </w:tcPr>
          <w:p w14:paraId="2CD8C80B" w14:textId="77777777" w:rsidR="00FD396C" w:rsidRPr="006D3E70" w:rsidRDefault="00FD396C" w:rsidP="009B33D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6D3E70">
              <w:rPr>
                <w:b w:val="0"/>
                <w:sz w:val="20"/>
                <w:lang w:val="fr-FR"/>
              </w:rPr>
              <w:t>Applications spatiales et météorologie</w:t>
            </w:r>
          </w:p>
        </w:tc>
      </w:tr>
      <w:tr w:rsidR="00FD396C" w:rsidRPr="006D3E70" w14:paraId="4AE54A2C" w14:textId="77777777" w:rsidTr="009B33DD">
        <w:tc>
          <w:tcPr>
            <w:tcW w:w="1140" w:type="dxa"/>
            <w:tcBorders>
              <w:top w:val="nil"/>
            </w:tcBorders>
            <w:shd w:val="clear" w:color="auto" w:fill="FFFFFF" w:themeFill="background1"/>
          </w:tcPr>
          <w:p w14:paraId="0B3FE6EF" w14:textId="77777777" w:rsidR="00FD396C" w:rsidRPr="006D3E70" w:rsidRDefault="00FD396C" w:rsidP="009B33DD">
            <w:pPr>
              <w:spacing w:before="30" w:after="30"/>
              <w:ind w:left="57"/>
              <w:jc w:val="left"/>
              <w:rPr>
                <w:rFonts w:ascii="Times New Roman Bold" w:hAnsi="Times New Roman Bold"/>
                <w:b/>
                <w:bCs/>
                <w:sz w:val="20"/>
                <w:lang w:val="fr-FR"/>
              </w:rPr>
            </w:pPr>
            <w:r w:rsidRPr="006D3E70">
              <w:rPr>
                <w:rFonts w:ascii="Times New Roman Bold" w:hAnsi="Times New Roman Bold"/>
                <w:b/>
                <w:bCs/>
                <w:sz w:val="20"/>
                <w:lang w:val="fr-FR"/>
              </w:rPr>
              <w:t>SF</w:t>
            </w:r>
          </w:p>
        </w:tc>
        <w:tc>
          <w:tcPr>
            <w:tcW w:w="8220" w:type="dxa"/>
            <w:tcBorders>
              <w:top w:val="nil"/>
            </w:tcBorders>
            <w:shd w:val="clear" w:color="auto" w:fill="FFFFFF" w:themeFill="background1"/>
          </w:tcPr>
          <w:p w14:paraId="2D8B0FAE" w14:textId="77777777" w:rsidR="00FD396C" w:rsidRPr="006D3E70" w:rsidRDefault="00FD396C" w:rsidP="009B33D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fr-FR"/>
              </w:rPr>
            </w:pPr>
            <w:r w:rsidRPr="006D3E70">
              <w:rPr>
                <w:b w:val="0"/>
                <w:bCs/>
                <w:sz w:val="20"/>
                <w:lang w:val="fr-FR"/>
              </w:rPr>
              <w:t>Partage des fréquences et coordination entre les systèmes du service fixe par satellite et du service fixe</w:t>
            </w:r>
          </w:p>
        </w:tc>
      </w:tr>
      <w:tr w:rsidR="00FD396C" w:rsidRPr="006D3E70" w14:paraId="035DC8A6" w14:textId="77777777" w:rsidTr="009B33DD">
        <w:tc>
          <w:tcPr>
            <w:tcW w:w="1140" w:type="dxa"/>
            <w:shd w:val="clear" w:color="auto" w:fill="F3F3F3"/>
          </w:tcPr>
          <w:p w14:paraId="595B4A28" w14:textId="77777777" w:rsidR="00FD396C" w:rsidRPr="006D3E70" w:rsidRDefault="00FD396C" w:rsidP="009B33DD">
            <w:pPr>
              <w:spacing w:before="30" w:after="30"/>
              <w:ind w:left="57"/>
              <w:jc w:val="left"/>
              <w:rPr>
                <w:b/>
                <w:bCs/>
                <w:color w:val="000080"/>
                <w:sz w:val="20"/>
                <w:lang w:val="fr-FR"/>
              </w:rPr>
            </w:pPr>
            <w:r w:rsidRPr="006D3E70">
              <w:rPr>
                <w:b/>
                <w:bCs/>
                <w:color w:val="000080"/>
                <w:sz w:val="20"/>
                <w:lang w:val="fr-FR"/>
              </w:rPr>
              <w:t>SM</w:t>
            </w:r>
          </w:p>
        </w:tc>
        <w:tc>
          <w:tcPr>
            <w:tcW w:w="8220" w:type="dxa"/>
            <w:shd w:val="clear" w:color="auto" w:fill="F3F3F3"/>
          </w:tcPr>
          <w:p w14:paraId="1E38C802" w14:textId="77777777" w:rsidR="00FD396C" w:rsidRPr="006D3E70" w:rsidRDefault="00FD396C" w:rsidP="009B33D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Cs/>
                <w:color w:val="000080"/>
                <w:sz w:val="20"/>
                <w:lang w:val="fr-FR"/>
              </w:rPr>
            </w:pPr>
            <w:r w:rsidRPr="006D3E70">
              <w:rPr>
                <w:bCs/>
                <w:color w:val="000080"/>
                <w:sz w:val="20"/>
                <w:lang w:val="fr-FR"/>
              </w:rPr>
              <w:t>Gestion du spectre</w:t>
            </w:r>
          </w:p>
        </w:tc>
      </w:tr>
      <w:tr w:rsidR="00FD396C" w:rsidRPr="006D3E70" w14:paraId="3959CC6A" w14:textId="77777777" w:rsidTr="009B33DD">
        <w:tc>
          <w:tcPr>
            <w:tcW w:w="1140" w:type="dxa"/>
          </w:tcPr>
          <w:p w14:paraId="3FE74C91" w14:textId="77777777" w:rsidR="00FD396C" w:rsidRPr="006D3E70" w:rsidRDefault="00FD396C" w:rsidP="009B33DD">
            <w:pPr>
              <w:spacing w:before="30" w:after="30"/>
              <w:ind w:left="57"/>
              <w:jc w:val="left"/>
              <w:rPr>
                <w:b/>
                <w:bCs/>
                <w:sz w:val="20"/>
                <w:lang w:val="fr-FR"/>
              </w:rPr>
            </w:pPr>
            <w:r w:rsidRPr="006D3E70">
              <w:rPr>
                <w:b/>
                <w:bCs/>
                <w:sz w:val="20"/>
                <w:lang w:val="fr-FR"/>
              </w:rPr>
              <w:t>SNG</w:t>
            </w:r>
          </w:p>
        </w:tc>
        <w:tc>
          <w:tcPr>
            <w:tcW w:w="8220" w:type="dxa"/>
          </w:tcPr>
          <w:p w14:paraId="27711C5C" w14:textId="4358B524" w:rsidR="00FD396C" w:rsidRPr="006D3E70" w:rsidRDefault="00FD396C" w:rsidP="009B33D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6D3E70">
              <w:rPr>
                <w:b w:val="0"/>
                <w:sz w:val="20"/>
                <w:lang w:val="fr-FR"/>
              </w:rPr>
              <w:t>Reportage d</w:t>
            </w:r>
            <w:r w:rsidR="00324C7C" w:rsidRPr="006D3E70">
              <w:rPr>
                <w:b w:val="0"/>
                <w:sz w:val="20"/>
                <w:lang w:val="fr-FR"/>
              </w:rPr>
              <w:t>'</w:t>
            </w:r>
            <w:r w:rsidRPr="006D3E70">
              <w:rPr>
                <w:b w:val="0"/>
                <w:sz w:val="20"/>
                <w:lang w:val="fr-FR"/>
              </w:rPr>
              <w:t>actualités par satellite</w:t>
            </w:r>
          </w:p>
        </w:tc>
      </w:tr>
      <w:tr w:rsidR="00FD396C" w:rsidRPr="006D3E70" w14:paraId="19BFB835" w14:textId="77777777" w:rsidTr="009B33DD">
        <w:tc>
          <w:tcPr>
            <w:tcW w:w="1140" w:type="dxa"/>
          </w:tcPr>
          <w:p w14:paraId="4503D3ED" w14:textId="77777777" w:rsidR="00FD396C" w:rsidRPr="006D3E70" w:rsidRDefault="00FD396C" w:rsidP="009B33DD">
            <w:pPr>
              <w:spacing w:before="30" w:after="30"/>
              <w:ind w:left="57"/>
              <w:jc w:val="left"/>
              <w:rPr>
                <w:rFonts w:ascii="Times New Roman Bold" w:hAnsi="Times New Roman Bold"/>
                <w:b/>
                <w:bCs/>
                <w:sz w:val="20"/>
                <w:lang w:val="fr-FR"/>
              </w:rPr>
            </w:pPr>
            <w:r w:rsidRPr="006D3E70">
              <w:rPr>
                <w:rFonts w:ascii="Times New Roman Bold" w:hAnsi="Times New Roman Bold"/>
                <w:b/>
                <w:bCs/>
                <w:sz w:val="20"/>
                <w:lang w:val="fr-FR"/>
              </w:rPr>
              <w:t>TF</w:t>
            </w:r>
          </w:p>
        </w:tc>
        <w:tc>
          <w:tcPr>
            <w:tcW w:w="8220" w:type="dxa"/>
          </w:tcPr>
          <w:p w14:paraId="3EE607A2" w14:textId="3B6D8229" w:rsidR="00FD396C" w:rsidRPr="006D3E70" w:rsidRDefault="009522C2" w:rsidP="009B33D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FR"/>
              </w:rPr>
            </w:pPr>
            <w:r w:rsidRPr="006D3E70">
              <w:rPr>
                <w:b w:val="0"/>
                <w:sz w:val="20"/>
                <w:lang w:val="fr-FR"/>
              </w:rPr>
              <w:t>Émissions</w:t>
            </w:r>
            <w:r w:rsidR="00FD396C" w:rsidRPr="006D3E70">
              <w:rPr>
                <w:b w:val="0"/>
                <w:sz w:val="20"/>
                <w:lang w:val="fr-FR"/>
              </w:rPr>
              <w:t xml:space="preserve"> de fréquences étalon et de signaux horaires</w:t>
            </w:r>
          </w:p>
        </w:tc>
      </w:tr>
      <w:tr w:rsidR="00FD396C" w:rsidRPr="006D3E70" w14:paraId="0AB92FEC" w14:textId="77777777" w:rsidTr="009B33DD">
        <w:tc>
          <w:tcPr>
            <w:tcW w:w="1140" w:type="dxa"/>
          </w:tcPr>
          <w:p w14:paraId="6B0A815F" w14:textId="77777777" w:rsidR="00FD396C" w:rsidRPr="006D3E70" w:rsidRDefault="00FD396C" w:rsidP="009B33DD">
            <w:pPr>
              <w:spacing w:before="30" w:after="30"/>
              <w:ind w:left="57"/>
              <w:jc w:val="left"/>
              <w:rPr>
                <w:b/>
                <w:bCs/>
                <w:sz w:val="20"/>
                <w:lang w:val="fr-FR"/>
              </w:rPr>
            </w:pPr>
            <w:r w:rsidRPr="006D3E70">
              <w:rPr>
                <w:b/>
                <w:bCs/>
                <w:sz w:val="20"/>
                <w:lang w:val="fr-FR"/>
              </w:rPr>
              <w:t>V</w:t>
            </w:r>
          </w:p>
        </w:tc>
        <w:tc>
          <w:tcPr>
            <w:tcW w:w="8220" w:type="dxa"/>
          </w:tcPr>
          <w:p w14:paraId="0D121B97" w14:textId="77777777" w:rsidR="00FD396C" w:rsidRPr="006D3E70" w:rsidRDefault="00FD396C" w:rsidP="009B33DD">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140"/>
              <w:jc w:val="left"/>
              <w:rPr>
                <w:b w:val="0"/>
                <w:sz w:val="20"/>
                <w:lang w:val="fr-FR"/>
              </w:rPr>
            </w:pPr>
            <w:r w:rsidRPr="006D3E70">
              <w:rPr>
                <w:b w:val="0"/>
                <w:sz w:val="20"/>
                <w:lang w:val="fr-FR"/>
              </w:rPr>
              <w:t>Vocabulaire et sujets associés</w:t>
            </w:r>
          </w:p>
        </w:tc>
      </w:tr>
    </w:tbl>
    <w:p w14:paraId="7D702FD2" w14:textId="77777777" w:rsidR="00FD396C" w:rsidRPr="006D3E70" w:rsidRDefault="00FD396C" w:rsidP="00FD396C">
      <w:pPr>
        <w:spacing w:before="0"/>
        <w:jc w:val="center"/>
        <w:rPr>
          <w:sz w:val="20"/>
          <w:lang w:val="fr-FR"/>
        </w:rPr>
      </w:pPr>
    </w:p>
    <w:p w14:paraId="53E7893E" w14:textId="77777777" w:rsidR="00FD396C" w:rsidRPr="006D3E70" w:rsidRDefault="00FD396C" w:rsidP="00FD396C">
      <w:pPr>
        <w:spacing w:before="0"/>
        <w:ind w:left="180"/>
        <w:jc w:val="center"/>
        <w:rPr>
          <w:sz w:val="22"/>
          <w:lang w:val="fr-FR"/>
        </w:rPr>
      </w:pPr>
    </w:p>
    <w:tbl>
      <w:tblPr>
        <w:tblW w:w="5000" w:type="pct"/>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609"/>
      </w:tblGrid>
      <w:tr w:rsidR="00FD396C" w:rsidRPr="006D3E70" w14:paraId="45618FF4" w14:textId="77777777" w:rsidTr="009B33DD">
        <w:tc>
          <w:tcPr>
            <w:tcW w:w="9360" w:type="dxa"/>
          </w:tcPr>
          <w:p w14:paraId="7488F666" w14:textId="77777777" w:rsidR="00FD396C" w:rsidRPr="006D3E70" w:rsidRDefault="00FD396C" w:rsidP="009B33DD">
            <w:pPr>
              <w:spacing w:before="80" w:after="80"/>
              <w:rPr>
                <w:i/>
                <w:iCs/>
                <w:sz w:val="20"/>
                <w:lang w:val="fr-FR"/>
              </w:rPr>
            </w:pPr>
            <w:r w:rsidRPr="006D3E70">
              <w:rPr>
                <w:b/>
                <w:bCs/>
                <w:i/>
                <w:iCs/>
                <w:sz w:val="20"/>
                <w:lang w:val="fr-FR"/>
              </w:rPr>
              <w:t>Note</w:t>
            </w:r>
            <w:r w:rsidRPr="006D3E70">
              <w:rPr>
                <w:i/>
                <w:iCs/>
                <w:sz w:val="20"/>
                <w:lang w:val="fr-FR"/>
              </w:rPr>
              <w:t xml:space="preserve">: Cette Recommandation UIT-R a été approuvée en anglais aux termes de la procédure détaillée dans la Résolution UIT-R 1. </w:t>
            </w:r>
          </w:p>
        </w:tc>
      </w:tr>
    </w:tbl>
    <w:p w14:paraId="4ADC68DE" w14:textId="77777777" w:rsidR="00FD396C" w:rsidRPr="006D3E70" w:rsidRDefault="00FD396C" w:rsidP="00FD396C">
      <w:pPr>
        <w:spacing w:before="0"/>
        <w:jc w:val="center"/>
        <w:rPr>
          <w:sz w:val="22"/>
          <w:lang w:val="fr-FR"/>
        </w:rPr>
      </w:pPr>
    </w:p>
    <w:p w14:paraId="04AFF5B4" w14:textId="77777777" w:rsidR="00FD396C" w:rsidRPr="006D3E70" w:rsidRDefault="00FD396C" w:rsidP="00FD396C">
      <w:pPr>
        <w:spacing w:before="100"/>
        <w:jc w:val="right"/>
        <w:rPr>
          <w:i/>
          <w:iCs/>
          <w:sz w:val="20"/>
          <w:lang w:val="fr-FR"/>
        </w:rPr>
      </w:pPr>
      <w:r w:rsidRPr="006D3E70">
        <w:rPr>
          <w:i/>
          <w:iCs/>
          <w:sz w:val="20"/>
          <w:lang w:val="fr-FR"/>
        </w:rPr>
        <w:t>Publication électronique</w:t>
      </w:r>
    </w:p>
    <w:p w14:paraId="6D71A0D4" w14:textId="6C15F7D9" w:rsidR="00FD396C" w:rsidRPr="006D3E70" w:rsidRDefault="00FD396C" w:rsidP="00FD396C">
      <w:pPr>
        <w:spacing w:before="0"/>
        <w:jc w:val="right"/>
        <w:rPr>
          <w:sz w:val="20"/>
          <w:lang w:val="fr-FR"/>
        </w:rPr>
      </w:pPr>
      <w:r w:rsidRPr="006D3E70">
        <w:rPr>
          <w:sz w:val="20"/>
          <w:lang w:val="fr-FR"/>
        </w:rPr>
        <w:t>Genève, 202</w:t>
      </w:r>
      <w:r w:rsidR="00532249" w:rsidRPr="006D3E70">
        <w:rPr>
          <w:sz w:val="20"/>
          <w:lang w:val="fr-FR"/>
        </w:rPr>
        <w:t>4</w:t>
      </w:r>
    </w:p>
    <w:p w14:paraId="3B33C5D3" w14:textId="2C1EA1F0" w:rsidR="00FD396C" w:rsidRPr="006D3E70" w:rsidRDefault="00FD396C" w:rsidP="00FD396C">
      <w:pPr>
        <w:spacing w:before="200"/>
        <w:jc w:val="center"/>
        <w:rPr>
          <w:sz w:val="20"/>
          <w:lang w:val="fr-FR"/>
        </w:rPr>
      </w:pPr>
      <w:r w:rsidRPr="006D3E70">
        <w:rPr>
          <w:sz w:val="20"/>
          <w:lang w:val="fr-FR"/>
        </w:rPr>
        <w:sym w:font="Symbol" w:char="F0E3"/>
      </w:r>
      <w:r w:rsidRPr="006D3E70">
        <w:rPr>
          <w:sz w:val="20"/>
          <w:lang w:val="fr-FR"/>
        </w:rPr>
        <w:t xml:space="preserve"> UIT </w:t>
      </w:r>
      <w:bookmarkStart w:id="1" w:name="iiannee"/>
      <w:bookmarkEnd w:id="1"/>
      <w:r w:rsidRPr="006D3E70">
        <w:rPr>
          <w:sz w:val="20"/>
          <w:lang w:val="fr-FR"/>
        </w:rPr>
        <w:t>202</w:t>
      </w:r>
      <w:r w:rsidR="007B234F" w:rsidRPr="006D3E70">
        <w:rPr>
          <w:sz w:val="20"/>
          <w:lang w:val="fr-FR"/>
        </w:rPr>
        <w:t>4</w:t>
      </w:r>
    </w:p>
    <w:p w14:paraId="4C38FD34" w14:textId="25E361B8" w:rsidR="00FD396C" w:rsidRPr="006D3E70" w:rsidRDefault="00FD396C" w:rsidP="00FD396C">
      <w:pPr>
        <w:rPr>
          <w:sz w:val="18"/>
          <w:szCs w:val="18"/>
          <w:lang w:val="fr-FR"/>
        </w:rPr>
      </w:pPr>
      <w:r w:rsidRPr="006D3E70">
        <w:rPr>
          <w:sz w:val="18"/>
          <w:szCs w:val="18"/>
          <w:lang w:val="fr-FR"/>
        </w:rPr>
        <w:t>Tous droits réservés. Aucune partie de cette publication ne peut être reproduite, par quelque procédé que ce soit, sans l</w:t>
      </w:r>
      <w:r w:rsidR="00324C7C" w:rsidRPr="006D3E70">
        <w:rPr>
          <w:sz w:val="18"/>
          <w:szCs w:val="18"/>
          <w:lang w:val="fr-FR"/>
        </w:rPr>
        <w:t>'</w:t>
      </w:r>
      <w:r w:rsidRPr="006D3E70">
        <w:rPr>
          <w:sz w:val="18"/>
          <w:szCs w:val="18"/>
          <w:lang w:val="fr-FR"/>
        </w:rPr>
        <w:t>accord écrit préalable de l</w:t>
      </w:r>
      <w:r w:rsidR="00324C7C" w:rsidRPr="006D3E70">
        <w:rPr>
          <w:sz w:val="18"/>
          <w:szCs w:val="18"/>
          <w:lang w:val="fr-FR"/>
        </w:rPr>
        <w:t>'</w:t>
      </w:r>
      <w:r w:rsidRPr="006D3E70">
        <w:rPr>
          <w:sz w:val="18"/>
          <w:szCs w:val="18"/>
          <w:lang w:val="fr-FR"/>
        </w:rPr>
        <w:t>UIT.</w:t>
      </w:r>
    </w:p>
    <w:p w14:paraId="41568DA8" w14:textId="77777777" w:rsidR="00FD396C" w:rsidRPr="006D3E70" w:rsidRDefault="00FD396C" w:rsidP="00FD396C">
      <w:pPr>
        <w:spacing w:before="160"/>
        <w:rPr>
          <w:i/>
          <w:sz w:val="20"/>
          <w:lang w:val="fr-FR"/>
        </w:rPr>
        <w:sectPr w:rsidR="00FD396C" w:rsidRPr="006D3E70" w:rsidSect="00FD396C">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14:paraId="308530BC" w14:textId="7CFEB402" w:rsidR="00FD396C" w:rsidRPr="006D3E70" w:rsidRDefault="00FD396C" w:rsidP="00FD396C">
      <w:pPr>
        <w:pStyle w:val="RecNo"/>
        <w:spacing w:before="0"/>
        <w:rPr>
          <w:lang w:val="fr-FR"/>
        </w:rPr>
      </w:pPr>
      <w:bookmarkStart w:id="2" w:name="irecnoe"/>
      <w:bookmarkEnd w:id="2"/>
      <w:r w:rsidRPr="006D3E70">
        <w:rPr>
          <w:lang w:val="fr-FR"/>
        </w:rPr>
        <w:lastRenderedPageBreak/>
        <w:t xml:space="preserve">RECOMMANDATION  </w:t>
      </w:r>
      <w:r w:rsidRPr="006D3E70">
        <w:rPr>
          <w:rStyle w:val="href"/>
          <w:lang w:val="fr-FR"/>
        </w:rPr>
        <w:t>UIT-R  SM.</w:t>
      </w:r>
      <w:r w:rsidR="00532249" w:rsidRPr="006D3E70">
        <w:rPr>
          <w:rStyle w:val="href"/>
          <w:lang w:val="fr-FR"/>
        </w:rPr>
        <w:t>329-13</w:t>
      </w:r>
    </w:p>
    <w:p w14:paraId="3382C98D" w14:textId="77777777" w:rsidR="00532249" w:rsidRPr="006D3E70" w:rsidRDefault="00532249" w:rsidP="00532249">
      <w:pPr>
        <w:pStyle w:val="Rectitle"/>
        <w:rPr>
          <w:lang w:val="fr-FR"/>
        </w:rPr>
      </w:pPr>
      <w:bookmarkStart w:id="3" w:name="Pre_title"/>
      <w:r w:rsidRPr="006D3E70">
        <w:rPr>
          <w:lang w:val="fr-FR"/>
        </w:rPr>
        <w:t>Rayonnements non désirés dans le domaine des rayonnements non essentiels</w:t>
      </w:r>
      <w:bookmarkEnd w:id="3"/>
      <w:r w:rsidRPr="006D3E70">
        <w:rPr>
          <w:rStyle w:val="FootnoteReference"/>
          <w:lang w:val="fr-FR"/>
        </w:rPr>
        <w:footnoteReference w:customMarkFollows="1" w:id="1"/>
        <w:t>*</w:t>
      </w:r>
    </w:p>
    <w:p w14:paraId="3B7AF559" w14:textId="77777777" w:rsidR="00532249" w:rsidRPr="006D3E70" w:rsidRDefault="00532249" w:rsidP="00532249">
      <w:pPr>
        <w:pStyle w:val="Recdate"/>
        <w:rPr>
          <w:lang w:val="fr-FR"/>
        </w:rPr>
      </w:pPr>
      <w:bookmarkStart w:id="4" w:name="Revision_history"/>
      <w:r w:rsidRPr="006D3E70">
        <w:rPr>
          <w:lang w:val="fr-FR"/>
        </w:rPr>
        <w:t>(1951-1953-1956-1959-1963-1966-1970-1978-1982-1986-1990-1997-2000-2001-2003-2011-2012-2024)</w:t>
      </w:r>
      <w:bookmarkEnd w:id="4"/>
    </w:p>
    <w:p w14:paraId="772329FA" w14:textId="7070B064" w:rsidR="00532249" w:rsidRPr="006D3E70" w:rsidRDefault="00532249" w:rsidP="00532249">
      <w:pPr>
        <w:pStyle w:val="HeadingSum"/>
        <w:rPr>
          <w:lang w:val="fr-FR"/>
        </w:rPr>
      </w:pPr>
      <w:r w:rsidRPr="006D3E70">
        <w:rPr>
          <w:lang w:val="fr-FR"/>
        </w:rPr>
        <w:t>Domaine d</w:t>
      </w:r>
      <w:r w:rsidR="00324C7C" w:rsidRPr="006D3E70">
        <w:rPr>
          <w:lang w:val="fr-FR"/>
        </w:rPr>
        <w:t>'</w:t>
      </w:r>
      <w:r w:rsidRPr="006D3E70">
        <w:rPr>
          <w:lang w:val="fr-FR"/>
        </w:rPr>
        <w:t>application</w:t>
      </w:r>
    </w:p>
    <w:p w14:paraId="1B0E4313" w14:textId="77777777" w:rsidR="00532249" w:rsidRPr="006D3E70" w:rsidRDefault="00532249" w:rsidP="00532249">
      <w:pPr>
        <w:pStyle w:val="Summary"/>
        <w:rPr>
          <w:lang w:val="fr-FR"/>
        </w:rPr>
      </w:pPr>
      <w:r w:rsidRPr="006D3E70">
        <w:rPr>
          <w:lang w:val="fr-FR"/>
        </w:rPr>
        <w:t>La présente Recommandation définit les limites des rayonnements non désirés dans le domaine des rayonnements non essentiels, ainsi que les méthodes de mesure de ces rayonnements.</w:t>
      </w:r>
    </w:p>
    <w:p w14:paraId="0D2FEF12" w14:textId="77777777" w:rsidR="00532249" w:rsidRPr="006D3E70" w:rsidRDefault="00532249" w:rsidP="00532249">
      <w:pPr>
        <w:pStyle w:val="Headingb"/>
        <w:rPr>
          <w:rFonts w:eastAsia="Batang"/>
          <w:lang w:val="fr-FR"/>
        </w:rPr>
      </w:pPr>
      <w:r w:rsidRPr="006D3E70">
        <w:rPr>
          <w:rFonts w:eastAsia="Batang"/>
          <w:lang w:val="fr-FR"/>
        </w:rPr>
        <w:t>Mots clés</w:t>
      </w:r>
    </w:p>
    <w:p w14:paraId="02F33DBD" w14:textId="61EADF85" w:rsidR="00532249" w:rsidRPr="006D3E70" w:rsidRDefault="00532249" w:rsidP="00532249">
      <w:pPr>
        <w:rPr>
          <w:rFonts w:eastAsia="Calibri"/>
          <w:lang w:val="fr-FR"/>
        </w:rPr>
      </w:pPr>
      <w:r w:rsidRPr="006D3E70">
        <w:rPr>
          <w:rFonts w:eastAsia="Calibri"/>
          <w:lang w:val="fr-FR"/>
        </w:rPr>
        <w:t>Limite d</w:t>
      </w:r>
      <w:r w:rsidR="00324C7C" w:rsidRPr="006D3E70">
        <w:rPr>
          <w:rFonts w:eastAsia="Calibri"/>
          <w:lang w:val="fr-FR"/>
        </w:rPr>
        <w:t>'</w:t>
      </w:r>
      <w:r w:rsidRPr="006D3E70">
        <w:rPr>
          <w:rFonts w:eastAsia="Calibri"/>
          <w:lang w:val="fr-FR"/>
        </w:rPr>
        <w:t>émission, domaine des rayonnements non essentiels, largeur de bande de référence, largeur de bande de résolution, largeur de bande vidéo</w:t>
      </w:r>
    </w:p>
    <w:p w14:paraId="489437FA" w14:textId="77777777" w:rsidR="00532249" w:rsidRPr="006D3E70" w:rsidRDefault="00532249" w:rsidP="00532249">
      <w:pPr>
        <w:pStyle w:val="Headingb"/>
        <w:rPr>
          <w:rFonts w:eastAsia="Calibri"/>
          <w:lang w:val="fr-FR"/>
        </w:rPr>
      </w:pPr>
      <w:r w:rsidRPr="006D3E70">
        <w:rPr>
          <w:rFonts w:eastAsia="Calibri"/>
          <w:lang w:val="fr-FR"/>
        </w:rPr>
        <w:t>Recommandations et Rapports UIT-R connexes</w:t>
      </w:r>
    </w:p>
    <w:p w14:paraId="79345420" w14:textId="189C6EF2" w:rsidR="00532249" w:rsidRPr="006D3E70" w:rsidRDefault="00532249" w:rsidP="00532249">
      <w:pPr>
        <w:pStyle w:val="Reftext"/>
        <w:rPr>
          <w:lang w:val="fr-FR"/>
        </w:rPr>
      </w:pPr>
      <w:r w:rsidRPr="006D3E70">
        <w:rPr>
          <w:lang w:val="fr-FR"/>
        </w:rPr>
        <w:t>Recommandation UIT-R SM.239 – Rayonnements parasites produits par les récepteurs de radiodiffusion sonore et de télévision</w:t>
      </w:r>
    </w:p>
    <w:p w14:paraId="678C4C74" w14:textId="4354E1FC" w:rsidR="00532249" w:rsidRPr="006D3E70" w:rsidRDefault="00532249" w:rsidP="00532249">
      <w:pPr>
        <w:pStyle w:val="Reftext"/>
        <w:rPr>
          <w:lang w:val="fr-FR"/>
        </w:rPr>
      </w:pPr>
      <w:r w:rsidRPr="006D3E70">
        <w:rPr>
          <w:lang w:val="fr-FR"/>
        </w:rPr>
        <w:t>Recommandation UIT-R SM.328 – Spectres et largeurs de bande des émissions</w:t>
      </w:r>
    </w:p>
    <w:p w14:paraId="0C5DEFA9" w14:textId="7EB4584F" w:rsidR="00532249" w:rsidRPr="006D3E70" w:rsidRDefault="00532249" w:rsidP="00532249">
      <w:pPr>
        <w:pStyle w:val="Reftext"/>
        <w:rPr>
          <w:lang w:val="fr-FR"/>
        </w:rPr>
      </w:pPr>
      <w:r w:rsidRPr="006D3E70">
        <w:rPr>
          <w:lang w:val="fr-FR"/>
        </w:rPr>
        <w:t>Recommandation UIT-R M.478 – Caractéristiques techniques des équipements et principes à suivre pour l</w:t>
      </w:r>
      <w:r w:rsidR="00324C7C" w:rsidRPr="006D3E70">
        <w:rPr>
          <w:lang w:val="fr-FR"/>
        </w:rPr>
        <w:t>'</w:t>
      </w:r>
      <w:r w:rsidRPr="006D3E70">
        <w:rPr>
          <w:lang w:val="fr-FR"/>
        </w:rPr>
        <w:t>assignation des voies entre 25 et 3 000 MHz pour le service mobile terrestre à modulation de fréquence</w:t>
      </w:r>
    </w:p>
    <w:p w14:paraId="0ABFE0FE" w14:textId="6880DD95" w:rsidR="00532249" w:rsidRPr="006D3E70" w:rsidRDefault="00532249" w:rsidP="00532249">
      <w:pPr>
        <w:pStyle w:val="Reftext"/>
        <w:rPr>
          <w:lang w:val="fr-FR"/>
        </w:rPr>
      </w:pPr>
      <w:r w:rsidRPr="006D3E70">
        <w:rPr>
          <w:lang w:val="fr-FR"/>
        </w:rPr>
        <w:t>Recommandation UIT-R RS.515 – Bandes de fréquences et largeurs de bande utilisées pour la télédétection passive par satellite</w:t>
      </w:r>
    </w:p>
    <w:p w14:paraId="7E272565" w14:textId="51D8D018" w:rsidR="00532249" w:rsidRPr="006D3E70" w:rsidRDefault="00532249" w:rsidP="00532249">
      <w:pPr>
        <w:pStyle w:val="Reftext"/>
        <w:rPr>
          <w:lang w:val="fr-FR"/>
        </w:rPr>
      </w:pPr>
      <w:r w:rsidRPr="006D3E70">
        <w:rPr>
          <w:lang w:val="fr-FR"/>
        </w:rPr>
        <w:t>Recommandation UIT-R RA.611 – Protection du service de radioastronomie contre les rayonnements non essentiels</w:t>
      </w:r>
    </w:p>
    <w:p w14:paraId="3ED28B94" w14:textId="142C2FE6" w:rsidR="00532249" w:rsidRPr="006D3E70" w:rsidRDefault="00532249" w:rsidP="00532249">
      <w:pPr>
        <w:pStyle w:val="Reftext"/>
        <w:rPr>
          <w:lang w:val="fr-FR"/>
        </w:rPr>
      </w:pPr>
      <w:r w:rsidRPr="006D3E70">
        <w:rPr>
          <w:lang w:val="fr-FR"/>
        </w:rPr>
        <w:t>Recommandation UIT-R S.726 – Niveau maximal admissible des rayonnements non essentiels émis par les microstations (VSAT)</w:t>
      </w:r>
    </w:p>
    <w:p w14:paraId="2E417838" w14:textId="34142669" w:rsidR="00532249" w:rsidRPr="006D3E70" w:rsidRDefault="00532249" w:rsidP="00532249">
      <w:pPr>
        <w:pStyle w:val="Reftext"/>
        <w:rPr>
          <w:lang w:val="fr-FR"/>
        </w:rPr>
      </w:pPr>
      <w:r w:rsidRPr="006D3E70">
        <w:rPr>
          <w:lang w:val="fr-FR"/>
        </w:rPr>
        <w:t>Recommandation UIT-R F.757 – Caractéristiques de base et objectifs de qualité des accès hertziens fixes mettant en œuvre des technologies issues des systèmes mobiles offrant des services de téléphonie et de communication de données</w:t>
      </w:r>
    </w:p>
    <w:p w14:paraId="20ADD2D0" w14:textId="0FAAE287" w:rsidR="00532249" w:rsidRPr="006D3E70" w:rsidRDefault="00532249" w:rsidP="00532249">
      <w:pPr>
        <w:pStyle w:val="Reftext"/>
        <w:rPr>
          <w:lang w:val="fr-FR"/>
        </w:rPr>
      </w:pPr>
      <w:r w:rsidRPr="006D3E70">
        <w:rPr>
          <w:lang w:val="fr-FR"/>
        </w:rPr>
        <w:t>Recommandation UIT-R RA.769 – Critères de protection applicables aux mesures en radioastronomie</w:t>
      </w:r>
    </w:p>
    <w:p w14:paraId="477D4091" w14:textId="6B64E76B" w:rsidR="00532249" w:rsidRPr="006D3E70" w:rsidRDefault="00532249" w:rsidP="00532249">
      <w:pPr>
        <w:pStyle w:val="Reftext"/>
        <w:rPr>
          <w:lang w:val="fr-FR"/>
        </w:rPr>
      </w:pPr>
      <w:r w:rsidRPr="006D3E70">
        <w:rPr>
          <w:lang w:val="fr-FR"/>
        </w:rPr>
        <w:t>Recommandation UIT-R BT.803 – Mesures visant à éviter les brouillages produits par l</w:t>
      </w:r>
      <w:r w:rsidR="00324C7C" w:rsidRPr="006D3E70">
        <w:rPr>
          <w:lang w:val="fr-FR"/>
        </w:rPr>
        <w:t>'</w:t>
      </w:r>
      <w:r w:rsidRPr="006D3E70">
        <w:rPr>
          <w:lang w:val="fr-FR"/>
        </w:rPr>
        <w:t>équipement de studio de télévision numérique</w:t>
      </w:r>
    </w:p>
    <w:p w14:paraId="2B22CDB3" w14:textId="4A08594D" w:rsidR="00532249" w:rsidRPr="006D3E70" w:rsidRDefault="00532249" w:rsidP="00532249">
      <w:pPr>
        <w:pStyle w:val="Reftext"/>
        <w:rPr>
          <w:lang w:val="fr-FR"/>
        </w:rPr>
      </w:pPr>
      <w:r w:rsidRPr="006D3E70">
        <w:rPr>
          <w:lang w:val="fr-FR"/>
        </w:rPr>
        <w:t>Recommandation UIT-R M.1177 – Techniques à utiliser pour la mesure des rayonnements non désirés des systèmes radar</w:t>
      </w:r>
    </w:p>
    <w:p w14:paraId="713A0964" w14:textId="52B0805F" w:rsidR="00532249" w:rsidRPr="006D3E70" w:rsidRDefault="00532249" w:rsidP="00532249">
      <w:pPr>
        <w:pStyle w:val="Reftext"/>
        <w:rPr>
          <w:lang w:val="fr-FR"/>
        </w:rPr>
      </w:pPr>
      <w:r w:rsidRPr="006D3E70">
        <w:rPr>
          <w:lang w:val="fr-FR"/>
        </w:rPr>
        <w:t>Recommandation UIT-R F.1191 – Largeurs de bande et rayonnements non désirés des systèmes numériques du service fixe</w:t>
      </w:r>
    </w:p>
    <w:p w14:paraId="5A873876" w14:textId="2471F3A8" w:rsidR="00532249" w:rsidRPr="006D3E70" w:rsidRDefault="00532249" w:rsidP="00532249">
      <w:pPr>
        <w:pStyle w:val="Reftext"/>
        <w:rPr>
          <w:lang w:val="fr-FR"/>
        </w:rPr>
      </w:pPr>
      <w:r w:rsidRPr="006D3E70">
        <w:rPr>
          <w:lang w:val="fr-FR"/>
        </w:rPr>
        <w:t>Recommandation UIT-R M.1343 – Caractéristiques techniques essentielles des stations terriennes mobiles des systèmes mondiaux du service mobile à satellites non géostationnaires fonctionnant dans la bande 1</w:t>
      </w:r>
      <w:r w:rsidRPr="006D3E70">
        <w:rPr>
          <w:lang w:val="fr-FR"/>
        </w:rPr>
        <w:noBreakHyphen/>
        <w:t>3 GHz</w:t>
      </w:r>
    </w:p>
    <w:p w14:paraId="108DFFE1" w14:textId="6C437F68" w:rsidR="00532249" w:rsidRPr="006D3E70" w:rsidRDefault="00532249" w:rsidP="00532249">
      <w:pPr>
        <w:pStyle w:val="Reftext"/>
        <w:rPr>
          <w:lang w:val="fr-FR"/>
        </w:rPr>
      </w:pPr>
      <w:r w:rsidRPr="006D3E70">
        <w:rPr>
          <w:lang w:val="fr-FR"/>
        </w:rPr>
        <w:lastRenderedPageBreak/>
        <w:t>Recommandation UIT-R SM.1539 – Variation de la frontière entre le domaine des émissions hors bande et le domaine des rayonnements non essentiels dont il faut tenir compte dans l</w:t>
      </w:r>
      <w:r w:rsidR="00324C7C" w:rsidRPr="006D3E70">
        <w:rPr>
          <w:lang w:val="fr-FR"/>
        </w:rPr>
        <w:t>'</w:t>
      </w:r>
      <w:r w:rsidRPr="006D3E70">
        <w:rPr>
          <w:lang w:val="fr-FR"/>
        </w:rPr>
        <w:t>application des Recommandations UIT-R SM.1541 et UIT</w:t>
      </w:r>
      <w:r w:rsidRPr="006D3E70">
        <w:rPr>
          <w:lang w:val="fr-FR"/>
        </w:rPr>
        <w:noBreakHyphen/>
        <w:t>R SM.329</w:t>
      </w:r>
    </w:p>
    <w:p w14:paraId="329E1BA1" w14:textId="59A439BB" w:rsidR="00532249" w:rsidRPr="006D3E70" w:rsidRDefault="00532249" w:rsidP="00532249">
      <w:pPr>
        <w:pStyle w:val="Reftext"/>
        <w:rPr>
          <w:lang w:val="fr-FR"/>
        </w:rPr>
      </w:pPr>
      <w:r w:rsidRPr="006D3E70">
        <w:rPr>
          <w:lang w:val="fr-FR"/>
        </w:rPr>
        <w:t>Recommandation UIT-R SM.1541 – Rayonnements non désirés dans le domaine des émissions hors bande</w:t>
      </w:r>
    </w:p>
    <w:p w14:paraId="7696AE80" w14:textId="44E841BF" w:rsidR="00532249" w:rsidRPr="006D3E70" w:rsidRDefault="00532249" w:rsidP="00532249">
      <w:pPr>
        <w:pStyle w:val="Reftext"/>
        <w:rPr>
          <w:lang w:val="fr-FR"/>
        </w:rPr>
      </w:pPr>
      <w:r w:rsidRPr="006D3E70">
        <w:rPr>
          <w:lang w:val="fr-FR"/>
        </w:rPr>
        <w:t>Recommandation UIT-R RS.1861 – Caractéristiques techniques et opérationnelles types des systèmes du service d</w:t>
      </w:r>
      <w:r w:rsidR="00324C7C" w:rsidRPr="006D3E70">
        <w:rPr>
          <w:lang w:val="fr-FR"/>
        </w:rPr>
        <w:t>'</w:t>
      </w:r>
      <w:r w:rsidRPr="006D3E70">
        <w:rPr>
          <w:lang w:val="fr-FR"/>
        </w:rPr>
        <w:t>exploration de la Terre par satellite (passive) utilisant des attributions entre 1,4 et 275 GHz</w:t>
      </w:r>
    </w:p>
    <w:p w14:paraId="0DB15B7D" w14:textId="422B50A0" w:rsidR="00532249" w:rsidRPr="006D3E70" w:rsidRDefault="00532249" w:rsidP="00532249">
      <w:pPr>
        <w:pStyle w:val="Reftext"/>
        <w:rPr>
          <w:lang w:val="fr-FR"/>
        </w:rPr>
      </w:pPr>
      <w:r w:rsidRPr="006D3E70">
        <w:rPr>
          <w:lang w:val="fr-FR"/>
        </w:rPr>
        <w:t>Recommandation UIT-R RS.2017 – Critères de qualité de fonctionnement et de brouillage pour la télédétection passive par satellite</w:t>
      </w:r>
    </w:p>
    <w:p w14:paraId="680F8EF8" w14:textId="4123A86F" w:rsidR="00532249" w:rsidRPr="006D3E70" w:rsidRDefault="00532249" w:rsidP="00532249">
      <w:pPr>
        <w:pStyle w:val="Reftext"/>
        <w:rPr>
          <w:lang w:val="fr-FR"/>
        </w:rPr>
      </w:pPr>
      <w:r w:rsidRPr="006D3E70">
        <w:rPr>
          <w:lang w:val="fr-FR"/>
        </w:rPr>
        <w:t>Rapport UIT-R RS.2431 – Caractéristiques techniques et opérationnelles des systèmes du SETS (passive) dans la gamme de fréquences 275-450 GHz</w:t>
      </w:r>
    </w:p>
    <w:p w14:paraId="37ECA1A7" w14:textId="77777777" w:rsidR="00532249" w:rsidRPr="006D3E70" w:rsidRDefault="00532249" w:rsidP="00532249">
      <w:pPr>
        <w:pStyle w:val="Headingb"/>
        <w:rPr>
          <w:lang w:val="fr-FR"/>
        </w:rPr>
      </w:pPr>
      <w:r w:rsidRPr="006D3E70">
        <w:rPr>
          <w:lang w:val="fr-FR"/>
        </w:rPr>
        <w:t>Abréviations/Glossaire</w:t>
      </w:r>
    </w:p>
    <w:p w14:paraId="512C7A78" w14:textId="31A58A0E" w:rsidR="00532249" w:rsidRPr="006D3E70" w:rsidRDefault="00532249" w:rsidP="00532249">
      <w:pPr>
        <w:tabs>
          <w:tab w:val="clear" w:pos="794"/>
        </w:tabs>
        <w:rPr>
          <w:lang w:val="fr-FR"/>
        </w:rPr>
      </w:pPr>
      <w:r w:rsidRPr="006D3E70">
        <w:rPr>
          <w:lang w:val="fr-FR"/>
        </w:rPr>
        <w:t>AM</w:t>
      </w:r>
      <w:r w:rsidRPr="006D3E70">
        <w:rPr>
          <w:lang w:val="fr-FR"/>
        </w:rPr>
        <w:tab/>
        <w:t>modulation d</w:t>
      </w:r>
      <w:r w:rsidR="00324C7C" w:rsidRPr="006D3E70">
        <w:rPr>
          <w:lang w:val="fr-FR"/>
        </w:rPr>
        <w:t>'</w:t>
      </w:r>
      <w:r w:rsidRPr="006D3E70">
        <w:rPr>
          <w:lang w:val="fr-FR"/>
        </w:rPr>
        <w:t>amplitude (</w:t>
      </w:r>
      <w:r w:rsidRPr="006D3E70">
        <w:rPr>
          <w:i/>
          <w:iCs/>
          <w:lang w:val="fr-FR"/>
        </w:rPr>
        <w:t>amplitude modulation</w:t>
      </w:r>
      <w:r w:rsidRPr="006D3E70">
        <w:rPr>
          <w:lang w:val="fr-FR"/>
        </w:rPr>
        <w:t>)</w:t>
      </w:r>
    </w:p>
    <w:p w14:paraId="32632F00" w14:textId="77777777" w:rsidR="00532249" w:rsidRPr="006D3E70" w:rsidRDefault="00532249" w:rsidP="00532249">
      <w:pPr>
        <w:tabs>
          <w:tab w:val="clear" w:pos="794"/>
        </w:tabs>
        <w:rPr>
          <w:lang w:val="fr-FR"/>
        </w:rPr>
      </w:pPr>
      <w:r w:rsidRPr="006D3E70">
        <w:rPr>
          <w:lang w:val="fr-FR"/>
        </w:rPr>
        <w:t>BW</w:t>
      </w:r>
      <w:r w:rsidRPr="006D3E70">
        <w:rPr>
          <w:lang w:val="fr-FR"/>
        </w:rPr>
        <w:tab/>
        <w:t>largeur de bande (</w:t>
      </w:r>
      <w:r w:rsidRPr="006D3E70">
        <w:rPr>
          <w:i/>
          <w:iCs/>
          <w:lang w:val="fr-FR"/>
        </w:rPr>
        <w:t>bandwidth</w:t>
      </w:r>
      <w:r w:rsidRPr="006D3E70">
        <w:rPr>
          <w:lang w:val="fr-FR"/>
        </w:rPr>
        <w:t>)</w:t>
      </w:r>
    </w:p>
    <w:p w14:paraId="220EF1F0" w14:textId="77777777" w:rsidR="00532249" w:rsidRPr="006D3E70" w:rsidRDefault="00532249" w:rsidP="00532249">
      <w:pPr>
        <w:tabs>
          <w:tab w:val="clear" w:pos="794"/>
        </w:tabs>
        <w:rPr>
          <w:lang w:val="fr-FR"/>
        </w:rPr>
      </w:pPr>
      <w:r w:rsidRPr="006D3E70">
        <w:rPr>
          <w:lang w:val="fr-FR"/>
        </w:rPr>
        <w:t>BWA</w:t>
      </w:r>
      <w:r w:rsidRPr="006D3E70">
        <w:rPr>
          <w:lang w:val="fr-FR"/>
        </w:rPr>
        <w:tab/>
        <w:t>accès large bande hertzien (</w:t>
      </w:r>
      <w:r w:rsidRPr="006D3E70">
        <w:rPr>
          <w:i/>
          <w:iCs/>
          <w:lang w:val="fr-FR"/>
        </w:rPr>
        <w:t>broadband wireless access</w:t>
      </w:r>
      <w:r w:rsidRPr="006D3E70">
        <w:rPr>
          <w:lang w:val="fr-FR"/>
        </w:rPr>
        <w:t>)</w:t>
      </w:r>
    </w:p>
    <w:p w14:paraId="32643CFC" w14:textId="77777777" w:rsidR="00532249" w:rsidRPr="006D3E70" w:rsidRDefault="00532249" w:rsidP="00532249">
      <w:pPr>
        <w:tabs>
          <w:tab w:val="clear" w:pos="794"/>
        </w:tabs>
        <w:rPr>
          <w:lang w:val="fr-FR"/>
        </w:rPr>
      </w:pPr>
      <w:r w:rsidRPr="006D3E70">
        <w:rPr>
          <w:lang w:val="fr-FR"/>
        </w:rPr>
        <w:t>CB</w:t>
      </w:r>
      <w:r w:rsidRPr="006D3E70">
        <w:rPr>
          <w:lang w:val="fr-FR"/>
        </w:rPr>
        <w:tab/>
        <w:t>bande publique (</w:t>
      </w:r>
      <w:r w:rsidRPr="006D3E70">
        <w:rPr>
          <w:i/>
          <w:iCs/>
          <w:lang w:val="fr-FR"/>
        </w:rPr>
        <w:t>citizens band</w:t>
      </w:r>
      <w:r w:rsidRPr="006D3E70">
        <w:rPr>
          <w:lang w:val="fr-FR"/>
        </w:rPr>
        <w:t>)</w:t>
      </w:r>
    </w:p>
    <w:p w14:paraId="4A845D3F" w14:textId="77777777" w:rsidR="00532249" w:rsidRPr="006D3E70" w:rsidRDefault="00532249" w:rsidP="00532249">
      <w:pPr>
        <w:tabs>
          <w:tab w:val="clear" w:pos="794"/>
        </w:tabs>
        <w:rPr>
          <w:lang w:val="fr-FR"/>
        </w:rPr>
      </w:pPr>
      <w:r w:rsidRPr="006D3E70">
        <w:rPr>
          <w:lang w:val="fr-FR"/>
        </w:rPr>
        <w:t>CEI</w:t>
      </w:r>
      <w:r w:rsidRPr="006D3E70">
        <w:rPr>
          <w:lang w:val="fr-FR"/>
        </w:rPr>
        <w:tab/>
        <w:t>commission électrotechnique internationale</w:t>
      </w:r>
    </w:p>
    <w:p w14:paraId="52FA2196" w14:textId="53CA9F93" w:rsidR="00532249" w:rsidRPr="006D3E70" w:rsidRDefault="00532249" w:rsidP="00532249">
      <w:pPr>
        <w:tabs>
          <w:tab w:val="clear" w:pos="794"/>
        </w:tabs>
        <w:ind w:left="1191" w:hanging="1191"/>
        <w:rPr>
          <w:lang w:val="fr-FR"/>
        </w:rPr>
      </w:pPr>
      <w:r w:rsidRPr="006D3E70">
        <w:rPr>
          <w:lang w:val="fr-FR"/>
        </w:rPr>
        <w:t>CISPR</w:t>
      </w:r>
      <w:r w:rsidRPr="006D3E70">
        <w:rPr>
          <w:lang w:val="fr-FR"/>
        </w:rPr>
        <w:tab/>
      </w:r>
      <w:r w:rsidR="00BD2C55" w:rsidRPr="006D3E70">
        <w:rPr>
          <w:lang w:val="fr-FR"/>
        </w:rPr>
        <w:t>C</w:t>
      </w:r>
      <w:r w:rsidRPr="006D3E70">
        <w:rPr>
          <w:lang w:val="fr-FR"/>
        </w:rPr>
        <w:t>omité international spécial des perturbations radioélectriques</w:t>
      </w:r>
    </w:p>
    <w:p w14:paraId="60E76051" w14:textId="77777777" w:rsidR="00532249" w:rsidRPr="006D3E70" w:rsidRDefault="00532249" w:rsidP="00532249">
      <w:pPr>
        <w:tabs>
          <w:tab w:val="clear" w:pos="794"/>
        </w:tabs>
        <w:ind w:left="1191" w:hanging="1191"/>
        <w:rPr>
          <w:lang w:val="fr-FR"/>
        </w:rPr>
      </w:pPr>
      <w:r w:rsidRPr="006D3E70">
        <w:rPr>
          <w:lang w:val="fr-FR"/>
        </w:rPr>
        <w:t>CS</w:t>
      </w:r>
      <w:r w:rsidRPr="006D3E70">
        <w:rPr>
          <w:lang w:val="fr-FR"/>
        </w:rPr>
        <w:tab/>
        <w:t>espacement entre canaux (</w:t>
      </w:r>
      <w:r w:rsidRPr="006D3E70">
        <w:rPr>
          <w:i/>
          <w:iCs/>
          <w:lang w:val="fr-FR"/>
        </w:rPr>
        <w:t>channel separation</w:t>
      </w:r>
      <w:r w:rsidRPr="006D3E70">
        <w:rPr>
          <w:lang w:val="fr-FR"/>
        </w:rPr>
        <w:t>)</w:t>
      </w:r>
    </w:p>
    <w:p w14:paraId="2766E1B0" w14:textId="4DCD6C22" w:rsidR="00532249" w:rsidRPr="006D3E70" w:rsidRDefault="00532249" w:rsidP="00532249">
      <w:pPr>
        <w:tabs>
          <w:tab w:val="clear" w:pos="794"/>
        </w:tabs>
        <w:rPr>
          <w:lang w:val="fr-FR"/>
        </w:rPr>
      </w:pPr>
      <w:r w:rsidRPr="006D3E70">
        <w:rPr>
          <w:lang w:val="fr-FR"/>
        </w:rPr>
        <w:t>ELT</w:t>
      </w:r>
      <w:r w:rsidRPr="006D3E70">
        <w:rPr>
          <w:lang w:val="fr-FR"/>
        </w:rPr>
        <w:tab/>
        <w:t>émetteur de localisation d</w:t>
      </w:r>
      <w:r w:rsidR="00324C7C" w:rsidRPr="006D3E70">
        <w:rPr>
          <w:lang w:val="fr-FR"/>
        </w:rPr>
        <w:t>'</w:t>
      </w:r>
      <w:r w:rsidRPr="006D3E70">
        <w:rPr>
          <w:lang w:val="fr-FR"/>
        </w:rPr>
        <w:t>urgence (</w:t>
      </w:r>
      <w:r w:rsidRPr="006D3E70">
        <w:rPr>
          <w:i/>
          <w:iCs/>
          <w:lang w:val="fr-FR"/>
        </w:rPr>
        <w:t>emergency locator transmitter</w:t>
      </w:r>
      <w:r w:rsidRPr="006D3E70">
        <w:rPr>
          <w:lang w:val="fr-FR"/>
        </w:rPr>
        <w:t>)</w:t>
      </w:r>
    </w:p>
    <w:p w14:paraId="30ECE3BF" w14:textId="77777777" w:rsidR="00532249" w:rsidRPr="006D3E70" w:rsidRDefault="00532249" w:rsidP="00532249">
      <w:pPr>
        <w:tabs>
          <w:tab w:val="clear" w:pos="794"/>
        </w:tabs>
        <w:rPr>
          <w:lang w:val="fr-FR"/>
        </w:rPr>
      </w:pPr>
      <w:r w:rsidRPr="006D3E70">
        <w:rPr>
          <w:lang w:val="fr-FR"/>
        </w:rPr>
        <w:t>EMI</w:t>
      </w:r>
      <w:r w:rsidRPr="006D3E70">
        <w:rPr>
          <w:lang w:val="fr-FR"/>
        </w:rPr>
        <w:tab/>
        <w:t>brouillage électromagnétique (</w:t>
      </w:r>
      <w:r w:rsidRPr="006D3E70">
        <w:rPr>
          <w:i/>
          <w:iCs/>
          <w:lang w:val="fr-FR"/>
        </w:rPr>
        <w:t>electromagnetic interference</w:t>
      </w:r>
      <w:r w:rsidRPr="006D3E70">
        <w:rPr>
          <w:lang w:val="fr-FR"/>
        </w:rPr>
        <w:t>)</w:t>
      </w:r>
    </w:p>
    <w:p w14:paraId="0AE9E2D1" w14:textId="77777777" w:rsidR="00532249" w:rsidRPr="006D3E70" w:rsidRDefault="00532249" w:rsidP="00532249">
      <w:pPr>
        <w:tabs>
          <w:tab w:val="clear" w:pos="794"/>
        </w:tabs>
        <w:rPr>
          <w:lang w:val="fr-FR"/>
        </w:rPr>
      </w:pPr>
      <w:r w:rsidRPr="006D3E70">
        <w:rPr>
          <w:lang w:val="fr-FR"/>
        </w:rPr>
        <w:t>EUT</w:t>
      </w:r>
      <w:r w:rsidRPr="006D3E70">
        <w:rPr>
          <w:lang w:val="fr-FR"/>
        </w:rPr>
        <w:tab/>
        <w:t>équipement testé (</w:t>
      </w:r>
      <w:r w:rsidRPr="006D3E70">
        <w:rPr>
          <w:i/>
          <w:iCs/>
          <w:lang w:val="fr-FR"/>
        </w:rPr>
        <w:t>equipment under test</w:t>
      </w:r>
      <w:r w:rsidRPr="006D3E70">
        <w:rPr>
          <w:lang w:val="fr-FR"/>
        </w:rPr>
        <w:t>)</w:t>
      </w:r>
    </w:p>
    <w:p w14:paraId="49AF29E4" w14:textId="77777777" w:rsidR="00532249" w:rsidRPr="006D3E70" w:rsidRDefault="00532249" w:rsidP="00532249">
      <w:pPr>
        <w:tabs>
          <w:tab w:val="clear" w:pos="794"/>
        </w:tabs>
        <w:rPr>
          <w:lang w:val="fr-FR"/>
        </w:rPr>
      </w:pPr>
      <w:r w:rsidRPr="006D3E70">
        <w:rPr>
          <w:lang w:val="fr-FR"/>
        </w:rPr>
        <w:t>FAR</w:t>
      </w:r>
      <w:r w:rsidRPr="006D3E70">
        <w:rPr>
          <w:lang w:val="fr-FR"/>
        </w:rPr>
        <w:tab/>
        <w:t>chambre totalement anéchoïde (</w:t>
      </w:r>
      <w:r w:rsidRPr="006D3E70">
        <w:rPr>
          <w:i/>
          <w:iCs/>
          <w:lang w:val="fr-FR"/>
        </w:rPr>
        <w:t>fully anechoic room</w:t>
      </w:r>
      <w:r w:rsidRPr="006D3E70">
        <w:rPr>
          <w:lang w:val="fr-FR"/>
        </w:rPr>
        <w:t>)</w:t>
      </w:r>
    </w:p>
    <w:p w14:paraId="5FE6F1FC" w14:textId="77777777" w:rsidR="00532249" w:rsidRPr="006D3E70" w:rsidRDefault="00532249" w:rsidP="00532249">
      <w:pPr>
        <w:tabs>
          <w:tab w:val="clear" w:pos="794"/>
        </w:tabs>
        <w:rPr>
          <w:lang w:val="fr-FR"/>
        </w:rPr>
      </w:pPr>
      <w:r w:rsidRPr="006D3E70">
        <w:rPr>
          <w:lang w:val="fr-FR"/>
        </w:rPr>
        <w:t>FM</w:t>
      </w:r>
      <w:r w:rsidRPr="006D3E70">
        <w:rPr>
          <w:lang w:val="fr-FR"/>
        </w:rPr>
        <w:tab/>
        <w:t>modulation de fréquence (</w:t>
      </w:r>
      <w:r w:rsidRPr="006D3E70">
        <w:rPr>
          <w:i/>
          <w:iCs/>
          <w:lang w:val="fr-FR"/>
        </w:rPr>
        <w:t>frequency modulation</w:t>
      </w:r>
      <w:r w:rsidRPr="006D3E70">
        <w:rPr>
          <w:lang w:val="fr-FR"/>
        </w:rPr>
        <w:t>)</w:t>
      </w:r>
    </w:p>
    <w:p w14:paraId="39DE2870" w14:textId="77777777" w:rsidR="00532249" w:rsidRPr="006D3E70" w:rsidRDefault="00532249" w:rsidP="00532249">
      <w:pPr>
        <w:tabs>
          <w:tab w:val="clear" w:pos="794"/>
        </w:tabs>
        <w:rPr>
          <w:lang w:val="fr-FR"/>
        </w:rPr>
      </w:pPr>
      <w:r w:rsidRPr="006D3E70">
        <w:rPr>
          <w:lang w:val="fr-FR"/>
        </w:rPr>
        <w:t>FWA</w:t>
      </w:r>
      <w:r w:rsidRPr="006D3E70">
        <w:rPr>
          <w:lang w:val="fr-FR"/>
        </w:rPr>
        <w:tab/>
        <w:t>accès hertzien fixe (</w:t>
      </w:r>
      <w:r w:rsidRPr="006D3E70">
        <w:rPr>
          <w:i/>
          <w:iCs/>
          <w:lang w:val="fr-FR"/>
        </w:rPr>
        <w:t>fixed wireless access</w:t>
      </w:r>
      <w:r w:rsidRPr="006D3E70">
        <w:rPr>
          <w:lang w:val="fr-FR"/>
        </w:rPr>
        <w:t>)</w:t>
      </w:r>
    </w:p>
    <w:p w14:paraId="1AC22D00" w14:textId="77777777" w:rsidR="00532249" w:rsidRPr="006D3E70" w:rsidRDefault="00532249" w:rsidP="00532249">
      <w:pPr>
        <w:tabs>
          <w:tab w:val="clear" w:pos="794"/>
        </w:tabs>
        <w:rPr>
          <w:lang w:val="fr-FR"/>
        </w:rPr>
      </w:pPr>
      <w:r w:rsidRPr="006D3E70">
        <w:rPr>
          <w:lang w:val="fr-FR"/>
        </w:rPr>
        <w:t>GSO</w:t>
      </w:r>
      <w:r w:rsidRPr="006D3E70">
        <w:rPr>
          <w:lang w:val="fr-FR"/>
        </w:rPr>
        <w:tab/>
        <w:t>orbite des satellites géostationnaires (</w:t>
      </w:r>
      <w:r w:rsidRPr="006D3E70">
        <w:rPr>
          <w:i/>
          <w:iCs/>
          <w:lang w:val="fr-FR"/>
        </w:rPr>
        <w:t>geostationary-satellite orbit</w:t>
      </w:r>
      <w:r w:rsidRPr="006D3E70">
        <w:rPr>
          <w:lang w:val="fr-FR"/>
        </w:rPr>
        <w:t>)</w:t>
      </w:r>
    </w:p>
    <w:p w14:paraId="26452A73" w14:textId="77777777" w:rsidR="00532249" w:rsidRPr="006D3E70" w:rsidRDefault="00532249" w:rsidP="00532249">
      <w:pPr>
        <w:tabs>
          <w:tab w:val="clear" w:pos="794"/>
        </w:tabs>
        <w:rPr>
          <w:lang w:val="fr-FR"/>
        </w:rPr>
      </w:pPr>
      <w:r w:rsidRPr="006D3E70">
        <w:rPr>
          <w:lang w:val="fr-FR"/>
        </w:rPr>
        <w:t>GTEM</w:t>
      </w:r>
      <w:r w:rsidRPr="006D3E70">
        <w:rPr>
          <w:lang w:val="fr-FR"/>
        </w:rPr>
        <w:tab/>
        <w:t>système à ondes électromagnétiques transverses en gigahertz (</w:t>
      </w:r>
      <w:r w:rsidRPr="006D3E70">
        <w:rPr>
          <w:i/>
          <w:iCs/>
          <w:lang w:val="fr-FR"/>
        </w:rPr>
        <w:t>gigahertz TEM</w:t>
      </w:r>
      <w:r w:rsidRPr="006D3E70">
        <w:rPr>
          <w:lang w:val="fr-FR"/>
        </w:rPr>
        <w:t>)</w:t>
      </w:r>
    </w:p>
    <w:p w14:paraId="467A4243" w14:textId="6EEF4F6F" w:rsidR="00532249" w:rsidRPr="006D3E70" w:rsidRDefault="00532249" w:rsidP="00532249">
      <w:pPr>
        <w:tabs>
          <w:tab w:val="clear" w:pos="794"/>
        </w:tabs>
        <w:rPr>
          <w:lang w:val="fr-FR"/>
        </w:rPr>
      </w:pPr>
      <w:r w:rsidRPr="006D3E70">
        <w:rPr>
          <w:lang w:val="fr-FR"/>
        </w:rPr>
        <w:t>ITE</w:t>
      </w:r>
      <w:r w:rsidRPr="006D3E70">
        <w:rPr>
          <w:lang w:val="fr-FR"/>
        </w:rPr>
        <w:tab/>
        <w:t>matériels de traitement de l</w:t>
      </w:r>
      <w:r w:rsidR="00324C7C" w:rsidRPr="006D3E70">
        <w:rPr>
          <w:lang w:val="fr-FR"/>
        </w:rPr>
        <w:t>'</w:t>
      </w:r>
      <w:r w:rsidRPr="006D3E70">
        <w:rPr>
          <w:lang w:val="fr-FR"/>
        </w:rPr>
        <w:t>information (</w:t>
      </w:r>
      <w:r w:rsidRPr="006D3E70">
        <w:rPr>
          <w:i/>
          <w:iCs/>
          <w:lang w:val="fr-FR"/>
        </w:rPr>
        <w:t>information technology equipment</w:t>
      </w:r>
      <w:r w:rsidRPr="006D3E70">
        <w:rPr>
          <w:lang w:val="fr-FR"/>
        </w:rPr>
        <w:t>)</w:t>
      </w:r>
    </w:p>
    <w:p w14:paraId="5B4CDEED" w14:textId="77777777" w:rsidR="00532249" w:rsidRPr="006D3E70" w:rsidRDefault="00532249" w:rsidP="00532249">
      <w:pPr>
        <w:tabs>
          <w:tab w:val="clear" w:pos="794"/>
        </w:tabs>
        <w:rPr>
          <w:lang w:val="fr-FR"/>
        </w:rPr>
      </w:pPr>
      <w:r w:rsidRPr="006D3E70">
        <w:rPr>
          <w:lang w:val="fr-FR"/>
        </w:rPr>
        <w:t>NB</w:t>
      </w:r>
      <w:r w:rsidRPr="006D3E70">
        <w:rPr>
          <w:lang w:val="fr-FR"/>
        </w:rPr>
        <w:tab/>
        <w:t>largeur de bande nécessaire (</w:t>
      </w:r>
      <w:r w:rsidRPr="006D3E70">
        <w:rPr>
          <w:i/>
          <w:iCs/>
          <w:lang w:val="fr-FR"/>
        </w:rPr>
        <w:t>necessary bandwidth</w:t>
      </w:r>
      <w:r w:rsidRPr="006D3E70">
        <w:rPr>
          <w:lang w:val="fr-FR"/>
        </w:rPr>
        <w:t>)</w:t>
      </w:r>
    </w:p>
    <w:p w14:paraId="2F111B17" w14:textId="114043C7" w:rsidR="00532249" w:rsidRPr="006D3E70" w:rsidRDefault="00532249" w:rsidP="00532249">
      <w:pPr>
        <w:tabs>
          <w:tab w:val="clear" w:pos="794"/>
        </w:tabs>
        <w:rPr>
          <w:lang w:val="fr-FR"/>
        </w:rPr>
      </w:pPr>
      <w:r w:rsidRPr="006D3E70">
        <w:rPr>
          <w:lang w:val="fr-FR"/>
        </w:rPr>
        <w:t>OATS</w:t>
      </w:r>
      <w:r w:rsidRPr="006D3E70">
        <w:rPr>
          <w:lang w:val="fr-FR"/>
        </w:rPr>
        <w:tab/>
        <w:t>site d</w:t>
      </w:r>
      <w:r w:rsidR="00324C7C" w:rsidRPr="006D3E70">
        <w:rPr>
          <w:lang w:val="fr-FR"/>
        </w:rPr>
        <w:t>'</w:t>
      </w:r>
      <w:r w:rsidRPr="006D3E70">
        <w:rPr>
          <w:lang w:val="fr-FR"/>
        </w:rPr>
        <w:t>essai en espace libre (</w:t>
      </w:r>
      <w:r w:rsidRPr="006D3E70">
        <w:rPr>
          <w:i/>
          <w:iCs/>
          <w:lang w:val="fr-FR"/>
        </w:rPr>
        <w:t>open area test site</w:t>
      </w:r>
      <w:r w:rsidRPr="006D3E70">
        <w:rPr>
          <w:lang w:val="fr-FR"/>
        </w:rPr>
        <w:t>)</w:t>
      </w:r>
    </w:p>
    <w:p w14:paraId="3E4917E6" w14:textId="77777777" w:rsidR="00532249" w:rsidRPr="006D3E70" w:rsidRDefault="00532249" w:rsidP="00532249">
      <w:pPr>
        <w:tabs>
          <w:tab w:val="clear" w:pos="794"/>
        </w:tabs>
        <w:rPr>
          <w:lang w:val="fr-FR"/>
        </w:rPr>
      </w:pPr>
      <w:r w:rsidRPr="006D3E70">
        <w:rPr>
          <w:lang w:val="fr-FR"/>
        </w:rPr>
        <w:t>OoB</w:t>
      </w:r>
      <w:r w:rsidRPr="006D3E70">
        <w:rPr>
          <w:lang w:val="fr-FR"/>
        </w:rPr>
        <w:tab/>
        <w:t>hors bande (</w:t>
      </w:r>
      <w:r w:rsidRPr="006D3E70">
        <w:rPr>
          <w:i/>
          <w:iCs/>
          <w:lang w:val="fr-FR"/>
        </w:rPr>
        <w:t>out-of-band</w:t>
      </w:r>
      <w:r w:rsidRPr="006D3E70">
        <w:rPr>
          <w:lang w:val="fr-FR"/>
        </w:rPr>
        <w:t>)</w:t>
      </w:r>
    </w:p>
    <w:p w14:paraId="1526A487" w14:textId="77777777" w:rsidR="00532249" w:rsidRPr="006D3E70" w:rsidRDefault="00532249" w:rsidP="00532249">
      <w:pPr>
        <w:tabs>
          <w:tab w:val="clear" w:pos="794"/>
        </w:tabs>
        <w:rPr>
          <w:lang w:val="fr-FR"/>
        </w:rPr>
      </w:pPr>
      <w:r w:rsidRPr="006D3E70">
        <w:rPr>
          <w:lang w:val="fr-FR"/>
        </w:rPr>
        <w:t>PEP</w:t>
      </w:r>
      <w:r w:rsidRPr="006D3E70">
        <w:rPr>
          <w:lang w:val="fr-FR"/>
        </w:rPr>
        <w:tab/>
        <w:t>puissance en crête (</w:t>
      </w:r>
      <w:r w:rsidRPr="006D3E70">
        <w:rPr>
          <w:i/>
          <w:iCs/>
          <w:lang w:val="fr-FR"/>
        </w:rPr>
        <w:t>peak envelope power</w:t>
      </w:r>
      <w:r w:rsidRPr="006D3E70">
        <w:rPr>
          <w:lang w:val="fr-FR"/>
        </w:rPr>
        <w:t>)</w:t>
      </w:r>
    </w:p>
    <w:p w14:paraId="06829DF2" w14:textId="77777777" w:rsidR="00532249" w:rsidRPr="006D3E70" w:rsidRDefault="00532249" w:rsidP="00532249">
      <w:pPr>
        <w:tabs>
          <w:tab w:val="clear" w:pos="794"/>
        </w:tabs>
        <w:rPr>
          <w:lang w:val="fr-FR"/>
        </w:rPr>
      </w:pPr>
      <w:r w:rsidRPr="006D3E70">
        <w:rPr>
          <w:szCs w:val="22"/>
          <w:lang w:val="fr-FR"/>
        </w:rPr>
        <w:t>PHS</w:t>
      </w:r>
      <w:r w:rsidRPr="006D3E70">
        <w:rPr>
          <w:lang w:val="fr-FR"/>
        </w:rPr>
        <w:tab/>
        <w:t>téléphone portable personnel (</w:t>
      </w:r>
      <w:r w:rsidRPr="006D3E70">
        <w:rPr>
          <w:i/>
          <w:iCs/>
          <w:lang w:val="fr-FR"/>
        </w:rPr>
        <w:t>personal handyphone system</w:t>
      </w:r>
      <w:r w:rsidRPr="006D3E70">
        <w:rPr>
          <w:lang w:val="fr-FR"/>
        </w:rPr>
        <w:t>)</w:t>
      </w:r>
    </w:p>
    <w:p w14:paraId="5BF20AA7" w14:textId="77777777" w:rsidR="00532249" w:rsidRPr="006D3E70" w:rsidRDefault="00532249" w:rsidP="00532249">
      <w:pPr>
        <w:tabs>
          <w:tab w:val="clear" w:pos="794"/>
        </w:tabs>
        <w:rPr>
          <w:lang w:val="fr-FR"/>
        </w:rPr>
      </w:pPr>
      <w:r w:rsidRPr="006D3E70">
        <w:rPr>
          <w:lang w:val="fr-FR"/>
        </w:rPr>
        <w:t>PLB</w:t>
      </w:r>
      <w:r w:rsidRPr="006D3E70">
        <w:rPr>
          <w:lang w:val="fr-FR"/>
        </w:rPr>
        <w:tab/>
        <w:t>balise de localisation personnelle (</w:t>
      </w:r>
      <w:r w:rsidRPr="006D3E70">
        <w:rPr>
          <w:i/>
          <w:iCs/>
          <w:lang w:val="fr-FR"/>
        </w:rPr>
        <w:t>personal location beacon</w:t>
      </w:r>
      <w:r w:rsidRPr="006D3E70">
        <w:rPr>
          <w:lang w:val="fr-FR"/>
        </w:rPr>
        <w:t>)</w:t>
      </w:r>
    </w:p>
    <w:p w14:paraId="6F8F9C48" w14:textId="77777777" w:rsidR="00532249" w:rsidRPr="006D3E70" w:rsidRDefault="00532249" w:rsidP="00532249">
      <w:pPr>
        <w:tabs>
          <w:tab w:val="clear" w:pos="794"/>
        </w:tabs>
        <w:rPr>
          <w:lang w:val="fr-FR"/>
        </w:rPr>
      </w:pPr>
      <w:r w:rsidRPr="006D3E70">
        <w:rPr>
          <w:lang w:val="fr-FR"/>
        </w:rPr>
        <w:t>RLAN</w:t>
      </w:r>
      <w:r w:rsidRPr="006D3E70">
        <w:rPr>
          <w:lang w:val="fr-FR"/>
        </w:rPr>
        <w:tab/>
        <w:t>réseau local hertzien (</w:t>
      </w:r>
      <w:r w:rsidRPr="006D3E70">
        <w:rPr>
          <w:i/>
          <w:iCs/>
          <w:lang w:val="fr-FR"/>
        </w:rPr>
        <w:t>radio local area network</w:t>
      </w:r>
      <w:r w:rsidRPr="006D3E70">
        <w:rPr>
          <w:lang w:val="fr-FR"/>
        </w:rPr>
        <w:t>)</w:t>
      </w:r>
    </w:p>
    <w:p w14:paraId="736B5A68" w14:textId="77777777" w:rsidR="00532249" w:rsidRPr="006D3E70" w:rsidRDefault="00532249" w:rsidP="00532249">
      <w:pPr>
        <w:tabs>
          <w:tab w:val="clear" w:pos="794"/>
        </w:tabs>
        <w:rPr>
          <w:lang w:val="fr-FR"/>
        </w:rPr>
      </w:pPr>
      <w:r w:rsidRPr="006D3E70">
        <w:rPr>
          <w:lang w:val="fr-FR"/>
        </w:rPr>
        <w:t>RLS</w:t>
      </w:r>
      <w:r w:rsidRPr="006D3E70">
        <w:rPr>
          <w:lang w:val="fr-FR"/>
        </w:rPr>
        <w:tab/>
        <w:t>radiobalises de localisation des sinistres</w:t>
      </w:r>
    </w:p>
    <w:p w14:paraId="7878497B" w14:textId="77777777" w:rsidR="00532249" w:rsidRPr="006D3E70" w:rsidRDefault="00532249" w:rsidP="00532249">
      <w:pPr>
        <w:tabs>
          <w:tab w:val="clear" w:pos="794"/>
        </w:tabs>
        <w:rPr>
          <w:lang w:val="fr-FR"/>
        </w:rPr>
      </w:pPr>
      <w:r w:rsidRPr="006D3E70">
        <w:rPr>
          <w:lang w:val="fr-FR" w:eastAsia="zh-CN"/>
        </w:rPr>
        <w:t>RR</w:t>
      </w:r>
      <w:r w:rsidRPr="006D3E70">
        <w:rPr>
          <w:lang w:val="fr-FR" w:eastAsia="zh-CN"/>
        </w:rPr>
        <w:tab/>
        <w:t>règlement des radiocommunications</w:t>
      </w:r>
    </w:p>
    <w:p w14:paraId="39A7DDB5" w14:textId="77777777" w:rsidR="00532249" w:rsidRPr="006D3E70" w:rsidRDefault="00532249" w:rsidP="00532249">
      <w:pPr>
        <w:tabs>
          <w:tab w:val="clear" w:pos="794"/>
        </w:tabs>
        <w:rPr>
          <w:lang w:val="fr-FR"/>
        </w:rPr>
      </w:pPr>
      <w:r w:rsidRPr="006D3E70">
        <w:rPr>
          <w:lang w:val="fr-FR"/>
        </w:rPr>
        <w:t>SAR</w:t>
      </w:r>
      <w:r w:rsidRPr="006D3E70">
        <w:rPr>
          <w:lang w:val="fr-FR"/>
        </w:rPr>
        <w:tab/>
        <w:t>chambre semi-anéchoïde (</w:t>
      </w:r>
      <w:r w:rsidRPr="006D3E70">
        <w:rPr>
          <w:i/>
          <w:iCs/>
          <w:lang w:val="fr-FR"/>
        </w:rPr>
        <w:t>semi-anechoic room</w:t>
      </w:r>
      <w:r w:rsidRPr="006D3E70">
        <w:rPr>
          <w:lang w:val="fr-FR"/>
        </w:rPr>
        <w:t>)</w:t>
      </w:r>
    </w:p>
    <w:p w14:paraId="77F1437D" w14:textId="77777777" w:rsidR="00532249" w:rsidRPr="006D3E70" w:rsidRDefault="00532249" w:rsidP="00532249">
      <w:pPr>
        <w:tabs>
          <w:tab w:val="clear" w:pos="794"/>
        </w:tabs>
        <w:rPr>
          <w:lang w:val="fr-FR"/>
        </w:rPr>
      </w:pPr>
      <w:r w:rsidRPr="006D3E70">
        <w:rPr>
          <w:lang w:val="fr-FR"/>
        </w:rPr>
        <w:t>SART</w:t>
      </w:r>
      <w:r w:rsidRPr="006D3E70">
        <w:rPr>
          <w:lang w:val="fr-FR"/>
        </w:rPr>
        <w:tab/>
        <w:t>transpondeur de recherche et de sauvetage (</w:t>
      </w:r>
      <w:r w:rsidRPr="006D3E70">
        <w:rPr>
          <w:i/>
          <w:iCs/>
          <w:lang w:val="fr-FR"/>
        </w:rPr>
        <w:t>search and rescue transponder</w:t>
      </w:r>
      <w:r w:rsidRPr="006D3E70">
        <w:rPr>
          <w:lang w:val="fr-FR"/>
        </w:rPr>
        <w:t>)</w:t>
      </w:r>
    </w:p>
    <w:p w14:paraId="7DB71156" w14:textId="77777777" w:rsidR="00532249" w:rsidRPr="006D3E70" w:rsidRDefault="00532249" w:rsidP="00532249">
      <w:pPr>
        <w:tabs>
          <w:tab w:val="clear" w:pos="794"/>
        </w:tabs>
        <w:rPr>
          <w:lang w:val="fr-FR"/>
        </w:rPr>
      </w:pPr>
      <w:r w:rsidRPr="006D3E70">
        <w:rPr>
          <w:lang w:val="fr-FR"/>
        </w:rPr>
        <w:lastRenderedPageBreak/>
        <w:t>SI</w:t>
      </w:r>
      <w:r w:rsidRPr="006D3E70">
        <w:rPr>
          <w:lang w:val="fr-FR"/>
        </w:rPr>
        <w:tab/>
        <w:t>système international (</w:t>
      </w:r>
      <w:r w:rsidRPr="006D3E70">
        <w:rPr>
          <w:i/>
          <w:iCs/>
          <w:lang w:val="fr-FR"/>
        </w:rPr>
        <w:t>international system</w:t>
      </w:r>
      <w:r w:rsidRPr="006D3E70">
        <w:rPr>
          <w:lang w:val="fr-FR"/>
        </w:rPr>
        <w:t>)</w:t>
      </w:r>
    </w:p>
    <w:p w14:paraId="7321050D" w14:textId="77777777" w:rsidR="00532249" w:rsidRPr="006D3E70" w:rsidRDefault="00532249" w:rsidP="00532249">
      <w:pPr>
        <w:tabs>
          <w:tab w:val="clear" w:pos="794"/>
        </w:tabs>
        <w:rPr>
          <w:lang w:val="fr-FR"/>
        </w:rPr>
      </w:pPr>
      <w:r w:rsidRPr="006D3E70">
        <w:rPr>
          <w:lang w:val="fr-FR"/>
        </w:rPr>
        <w:t>SMC</w:t>
      </w:r>
      <w:r w:rsidRPr="006D3E70">
        <w:rPr>
          <w:lang w:val="fr-FR"/>
        </w:rPr>
        <w:tab/>
        <w:t>chambre à agitateur (</w:t>
      </w:r>
      <w:r w:rsidRPr="006D3E70">
        <w:rPr>
          <w:i/>
          <w:iCs/>
          <w:lang w:val="fr-FR"/>
        </w:rPr>
        <w:t>stirred mode chamber</w:t>
      </w:r>
      <w:r w:rsidRPr="006D3E70">
        <w:rPr>
          <w:lang w:val="fr-FR"/>
        </w:rPr>
        <w:t>)</w:t>
      </w:r>
    </w:p>
    <w:p w14:paraId="54CBCAD1" w14:textId="77777777" w:rsidR="00532249" w:rsidRPr="006D3E70" w:rsidRDefault="00532249" w:rsidP="00532249">
      <w:pPr>
        <w:tabs>
          <w:tab w:val="clear" w:pos="794"/>
        </w:tabs>
        <w:rPr>
          <w:lang w:val="fr-FR"/>
        </w:rPr>
      </w:pPr>
      <w:r w:rsidRPr="006D3E70">
        <w:rPr>
          <w:lang w:val="fr-FR"/>
        </w:rPr>
        <w:t>SSB</w:t>
      </w:r>
      <w:r w:rsidRPr="006D3E70">
        <w:rPr>
          <w:lang w:val="fr-FR"/>
        </w:rPr>
        <w:tab/>
        <w:t>bande latérale unique (</w:t>
      </w:r>
      <w:r w:rsidRPr="006D3E70">
        <w:rPr>
          <w:i/>
          <w:iCs/>
          <w:lang w:val="fr-FR"/>
        </w:rPr>
        <w:t>single sideband</w:t>
      </w:r>
      <w:r w:rsidRPr="006D3E70">
        <w:rPr>
          <w:lang w:val="fr-FR"/>
        </w:rPr>
        <w:t>)</w:t>
      </w:r>
    </w:p>
    <w:p w14:paraId="2930A0F3" w14:textId="77777777" w:rsidR="00532249" w:rsidRPr="006D3E70" w:rsidRDefault="00532249" w:rsidP="00532249">
      <w:pPr>
        <w:tabs>
          <w:tab w:val="clear" w:pos="794"/>
        </w:tabs>
        <w:rPr>
          <w:lang w:val="fr-FR"/>
        </w:rPr>
      </w:pPr>
      <w:r w:rsidRPr="006D3E70">
        <w:rPr>
          <w:lang w:val="fr-FR"/>
        </w:rPr>
        <w:t>TDMA</w:t>
      </w:r>
      <w:r w:rsidRPr="006D3E70">
        <w:rPr>
          <w:lang w:val="fr-FR"/>
        </w:rPr>
        <w:tab/>
        <w:t>accès multiple par répartition dans le temps (</w:t>
      </w:r>
      <w:r w:rsidRPr="006D3E70">
        <w:rPr>
          <w:i/>
          <w:iCs/>
          <w:lang w:val="fr-FR"/>
        </w:rPr>
        <w:t>time division multiple access</w:t>
      </w:r>
      <w:r w:rsidRPr="006D3E70">
        <w:rPr>
          <w:lang w:val="fr-FR"/>
        </w:rPr>
        <w:t>)</w:t>
      </w:r>
    </w:p>
    <w:p w14:paraId="499B48C4" w14:textId="77777777" w:rsidR="00532249" w:rsidRPr="006D3E70" w:rsidRDefault="00532249" w:rsidP="00532249">
      <w:pPr>
        <w:tabs>
          <w:tab w:val="clear" w:pos="794"/>
        </w:tabs>
        <w:rPr>
          <w:lang w:val="fr-FR"/>
        </w:rPr>
      </w:pPr>
      <w:r w:rsidRPr="006D3E70">
        <w:rPr>
          <w:lang w:val="fr-FR"/>
        </w:rPr>
        <w:t>TEM</w:t>
      </w:r>
      <w:r w:rsidRPr="006D3E70">
        <w:rPr>
          <w:lang w:val="fr-FR"/>
        </w:rPr>
        <w:tab/>
        <w:t>ondes électromagnétiques transverses (</w:t>
      </w:r>
      <w:r w:rsidRPr="006D3E70">
        <w:rPr>
          <w:i/>
          <w:iCs/>
          <w:lang w:val="fr-FR"/>
        </w:rPr>
        <w:t>transverse electromagnetic</w:t>
      </w:r>
      <w:r w:rsidRPr="006D3E70">
        <w:rPr>
          <w:lang w:val="fr-FR"/>
        </w:rPr>
        <w:t>)</w:t>
      </w:r>
    </w:p>
    <w:p w14:paraId="654373C6" w14:textId="77777777" w:rsidR="00532249" w:rsidRPr="006D3E70" w:rsidRDefault="00532249" w:rsidP="00532249">
      <w:pPr>
        <w:tabs>
          <w:tab w:val="clear" w:pos="794"/>
        </w:tabs>
        <w:rPr>
          <w:lang w:val="fr-FR"/>
        </w:rPr>
      </w:pPr>
      <w:r w:rsidRPr="006D3E70">
        <w:rPr>
          <w:lang w:val="fr-FR"/>
        </w:rPr>
        <w:t>VEI</w:t>
      </w:r>
      <w:r w:rsidRPr="006D3E70">
        <w:rPr>
          <w:lang w:val="fr-FR"/>
        </w:rPr>
        <w:tab/>
        <w:t>vocabulaire électrotechnique international</w:t>
      </w:r>
    </w:p>
    <w:p w14:paraId="67BD5456" w14:textId="77777777" w:rsidR="00532249" w:rsidRPr="006D3E70" w:rsidRDefault="00532249" w:rsidP="00532249">
      <w:pPr>
        <w:tabs>
          <w:tab w:val="clear" w:pos="794"/>
        </w:tabs>
        <w:rPr>
          <w:lang w:val="fr-FR"/>
        </w:rPr>
      </w:pPr>
      <w:r w:rsidRPr="006D3E70">
        <w:rPr>
          <w:lang w:val="fr-FR"/>
        </w:rPr>
        <w:t>VSAT</w:t>
      </w:r>
      <w:r w:rsidRPr="006D3E70">
        <w:rPr>
          <w:lang w:val="fr-FR"/>
        </w:rPr>
        <w:tab/>
        <w:t>microstation (</w:t>
      </w:r>
      <w:r w:rsidRPr="006D3E70">
        <w:rPr>
          <w:i/>
          <w:iCs/>
          <w:lang w:val="fr-FR"/>
        </w:rPr>
        <w:t>very small aperture terminal</w:t>
      </w:r>
      <w:r w:rsidRPr="006D3E70">
        <w:rPr>
          <w:lang w:val="fr-FR"/>
        </w:rPr>
        <w:t>)</w:t>
      </w:r>
    </w:p>
    <w:p w14:paraId="6559462D" w14:textId="37B82B66" w:rsidR="00532249" w:rsidRPr="006D3E70" w:rsidRDefault="00532249" w:rsidP="00532249">
      <w:pPr>
        <w:tabs>
          <w:tab w:val="clear" w:pos="794"/>
          <w:tab w:val="left" w:pos="1276"/>
        </w:tabs>
        <w:rPr>
          <w:lang w:val="fr-FR"/>
        </w:rPr>
      </w:pPr>
      <w:r w:rsidRPr="006D3E70">
        <w:rPr>
          <w:lang w:val="fr-FR"/>
        </w:rPr>
        <w:t>YIG</w:t>
      </w:r>
      <w:r w:rsidRPr="006D3E70">
        <w:rPr>
          <w:lang w:val="fr-FR"/>
        </w:rPr>
        <w:tab/>
        <w:t>grenat-ytrrium-fer (</w:t>
      </w:r>
      <w:r w:rsidRPr="006D3E70">
        <w:rPr>
          <w:i/>
          <w:iCs/>
          <w:lang w:val="fr-FR"/>
        </w:rPr>
        <w:t>yttrium-iron-garnet</w:t>
      </w:r>
      <w:r w:rsidRPr="006D3E70">
        <w:rPr>
          <w:lang w:val="fr-FR"/>
        </w:rPr>
        <w:t>)</w:t>
      </w:r>
    </w:p>
    <w:p w14:paraId="69AFA7B9" w14:textId="407C0076" w:rsidR="00532249" w:rsidRPr="006D3E70" w:rsidRDefault="00532249" w:rsidP="00532249">
      <w:pPr>
        <w:pStyle w:val="Normalaftertitle"/>
        <w:rPr>
          <w:lang w:val="fr-FR"/>
        </w:rPr>
      </w:pPr>
      <w:r w:rsidRPr="006D3E70">
        <w:rPr>
          <w:lang w:val="fr-FR"/>
        </w:rPr>
        <w:t>L</w:t>
      </w:r>
      <w:r w:rsidR="00324C7C" w:rsidRPr="006D3E70">
        <w:rPr>
          <w:lang w:val="fr-FR"/>
        </w:rPr>
        <w:t>'</w:t>
      </w:r>
      <w:r w:rsidRPr="006D3E70">
        <w:rPr>
          <w:lang w:val="fr-FR"/>
        </w:rPr>
        <w:t>Assemblée des radiocommunications de l</w:t>
      </w:r>
      <w:r w:rsidR="00324C7C" w:rsidRPr="006D3E70">
        <w:rPr>
          <w:lang w:val="fr-FR"/>
        </w:rPr>
        <w:t>'</w:t>
      </w:r>
      <w:r w:rsidRPr="006D3E70">
        <w:rPr>
          <w:lang w:val="fr-FR"/>
        </w:rPr>
        <w:t>UIT,</w:t>
      </w:r>
    </w:p>
    <w:p w14:paraId="12C25115" w14:textId="77777777" w:rsidR="00532249" w:rsidRPr="006D3E70" w:rsidRDefault="00532249" w:rsidP="00532249">
      <w:pPr>
        <w:pStyle w:val="Call"/>
        <w:rPr>
          <w:lang w:val="fr-FR"/>
        </w:rPr>
      </w:pPr>
      <w:r w:rsidRPr="006D3E70">
        <w:rPr>
          <w:lang w:val="fr-FR"/>
        </w:rPr>
        <w:t>considérant</w:t>
      </w:r>
    </w:p>
    <w:p w14:paraId="43AD432F" w14:textId="15156A69" w:rsidR="00532249" w:rsidRPr="006D3E70" w:rsidRDefault="00532249" w:rsidP="00532249">
      <w:pPr>
        <w:rPr>
          <w:lang w:val="fr-FR"/>
        </w:rPr>
      </w:pPr>
      <w:r w:rsidRPr="006D3E70">
        <w:rPr>
          <w:i/>
          <w:iCs/>
          <w:lang w:val="fr-FR"/>
        </w:rPr>
        <w:t>a)</w:t>
      </w:r>
      <w:r w:rsidRPr="006D3E70">
        <w:rPr>
          <w:lang w:val="fr-FR"/>
        </w:rPr>
        <w:tab/>
        <w:t>qu</w:t>
      </w:r>
      <w:r w:rsidR="00324C7C" w:rsidRPr="006D3E70">
        <w:rPr>
          <w:lang w:val="fr-FR"/>
        </w:rPr>
        <w:t>'</w:t>
      </w:r>
      <w:r w:rsidRPr="006D3E70">
        <w:rPr>
          <w:lang w:val="fr-FR"/>
        </w:rPr>
        <w:t>un problème se pose dans l</w:t>
      </w:r>
      <w:r w:rsidR="00324C7C" w:rsidRPr="006D3E70">
        <w:rPr>
          <w:lang w:val="fr-FR"/>
        </w:rPr>
        <w:t>'</w:t>
      </w:r>
      <w:r w:rsidRPr="006D3E70">
        <w:rPr>
          <w:lang w:val="fr-FR"/>
        </w:rPr>
        <w:t>application des limites aux rayonnements non désirés dans le domaine des rayonnements non essentiels car il est difficile de connaître avec précision la largeur de bande nécessaire et de déterminer exactement à partir de quelle fréquence les limites du domaine des rayonnements non essentiels sont applicables et particulièrement pour ce qui est des services utilisant des émissions à large bande ou à modulation numérique qui peuvent comporter à la fois des composantes non essentielles proches du bruit et d</w:t>
      </w:r>
      <w:r w:rsidR="00324C7C" w:rsidRPr="006D3E70">
        <w:rPr>
          <w:lang w:val="fr-FR"/>
        </w:rPr>
        <w:t>'</w:t>
      </w:r>
      <w:r w:rsidRPr="006D3E70">
        <w:rPr>
          <w:lang w:val="fr-FR"/>
        </w:rPr>
        <w:t>autres composantes discrètes non essentielles;</w:t>
      </w:r>
    </w:p>
    <w:p w14:paraId="68F73086" w14:textId="23130F42" w:rsidR="00532249" w:rsidRPr="006D3E70" w:rsidRDefault="00532249" w:rsidP="00532249">
      <w:pPr>
        <w:rPr>
          <w:lang w:val="fr-FR"/>
        </w:rPr>
      </w:pPr>
      <w:r w:rsidRPr="006D3E70">
        <w:rPr>
          <w:i/>
          <w:iCs/>
          <w:lang w:val="fr-FR"/>
        </w:rPr>
        <w:t>b)</w:t>
      </w:r>
      <w:r w:rsidRPr="006D3E70">
        <w:rPr>
          <w:lang w:val="fr-FR"/>
        </w:rPr>
        <w:tab/>
        <w:t>qu</w:t>
      </w:r>
      <w:r w:rsidR="00324C7C" w:rsidRPr="006D3E70">
        <w:rPr>
          <w:lang w:val="fr-FR"/>
        </w:rPr>
        <w:t>'</w:t>
      </w:r>
      <w:r w:rsidRPr="006D3E70">
        <w:rPr>
          <w:lang w:val="fr-FR"/>
        </w:rPr>
        <w:t>il est nécessaire, pour protéger tous les services de radiocommunication, de limiter le niveau maximal autorisé des rayonnements dans le domaine des rayonnements non essentiels</w:t>
      </w:r>
      <w:r w:rsidRPr="006D3E70">
        <w:rPr>
          <w:rStyle w:val="FootnoteReference"/>
          <w:lang w:val="fr-FR"/>
        </w:rPr>
        <w:footnoteReference w:customMarkFollows="1" w:id="2"/>
        <w:t>1</w:t>
      </w:r>
      <w:r w:rsidRPr="006D3E70">
        <w:rPr>
          <w:lang w:val="fr-FR"/>
        </w:rPr>
        <w:t xml:space="preserve"> sur la fréquence ou les fréquences de chacun de ces rayonnements dans le domaine des rayonnements non essentiels;</w:t>
      </w:r>
    </w:p>
    <w:p w14:paraId="6E0D6556" w14:textId="1E39229A" w:rsidR="00532249" w:rsidRPr="006D3E70" w:rsidRDefault="00532249" w:rsidP="00532249">
      <w:pPr>
        <w:rPr>
          <w:lang w:val="fr-FR"/>
        </w:rPr>
      </w:pPr>
      <w:r w:rsidRPr="006D3E70">
        <w:rPr>
          <w:i/>
          <w:iCs/>
          <w:lang w:val="fr-FR"/>
        </w:rPr>
        <w:t>c)</w:t>
      </w:r>
      <w:r w:rsidRPr="006D3E70">
        <w:rPr>
          <w:lang w:val="fr-FR"/>
        </w:rPr>
        <w:tab/>
        <w:t>que même si l</w:t>
      </w:r>
      <w:r w:rsidR="00324C7C" w:rsidRPr="006D3E70">
        <w:rPr>
          <w:lang w:val="fr-FR"/>
        </w:rPr>
        <w:t>'</w:t>
      </w:r>
      <w:r w:rsidRPr="006D3E70">
        <w:rPr>
          <w:lang w:val="fr-FR"/>
        </w:rPr>
        <w:t>application de limites strictes peut conduire à rendre les équipements radioélectriques plus volumineux ou plus complexes, elle assurera en général une meilleure protection des autres services de radiocommunication contre les brouillages;</w:t>
      </w:r>
    </w:p>
    <w:p w14:paraId="12F57A39" w14:textId="1031202A" w:rsidR="00532249" w:rsidRPr="006D3E70" w:rsidRDefault="00532249" w:rsidP="00532249">
      <w:pPr>
        <w:rPr>
          <w:lang w:val="fr-FR"/>
        </w:rPr>
      </w:pPr>
      <w:r w:rsidRPr="006D3E70">
        <w:rPr>
          <w:i/>
          <w:iCs/>
          <w:lang w:val="fr-FR"/>
        </w:rPr>
        <w:t>d)</w:t>
      </w:r>
      <w:r w:rsidRPr="006D3E70">
        <w:rPr>
          <w:lang w:val="fr-FR"/>
        </w:rPr>
        <w:tab/>
        <w:t>que tout doit être mis en œuvre pour maintenir les limites des rayonnements non désirés dans le domaine des émissions hors bande et dans le domaine des rayonnements non essentiels, pour les nouveaux services ou pour les services existants, aux valeurs les plus faibles possibles, compte tenu du type et de la nature des services de radiocommunication concernés, des facteurs économiques et des contraintes techniques, ainsi que de la difficulté qu</w:t>
      </w:r>
      <w:r w:rsidR="00324C7C" w:rsidRPr="006D3E70">
        <w:rPr>
          <w:lang w:val="fr-FR"/>
        </w:rPr>
        <w:t>'</w:t>
      </w:r>
      <w:r w:rsidRPr="006D3E70">
        <w:rPr>
          <w:lang w:val="fr-FR"/>
        </w:rPr>
        <w:t>il peut y avoir à supprimer les rayonnements harmoniques émis par certains émetteurs à grande puissance;</w:t>
      </w:r>
    </w:p>
    <w:p w14:paraId="6E5E986C" w14:textId="506B5278" w:rsidR="00532249" w:rsidRPr="006D3E70" w:rsidRDefault="00532249" w:rsidP="00532249">
      <w:pPr>
        <w:keepLines/>
        <w:rPr>
          <w:lang w:val="fr-FR"/>
        </w:rPr>
      </w:pPr>
      <w:r w:rsidRPr="006D3E70">
        <w:rPr>
          <w:i/>
          <w:iCs/>
          <w:lang w:val="fr-FR"/>
        </w:rPr>
        <w:t>e)</w:t>
      </w:r>
      <w:r w:rsidRPr="006D3E70">
        <w:rPr>
          <w:lang w:val="fr-FR"/>
        </w:rPr>
        <w:tab/>
        <w:t>qu</w:t>
      </w:r>
      <w:r w:rsidR="00324C7C" w:rsidRPr="006D3E70">
        <w:rPr>
          <w:lang w:val="fr-FR"/>
        </w:rPr>
        <w:t>'</w:t>
      </w:r>
      <w:r w:rsidRPr="006D3E70">
        <w:rPr>
          <w:lang w:val="fr-FR"/>
        </w:rPr>
        <w:t>il est nécessaire de définir les méthodes, les unités de mesure ainsi que les largeurs de bande à utiliser pour mesurer la puissance à des fréquences autres que la fréquence centrale afin de faciliter l</w:t>
      </w:r>
      <w:r w:rsidR="00324C7C" w:rsidRPr="006D3E70">
        <w:rPr>
          <w:lang w:val="fr-FR"/>
        </w:rPr>
        <w:t>'</w:t>
      </w:r>
      <w:r w:rsidRPr="006D3E70">
        <w:rPr>
          <w:lang w:val="fr-FR"/>
        </w:rPr>
        <w:t>utilisation de moyens rationnels, simples et efficaces de réduction des rayonnements non désirés;</w:t>
      </w:r>
    </w:p>
    <w:p w14:paraId="3E0A5E85" w14:textId="40F7B3A7" w:rsidR="00532249" w:rsidRPr="006D3E70" w:rsidRDefault="00532249" w:rsidP="00532249">
      <w:pPr>
        <w:rPr>
          <w:lang w:val="fr-FR"/>
        </w:rPr>
      </w:pPr>
      <w:r w:rsidRPr="006D3E70">
        <w:rPr>
          <w:i/>
          <w:iCs/>
          <w:lang w:val="fr-FR"/>
        </w:rPr>
        <w:t>f)</w:t>
      </w:r>
      <w:r w:rsidRPr="006D3E70">
        <w:rPr>
          <w:lang w:val="fr-FR"/>
        </w:rPr>
        <w:tab/>
        <w:t>que la relation entre la puissance fournie à l</w:t>
      </w:r>
      <w:r w:rsidR="00324C7C" w:rsidRPr="006D3E70">
        <w:rPr>
          <w:lang w:val="fr-FR"/>
        </w:rPr>
        <w:t>'</w:t>
      </w:r>
      <w:r w:rsidRPr="006D3E70">
        <w:rPr>
          <w:lang w:val="fr-FR"/>
        </w:rPr>
        <w:t>antenne aux fréquences des rayonnements du domaine des rayonnements non essentiels et le champ des signaux correspondants, mesurée en un lieu éloigné de l</w:t>
      </w:r>
      <w:r w:rsidR="00324C7C" w:rsidRPr="006D3E70">
        <w:rPr>
          <w:lang w:val="fr-FR"/>
        </w:rPr>
        <w:t>'</w:t>
      </w:r>
      <w:r w:rsidRPr="006D3E70">
        <w:rPr>
          <w:lang w:val="fr-FR"/>
        </w:rPr>
        <w:t>émetteur, peut varier d</w:t>
      </w:r>
      <w:r w:rsidR="00324C7C" w:rsidRPr="006D3E70">
        <w:rPr>
          <w:lang w:val="fr-FR"/>
        </w:rPr>
        <w:t>'</w:t>
      </w:r>
      <w:r w:rsidRPr="006D3E70">
        <w:rPr>
          <w:lang w:val="fr-FR"/>
        </w:rPr>
        <w:t>une façon importante par suite de divers facteurs tels que les caractéristiques de l</w:t>
      </w:r>
      <w:r w:rsidR="00324C7C" w:rsidRPr="006D3E70">
        <w:rPr>
          <w:lang w:val="fr-FR"/>
        </w:rPr>
        <w:t>'</w:t>
      </w:r>
      <w:r w:rsidRPr="006D3E70">
        <w:rPr>
          <w:lang w:val="fr-FR"/>
        </w:rPr>
        <w:t>antenne aux fréquences des rayonnements dans le domaine des rayonnements non essentiels, les anomalies de propagation suivant des trajets divers et le rayonnement des parties de l</w:t>
      </w:r>
      <w:r w:rsidR="00324C7C" w:rsidRPr="006D3E70">
        <w:rPr>
          <w:lang w:val="fr-FR"/>
        </w:rPr>
        <w:t>'</w:t>
      </w:r>
      <w:r w:rsidRPr="006D3E70">
        <w:rPr>
          <w:lang w:val="fr-FR"/>
        </w:rPr>
        <w:t>installation d</w:t>
      </w:r>
      <w:r w:rsidR="00324C7C" w:rsidRPr="006D3E70">
        <w:rPr>
          <w:lang w:val="fr-FR"/>
        </w:rPr>
        <w:t>'</w:t>
      </w:r>
      <w:r w:rsidRPr="006D3E70">
        <w:rPr>
          <w:lang w:val="fr-FR"/>
        </w:rPr>
        <w:t>émission autres que l</w:t>
      </w:r>
      <w:r w:rsidR="00324C7C" w:rsidRPr="006D3E70">
        <w:rPr>
          <w:lang w:val="fr-FR"/>
        </w:rPr>
        <w:t>'</w:t>
      </w:r>
      <w:r w:rsidRPr="006D3E70">
        <w:rPr>
          <w:lang w:val="fr-FR"/>
        </w:rPr>
        <w:t>antenne proprement dite;</w:t>
      </w:r>
    </w:p>
    <w:p w14:paraId="2ED8F4C0" w14:textId="5774E05C" w:rsidR="00532249" w:rsidRPr="006D3E70" w:rsidRDefault="00532249" w:rsidP="00532249">
      <w:pPr>
        <w:rPr>
          <w:lang w:val="fr-FR"/>
        </w:rPr>
      </w:pPr>
      <w:r w:rsidRPr="006D3E70">
        <w:rPr>
          <w:i/>
          <w:iCs/>
          <w:lang w:val="fr-FR"/>
        </w:rPr>
        <w:lastRenderedPageBreak/>
        <w:t>g)</w:t>
      </w:r>
      <w:r w:rsidRPr="006D3E70">
        <w:rPr>
          <w:lang w:val="fr-FR"/>
        </w:rPr>
        <w:tab/>
        <w:t>qu</w:t>
      </w:r>
      <w:r w:rsidR="00324C7C" w:rsidRPr="006D3E70">
        <w:rPr>
          <w:lang w:val="fr-FR"/>
        </w:rPr>
        <w:t>'</w:t>
      </w:r>
      <w:r w:rsidRPr="006D3E70">
        <w:rPr>
          <w:lang w:val="fr-FR"/>
        </w:rPr>
        <w:t>il est reconnu que la mesure de champ ou de la puissance surfacique des rayonnements non désirés en un point éloigné de l</w:t>
      </w:r>
      <w:r w:rsidR="00324C7C" w:rsidRPr="006D3E70">
        <w:rPr>
          <w:lang w:val="fr-FR"/>
        </w:rPr>
        <w:t>'</w:t>
      </w:r>
      <w:r w:rsidRPr="006D3E70">
        <w:rPr>
          <w:lang w:val="fr-FR"/>
        </w:rPr>
        <w:t>émetteur est un procédé permettant d</w:t>
      </w:r>
      <w:r w:rsidR="00324C7C" w:rsidRPr="006D3E70">
        <w:rPr>
          <w:lang w:val="fr-FR"/>
        </w:rPr>
        <w:t>'</w:t>
      </w:r>
      <w:r w:rsidRPr="006D3E70">
        <w:rPr>
          <w:lang w:val="fr-FR"/>
        </w:rPr>
        <w:t>exprimer directement l</w:t>
      </w:r>
      <w:r w:rsidR="00324C7C" w:rsidRPr="006D3E70">
        <w:rPr>
          <w:lang w:val="fr-FR"/>
        </w:rPr>
        <w:t>'</w:t>
      </w:r>
      <w:r w:rsidRPr="006D3E70">
        <w:rPr>
          <w:lang w:val="fr-FR"/>
        </w:rPr>
        <w:t>intensité des brouillages dus à de tels rayonnements;</w:t>
      </w:r>
    </w:p>
    <w:p w14:paraId="54323AD2" w14:textId="7B92C737" w:rsidR="00532249" w:rsidRPr="006D3E70" w:rsidRDefault="00532249" w:rsidP="00532249">
      <w:pPr>
        <w:rPr>
          <w:lang w:val="fr-FR"/>
        </w:rPr>
      </w:pPr>
      <w:r w:rsidRPr="006D3E70">
        <w:rPr>
          <w:i/>
          <w:iCs/>
          <w:lang w:val="fr-FR"/>
        </w:rPr>
        <w:t>h)</w:t>
      </w:r>
      <w:r w:rsidRPr="006D3E70">
        <w:rPr>
          <w:lang w:val="fr-FR"/>
        </w:rPr>
        <w:tab/>
        <w:t>que lorsqu</w:t>
      </w:r>
      <w:r w:rsidR="00324C7C" w:rsidRPr="006D3E70">
        <w:rPr>
          <w:lang w:val="fr-FR"/>
        </w:rPr>
        <w:t>'</w:t>
      </w:r>
      <w:r w:rsidRPr="006D3E70">
        <w:rPr>
          <w:lang w:val="fr-FR"/>
        </w:rPr>
        <w:t>il s</w:t>
      </w:r>
      <w:r w:rsidR="00324C7C" w:rsidRPr="006D3E70">
        <w:rPr>
          <w:lang w:val="fr-FR"/>
        </w:rPr>
        <w:t>'</w:t>
      </w:r>
      <w:r w:rsidRPr="006D3E70">
        <w:rPr>
          <w:lang w:val="fr-FR"/>
        </w:rPr>
        <w:t>agit des fréquences centrales d</w:t>
      </w:r>
      <w:r w:rsidR="00324C7C" w:rsidRPr="006D3E70">
        <w:rPr>
          <w:lang w:val="fr-FR"/>
        </w:rPr>
        <w:t>'</w:t>
      </w:r>
      <w:r w:rsidRPr="006D3E70">
        <w:rPr>
          <w:lang w:val="fr-FR"/>
        </w:rPr>
        <w:t>une émission, les administrations ont coutume de déterminer la puissance fournie à la ligne d</w:t>
      </w:r>
      <w:r w:rsidR="00324C7C" w:rsidRPr="006D3E70">
        <w:rPr>
          <w:lang w:val="fr-FR"/>
        </w:rPr>
        <w:t>'</w:t>
      </w:r>
      <w:r w:rsidRPr="006D3E70">
        <w:rPr>
          <w:lang w:val="fr-FR"/>
        </w:rPr>
        <w:t>alimentation de l</w:t>
      </w:r>
      <w:r w:rsidR="00324C7C" w:rsidRPr="006D3E70">
        <w:rPr>
          <w:lang w:val="fr-FR"/>
        </w:rPr>
        <w:t>'</w:t>
      </w:r>
      <w:r w:rsidRPr="006D3E70">
        <w:rPr>
          <w:lang w:val="fr-FR"/>
        </w:rPr>
        <w:t>antenne ou de mesurer le champ ou la densité à une certaine distance afin de chercher à résoudre les cas de brouillage causés par un rayonnement dans le domaine des rayonnements non essentiels à une autre émission autorisée; qu</w:t>
      </w:r>
      <w:r w:rsidR="00324C7C" w:rsidRPr="006D3E70">
        <w:rPr>
          <w:lang w:val="fr-FR"/>
        </w:rPr>
        <w:t>'</w:t>
      </w:r>
      <w:r w:rsidRPr="006D3E70">
        <w:rPr>
          <w:lang w:val="fr-FR"/>
        </w:rPr>
        <w:t>une procédure analogue et cohérente serait utile pour traiter des rayonnements dans le domaine des rayonnements non essentiels (voir l</w:t>
      </w:r>
      <w:r w:rsidR="00324C7C" w:rsidRPr="006D3E70">
        <w:rPr>
          <w:lang w:val="fr-FR"/>
        </w:rPr>
        <w:t>'</w:t>
      </w:r>
      <w:r w:rsidRPr="006D3E70">
        <w:rPr>
          <w:lang w:val="fr-FR"/>
        </w:rPr>
        <w:t>Article </w:t>
      </w:r>
      <w:r w:rsidRPr="006D3E70">
        <w:rPr>
          <w:b/>
          <w:bCs/>
          <w:lang w:val="fr-FR"/>
        </w:rPr>
        <w:t>15</w:t>
      </w:r>
      <w:r w:rsidRPr="006D3E70">
        <w:rPr>
          <w:lang w:val="fr-FR"/>
        </w:rPr>
        <w:t>, numéro </w:t>
      </w:r>
      <w:r w:rsidRPr="006D3E70">
        <w:rPr>
          <w:b/>
          <w:bCs/>
          <w:lang w:val="fr-FR"/>
        </w:rPr>
        <w:t>15.11</w:t>
      </w:r>
      <w:r w:rsidRPr="006D3E70">
        <w:rPr>
          <w:lang w:val="fr-FR"/>
        </w:rPr>
        <w:t xml:space="preserve"> du RR);</w:t>
      </w:r>
    </w:p>
    <w:p w14:paraId="260778A9" w14:textId="269FB591" w:rsidR="00532249" w:rsidRPr="006D3E70" w:rsidRDefault="00532249" w:rsidP="00532249">
      <w:pPr>
        <w:rPr>
          <w:lang w:val="fr-FR"/>
        </w:rPr>
      </w:pPr>
      <w:r w:rsidRPr="006D3E70">
        <w:rPr>
          <w:i/>
          <w:iCs/>
          <w:lang w:val="fr-FR"/>
        </w:rPr>
        <w:t>i)</w:t>
      </w:r>
      <w:r w:rsidRPr="006D3E70">
        <w:rPr>
          <w:lang w:val="fr-FR"/>
        </w:rPr>
        <w:tab/>
        <w:t>que, pour assurer une utilisation la plus rationnelle et la plus efficace possible du spectre, il est nécessaire d</w:t>
      </w:r>
      <w:r w:rsidR="00324C7C" w:rsidRPr="006D3E70">
        <w:rPr>
          <w:lang w:val="fr-FR"/>
        </w:rPr>
        <w:t>'</w:t>
      </w:r>
      <w:r w:rsidRPr="006D3E70">
        <w:rPr>
          <w:lang w:val="fr-FR"/>
        </w:rPr>
        <w:t>imposer une limitation générale pour les rayonnements dans le domaine des rayonnements non essentiels, tout en reconnaissant que des services particuliers dans certaines bandes de fréquences peuvent exiger des limites plus strictes pour des raisons techniques ou pour les besoins de l</w:t>
      </w:r>
      <w:r w:rsidR="00324C7C" w:rsidRPr="006D3E70">
        <w:rPr>
          <w:lang w:val="fr-FR"/>
        </w:rPr>
        <w:t>'</w:t>
      </w:r>
      <w:r w:rsidRPr="006D3E70">
        <w:rPr>
          <w:lang w:val="fr-FR"/>
        </w:rPr>
        <w:t>exploitation, conformément à d</w:t>
      </w:r>
      <w:r w:rsidR="00324C7C" w:rsidRPr="006D3E70">
        <w:rPr>
          <w:lang w:val="fr-FR"/>
        </w:rPr>
        <w:t>'</w:t>
      </w:r>
      <w:r w:rsidRPr="006D3E70">
        <w:rPr>
          <w:lang w:val="fr-FR"/>
        </w:rPr>
        <w:t>autres Recommandations UIT-R (voir l</w:t>
      </w:r>
      <w:r w:rsidR="00324C7C" w:rsidRPr="006D3E70">
        <w:rPr>
          <w:lang w:val="fr-FR"/>
        </w:rPr>
        <w:t>'</w:t>
      </w:r>
      <w:r w:rsidRPr="006D3E70">
        <w:rPr>
          <w:lang w:val="fr-FR"/>
        </w:rPr>
        <w:t>Annexe 4);</w:t>
      </w:r>
    </w:p>
    <w:p w14:paraId="07ACB43B" w14:textId="6CD19654" w:rsidR="00532249" w:rsidRPr="006D3E70" w:rsidRDefault="00532249" w:rsidP="00532249">
      <w:pPr>
        <w:rPr>
          <w:lang w:val="fr-FR"/>
        </w:rPr>
      </w:pPr>
      <w:r w:rsidRPr="006D3E70">
        <w:rPr>
          <w:i/>
          <w:iCs/>
          <w:lang w:val="fr-FR"/>
        </w:rPr>
        <w:t>j)</w:t>
      </w:r>
      <w:r w:rsidRPr="006D3E70">
        <w:rPr>
          <w:lang w:val="fr-FR"/>
        </w:rPr>
        <w:tab/>
        <w:t>que les émetteurs des stations spatiales recourent de plus en plus à l</w:t>
      </w:r>
      <w:r w:rsidR="00324C7C" w:rsidRPr="006D3E70">
        <w:rPr>
          <w:lang w:val="fr-FR"/>
        </w:rPr>
        <w:t>'</w:t>
      </w:r>
      <w:r w:rsidRPr="006D3E70">
        <w:rPr>
          <w:lang w:val="fr-FR"/>
        </w:rPr>
        <w:t>étalement du spectre et à d</w:t>
      </w:r>
      <w:r w:rsidR="00324C7C" w:rsidRPr="006D3E70">
        <w:rPr>
          <w:lang w:val="fr-FR"/>
        </w:rPr>
        <w:t>'</w:t>
      </w:r>
      <w:r w:rsidRPr="006D3E70">
        <w:rPr>
          <w:lang w:val="fr-FR"/>
        </w:rPr>
        <w:t>autres techniques de modulation à large bande susceptibles d</w:t>
      </w:r>
      <w:r w:rsidR="00324C7C" w:rsidRPr="006D3E70">
        <w:rPr>
          <w:lang w:val="fr-FR"/>
        </w:rPr>
        <w:t>'</w:t>
      </w:r>
      <w:r w:rsidRPr="006D3E70">
        <w:rPr>
          <w:lang w:val="fr-FR"/>
        </w:rPr>
        <w:t>être à l</w:t>
      </w:r>
      <w:r w:rsidR="00324C7C" w:rsidRPr="006D3E70">
        <w:rPr>
          <w:lang w:val="fr-FR"/>
        </w:rPr>
        <w:t>'</w:t>
      </w:r>
      <w:r w:rsidRPr="006D3E70">
        <w:rPr>
          <w:lang w:val="fr-FR"/>
        </w:rPr>
        <w:t>origine de rayonnements non essentiels et d</w:t>
      </w:r>
      <w:r w:rsidR="00324C7C" w:rsidRPr="006D3E70">
        <w:rPr>
          <w:lang w:val="fr-FR"/>
        </w:rPr>
        <w:t>'</w:t>
      </w:r>
      <w:r w:rsidRPr="006D3E70">
        <w:rPr>
          <w:lang w:val="fr-FR"/>
        </w:rPr>
        <w:t>émissions hors bande à des fréquences très éloignées de la fréquence porteuse et, que ces émissions et rayonnements peuvent causer des brouillages aux services passifs dont le service de radioastronomie, même si les techniques de conformation du spectre, qui sont largement utilisées pour améliorer l</w:t>
      </w:r>
      <w:r w:rsidR="00324C7C" w:rsidRPr="006D3E70">
        <w:rPr>
          <w:lang w:val="fr-FR"/>
        </w:rPr>
        <w:t>'</w:t>
      </w:r>
      <w:r w:rsidRPr="006D3E70">
        <w:rPr>
          <w:lang w:val="fr-FR"/>
        </w:rPr>
        <w:t>efficacité spectrale, ont pour effet d</w:t>
      </w:r>
      <w:r w:rsidR="00324C7C" w:rsidRPr="006D3E70">
        <w:rPr>
          <w:lang w:val="fr-FR"/>
        </w:rPr>
        <w:t>'</w:t>
      </w:r>
      <w:r w:rsidRPr="006D3E70">
        <w:rPr>
          <w:lang w:val="fr-FR"/>
        </w:rPr>
        <w:t>atténuer les émissions dans les bandes latérales;</w:t>
      </w:r>
    </w:p>
    <w:p w14:paraId="078ADDD4" w14:textId="77777777" w:rsidR="00532249" w:rsidRPr="006D3E70" w:rsidRDefault="00532249" w:rsidP="00532249">
      <w:pPr>
        <w:rPr>
          <w:lang w:val="fr-FR"/>
        </w:rPr>
      </w:pPr>
      <w:r w:rsidRPr="006D3E70">
        <w:rPr>
          <w:i/>
          <w:iCs/>
          <w:lang w:val="fr-FR"/>
        </w:rPr>
        <w:t>k)</w:t>
      </w:r>
      <w:r w:rsidRPr="006D3E70">
        <w:rPr>
          <w:lang w:val="fr-FR"/>
        </w:rPr>
        <w:tab/>
        <w:t>que les limites des rayonnements dans le domaine des rayonnements non essentiels applicables aux émetteurs dépendent:</w:t>
      </w:r>
    </w:p>
    <w:p w14:paraId="756CCFCD" w14:textId="77777777" w:rsidR="00532249" w:rsidRPr="006D3E70" w:rsidRDefault="00532249" w:rsidP="00532249">
      <w:pPr>
        <w:pStyle w:val="enumlev1"/>
        <w:rPr>
          <w:lang w:val="fr-FR"/>
        </w:rPr>
      </w:pPr>
      <w:r w:rsidRPr="006D3E70">
        <w:rPr>
          <w:lang w:val="fr-FR"/>
        </w:rPr>
        <w:t>–</w:t>
      </w:r>
      <w:r w:rsidRPr="006D3E70">
        <w:rPr>
          <w:lang w:val="fr-FR"/>
        </w:rPr>
        <w:tab/>
        <w:t>des services de radiocommunication concernés et du rapport de protection minimal applicable à chaque bande de fréquences;</w:t>
      </w:r>
    </w:p>
    <w:p w14:paraId="6A6CD7BE" w14:textId="524773BB" w:rsidR="00532249" w:rsidRPr="006D3E70" w:rsidRDefault="00532249" w:rsidP="00532249">
      <w:pPr>
        <w:pStyle w:val="enumlev1"/>
        <w:rPr>
          <w:lang w:val="fr-FR"/>
        </w:rPr>
      </w:pPr>
      <w:r w:rsidRPr="006D3E70">
        <w:rPr>
          <w:lang w:val="fr-FR"/>
        </w:rPr>
        <w:t>–</w:t>
      </w:r>
      <w:r w:rsidRPr="006D3E70">
        <w:rPr>
          <w:lang w:val="fr-FR"/>
        </w:rPr>
        <w:tab/>
        <w:t>de l</w:t>
      </w:r>
      <w:r w:rsidR="00324C7C" w:rsidRPr="006D3E70">
        <w:rPr>
          <w:lang w:val="fr-FR"/>
        </w:rPr>
        <w:t>'</w:t>
      </w:r>
      <w:r w:rsidRPr="006D3E70">
        <w:rPr>
          <w:lang w:val="fr-FR"/>
        </w:rPr>
        <w:t>environnement dans lequel sont implantés les émetteurs (urbain, suburbain, rural, etc.);</w:t>
      </w:r>
    </w:p>
    <w:p w14:paraId="6C9D7FFE" w14:textId="31D2E375" w:rsidR="00532249" w:rsidRPr="006D3E70" w:rsidRDefault="00532249" w:rsidP="00532249">
      <w:pPr>
        <w:pStyle w:val="enumlev1"/>
        <w:rPr>
          <w:lang w:val="fr-FR"/>
        </w:rPr>
      </w:pPr>
      <w:r w:rsidRPr="006D3E70">
        <w:rPr>
          <w:lang w:val="fr-FR"/>
        </w:rPr>
        <w:t>–</w:t>
      </w:r>
      <w:r w:rsidRPr="006D3E70">
        <w:rPr>
          <w:lang w:val="fr-FR"/>
        </w:rPr>
        <w:tab/>
        <w:t>du type de l</w:t>
      </w:r>
      <w:r w:rsidR="00324C7C" w:rsidRPr="006D3E70">
        <w:rPr>
          <w:lang w:val="fr-FR"/>
        </w:rPr>
        <w:t>'</w:t>
      </w:r>
      <w:r w:rsidRPr="006D3E70">
        <w:rPr>
          <w:lang w:val="fr-FR"/>
        </w:rPr>
        <w:t>émetteur;</w:t>
      </w:r>
    </w:p>
    <w:p w14:paraId="714429A8" w14:textId="205FEA3E" w:rsidR="00532249" w:rsidRPr="006D3E70" w:rsidRDefault="00532249" w:rsidP="00532249">
      <w:pPr>
        <w:pStyle w:val="enumlev1"/>
        <w:rPr>
          <w:lang w:val="fr-FR"/>
        </w:rPr>
      </w:pPr>
      <w:r w:rsidRPr="006D3E70">
        <w:rPr>
          <w:lang w:val="fr-FR"/>
        </w:rPr>
        <w:t>–</w:t>
      </w:r>
      <w:r w:rsidRPr="006D3E70">
        <w:rPr>
          <w:lang w:val="fr-FR"/>
        </w:rPr>
        <w:tab/>
        <w:t>de la distance minimale entre cet émetteur et le récepteur de radiocommunication susceptible d</w:t>
      </w:r>
      <w:r w:rsidR="00324C7C" w:rsidRPr="006D3E70">
        <w:rPr>
          <w:lang w:val="fr-FR"/>
        </w:rPr>
        <w:t>'</w:t>
      </w:r>
      <w:r w:rsidRPr="006D3E70">
        <w:rPr>
          <w:lang w:val="fr-FR"/>
        </w:rPr>
        <w:t>être brouillé;</w:t>
      </w:r>
    </w:p>
    <w:p w14:paraId="5EFF11EF" w14:textId="25678961" w:rsidR="00532249" w:rsidRPr="006D3E70" w:rsidRDefault="00532249" w:rsidP="00532249">
      <w:pPr>
        <w:pStyle w:val="enumlev1"/>
        <w:rPr>
          <w:lang w:val="fr-FR"/>
        </w:rPr>
      </w:pPr>
      <w:r w:rsidRPr="006D3E70">
        <w:rPr>
          <w:lang w:val="fr-FR"/>
        </w:rPr>
        <w:t>–</w:t>
      </w:r>
      <w:r w:rsidRPr="006D3E70">
        <w:rPr>
          <w:lang w:val="fr-FR"/>
        </w:rPr>
        <w:tab/>
        <w:t>de tous les découplages possibles entre l</w:t>
      </w:r>
      <w:r w:rsidR="00324C7C" w:rsidRPr="006D3E70">
        <w:rPr>
          <w:lang w:val="fr-FR"/>
        </w:rPr>
        <w:t>'</w:t>
      </w:r>
      <w:r w:rsidRPr="006D3E70">
        <w:rPr>
          <w:lang w:val="fr-FR"/>
        </w:rPr>
        <w:t>antenne d</w:t>
      </w:r>
      <w:r w:rsidR="00324C7C" w:rsidRPr="006D3E70">
        <w:rPr>
          <w:lang w:val="fr-FR"/>
        </w:rPr>
        <w:t>'</w:t>
      </w:r>
      <w:r w:rsidRPr="006D3E70">
        <w:rPr>
          <w:lang w:val="fr-FR"/>
        </w:rPr>
        <w:t>émission du signal brouilleur à la fréquence de réception et l</w:t>
      </w:r>
      <w:r w:rsidR="00324C7C" w:rsidRPr="006D3E70">
        <w:rPr>
          <w:lang w:val="fr-FR"/>
        </w:rPr>
        <w:t>'</w:t>
      </w:r>
      <w:r w:rsidRPr="006D3E70">
        <w:rPr>
          <w:lang w:val="fr-FR"/>
        </w:rPr>
        <w:t>antenne du récepteur, compte tenu de la propagation, du décou</w:t>
      </w:r>
      <w:r w:rsidRPr="006D3E70">
        <w:rPr>
          <w:lang w:val="fr-FR"/>
        </w:rPr>
        <w:softHyphen/>
        <w:t>plage de polarisation et d</w:t>
      </w:r>
      <w:r w:rsidR="00324C7C" w:rsidRPr="006D3E70">
        <w:rPr>
          <w:lang w:val="fr-FR"/>
        </w:rPr>
        <w:t>'</w:t>
      </w:r>
      <w:r w:rsidRPr="006D3E70">
        <w:rPr>
          <w:lang w:val="fr-FR"/>
        </w:rPr>
        <w:t>autres facteurs de découplage;</w:t>
      </w:r>
    </w:p>
    <w:p w14:paraId="7A5FDA0F" w14:textId="077557DA" w:rsidR="00532249" w:rsidRPr="006D3E70" w:rsidRDefault="00532249" w:rsidP="00532249">
      <w:pPr>
        <w:pStyle w:val="enumlev1"/>
        <w:rPr>
          <w:lang w:val="fr-FR"/>
        </w:rPr>
      </w:pPr>
      <w:r w:rsidRPr="006D3E70">
        <w:rPr>
          <w:lang w:val="fr-FR"/>
        </w:rPr>
        <w:t>–</w:t>
      </w:r>
      <w:r w:rsidRPr="006D3E70">
        <w:rPr>
          <w:lang w:val="fr-FR"/>
        </w:rPr>
        <w:tab/>
        <w:t>de la probabilité que l</w:t>
      </w:r>
      <w:r w:rsidR="00324C7C" w:rsidRPr="006D3E70">
        <w:rPr>
          <w:lang w:val="fr-FR"/>
        </w:rPr>
        <w:t>'</w:t>
      </w:r>
      <w:r w:rsidRPr="006D3E70">
        <w:rPr>
          <w:lang w:val="fr-FR"/>
        </w:rPr>
        <w:t>émetteur produise des rayonnements non essentiels lorsque le récepteur est actif;</w:t>
      </w:r>
    </w:p>
    <w:p w14:paraId="4A3D624A" w14:textId="5A0548E1" w:rsidR="00532249" w:rsidRPr="006D3E70" w:rsidRDefault="00532249" w:rsidP="00532249">
      <w:pPr>
        <w:pStyle w:val="enumlev1"/>
        <w:rPr>
          <w:lang w:val="fr-FR"/>
        </w:rPr>
      </w:pPr>
      <w:r w:rsidRPr="006D3E70">
        <w:rPr>
          <w:lang w:val="fr-FR"/>
        </w:rPr>
        <w:t>–</w:t>
      </w:r>
      <w:r w:rsidRPr="006D3E70">
        <w:rPr>
          <w:lang w:val="fr-FR"/>
        </w:rPr>
        <w:tab/>
        <w:t>du fait qu</w:t>
      </w:r>
      <w:r w:rsidR="00324C7C" w:rsidRPr="006D3E70">
        <w:rPr>
          <w:lang w:val="fr-FR"/>
        </w:rPr>
        <w:t>'</w:t>
      </w:r>
      <w:r w:rsidRPr="006D3E70">
        <w:rPr>
          <w:lang w:val="fr-FR"/>
        </w:rPr>
        <w:t>un émetteur est soit actif soit inactif, ou qu</w:t>
      </w:r>
      <w:r w:rsidR="00324C7C" w:rsidRPr="006D3E70">
        <w:rPr>
          <w:lang w:val="fr-FR"/>
        </w:rPr>
        <w:t>'</w:t>
      </w:r>
      <w:r w:rsidRPr="006D3E70">
        <w:rPr>
          <w:lang w:val="fr-FR"/>
        </w:rPr>
        <w:t>il existe plusieurs émetteurs simultanément actifs;</w:t>
      </w:r>
    </w:p>
    <w:p w14:paraId="2FF0A001" w14:textId="04F8E2FA" w:rsidR="00532249" w:rsidRPr="006D3E70" w:rsidRDefault="00532249" w:rsidP="00532249">
      <w:pPr>
        <w:rPr>
          <w:lang w:val="fr-FR"/>
        </w:rPr>
      </w:pPr>
      <w:r w:rsidRPr="006D3E70">
        <w:rPr>
          <w:i/>
          <w:iCs/>
          <w:lang w:val="fr-FR"/>
        </w:rPr>
        <w:t>l)</w:t>
      </w:r>
      <w:r w:rsidRPr="006D3E70">
        <w:rPr>
          <w:lang w:val="fr-FR"/>
        </w:rPr>
        <w:tab/>
        <w:t>que certaines stations spatiales sont équipées d</w:t>
      </w:r>
      <w:r w:rsidR="00324C7C" w:rsidRPr="006D3E70">
        <w:rPr>
          <w:lang w:val="fr-FR"/>
        </w:rPr>
        <w:t>'</w:t>
      </w:r>
      <w:r w:rsidRPr="006D3E70">
        <w:rPr>
          <w:lang w:val="fr-FR"/>
        </w:rPr>
        <w:t>antennes actives et que la mesure de la puissance fournie à la ligne de transmission de l</w:t>
      </w:r>
      <w:r w:rsidR="00324C7C" w:rsidRPr="006D3E70">
        <w:rPr>
          <w:lang w:val="fr-FR"/>
        </w:rPr>
        <w:t>'</w:t>
      </w:r>
      <w:r w:rsidRPr="006D3E70">
        <w:rPr>
          <w:lang w:val="fr-FR"/>
        </w:rPr>
        <w:t>antenne ne peut rendre compte des rayonnements créés à l</w:t>
      </w:r>
      <w:r w:rsidR="00324C7C" w:rsidRPr="006D3E70">
        <w:rPr>
          <w:lang w:val="fr-FR"/>
        </w:rPr>
        <w:t>'</w:t>
      </w:r>
      <w:r w:rsidRPr="006D3E70">
        <w:rPr>
          <w:lang w:val="fr-FR"/>
        </w:rPr>
        <w:t>intérieur de l</w:t>
      </w:r>
      <w:r w:rsidR="00324C7C" w:rsidRPr="006D3E70">
        <w:rPr>
          <w:lang w:val="fr-FR"/>
        </w:rPr>
        <w:t>'</w:t>
      </w:r>
      <w:r w:rsidRPr="006D3E70">
        <w:rPr>
          <w:lang w:val="fr-FR"/>
        </w:rPr>
        <w:t>antenne. Pour ces stations spatiales, le calcul du champ ou de la puissance surfacique à une certaine distance doit être effectué par les administrations afin de contribuer à déterminer les cas où un rayonnement est susceptible de causer un brouillage à d</w:t>
      </w:r>
      <w:r w:rsidR="00324C7C" w:rsidRPr="006D3E70">
        <w:rPr>
          <w:lang w:val="fr-FR"/>
        </w:rPr>
        <w:t>'</w:t>
      </w:r>
      <w:r w:rsidRPr="006D3E70">
        <w:rPr>
          <w:lang w:val="fr-FR"/>
        </w:rPr>
        <w:t>autres services autorisés;</w:t>
      </w:r>
    </w:p>
    <w:p w14:paraId="3D370827" w14:textId="3557AC2F" w:rsidR="00532249" w:rsidRPr="006D3E70" w:rsidRDefault="00532249" w:rsidP="00532249">
      <w:pPr>
        <w:rPr>
          <w:lang w:val="fr-FR"/>
        </w:rPr>
      </w:pPr>
      <w:r w:rsidRPr="006D3E70">
        <w:rPr>
          <w:i/>
          <w:iCs/>
          <w:lang w:val="fr-FR"/>
        </w:rPr>
        <w:t>m)</w:t>
      </w:r>
      <w:r w:rsidRPr="006D3E70">
        <w:rPr>
          <w:lang w:val="fr-FR"/>
        </w:rPr>
        <w:tab/>
        <w:t>qu</w:t>
      </w:r>
      <w:r w:rsidR="00324C7C" w:rsidRPr="006D3E70">
        <w:rPr>
          <w:lang w:val="fr-FR"/>
        </w:rPr>
        <w:t>'</w:t>
      </w:r>
      <w:r w:rsidRPr="006D3E70">
        <w:rPr>
          <w:lang w:val="fr-FR"/>
        </w:rPr>
        <w:t>il peut y avoir des rayonnements dans le domaine des rayonnements non essentiels dans la totalité du spectre radioélectrique mais que des difficultés concrètes peuvent imposer une limite de fréquence au-dessus de laquelle ces rayonnements ne doivent pas nécessairement être mesurés,</w:t>
      </w:r>
    </w:p>
    <w:p w14:paraId="03408615" w14:textId="77777777" w:rsidR="00532249" w:rsidRPr="006D3E70" w:rsidRDefault="00532249" w:rsidP="00532249">
      <w:pPr>
        <w:pStyle w:val="Call"/>
        <w:rPr>
          <w:lang w:val="fr-FR"/>
        </w:rPr>
      </w:pPr>
      <w:r w:rsidRPr="006D3E70">
        <w:rPr>
          <w:lang w:val="fr-FR"/>
        </w:rPr>
        <w:lastRenderedPageBreak/>
        <w:t>reconnaissant</w:t>
      </w:r>
    </w:p>
    <w:p w14:paraId="5D6472CC" w14:textId="54086EB5" w:rsidR="00532249" w:rsidRPr="006D3E70" w:rsidRDefault="00532249" w:rsidP="00532249">
      <w:pPr>
        <w:rPr>
          <w:lang w:val="fr-FR"/>
        </w:rPr>
      </w:pPr>
      <w:r w:rsidRPr="006D3E70">
        <w:rPr>
          <w:i/>
          <w:iCs/>
          <w:lang w:val="fr-FR"/>
        </w:rPr>
        <w:t>a)</w:t>
      </w:r>
      <w:r w:rsidRPr="006D3E70">
        <w:rPr>
          <w:lang w:val="fr-FR"/>
        </w:rPr>
        <w:tab/>
        <w:t>que la Recommandation UIT-R SM.328 contient des définitions et des notes explicatives à utiliser pour traiter les questions de largeur de bande, d</w:t>
      </w:r>
      <w:r w:rsidR="00324C7C" w:rsidRPr="006D3E70">
        <w:rPr>
          <w:lang w:val="fr-FR"/>
        </w:rPr>
        <w:t>'</w:t>
      </w:r>
      <w:r w:rsidRPr="006D3E70">
        <w:rPr>
          <w:lang w:val="fr-FR"/>
        </w:rPr>
        <w:t>espacement entre canaux et de brouillage, pour établir une distinction entre les émissions hors bande et les rayonnements non essentiels et pour préciser des limites pour les émissions dans le domaine des émissions hors bande;</w:t>
      </w:r>
    </w:p>
    <w:p w14:paraId="7194EB87" w14:textId="77777777" w:rsidR="00532249" w:rsidRPr="006D3E70" w:rsidRDefault="00532249" w:rsidP="00532249">
      <w:pPr>
        <w:rPr>
          <w:lang w:val="fr-FR"/>
        </w:rPr>
      </w:pPr>
      <w:r w:rsidRPr="006D3E70">
        <w:rPr>
          <w:i/>
          <w:iCs/>
          <w:lang w:val="fr-FR"/>
        </w:rPr>
        <w:t>b)</w:t>
      </w:r>
      <w:r w:rsidRPr="006D3E70">
        <w:rPr>
          <w:lang w:val="fr-FR"/>
        </w:rPr>
        <w:tab/>
        <w:t>que la Recommandation UIT-R SM.1539 traite de la variation de la frontière entre le domaine des émissions hors bande et le domaine des rayonnements non essentiels;</w:t>
      </w:r>
    </w:p>
    <w:p w14:paraId="791C8EB4" w14:textId="77777777" w:rsidR="00532249" w:rsidRPr="006D3E70" w:rsidRDefault="00532249" w:rsidP="00532249">
      <w:pPr>
        <w:rPr>
          <w:lang w:val="fr-FR"/>
        </w:rPr>
      </w:pPr>
      <w:r w:rsidRPr="006D3E70">
        <w:rPr>
          <w:i/>
          <w:iCs/>
          <w:lang w:val="fr-FR"/>
        </w:rPr>
        <w:t>c)</w:t>
      </w:r>
      <w:r w:rsidRPr="006D3E70">
        <w:rPr>
          <w:lang w:val="fr-FR"/>
        </w:rPr>
        <w:tab/>
        <w:t>que la Recommandation UIT-R SM.1541 traite des rayonnements non désirés dans le domaine hors bande,</w:t>
      </w:r>
    </w:p>
    <w:p w14:paraId="579B888C" w14:textId="77777777" w:rsidR="00532249" w:rsidRPr="006D3E70" w:rsidRDefault="00532249" w:rsidP="00532249">
      <w:pPr>
        <w:pStyle w:val="Call"/>
        <w:rPr>
          <w:lang w:val="fr-FR"/>
        </w:rPr>
      </w:pPr>
      <w:r w:rsidRPr="006D3E70">
        <w:rPr>
          <w:lang w:val="fr-FR"/>
        </w:rPr>
        <w:t>notant</w:t>
      </w:r>
    </w:p>
    <w:p w14:paraId="04D25820" w14:textId="0F64878B" w:rsidR="00532249" w:rsidRPr="006D3E70" w:rsidRDefault="00532249" w:rsidP="00532249">
      <w:pPr>
        <w:rPr>
          <w:lang w:val="fr-FR"/>
        </w:rPr>
      </w:pPr>
      <w:r w:rsidRPr="006D3E70">
        <w:rPr>
          <w:lang w:val="fr-FR"/>
        </w:rPr>
        <w:t>que les études demandées au titre de la Question UIT-R 222/1, approuvée par l</w:t>
      </w:r>
      <w:r w:rsidR="00324C7C" w:rsidRPr="006D3E70">
        <w:rPr>
          <w:lang w:val="fr-FR"/>
        </w:rPr>
        <w:t>'</w:t>
      </w:r>
      <w:r w:rsidRPr="006D3E70">
        <w:rPr>
          <w:lang w:val="fr-FR"/>
        </w:rPr>
        <w:t>Assemblée des radiocommunications de 2000 pourraient avoir une incidence importante sur les définitions de base utilisées dans la présente Recommandation. Il faudra peut-être réviser la présente Recommandation dans l</w:t>
      </w:r>
      <w:r w:rsidR="00324C7C" w:rsidRPr="006D3E70">
        <w:rPr>
          <w:lang w:val="fr-FR"/>
        </w:rPr>
        <w:t>'</w:t>
      </w:r>
      <w:r w:rsidRPr="006D3E70">
        <w:rPr>
          <w:lang w:val="fr-FR"/>
        </w:rPr>
        <w:t>avenir pour tenir compte des résultats de ces études,</w:t>
      </w:r>
    </w:p>
    <w:p w14:paraId="148B815E" w14:textId="77777777" w:rsidR="00532249" w:rsidRPr="006D3E70" w:rsidRDefault="00532249" w:rsidP="00532249">
      <w:pPr>
        <w:pStyle w:val="Call"/>
        <w:rPr>
          <w:lang w:val="fr-FR"/>
        </w:rPr>
      </w:pPr>
      <w:r w:rsidRPr="006D3E70">
        <w:rPr>
          <w:lang w:val="fr-FR"/>
        </w:rPr>
        <w:t>recommande</w:t>
      </w:r>
    </w:p>
    <w:p w14:paraId="46EEC066" w14:textId="7A338766" w:rsidR="00532249" w:rsidRPr="006D3E70" w:rsidRDefault="00532249" w:rsidP="00532249">
      <w:pPr>
        <w:rPr>
          <w:lang w:val="fr-FR"/>
        </w:rPr>
      </w:pPr>
      <w:r w:rsidRPr="006D3E70">
        <w:rPr>
          <w:lang w:val="fr-FR"/>
        </w:rPr>
        <w:t>d</w:t>
      </w:r>
      <w:r w:rsidR="00324C7C" w:rsidRPr="006D3E70">
        <w:rPr>
          <w:lang w:val="fr-FR"/>
        </w:rPr>
        <w:t>'</w:t>
      </w:r>
      <w:r w:rsidRPr="006D3E70">
        <w:rPr>
          <w:lang w:val="fr-FR"/>
        </w:rPr>
        <w:t>utiliser les dispositions ci-après pour les limites des rayonnements non essentiels et leurs méthodes de mesure:</w:t>
      </w:r>
    </w:p>
    <w:p w14:paraId="5057ED4F" w14:textId="77777777" w:rsidR="00532249" w:rsidRPr="006D3E70" w:rsidRDefault="00532249" w:rsidP="00532249">
      <w:pPr>
        <w:pStyle w:val="Heading1"/>
        <w:rPr>
          <w:rFonts w:eastAsia="Arial Unicode MS"/>
          <w:lang w:val="fr-FR"/>
        </w:rPr>
      </w:pPr>
      <w:r w:rsidRPr="006D3E70">
        <w:rPr>
          <w:lang w:val="fr-FR"/>
        </w:rPr>
        <w:t>1</w:t>
      </w:r>
      <w:r w:rsidRPr="006D3E70">
        <w:rPr>
          <w:lang w:val="fr-FR"/>
        </w:rPr>
        <w:tab/>
        <w:t>Terminologie et définitions</w:t>
      </w:r>
    </w:p>
    <w:p w14:paraId="5837CAE3" w14:textId="5A569C1F" w:rsidR="00532249" w:rsidRPr="006D3E70" w:rsidRDefault="00532249" w:rsidP="00532249">
      <w:pPr>
        <w:rPr>
          <w:lang w:val="fr-FR"/>
        </w:rPr>
      </w:pPr>
      <w:r w:rsidRPr="006D3E70">
        <w:rPr>
          <w:lang w:val="fr-FR"/>
        </w:rPr>
        <w:t>Les termes et définitions suivants complètent ceux déjà donnés dans le RR. (Par souci d</w:t>
      </w:r>
      <w:r w:rsidR="00324C7C" w:rsidRPr="006D3E70">
        <w:rPr>
          <w:lang w:val="fr-FR"/>
        </w:rPr>
        <w:t>'</w:t>
      </w:r>
      <w:r w:rsidRPr="006D3E70">
        <w:rPr>
          <w:lang w:val="fr-FR"/>
        </w:rPr>
        <w:t>exhaustivité, les définitions en italique sont tirées du RR.)</w:t>
      </w:r>
    </w:p>
    <w:p w14:paraId="6F6F4279" w14:textId="77777777" w:rsidR="00532249" w:rsidRPr="006D3E70" w:rsidRDefault="00532249" w:rsidP="00532249">
      <w:pPr>
        <w:pStyle w:val="Heading2"/>
        <w:rPr>
          <w:lang w:val="fr-FR"/>
        </w:rPr>
      </w:pPr>
      <w:r w:rsidRPr="006D3E70">
        <w:rPr>
          <w:lang w:val="fr-FR"/>
        </w:rPr>
        <w:t>1.1</w:t>
      </w:r>
      <w:r w:rsidRPr="006D3E70">
        <w:rPr>
          <w:lang w:val="fr-FR"/>
        </w:rPr>
        <w:tab/>
        <w:t>Rayonnement non essentiel (Article 1, numéro 1.145 du RR)</w:t>
      </w:r>
    </w:p>
    <w:p w14:paraId="1A561E43" w14:textId="40FB674D" w:rsidR="00532249" w:rsidRPr="006D3E70" w:rsidRDefault="00532249" w:rsidP="00532249">
      <w:pPr>
        <w:rPr>
          <w:i/>
          <w:lang w:val="fr-FR"/>
        </w:rPr>
      </w:pPr>
      <w:r w:rsidRPr="006D3E70">
        <w:rPr>
          <w:i/>
          <w:lang w:val="fr-FR"/>
        </w:rPr>
        <w:t>Rayonnement sur une ou sur des fréquences situées en dehors de la largeur de bande nécessaire et dont le niveau peut être réduit sans affecter la transmission de l</w:t>
      </w:r>
      <w:r w:rsidR="00324C7C" w:rsidRPr="006D3E70">
        <w:rPr>
          <w:i/>
          <w:lang w:val="fr-FR"/>
        </w:rPr>
        <w:t>'</w:t>
      </w:r>
      <w:r w:rsidRPr="006D3E70">
        <w:rPr>
          <w:i/>
          <w:lang w:val="fr-FR"/>
        </w:rPr>
        <w:t>information correspondante. Ces rayonnements comprennent les rayonnements harmoniques, les rayonnements parasites, les produits d</w:t>
      </w:r>
      <w:r w:rsidR="00324C7C" w:rsidRPr="006D3E70">
        <w:rPr>
          <w:i/>
          <w:lang w:val="fr-FR"/>
        </w:rPr>
        <w:t>'</w:t>
      </w:r>
      <w:r w:rsidRPr="006D3E70">
        <w:rPr>
          <w:i/>
          <w:lang w:val="fr-FR"/>
        </w:rPr>
        <w:t>intermodulation et de conversion de fréquence, à l</w:t>
      </w:r>
      <w:r w:rsidR="00324C7C" w:rsidRPr="006D3E70">
        <w:rPr>
          <w:i/>
          <w:lang w:val="fr-FR"/>
        </w:rPr>
        <w:t>'</w:t>
      </w:r>
      <w:r w:rsidRPr="006D3E70">
        <w:rPr>
          <w:i/>
          <w:lang w:val="fr-FR"/>
        </w:rPr>
        <w:t>exclusion des émissions hors bande.</w:t>
      </w:r>
    </w:p>
    <w:p w14:paraId="74D39F04" w14:textId="77777777" w:rsidR="00532249" w:rsidRPr="006D3E70" w:rsidRDefault="00532249" w:rsidP="00532249">
      <w:pPr>
        <w:pStyle w:val="Heading3"/>
        <w:rPr>
          <w:rFonts w:eastAsia="Arial Unicode MS"/>
          <w:lang w:val="fr-FR"/>
        </w:rPr>
      </w:pPr>
      <w:r w:rsidRPr="006D3E70">
        <w:rPr>
          <w:lang w:val="fr-FR"/>
        </w:rPr>
        <w:t>1.1.1</w:t>
      </w:r>
      <w:r w:rsidRPr="006D3E70">
        <w:rPr>
          <w:lang w:val="fr-FR"/>
        </w:rPr>
        <w:tab/>
        <w:t>Rayonnement harmonique</w:t>
      </w:r>
    </w:p>
    <w:p w14:paraId="758862DF" w14:textId="77777777" w:rsidR="00532249" w:rsidRPr="006D3E70" w:rsidRDefault="00532249" w:rsidP="00532249">
      <w:pPr>
        <w:rPr>
          <w:lang w:val="fr-FR"/>
        </w:rPr>
      </w:pPr>
      <w:r w:rsidRPr="006D3E70">
        <w:rPr>
          <w:lang w:val="fr-FR"/>
        </w:rPr>
        <w:t>Rayonnement non essentiel sur des fréquences qui sont des multiples entiers de la fréquence centrale.</w:t>
      </w:r>
    </w:p>
    <w:p w14:paraId="0C46001F" w14:textId="77777777" w:rsidR="00532249" w:rsidRPr="006D3E70" w:rsidRDefault="00532249" w:rsidP="00532249">
      <w:pPr>
        <w:pStyle w:val="Heading3"/>
        <w:rPr>
          <w:rFonts w:eastAsia="Arial Unicode MS"/>
          <w:lang w:val="fr-FR"/>
        </w:rPr>
      </w:pPr>
      <w:r w:rsidRPr="006D3E70">
        <w:rPr>
          <w:lang w:val="fr-FR"/>
        </w:rPr>
        <w:t>1.1.2</w:t>
      </w:r>
      <w:r w:rsidRPr="006D3E70">
        <w:rPr>
          <w:lang w:val="fr-FR"/>
        </w:rPr>
        <w:tab/>
        <w:t>Rayonnement parasite</w:t>
      </w:r>
    </w:p>
    <w:p w14:paraId="747F6985" w14:textId="09516873" w:rsidR="00532249" w:rsidRPr="006D3E70" w:rsidRDefault="00532249" w:rsidP="00532249">
      <w:pPr>
        <w:rPr>
          <w:lang w:val="fr-FR"/>
        </w:rPr>
      </w:pPr>
      <w:r w:rsidRPr="006D3E70">
        <w:rPr>
          <w:lang w:val="fr-FR"/>
        </w:rPr>
        <w:t>Rayonnement non essentiel produit accidentellement sur des fréquences indépendantes à la fois des fréquences porteuses ou caractéristiques d</w:t>
      </w:r>
      <w:r w:rsidR="00324C7C" w:rsidRPr="006D3E70">
        <w:rPr>
          <w:lang w:val="fr-FR"/>
        </w:rPr>
        <w:t>'</w:t>
      </w:r>
      <w:r w:rsidRPr="006D3E70">
        <w:rPr>
          <w:lang w:val="fr-FR"/>
        </w:rPr>
        <w:t>une émission et des fréquences des oscillations résultant de la production de la fréquence porteuse ou caractéristique.</w:t>
      </w:r>
    </w:p>
    <w:p w14:paraId="56FFFF5D" w14:textId="66DE6468" w:rsidR="00532249" w:rsidRPr="006D3E70" w:rsidRDefault="00532249" w:rsidP="00532249">
      <w:pPr>
        <w:pStyle w:val="Heading3"/>
        <w:rPr>
          <w:rFonts w:eastAsia="Arial Unicode MS"/>
          <w:lang w:val="fr-FR"/>
        </w:rPr>
      </w:pPr>
      <w:r w:rsidRPr="006D3E70">
        <w:rPr>
          <w:lang w:val="fr-FR"/>
        </w:rPr>
        <w:t>1.1.3</w:t>
      </w:r>
      <w:r w:rsidRPr="006D3E70">
        <w:rPr>
          <w:lang w:val="fr-FR"/>
        </w:rPr>
        <w:tab/>
        <w:t>Produits d</w:t>
      </w:r>
      <w:r w:rsidR="00324C7C" w:rsidRPr="006D3E70">
        <w:rPr>
          <w:lang w:val="fr-FR"/>
        </w:rPr>
        <w:t>'</w:t>
      </w:r>
      <w:r w:rsidRPr="006D3E70">
        <w:rPr>
          <w:lang w:val="fr-FR"/>
        </w:rPr>
        <w:t>intermodulation</w:t>
      </w:r>
    </w:p>
    <w:p w14:paraId="35F469ED" w14:textId="07BC4CD3" w:rsidR="00532249" w:rsidRPr="006D3E70" w:rsidRDefault="00532249" w:rsidP="00532249">
      <w:pPr>
        <w:rPr>
          <w:lang w:val="fr-FR"/>
        </w:rPr>
      </w:pPr>
      <w:r w:rsidRPr="006D3E70">
        <w:rPr>
          <w:lang w:val="fr-FR"/>
        </w:rPr>
        <w:t>Les produits d</w:t>
      </w:r>
      <w:r w:rsidR="00324C7C" w:rsidRPr="006D3E70">
        <w:rPr>
          <w:lang w:val="fr-FR"/>
        </w:rPr>
        <w:t>'</w:t>
      </w:r>
      <w:r w:rsidRPr="006D3E70">
        <w:rPr>
          <w:lang w:val="fr-FR"/>
        </w:rPr>
        <w:t>intermodulation non essentiels résultent de l</w:t>
      </w:r>
      <w:r w:rsidR="00324C7C" w:rsidRPr="006D3E70">
        <w:rPr>
          <w:lang w:val="fr-FR"/>
        </w:rPr>
        <w:t>'</w:t>
      </w:r>
      <w:r w:rsidRPr="006D3E70">
        <w:rPr>
          <w:lang w:val="fr-FR"/>
        </w:rPr>
        <w:t>intermodulation entre:</w:t>
      </w:r>
    </w:p>
    <w:p w14:paraId="7C908C73" w14:textId="59E672AD" w:rsidR="00532249" w:rsidRPr="006D3E70" w:rsidRDefault="00532249" w:rsidP="00532249">
      <w:pPr>
        <w:pStyle w:val="enumlev1"/>
        <w:rPr>
          <w:lang w:val="fr-FR"/>
        </w:rPr>
      </w:pPr>
      <w:r w:rsidRPr="006D3E70">
        <w:rPr>
          <w:lang w:val="fr-FR"/>
        </w:rPr>
        <w:t>–</w:t>
      </w:r>
      <w:r w:rsidRPr="006D3E70">
        <w:rPr>
          <w:lang w:val="fr-FR"/>
        </w:rPr>
        <w:tab/>
        <w:t>les oscillations sur les fréquences porteuses, ou caractéristiques ou harmoniques d</w:t>
      </w:r>
      <w:r w:rsidR="00324C7C" w:rsidRPr="006D3E70">
        <w:rPr>
          <w:lang w:val="fr-FR"/>
        </w:rPr>
        <w:t>'</w:t>
      </w:r>
      <w:r w:rsidRPr="006D3E70">
        <w:rPr>
          <w:lang w:val="fr-FR"/>
        </w:rPr>
        <w:t>une émission, ou les oscillations résultant de la production de ces fréquences porteuses ou caractéristiques; et</w:t>
      </w:r>
    </w:p>
    <w:p w14:paraId="5069126F" w14:textId="45DD823F" w:rsidR="00532249" w:rsidRPr="006D3E70" w:rsidRDefault="00532249" w:rsidP="00532249">
      <w:pPr>
        <w:pStyle w:val="enumlev1"/>
        <w:rPr>
          <w:lang w:val="fr-FR"/>
        </w:rPr>
      </w:pPr>
      <w:r w:rsidRPr="006D3E70">
        <w:rPr>
          <w:lang w:val="fr-FR"/>
        </w:rPr>
        <w:t>–</w:t>
      </w:r>
      <w:r w:rsidRPr="006D3E70">
        <w:rPr>
          <w:lang w:val="fr-FR"/>
        </w:rPr>
        <w:tab/>
        <w:t>des oscillations de même nature, d</w:t>
      </w:r>
      <w:r w:rsidR="00324C7C" w:rsidRPr="006D3E70">
        <w:rPr>
          <w:lang w:val="fr-FR"/>
        </w:rPr>
        <w:t>'</w:t>
      </w:r>
      <w:r w:rsidRPr="006D3E70">
        <w:rPr>
          <w:lang w:val="fr-FR"/>
        </w:rPr>
        <w:t>une ou plusieurs autres émissions, en provenance du même ensemble émetteur ou d</w:t>
      </w:r>
      <w:r w:rsidR="00324C7C" w:rsidRPr="006D3E70">
        <w:rPr>
          <w:lang w:val="fr-FR"/>
        </w:rPr>
        <w:t>'</w:t>
      </w:r>
      <w:r w:rsidRPr="006D3E70">
        <w:rPr>
          <w:lang w:val="fr-FR"/>
        </w:rPr>
        <w:t>émetteurs ou ensembles émetteurs différents.</w:t>
      </w:r>
    </w:p>
    <w:p w14:paraId="69F51380" w14:textId="77777777" w:rsidR="00532249" w:rsidRPr="006D3E70" w:rsidRDefault="00532249" w:rsidP="00532249">
      <w:pPr>
        <w:pStyle w:val="Heading3"/>
        <w:rPr>
          <w:rFonts w:eastAsia="Arial Unicode MS"/>
          <w:lang w:val="fr-FR"/>
        </w:rPr>
      </w:pPr>
      <w:r w:rsidRPr="006D3E70">
        <w:rPr>
          <w:lang w:val="fr-FR"/>
        </w:rPr>
        <w:lastRenderedPageBreak/>
        <w:t>1.1.4</w:t>
      </w:r>
      <w:r w:rsidRPr="006D3E70">
        <w:rPr>
          <w:lang w:val="fr-FR"/>
        </w:rPr>
        <w:tab/>
        <w:t>Produits de conversion de fréquence</w:t>
      </w:r>
    </w:p>
    <w:p w14:paraId="79F9F3E8" w14:textId="22973B8E" w:rsidR="00532249" w:rsidRPr="006D3E70" w:rsidRDefault="00532249" w:rsidP="00532249">
      <w:pPr>
        <w:rPr>
          <w:lang w:val="fr-FR"/>
        </w:rPr>
      </w:pPr>
      <w:r w:rsidRPr="006D3E70">
        <w:rPr>
          <w:lang w:val="fr-FR"/>
        </w:rPr>
        <w:t>Rayonnements non essentiels, ne comprenant pas les rayonnements harmoniques, sur les fréquences ou des multiples entiers de celles-ci, ou des sommes et différences de multiples de celles-ci, des oscillations utilisées pour produire la fréquence porteuse ou la fréquence caractéristique d</w:t>
      </w:r>
      <w:r w:rsidR="00324C7C" w:rsidRPr="006D3E70">
        <w:rPr>
          <w:lang w:val="fr-FR"/>
        </w:rPr>
        <w:t>'</w:t>
      </w:r>
      <w:r w:rsidRPr="006D3E70">
        <w:rPr>
          <w:lang w:val="fr-FR"/>
        </w:rPr>
        <w:t>une émission.</w:t>
      </w:r>
    </w:p>
    <w:p w14:paraId="050F0664" w14:textId="579F2658" w:rsidR="00532249" w:rsidRPr="006D3E70" w:rsidRDefault="00532249" w:rsidP="00532249">
      <w:pPr>
        <w:pStyle w:val="Heading3"/>
        <w:rPr>
          <w:lang w:val="fr-FR"/>
        </w:rPr>
      </w:pPr>
      <w:r w:rsidRPr="006D3E70">
        <w:rPr>
          <w:lang w:val="fr-FR"/>
        </w:rPr>
        <w:t>1.1.5</w:t>
      </w:r>
      <w:r w:rsidRPr="006D3E70">
        <w:rPr>
          <w:lang w:val="fr-FR"/>
        </w:rPr>
        <w:tab/>
        <w:t>Rayonnements à large bande et à bande étroite vis-à-vis de l</w:t>
      </w:r>
      <w:r w:rsidR="00324C7C" w:rsidRPr="006D3E70">
        <w:rPr>
          <w:lang w:val="fr-FR"/>
        </w:rPr>
        <w:t>'</w:t>
      </w:r>
      <w:r w:rsidRPr="006D3E70">
        <w:rPr>
          <w:lang w:val="fr-FR"/>
        </w:rPr>
        <w:t>appareil de mesure</w:t>
      </w:r>
    </w:p>
    <w:p w14:paraId="2C74EE97" w14:textId="767E2BEB" w:rsidR="00532249" w:rsidRPr="006D3E70" w:rsidRDefault="00532249" w:rsidP="00532249">
      <w:pPr>
        <w:rPr>
          <w:lang w:val="fr-FR"/>
        </w:rPr>
      </w:pPr>
      <w:r w:rsidRPr="006D3E70">
        <w:rPr>
          <w:lang w:val="fr-FR"/>
        </w:rPr>
        <w:t>Une émission à large bande est une émission «dont la largeur de bande est supérieure à celle des récepteurs ou d</w:t>
      </w:r>
      <w:r w:rsidR="00324C7C" w:rsidRPr="006D3E70">
        <w:rPr>
          <w:lang w:val="fr-FR"/>
        </w:rPr>
        <w:t>'</w:t>
      </w:r>
      <w:r w:rsidRPr="006D3E70">
        <w:rPr>
          <w:lang w:val="fr-FR"/>
        </w:rPr>
        <w:t>un appareil de mesure donné» (voir Vocabulaire électrotechnique international (VEI)/Commission électrotechnique internationale (CEI), 161-06-11).</w:t>
      </w:r>
    </w:p>
    <w:p w14:paraId="1CF1DC8B" w14:textId="67E4940B" w:rsidR="00532249" w:rsidRPr="006D3E70" w:rsidRDefault="00532249" w:rsidP="00532249">
      <w:pPr>
        <w:rPr>
          <w:lang w:val="fr-FR"/>
        </w:rPr>
      </w:pPr>
      <w:r w:rsidRPr="006D3E70">
        <w:rPr>
          <w:lang w:val="fr-FR"/>
        </w:rPr>
        <w:t>Une émission à bande étroite est une émission «dont la largeur de bande est inférieure à celle des récepteurs ou d</w:t>
      </w:r>
      <w:r w:rsidR="00324C7C" w:rsidRPr="006D3E70">
        <w:rPr>
          <w:lang w:val="fr-FR"/>
        </w:rPr>
        <w:t>'</w:t>
      </w:r>
      <w:r w:rsidRPr="006D3E70">
        <w:rPr>
          <w:lang w:val="fr-FR"/>
        </w:rPr>
        <w:t>un appareil de mesure donné» (voir VEI/CEI, 161-06-13).</w:t>
      </w:r>
    </w:p>
    <w:p w14:paraId="05A67121" w14:textId="77777777" w:rsidR="00532249" w:rsidRPr="006D3E70" w:rsidRDefault="00532249" w:rsidP="00532249">
      <w:pPr>
        <w:pStyle w:val="Heading2"/>
        <w:rPr>
          <w:rFonts w:eastAsia="Arial Unicode MS"/>
          <w:lang w:val="fr-FR"/>
        </w:rPr>
      </w:pPr>
      <w:r w:rsidRPr="006D3E70">
        <w:rPr>
          <w:lang w:val="fr-FR"/>
        </w:rPr>
        <w:t>1.2</w:t>
      </w:r>
      <w:r w:rsidRPr="006D3E70">
        <w:rPr>
          <w:lang w:val="fr-FR"/>
        </w:rPr>
        <w:tab/>
        <w:t>Émission hors bande (Article 1, numéro 1.144 du RR)</w:t>
      </w:r>
    </w:p>
    <w:p w14:paraId="5D4EAE0B" w14:textId="596E333A" w:rsidR="00532249" w:rsidRPr="006D3E70" w:rsidRDefault="00532249" w:rsidP="00532249">
      <w:pPr>
        <w:rPr>
          <w:i/>
          <w:lang w:val="fr-FR"/>
        </w:rPr>
      </w:pPr>
      <w:r w:rsidRPr="006D3E70">
        <w:rPr>
          <w:i/>
          <w:lang w:val="fr-FR"/>
        </w:rPr>
        <w:t>Émission sur une ou sur des fréquences situées immédiatement en dehors de la largeur de bande nécessaire, due au processus de la modulation, à l</w:t>
      </w:r>
      <w:r w:rsidR="00324C7C" w:rsidRPr="006D3E70">
        <w:rPr>
          <w:i/>
          <w:lang w:val="fr-FR"/>
        </w:rPr>
        <w:t>'</w:t>
      </w:r>
      <w:r w:rsidRPr="006D3E70">
        <w:rPr>
          <w:i/>
          <w:lang w:val="fr-FR"/>
        </w:rPr>
        <w:t>exclusion des rayonnements non essentiels.</w:t>
      </w:r>
    </w:p>
    <w:p w14:paraId="2E77B889" w14:textId="77777777" w:rsidR="00532249" w:rsidRPr="006D3E70" w:rsidRDefault="00532249" w:rsidP="00532249">
      <w:pPr>
        <w:pStyle w:val="Heading2"/>
        <w:rPr>
          <w:rFonts w:eastAsia="Arial Unicode MS"/>
          <w:lang w:val="fr-FR"/>
        </w:rPr>
      </w:pPr>
      <w:r w:rsidRPr="006D3E70">
        <w:rPr>
          <w:lang w:val="fr-FR"/>
        </w:rPr>
        <w:t>1.3</w:t>
      </w:r>
      <w:r w:rsidRPr="006D3E70">
        <w:rPr>
          <w:lang w:val="fr-FR"/>
        </w:rPr>
        <w:tab/>
        <w:t>Rayonnements non désirés (Article 1, numéro 1.146 du RR)</w:t>
      </w:r>
    </w:p>
    <w:p w14:paraId="41EF1FC2" w14:textId="77777777" w:rsidR="00532249" w:rsidRPr="006D3E70" w:rsidRDefault="00532249" w:rsidP="00532249">
      <w:pPr>
        <w:rPr>
          <w:i/>
          <w:iCs/>
          <w:lang w:val="fr-FR"/>
        </w:rPr>
      </w:pPr>
      <w:r w:rsidRPr="006D3E70">
        <w:rPr>
          <w:i/>
          <w:iCs/>
          <w:lang w:val="fr-FR"/>
        </w:rPr>
        <w:t>Ensemble des rayonnements non essentiels et des rayonnements provenant des émissions hors bande.</w:t>
      </w:r>
    </w:p>
    <w:p w14:paraId="0DA233F7" w14:textId="4732AC38" w:rsidR="00532249" w:rsidRPr="006D3E70" w:rsidRDefault="00532249" w:rsidP="00532249">
      <w:pPr>
        <w:pStyle w:val="Heading2"/>
        <w:rPr>
          <w:lang w:val="fr-FR"/>
        </w:rPr>
      </w:pPr>
      <w:r w:rsidRPr="006D3E70">
        <w:rPr>
          <w:lang w:val="fr-FR"/>
        </w:rPr>
        <w:t>1.3</w:t>
      </w:r>
      <w:r w:rsidRPr="006D3E70">
        <w:rPr>
          <w:i/>
          <w:lang w:val="fr-FR"/>
        </w:rPr>
        <w:t>bis</w:t>
      </w:r>
      <w:r w:rsidRPr="006D3E70">
        <w:rPr>
          <w:lang w:val="fr-FR"/>
        </w:rPr>
        <w:tab/>
        <w:t>Domaine des émissions hors bande (d</w:t>
      </w:r>
      <w:r w:rsidR="00324C7C" w:rsidRPr="006D3E70">
        <w:rPr>
          <w:lang w:val="fr-FR"/>
        </w:rPr>
        <w:t>'</w:t>
      </w:r>
      <w:r w:rsidRPr="006D3E70">
        <w:rPr>
          <w:lang w:val="fr-FR"/>
        </w:rPr>
        <w:t>une émission) (Article 1, numéro 1.146A du RR)</w:t>
      </w:r>
    </w:p>
    <w:p w14:paraId="22B04015" w14:textId="77777777" w:rsidR="00532249" w:rsidRPr="006D3E70" w:rsidRDefault="00532249" w:rsidP="00532249">
      <w:pPr>
        <w:rPr>
          <w:i/>
          <w:iCs/>
          <w:lang w:val="fr-FR"/>
        </w:rPr>
      </w:pPr>
      <w:r w:rsidRPr="006D3E70">
        <w:rPr>
          <w:i/>
          <w:iCs/>
          <w:lang w:val="fr-FR"/>
        </w:rPr>
        <w:t>Gamme de fréquences, immédiatement en dehors de la largeur de bande nécessaire mais excluant le domaine des rayonnements non essentiels, dans laquelle les émissions hors bande en général prédominent.</w:t>
      </w:r>
    </w:p>
    <w:p w14:paraId="5E9725B1" w14:textId="77777777" w:rsidR="00532249" w:rsidRPr="006D3E70" w:rsidRDefault="00532249" w:rsidP="00532249">
      <w:pPr>
        <w:rPr>
          <w:i/>
          <w:iCs/>
          <w:lang w:val="fr-FR"/>
        </w:rPr>
      </w:pPr>
      <w:r w:rsidRPr="006D3E70">
        <w:rPr>
          <w:i/>
          <w:iCs/>
          <w:lang w:val="fr-FR"/>
        </w:rPr>
        <w:t>Les émissions hors bande, définies à partir de leur origine, se produisent dans le domaine des émissions hors bande et, dans une moindre mesure, dans le domaine des rayonnements non essentiels. Les rayonnements non essentiels peuvent eux aussi, se produire dans le domaine des émissions hors bande ainsi que dans le domaine des rayonnements essentiels.</w:t>
      </w:r>
    </w:p>
    <w:p w14:paraId="678DDCC0" w14:textId="3BBBFAA5" w:rsidR="00532249" w:rsidRPr="006D3E70" w:rsidRDefault="00532249" w:rsidP="00532249">
      <w:pPr>
        <w:pStyle w:val="Heading2"/>
        <w:rPr>
          <w:lang w:val="fr-FR"/>
        </w:rPr>
      </w:pPr>
      <w:r w:rsidRPr="006D3E70">
        <w:rPr>
          <w:lang w:val="fr-FR"/>
        </w:rPr>
        <w:t>1.3</w:t>
      </w:r>
      <w:r w:rsidRPr="006D3E70">
        <w:rPr>
          <w:i/>
          <w:lang w:val="fr-FR"/>
        </w:rPr>
        <w:t>ter</w:t>
      </w:r>
      <w:r w:rsidRPr="006D3E70">
        <w:rPr>
          <w:lang w:val="fr-FR"/>
        </w:rPr>
        <w:tab/>
        <w:t>Domaine des rayonnements non essentiels (d</w:t>
      </w:r>
      <w:r w:rsidR="00324C7C" w:rsidRPr="006D3E70">
        <w:rPr>
          <w:lang w:val="fr-FR"/>
        </w:rPr>
        <w:t>'</w:t>
      </w:r>
      <w:r w:rsidRPr="006D3E70">
        <w:rPr>
          <w:lang w:val="fr-FR"/>
        </w:rPr>
        <w:t>une émission) (Article 1, numéro 1.146B du RR)</w:t>
      </w:r>
    </w:p>
    <w:p w14:paraId="485AAFB4" w14:textId="77777777" w:rsidR="00532249" w:rsidRPr="006D3E70" w:rsidRDefault="00532249" w:rsidP="00532249">
      <w:pPr>
        <w:rPr>
          <w:lang w:val="fr-FR"/>
        </w:rPr>
      </w:pPr>
      <w:r w:rsidRPr="006D3E70">
        <w:rPr>
          <w:i/>
          <w:iCs/>
          <w:lang w:val="fr-FR"/>
        </w:rPr>
        <w:t>Gamme de fréquences au-delà du domaine des émissions hors bande dans laquelle les rayonnements non essentiels en général prédominent</w:t>
      </w:r>
      <w:r w:rsidRPr="006D3E70">
        <w:rPr>
          <w:lang w:val="fr-FR"/>
        </w:rPr>
        <w:t>.</w:t>
      </w:r>
    </w:p>
    <w:p w14:paraId="5A137331" w14:textId="77777777" w:rsidR="00532249" w:rsidRPr="006D3E70" w:rsidRDefault="00532249" w:rsidP="00532249">
      <w:pPr>
        <w:pStyle w:val="Heading2"/>
        <w:rPr>
          <w:rFonts w:eastAsia="Arial Unicode MS"/>
          <w:lang w:val="fr-FR"/>
        </w:rPr>
      </w:pPr>
      <w:r w:rsidRPr="006D3E70">
        <w:rPr>
          <w:lang w:val="fr-FR"/>
        </w:rPr>
        <w:t>1.4</w:t>
      </w:r>
      <w:r w:rsidRPr="006D3E70">
        <w:rPr>
          <w:lang w:val="fr-FR"/>
        </w:rPr>
        <w:tab/>
        <w:t>Largeur de bande nécessaire (Article 1, numéro 1.152 du RR)</w:t>
      </w:r>
    </w:p>
    <w:p w14:paraId="373700BC" w14:textId="3A2E6B88" w:rsidR="00532249" w:rsidRPr="006D3E70" w:rsidRDefault="00532249" w:rsidP="00532249">
      <w:pPr>
        <w:rPr>
          <w:i/>
          <w:iCs/>
          <w:lang w:val="fr-FR"/>
        </w:rPr>
      </w:pPr>
      <w:r w:rsidRPr="006D3E70">
        <w:rPr>
          <w:i/>
          <w:iCs/>
          <w:lang w:val="fr-FR"/>
        </w:rPr>
        <w:t>Pour une classe d</w:t>
      </w:r>
      <w:r w:rsidR="00324C7C" w:rsidRPr="006D3E70">
        <w:rPr>
          <w:i/>
          <w:iCs/>
          <w:lang w:val="fr-FR"/>
        </w:rPr>
        <w:t>'</w:t>
      </w:r>
      <w:r w:rsidRPr="006D3E70">
        <w:rPr>
          <w:i/>
          <w:iCs/>
          <w:lang w:val="fr-FR"/>
        </w:rPr>
        <w:t>émission donnée, largeur de la bande de fréquences juste suffisante pour assurer la transmission de l</w:t>
      </w:r>
      <w:r w:rsidR="00324C7C" w:rsidRPr="006D3E70">
        <w:rPr>
          <w:i/>
          <w:iCs/>
          <w:lang w:val="fr-FR"/>
        </w:rPr>
        <w:t>'</w:t>
      </w:r>
      <w:r w:rsidRPr="006D3E70">
        <w:rPr>
          <w:i/>
          <w:iCs/>
          <w:lang w:val="fr-FR"/>
        </w:rPr>
        <w:t>information à la vitesse et avec la qualité requises dans des conditions données.</w:t>
      </w:r>
    </w:p>
    <w:p w14:paraId="5423EF48" w14:textId="59591D00" w:rsidR="00532249" w:rsidRPr="006D3E70" w:rsidRDefault="00532249" w:rsidP="00532249">
      <w:pPr>
        <w:rPr>
          <w:lang w:val="fr-FR"/>
        </w:rPr>
      </w:pPr>
      <w:r w:rsidRPr="006D3E70">
        <w:rPr>
          <w:lang w:val="fr-FR"/>
        </w:rPr>
        <w:t>Dans le cas des émetteurs/répéteurs multivoies ou multiporteuses, dans lesquels plusieurs porteuses peuvent être émises simultanément à partir d</w:t>
      </w:r>
      <w:r w:rsidR="00324C7C" w:rsidRPr="006D3E70">
        <w:rPr>
          <w:lang w:val="fr-FR"/>
        </w:rPr>
        <w:t>'</w:t>
      </w:r>
      <w:r w:rsidRPr="006D3E70">
        <w:rPr>
          <w:lang w:val="fr-FR"/>
        </w:rPr>
        <w:t>un amplificateur de sortie ou d</w:t>
      </w:r>
      <w:r w:rsidR="00324C7C" w:rsidRPr="006D3E70">
        <w:rPr>
          <w:lang w:val="fr-FR"/>
        </w:rPr>
        <w:t>'</w:t>
      </w:r>
      <w:r w:rsidRPr="006D3E70">
        <w:rPr>
          <w:lang w:val="fr-FR"/>
        </w:rPr>
        <w:t>une antenne active, on prend pour largeur de bande à 3 dB de l</w:t>
      </w:r>
      <w:r w:rsidR="00324C7C" w:rsidRPr="006D3E70">
        <w:rPr>
          <w:lang w:val="fr-FR"/>
        </w:rPr>
        <w:t>'</w:t>
      </w:r>
      <w:r w:rsidRPr="006D3E70">
        <w:rPr>
          <w:lang w:val="fr-FR"/>
        </w:rPr>
        <w:t>émetteur ou du récepteur la largeur de bande nécessaire. Cela ne s</w:t>
      </w:r>
      <w:r w:rsidR="00324C7C" w:rsidRPr="006D3E70">
        <w:rPr>
          <w:lang w:val="fr-FR"/>
        </w:rPr>
        <w:t>'</w:t>
      </w:r>
      <w:r w:rsidRPr="006D3E70">
        <w:rPr>
          <w:lang w:val="fr-FR"/>
        </w:rPr>
        <w:t>applique pas aux stations de base du service mobile ou aux stations de base d</w:t>
      </w:r>
      <w:r w:rsidR="00324C7C" w:rsidRPr="006D3E70">
        <w:rPr>
          <w:lang w:val="fr-FR"/>
        </w:rPr>
        <w:t>'</w:t>
      </w:r>
      <w:r w:rsidRPr="006D3E70">
        <w:rPr>
          <w:lang w:val="fr-FR"/>
        </w:rPr>
        <w:t>accès hertzien fixe utilisant des techniques mobiles.</w:t>
      </w:r>
    </w:p>
    <w:p w14:paraId="019F85D6" w14:textId="77777777" w:rsidR="00532249" w:rsidRPr="006D3E70" w:rsidRDefault="00532249" w:rsidP="00532249">
      <w:pPr>
        <w:rPr>
          <w:lang w:val="fr-FR"/>
        </w:rPr>
      </w:pPr>
      <w:r w:rsidRPr="006D3E70">
        <w:rPr>
          <w:lang w:val="fr-FR"/>
        </w:rPr>
        <w:t>Pour le service fixe, on utilise la Recommandation UIT-R F.1191 pour calculer la largeur de bande nécessaire dans le cas de faisceaux hertziens numériques multiporteuses.</w:t>
      </w:r>
    </w:p>
    <w:p w14:paraId="5FDE0CB3" w14:textId="6FF50FA8" w:rsidR="00532249" w:rsidRPr="006D3E70" w:rsidRDefault="00532249" w:rsidP="00532249">
      <w:pPr>
        <w:rPr>
          <w:lang w:val="fr-FR"/>
        </w:rPr>
      </w:pPr>
      <w:r w:rsidRPr="006D3E70">
        <w:rPr>
          <w:lang w:val="fr-FR"/>
        </w:rPr>
        <w:t>Pour le service de radiorepérage, on prend pour largeur de bande des radars agiles en fréquence la partie de la bande attribuée sur laquelle les fréquences porteuses des radars s</w:t>
      </w:r>
      <w:r w:rsidR="00324C7C" w:rsidRPr="006D3E70">
        <w:rPr>
          <w:lang w:val="fr-FR"/>
        </w:rPr>
        <w:t>'</w:t>
      </w:r>
      <w:r w:rsidRPr="006D3E70">
        <w:rPr>
          <w:lang w:val="fr-FR"/>
        </w:rPr>
        <w:t>accordent.</w:t>
      </w:r>
    </w:p>
    <w:p w14:paraId="649A2470" w14:textId="25606384" w:rsidR="00532249" w:rsidRPr="006D3E70" w:rsidRDefault="00532249" w:rsidP="00532249">
      <w:pPr>
        <w:pStyle w:val="Heading2"/>
        <w:rPr>
          <w:lang w:val="fr-FR"/>
        </w:rPr>
      </w:pPr>
      <w:r w:rsidRPr="006D3E70">
        <w:rPr>
          <w:lang w:val="fr-FR"/>
        </w:rPr>
        <w:lastRenderedPageBreak/>
        <w:t>1.5</w:t>
      </w:r>
      <w:r w:rsidRPr="006D3E70">
        <w:rPr>
          <w:lang w:val="fr-FR"/>
        </w:rPr>
        <w:tab/>
        <w:t>État actif d</w:t>
      </w:r>
      <w:r w:rsidR="00324C7C" w:rsidRPr="006D3E70">
        <w:rPr>
          <w:lang w:val="fr-FR"/>
        </w:rPr>
        <w:t>'</w:t>
      </w:r>
      <w:r w:rsidRPr="006D3E70">
        <w:rPr>
          <w:lang w:val="fr-FR"/>
        </w:rPr>
        <w:t>un émetteur</w:t>
      </w:r>
    </w:p>
    <w:p w14:paraId="0874DA32" w14:textId="0B9C7374" w:rsidR="00532249" w:rsidRPr="006D3E70" w:rsidRDefault="00532249" w:rsidP="00532249">
      <w:pPr>
        <w:rPr>
          <w:lang w:val="fr-FR"/>
        </w:rPr>
      </w:pPr>
      <w:r w:rsidRPr="006D3E70">
        <w:rPr>
          <w:lang w:val="fr-FR"/>
        </w:rPr>
        <w:t>État d</w:t>
      </w:r>
      <w:r w:rsidR="00324C7C" w:rsidRPr="006D3E70">
        <w:rPr>
          <w:lang w:val="fr-FR"/>
        </w:rPr>
        <w:t>'</w:t>
      </w:r>
      <w:r w:rsidRPr="006D3E70">
        <w:rPr>
          <w:lang w:val="fr-FR"/>
        </w:rPr>
        <w:t>une station d</w:t>
      </w:r>
      <w:r w:rsidR="00324C7C" w:rsidRPr="006D3E70">
        <w:rPr>
          <w:lang w:val="fr-FR"/>
        </w:rPr>
        <w:t>'</w:t>
      </w:r>
      <w:r w:rsidRPr="006D3E70">
        <w:rPr>
          <w:lang w:val="fr-FR"/>
        </w:rPr>
        <w:t>émission qui produit l</w:t>
      </w:r>
      <w:r w:rsidR="00324C7C" w:rsidRPr="006D3E70">
        <w:rPr>
          <w:lang w:val="fr-FR"/>
        </w:rPr>
        <w:t>'</w:t>
      </w:r>
      <w:r w:rsidRPr="006D3E70">
        <w:rPr>
          <w:lang w:val="fr-FR"/>
        </w:rPr>
        <w:t>émission autorisée.</w:t>
      </w:r>
    </w:p>
    <w:p w14:paraId="05E36D29" w14:textId="5843A730" w:rsidR="00532249" w:rsidRPr="006D3E70" w:rsidRDefault="00532249" w:rsidP="00532249">
      <w:pPr>
        <w:pStyle w:val="Heading2"/>
        <w:rPr>
          <w:lang w:val="fr-FR"/>
        </w:rPr>
      </w:pPr>
      <w:r w:rsidRPr="006D3E70">
        <w:rPr>
          <w:lang w:val="fr-FR"/>
        </w:rPr>
        <w:t>1.6</w:t>
      </w:r>
      <w:r w:rsidRPr="006D3E70">
        <w:rPr>
          <w:lang w:val="fr-FR"/>
        </w:rPr>
        <w:tab/>
        <w:t>État de repos ou état de veille d</w:t>
      </w:r>
      <w:r w:rsidR="00324C7C" w:rsidRPr="006D3E70">
        <w:rPr>
          <w:lang w:val="fr-FR"/>
        </w:rPr>
        <w:t>'</w:t>
      </w:r>
      <w:r w:rsidRPr="006D3E70">
        <w:rPr>
          <w:lang w:val="fr-FR"/>
        </w:rPr>
        <w:t>un émetteur</w:t>
      </w:r>
    </w:p>
    <w:p w14:paraId="00DF6BD4" w14:textId="09BC97B5" w:rsidR="00532249" w:rsidRPr="006D3E70" w:rsidRDefault="00532249" w:rsidP="00532249">
      <w:pPr>
        <w:rPr>
          <w:lang w:val="fr-FR"/>
        </w:rPr>
      </w:pPr>
      <w:r w:rsidRPr="006D3E70">
        <w:rPr>
          <w:lang w:val="fr-FR"/>
        </w:rPr>
        <w:t>État d</w:t>
      </w:r>
      <w:r w:rsidR="00324C7C" w:rsidRPr="006D3E70">
        <w:rPr>
          <w:lang w:val="fr-FR"/>
        </w:rPr>
        <w:t>'</w:t>
      </w:r>
      <w:r w:rsidRPr="006D3E70">
        <w:rPr>
          <w:lang w:val="fr-FR"/>
        </w:rPr>
        <w:t>une station d</w:t>
      </w:r>
      <w:r w:rsidR="00324C7C" w:rsidRPr="006D3E70">
        <w:rPr>
          <w:lang w:val="fr-FR"/>
        </w:rPr>
        <w:t>'</w:t>
      </w:r>
      <w:r w:rsidRPr="006D3E70">
        <w:rPr>
          <w:lang w:val="fr-FR"/>
        </w:rPr>
        <w:t>émission pendant lequel l</w:t>
      </w:r>
      <w:r w:rsidR="00324C7C" w:rsidRPr="006D3E70">
        <w:rPr>
          <w:lang w:val="fr-FR"/>
        </w:rPr>
        <w:t>'</w:t>
      </w:r>
      <w:r w:rsidRPr="006D3E70">
        <w:rPr>
          <w:lang w:val="fr-FR"/>
        </w:rPr>
        <w:t>émetteur est disponible pour le trafic mais n</w:t>
      </w:r>
      <w:r w:rsidR="00324C7C" w:rsidRPr="006D3E70">
        <w:rPr>
          <w:lang w:val="fr-FR"/>
        </w:rPr>
        <w:t>'</w:t>
      </w:r>
      <w:r w:rsidRPr="006D3E70">
        <w:rPr>
          <w:lang w:val="fr-FR"/>
        </w:rPr>
        <w:t>est pas dans l</w:t>
      </w:r>
      <w:r w:rsidR="00324C7C" w:rsidRPr="006D3E70">
        <w:rPr>
          <w:lang w:val="fr-FR"/>
        </w:rPr>
        <w:t>'</w:t>
      </w:r>
      <w:r w:rsidRPr="006D3E70">
        <w:rPr>
          <w:lang w:val="fr-FR"/>
        </w:rPr>
        <w:t>état actif.</w:t>
      </w:r>
    </w:p>
    <w:p w14:paraId="163864C2" w14:textId="268B03CA" w:rsidR="00532249" w:rsidRPr="006D3E70" w:rsidRDefault="00532249" w:rsidP="00532249">
      <w:pPr>
        <w:rPr>
          <w:lang w:val="fr-FR"/>
        </w:rPr>
      </w:pPr>
      <w:r w:rsidRPr="006D3E70">
        <w:rPr>
          <w:lang w:val="fr-FR"/>
        </w:rPr>
        <w:t>On ne considère pas que les radars primaires fonctionnent en état de veille puisque l</w:t>
      </w:r>
      <w:r w:rsidR="00324C7C" w:rsidRPr="006D3E70">
        <w:rPr>
          <w:lang w:val="fr-FR"/>
        </w:rPr>
        <w:t>'</w:t>
      </w:r>
      <w:r w:rsidRPr="006D3E70">
        <w:rPr>
          <w:lang w:val="fr-FR"/>
        </w:rPr>
        <w:t>émetteur est actif pendant le fonctionnement du radar. On ne considère pas non plus que les radars à impulsions sont en état de veille dans les intervalles entre leurs impulsions. On ne considère pas non plus que les systèmes de communication par répartition temporelle sont en état de repos ou de veille dans l</w:t>
      </w:r>
      <w:r w:rsidR="00324C7C" w:rsidRPr="006D3E70">
        <w:rPr>
          <w:lang w:val="fr-FR"/>
        </w:rPr>
        <w:t>'</w:t>
      </w:r>
      <w:r w:rsidRPr="006D3E70">
        <w:rPr>
          <w:lang w:val="fr-FR"/>
        </w:rPr>
        <w:t>intervalle entre les tranches de temps.</w:t>
      </w:r>
    </w:p>
    <w:p w14:paraId="0C7E178F" w14:textId="77777777" w:rsidR="00532249" w:rsidRPr="006D3E70" w:rsidRDefault="00532249" w:rsidP="00532249">
      <w:pPr>
        <w:pStyle w:val="Heading1"/>
        <w:rPr>
          <w:rFonts w:eastAsia="Arial Unicode MS"/>
          <w:lang w:val="fr-FR"/>
        </w:rPr>
      </w:pPr>
      <w:r w:rsidRPr="006D3E70">
        <w:rPr>
          <w:lang w:val="fr-FR"/>
        </w:rPr>
        <w:t>2</w:t>
      </w:r>
      <w:r w:rsidRPr="006D3E70">
        <w:rPr>
          <w:lang w:val="fr-FR"/>
        </w:rPr>
        <w:tab/>
        <w:t>Application des limites</w:t>
      </w:r>
    </w:p>
    <w:p w14:paraId="5C5A86F3" w14:textId="3247168C" w:rsidR="00532249" w:rsidRPr="006D3E70" w:rsidRDefault="00532249" w:rsidP="00532249">
      <w:pPr>
        <w:rPr>
          <w:lang w:val="fr-FR"/>
        </w:rPr>
      </w:pPr>
      <w:r w:rsidRPr="006D3E70">
        <w:rPr>
          <w:b/>
          <w:lang w:val="fr-FR"/>
        </w:rPr>
        <w:t>2.1</w:t>
      </w:r>
      <w:r w:rsidRPr="006D3E70">
        <w:rPr>
          <w:lang w:val="fr-FR"/>
        </w:rPr>
        <w:tab/>
        <w:t>Les niveaux des rayonnements dans le domaine des rayonnements non essentiels pourraient être exprimés par la puissance de crête ou la puissance moyenne fournie par l</w:t>
      </w:r>
      <w:r w:rsidR="00324C7C" w:rsidRPr="006D3E70">
        <w:rPr>
          <w:lang w:val="fr-FR"/>
        </w:rPr>
        <w:t>'</w:t>
      </w:r>
      <w:r w:rsidRPr="006D3E70">
        <w:rPr>
          <w:lang w:val="fr-FR"/>
        </w:rPr>
        <w:t>émetteur à la ligne d</w:t>
      </w:r>
      <w:r w:rsidR="00324C7C" w:rsidRPr="006D3E70">
        <w:rPr>
          <w:lang w:val="fr-FR"/>
        </w:rPr>
        <w:t>'</w:t>
      </w:r>
      <w:r w:rsidRPr="006D3E70">
        <w:rPr>
          <w:lang w:val="fr-FR"/>
        </w:rPr>
        <w:t>alimentation de l</w:t>
      </w:r>
      <w:r w:rsidR="00324C7C" w:rsidRPr="006D3E70">
        <w:rPr>
          <w:lang w:val="fr-FR"/>
        </w:rPr>
        <w:t>'</w:t>
      </w:r>
      <w:r w:rsidRPr="006D3E70">
        <w:rPr>
          <w:lang w:val="fr-FR"/>
        </w:rPr>
        <w:t>antenne aux fréquences du rayonnement concerné, dans une largeur de bande de référence définie, en fonction de la nature du service de radiocommunication pour lequel est utilisé l</w:t>
      </w:r>
      <w:r w:rsidR="00324C7C" w:rsidRPr="006D3E70">
        <w:rPr>
          <w:lang w:val="fr-FR"/>
        </w:rPr>
        <w:t>'</w:t>
      </w:r>
      <w:r w:rsidRPr="006D3E70">
        <w:rPr>
          <w:lang w:val="fr-FR"/>
        </w:rPr>
        <w:t>émetteur.</w:t>
      </w:r>
    </w:p>
    <w:p w14:paraId="17F8111A" w14:textId="77777777" w:rsidR="00532249" w:rsidRPr="006D3E70" w:rsidRDefault="00532249" w:rsidP="00532249">
      <w:pPr>
        <w:rPr>
          <w:lang w:val="fr-FR"/>
        </w:rPr>
      </w:pPr>
      <w:r w:rsidRPr="006D3E70">
        <w:rPr>
          <w:b/>
          <w:lang w:val="fr-FR"/>
        </w:rPr>
        <w:t>2.2</w:t>
      </w:r>
      <w:r w:rsidRPr="006D3E70">
        <w:rPr>
          <w:lang w:val="fr-FR"/>
        </w:rPr>
        <w:tab/>
        <w:t>Les niveaux des rayonnements dans le domaine des rayonnements non essentiels pourraient être exprimés en termes de champ ou de puissance surfacique à la surface de la Terre, aux fréquences du rayonnement en question dans le domaine des rayonnements non essentiels.</w:t>
      </w:r>
    </w:p>
    <w:p w14:paraId="22B4D522" w14:textId="1DD4D5AE" w:rsidR="00532249" w:rsidRPr="006D3E70" w:rsidRDefault="00532249" w:rsidP="00532249">
      <w:pPr>
        <w:rPr>
          <w:lang w:val="fr-FR"/>
        </w:rPr>
      </w:pPr>
      <w:r w:rsidRPr="006D3E70">
        <w:rPr>
          <w:b/>
          <w:lang w:val="fr-FR"/>
        </w:rPr>
        <w:t>2.3</w:t>
      </w:r>
      <w:r w:rsidRPr="006D3E70">
        <w:rPr>
          <w:lang w:val="fr-FR"/>
        </w:rPr>
        <w:tab/>
        <w:t>Selon les principes énoncés dans l</w:t>
      </w:r>
      <w:r w:rsidR="00324C7C" w:rsidRPr="006D3E70">
        <w:rPr>
          <w:lang w:val="fr-FR"/>
        </w:rPr>
        <w:t>'</w:t>
      </w:r>
      <w:r w:rsidRPr="006D3E70">
        <w:rPr>
          <w:lang w:val="fr-FR"/>
        </w:rPr>
        <w:t xml:space="preserve">Appendice </w:t>
      </w:r>
      <w:r w:rsidRPr="006D3E70">
        <w:rPr>
          <w:b/>
          <w:bCs/>
          <w:lang w:val="fr-FR"/>
        </w:rPr>
        <w:t>3</w:t>
      </w:r>
      <w:r w:rsidRPr="006D3E70">
        <w:rPr>
          <w:lang w:val="fr-FR"/>
        </w:rPr>
        <w:t xml:space="preserve"> du RR, le domaine des rayonnements non essentiels se compose en général des fréquences séparées de la fréquence centrale de l</w:t>
      </w:r>
      <w:r w:rsidR="00324C7C" w:rsidRPr="006D3E70">
        <w:rPr>
          <w:lang w:val="fr-FR"/>
        </w:rPr>
        <w:t>'</w:t>
      </w:r>
      <w:r w:rsidRPr="006D3E70">
        <w:rPr>
          <w:lang w:val="fr-FR"/>
        </w:rPr>
        <w:t>émission par 250% ou plus de la largeur de bande nécessaire. Toutefois, cet espacement entre les fréquences peut dépendre du type de modulation utilisé, du débit binaire maximal dans le cas de la modulation numérique, du type d</w:t>
      </w:r>
      <w:r w:rsidR="00324C7C" w:rsidRPr="006D3E70">
        <w:rPr>
          <w:lang w:val="fr-FR"/>
        </w:rPr>
        <w:t>'</w:t>
      </w:r>
      <w:r w:rsidRPr="006D3E70">
        <w:rPr>
          <w:lang w:val="fr-FR"/>
        </w:rPr>
        <w:t>émetteur et de facteurs de coordination des fréquences. Par exemple, pour certains systèmes numériques à large bande ou à modulation d</w:t>
      </w:r>
      <w:r w:rsidR="00324C7C" w:rsidRPr="006D3E70">
        <w:rPr>
          <w:lang w:val="fr-FR"/>
        </w:rPr>
        <w:t>'</w:t>
      </w:r>
      <w:r w:rsidRPr="006D3E70">
        <w:rPr>
          <w:lang w:val="fr-FR"/>
        </w:rPr>
        <w:t>impulsions, l</w:t>
      </w:r>
      <w:r w:rsidR="00324C7C" w:rsidRPr="006D3E70">
        <w:rPr>
          <w:lang w:val="fr-FR"/>
        </w:rPr>
        <w:t>'</w:t>
      </w:r>
      <w:r w:rsidRPr="006D3E70">
        <w:rPr>
          <w:lang w:val="fr-FR"/>
        </w:rPr>
        <w:t xml:space="preserve">espacement entre les fréquences peut ne pas respecter les </w:t>
      </w:r>
      <w:r w:rsidRPr="006D3E70">
        <w:rPr>
          <w:lang w:val="fr-FR"/>
        </w:rPr>
        <w:sym w:font="Symbol" w:char="F0B1"/>
      </w:r>
      <w:r w:rsidRPr="006D3E70">
        <w:rPr>
          <w:lang w:val="fr-FR"/>
        </w:rPr>
        <w:t>250%. Étant donné que le RR interdit à tout service de radiocommunication de causer des brouillages préjudiciables hors de la bande de fréquences qui lui est attribuée, les fréquences de l</w:t>
      </w:r>
      <w:r w:rsidR="00324C7C" w:rsidRPr="006D3E70">
        <w:rPr>
          <w:lang w:val="fr-FR"/>
        </w:rPr>
        <w:t>'</w:t>
      </w:r>
      <w:r w:rsidRPr="006D3E70">
        <w:rPr>
          <w:lang w:val="fr-FR"/>
        </w:rPr>
        <w:t xml:space="preserve">émetteur doivent être déterminées de telle sorte que les émissions hors bande ne causent pas de brouillage préjudiciable hors de la bande de fréquences attribuée, conformément au numéro </w:t>
      </w:r>
      <w:r w:rsidRPr="006D3E70">
        <w:rPr>
          <w:b/>
          <w:bCs/>
          <w:lang w:val="fr-FR"/>
        </w:rPr>
        <w:t>4.5</w:t>
      </w:r>
      <w:r w:rsidRPr="006D3E70">
        <w:rPr>
          <w:lang w:val="fr-FR"/>
        </w:rPr>
        <w:t xml:space="preserve"> du RR.</w:t>
      </w:r>
    </w:p>
    <w:p w14:paraId="0E614628" w14:textId="05351014" w:rsidR="00532249" w:rsidRPr="006D3E70" w:rsidRDefault="00532249" w:rsidP="00532249">
      <w:pPr>
        <w:keepNext/>
        <w:keepLines/>
        <w:rPr>
          <w:lang w:val="fr-FR"/>
        </w:rPr>
      </w:pPr>
      <w:r w:rsidRPr="006D3E70">
        <w:rPr>
          <w:lang w:val="fr-FR"/>
        </w:rPr>
        <w:t xml:space="preserve">Les </w:t>
      </w:r>
      <w:r w:rsidRPr="006D3E70">
        <w:rPr>
          <w:lang w:val="fr-FR"/>
        </w:rPr>
        <w:sym w:font="Symbol" w:char="F0B1"/>
      </w:r>
      <w:r w:rsidRPr="006D3E70">
        <w:rPr>
          <w:lang w:val="fr-FR"/>
        </w:rPr>
        <w:t>250% peuvent aussi s</w:t>
      </w:r>
      <w:r w:rsidR="00324C7C" w:rsidRPr="006D3E70">
        <w:rPr>
          <w:lang w:val="fr-FR"/>
        </w:rPr>
        <w:t>'</w:t>
      </w:r>
      <w:r w:rsidRPr="006D3E70">
        <w:rPr>
          <w:lang w:val="fr-FR"/>
        </w:rPr>
        <w:t>appliquer à l</w:t>
      </w:r>
      <w:r w:rsidR="00324C7C" w:rsidRPr="006D3E70">
        <w:rPr>
          <w:lang w:val="fr-FR"/>
        </w:rPr>
        <w:t>'</w:t>
      </w:r>
      <w:r w:rsidRPr="006D3E70">
        <w:rPr>
          <w:lang w:val="fr-FR"/>
        </w:rPr>
        <w:t>espacement entre canaux et non à la largeur de bande nécessaire. Par exemple, pour la coordination des fréquences des systèmes numériques du service fixe, la Recommandation UIT-R F.1191 préconise d</w:t>
      </w:r>
      <w:r w:rsidR="00324C7C" w:rsidRPr="006D3E70">
        <w:rPr>
          <w:lang w:val="fr-FR"/>
        </w:rPr>
        <w:t>'</w:t>
      </w:r>
      <w:r w:rsidRPr="006D3E70">
        <w:rPr>
          <w:lang w:val="fr-FR"/>
        </w:rPr>
        <w:t xml:space="preserve">utiliser les </w:t>
      </w:r>
      <w:r w:rsidRPr="006D3E70">
        <w:rPr>
          <w:lang w:val="fr-FR"/>
        </w:rPr>
        <w:sym w:font="Symbol" w:char="F0B1"/>
      </w:r>
      <w:r w:rsidRPr="006D3E70">
        <w:rPr>
          <w:lang w:val="fr-FR"/>
        </w:rPr>
        <w:t>250% de l</w:t>
      </w:r>
      <w:r w:rsidR="00324C7C" w:rsidRPr="006D3E70">
        <w:rPr>
          <w:lang w:val="fr-FR"/>
        </w:rPr>
        <w:t>'</w:t>
      </w:r>
      <w:r w:rsidRPr="006D3E70">
        <w:rPr>
          <w:lang w:val="fr-FR"/>
        </w:rPr>
        <w:t>espacement entre canaux de la disposition des canaux RF pertinente comme limites de fréquences entre le domaine des émissions hors bande et celui des rayonnements non essentiels.</w:t>
      </w:r>
    </w:p>
    <w:p w14:paraId="44CD26FA" w14:textId="78F8F6BA" w:rsidR="00532249" w:rsidRPr="006D3E70" w:rsidRDefault="00532249" w:rsidP="00532249">
      <w:pPr>
        <w:rPr>
          <w:lang w:val="fr-FR"/>
        </w:rPr>
      </w:pPr>
      <w:r w:rsidRPr="006D3E70">
        <w:rPr>
          <w:lang w:val="fr-FR"/>
        </w:rPr>
        <w:t>Dans le cas d</w:t>
      </w:r>
      <w:r w:rsidR="00324C7C" w:rsidRPr="006D3E70">
        <w:rPr>
          <w:lang w:val="fr-FR"/>
        </w:rPr>
        <w:t>'</w:t>
      </w:r>
      <w:r w:rsidRPr="006D3E70">
        <w:rPr>
          <w:lang w:val="fr-FR"/>
        </w:rPr>
        <w:t>une largeur de bande très étroite ou très large, cette méthode de détermination du domaine des rayonnements non essentiels ne convient peut-être pas; la Recommandation UIT</w:t>
      </w:r>
      <w:r w:rsidRPr="006D3E70">
        <w:rPr>
          <w:lang w:val="fr-FR"/>
        </w:rPr>
        <w:noBreakHyphen/>
        <w:t>R SM.1539 donne des précisions supplémentaires.</w:t>
      </w:r>
    </w:p>
    <w:p w14:paraId="0D5D1260" w14:textId="77777777" w:rsidR="00532249" w:rsidRPr="006D3E70" w:rsidRDefault="00532249" w:rsidP="00532249">
      <w:pPr>
        <w:rPr>
          <w:lang w:val="fr-FR"/>
        </w:rPr>
      </w:pPr>
      <w:r w:rsidRPr="006D3E70">
        <w:rPr>
          <w:lang w:val="fr-FR"/>
        </w:rPr>
        <w:t xml:space="preserve">On trouvera au § 2.3 du </w:t>
      </w:r>
      <w:r w:rsidRPr="006D3E70">
        <w:rPr>
          <w:i/>
          <w:iCs/>
          <w:lang w:val="fr-FR"/>
        </w:rPr>
        <w:t>recommande</w:t>
      </w:r>
      <w:r w:rsidRPr="006D3E70">
        <w:rPr>
          <w:lang w:val="fr-FR"/>
        </w:rPr>
        <w:t xml:space="preserve"> de la Recommandation UIT-R SM.1541 des précisions supplémentaires concernant la largeur de bande nécessaire requise pour déterminer la limite entre le domaine des émissions hors bande et le domaine des rayonnements non essentiels.</w:t>
      </w:r>
    </w:p>
    <w:p w14:paraId="4696A047" w14:textId="7438964A" w:rsidR="00532249" w:rsidRPr="006D3E70" w:rsidRDefault="00532249" w:rsidP="00532249">
      <w:pPr>
        <w:rPr>
          <w:lang w:val="fr-FR"/>
        </w:rPr>
      </w:pPr>
      <w:r w:rsidRPr="006D3E70">
        <w:rPr>
          <w:b/>
          <w:lang w:val="fr-FR"/>
        </w:rPr>
        <w:t>2.4</w:t>
      </w:r>
      <w:r w:rsidRPr="006D3E70">
        <w:rPr>
          <w:lang w:val="fr-FR"/>
        </w:rPr>
        <w:tab/>
        <w:t>Dans le cas d</w:t>
      </w:r>
      <w:r w:rsidR="00324C7C" w:rsidRPr="006D3E70">
        <w:rPr>
          <w:lang w:val="fr-FR"/>
        </w:rPr>
        <w:t>'</w:t>
      </w:r>
      <w:r w:rsidRPr="006D3E70">
        <w:rPr>
          <w:lang w:val="fr-FR"/>
        </w:rPr>
        <w:t>un système émetteur comprenant plus d</w:t>
      </w:r>
      <w:r w:rsidR="00324C7C" w:rsidRPr="006D3E70">
        <w:rPr>
          <w:lang w:val="fr-FR"/>
        </w:rPr>
        <w:t>'</w:t>
      </w:r>
      <w:r w:rsidRPr="006D3E70">
        <w:rPr>
          <w:lang w:val="fr-FR"/>
        </w:rPr>
        <w:t>un émetteur connecté à la même antenne, les limites indiquées au § 3 doivent s</w:t>
      </w:r>
      <w:r w:rsidR="00324C7C" w:rsidRPr="006D3E70">
        <w:rPr>
          <w:lang w:val="fr-FR"/>
        </w:rPr>
        <w:t>'</w:t>
      </w:r>
      <w:r w:rsidRPr="006D3E70">
        <w:rPr>
          <w:lang w:val="fr-FR"/>
        </w:rPr>
        <w:t>appliquer, dans la mesure du possible, aux produits d</w:t>
      </w:r>
      <w:r w:rsidR="00324C7C" w:rsidRPr="006D3E70">
        <w:rPr>
          <w:lang w:val="fr-FR"/>
        </w:rPr>
        <w:t>'</w:t>
      </w:r>
      <w:r w:rsidRPr="006D3E70">
        <w:rPr>
          <w:lang w:val="fr-FR"/>
        </w:rPr>
        <w:t>intermodulation dus à l</w:t>
      </w:r>
      <w:r w:rsidR="00324C7C" w:rsidRPr="006D3E70">
        <w:rPr>
          <w:lang w:val="fr-FR"/>
        </w:rPr>
        <w:t>'</w:t>
      </w:r>
      <w:r w:rsidRPr="006D3E70">
        <w:rPr>
          <w:lang w:val="fr-FR"/>
        </w:rPr>
        <w:t>utilisation de plusieurs émetteurs.</w:t>
      </w:r>
    </w:p>
    <w:p w14:paraId="1B8F8E80" w14:textId="7715C25B" w:rsidR="00532249" w:rsidRPr="006D3E70" w:rsidRDefault="00532249" w:rsidP="00532249">
      <w:pPr>
        <w:rPr>
          <w:lang w:val="fr-FR"/>
        </w:rPr>
      </w:pPr>
      <w:r w:rsidRPr="006D3E70">
        <w:rPr>
          <w:b/>
          <w:bCs/>
          <w:lang w:val="fr-FR"/>
        </w:rPr>
        <w:lastRenderedPageBreak/>
        <w:t>2.5</w:t>
      </w:r>
      <w:r w:rsidRPr="006D3E70">
        <w:rPr>
          <w:b/>
          <w:bCs/>
          <w:lang w:val="fr-FR"/>
        </w:rPr>
        <w:tab/>
      </w:r>
      <w:r w:rsidRPr="006D3E70">
        <w:rPr>
          <w:lang w:val="fr-FR"/>
        </w:rPr>
        <w:t>On considère ici que les limites que doivent respecter les équipements radioélectriques concernant les rayonnements dans le domaine des rayonnements non essentiels s</w:t>
      </w:r>
      <w:r w:rsidR="00324C7C" w:rsidRPr="006D3E70">
        <w:rPr>
          <w:lang w:val="fr-FR"/>
        </w:rPr>
        <w:t>'</w:t>
      </w:r>
      <w:r w:rsidRPr="006D3E70">
        <w:rPr>
          <w:lang w:val="fr-FR"/>
        </w:rPr>
        <w:t>appliquent entre 9 kHz et 300 GHz.</w:t>
      </w:r>
    </w:p>
    <w:p w14:paraId="6D5A7BA5" w14:textId="77777777" w:rsidR="00532249" w:rsidRPr="006D3E70" w:rsidRDefault="00532249" w:rsidP="00532249">
      <w:pPr>
        <w:rPr>
          <w:lang w:val="fr-FR"/>
        </w:rPr>
      </w:pPr>
      <w:r w:rsidRPr="006D3E70">
        <w:rPr>
          <w:lang w:val="fr-FR"/>
        </w:rPr>
        <w:t>Toutefois, uniquement pour les besoins de mesures concrètes, la gamme de fréquences du domaine des rayonnements non essentiels peut être restreinte. Les gammes de fréquences de mesure données dans le Tableau 1 sont normalement recommandées à des fins pratiques.</w:t>
      </w:r>
    </w:p>
    <w:p w14:paraId="43465D28" w14:textId="77777777" w:rsidR="00532249" w:rsidRPr="006D3E70" w:rsidRDefault="00532249" w:rsidP="00532249">
      <w:pPr>
        <w:pStyle w:val="TableNo"/>
        <w:rPr>
          <w:lang w:val="fr-FR"/>
        </w:rPr>
      </w:pPr>
      <w:r w:rsidRPr="006D3E70">
        <w:rPr>
          <w:lang w:val="fr-FR"/>
        </w:rPr>
        <w:t>TABLEAU 1</w:t>
      </w:r>
    </w:p>
    <w:p w14:paraId="7D7096E0" w14:textId="77777777" w:rsidR="00532249" w:rsidRPr="006D3E70" w:rsidRDefault="00532249" w:rsidP="00532249">
      <w:pPr>
        <w:pStyle w:val="Tabletitle"/>
        <w:rPr>
          <w:lang w:val="fr-FR"/>
        </w:rPr>
      </w:pPr>
      <w:r w:rsidRPr="006D3E70">
        <w:rPr>
          <w:lang w:val="fr-FR"/>
        </w:rPr>
        <w:t>Gamme de fréquences pour les mesures des rayonnements non désirés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9"/>
        <w:gridCol w:w="2109"/>
        <w:gridCol w:w="5421"/>
      </w:tblGrid>
      <w:tr w:rsidR="00532249" w:rsidRPr="006D3E70" w14:paraId="6F097DCF" w14:textId="77777777" w:rsidTr="009B33DD">
        <w:trPr>
          <w:jc w:val="center"/>
        </w:trPr>
        <w:tc>
          <w:tcPr>
            <w:tcW w:w="2109" w:type="dxa"/>
            <w:vAlign w:val="center"/>
          </w:tcPr>
          <w:p w14:paraId="63591D4A" w14:textId="77777777" w:rsidR="00532249" w:rsidRPr="006D3E70" w:rsidRDefault="00532249" w:rsidP="009B33DD">
            <w:pPr>
              <w:pStyle w:val="Tablehead"/>
              <w:rPr>
                <w:lang w:val="fr-FR"/>
              </w:rPr>
            </w:pPr>
            <w:r w:rsidRPr="006D3E70">
              <w:rPr>
                <w:lang w:val="fr-FR"/>
              </w:rPr>
              <w:t>Plage des fréquences fondamentales</w:t>
            </w:r>
          </w:p>
        </w:tc>
        <w:tc>
          <w:tcPr>
            <w:tcW w:w="7530" w:type="dxa"/>
            <w:gridSpan w:val="2"/>
            <w:vAlign w:val="center"/>
          </w:tcPr>
          <w:p w14:paraId="6CC57AEB" w14:textId="77777777" w:rsidR="00532249" w:rsidRPr="006D3E70" w:rsidRDefault="00532249" w:rsidP="009B33DD">
            <w:pPr>
              <w:pStyle w:val="Tablehead"/>
              <w:rPr>
                <w:lang w:val="fr-FR"/>
              </w:rPr>
            </w:pPr>
            <w:r w:rsidRPr="006D3E70">
              <w:rPr>
                <w:lang w:val="fr-FR"/>
              </w:rPr>
              <w:t>Gamme de fréquences pour les mesures</w:t>
            </w:r>
          </w:p>
        </w:tc>
      </w:tr>
      <w:tr w:rsidR="00532249" w:rsidRPr="006D3E70" w14:paraId="4592BA39" w14:textId="77777777" w:rsidTr="009B33DD">
        <w:trPr>
          <w:jc w:val="center"/>
        </w:trPr>
        <w:tc>
          <w:tcPr>
            <w:tcW w:w="2109" w:type="dxa"/>
            <w:vAlign w:val="center"/>
          </w:tcPr>
          <w:p w14:paraId="5A2C5287" w14:textId="77777777" w:rsidR="00532249" w:rsidRPr="006D3E70" w:rsidRDefault="00532249" w:rsidP="009B33DD">
            <w:pPr>
              <w:pStyle w:val="Tablehead"/>
              <w:rPr>
                <w:lang w:val="fr-FR"/>
              </w:rPr>
            </w:pPr>
          </w:p>
        </w:tc>
        <w:tc>
          <w:tcPr>
            <w:tcW w:w="2109" w:type="dxa"/>
            <w:vAlign w:val="center"/>
          </w:tcPr>
          <w:p w14:paraId="7166E745" w14:textId="77777777" w:rsidR="00532249" w:rsidRPr="006D3E70" w:rsidRDefault="00532249" w:rsidP="009B33DD">
            <w:pPr>
              <w:pStyle w:val="Tablehead"/>
              <w:rPr>
                <w:lang w:val="fr-FR"/>
              </w:rPr>
            </w:pPr>
            <w:r w:rsidRPr="006D3E70">
              <w:rPr>
                <w:lang w:val="fr-FR"/>
              </w:rPr>
              <w:t>Limite inférieure</w:t>
            </w:r>
          </w:p>
        </w:tc>
        <w:tc>
          <w:tcPr>
            <w:tcW w:w="5421" w:type="dxa"/>
            <w:vAlign w:val="center"/>
          </w:tcPr>
          <w:p w14:paraId="13C3474B" w14:textId="23F67C25" w:rsidR="00532249" w:rsidRPr="006D3E70" w:rsidRDefault="00532249" w:rsidP="009B33DD">
            <w:pPr>
              <w:pStyle w:val="Tablehead"/>
              <w:rPr>
                <w:lang w:val="fr-FR"/>
              </w:rPr>
            </w:pPr>
            <w:r w:rsidRPr="006D3E70">
              <w:rPr>
                <w:lang w:val="fr-FR"/>
              </w:rPr>
              <w:t>Limite supérieure</w:t>
            </w:r>
            <w:r w:rsidRPr="006D3E70">
              <w:rPr>
                <w:lang w:val="fr-FR"/>
              </w:rPr>
              <w:br/>
              <w:t>(les mesures doivent s</w:t>
            </w:r>
            <w:r w:rsidR="00324C7C" w:rsidRPr="006D3E70">
              <w:rPr>
                <w:lang w:val="fr-FR"/>
              </w:rPr>
              <w:t>'</w:t>
            </w:r>
            <w:r w:rsidRPr="006D3E70">
              <w:rPr>
                <w:lang w:val="fr-FR"/>
              </w:rPr>
              <w:t>effectuer sur la totalité de la bande harmonique et ne pas s</w:t>
            </w:r>
            <w:r w:rsidR="00324C7C" w:rsidRPr="006D3E70">
              <w:rPr>
                <w:lang w:val="fr-FR"/>
              </w:rPr>
              <w:t>'</w:t>
            </w:r>
            <w:r w:rsidRPr="006D3E70">
              <w:rPr>
                <w:lang w:val="fr-FR"/>
              </w:rPr>
              <w:t>arrêter à la limite</w:t>
            </w:r>
            <w:r w:rsidRPr="006D3E70">
              <w:rPr>
                <w:lang w:val="fr-FR"/>
              </w:rPr>
              <w:br/>
              <w:t>de fréquence supérieure précise indiquée)</w:t>
            </w:r>
          </w:p>
        </w:tc>
      </w:tr>
      <w:tr w:rsidR="00532249" w:rsidRPr="006D3E70" w14:paraId="1DB62C5B" w14:textId="77777777" w:rsidTr="009B33DD">
        <w:trPr>
          <w:jc w:val="center"/>
        </w:trPr>
        <w:tc>
          <w:tcPr>
            <w:tcW w:w="2109" w:type="dxa"/>
            <w:vAlign w:val="center"/>
          </w:tcPr>
          <w:p w14:paraId="28FEFC78" w14:textId="77777777" w:rsidR="00532249" w:rsidRPr="006D3E70" w:rsidRDefault="00532249" w:rsidP="009B33DD">
            <w:pPr>
              <w:pStyle w:val="Tabletext"/>
              <w:jc w:val="center"/>
              <w:rPr>
                <w:lang w:val="fr-FR"/>
              </w:rPr>
            </w:pPr>
            <w:r w:rsidRPr="006D3E70">
              <w:rPr>
                <w:lang w:val="fr-FR"/>
              </w:rPr>
              <w:t>9 kHz-100 MHz</w:t>
            </w:r>
          </w:p>
        </w:tc>
        <w:tc>
          <w:tcPr>
            <w:tcW w:w="2109" w:type="dxa"/>
            <w:vAlign w:val="center"/>
          </w:tcPr>
          <w:p w14:paraId="59284050" w14:textId="77777777" w:rsidR="00532249" w:rsidRPr="006D3E70" w:rsidRDefault="00532249" w:rsidP="009B33DD">
            <w:pPr>
              <w:pStyle w:val="Tabletext"/>
              <w:jc w:val="center"/>
              <w:rPr>
                <w:lang w:val="fr-FR"/>
              </w:rPr>
            </w:pPr>
            <w:r w:rsidRPr="006D3E70">
              <w:rPr>
                <w:lang w:val="fr-FR"/>
              </w:rPr>
              <w:t>9 kHz</w:t>
            </w:r>
          </w:p>
        </w:tc>
        <w:tc>
          <w:tcPr>
            <w:tcW w:w="5421" w:type="dxa"/>
            <w:vAlign w:val="center"/>
          </w:tcPr>
          <w:p w14:paraId="78382A28" w14:textId="77777777" w:rsidR="00532249" w:rsidRPr="006D3E70" w:rsidRDefault="00532249" w:rsidP="009B33DD">
            <w:pPr>
              <w:pStyle w:val="Tabletext"/>
              <w:jc w:val="center"/>
              <w:rPr>
                <w:lang w:val="fr-FR"/>
              </w:rPr>
            </w:pPr>
            <w:r w:rsidRPr="006D3E70">
              <w:rPr>
                <w:lang w:val="fr-FR"/>
              </w:rPr>
              <w:t>1 GHz</w:t>
            </w:r>
          </w:p>
        </w:tc>
      </w:tr>
      <w:tr w:rsidR="00532249" w:rsidRPr="006D3E70" w14:paraId="441807C2" w14:textId="77777777" w:rsidTr="009B33DD">
        <w:trPr>
          <w:jc w:val="center"/>
        </w:trPr>
        <w:tc>
          <w:tcPr>
            <w:tcW w:w="2109" w:type="dxa"/>
            <w:vAlign w:val="center"/>
          </w:tcPr>
          <w:p w14:paraId="70D06138" w14:textId="77777777" w:rsidR="00532249" w:rsidRPr="006D3E70" w:rsidRDefault="00532249" w:rsidP="009B33DD">
            <w:pPr>
              <w:pStyle w:val="Tabletext"/>
              <w:jc w:val="center"/>
              <w:rPr>
                <w:lang w:val="fr-FR"/>
              </w:rPr>
            </w:pPr>
            <w:r w:rsidRPr="006D3E70">
              <w:rPr>
                <w:lang w:val="fr-FR"/>
              </w:rPr>
              <w:t>100 MHz-300 MHz</w:t>
            </w:r>
          </w:p>
        </w:tc>
        <w:tc>
          <w:tcPr>
            <w:tcW w:w="2109" w:type="dxa"/>
            <w:vAlign w:val="center"/>
          </w:tcPr>
          <w:p w14:paraId="052E8A19" w14:textId="77777777" w:rsidR="00532249" w:rsidRPr="006D3E70" w:rsidRDefault="00532249" w:rsidP="009B33DD">
            <w:pPr>
              <w:pStyle w:val="Tabletext"/>
              <w:jc w:val="center"/>
              <w:rPr>
                <w:lang w:val="fr-FR"/>
              </w:rPr>
            </w:pPr>
            <w:r w:rsidRPr="006D3E70">
              <w:rPr>
                <w:lang w:val="fr-FR"/>
              </w:rPr>
              <w:t>9 kHz</w:t>
            </w:r>
          </w:p>
        </w:tc>
        <w:tc>
          <w:tcPr>
            <w:tcW w:w="5421" w:type="dxa"/>
            <w:vAlign w:val="center"/>
          </w:tcPr>
          <w:p w14:paraId="65749228" w14:textId="77777777" w:rsidR="00532249" w:rsidRPr="006D3E70" w:rsidRDefault="00532249" w:rsidP="009B33DD">
            <w:pPr>
              <w:pStyle w:val="Tabletext"/>
              <w:jc w:val="center"/>
              <w:rPr>
                <w:lang w:val="fr-FR"/>
              </w:rPr>
            </w:pPr>
            <w:r w:rsidRPr="006D3E70">
              <w:rPr>
                <w:lang w:val="fr-FR"/>
              </w:rPr>
              <w:t>10ème harmonique</w:t>
            </w:r>
          </w:p>
        </w:tc>
      </w:tr>
      <w:tr w:rsidR="00532249" w:rsidRPr="006D3E70" w14:paraId="22CC2463" w14:textId="77777777" w:rsidTr="009B33DD">
        <w:trPr>
          <w:jc w:val="center"/>
        </w:trPr>
        <w:tc>
          <w:tcPr>
            <w:tcW w:w="2109" w:type="dxa"/>
            <w:vAlign w:val="center"/>
          </w:tcPr>
          <w:p w14:paraId="68EE87A6" w14:textId="77777777" w:rsidR="00532249" w:rsidRPr="006D3E70" w:rsidRDefault="00532249" w:rsidP="009B33DD">
            <w:pPr>
              <w:pStyle w:val="Tabletext"/>
              <w:jc w:val="center"/>
              <w:rPr>
                <w:lang w:val="fr-FR"/>
              </w:rPr>
            </w:pPr>
            <w:r w:rsidRPr="006D3E70">
              <w:rPr>
                <w:lang w:val="fr-FR"/>
              </w:rPr>
              <w:t>300 MHz-600 MHz</w:t>
            </w:r>
          </w:p>
        </w:tc>
        <w:tc>
          <w:tcPr>
            <w:tcW w:w="2109" w:type="dxa"/>
            <w:vAlign w:val="center"/>
          </w:tcPr>
          <w:p w14:paraId="21D6D3E8" w14:textId="77777777" w:rsidR="00532249" w:rsidRPr="006D3E70" w:rsidRDefault="00532249" w:rsidP="009B33DD">
            <w:pPr>
              <w:pStyle w:val="Tabletext"/>
              <w:jc w:val="center"/>
              <w:rPr>
                <w:lang w:val="fr-FR"/>
              </w:rPr>
            </w:pPr>
            <w:r w:rsidRPr="006D3E70">
              <w:rPr>
                <w:lang w:val="fr-FR"/>
              </w:rPr>
              <w:t>30 MHz</w:t>
            </w:r>
          </w:p>
        </w:tc>
        <w:tc>
          <w:tcPr>
            <w:tcW w:w="5421" w:type="dxa"/>
            <w:vAlign w:val="center"/>
          </w:tcPr>
          <w:p w14:paraId="498C34A3" w14:textId="77777777" w:rsidR="00532249" w:rsidRPr="006D3E70" w:rsidRDefault="00532249" w:rsidP="009B33DD">
            <w:pPr>
              <w:pStyle w:val="Tabletext"/>
              <w:jc w:val="center"/>
              <w:rPr>
                <w:lang w:val="fr-FR"/>
              </w:rPr>
            </w:pPr>
            <w:r w:rsidRPr="006D3E70">
              <w:rPr>
                <w:lang w:val="fr-FR"/>
              </w:rPr>
              <w:t>3 GHz</w:t>
            </w:r>
          </w:p>
        </w:tc>
      </w:tr>
      <w:tr w:rsidR="00532249" w:rsidRPr="006D3E70" w14:paraId="192B375D" w14:textId="77777777" w:rsidTr="009B33DD">
        <w:trPr>
          <w:jc w:val="center"/>
        </w:trPr>
        <w:tc>
          <w:tcPr>
            <w:tcW w:w="2109" w:type="dxa"/>
            <w:vAlign w:val="center"/>
          </w:tcPr>
          <w:p w14:paraId="0C9CB545" w14:textId="77777777" w:rsidR="00532249" w:rsidRPr="006D3E70" w:rsidRDefault="00532249" w:rsidP="009B33DD">
            <w:pPr>
              <w:pStyle w:val="Tabletext"/>
              <w:jc w:val="center"/>
              <w:rPr>
                <w:lang w:val="fr-FR"/>
              </w:rPr>
            </w:pPr>
            <w:r w:rsidRPr="006D3E70">
              <w:rPr>
                <w:lang w:val="fr-FR"/>
              </w:rPr>
              <w:t>600 MHz-5,2 GHz</w:t>
            </w:r>
          </w:p>
        </w:tc>
        <w:tc>
          <w:tcPr>
            <w:tcW w:w="2109" w:type="dxa"/>
            <w:vAlign w:val="center"/>
          </w:tcPr>
          <w:p w14:paraId="72E2E098" w14:textId="77777777" w:rsidR="00532249" w:rsidRPr="006D3E70" w:rsidRDefault="00532249" w:rsidP="009B33DD">
            <w:pPr>
              <w:pStyle w:val="Tabletext"/>
              <w:jc w:val="center"/>
              <w:rPr>
                <w:lang w:val="fr-FR"/>
              </w:rPr>
            </w:pPr>
            <w:r w:rsidRPr="006D3E70">
              <w:rPr>
                <w:lang w:val="fr-FR"/>
              </w:rPr>
              <w:t>30 MHz</w:t>
            </w:r>
          </w:p>
        </w:tc>
        <w:tc>
          <w:tcPr>
            <w:tcW w:w="5421" w:type="dxa"/>
            <w:vAlign w:val="center"/>
          </w:tcPr>
          <w:p w14:paraId="04CF20D5" w14:textId="77777777" w:rsidR="00532249" w:rsidRPr="006D3E70" w:rsidRDefault="00532249" w:rsidP="009B33DD">
            <w:pPr>
              <w:pStyle w:val="Tabletext"/>
              <w:jc w:val="center"/>
              <w:rPr>
                <w:lang w:val="fr-FR"/>
              </w:rPr>
            </w:pPr>
            <w:r w:rsidRPr="006D3E70">
              <w:rPr>
                <w:lang w:val="fr-FR"/>
              </w:rPr>
              <w:t>5ème harmonique</w:t>
            </w:r>
          </w:p>
        </w:tc>
      </w:tr>
      <w:tr w:rsidR="00532249" w:rsidRPr="006D3E70" w14:paraId="4CF89B97" w14:textId="77777777" w:rsidTr="009B33DD">
        <w:trPr>
          <w:jc w:val="center"/>
        </w:trPr>
        <w:tc>
          <w:tcPr>
            <w:tcW w:w="2109" w:type="dxa"/>
            <w:vAlign w:val="center"/>
          </w:tcPr>
          <w:p w14:paraId="29F7B62A" w14:textId="77777777" w:rsidR="00532249" w:rsidRPr="006D3E70" w:rsidRDefault="00532249" w:rsidP="009B33DD">
            <w:pPr>
              <w:pStyle w:val="Tabletext"/>
              <w:jc w:val="center"/>
              <w:rPr>
                <w:lang w:val="fr-FR"/>
              </w:rPr>
            </w:pPr>
            <w:r w:rsidRPr="006D3E70">
              <w:rPr>
                <w:lang w:val="fr-FR"/>
              </w:rPr>
              <w:t>5,2 GHz-13 GHz</w:t>
            </w:r>
          </w:p>
        </w:tc>
        <w:tc>
          <w:tcPr>
            <w:tcW w:w="2109" w:type="dxa"/>
            <w:vAlign w:val="center"/>
          </w:tcPr>
          <w:p w14:paraId="1F1438C2" w14:textId="77777777" w:rsidR="00532249" w:rsidRPr="006D3E70" w:rsidRDefault="00532249" w:rsidP="009B33DD">
            <w:pPr>
              <w:pStyle w:val="Tabletext"/>
              <w:jc w:val="center"/>
              <w:rPr>
                <w:lang w:val="fr-FR"/>
              </w:rPr>
            </w:pPr>
            <w:r w:rsidRPr="006D3E70">
              <w:rPr>
                <w:lang w:val="fr-FR"/>
              </w:rPr>
              <w:t>30 MHz</w:t>
            </w:r>
          </w:p>
        </w:tc>
        <w:tc>
          <w:tcPr>
            <w:tcW w:w="5421" w:type="dxa"/>
            <w:vAlign w:val="center"/>
          </w:tcPr>
          <w:p w14:paraId="65D23999" w14:textId="77777777" w:rsidR="00532249" w:rsidRPr="006D3E70" w:rsidRDefault="00532249" w:rsidP="009B33DD">
            <w:pPr>
              <w:pStyle w:val="Tabletext"/>
              <w:jc w:val="center"/>
              <w:rPr>
                <w:lang w:val="fr-FR"/>
              </w:rPr>
            </w:pPr>
            <w:r w:rsidRPr="006D3E70">
              <w:rPr>
                <w:lang w:val="fr-FR"/>
              </w:rPr>
              <w:t>26 GHz</w:t>
            </w:r>
          </w:p>
        </w:tc>
      </w:tr>
      <w:tr w:rsidR="00532249" w:rsidRPr="006D3E70" w14:paraId="1A22303F" w14:textId="77777777" w:rsidTr="009B33DD">
        <w:trPr>
          <w:jc w:val="center"/>
        </w:trPr>
        <w:tc>
          <w:tcPr>
            <w:tcW w:w="2109" w:type="dxa"/>
            <w:vAlign w:val="center"/>
          </w:tcPr>
          <w:p w14:paraId="7875D71B" w14:textId="77777777" w:rsidR="00532249" w:rsidRPr="006D3E70" w:rsidRDefault="00532249" w:rsidP="009B33DD">
            <w:pPr>
              <w:pStyle w:val="Tabletext"/>
              <w:jc w:val="center"/>
              <w:rPr>
                <w:lang w:val="fr-FR"/>
              </w:rPr>
            </w:pPr>
            <w:r w:rsidRPr="006D3E70">
              <w:rPr>
                <w:lang w:val="fr-FR"/>
              </w:rPr>
              <w:t>13 GHz-150 GHz</w:t>
            </w:r>
          </w:p>
        </w:tc>
        <w:tc>
          <w:tcPr>
            <w:tcW w:w="2109" w:type="dxa"/>
            <w:vAlign w:val="center"/>
          </w:tcPr>
          <w:p w14:paraId="5BCA0C2F" w14:textId="77777777" w:rsidR="00532249" w:rsidRPr="006D3E70" w:rsidRDefault="00532249" w:rsidP="009B33DD">
            <w:pPr>
              <w:pStyle w:val="Tabletext"/>
              <w:jc w:val="center"/>
              <w:rPr>
                <w:lang w:val="fr-FR"/>
              </w:rPr>
            </w:pPr>
            <w:r w:rsidRPr="006D3E70">
              <w:rPr>
                <w:lang w:val="fr-FR"/>
              </w:rPr>
              <w:t>30 MHz</w:t>
            </w:r>
          </w:p>
        </w:tc>
        <w:tc>
          <w:tcPr>
            <w:tcW w:w="5421" w:type="dxa"/>
            <w:vAlign w:val="center"/>
          </w:tcPr>
          <w:p w14:paraId="71425E22" w14:textId="77777777" w:rsidR="00532249" w:rsidRPr="006D3E70" w:rsidRDefault="00532249" w:rsidP="009B33DD">
            <w:pPr>
              <w:pStyle w:val="Tabletext"/>
              <w:jc w:val="center"/>
              <w:rPr>
                <w:lang w:val="fr-FR"/>
              </w:rPr>
            </w:pPr>
            <w:r w:rsidRPr="006D3E70">
              <w:rPr>
                <w:lang w:val="fr-FR"/>
              </w:rPr>
              <w:t>2ème harmonique</w:t>
            </w:r>
          </w:p>
        </w:tc>
      </w:tr>
      <w:tr w:rsidR="00532249" w:rsidRPr="006D3E70" w14:paraId="3433D326" w14:textId="77777777" w:rsidTr="009B33DD">
        <w:trPr>
          <w:jc w:val="center"/>
        </w:trPr>
        <w:tc>
          <w:tcPr>
            <w:tcW w:w="2109" w:type="dxa"/>
            <w:vAlign w:val="center"/>
          </w:tcPr>
          <w:p w14:paraId="2CA197F6" w14:textId="77777777" w:rsidR="00532249" w:rsidRPr="006D3E70" w:rsidRDefault="00532249" w:rsidP="009B33DD">
            <w:pPr>
              <w:pStyle w:val="Tabletext"/>
              <w:jc w:val="center"/>
              <w:rPr>
                <w:lang w:val="fr-FR"/>
              </w:rPr>
            </w:pPr>
            <w:r w:rsidRPr="006D3E70">
              <w:rPr>
                <w:lang w:val="fr-FR"/>
              </w:rPr>
              <w:t>150 GHz-300 GHz</w:t>
            </w:r>
          </w:p>
        </w:tc>
        <w:tc>
          <w:tcPr>
            <w:tcW w:w="2109" w:type="dxa"/>
            <w:vAlign w:val="center"/>
          </w:tcPr>
          <w:p w14:paraId="4E4F7F40" w14:textId="77777777" w:rsidR="00532249" w:rsidRPr="006D3E70" w:rsidRDefault="00532249" w:rsidP="009B33DD">
            <w:pPr>
              <w:pStyle w:val="Tabletext"/>
              <w:jc w:val="center"/>
              <w:rPr>
                <w:lang w:val="fr-FR"/>
              </w:rPr>
            </w:pPr>
            <w:r w:rsidRPr="006D3E70">
              <w:rPr>
                <w:lang w:val="fr-FR"/>
              </w:rPr>
              <w:t>30 MHz</w:t>
            </w:r>
          </w:p>
        </w:tc>
        <w:tc>
          <w:tcPr>
            <w:tcW w:w="5421" w:type="dxa"/>
            <w:vAlign w:val="center"/>
          </w:tcPr>
          <w:p w14:paraId="5AD18DA5" w14:textId="77777777" w:rsidR="00532249" w:rsidRPr="006D3E70" w:rsidRDefault="00532249" w:rsidP="009B33DD">
            <w:pPr>
              <w:pStyle w:val="Tabletext"/>
              <w:jc w:val="center"/>
              <w:rPr>
                <w:lang w:val="fr-FR"/>
              </w:rPr>
            </w:pPr>
            <w:r w:rsidRPr="006D3E70">
              <w:rPr>
                <w:lang w:val="fr-FR"/>
              </w:rPr>
              <w:t>300 GHz</w:t>
            </w:r>
          </w:p>
        </w:tc>
      </w:tr>
    </w:tbl>
    <w:p w14:paraId="43383B56" w14:textId="77777777" w:rsidR="00532249" w:rsidRPr="006D3E70" w:rsidRDefault="00532249" w:rsidP="00532249">
      <w:pPr>
        <w:pStyle w:val="Tablefin"/>
        <w:rPr>
          <w:lang w:val="fr-FR"/>
        </w:rPr>
      </w:pPr>
    </w:p>
    <w:p w14:paraId="5F49269C" w14:textId="6281B195" w:rsidR="00532249" w:rsidRPr="006D3E70" w:rsidRDefault="00532249" w:rsidP="00532249">
      <w:pPr>
        <w:rPr>
          <w:lang w:val="fr-FR"/>
        </w:rPr>
      </w:pPr>
      <w:r w:rsidRPr="006D3E70">
        <w:rPr>
          <w:lang w:val="fr-FR"/>
        </w:rPr>
        <w:t>Il y aura des cas où il faut, pour protéger certains services bien précis, élargir la gamme de fréquences des mesures jusqu</w:t>
      </w:r>
      <w:r w:rsidR="00324C7C" w:rsidRPr="006D3E70">
        <w:rPr>
          <w:lang w:val="fr-FR"/>
        </w:rPr>
        <w:t>'</w:t>
      </w:r>
      <w:r w:rsidRPr="006D3E70">
        <w:rPr>
          <w:lang w:val="fr-FR"/>
        </w:rPr>
        <w:t>à la troisième harmonique ou une harmonique supérieure, pour des systèmes dont la fréquence fondamentale est au-dessus de 13 GHz. Les paramètres indiqués dans le Tableau 1 font apparaître qu</w:t>
      </w:r>
      <w:r w:rsidR="00324C7C" w:rsidRPr="006D3E70">
        <w:rPr>
          <w:lang w:val="fr-FR"/>
        </w:rPr>
        <w:t>'</w:t>
      </w:r>
      <w:r w:rsidRPr="006D3E70">
        <w:rPr>
          <w:lang w:val="fr-FR"/>
        </w:rPr>
        <w:t>il est de plus en plus difficile concrètement d</w:t>
      </w:r>
      <w:r w:rsidR="00324C7C" w:rsidRPr="006D3E70">
        <w:rPr>
          <w:lang w:val="fr-FR"/>
        </w:rPr>
        <w:t>'</w:t>
      </w:r>
      <w:r w:rsidRPr="006D3E70">
        <w:rPr>
          <w:lang w:val="fr-FR"/>
        </w:rPr>
        <w:t>effectuer les mesures en élargissant vers le haut (jusqu</w:t>
      </w:r>
      <w:r w:rsidR="00324C7C" w:rsidRPr="006D3E70">
        <w:rPr>
          <w:lang w:val="fr-FR"/>
        </w:rPr>
        <w:t>'</w:t>
      </w:r>
      <w:r w:rsidRPr="006D3E70">
        <w:rPr>
          <w:lang w:val="fr-FR"/>
        </w:rPr>
        <w:t>à plus de 110 GHz) la gamme de fréquences des équipements de mesure hyperfréquences classiques décrits dans l</w:t>
      </w:r>
      <w:r w:rsidR="00324C7C" w:rsidRPr="006D3E70">
        <w:rPr>
          <w:lang w:val="fr-FR"/>
        </w:rPr>
        <w:t>'</w:t>
      </w:r>
      <w:r w:rsidRPr="006D3E70">
        <w:rPr>
          <w:lang w:val="fr-FR"/>
        </w:rPr>
        <w:t>Annexe 2. À ces fréquences et à des fréquences plus élevées, il peut être plus indiqué d</w:t>
      </w:r>
      <w:r w:rsidR="00324C7C" w:rsidRPr="006D3E70">
        <w:rPr>
          <w:lang w:val="fr-FR"/>
        </w:rPr>
        <w:t>'</w:t>
      </w:r>
      <w:r w:rsidRPr="006D3E70">
        <w:rPr>
          <w:lang w:val="fr-FR"/>
        </w:rPr>
        <w:t>adopter les techniques de mesure bolométriques utilisées aux fréquences infrarouges. Par exemple, pour des radars pour véhicules fonctionnant à 76-77 GHz, il est recommandé de mesurer la troisième harmonique autour de 220 GHz, et là les méthodes de mesure hyperfréquences classiques vraisemblablement ne conviennent pas.</w:t>
      </w:r>
    </w:p>
    <w:p w14:paraId="145B1CBF" w14:textId="348A59E4" w:rsidR="00532249" w:rsidRPr="006D3E70" w:rsidRDefault="00532249" w:rsidP="00532249">
      <w:pPr>
        <w:rPr>
          <w:lang w:val="fr-FR"/>
        </w:rPr>
      </w:pPr>
      <w:r w:rsidRPr="006D3E70">
        <w:rPr>
          <w:lang w:val="fr-FR"/>
        </w:rPr>
        <w:t>Quoi qu</w:t>
      </w:r>
      <w:r w:rsidR="00324C7C" w:rsidRPr="006D3E70">
        <w:rPr>
          <w:lang w:val="fr-FR"/>
        </w:rPr>
        <w:t>'</w:t>
      </w:r>
      <w:r w:rsidRPr="006D3E70">
        <w:rPr>
          <w:lang w:val="fr-FR"/>
        </w:rPr>
        <w:t>il en soit, pour des systèmes ayant une antenne comportant un guide d</w:t>
      </w:r>
      <w:r w:rsidR="00324C7C" w:rsidRPr="006D3E70">
        <w:rPr>
          <w:lang w:val="fr-FR"/>
        </w:rPr>
        <w:t>'</w:t>
      </w:r>
      <w:r w:rsidRPr="006D3E70">
        <w:rPr>
          <w:lang w:val="fr-FR"/>
        </w:rPr>
        <w:t>ondes ou une connexion à guide d</w:t>
      </w:r>
      <w:r w:rsidR="00324C7C" w:rsidRPr="006D3E70">
        <w:rPr>
          <w:lang w:val="fr-FR"/>
        </w:rPr>
        <w:t>'</w:t>
      </w:r>
      <w:r w:rsidRPr="006D3E70">
        <w:rPr>
          <w:lang w:val="fr-FR"/>
        </w:rPr>
        <w:t>ondes, d</w:t>
      </w:r>
      <w:r w:rsidR="00324C7C" w:rsidRPr="006D3E70">
        <w:rPr>
          <w:lang w:val="fr-FR"/>
        </w:rPr>
        <w:t>'</w:t>
      </w:r>
      <w:r w:rsidRPr="006D3E70">
        <w:rPr>
          <w:lang w:val="fr-FR"/>
        </w:rPr>
        <w:t>une longueur exempte de perturbations égale à au moins deux fois la longueur d</w:t>
      </w:r>
      <w:r w:rsidR="00324C7C" w:rsidRPr="006D3E70">
        <w:rPr>
          <w:lang w:val="fr-FR"/>
        </w:rPr>
        <w:t>'</w:t>
      </w:r>
      <w:r w:rsidRPr="006D3E70">
        <w:rPr>
          <w:lang w:val="fr-FR"/>
        </w:rPr>
        <w:t>onde de coupure, il n</w:t>
      </w:r>
      <w:r w:rsidR="00324C7C" w:rsidRPr="006D3E70">
        <w:rPr>
          <w:lang w:val="fr-FR"/>
        </w:rPr>
        <w:t>'</w:t>
      </w:r>
      <w:r w:rsidRPr="006D3E70">
        <w:rPr>
          <w:lang w:val="fr-FR"/>
        </w:rPr>
        <w:t>est pas nécessaire de mesurer les rayonnements dans le domaine des rayonnements non essentiels au-dessous d</w:t>
      </w:r>
      <w:r w:rsidR="00324C7C" w:rsidRPr="006D3E70">
        <w:rPr>
          <w:lang w:val="fr-FR"/>
        </w:rPr>
        <w:t>'</w:t>
      </w:r>
      <w:r w:rsidRPr="006D3E70">
        <w:rPr>
          <w:lang w:val="fr-FR"/>
        </w:rPr>
        <w:t>une fréquence égale à 0,7 fois la fréquence de coupure du guide d</w:t>
      </w:r>
      <w:r w:rsidR="00324C7C" w:rsidRPr="006D3E70">
        <w:rPr>
          <w:lang w:val="fr-FR"/>
        </w:rPr>
        <w:t>'</w:t>
      </w:r>
      <w:r w:rsidRPr="006D3E70">
        <w:rPr>
          <w:lang w:val="fr-FR"/>
        </w:rPr>
        <w:t>ondes.</w:t>
      </w:r>
    </w:p>
    <w:p w14:paraId="066A7859" w14:textId="31D0BDBB" w:rsidR="00532249" w:rsidRPr="006D3E70" w:rsidRDefault="00532249" w:rsidP="00532249">
      <w:pPr>
        <w:rPr>
          <w:lang w:val="fr-FR"/>
        </w:rPr>
      </w:pPr>
      <w:r w:rsidRPr="006D3E70">
        <w:rPr>
          <w:b/>
          <w:lang w:val="fr-FR"/>
        </w:rPr>
        <w:t>2.6</w:t>
      </w:r>
      <w:r w:rsidRPr="006D3E70">
        <w:rPr>
          <w:lang w:val="fr-FR"/>
        </w:rPr>
        <w:tab/>
        <w:t>Les rayonnements dans le domaine des rayonnements non essentiels émis par une partie quelconque de l</w:t>
      </w:r>
      <w:r w:rsidR="00324C7C" w:rsidRPr="006D3E70">
        <w:rPr>
          <w:lang w:val="fr-FR"/>
        </w:rPr>
        <w:t>'</w:t>
      </w:r>
      <w:r w:rsidRPr="006D3E70">
        <w:rPr>
          <w:lang w:val="fr-FR"/>
        </w:rPr>
        <w:t>installation, autre que le système d</w:t>
      </w:r>
      <w:r w:rsidR="00324C7C" w:rsidRPr="006D3E70">
        <w:rPr>
          <w:lang w:val="fr-FR"/>
        </w:rPr>
        <w:t>'</w:t>
      </w:r>
      <w:r w:rsidRPr="006D3E70">
        <w:rPr>
          <w:lang w:val="fr-FR"/>
        </w:rPr>
        <w:t>antenne (c</w:t>
      </w:r>
      <w:r w:rsidR="00324C7C" w:rsidRPr="006D3E70">
        <w:rPr>
          <w:lang w:val="fr-FR"/>
        </w:rPr>
        <w:t>'</w:t>
      </w:r>
      <w:r w:rsidRPr="006D3E70">
        <w:rPr>
          <w:lang w:val="fr-FR"/>
        </w:rPr>
        <w:t>est-à-dire l</w:t>
      </w:r>
      <w:r w:rsidR="00324C7C" w:rsidRPr="006D3E70">
        <w:rPr>
          <w:lang w:val="fr-FR"/>
        </w:rPr>
        <w:t>'</w:t>
      </w:r>
      <w:r w:rsidRPr="006D3E70">
        <w:rPr>
          <w:lang w:val="fr-FR"/>
        </w:rPr>
        <w:t>antenne et sa ligne d</w:t>
      </w:r>
      <w:r w:rsidR="00324C7C" w:rsidRPr="006D3E70">
        <w:rPr>
          <w:lang w:val="fr-FR"/>
        </w:rPr>
        <w:t>'</w:t>
      </w:r>
      <w:r w:rsidRPr="006D3E70">
        <w:rPr>
          <w:lang w:val="fr-FR"/>
        </w:rPr>
        <w:t>alimentation), ne devraient pas produire un effet supérieur à celui qui se produirait si ce système d</w:t>
      </w:r>
      <w:r w:rsidR="00324C7C" w:rsidRPr="006D3E70">
        <w:rPr>
          <w:lang w:val="fr-FR"/>
        </w:rPr>
        <w:t>'</w:t>
      </w:r>
      <w:r w:rsidRPr="006D3E70">
        <w:rPr>
          <w:lang w:val="fr-FR"/>
        </w:rPr>
        <w:t>antenne était alimenté à la puissance maximale admissible sur la fréquence du domaine des rayonnements non essentiels.</w:t>
      </w:r>
    </w:p>
    <w:p w14:paraId="3D97A135" w14:textId="77777777" w:rsidR="00532249" w:rsidRPr="006D3E70" w:rsidRDefault="00532249" w:rsidP="00532249">
      <w:pPr>
        <w:rPr>
          <w:lang w:val="fr-FR"/>
        </w:rPr>
      </w:pPr>
      <w:r w:rsidRPr="006D3E70">
        <w:rPr>
          <w:b/>
          <w:bCs/>
          <w:lang w:val="fr-FR"/>
        </w:rPr>
        <w:lastRenderedPageBreak/>
        <w:t>2.7</w:t>
      </w:r>
      <w:r w:rsidRPr="006D3E70">
        <w:rPr>
          <w:b/>
          <w:bCs/>
          <w:lang w:val="fr-FR"/>
        </w:rPr>
        <w:tab/>
      </w:r>
      <w:r w:rsidRPr="006D3E70">
        <w:rPr>
          <w:lang w:val="fr-FR"/>
        </w:rPr>
        <w:t>Les émissions transitoires causées par la commutation dans les systèmes à accès multiple par répartition dans le temps (AMRT) devraient, dans la mesure du possible, respecter les exigences concernant la suppression des rayonnements dans le domaine des rayonnements non essentiels.</w:t>
      </w:r>
    </w:p>
    <w:p w14:paraId="7D1054E7" w14:textId="77777777" w:rsidR="00532249" w:rsidRPr="006D3E70" w:rsidRDefault="00532249" w:rsidP="00532249">
      <w:pPr>
        <w:pStyle w:val="Heading1"/>
        <w:rPr>
          <w:rFonts w:eastAsia="Arial Unicode MS"/>
          <w:lang w:val="fr-FR"/>
        </w:rPr>
      </w:pPr>
      <w:r w:rsidRPr="006D3E70">
        <w:rPr>
          <w:lang w:val="fr-FR"/>
        </w:rPr>
        <w:t>3</w:t>
      </w:r>
      <w:r w:rsidRPr="006D3E70">
        <w:rPr>
          <w:lang w:val="fr-FR"/>
        </w:rPr>
        <w:tab/>
        <w:t>Limites des rayonnements dans le domaine des rayonnements non essentiels</w:t>
      </w:r>
    </w:p>
    <w:p w14:paraId="76961C46" w14:textId="417494AD" w:rsidR="00532249" w:rsidRPr="006D3E70" w:rsidRDefault="00532249" w:rsidP="00532249">
      <w:pPr>
        <w:rPr>
          <w:lang w:val="fr-FR"/>
        </w:rPr>
      </w:pPr>
      <w:r w:rsidRPr="006D3E70">
        <w:rPr>
          <w:b/>
          <w:lang w:val="fr-FR"/>
        </w:rPr>
        <w:t>3.1</w:t>
      </w:r>
      <w:r w:rsidRPr="006D3E70">
        <w:rPr>
          <w:lang w:val="fr-FR"/>
        </w:rPr>
        <w:tab/>
        <w:t>Ces limites devraient pouvoir améliorer l</w:t>
      </w:r>
      <w:r w:rsidR="00324C7C" w:rsidRPr="006D3E70">
        <w:rPr>
          <w:lang w:val="fr-FR"/>
        </w:rPr>
        <w:t>'</w:t>
      </w:r>
      <w:r w:rsidRPr="006D3E70">
        <w:rPr>
          <w:lang w:val="fr-FR"/>
        </w:rPr>
        <w:t>exploitation des services de radiocommunication dans toutes les bandes.</w:t>
      </w:r>
    </w:p>
    <w:p w14:paraId="77C79B18" w14:textId="1BA7DA5E" w:rsidR="00532249" w:rsidRPr="006D3E70" w:rsidRDefault="00532249" w:rsidP="00532249">
      <w:pPr>
        <w:rPr>
          <w:lang w:val="fr-FR"/>
        </w:rPr>
      </w:pPr>
      <w:r w:rsidRPr="006D3E70">
        <w:rPr>
          <w:b/>
          <w:lang w:val="fr-FR"/>
        </w:rPr>
        <w:t>3.2</w:t>
      </w:r>
      <w:r w:rsidRPr="006D3E70">
        <w:rPr>
          <w:lang w:val="fr-FR"/>
        </w:rPr>
        <w:tab/>
        <w:t>Il convient d</w:t>
      </w:r>
      <w:r w:rsidR="00324C7C" w:rsidRPr="006D3E70">
        <w:rPr>
          <w:lang w:val="fr-FR"/>
        </w:rPr>
        <w:t>'</w:t>
      </w:r>
      <w:r w:rsidRPr="006D3E70">
        <w:rPr>
          <w:lang w:val="fr-FR"/>
        </w:rPr>
        <w:t>utiliser pour représenter les rayonnements dans le domaine des rayonnements non essentiels les différentes unités et la table de correspondance présentées dans l</w:t>
      </w:r>
      <w:r w:rsidR="00324C7C" w:rsidRPr="006D3E70">
        <w:rPr>
          <w:lang w:val="fr-FR"/>
        </w:rPr>
        <w:t>'</w:t>
      </w:r>
      <w:r w:rsidRPr="006D3E70">
        <w:rPr>
          <w:lang w:val="fr-FR"/>
        </w:rPr>
        <w:t>Annexe 1.</w:t>
      </w:r>
    </w:p>
    <w:p w14:paraId="3F95D6B0" w14:textId="06614A7C" w:rsidR="00532249" w:rsidRPr="006D3E70" w:rsidRDefault="00532249" w:rsidP="00532249">
      <w:pPr>
        <w:spacing w:after="240"/>
        <w:rPr>
          <w:lang w:val="fr-FR"/>
        </w:rPr>
      </w:pPr>
      <w:r w:rsidRPr="006D3E70">
        <w:rPr>
          <w:b/>
          <w:lang w:val="fr-FR"/>
        </w:rPr>
        <w:t>3.3</w:t>
      </w:r>
      <w:r w:rsidRPr="006D3E70">
        <w:rPr>
          <w:lang w:val="fr-FR"/>
        </w:rPr>
        <w:tab/>
        <w:t>Les catégories de limites des rayonnements dans le domaine des rayonnements non essentiels sont définies ci-après, y compris les limites de l</w:t>
      </w:r>
      <w:r w:rsidR="00324C7C" w:rsidRPr="006D3E70">
        <w:rPr>
          <w:lang w:val="fr-FR"/>
        </w:rPr>
        <w:t>'</w:t>
      </w:r>
      <w:r w:rsidRPr="006D3E70">
        <w:rPr>
          <w:lang w:val="fr-FR"/>
        </w:rPr>
        <w:t>Appendice </w:t>
      </w:r>
      <w:r w:rsidRPr="006D3E70">
        <w:rPr>
          <w:b/>
          <w:bCs/>
          <w:lang w:val="fr-FR"/>
        </w:rPr>
        <w:t>3</w:t>
      </w:r>
      <w:r w:rsidRPr="006D3E70">
        <w:rPr>
          <w:lang w:val="fr-FR"/>
        </w:rPr>
        <w:t xml:space="preserve"> du RR, des exemples de limites plus strictes et les équipements s</w:t>
      </w:r>
      <w:r w:rsidR="00324C7C" w:rsidRPr="006D3E70">
        <w:rPr>
          <w:lang w:val="fr-FR"/>
        </w:rPr>
        <w:t>'</w:t>
      </w:r>
      <w:r w:rsidRPr="006D3E70">
        <w:rPr>
          <w:lang w:val="fr-FR"/>
        </w:rPr>
        <w:t>appliquent aux équipements de technologie de l</w:t>
      </w:r>
      <w:r w:rsidR="00324C7C" w:rsidRPr="006D3E70">
        <w:rPr>
          <w:lang w:val="fr-FR"/>
        </w:rPr>
        <w:t>'</w:t>
      </w:r>
      <w:r w:rsidRPr="006D3E70">
        <w:rPr>
          <w:lang w:val="fr-FR"/>
        </w:rPr>
        <w:t>information (ITE).</w:t>
      </w:r>
    </w:p>
    <w:tbl>
      <w:tblPr>
        <w:tblW w:w="9639"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1752"/>
        <w:gridCol w:w="7887"/>
      </w:tblGrid>
      <w:tr w:rsidR="00532249" w:rsidRPr="006D3E70" w14:paraId="60857E76" w14:textId="77777777" w:rsidTr="009B33DD">
        <w:trPr>
          <w:jc w:val="center"/>
        </w:trPr>
        <w:tc>
          <w:tcPr>
            <w:tcW w:w="1752" w:type="dxa"/>
            <w:tcBorders>
              <w:top w:val="single" w:sz="6" w:space="0" w:color="auto"/>
              <w:left w:val="single" w:sz="6" w:space="0" w:color="auto"/>
              <w:bottom w:val="single" w:sz="6" w:space="0" w:color="auto"/>
              <w:right w:val="single" w:sz="6" w:space="0" w:color="auto"/>
            </w:tcBorders>
          </w:tcPr>
          <w:p w14:paraId="7259F839" w14:textId="77777777" w:rsidR="00532249" w:rsidRPr="006D3E70" w:rsidRDefault="00532249" w:rsidP="009B33DD">
            <w:pPr>
              <w:pStyle w:val="Tabletext"/>
              <w:jc w:val="left"/>
              <w:rPr>
                <w:lang w:val="fr-FR"/>
              </w:rPr>
            </w:pPr>
            <w:r w:rsidRPr="006D3E70">
              <w:rPr>
                <w:lang w:val="fr-FR"/>
              </w:rPr>
              <w:t>Catégorie A</w:t>
            </w:r>
          </w:p>
        </w:tc>
        <w:tc>
          <w:tcPr>
            <w:tcW w:w="7887" w:type="dxa"/>
            <w:tcBorders>
              <w:top w:val="single" w:sz="6" w:space="0" w:color="auto"/>
              <w:left w:val="single" w:sz="6" w:space="0" w:color="auto"/>
              <w:bottom w:val="single" w:sz="6" w:space="0" w:color="auto"/>
              <w:right w:val="single" w:sz="6" w:space="0" w:color="auto"/>
            </w:tcBorders>
          </w:tcPr>
          <w:p w14:paraId="00949E31" w14:textId="59DDEDA3" w:rsidR="00532249" w:rsidRPr="006D3E70" w:rsidRDefault="00532249" w:rsidP="009B33DD">
            <w:pPr>
              <w:pStyle w:val="Tabletext"/>
              <w:rPr>
                <w:lang w:val="fr-FR"/>
              </w:rPr>
            </w:pPr>
            <w:r w:rsidRPr="006D3E70">
              <w:rPr>
                <w:lang w:val="fr-FR"/>
              </w:rPr>
              <w:t>Les limites de la catégorie A sont les valeurs de l</w:t>
            </w:r>
            <w:r w:rsidR="00324C7C" w:rsidRPr="006D3E70">
              <w:rPr>
                <w:lang w:val="fr-FR"/>
              </w:rPr>
              <w:t>'</w:t>
            </w:r>
            <w:r w:rsidRPr="006D3E70">
              <w:rPr>
                <w:lang w:val="fr-FR"/>
              </w:rPr>
              <w:t>affaiblissement utilisées pour calculer les niveaux de puissance maximaux tolérés des rayonnements dans le domaine des rayonnements non essentiels. L</w:t>
            </w:r>
            <w:r w:rsidR="00324C7C" w:rsidRPr="006D3E70">
              <w:rPr>
                <w:lang w:val="fr-FR"/>
              </w:rPr>
              <w:t>'</w:t>
            </w:r>
            <w:r w:rsidRPr="006D3E70">
              <w:rPr>
                <w:lang w:val="fr-FR"/>
              </w:rPr>
              <w:t xml:space="preserve">Appendice </w:t>
            </w:r>
            <w:r w:rsidRPr="006D3E70">
              <w:rPr>
                <w:b/>
                <w:bCs/>
                <w:lang w:val="fr-FR"/>
              </w:rPr>
              <w:t>3</w:t>
            </w:r>
            <w:r w:rsidRPr="006D3E70">
              <w:rPr>
                <w:lang w:val="fr-FR"/>
              </w:rPr>
              <w:t xml:space="preserve"> du RR reprend les limites de la catégorie A. Ces limites sont données au § 4.2.</w:t>
            </w:r>
          </w:p>
        </w:tc>
      </w:tr>
      <w:tr w:rsidR="00532249" w:rsidRPr="006D3E70" w14:paraId="70FBDA09" w14:textId="77777777" w:rsidTr="009B33DD">
        <w:trPr>
          <w:jc w:val="center"/>
        </w:trPr>
        <w:tc>
          <w:tcPr>
            <w:tcW w:w="1752" w:type="dxa"/>
            <w:tcBorders>
              <w:top w:val="single" w:sz="6" w:space="0" w:color="auto"/>
              <w:left w:val="single" w:sz="6" w:space="0" w:color="auto"/>
              <w:bottom w:val="single" w:sz="6" w:space="0" w:color="auto"/>
              <w:right w:val="single" w:sz="6" w:space="0" w:color="auto"/>
            </w:tcBorders>
          </w:tcPr>
          <w:p w14:paraId="7C516BB4" w14:textId="77777777" w:rsidR="00532249" w:rsidRPr="006D3E70" w:rsidRDefault="00532249" w:rsidP="009B33DD">
            <w:pPr>
              <w:pStyle w:val="Tabletext"/>
              <w:jc w:val="left"/>
              <w:rPr>
                <w:lang w:val="fr-FR"/>
              </w:rPr>
            </w:pPr>
            <w:r w:rsidRPr="006D3E70">
              <w:rPr>
                <w:lang w:val="fr-FR"/>
              </w:rPr>
              <w:t>Catégorie B</w:t>
            </w:r>
          </w:p>
        </w:tc>
        <w:tc>
          <w:tcPr>
            <w:tcW w:w="7887" w:type="dxa"/>
            <w:tcBorders>
              <w:top w:val="single" w:sz="6" w:space="0" w:color="auto"/>
              <w:left w:val="single" w:sz="6" w:space="0" w:color="auto"/>
              <w:bottom w:val="single" w:sz="6" w:space="0" w:color="auto"/>
              <w:right w:val="single" w:sz="6" w:space="0" w:color="auto"/>
            </w:tcBorders>
          </w:tcPr>
          <w:p w14:paraId="5A9DC0D7" w14:textId="77777777" w:rsidR="00532249" w:rsidRPr="006D3E70" w:rsidRDefault="00532249" w:rsidP="009B33DD">
            <w:pPr>
              <w:pStyle w:val="Tabletext"/>
              <w:rPr>
                <w:lang w:val="fr-FR"/>
              </w:rPr>
            </w:pPr>
            <w:r w:rsidRPr="006D3E70">
              <w:rPr>
                <w:lang w:val="fr-FR"/>
              </w:rPr>
              <w:t>Les limites de la catégorie B sont un exemple de limites plus contraignantes des rayonnements dans le domaine des rayonnements non essentiels que celles de la catégorie A. Elles sont basées sur des limites définies et adoptées en Europe et utilisées par certains autres pays. Ces limites sont données au § 4.3.</w:t>
            </w:r>
          </w:p>
        </w:tc>
      </w:tr>
      <w:tr w:rsidR="00532249" w:rsidRPr="006D3E70" w14:paraId="0DCAFAF8" w14:textId="77777777" w:rsidTr="009B33DD">
        <w:trPr>
          <w:jc w:val="center"/>
        </w:trPr>
        <w:tc>
          <w:tcPr>
            <w:tcW w:w="1752" w:type="dxa"/>
            <w:tcBorders>
              <w:top w:val="single" w:sz="6" w:space="0" w:color="auto"/>
              <w:left w:val="single" w:sz="6" w:space="0" w:color="auto"/>
              <w:bottom w:val="single" w:sz="6" w:space="0" w:color="auto"/>
              <w:right w:val="single" w:sz="6" w:space="0" w:color="auto"/>
            </w:tcBorders>
          </w:tcPr>
          <w:p w14:paraId="08E8749F" w14:textId="77777777" w:rsidR="00532249" w:rsidRPr="006D3E70" w:rsidRDefault="00532249" w:rsidP="009B33DD">
            <w:pPr>
              <w:pStyle w:val="Tabletext"/>
              <w:jc w:val="left"/>
              <w:rPr>
                <w:lang w:val="fr-FR"/>
              </w:rPr>
            </w:pPr>
            <w:r w:rsidRPr="006D3E70">
              <w:rPr>
                <w:lang w:val="fr-FR"/>
              </w:rPr>
              <w:t>Catégorie C</w:t>
            </w:r>
          </w:p>
        </w:tc>
        <w:tc>
          <w:tcPr>
            <w:tcW w:w="7887" w:type="dxa"/>
            <w:tcBorders>
              <w:top w:val="single" w:sz="6" w:space="0" w:color="auto"/>
              <w:left w:val="single" w:sz="6" w:space="0" w:color="auto"/>
              <w:bottom w:val="single" w:sz="6" w:space="0" w:color="auto"/>
              <w:right w:val="single" w:sz="6" w:space="0" w:color="auto"/>
            </w:tcBorders>
          </w:tcPr>
          <w:p w14:paraId="58CEBA39" w14:textId="3AC3461A" w:rsidR="00532249" w:rsidRPr="006D3E70" w:rsidRDefault="00532249" w:rsidP="009B33DD">
            <w:pPr>
              <w:pStyle w:val="Tabletext"/>
              <w:rPr>
                <w:lang w:val="fr-FR"/>
              </w:rPr>
            </w:pPr>
            <w:r w:rsidRPr="006D3E70">
              <w:rPr>
                <w:lang w:val="fr-FR"/>
              </w:rPr>
              <w:t>Les limites de la catégorie C sont un exemple de limites plus contraignantes des rayonnements dans le domaine des rayonnements non essentiels que celles de la catégorie A. Elles sont basées sur des limites définies et adoptées aux États-Unis d</w:t>
            </w:r>
            <w:r w:rsidR="00324C7C" w:rsidRPr="006D3E70">
              <w:rPr>
                <w:lang w:val="fr-FR"/>
              </w:rPr>
              <w:t>'</w:t>
            </w:r>
            <w:r w:rsidRPr="006D3E70">
              <w:rPr>
                <w:lang w:val="fr-FR"/>
              </w:rPr>
              <w:t>Amérique et au Canada et utilisées par certains autres pays. Ces limites sont données au § 4.4.</w:t>
            </w:r>
          </w:p>
        </w:tc>
      </w:tr>
      <w:tr w:rsidR="00532249" w:rsidRPr="006D3E70" w14:paraId="33BBE84C" w14:textId="77777777" w:rsidTr="009B33DD">
        <w:trPr>
          <w:jc w:val="center"/>
        </w:trPr>
        <w:tc>
          <w:tcPr>
            <w:tcW w:w="1752" w:type="dxa"/>
            <w:tcBorders>
              <w:top w:val="single" w:sz="6" w:space="0" w:color="auto"/>
              <w:left w:val="single" w:sz="6" w:space="0" w:color="auto"/>
              <w:bottom w:val="single" w:sz="6" w:space="0" w:color="auto"/>
              <w:right w:val="single" w:sz="6" w:space="0" w:color="auto"/>
            </w:tcBorders>
          </w:tcPr>
          <w:p w14:paraId="3F0AC2E7" w14:textId="77777777" w:rsidR="00532249" w:rsidRPr="006D3E70" w:rsidRDefault="00532249" w:rsidP="009B33DD">
            <w:pPr>
              <w:pStyle w:val="Tabletext"/>
              <w:keepNext/>
              <w:keepLines/>
              <w:jc w:val="left"/>
              <w:rPr>
                <w:lang w:val="fr-FR"/>
              </w:rPr>
            </w:pPr>
            <w:r w:rsidRPr="006D3E70">
              <w:rPr>
                <w:lang w:val="fr-FR"/>
              </w:rPr>
              <w:t>Catégorie D</w:t>
            </w:r>
          </w:p>
        </w:tc>
        <w:tc>
          <w:tcPr>
            <w:tcW w:w="7887" w:type="dxa"/>
            <w:tcBorders>
              <w:top w:val="single" w:sz="6" w:space="0" w:color="auto"/>
              <w:left w:val="single" w:sz="6" w:space="0" w:color="auto"/>
              <w:bottom w:val="single" w:sz="6" w:space="0" w:color="auto"/>
              <w:right w:val="single" w:sz="6" w:space="0" w:color="auto"/>
            </w:tcBorders>
          </w:tcPr>
          <w:p w14:paraId="1AE3E459" w14:textId="77777777" w:rsidR="00532249" w:rsidRPr="006D3E70" w:rsidRDefault="00532249" w:rsidP="009B33DD">
            <w:pPr>
              <w:pStyle w:val="Tabletext"/>
              <w:keepNext/>
              <w:keepLines/>
              <w:rPr>
                <w:lang w:val="fr-FR"/>
              </w:rPr>
            </w:pPr>
            <w:r w:rsidRPr="006D3E70">
              <w:rPr>
                <w:lang w:val="fr-FR"/>
              </w:rPr>
              <w:t>Les limites de la catégorie D sont un exemple de limites plus contraignantes des rayonnements dans le domaine des rayonnements non essentiels que celles de la catégorie A. Elles sont basées sur des limites définies et adoptées au Japon et utilisées par certains autres pays. Ces limites sont données au § 4.5.</w:t>
            </w:r>
          </w:p>
        </w:tc>
      </w:tr>
      <w:tr w:rsidR="00532249" w:rsidRPr="006D3E70" w14:paraId="717B2507" w14:textId="77777777" w:rsidTr="009B33DD">
        <w:trPr>
          <w:jc w:val="center"/>
        </w:trPr>
        <w:tc>
          <w:tcPr>
            <w:tcW w:w="1752" w:type="dxa"/>
            <w:tcBorders>
              <w:top w:val="single" w:sz="6" w:space="0" w:color="auto"/>
              <w:left w:val="single" w:sz="6" w:space="0" w:color="auto"/>
              <w:bottom w:val="single" w:sz="6" w:space="0" w:color="auto"/>
              <w:right w:val="single" w:sz="6" w:space="0" w:color="auto"/>
            </w:tcBorders>
          </w:tcPr>
          <w:p w14:paraId="4ACB8DC4" w14:textId="77777777" w:rsidR="00532249" w:rsidRPr="006D3E70" w:rsidRDefault="00532249" w:rsidP="009B33DD">
            <w:pPr>
              <w:pStyle w:val="Tabletext"/>
              <w:jc w:val="left"/>
              <w:rPr>
                <w:lang w:val="fr-FR"/>
              </w:rPr>
            </w:pPr>
            <w:r w:rsidRPr="006D3E70">
              <w:rPr>
                <w:lang w:val="fr-FR"/>
              </w:rPr>
              <w:t>Catégorie Z</w:t>
            </w:r>
          </w:p>
        </w:tc>
        <w:tc>
          <w:tcPr>
            <w:tcW w:w="7887" w:type="dxa"/>
            <w:tcBorders>
              <w:top w:val="single" w:sz="6" w:space="0" w:color="auto"/>
              <w:left w:val="single" w:sz="6" w:space="0" w:color="auto"/>
              <w:bottom w:val="single" w:sz="6" w:space="0" w:color="auto"/>
              <w:right w:val="single" w:sz="6" w:space="0" w:color="auto"/>
            </w:tcBorders>
          </w:tcPr>
          <w:p w14:paraId="7E0A7017" w14:textId="77777777" w:rsidR="00532249" w:rsidRPr="006D3E70" w:rsidRDefault="00532249" w:rsidP="009B33DD">
            <w:pPr>
              <w:pStyle w:val="Tabletext"/>
              <w:rPr>
                <w:lang w:val="fr-FR"/>
              </w:rPr>
            </w:pPr>
            <w:r w:rsidRPr="006D3E70">
              <w:rPr>
                <w:lang w:val="fr-FR"/>
              </w:rPr>
              <w:t>Limites de rayonnement applicables aux ITE définies par le Comité international spécial des perturbations radioélectriques (CISPR). Ces limites sont données au § 4.6.</w:t>
            </w:r>
          </w:p>
        </w:tc>
      </w:tr>
    </w:tbl>
    <w:p w14:paraId="1C48755B" w14:textId="77777777" w:rsidR="00532249" w:rsidRPr="006D3E70" w:rsidRDefault="00532249" w:rsidP="00532249">
      <w:pPr>
        <w:pStyle w:val="Tablefin"/>
        <w:rPr>
          <w:lang w:val="fr-FR"/>
        </w:rPr>
      </w:pPr>
    </w:p>
    <w:p w14:paraId="22CAE89F" w14:textId="1F2E92AD" w:rsidR="00532249" w:rsidRPr="006D3E70" w:rsidRDefault="00532249" w:rsidP="001E6B88">
      <w:pPr>
        <w:rPr>
          <w:lang w:val="fr-FR"/>
        </w:rPr>
      </w:pPr>
      <w:r w:rsidRPr="006D3E70">
        <w:rPr>
          <w:lang w:val="fr-FR"/>
        </w:rPr>
        <w:t>NOTE 1 – Les limites des catégories B, C et D sont plus contraignantes que celles de la catégorie A et représentent chacune un compromis entre faible niveau des émissions brouilleuses et coût de l</w:t>
      </w:r>
      <w:r w:rsidR="00324C7C" w:rsidRPr="006D3E70">
        <w:rPr>
          <w:lang w:val="fr-FR"/>
        </w:rPr>
        <w:t>'</w:t>
      </w:r>
      <w:r w:rsidRPr="006D3E70">
        <w:rPr>
          <w:lang w:val="fr-FR"/>
        </w:rPr>
        <w:t>équipement. Elles sont actuellement utilisées comme règlements nationaux ou régionaux, y compris dans des zones de forte densité d</w:t>
      </w:r>
      <w:r w:rsidR="00324C7C" w:rsidRPr="006D3E70">
        <w:rPr>
          <w:lang w:val="fr-FR"/>
        </w:rPr>
        <w:t>'</w:t>
      </w:r>
      <w:r w:rsidRPr="006D3E70">
        <w:rPr>
          <w:lang w:val="fr-FR"/>
        </w:rPr>
        <w:t>équipements de radiocommunication et utilisant pratique</w:t>
      </w:r>
      <w:r w:rsidRPr="006D3E70">
        <w:rPr>
          <w:lang w:val="fr-FR"/>
        </w:rPr>
        <w:softHyphen/>
        <w:t>ment toute la gamme des équipements de radiocommunication.</w:t>
      </w:r>
    </w:p>
    <w:p w14:paraId="5D4AD6F4" w14:textId="552323FF" w:rsidR="00532249" w:rsidRPr="006D3E70" w:rsidRDefault="00532249" w:rsidP="001E6B88">
      <w:pPr>
        <w:rPr>
          <w:lang w:val="fr-FR"/>
        </w:rPr>
      </w:pPr>
      <w:r w:rsidRPr="006D3E70">
        <w:rPr>
          <w:lang w:val="fr-FR"/>
        </w:rPr>
        <w:t xml:space="preserve">Les tableaux des limites des émissions (voir le § 4 du </w:t>
      </w:r>
      <w:r w:rsidRPr="006D3E70">
        <w:rPr>
          <w:i/>
          <w:lang w:val="fr-FR"/>
        </w:rPr>
        <w:t>recommande</w:t>
      </w:r>
      <w:r w:rsidRPr="006D3E70">
        <w:rPr>
          <w:lang w:val="fr-FR"/>
        </w:rPr>
        <w:t>) donnent les limites préconisées pour chacune de ces catégories par bande de fréquences et par type d</w:t>
      </w:r>
      <w:r w:rsidR="00324C7C" w:rsidRPr="006D3E70">
        <w:rPr>
          <w:lang w:val="fr-FR"/>
        </w:rPr>
        <w:t>'</w:t>
      </w:r>
      <w:r w:rsidRPr="006D3E70">
        <w:rPr>
          <w:lang w:val="fr-FR"/>
        </w:rPr>
        <w:t>émetteur, en vue d</w:t>
      </w:r>
      <w:r w:rsidR="00324C7C" w:rsidRPr="006D3E70">
        <w:rPr>
          <w:lang w:val="fr-FR"/>
        </w:rPr>
        <w:t>'</w:t>
      </w:r>
      <w:r w:rsidRPr="006D3E70">
        <w:rPr>
          <w:lang w:val="fr-FR"/>
        </w:rPr>
        <w:t>assurer la protection de tous les services de radiocommunication.</w:t>
      </w:r>
    </w:p>
    <w:p w14:paraId="7E68E781" w14:textId="77777777" w:rsidR="00532249" w:rsidRPr="006D3E70" w:rsidRDefault="00532249" w:rsidP="00532249">
      <w:pPr>
        <w:pStyle w:val="Heading1"/>
        <w:rPr>
          <w:rFonts w:eastAsia="Arial Unicode MS"/>
          <w:lang w:val="fr-FR"/>
        </w:rPr>
      </w:pPr>
      <w:r w:rsidRPr="006D3E70">
        <w:rPr>
          <w:lang w:val="fr-FR"/>
        </w:rPr>
        <w:lastRenderedPageBreak/>
        <w:t>4</w:t>
      </w:r>
      <w:r w:rsidRPr="006D3E70">
        <w:rPr>
          <w:lang w:val="fr-FR"/>
        </w:rPr>
        <w:tab/>
        <w:t>Tableaux des limites des émissions</w:t>
      </w:r>
    </w:p>
    <w:p w14:paraId="198634AE" w14:textId="77777777" w:rsidR="00532249" w:rsidRPr="006D3E70" w:rsidRDefault="00532249" w:rsidP="00532249">
      <w:pPr>
        <w:pStyle w:val="Heading2"/>
        <w:rPr>
          <w:rFonts w:eastAsia="Arial Unicode MS"/>
          <w:lang w:val="fr-FR"/>
        </w:rPr>
      </w:pPr>
      <w:r w:rsidRPr="006D3E70">
        <w:rPr>
          <w:lang w:val="fr-FR"/>
        </w:rPr>
        <w:t>4.1</w:t>
      </w:r>
      <w:r w:rsidRPr="006D3E70">
        <w:rPr>
          <w:lang w:val="fr-FR"/>
        </w:rPr>
        <w:tab/>
        <w:t>Largeurs de bandes de référence recommandées</w:t>
      </w:r>
    </w:p>
    <w:p w14:paraId="4C9FB194" w14:textId="77777777" w:rsidR="00532249" w:rsidRPr="006D3E70" w:rsidRDefault="00532249" w:rsidP="00532249">
      <w:pPr>
        <w:rPr>
          <w:lang w:val="fr-FR"/>
        </w:rPr>
      </w:pPr>
      <w:r w:rsidRPr="006D3E70">
        <w:rPr>
          <w:lang w:val="fr-FR"/>
        </w:rPr>
        <w:t>Une largeur de bande de référence est une largeur de bande dans laquelle les niveaux des rayonnements dans le domaine des rayonnements non essentiels sont précisés. Les largeurs de bande de référence recommandées sont les suivantes:</w:t>
      </w:r>
    </w:p>
    <w:p w14:paraId="256C67B7" w14:textId="77777777" w:rsidR="00532249" w:rsidRPr="006D3E70" w:rsidRDefault="00532249" w:rsidP="00532249">
      <w:pPr>
        <w:pStyle w:val="enumlev1"/>
        <w:rPr>
          <w:lang w:val="fr-FR"/>
        </w:rPr>
      </w:pPr>
      <w:r w:rsidRPr="006D3E70">
        <w:rPr>
          <w:lang w:val="fr-FR"/>
        </w:rPr>
        <w:t>–</w:t>
      </w:r>
      <w:r w:rsidRPr="006D3E70">
        <w:rPr>
          <w:lang w:val="fr-FR"/>
        </w:rPr>
        <w:tab/>
        <w:t>1 kHz entre 9 et 150 kHz;</w:t>
      </w:r>
    </w:p>
    <w:p w14:paraId="4AD38F01" w14:textId="77777777" w:rsidR="00532249" w:rsidRPr="006D3E70" w:rsidRDefault="00532249" w:rsidP="00532249">
      <w:pPr>
        <w:pStyle w:val="enumlev1"/>
        <w:rPr>
          <w:lang w:val="fr-FR"/>
        </w:rPr>
      </w:pPr>
      <w:r w:rsidRPr="006D3E70">
        <w:rPr>
          <w:lang w:val="fr-FR"/>
        </w:rPr>
        <w:t>–</w:t>
      </w:r>
      <w:r w:rsidRPr="006D3E70">
        <w:rPr>
          <w:lang w:val="fr-FR"/>
        </w:rPr>
        <w:tab/>
        <w:t>10 kHz entre 150 kHz et 30 MHz;</w:t>
      </w:r>
    </w:p>
    <w:p w14:paraId="3121E3B2" w14:textId="77777777" w:rsidR="00532249" w:rsidRPr="006D3E70" w:rsidRDefault="00532249" w:rsidP="00532249">
      <w:pPr>
        <w:pStyle w:val="enumlev1"/>
        <w:rPr>
          <w:lang w:val="fr-FR"/>
        </w:rPr>
      </w:pPr>
      <w:r w:rsidRPr="006D3E70">
        <w:rPr>
          <w:lang w:val="fr-FR"/>
        </w:rPr>
        <w:t>–</w:t>
      </w:r>
      <w:r w:rsidRPr="006D3E70">
        <w:rPr>
          <w:lang w:val="fr-FR"/>
        </w:rPr>
        <w:tab/>
        <w:t>100 kHz entre 30 MHz et 1 GHz;</w:t>
      </w:r>
    </w:p>
    <w:p w14:paraId="7C28DE54" w14:textId="77777777" w:rsidR="00532249" w:rsidRPr="006D3E70" w:rsidRDefault="00532249" w:rsidP="00532249">
      <w:pPr>
        <w:pStyle w:val="enumlev1"/>
        <w:rPr>
          <w:lang w:val="fr-FR"/>
        </w:rPr>
      </w:pPr>
      <w:r w:rsidRPr="006D3E70">
        <w:rPr>
          <w:lang w:val="fr-FR"/>
        </w:rPr>
        <w:t>–</w:t>
      </w:r>
      <w:r w:rsidRPr="006D3E70">
        <w:rPr>
          <w:lang w:val="fr-FR"/>
        </w:rPr>
        <w:tab/>
        <w:t>1 MHz au-dessus de 1 GHz.</w:t>
      </w:r>
    </w:p>
    <w:p w14:paraId="46E64556" w14:textId="77777777" w:rsidR="00532249" w:rsidRPr="006D3E70" w:rsidRDefault="00532249" w:rsidP="00532249">
      <w:pPr>
        <w:rPr>
          <w:lang w:val="fr-FR"/>
        </w:rPr>
      </w:pPr>
      <w:r w:rsidRPr="006D3E70">
        <w:rPr>
          <w:lang w:val="fr-FR"/>
        </w:rPr>
        <w:t>Pour le cas particulier des services spatiaux, la largeur de bande de référence de tous les rayonnements du domaine des rayonnements non essentiels doit être de 4 kHz.</w:t>
      </w:r>
    </w:p>
    <w:p w14:paraId="0AFEC1CC" w14:textId="77777777" w:rsidR="00532249" w:rsidRPr="006D3E70" w:rsidRDefault="00532249" w:rsidP="00532249">
      <w:pPr>
        <w:rPr>
          <w:lang w:val="fr-FR"/>
        </w:rPr>
      </w:pPr>
      <w:r w:rsidRPr="006D3E70">
        <w:rPr>
          <w:lang w:val="fr-FR"/>
        </w:rPr>
        <w:t>Pour les limites de la catégorie B, on spécifie des largeurs de bande de référence plus étroites, proches de la porteuse pour les services fixe et mobile terrestre.</w:t>
      </w:r>
    </w:p>
    <w:p w14:paraId="6A5D6282" w14:textId="77777777" w:rsidR="00532249" w:rsidRPr="006D3E70" w:rsidRDefault="00532249" w:rsidP="00532249">
      <w:pPr>
        <w:rPr>
          <w:lang w:val="fr-FR"/>
        </w:rPr>
      </w:pPr>
      <w:r w:rsidRPr="006D3E70">
        <w:rPr>
          <w:lang w:val="fr-FR"/>
        </w:rPr>
        <w:t>Les largeurs de bande de référence nécessaires pour la mesure correcte des rayonnements non essentiels émis par les radars doivent être calculées pour chaque système radar selon les méthodes décrites dans la Recommandation UIT</w:t>
      </w:r>
      <w:r w:rsidRPr="006D3E70">
        <w:rPr>
          <w:lang w:val="fr-FR"/>
        </w:rPr>
        <w:noBreakHyphen/>
        <w:t>R M.1177.</w:t>
      </w:r>
    </w:p>
    <w:p w14:paraId="1B99064C" w14:textId="4719AAA4" w:rsidR="00532249" w:rsidRPr="006D3E70" w:rsidRDefault="00532249" w:rsidP="001E6B88">
      <w:pPr>
        <w:rPr>
          <w:lang w:val="fr-FR"/>
        </w:rPr>
      </w:pPr>
      <w:r w:rsidRPr="006D3E70">
        <w:rPr>
          <w:lang w:val="fr-FR"/>
        </w:rPr>
        <w:t>NOTE 1 – La largeur de bande de référence désigne une largeur de bande dans laquelle la limite applicable aux rayonnements du domaine des rayonnements non essentiels est définie, mais ne désigne pas une largeur de bande dans laquelle les rayonnements du domaine des rayonnements non essentiels devraient être mesurés. L</w:t>
      </w:r>
      <w:r w:rsidR="00324C7C" w:rsidRPr="006D3E70">
        <w:rPr>
          <w:lang w:val="fr-FR"/>
        </w:rPr>
        <w:t>'</w:t>
      </w:r>
      <w:r w:rsidRPr="006D3E70">
        <w:rPr>
          <w:lang w:val="fr-FR"/>
        </w:rPr>
        <w:t>Annexe 2 définit la largeur de bande de résolution dans laquelle les rayonnements du domaine des rayonnements non essentiels doivent être mesurés. À titre d</w:t>
      </w:r>
      <w:r w:rsidR="00324C7C" w:rsidRPr="006D3E70">
        <w:rPr>
          <w:lang w:val="fr-FR"/>
        </w:rPr>
        <w:t>'</w:t>
      </w:r>
      <w:r w:rsidRPr="006D3E70">
        <w:rPr>
          <w:lang w:val="fr-FR"/>
        </w:rPr>
        <w:t>orientation générale, la largeur de bande de résolution doit être égale à la largeur de bande de référence. Toutefois, pour améliorer la précision, la sensibilité et l</w:t>
      </w:r>
      <w:r w:rsidR="00324C7C" w:rsidRPr="006D3E70">
        <w:rPr>
          <w:lang w:val="fr-FR"/>
        </w:rPr>
        <w:t>'</w:t>
      </w:r>
      <w:r w:rsidRPr="006D3E70">
        <w:rPr>
          <w:lang w:val="fr-FR"/>
        </w:rPr>
        <w:t>efficacité des mesures, la largeur de bande de résolution peut être différente de la largeur de bande de référence, ainsi qu</w:t>
      </w:r>
      <w:r w:rsidR="00324C7C" w:rsidRPr="006D3E70">
        <w:rPr>
          <w:lang w:val="fr-FR"/>
        </w:rPr>
        <w:t>'</w:t>
      </w:r>
      <w:r w:rsidRPr="006D3E70">
        <w:rPr>
          <w:lang w:val="fr-FR"/>
        </w:rPr>
        <w:t>il est indiqué dans l</w:t>
      </w:r>
      <w:r w:rsidR="00324C7C" w:rsidRPr="006D3E70">
        <w:rPr>
          <w:lang w:val="fr-FR"/>
        </w:rPr>
        <w:t>'</w:t>
      </w:r>
      <w:r w:rsidRPr="006D3E70">
        <w:rPr>
          <w:lang w:val="fr-FR"/>
        </w:rPr>
        <w:t>Annexe 2.</w:t>
      </w:r>
    </w:p>
    <w:p w14:paraId="589348C1" w14:textId="77777777" w:rsidR="00532249" w:rsidRPr="006D3E70" w:rsidRDefault="00532249" w:rsidP="00532249">
      <w:pPr>
        <w:pStyle w:val="Heading2"/>
        <w:rPr>
          <w:rFonts w:eastAsia="Arial Unicode MS"/>
          <w:lang w:val="fr-FR"/>
        </w:rPr>
      </w:pPr>
      <w:r w:rsidRPr="006D3E70">
        <w:rPr>
          <w:lang w:val="fr-FR"/>
        </w:rPr>
        <w:t>4.2</w:t>
      </w:r>
      <w:r w:rsidRPr="006D3E70">
        <w:rPr>
          <w:lang w:val="fr-FR"/>
        </w:rPr>
        <w:tab/>
        <w:t>Limites de la catégorie A</w:t>
      </w:r>
    </w:p>
    <w:p w14:paraId="255B0854" w14:textId="213054EC" w:rsidR="00532249" w:rsidRPr="006D3E70" w:rsidRDefault="00532249" w:rsidP="00532249">
      <w:pPr>
        <w:keepNext/>
        <w:keepLines/>
        <w:rPr>
          <w:lang w:val="fr-FR"/>
        </w:rPr>
      </w:pPr>
      <w:r w:rsidRPr="006D3E70">
        <w:rPr>
          <w:lang w:val="fr-FR"/>
        </w:rPr>
        <w:t>Le Tableau 2 donne les niveaux maximaux tolérés des rayonnements dans le domaine des rayonnements non essentiels, figurant dans l</w:t>
      </w:r>
      <w:r w:rsidR="00324C7C" w:rsidRPr="006D3E70">
        <w:rPr>
          <w:lang w:val="fr-FR"/>
        </w:rPr>
        <w:t>'</w:t>
      </w:r>
      <w:r w:rsidRPr="006D3E70">
        <w:rPr>
          <w:lang w:val="fr-FR"/>
        </w:rPr>
        <w:t xml:space="preserve">Appendice </w:t>
      </w:r>
      <w:r w:rsidRPr="006D3E70">
        <w:rPr>
          <w:b/>
          <w:bCs/>
          <w:lang w:val="fr-FR"/>
        </w:rPr>
        <w:t>3</w:t>
      </w:r>
      <w:r w:rsidRPr="006D3E70">
        <w:rPr>
          <w:lang w:val="fr-FR"/>
        </w:rPr>
        <w:t xml:space="preserve"> du RR, (en termes de puissance) de toute composante non désirée appliquée par un émetteur à la ligne d</w:t>
      </w:r>
      <w:r w:rsidR="00324C7C" w:rsidRPr="006D3E70">
        <w:rPr>
          <w:lang w:val="fr-FR"/>
        </w:rPr>
        <w:t>'</w:t>
      </w:r>
      <w:r w:rsidRPr="006D3E70">
        <w:rPr>
          <w:lang w:val="fr-FR"/>
        </w:rPr>
        <w:t>alimentation de l</w:t>
      </w:r>
      <w:r w:rsidR="00324C7C" w:rsidRPr="006D3E70">
        <w:rPr>
          <w:lang w:val="fr-FR"/>
        </w:rPr>
        <w:t>'</w:t>
      </w:r>
      <w:r w:rsidRPr="006D3E70">
        <w:rPr>
          <w:lang w:val="fr-FR"/>
        </w:rPr>
        <w:t>antenne; sauf pour les services spatiaux où il s</w:t>
      </w:r>
      <w:r w:rsidR="00324C7C" w:rsidRPr="006D3E70">
        <w:rPr>
          <w:lang w:val="fr-FR"/>
        </w:rPr>
        <w:t>'</w:t>
      </w:r>
      <w:r w:rsidRPr="006D3E70">
        <w:rPr>
          <w:lang w:val="fr-FR"/>
        </w:rPr>
        <w:t>agit de limites techniques, pour la date de mise en œuvre du service de radiorepérage, pour les stations dans l</w:t>
      </w:r>
      <w:r w:rsidR="00324C7C" w:rsidRPr="006D3E70">
        <w:rPr>
          <w:lang w:val="fr-FR"/>
        </w:rPr>
        <w:t>'</w:t>
      </w:r>
      <w:r w:rsidRPr="006D3E70">
        <w:rPr>
          <w:lang w:val="fr-FR"/>
        </w:rPr>
        <w:t>espace lointain et les stations d</w:t>
      </w:r>
      <w:r w:rsidR="00324C7C" w:rsidRPr="006D3E70">
        <w:rPr>
          <w:lang w:val="fr-FR"/>
        </w:rPr>
        <w:t>'</w:t>
      </w:r>
      <w:r w:rsidRPr="006D3E70">
        <w:rPr>
          <w:lang w:val="fr-FR"/>
        </w:rPr>
        <w:t>amateur. Certaines notes de l</w:t>
      </w:r>
      <w:r w:rsidR="00324C7C" w:rsidRPr="006D3E70">
        <w:rPr>
          <w:lang w:val="fr-FR"/>
        </w:rPr>
        <w:t>'</w:t>
      </w:r>
      <w:r w:rsidRPr="006D3E70">
        <w:rPr>
          <w:lang w:val="fr-FR"/>
        </w:rPr>
        <w:t>Appendice </w:t>
      </w:r>
      <w:r w:rsidRPr="006D3E70">
        <w:rPr>
          <w:b/>
          <w:bCs/>
          <w:lang w:val="fr-FR"/>
        </w:rPr>
        <w:t>3</w:t>
      </w:r>
      <w:r w:rsidRPr="006D3E70">
        <w:rPr>
          <w:lang w:val="fr-FR"/>
        </w:rPr>
        <w:t xml:space="preserve"> du RR donnent des indications précises concernant l</w:t>
      </w:r>
      <w:r w:rsidR="00324C7C" w:rsidRPr="006D3E70">
        <w:rPr>
          <w:lang w:val="fr-FR"/>
        </w:rPr>
        <w:t>'</w:t>
      </w:r>
      <w:r w:rsidRPr="006D3E70">
        <w:rPr>
          <w:lang w:val="fr-FR"/>
        </w:rPr>
        <w:t>application des limites.</w:t>
      </w:r>
    </w:p>
    <w:p w14:paraId="305B4DCB" w14:textId="4B8BEF4F" w:rsidR="00532249" w:rsidRPr="006D3E70" w:rsidRDefault="00532249" w:rsidP="00532249">
      <w:pPr>
        <w:rPr>
          <w:lang w:val="fr-FR"/>
        </w:rPr>
      </w:pPr>
      <w:r w:rsidRPr="006D3E70">
        <w:rPr>
          <w:lang w:val="fr-FR"/>
        </w:rPr>
        <w:t>Les rayonnements du domaine des rayonnements non essentiels émis par une partie quelconque de l</w:t>
      </w:r>
      <w:r w:rsidR="00324C7C" w:rsidRPr="006D3E70">
        <w:rPr>
          <w:lang w:val="fr-FR"/>
        </w:rPr>
        <w:t>'</w:t>
      </w:r>
      <w:r w:rsidRPr="006D3E70">
        <w:rPr>
          <w:lang w:val="fr-FR"/>
        </w:rPr>
        <w:t>installation autre que l</w:t>
      </w:r>
      <w:r w:rsidR="00324C7C" w:rsidRPr="006D3E70">
        <w:rPr>
          <w:lang w:val="fr-FR"/>
        </w:rPr>
        <w:t>'</w:t>
      </w:r>
      <w:r w:rsidRPr="006D3E70">
        <w:rPr>
          <w:lang w:val="fr-FR"/>
        </w:rPr>
        <w:t>antenne et sa ligne d</w:t>
      </w:r>
      <w:r w:rsidR="00324C7C" w:rsidRPr="006D3E70">
        <w:rPr>
          <w:lang w:val="fr-FR"/>
        </w:rPr>
        <w:t>'</w:t>
      </w:r>
      <w:r w:rsidRPr="006D3E70">
        <w:rPr>
          <w:lang w:val="fr-FR"/>
        </w:rPr>
        <w:t>alimentation ne doivent pas produire un effet supérieur à celui qui se produirait si ce système d</w:t>
      </w:r>
      <w:r w:rsidR="00324C7C" w:rsidRPr="006D3E70">
        <w:rPr>
          <w:lang w:val="fr-FR"/>
        </w:rPr>
        <w:t>'</w:t>
      </w:r>
      <w:r w:rsidRPr="006D3E70">
        <w:rPr>
          <w:lang w:val="fr-FR"/>
        </w:rPr>
        <w:t>antenne était alimenté à la puissance maximale admissible sur la fréquence de ce rayonnement dans le domaine des rayonnements non essentiels.</w:t>
      </w:r>
    </w:p>
    <w:p w14:paraId="39C41EF7" w14:textId="28721A99" w:rsidR="00532249" w:rsidRPr="006D3E70" w:rsidRDefault="00532249" w:rsidP="00532249">
      <w:pPr>
        <w:rPr>
          <w:lang w:val="fr-FR"/>
        </w:rPr>
      </w:pPr>
      <w:r w:rsidRPr="006D3E70">
        <w:rPr>
          <w:lang w:val="fr-FR"/>
        </w:rPr>
        <w:t>Pour des raisons techniques ou d</w:t>
      </w:r>
      <w:r w:rsidR="00324C7C" w:rsidRPr="006D3E70">
        <w:rPr>
          <w:lang w:val="fr-FR"/>
        </w:rPr>
        <w:t>'</w:t>
      </w:r>
      <w:r w:rsidRPr="006D3E70">
        <w:rPr>
          <w:lang w:val="fr-FR"/>
        </w:rPr>
        <w:t>exploitation, il peut être nécessaire d</w:t>
      </w:r>
      <w:r w:rsidR="00324C7C" w:rsidRPr="006D3E70">
        <w:rPr>
          <w:lang w:val="fr-FR"/>
        </w:rPr>
        <w:t>'</w:t>
      </w:r>
      <w:r w:rsidRPr="006D3E70">
        <w:rPr>
          <w:lang w:val="fr-FR"/>
        </w:rPr>
        <w:t>appliquer des niveaux plus stricts que ceux du Tableau 2 pour protéger certains services dans certaines bandes de fréquences. Les niveaux appliqués pour protéger ces services doivent être fixés par une CMR. Des niveaux plus stricts peuvent également être fixés d</w:t>
      </w:r>
      <w:r w:rsidR="00324C7C" w:rsidRPr="006D3E70">
        <w:rPr>
          <w:lang w:val="fr-FR"/>
        </w:rPr>
        <w:t>'</w:t>
      </w:r>
      <w:r w:rsidRPr="006D3E70">
        <w:rPr>
          <w:lang w:val="fr-FR"/>
        </w:rPr>
        <w:t>un commun accord entre les administrations concernées. En outre, il importe d</w:t>
      </w:r>
      <w:r w:rsidR="00324C7C" w:rsidRPr="006D3E70">
        <w:rPr>
          <w:lang w:val="fr-FR"/>
        </w:rPr>
        <w:t>'</w:t>
      </w:r>
      <w:r w:rsidRPr="006D3E70">
        <w:rPr>
          <w:lang w:val="fr-FR"/>
        </w:rPr>
        <w:t>accorder une attention particulière aux rayonnements dans le domaine des rayonnements non essentiels produits par les émetteurs afin de protéger les services de radioastronomie et les autres services passifs.</w:t>
      </w:r>
    </w:p>
    <w:p w14:paraId="33E4C8BE" w14:textId="2A2704A7" w:rsidR="00532249" w:rsidRPr="006D3E70" w:rsidRDefault="00532249" w:rsidP="00532249">
      <w:pPr>
        <w:rPr>
          <w:lang w:val="fr-FR"/>
        </w:rPr>
      </w:pPr>
      <w:r w:rsidRPr="006D3E70">
        <w:rPr>
          <w:lang w:val="fr-FR"/>
        </w:rPr>
        <w:lastRenderedPageBreak/>
        <w:t>L</w:t>
      </w:r>
      <w:r w:rsidR="00324C7C" w:rsidRPr="006D3E70">
        <w:rPr>
          <w:lang w:val="fr-FR"/>
        </w:rPr>
        <w:t>'</w:t>
      </w:r>
      <w:r w:rsidRPr="006D3E70">
        <w:rPr>
          <w:lang w:val="fr-FR"/>
        </w:rPr>
        <w:t>Annexe 4 présente des exemples de calcul et donne les niveaux maximaux absolus de puissance des rayonnements dans le domaine des rayonnements non essentiels de catégorie A à partir des valeurs figurant dans le Tableau 2.</w:t>
      </w:r>
    </w:p>
    <w:p w14:paraId="6AF5E0C9" w14:textId="77777777" w:rsidR="00532249" w:rsidRPr="006D3E70" w:rsidRDefault="00532249" w:rsidP="00532249">
      <w:pPr>
        <w:pStyle w:val="TableNo"/>
        <w:keepLines/>
        <w:rPr>
          <w:lang w:val="fr-FR"/>
        </w:rPr>
      </w:pPr>
      <w:r w:rsidRPr="006D3E70">
        <w:rPr>
          <w:lang w:val="fr-FR"/>
        </w:rPr>
        <w:t>TABLEAU 2</w:t>
      </w:r>
    </w:p>
    <w:p w14:paraId="75BD6EF6" w14:textId="77777777" w:rsidR="00532249" w:rsidRPr="006D3E70" w:rsidRDefault="00532249" w:rsidP="0097214F">
      <w:pPr>
        <w:pStyle w:val="Tabletitle"/>
        <w:rPr>
          <w:lang w:val="fr-FR"/>
        </w:rPr>
      </w:pPr>
      <w:r w:rsidRPr="006D3E70">
        <w:rPr>
          <w:lang w:val="fr-FR"/>
        </w:rPr>
        <w:t>Limites des rayonnements dans le domaine des rayonnements non essentiels – Catégorie A</w:t>
      </w:r>
    </w:p>
    <w:p w14:paraId="7F56BB97" w14:textId="75520397" w:rsidR="00532249" w:rsidRPr="006D3E70" w:rsidRDefault="00532249" w:rsidP="0097214F">
      <w:pPr>
        <w:pStyle w:val="Tabletitle"/>
        <w:rPr>
          <w:b w:val="0"/>
          <w:bCs/>
          <w:lang w:val="fr-FR"/>
        </w:rPr>
      </w:pPr>
      <w:r w:rsidRPr="006D3E70">
        <w:rPr>
          <w:b w:val="0"/>
          <w:bCs/>
          <w:lang w:val="fr-FR"/>
        </w:rPr>
        <w:t>(Valeurs de l</w:t>
      </w:r>
      <w:r w:rsidR="00324C7C" w:rsidRPr="006D3E70">
        <w:rPr>
          <w:b w:val="0"/>
          <w:bCs/>
          <w:lang w:val="fr-FR"/>
        </w:rPr>
        <w:t>'</w:t>
      </w:r>
      <w:r w:rsidRPr="006D3E70">
        <w:rPr>
          <w:b w:val="0"/>
          <w:bCs/>
          <w:lang w:val="fr-FR"/>
        </w:rPr>
        <w:t>affaiblissement recommandées utilisées pour calculer les niveaux de puissance maximaux autorisés des rayonnements dans le domaine des rayonnements non essentiels</w:t>
      </w:r>
      <w:r w:rsidRPr="006D3E70">
        <w:rPr>
          <w:b w:val="0"/>
          <w:bCs/>
          <w:lang w:val="fr-FR"/>
        </w:rPr>
        <w:br/>
        <w:t>à utiliser, dans tous les pays, avec des équipements de radiocommunication)</w:t>
      </w:r>
    </w:p>
    <w:tbl>
      <w:tblPr>
        <w:tblW w:w="9639"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4253"/>
        <w:gridCol w:w="5386"/>
      </w:tblGrid>
      <w:tr w:rsidR="00532249" w:rsidRPr="006D3E70" w14:paraId="30647654" w14:textId="77777777" w:rsidTr="009B33DD">
        <w:trPr>
          <w:jc w:val="center"/>
        </w:trPr>
        <w:tc>
          <w:tcPr>
            <w:tcW w:w="4253" w:type="dxa"/>
            <w:tcBorders>
              <w:top w:val="single" w:sz="6" w:space="0" w:color="auto"/>
              <w:left w:val="single" w:sz="6" w:space="0" w:color="auto"/>
              <w:bottom w:val="single" w:sz="6" w:space="0" w:color="auto"/>
              <w:right w:val="single" w:sz="6" w:space="0" w:color="auto"/>
            </w:tcBorders>
            <w:vAlign w:val="center"/>
          </w:tcPr>
          <w:p w14:paraId="3D67832C" w14:textId="61679FEC" w:rsidR="00532249" w:rsidRPr="006D3E70" w:rsidRDefault="00532249" w:rsidP="0097214F">
            <w:pPr>
              <w:pStyle w:val="Tablehead"/>
              <w:rPr>
                <w:lang w:val="fr-FR"/>
              </w:rPr>
            </w:pPr>
            <w:r w:rsidRPr="006D3E70">
              <w:rPr>
                <w:lang w:val="fr-FR"/>
              </w:rPr>
              <w:t>Catégorie de service, conformément</w:t>
            </w:r>
            <w:r w:rsidRPr="006D3E70">
              <w:rPr>
                <w:lang w:val="fr-FR"/>
              </w:rPr>
              <w:br/>
              <w:t>aux dispositions de l</w:t>
            </w:r>
            <w:r w:rsidR="00324C7C" w:rsidRPr="006D3E70">
              <w:rPr>
                <w:lang w:val="fr-FR"/>
              </w:rPr>
              <w:t>'</w:t>
            </w:r>
            <w:r w:rsidRPr="006D3E70">
              <w:rPr>
                <w:lang w:val="fr-FR"/>
              </w:rPr>
              <w:t>Article 1 du RR</w:t>
            </w:r>
            <w:r w:rsidRPr="006D3E70">
              <w:rPr>
                <w:lang w:val="fr-FR"/>
              </w:rPr>
              <w:br/>
              <w:t>ou au type d</w:t>
            </w:r>
            <w:r w:rsidR="00324C7C" w:rsidRPr="006D3E70">
              <w:rPr>
                <w:lang w:val="fr-FR"/>
              </w:rPr>
              <w:t>'</w:t>
            </w:r>
            <w:r w:rsidRPr="006D3E70">
              <w:rPr>
                <w:lang w:val="fr-FR"/>
              </w:rPr>
              <w:t>équipement</w:t>
            </w:r>
            <w:r w:rsidRPr="006D3E70">
              <w:rPr>
                <w:vertAlign w:val="superscript"/>
                <w:lang w:val="fr-FR"/>
              </w:rPr>
              <w:t>(1), (2)</w:t>
            </w:r>
          </w:p>
        </w:tc>
        <w:tc>
          <w:tcPr>
            <w:tcW w:w="5386" w:type="dxa"/>
            <w:tcBorders>
              <w:top w:val="single" w:sz="6" w:space="0" w:color="auto"/>
              <w:left w:val="single" w:sz="6" w:space="0" w:color="auto"/>
              <w:bottom w:val="single" w:sz="6" w:space="0" w:color="auto"/>
              <w:right w:val="single" w:sz="6" w:space="0" w:color="auto"/>
            </w:tcBorders>
            <w:vAlign w:val="center"/>
          </w:tcPr>
          <w:p w14:paraId="471FF771" w14:textId="3FDD4795" w:rsidR="00532249" w:rsidRPr="006D3E70" w:rsidRDefault="00532249" w:rsidP="0097214F">
            <w:pPr>
              <w:pStyle w:val="Tablehead"/>
              <w:rPr>
                <w:lang w:val="fr-FR"/>
              </w:rPr>
            </w:pPr>
            <w:r w:rsidRPr="006D3E70">
              <w:rPr>
                <w:lang w:val="fr-FR"/>
              </w:rPr>
              <w:t>Affaiblissement (dB) inférieur à la puissance (W)</w:t>
            </w:r>
            <w:r w:rsidRPr="006D3E70">
              <w:rPr>
                <w:lang w:val="fr-FR"/>
              </w:rPr>
              <w:br/>
              <w:t>fournie à la ligne de transmission de l</w:t>
            </w:r>
            <w:r w:rsidR="00324C7C" w:rsidRPr="006D3E70">
              <w:rPr>
                <w:lang w:val="fr-FR"/>
              </w:rPr>
              <w:t>'</w:t>
            </w:r>
            <w:r w:rsidRPr="006D3E70">
              <w:rPr>
                <w:lang w:val="fr-FR"/>
              </w:rPr>
              <w:t>antenne</w:t>
            </w:r>
          </w:p>
        </w:tc>
      </w:tr>
      <w:tr w:rsidR="00532249" w:rsidRPr="006D3E70" w14:paraId="5F253A5A" w14:textId="77777777" w:rsidTr="0097214F">
        <w:trPr>
          <w:jc w:val="center"/>
        </w:trPr>
        <w:tc>
          <w:tcPr>
            <w:tcW w:w="4253" w:type="dxa"/>
            <w:tcBorders>
              <w:top w:val="single" w:sz="6" w:space="0" w:color="auto"/>
              <w:left w:val="single" w:sz="6" w:space="0" w:color="auto"/>
              <w:bottom w:val="single" w:sz="6" w:space="0" w:color="auto"/>
              <w:right w:val="single" w:sz="6" w:space="0" w:color="auto"/>
            </w:tcBorders>
          </w:tcPr>
          <w:p w14:paraId="191C4AE9" w14:textId="2B506DF3" w:rsidR="00532249" w:rsidRPr="006D3E70" w:rsidRDefault="00532249" w:rsidP="0097214F">
            <w:pPr>
              <w:pStyle w:val="Tabletext"/>
              <w:jc w:val="left"/>
              <w:rPr>
                <w:lang w:val="fr-FR"/>
              </w:rPr>
            </w:pPr>
            <w:r w:rsidRPr="006D3E70">
              <w:rPr>
                <w:lang w:val="fr-FR"/>
              </w:rPr>
              <w:t>Tous les services, à l</w:t>
            </w:r>
            <w:r w:rsidR="00324C7C" w:rsidRPr="006D3E70">
              <w:rPr>
                <w:lang w:val="fr-FR"/>
              </w:rPr>
              <w:t>'</w:t>
            </w:r>
            <w:r w:rsidRPr="006D3E70">
              <w:rPr>
                <w:lang w:val="fr-FR"/>
              </w:rPr>
              <w:t>exception des services énumérés ci-dessous:</w:t>
            </w:r>
          </w:p>
        </w:tc>
        <w:tc>
          <w:tcPr>
            <w:tcW w:w="5386" w:type="dxa"/>
            <w:tcBorders>
              <w:top w:val="single" w:sz="6" w:space="0" w:color="auto"/>
              <w:left w:val="single" w:sz="6" w:space="0" w:color="auto"/>
              <w:bottom w:val="single" w:sz="6" w:space="0" w:color="auto"/>
              <w:right w:val="single" w:sz="6" w:space="0" w:color="auto"/>
            </w:tcBorders>
          </w:tcPr>
          <w:p w14:paraId="6D7290AD" w14:textId="77777777" w:rsidR="00532249" w:rsidRPr="006D3E70" w:rsidRDefault="00532249" w:rsidP="0097214F">
            <w:pPr>
              <w:pStyle w:val="Tabletext"/>
              <w:jc w:val="left"/>
              <w:rPr>
                <w:lang w:val="fr-FR"/>
              </w:rPr>
            </w:pPr>
            <w:r w:rsidRPr="006D3E70">
              <w:rPr>
                <w:lang w:val="fr-FR"/>
              </w:rPr>
              <w:t xml:space="preserve">43 + 10 log </w:t>
            </w:r>
            <w:r w:rsidRPr="006D3E70">
              <w:rPr>
                <w:i/>
                <w:iCs/>
                <w:lang w:val="fr-FR"/>
              </w:rPr>
              <w:t>P</w:t>
            </w:r>
            <w:r w:rsidRPr="006D3E70">
              <w:rPr>
                <w:lang w:val="fr-FR"/>
              </w:rPr>
              <w:t>, ou 70 dBc, selon la valeur qui est la moins contraignante</w:t>
            </w:r>
          </w:p>
        </w:tc>
      </w:tr>
      <w:tr w:rsidR="00532249" w:rsidRPr="006D3E70" w14:paraId="2EDBB772" w14:textId="77777777" w:rsidTr="0097214F">
        <w:trPr>
          <w:jc w:val="center"/>
        </w:trPr>
        <w:tc>
          <w:tcPr>
            <w:tcW w:w="4253" w:type="dxa"/>
            <w:tcBorders>
              <w:top w:val="single" w:sz="6" w:space="0" w:color="auto"/>
              <w:left w:val="single" w:sz="6" w:space="0" w:color="auto"/>
              <w:bottom w:val="single" w:sz="6" w:space="0" w:color="auto"/>
              <w:right w:val="single" w:sz="6" w:space="0" w:color="auto"/>
            </w:tcBorders>
          </w:tcPr>
          <w:p w14:paraId="323C7220" w14:textId="77777777" w:rsidR="00532249" w:rsidRPr="006D3E70" w:rsidRDefault="00532249" w:rsidP="0097214F">
            <w:pPr>
              <w:pStyle w:val="Tabletext"/>
              <w:jc w:val="left"/>
              <w:rPr>
                <w:lang w:val="fr-FR"/>
              </w:rPr>
            </w:pPr>
            <w:r w:rsidRPr="006D3E70">
              <w:rPr>
                <w:lang w:val="fr-FR"/>
              </w:rPr>
              <w:t>Services spatiaux (stations terriennes mobiles)</w:t>
            </w:r>
            <w:r w:rsidRPr="006D3E70">
              <w:rPr>
                <w:vertAlign w:val="superscript"/>
                <w:lang w:val="fr-FR"/>
              </w:rPr>
              <w:t>(3), (4)</w:t>
            </w:r>
          </w:p>
        </w:tc>
        <w:tc>
          <w:tcPr>
            <w:tcW w:w="5386" w:type="dxa"/>
            <w:tcBorders>
              <w:top w:val="single" w:sz="6" w:space="0" w:color="auto"/>
              <w:left w:val="single" w:sz="6" w:space="0" w:color="auto"/>
              <w:bottom w:val="single" w:sz="6" w:space="0" w:color="auto"/>
              <w:right w:val="single" w:sz="6" w:space="0" w:color="auto"/>
            </w:tcBorders>
          </w:tcPr>
          <w:p w14:paraId="53F310E3" w14:textId="77777777" w:rsidR="00532249" w:rsidRPr="006D3E70" w:rsidRDefault="00532249" w:rsidP="0097214F">
            <w:pPr>
              <w:pStyle w:val="Tabletext"/>
              <w:jc w:val="left"/>
              <w:rPr>
                <w:lang w:val="fr-FR"/>
              </w:rPr>
            </w:pPr>
            <w:r w:rsidRPr="006D3E70">
              <w:rPr>
                <w:lang w:val="fr-FR"/>
              </w:rPr>
              <w:t xml:space="preserve">43 + 10 log </w:t>
            </w:r>
            <w:r w:rsidRPr="006D3E70">
              <w:rPr>
                <w:i/>
                <w:iCs/>
                <w:lang w:val="fr-FR"/>
              </w:rPr>
              <w:t>P</w:t>
            </w:r>
            <w:r w:rsidRPr="006D3E70">
              <w:rPr>
                <w:lang w:val="fr-FR"/>
              </w:rPr>
              <w:t>, ou 60 dBc, selon la valeur qui est la moins contraignante</w:t>
            </w:r>
          </w:p>
        </w:tc>
      </w:tr>
      <w:tr w:rsidR="00532249" w:rsidRPr="006D3E70" w14:paraId="454CCBDC" w14:textId="77777777" w:rsidTr="0097214F">
        <w:trPr>
          <w:jc w:val="center"/>
        </w:trPr>
        <w:tc>
          <w:tcPr>
            <w:tcW w:w="4253" w:type="dxa"/>
            <w:tcBorders>
              <w:top w:val="single" w:sz="6" w:space="0" w:color="auto"/>
              <w:left w:val="single" w:sz="6" w:space="0" w:color="auto"/>
              <w:bottom w:val="single" w:sz="6" w:space="0" w:color="auto"/>
              <w:right w:val="single" w:sz="6" w:space="0" w:color="auto"/>
            </w:tcBorders>
          </w:tcPr>
          <w:p w14:paraId="3E19683B" w14:textId="77777777" w:rsidR="00532249" w:rsidRPr="006D3E70" w:rsidRDefault="00532249" w:rsidP="0097214F">
            <w:pPr>
              <w:pStyle w:val="Tabletext"/>
              <w:jc w:val="left"/>
              <w:rPr>
                <w:vertAlign w:val="superscript"/>
                <w:lang w:val="fr-FR"/>
              </w:rPr>
            </w:pPr>
            <w:r w:rsidRPr="006D3E70">
              <w:rPr>
                <w:lang w:val="fr-FR"/>
              </w:rPr>
              <w:t>Services spatiaux (stations terriennes fixes)</w:t>
            </w:r>
            <w:r w:rsidRPr="006D3E70">
              <w:rPr>
                <w:vertAlign w:val="superscript"/>
                <w:lang w:val="fr-FR"/>
              </w:rPr>
              <w:t>(3), (4)</w:t>
            </w:r>
          </w:p>
        </w:tc>
        <w:tc>
          <w:tcPr>
            <w:tcW w:w="5386" w:type="dxa"/>
            <w:tcBorders>
              <w:top w:val="single" w:sz="6" w:space="0" w:color="auto"/>
              <w:left w:val="single" w:sz="6" w:space="0" w:color="auto"/>
              <w:bottom w:val="single" w:sz="6" w:space="0" w:color="auto"/>
              <w:right w:val="single" w:sz="6" w:space="0" w:color="auto"/>
            </w:tcBorders>
          </w:tcPr>
          <w:p w14:paraId="6FC074C6" w14:textId="77777777" w:rsidR="00532249" w:rsidRPr="006D3E70" w:rsidRDefault="00532249" w:rsidP="0097214F">
            <w:pPr>
              <w:pStyle w:val="Tabletext"/>
              <w:jc w:val="left"/>
              <w:rPr>
                <w:lang w:val="fr-FR"/>
              </w:rPr>
            </w:pPr>
            <w:r w:rsidRPr="006D3E70">
              <w:rPr>
                <w:lang w:val="fr-FR"/>
              </w:rPr>
              <w:t xml:space="preserve">43 + 10 log </w:t>
            </w:r>
            <w:r w:rsidRPr="006D3E70">
              <w:rPr>
                <w:i/>
                <w:iCs/>
                <w:lang w:val="fr-FR"/>
              </w:rPr>
              <w:t>P</w:t>
            </w:r>
            <w:r w:rsidRPr="006D3E70">
              <w:rPr>
                <w:lang w:val="fr-FR"/>
              </w:rPr>
              <w:t>, ou 60 dBc, selon la valeur qui est la moins contraignante</w:t>
            </w:r>
          </w:p>
        </w:tc>
      </w:tr>
      <w:tr w:rsidR="00532249" w:rsidRPr="006D3E70" w14:paraId="77DCD47C" w14:textId="77777777" w:rsidTr="0097214F">
        <w:trPr>
          <w:jc w:val="center"/>
        </w:trPr>
        <w:tc>
          <w:tcPr>
            <w:tcW w:w="4253" w:type="dxa"/>
            <w:tcBorders>
              <w:top w:val="single" w:sz="6" w:space="0" w:color="auto"/>
              <w:left w:val="single" w:sz="6" w:space="0" w:color="auto"/>
              <w:bottom w:val="single" w:sz="6" w:space="0" w:color="auto"/>
              <w:right w:val="single" w:sz="6" w:space="0" w:color="auto"/>
            </w:tcBorders>
          </w:tcPr>
          <w:p w14:paraId="2E35A18C" w14:textId="77777777" w:rsidR="00532249" w:rsidRPr="006D3E70" w:rsidRDefault="00532249" w:rsidP="0097214F">
            <w:pPr>
              <w:pStyle w:val="Tabletext"/>
              <w:jc w:val="left"/>
              <w:rPr>
                <w:lang w:val="fr-FR"/>
              </w:rPr>
            </w:pPr>
            <w:r w:rsidRPr="006D3E70">
              <w:rPr>
                <w:lang w:val="fr-FR"/>
              </w:rPr>
              <w:t>Services spatiaux (stations spatiales)</w:t>
            </w:r>
            <w:r w:rsidRPr="006D3E70">
              <w:rPr>
                <w:vertAlign w:val="superscript"/>
                <w:lang w:val="fr-FR"/>
              </w:rPr>
              <w:t>(3), (5), (6)</w:t>
            </w:r>
          </w:p>
        </w:tc>
        <w:tc>
          <w:tcPr>
            <w:tcW w:w="5386" w:type="dxa"/>
            <w:tcBorders>
              <w:top w:val="single" w:sz="6" w:space="0" w:color="auto"/>
              <w:left w:val="single" w:sz="6" w:space="0" w:color="auto"/>
              <w:bottom w:val="single" w:sz="6" w:space="0" w:color="auto"/>
              <w:right w:val="single" w:sz="6" w:space="0" w:color="auto"/>
            </w:tcBorders>
          </w:tcPr>
          <w:p w14:paraId="5A833D8B" w14:textId="77777777" w:rsidR="00532249" w:rsidRPr="006D3E70" w:rsidRDefault="00532249" w:rsidP="0097214F">
            <w:pPr>
              <w:pStyle w:val="Tabletext"/>
              <w:jc w:val="left"/>
              <w:rPr>
                <w:lang w:val="fr-FR"/>
              </w:rPr>
            </w:pPr>
            <w:r w:rsidRPr="006D3E70">
              <w:rPr>
                <w:lang w:val="fr-FR"/>
              </w:rPr>
              <w:t xml:space="preserve">43 + 10 log </w:t>
            </w:r>
            <w:r w:rsidRPr="006D3E70">
              <w:rPr>
                <w:i/>
                <w:iCs/>
                <w:lang w:val="fr-FR"/>
              </w:rPr>
              <w:t>P</w:t>
            </w:r>
            <w:r w:rsidRPr="006D3E70">
              <w:rPr>
                <w:lang w:val="fr-FR"/>
              </w:rPr>
              <w:t>, ou 60 dBc, selon la valeur qui est la moins contraignante</w:t>
            </w:r>
          </w:p>
        </w:tc>
      </w:tr>
      <w:tr w:rsidR="00532249" w:rsidRPr="006D3E70" w14:paraId="3C46B8A6" w14:textId="77777777" w:rsidTr="0097214F">
        <w:trPr>
          <w:jc w:val="center"/>
        </w:trPr>
        <w:tc>
          <w:tcPr>
            <w:tcW w:w="4253" w:type="dxa"/>
            <w:tcBorders>
              <w:top w:val="single" w:sz="6" w:space="0" w:color="auto"/>
              <w:left w:val="single" w:sz="6" w:space="0" w:color="auto"/>
              <w:bottom w:val="single" w:sz="6" w:space="0" w:color="auto"/>
              <w:right w:val="single" w:sz="6" w:space="0" w:color="auto"/>
            </w:tcBorders>
          </w:tcPr>
          <w:p w14:paraId="6DD094D3" w14:textId="77777777" w:rsidR="00532249" w:rsidRPr="006D3E70" w:rsidRDefault="00532249" w:rsidP="0097214F">
            <w:pPr>
              <w:pStyle w:val="Tabletext"/>
              <w:jc w:val="left"/>
              <w:rPr>
                <w:vertAlign w:val="superscript"/>
                <w:lang w:val="fr-FR"/>
              </w:rPr>
            </w:pPr>
            <w:r w:rsidRPr="006D3E70">
              <w:rPr>
                <w:lang w:val="fr-FR"/>
              </w:rPr>
              <w:t>Radiorepérage</w:t>
            </w:r>
            <w:r w:rsidRPr="006D3E70">
              <w:rPr>
                <w:vertAlign w:val="superscript"/>
                <w:lang w:val="fr-FR"/>
              </w:rPr>
              <w:t>(7)</w:t>
            </w:r>
          </w:p>
        </w:tc>
        <w:tc>
          <w:tcPr>
            <w:tcW w:w="5386" w:type="dxa"/>
            <w:tcBorders>
              <w:top w:val="single" w:sz="6" w:space="0" w:color="auto"/>
              <w:left w:val="single" w:sz="6" w:space="0" w:color="auto"/>
              <w:bottom w:val="single" w:sz="6" w:space="0" w:color="auto"/>
              <w:right w:val="single" w:sz="6" w:space="0" w:color="auto"/>
            </w:tcBorders>
          </w:tcPr>
          <w:p w14:paraId="75EA658D" w14:textId="77777777" w:rsidR="00532249" w:rsidRPr="006D3E70" w:rsidRDefault="00532249" w:rsidP="0097214F">
            <w:pPr>
              <w:pStyle w:val="Tabletext"/>
              <w:jc w:val="left"/>
              <w:rPr>
                <w:lang w:val="fr-FR"/>
              </w:rPr>
            </w:pPr>
            <w:r w:rsidRPr="006D3E70">
              <w:rPr>
                <w:lang w:val="fr-FR"/>
              </w:rPr>
              <w:t xml:space="preserve">43 + 10 log </w:t>
            </w:r>
            <w:r w:rsidRPr="006D3E70">
              <w:rPr>
                <w:i/>
                <w:iCs/>
                <w:lang w:val="fr-FR"/>
              </w:rPr>
              <w:t>PEP</w:t>
            </w:r>
            <w:r w:rsidRPr="006D3E70">
              <w:rPr>
                <w:lang w:val="fr-FR"/>
              </w:rPr>
              <w:t>, ou 60 dB, selon la valeur qui est la moins contraignante</w:t>
            </w:r>
          </w:p>
        </w:tc>
      </w:tr>
      <w:tr w:rsidR="00532249" w:rsidRPr="006D3E70" w14:paraId="2C1AEC58" w14:textId="77777777" w:rsidTr="0097214F">
        <w:trPr>
          <w:jc w:val="center"/>
        </w:trPr>
        <w:tc>
          <w:tcPr>
            <w:tcW w:w="4253" w:type="dxa"/>
            <w:tcBorders>
              <w:top w:val="single" w:sz="6" w:space="0" w:color="auto"/>
              <w:left w:val="single" w:sz="6" w:space="0" w:color="auto"/>
              <w:bottom w:val="single" w:sz="6" w:space="0" w:color="auto"/>
              <w:right w:val="single" w:sz="6" w:space="0" w:color="auto"/>
            </w:tcBorders>
          </w:tcPr>
          <w:p w14:paraId="00269DD6" w14:textId="77777777" w:rsidR="00532249" w:rsidRPr="006D3E70" w:rsidRDefault="00532249" w:rsidP="0097214F">
            <w:pPr>
              <w:pStyle w:val="Tabletext"/>
              <w:jc w:val="left"/>
              <w:rPr>
                <w:lang w:val="fr-FR"/>
              </w:rPr>
            </w:pPr>
            <w:r w:rsidRPr="006D3E70">
              <w:rPr>
                <w:lang w:val="fr-FR"/>
              </w:rPr>
              <w:t>Radiodiffusion télévisuelle</w:t>
            </w:r>
            <w:r w:rsidRPr="006D3E70">
              <w:rPr>
                <w:vertAlign w:val="superscript"/>
                <w:lang w:val="fr-FR"/>
              </w:rPr>
              <w:t>(8)</w:t>
            </w:r>
          </w:p>
        </w:tc>
        <w:tc>
          <w:tcPr>
            <w:tcW w:w="5386" w:type="dxa"/>
            <w:tcBorders>
              <w:top w:val="single" w:sz="6" w:space="0" w:color="auto"/>
              <w:left w:val="single" w:sz="6" w:space="0" w:color="auto"/>
              <w:bottom w:val="single" w:sz="6" w:space="0" w:color="auto"/>
              <w:right w:val="single" w:sz="6" w:space="0" w:color="auto"/>
            </w:tcBorders>
          </w:tcPr>
          <w:p w14:paraId="638623DE" w14:textId="7CD0F191" w:rsidR="00532249" w:rsidRPr="006D3E70" w:rsidRDefault="00532249" w:rsidP="0097214F">
            <w:pPr>
              <w:pStyle w:val="Tabletext"/>
              <w:jc w:val="left"/>
              <w:rPr>
                <w:lang w:val="fr-FR"/>
              </w:rPr>
            </w:pPr>
            <w:r w:rsidRPr="006D3E70">
              <w:rPr>
                <w:lang w:val="fr-FR"/>
              </w:rPr>
              <w:t xml:space="preserve">46 + 10 log </w:t>
            </w:r>
            <w:r w:rsidRPr="006D3E70">
              <w:rPr>
                <w:i/>
                <w:iCs/>
                <w:lang w:val="fr-FR"/>
              </w:rPr>
              <w:t>P</w:t>
            </w:r>
            <w:r w:rsidRPr="006D3E70">
              <w:rPr>
                <w:lang w:val="fr-FR"/>
              </w:rPr>
              <w:t>, ou 60 dBc, selon la valeur qui est la moins contraignante, sans excéder le niveau absolu de puissance moyenne de 1 mW pour les stations en ondes métriques ou de 12 mW pour les stations en ondes décimétriques. Toutefois, il faudra peut-être que l</w:t>
            </w:r>
            <w:r w:rsidR="00324C7C" w:rsidRPr="006D3E70">
              <w:rPr>
                <w:lang w:val="fr-FR"/>
              </w:rPr>
              <w:t>'</w:t>
            </w:r>
            <w:r w:rsidRPr="006D3E70">
              <w:rPr>
                <w:lang w:val="fr-FR"/>
              </w:rPr>
              <w:t>affaiblissement soit plus élevé selon les cas</w:t>
            </w:r>
          </w:p>
        </w:tc>
      </w:tr>
      <w:tr w:rsidR="00532249" w:rsidRPr="006D3E70" w14:paraId="696F9CE2" w14:textId="77777777" w:rsidTr="0097214F">
        <w:trPr>
          <w:jc w:val="center"/>
        </w:trPr>
        <w:tc>
          <w:tcPr>
            <w:tcW w:w="4253" w:type="dxa"/>
            <w:tcBorders>
              <w:top w:val="single" w:sz="6" w:space="0" w:color="auto"/>
              <w:left w:val="single" w:sz="6" w:space="0" w:color="auto"/>
              <w:bottom w:val="single" w:sz="6" w:space="0" w:color="auto"/>
              <w:right w:val="single" w:sz="6" w:space="0" w:color="auto"/>
            </w:tcBorders>
          </w:tcPr>
          <w:p w14:paraId="1FE9A6A4" w14:textId="77777777" w:rsidR="00532249" w:rsidRPr="006D3E70" w:rsidRDefault="00532249" w:rsidP="0097214F">
            <w:pPr>
              <w:pStyle w:val="Tabletext"/>
              <w:jc w:val="left"/>
              <w:rPr>
                <w:lang w:val="fr-FR"/>
              </w:rPr>
            </w:pPr>
            <w:r w:rsidRPr="006D3E70">
              <w:rPr>
                <w:lang w:val="fr-FR"/>
              </w:rPr>
              <w:t>Radiodiffusion à MF</w:t>
            </w:r>
          </w:p>
        </w:tc>
        <w:tc>
          <w:tcPr>
            <w:tcW w:w="5386" w:type="dxa"/>
            <w:tcBorders>
              <w:top w:val="single" w:sz="6" w:space="0" w:color="auto"/>
              <w:left w:val="single" w:sz="6" w:space="0" w:color="auto"/>
              <w:bottom w:val="single" w:sz="6" w:space="0" w:color="auto"/>
              <w:right w:val="single" w:sz="6" w:space="0" w:color="auto"/>
            </w:tcBorders>
          </w:tcPr>
          <w:p w14:paraId="61AA9DAB" w14:textId="77777777" w:rsidR="00532249" w:rsidRPr="006D3E70" w:rsidRDefault="00532249" w:rsidP="0097214F">
            <w:pPr>
              <w:pStyle w:val="Tabletext"/>
              <w:jc w:val="left"/>
              <w:rPr>
                <w:lang w:val="fr-FR"/>
              </w:rPr>
            </w:pPr>
            <w:r w:rsidRPr="006D3E70">
              <w:rPr>
                <w:lang w:val="fr-FR"/>
              </w:rPr>
              <w:t xml:space="preserve">46 + 10 log </w:t>
            </w:r>
            <w:r w:rsidRPr="006D3E70">
              <w:rPr>
                <w:i/>
                <w:iCs/>
                <w:lang w:val="fr-FR"/>
              </w:rPr>
              <w:t>P</w:t>
            </w:r>
            <w:r w:rsidRPr="006D3E70">
              <w:rPr>
                <w:lang w:val="fr-FR"/>
              </w:rPr>
              <w:t>, ou 70 dBc, selon la valeur qui est la moins contraignante; le niveau absolu de puissance moyenne de 1 mW ne devrait pas être dépassé</w:t>
            </w:r>
          </w:p>
        </w:tc>
      </w:tr>
      <w:tr w:rsidR="00532249" w:rsidRPr="006D3E70" w14:paraId="719160A2" w14:textId="77777777" w:rsidTr="0097214F">
        <w:trPr>
          <w:jc w:val="center"/>
        </w:trPr>
        <w:tc>
          <w:tcPr>
            <w:tcW w:w="4253" w:type="dxa"/>
            <w:tcBorders>
              <w:top w:val="single" w:sz="6" w:space="0" w:color="auto"/>
              <w:left w:val="single" w:sz="6" w:space="0" w:color="auto"/>
              <w:bottom w:val="single" w:sz="6" w:space="0" w:color="auto"/>
              <w:right w:val="single" w:sz="6" w:space="0" w:color="auto"/>
            </w:tcBorders>
          </w:tcPr>
          <w:p w14:paraId="79E27C4A" w14:textId="77777777" w:rsidR="00532249" w:rsidRPr="006D3E70" w:rsidRDefault="00532249" w:rsidP="0097214F">
            <w:pPr>
              <w:pStyle w:val="Tabletext"/>
              <w:jc w:val="left"/>
              <w:rPr>
                <w:lang w:val="fr-FR"/>
              </w:rPr>
            </w:pPr>
            <w:r w:rsidRPr="006D3E70">
              <w:rPr>
                <w:lang w:val="fr-FR"/>
              </w:rPr>
              <w:t>Radiodiffusion en ondes hectométriques et décamétriques</w:t>
            </w:r>
          </w:p>
        </w:tc>
        <w:tc>
          <w:tcPr>
            <w:tcW w:w="5386" w:type="dxa"/>
            <w:tcBorders>
              <w:top w:val="single" w:sz="6" w:space="0" w:color="auto"/>
              <w:left w:val="single" w:sz="6" w:space="0" w:color="auto"/>
              <w:bottom w:val="single" w:sz="6" w:space="0" w:color="auto"/>
              <w:right w:val="single" w:sz="6" w:space="0" w:color="auto"/>
            </w:tcBorders>
          </w:tcPr>
          <w:p w14:paraId="00C71C32" w14:textId="77777777" w:rsidR="00532249" w:rsidRPr="006D3E70" w:rsidRDefault="00532249" w:rsidP="0097214F">
            <w:pPr>
              <w:pStyle w:val="Tabletext"/>
              <w:jc w:val="left"/>
              <w:rPr>
                <w:lang w:val="fr-FR"/>
              </w:rPr>
            </w:pPr>
            <w:r w:rsidRPr="006D3E70">
              <w:rPr>
                <w:lang w:val="fr-FR"/>
              </w:rPr>
              <w:t>50 dBc; le niveau absolu de puissance moyenne de 50 mW ne devrait pas être dépassé</w:t>
            </w:r>
          </w:p>
        </w:tc>
      </w:tr>
      <w:tr w:rsidR="00532249" w:rsidRPr="006D3E70" w14:paraId="02FF6414" w14:textId="77777777" w:rsidTr="0097214F">
        <w:trPr>
          <w:jc w:val="center"/>
        </w:trPr>
        <w:tc>
          <w:tcPr>
            <w:tcW w:w="4253" w:type="dxa"/>
            <w:tcBorders>
              <w:top w:val="single" w:sz="6" w:space="0" w:color="auto"/>
              <w:left w:val="single" w:sz="6" w:space="0" w:color="auto"/>
              <w:bottom w:val="single" w:sz="6" w:space="0" w:color="auto"/>
              <w:right w:val="single" w:sz="6" w:space="0" w:color="auto"/>
            </w:tcBorders>
          </w:tcPr>
          <w:p w14:paraId="71352913" w14:textId="77777777" w:rsidR="00532249" w:rsidRPr="006D3E70" w:rsidRDefault="00532249" w:rsidP="0097214F">
            <w:pPr>
              <w:pStyle w:val="Tabletext"/>
              <w:jc w:val="left"/>
              <w:rPr>
                <w:lang w:val="fr-FR"/>
              </w:rPr>
            </w:pPr>
            <w:r w:rsidRPr="006D3E70">
              <w:rPr>
                <w:lang w:val="fr-FR"/>
              </w:rPr>
              <w:t>Émissions à BLU provenant de stations mobiles</w:t>
            </w:r>
            <w:r w:rsidRPr="006D3E70">
              <w:rPr>
                <w:vertAlign w:val="superscript"/>
                <w:lang w:val="fr-FR"/>
              </w:rPr>
              <w:t>(9)</w:t>
            </w:r>
          </w:p>
        </w:tc>
        <w:tc>
          <w:tcPr>
            <w:tcW w:w="5386" w:type="dxa"/>
            <w:tcBorders>
              <w:top w:val="single" w:sz="6" w:space="0" w:color="auto"/>
              <w:left w:val="single" w:sz="6" w:space="0" w:color="auto"/>
              <w:bottom w:val="single" w:sz="6" w:space="0" w:color="auto"/>
              <w:right w:val="single" w:sz="6" w:space="0" w:color="auto"/>
            </w:tcBorders>
          </w:tcPr>
          <w:p w14:paraId="1F75BDCF" w14:textId="77777777" w:rsidR="00532249" w:rsidRPr="006D3E70" w:rsidRDefault="00532249" w:rsidP="0097214F">
            <w:pPr>
              <w:pStyle w:val="Tabletext"/>
              <w:jc w:val="left"/>
              <w:rPr>
                <w:lang w:val="fr-FR"/>
              </w:rPr>
            </w:pPr>
            <w:r w:rsidRPr="006D3E70">
              <w:rPr>
                <w:lang w:val="fr-FR"/>
              </w:rPr>
              <w:t xml:space="preserve">43 dB au-dessous de la </w:t>
            </w:r>
            <w:r w:rsidRPr="006D3E70">
              <w:rPr>
                <w:i/>
                <w:iCs/>
                <w:lang w:val="fr-FR"/>
              </w:rPr>
              <w:t>PEP</w:t>
            </w:r>
          </w:p>
        </w:tc>
      </w:tr>
      <w:tr w:rsidR="00532249" w:rsidRPr="006D3E70" w14:paraId="709A6978" w14:textId="77777777" w:rsidTr="0097214F">
        <w:trPr>
          <w:jc w:val="center"/>
        </w:trPr>
        <w:tc>
          <w:tcPr>
            <w:tcW w:w="4253" w:type="dxa"/>
            <w:tcBorders>
              <w:top w:val="single" w:sz="6" w:space="0" w:color="auto"/>
              <w:left w:val="single" w:sz="6" w:space="0" w:color="auto"/>
              <w:bottom w:val="single" w:sz="6" w:space="0" w:color="auto"/>
              <w:right w:val="single" w:sz="6" w:space="0" w:color="auto"/>
            </w:tcBorders>
          </w:tcPr>
          <w:p w14:paraId="1AAEF762" w14:textId="2C855564" w:rsidR="00532249" w:rsidRPr="006D3E70" w:rsidRDefault="00532249" w:rsidP="0097214F">
            <w:pPr>
              <w:pStyle w:val="Tabletext"/>
              <w:jc w:val="left"/>
              <w:rPr>
                <w:lang w:val="fr-FR"/>
              </w:rPr>
            </w:pPr>
            <w:r w:rsidRPr="006D3E70">
              <w:rPr>
                <w:lang w:val="fr-FR"/>
              </w:rPr>
              <w:t>Services d</w:t>
            </w:r>
            <w:r w:rsidR="00324C7C" w:rsidRPr="006D3E70">
              <w:rPr>
                <w:lang w:val="fr-FR"/>
              </w:rPr>
              <w:t>'</w:t>
            </w:r>
            <w:r w:rsidRPr="006D3E70">
              <w:rPr>
                <w:lang w:val="fr-FR"/>
              </w:rPr>
              <w:t>amateur exploités au</w:t>
            </w:r>
            <w:r w:rsidRPr="006D3E70">
              <w:rPr>
                <w:lang w:val="fr-FR"/>
              </w:rPr>
              <w:noBreakHyphen/>
              <w:t>dessous de 30 MHz (y compris en BLU)</w:t>
            </w:r>
            <w:r w:rsidRPr="006D3E70">
              <w:rPr>
                <w:vertAlign w:val="superscript"/>
                <w:lang w:val="fr-FR"/>
              </w:rPr>
              <w:t>(9)</w:t>
            </w:r>
          </w:p>
        </w:tc>
        <w:tc>
          <w:tcPr>
            <w:tcW w:w="5386" w:type="dxa"/>
            <w:tcBorders>
              <w:top w:val="single" w:sz="6" w:space="0" w:color="auto"/>
              <w:left w:val="single" w:sz="6" w:space="0" w:color="auto"/>
              <w:bottom w:val="single" w:sz="6" w:space="0" w:color="auto"/>
              <w:right w:val="single" w:sz="6" w:space="0" w:color="auto"/>
            </w:tcBorders>
          </w:tcPr>
          <w:p w14:paraId="45553336" w14:textId="77777777" w:rsidR="00532249" w:rsidRPr="006D3E70" w:rsidRDefault="00532249" w:rsidP="0097214F">
            <w:pPr>
              <w:pStyle w:val="Tabletext"/>
              <w:jc w:val="left"/>
              <w:rPr>
                <w:lang w:val="fr-FR"/>
              </w:rPr>
            </w:pPr>
            <w:r w:rsidRPr="006D3E70">
              <w:rPr>
                <w:lang w:val="fr-FR"/>
              </w:rPr>
              <w:t xml:space="preserve">43 + 10 log </w:t>
            </w:r>
            <w:r w:rsidRPr="006D3E70">
              <w:rPr>
                <w:i/>
                <w:iCs/>
                <w:lang w:val="fr-FR"/>
              </w:rPr>
              <w:t>PEP</w:t>
            </w:r>
            <w:r w:rsidRPr="006D3E70">
              <w:rPr>
                <w:lang w:val="fr-FR"/>
              </w:rPr>
              <w:t>, ou 50 dB, selon la valeur qui est la moins contraignante</w:t>
            </w:r>
          </w:p>
        </w:tc>
      </w:tr>
      <w:tr w:rsidR="00532249" w:rsidRPr="006D3E70" w14:paraId="24EF2B12" w14:textId="77777777" w:rsidTr="0097214F">
        <w:trPr>
          <w:jc w:val="center"/>
        </w:trPr>
        <w:tc>
          <w:tcPr>
            <w:tcW w:w="4253" w:type="dxa"/>
            <w:tcBorders>
              <w:top w:val="single" w:sz="6" w:space="0" w:color="auto"/>
              <w:left w:val="single" w:sz="6" w:space="0" w:color="auto"/>
              <w:bottom w:val="single" w:sz="6" w:space="0" w:color="auto"/>
              <w:right w:val="single" w:sz="6" w:space="0" w:color="auto"/>
            </w:tcBorders>
          </w:tcPr>
          <w:p w14:paraId="6ECD0C0A" w14:textId="3255675E" w:rsidR="00532249" w:rsidRPr="006D3E70" w:rsidRDefault="00532249" w:rsidP="0097214F">
            <w:pPr>
              <w:pStyle w:val="Tabletext"/>
              <w:jc w:val="left"/>
              <w:rPr>
                <w:lang w:val="fr-FR"/>
              </w:rPr>
            </w:pPr>
            <w:r w:rsidRPr="006D3E70">
              <w:rPr>
                <w:lang w:val="fr-FR"/>
              </w:rPr>
              <w:t>Services exploités au-dessous de 30 MHz, à l</w:t>
            </w:r>
            <w:r w:rsidR="00324C7C" w:rsidRPr="006D3E70">
              <w:rPr>
                <w:lang w:val="fr-FR"/>
              </w:rPr>
              <w:t>'</w:t>
            </w:r>
            <w:r w:rsidRPr="006D3E70">
              <w:rPr>
                <w:lang w:val="fr-FR"/>
              </w:rPr>
              <w:t>exception des services spatiaux, de radio</w:t>
            </w:r>
            <w:r w:rsidRPr="006D3E70">
              <w:rPr>
                <w:lang w:val="fr-FR"/>
              </w:rPr>
              <w:softHyphen/>
              <w:t>repérage, de radiodiffusion, des services en BLU exploités à partir de stations mobiles, et services d</w:t>
            </w:r>
            <w:r w:rsidR="00324C7C" w:rsidRPr="006D3E70">
              <w:rPr>
                <w:lang w:val="fr-FR"/>
              </w:rPr>
              <w:t>'</w:t>
            </w:r>
            <w:r w:rsidRPr="006D3E70">
              <w:rPr>
                <w:lang w:val="fr-FR"/>
              </w:rPr>
              <w:t>amateur</w:t>
            </w:r>
            <w:r w:rsidRPr="006D3E70">
              <w:rPr>
                <w:vertAlign w:val="superscript"/>
                <w:lang w:val="fr-FR"/>
              </w:rPr>
              <w:t>(9)</w:t>
            </w:r>
          </w:p>
        </w:tc>
        <w:tc>
          <w:tcPr>
            <w:tcW w:w="5386" w:type="dxa"/>
            <w:tcBorders>
              <w:top w:val="single" w:sz="6" w:space="0" w:color="auto"/>
              <w:left w:val="single" w:sz="6" w:space="0" w:color="auto"/>
              <w:bottom w:val="single" w:sz="6" w:space="0" w:color="auto"/>
              <w:right w:val="single" w:sz="6" w:space="0" w:color="auto"/>
            </w:tcBorders>
          </w:tcPr>
          <w:p w14:paraId="4B53C7C1" w14:textId="77777777" w:rsidR="00532249" w:rsidRPr="006D3E70" w:rsidRDefault="00532249" w:rsidP="0097214F">
            <w:pPr>
              <w:pStyle w:val="Tabletext"/>
              <w:jc w:val="left"/>
              <w:rPr>
                <w:lang w:val="fr-FR"/>
              </w:rPr>
            </w:pPr>
            <w:r w:rsidRPr="006D3E70">
              <w:rPr>
                <w:lang w:val="fr-FR"/>
              </w:rPr>
              <w:t xml:space="preserve">43 + 10 log </w:t>
            </w:r>
            <w:r w:rsidRPr="006D3E70">
              <w:rPr>
                <w:i/>
                <w:iCs/>
                <w:lang w:val="fr-FR"/>
              </w:rPr>
              <w:t>X</w:t>
            </w:r>
            <w:r w:rsidRPr="006D3E70">
              <w:rPr>
                <w:lang w:val="fr-FR"/>
              </w:rPr>
              <w:t>, ou 60 dBc, selon la valeur qui est la moins contraignante</w:t>
            </w:r>
          </w:p>
          <w:p w14:paraId="68231525" w14:textId="77777777" w:rsidR="00532249" w:rsidRPr="006D3E70" w:rsidRDefault="00532249" w:rsidP="0097214F">
            <w:pPr>
              <w:pStyle w:val="Tabletext"/>
              <w:jc w:val="left"/>
              <w:rPr>
                <w:lang w:val="fr-FR"/>
              </w:rPr>
            </w:pPr>
            <w:r w:rsidRPr="006D3E70">
              <w:rPr>
                <w:lang w:val="fr-FR"/>
              </w:rPr>
              <w:t>où:</w:t>
            </w:r>
            <w:r w:rsidRPr="006D3E70">
              <w:rPr>
                <w:lang w:val="fr-FR"/>
              </w:rPr>
              <w:br/>
            </w:r>
            <w:r w:rsidRPr="006D3E70">
              <w:rPr>
                <w:lang w:val="fr-FR"/>
              </w:rPr>
              <w:tab/>
            </w:r>
            <w:r w:rsidRPr="006D3E70">
              <w:rPr>
                <w:i/>
                <w:iCs/>
                <w:lang w:val="fr-FR"/>
              </w:rPr>
              <w:t>X</w:t>
            </w:r>
            <w:r w:rsidRPr="006D3E70">
              <w:rPr>
                <w:lang w:val="fr-FR"/>
              </w:rPr>
              <w:t xml:space="preserve"> = </w:t>
            </w:r>
            <w:r w:rsidRPr="006D3E70">
              <w:rPr>
                <w:i/>
                <w:iCs/>
                <w:lang w:val="fr-FR"/>
              </w:rPr>
              <w:t>PEP</w:t>
            </w:r>
            <w:r w:rsidRPr="006D3E70">
              <w:rPr>
                <w:lang w:val="fr-FR"/>
              </w:rPr>
              <w:t xml:space="preserve"> pour la modulation BLU</w:t>
            </w:r>
            <w:r w:rsidRPr="006D3E70">
              <w:rPr>
                <w:lang w:val="fr-FR"/>
              </w:rPr>
              <w:br/>
            </w:r>
            <w:r w:rsidRPr="006D3E70">
              <w:rPr>
                <w:lang w:val="fr-FR"/>
              </w:rPr>
              <w:tab/>
            </w:r>
            <w:r w:rsidRPr="006D3E70">
              <w:rPr>
                <w:i/>
                <w:iCs/>
                <w:lang w:val="fr-FR"/>
              </w:rPr>
              <w:t>X</w:t>
            </w:r>
            <w:r w:rsidRPr="006D3E70">
              <w:rPr>
                <w:lang w:val="fr-FR"/>
              </w:rPr>
              <w:t xml:space="preserve"> = </w:t>
            </w:r>
            <w:r w:rsidRPr="006D3E70">
              <w:rPr>
                <w:i/>
                <w:iCs/>
                <w:lang w:val="fr-FR"/>
              </w:rPr>
              <w:t>P</w:t>
            </w:r>
            <w:r w:rsidRPr="006D3E70">
              <w:rPr>
                <w:lang w:val="fr-FR"/>
              </w:rPr>
              <w:t xml:space="preserve"> pour les autres types de modulation</w:t>
            </w:r>
          </w:p>
        </w:tc>
      </w:tr>
      <w:tr w:rsidR="00532249" w:rsidRPr="006D3E70" w14:paraId="2C766E91" w14:textId="77777777" w:rsidTr="0097214F">
        <w:trPr>
          <w:jc w:val="center"/>
        </w:trPr>
        <w:tc>
          <w:tcPr>
            <w:tcW w:w="4253" w:type="dxa"/>
            <w:tcBorders>
              <w:top w:val="single" w:sz="6" w:space="0" w:color="auto"/>
              <w:left w:val="single" w:sz="6" w:space="0" w:color="auto"/>
              <w:bottom w:val="single" w:sz="6" w:space="0" w:color="auto"/>
              <w:right w:val="single" w:sz="6" w:space="0" w:color="auto"/>
            </w:tcBorders>
          </w:tcPr>
          <w:p w14:paraId="06542A55" w14:textId="77777777" w:rsidR="00532249" w:rsidRPr="006D3E70" w:rsidRDefault="00532249" w:rsidP="0097214F">
            <w:pPr>
              <w:pStyle w:val="Tabletext"/>
              <w:jc w:val="left"/>
              <w:rPr>
                <w:lang w:val="fr-FR"/>
              </w:rPr>
            </w:pPr>
            <w:r w:rsidRPr="006D3E70">
              <w:rPr>
                <w:lang w:val="fr-FR"/>
              </w:rPr>
              <w:t>Équipement radioélectrique à faible puissance</w:t>
            </w:r>
            <w:r w:rsidRPr="006D3E70">
              <w:rPr>
                <w:vertAlign w:val="superscript"/>
                <w:lang w:val="fr-FR"/>
              </w:rPr>
              <w:t>(10)</w:t>
            </w:r>
          </w:p>
        </w:tc>
        <w:tc>
          <w:tcPr>
            <w:tcW w:w="5386" w:type="dxa"/>
            <w:tcBorders>
              <w:top w:val="single" w:sz="6" w:space="0" w:color="auto"/>
              <w:left w:val="single" w:sz="6" w:space="0" w:color="auto"/>
              <w:bottom w:val="single" w:sz="6" w:space="0" w:color="auto"/>
              <w:right w:val="single" w:sz="6" w:space="0" w:color="auto"/>
            </w:tcBorders>
          </w:tcPr>
          <w:p w14:paraId="65E8BBB8" w14:textId="77777777" w:rsidR="00532249" w:rsidRPr="006D3E70" w:rsidRDefault="00532249" w:rsidP="0097214F">
            <w:pPr>
              <w:pStyle w:val="Tabletext"/>
              <w:jc w:val="left"/>
              <w:rPr>
                <w:lang w:val="fr-FR"/>
              </w:rPr>
            </w:pPr>
            <w:r w:rsidRPr="006D3E70">
              <w:rPr>
                <w:lang w:val="fr-FR"/>
              </w:rPr>
              <w:t xml:space="preserve">56 + 10 log </w:t>
            </w:r>
            <w:r w:rsidRPr="006D3E70">
              <w:rPr>
                <w:i/>
                <w:iCs/>
                <w:lang w:val="fr-FR"/>
              </w:rPr>
              <w:t>P</w:t>
            </w:r>
            <w:r w:rsidRPr="006D3E70">
              <w:rPr>
                <w:lang w:val="fr-FR"/>
              </w:rPr>
              <w:t>, ou 40 dBc, selon la valeur qui est la moins contraignante</w:t>
            </w:r>
          </w:p>
        </w:tc>
      </w:tr>
    </w:tbl>
    <w:p w14:paraId="0053F8BA" w14:textId="77777777" w:rsidR="00532249" w:rsidRPr="006D3E70" w:rsidRDefault="00532249" w:rsidP="0097214F">
      <w:pPr>
        <w:pStyle w:val="TableNo"/>
        <w:keepLines/>
        <w:rPr>
          <w:lang w:val="fr-FR"/>
        </w:rPr>
      </w:pPr>
      <w:r w:rsidRPr="006D3E70">
        <w:rPr>
          <w:lang w:val="fr-FR"/>
        </w:rPr>
        <w:lastRenderedPageBreak/>
        <w:t>TABLEAU 2 (</w:t>
      </w:r>
      <w:r w:rsidRPr="006D3E70">
        <w:rPr>
          <w:i/>
          <w:iCs/>
          <w:lang w:val="fr-FR"/>
        </w:rPr>
        <w:t>fin</w:t>
      </w:r>
      <w:r w:rsidRPr="006D3E70">
        <w:rPr>
          <w:lang w:val="fr-FR"/>
        </w:rPr>
        <w:t>)</w:t>
      </w:r>
    </w:p>
    <w:tbl>
      <w:tblPr>
        <w:tblW w:w="9639"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4253"/>
        <w:gridCol w:w="5386"/>
      </w:tblGrid>
      <w:tr w:rsidR="00532249" w:rsidRPr="006D3E70" w14:paraId="76DF44D3" w14:textId="77777777" w:rsidTr="009B33DD">
        <w:trPr>
          <w:jc w:val="center"/>
        </w:trPr>
        <w:tc>
          <w:tcPr>
            <w:tcW w:w="4253" w:type="dxa"/>
            <w:tcBorders>
              <w:top w:val="single" w:sz="6" w:space="0" w:color="auto"/>
              <w:left w:val="single" w:sz="6" w:space="0" w:color="auto"/>
              <w:bottom w:val="single" w:sz="6" w:space="0" w:color="auto"/>
              <w:right w:val="single" w:sz="6" w:space="0" w:color="auto"/>
            </w:tcBorders>
            <w:vAlign w:val="center"/>
          </w:tcPr>
          <w:p w14:paraId="3079B11E" w14:textId="0809053C" w:rsidR="00532249" w:rsidRPr="006D3E70" w:rsidRDefault="00532249" w:rsidP="0097214F">
            <w:pPr>
              <w:pStyle w:val="Tablehead"/>
              <w:keepLines/>
              <w:rPr>
                <w:lang w:val="fr-FR"/>
              </w:rPr>
            </w:pPr>
            <w:r w:rsidRPr="006D3E70">
              <w:rPr>
                <w:lang w:val="fr-FR"/>
              </w:rPr>
              <w:t>Catégorie de service, conformément</w:t>
            </w:r>
            <w:r w:rsidRPr="006D3E70">
              <w:rPr>
                <w:lang w:val="fr-FR"/>
              </w:rPr>
              <w:br/>
              <w:t>aux dispositions de l</w:t>
            </w:r>
            <w:r w:rsidR="00324C7C" w:rsidRPr="006D3E70">
              <w:rPr>
                <w:lang w:val="fr-FR"/>
              </w:rPr>
              <w:t>'</w:t>
            </w:r>
            <w:r w:rsidRPr="006D3E70">
              <w:rPr>
                <w:lang w:val="fr-FR"/>
              </w:rPr>
              <w:t>Article 1 du RR</w:t>
            </w:r>
            <w:r w:rsidRPr="006D3E70">
              <w:rPr>
                <w:lang w:val="fr-FR"/>
              </w:rPr>
              <w:br/>
              <w:t>ou au type d</w:t>
            </w:r>
            <w:r w:rsidR="00324C7C" w:rsidRPr="006D3E70">
              <w:rPr>
                <w:lang w:val="fr-FR"/>
              </w:rPr>
              <w:t>'</w:t>
            </w:r>
            <w:r w:rsidRPr="006D3E70">
              <w:rPr>
                <w:lang w:val="fr-FR"/>
              </w:rPr>
              <w:t>équipement</w:t>
            </w:r>
            <w:r w:rsidRPr="006D3E70">
              <w:rPr>
                <w:vertAlign w:val="superscript"/>
                <w:lang w:val="fr-FR"/>
              </w:rPr>
              <w:t>(1), (2)</w:t>
            </w:r>
          </w:p>
        </w:tc>
        <w:tc>
          <w:tcPr>
            <w:tcW w:w="5386" w:type="dxa"/>
            <w:tcBorders>
              <w:top w:val="single" w:sz="6" w:space="0" w:color="auto"/>
              <w:left w:val="single" w:sz="6" w:space="0" w:color="auto"/>
              <w:bottom w:val="single" w:sz="6" w:space="0" w:color="auto"/>
              <w:right w:val="single" w:sz="6" w:space="0" w:color="auto"/>
            </w:tcBorders>
            <w:vAlign w:val="center"/>
          </w:tcPr>
          <w:p w14:paraId="478C928F" w14:textId="6006E671" w:rsidR="00532249" w:rsidRPr="006D3E70" w:rsidRDefault="00532249" w:rsidP="0097214F">
            <w:pPr>
              <w:pStyle w:val="Tablehead"/>
              <w:keepLines/>
              <w:rPr>
                <w:lang w:val="fr-FR"/>
              </w:rPr>
            </w:pPr>
            <w:r w:rsidRPr="006D3E70">
              <w:rPr>
                <w:lang w:val="fr-FR"/>
              </w:rPr>
              <w:t>Affaiblissement (dB) inférieur à la puissance (W)</w:t>
            </w:r>
            <w:r w:rsidRPr="006D3E70">
              <w:rPr>
                <w:lang w:val="fr-FR"/>
              </w:rPr>
              <w:br/>
              <w:t>fournie à la ligne de transmission de l</w:t>
            </w:r>
            <w:r w:rsidR="00324C7C" w:rsidRPr="006D3E70">
              <w:rPr>
                <w:lang w:val="fr-FR"/>
              </w:rPr>
              <w:t>'</w:t>
            </w:r>
            <w:r w:rsidRPr="006D3E70">
              <w:rPr>
                <w:lang w:val="fr-FR"/>
              </w:rPr>
              <w:t>antenne</w:t>
            </w:r>
          </w:p>
        </w:tc>
      </w:tr>
      <w:tr w:rsidR="00532249" w:rsidRPr="006D3E70" w14:paraId="475E516A" w14:textId="77777777" w:rsidTr="009B33DD">
        <w:trPr>
          <w:jc w:val="center"/>
        </w:trPr>
        <w:tc>
          <w:tcPr>
            <w:tcW w:w="4253" w:type="dxa"/>
            <w:tcBorders>
              <w:top w:val="single" w:sz="6" w:space="0" w:color="auto"/>
              <w:left w:val="single" w:sz="6" w:space="0" w:color="auto"/>
              <w:bottom w:val="single" w:sz="6" w:space="0" w:color="auto"/>
              <w:right w:val="single" w:sz="6" w:space="0" w:color="auto"/>
            </w:tcBorders>
          </w:tcPr>
          <w:p w14:paraId="6E603A6D" w14:textId="55A667A2" w:rsidR="00532249" w:rsidRPr="006D3E70" w:rsidRDefault="00532249" w:rsidP="0097214F">
            <w:pPr>
              <w:pStyle w:val="Tabletext"/>
              <w:keepNext/>
              <w:keepLines/>
              <w:jc w:val="left"/>
              <w:rPr>
                <w:lang w:val="fr-FR"/>
              </w:rPr>
            </w:pPr>
            <w:r w:rsidRPr="006D3E70">
              <w:rPr>
                <w:lang w:val="fr-FR"/>
              </w:rPr>
              <w:t>Radiobalise de localisation des sinistres (RLS), émetteur de localisation d</w:t>
            </w:r>
            <w:r w:rsidR="00324C7C" w:rsidRPr="006D3E70">
              <w:rPr>
                <w:lang w:val="fr-FR"/>
              </w:rPr>
              <w:t>'</w:t>
            </w:r>
            <w:r w:rsidRPr="006D3E70">
              <w:rPr>
                <w:lang w:val="fr-FR"/>
              </w:rPr>
              <w:t>urgence, balise de localisation personnelle, répéteur de recherche et de sauvetage, émetteurs de secours de navires, d</w:t>
            </w:r>
            <w:r w:rsidR="00324C7C" w:rsidRPr="006D3E70">
              <w:rPr>
                <w:lang w:val="fr-FR"/>
              </w:rPr>
              <w:t>'</w:t>
            </w:r>
            <w:r w:rsidRPr="006D3E70">
              <w:rPr>
                <w:lang w:val="fr-FR"/>
              </w:rPr>
              <w:t>embarcations de sauvetage et d</w:t>
            </w:r>
            <w:r w:rsidR="00324C7C" w:rsidRPr="006D3E70">
              <w:rPr>
                <w:lang w:val="fr-FR"/>
              </w:rPr>
              <w:t>'</w:t>
            </w:r>
            <w:r w:rsidRPr="006D3E70">
              <w:rPr>
                <w:lang w:val="fr-FR"/>
              </w:rPr>
              <w:t>engins de sauvetage; émetteurs terrestres, aéronautiques ou maritimes lorsqu</w:t>
            </w:r>
            <w:r w:rsidR="00324C7C" w:rsidRPr="006D3E70">
              <w:rPr>
                <w:lang w:val="fr-FR"/>
              </w:rPr>
              <w:t>'</w:t>
            </w:r>
            <w:r w:rsidRPr="006D3E70">
              <w:rPr>
                <w:lang w:val="fr-FR"/>
              </w:rPr>
              <w:t>ils sont utilisés en cas de sinistre</w:t>
            </w:r>
          </w:p>
        </w:tc>
        <w:tc>
          <w:tcPr>
            <w:tcW w:w="5386" w:type="dxa"/>
            <w:tcBorders>
              <w:top w:val="single" w:sz="6" w:space="0" w:color="auto"/>
              <w:left w:val="single" w:sz="6" w:space="0" w:color="auto"/>
              <w:bottom w:val="single" w:sz="6" w:space="0" w:color="auto"/>
              <w:right w:val="single" w:sz="6" w:space="0" w:color="auto"/>
            </w:tcBorders>
          </w:tcPr>
          <w:p w14:paraId="7CAE5776" w14:textId="77777777" w:rsidR="00532249" w:rsidRPr="006D3E70" w:rsidRDefault="00532249" w:rsidP="0097214F">
            <w:pPr>
              <w:pStyle w:val="Tabletext"/>
              <w:keepNext/>
              <w:keepLines/>
              <w:jc w:val="left"/>
              <w:rPr>
                <w:lang w:val="fr-FR"/>
              </w:rPr>
            </w:pPr>
            <w:r w:rsidRPr="006D3E70">
              <w:rPr>
                <w:lang w:val="fr-FR"/>
              </w:rPr>
              <w:t>Pas de limite</w:t>
            </w:r>
          </w:p>
        </w:tc>
      </w:tr>
      <w:tr w:rsidR="00532249" w:rsidRPr="006D3E70" w14:paraId="1FE59101" w14:textId="77777777" w:rsidTr="009B33DD">
        <w:trPr>
          <w:jc w:val="center"/>
        </w:trPr>
        <w:tc>
          <w:tcPr>
            <w:tcW w:w="9639" w:type="dxa"/>
            <w:gridSpan w:val="2"/>
            <w:tcBorders>
              <w:top w:val="single" w:sz="6" w:space="0" w:color="auto"/>
              <w:left w:val="nil"/>
              <w:bottom w:val="nil"/>
              <w:right w:val="nil"/>
            </w:tcBorders>
          </w:tcPr>
          <w:p w14:paraId="0866199E" w14:textId="77777777" w:rsidR="00532249" w:rsidRPr="006D3E70" w:rsidRDefault="00532249" w:rsidP="009B33DD">
            <w:pPr>
              <w:pStyle w:val="Tablelegend"/>
              <w:rPr>
                <w:lang w:val="fr-FR"/>
              </w:rPr>
            </w:pPr>
            <w:r w:rsidRPr="006D3E70">
              <w:rPr>
                <w:i/>
                <w:iCs/>
                <w:lang w:val="fr-FR"/>
              </w:rPr>
              <w:t>Notes relatives au Tableau 2:</w:t>
            </w:r>
          </w:p>
          <w:p w14:paraId="4FF16829" w14:textId="6F8B5AA6" w:rsidR="00532249" w:rsidRPr="006D3E70" w:rsidRDefault="00532249" w:rsidP="009B33DD">
            <w:pPr>
              <w:pStyle w:val="Tablelegend"/>
              <w:tabs>
                <w:tab w:val="clear" w:pos="284"/>
                <w:tab w:val="left" w:pos="736"/>
              </w:tabs>
              <w:ind w:left="452" w:hanging="537"/>
              <w:rPr>
                <w:lang w:val="fr-FR"/>
              </w:rPr>
            </w:pPr>
            <w:r w:rsidRPr="006D3E70">
              <w:rPr>
                <w:i/>
                <w:iCs/>
                <w:lang w:val="fr-FR"/>
              </w:rPr>
              <w:t>P</w:t>
            </w:r>
            <w:r w:rsidRPr="006D3E70">
              <w:rPr>
                <w:lang w:val="fr-FR"/>
              </w:rPr>
              <w:t>:</w:t>
            </w:r>
            <w:r w:rsidRPr="006D3E70">
              <w:rPr>
                <w:lang w:val="fr-FR"/>
              </w:rPr>
              <w:tab/>
              <w:t>puissance moyenne (W) fournie à la ligne de transmission de l</w:t>
            </w:r>
            <w:r w:rsidR="00324C7C" w:rsidRPr="006D3E70">
              <w:rPr>
                <w:lang w:val="fr-FR"/>
              </w:rPr>
              <w:t>'</w:t>
            </w:r>
            <w:r w:rsidRPr="006D3E70">
              <w:rPr>
                <w:lang w:val="fr-FR"/>
              </w:rPr>
              <w:t>antenne, conformément au numéro </w:t>
            </w:r>
            <w:r w:rsidRPr="006D3E70">
              <w:rPr>
                <w:b/>
                <w:bCs/>
                <w:lang w:val="fr-FR"/>
              </w:rPr>
              <w:t>1.158</w:t>
            </w:r>
            <w:r w:rsidRPr="006D3E70">
              <w:rPr>
                <w:lang w:val="fr-FR"/>
              </w:rPr>
              <w:t xml:space="preserve"> du RR. Dans le cas de transmission par salves, on mesure la puissance moyenne </w:t>
            </w:r>
            <w:r w:rsidRPr="006D3E70">
              <w:rPr>
                <w:i/>
                <w:iCs/>
                <w:lang w:val="fr-FR"/>
              </w:rPr>
              <w:t>P</w:t>
            </w:r>
            <w:r w:rsidRPr="006D3E70">
              <w:rPr>
                <w:lang w:val="fr-FR"/>
              </w:rPr>
              <w:t xml:space="preserve"> et la puissance moyenne des rayonnements dans le domaine des rayonnements non essentiels en calculant la puissance dont on a établi une moyenne sur la durée de la salve.</w:t>
            </w:r>
          </w:p>
          <w:p w14:paraId="7B35DBB6" w14:textId="61093A78" w:rsidR="00532249" w:rsidRPr="006D3E70" w:rsidRDefault="00532249" w:rsidP="009B33DD">
            <w:pPr>
              <w:pStyle w:val="Tablelegend"/>
              <w:tabs>
                <w:tab w:val="clear" w:pos="284"/>
                <w:tab w:val="left" w:pos="736"/>
              </w:tabs>
              <w:ind w:left="452" w:hanging="537"/>
              <w:rPr>
                <w:lang w:val="fr-FR"/>
              </w:rPr>
            </w:pPr>
            <w:r w:rsidRPr="006D3E70">
              <w:rPr>
                <w:i/>
                <w:iCs/>
                <w:lang w:val="fr-FR"/>
              </w:rPr>
              <w:t>PEP</w:t>
            </w:r>
            <w:r w:rsidRPr="006D3E70">
              <w:rPr>
                <w:lang w:val="fr-FR"/>
              </w:rPr>
              <w:t>:</w:t>
            </w:r>
            <w:r w:rsidRPr="006D3E70">
              <w:rPr>
                <w:lang w:val="fr-FR"/>
              </w:rPr>
              <w:tab/>
              <w:t>puissance d</w:t>
            </w:r>
            <w:r w:rsidR="00324C7C" w:rsidRPr="006D3E70">
              <w:rPr>
                <w:lang w:val="fr-FR"/>
              </w:rPr>
              <w:t>'</w:t>
            </w:r>
            <w:r w:rsidRPr="006D3E70">
              <w:rPr>
                <w:lang w:val="fr-FR"/>
              </w:rPr>
              <w:t>enveloppe de crête (W) fournie à la ligne de transmission de l</w:t>
            </w:r>
            <w:r w:rsidR="00324C7C" w:rsidRPr="006D3E70">
              <w:rPr>
                <w:lang w:val="fr-FR"/>
              </w:rPr>
              <w:t>'</w:t>
            </w:r>
            <w:r w:rsidRPr="006D3E70">
              <w:rPr>
                <w:lang w:val="fr-FR"/>
              </w:rPr>
              <w:t>antenne, conformément au numéro </w:t>
            </w:r>
            <w:r w:rsidRPr="006D3E70">
              <w:rPr>
                <w:b/>
                <w:bCs/>
                <w:lang w:val="fr-FR"/>
              </w:rPr>
              <w:t>1.157</w:t>
            </w:r>
            <w:r w:rsidRPr="006D3E70">
              <w:rPr>
                <w:lang w:val="fr-FR"/>
              </w:rPr>
              <w:t xml:space="preserve"> du RR.</w:t>
            </w:r>
          </w:p>
          <w:p w14:paraId="5C3AC7C2" w14:textId="3EA973DA" w:rsidR="00532249" w:rsidRPr="006D3E70" w:rsidRDefault="00532249" w:rsidP="009B33DD">
            <w:pPr>
              <w:pStyle w:val="Tablelegend"/>
              <w:tabs>
                <w:tab w:val="clear" w:pos="284"/>
                <w:tab w:val="left" w:pos="736"/>
              </w:tabs>
              <w:ind w:left="452" w:hanging="537"/>
              <w:rPr>
                <w:lang w:val="fr-FR"/>
              </w:rPr>
            </w:pPr>
            <w:r w:rsidRPr="006D3E70">
              <w:rPr>
                <w:lang w:val="fr-FR"/>
              </w:rPr>
              <w:tab/>
              <w:t xml:space="preserve">Lorsque le terme </w:t>
            </w:r>
            <w:r w:rsidRPr="006D3E70">
              <w:rPr>
                <w:i/>
                <w:iCs/>
                <w:lang w:val="fr-FR"/>
              </w:rPr>
              <w:t>P</w:t>
            </w:r>
            <w:r w:rsidRPr="006D3E70">
              <w:rPr>
                <w:lang w:val="fr-FR"/>
              </w:rPr>
              <w:t xml:space="preserve"> est utilisé, il convient d</w:t>
            </w:r>
            <w:r w:rsidR="00324C7C" w:rsidRPr="006D3E70">
              <w:rPr>
                <w:lang w:val="fr-FR"/>
              </w:rPr>
              <w:t>'</w:t>
            </w:r>
            <w:r w:rsidRPr="006D3E70">
              <w:rPr>
                <w:lang w:val="fr-FR"/>
              </w:rPr>
              <w:t>évaluer la puissance fournie à la ligne de transmission de l</w:t>
            </w:r>
            <w:r w:rsidR="00324C7C" w:rsidRPr="006D3E70">
              <w:rPr>
                <w:lang w:val="fr-FR"/>
              </w:rPr>
              <w:t>'</w:t>
            </w:r>
            <w:r w:rsidRPr="006D3E70">
              <w:rPr>
                <w:lang w:val="fr-FR"/>
              </w:rPr>
              <w:t>antenne et les rayonnements dans le domaine des rayonnements non essentiels respectivement en termes de puissance moyenne et de puissance moyenne dans la largeur de bande de référence. Lorsque le terme PEP est utilisé, il convient d</w:t>
            </w:r>
            <w:r w:rsidR="00324C7C" w:rsidRPr="006D3E70">
              <w:rPr>
                <w:lang w:val="fr-FR"/>
              </w:rPr>
              <w:t>'</w:t>
            </w:r>
            <w:r w:rsidRPr="006D3E70">
              <w:rPr>
                <w:lang w:val="fr-FR"/>
              </w:rPr>
              <w:t>évaluer la puissance fournie à la ligne de transmission de l</w:t>
            </w:r>
            <w:r w:rsidR="00324C7C" w:rsidRPr="006D3E70">
              <w:rPr>
                <w:lang w:val="fr-FR"/>
              </w:rPr>
              <w:t>'</w:t>
            </w:r>
            <w:r w:rsidRPr="006D3E70">
              <w:rPr>
                <w:lang w:val="fr-FR"/>
              </w:rPr>
              <w:t>antenne et les rayonnements dans le domaine des rayonnements non essentiels respectivement en termes de puissance d</w:t>
            </w:r>
            <w:r w:rsidR="00324C7C" w:rsidRPr="006D3E70">
              <w:rPr>
                <w:lang w:val="fr-FR"/>
              </w:rPr>
              <w:t>'</w:t>
            </w:r>
            <w:r w:rsidRPr="006D3E70">
              <w:rPr>
                <w:lang w:val="fr-FR"/>
              </w:rPr>
              <w:t>enveloppe de crête et de puissance d</w:t>
            </w:r>
            <w:r w:rsidR="00324C7C" w:rsidRPr="006D3E70">
              <w:rPr>
                <w:lang w:val="fr-FR"/>
              </w:rPr>
              <w:t>'</w:t>
            </w:r>
            <w:r w:rsidRPr="006D3E70">
              <w:rPr>
                <w:lang w:val="fr-FR"/>
              </w:rPr>
              <w:t>enveloppe de crête dans la largeur de bande de référence. Cependant, lorsqu</w:t>
            </w:r>
            <w:r w:rsidR="00324C7C" w:rsidRPr="006D3E70">
              <w:rPr>
                <w:lang w:val="fr-FR"/>
              </w:rPr>
              <w:t>'</w:t>
            </w:r>
            <w:r w:rsidRPr="006D3E70">
              <w:rPr>
                <w:lang w:val="fr-FR"/>
              </w:rPr>
              <w:t>il est difficile de mesurer les rayonnements dans le domaine des rayonnements non essentiels en termes de PEP en raison de la nature même de ces rayonnements (bruit gaussien par exemple) on peut évaluer la puissance fournie à la ligne de transmission de l</w:t>
            </w:r>
            <w:r w:rsidR="00324C7C" w:rsidRPr="006D3E70">
              <w:rPr>
                <w:lang w:val="fr-FR"/>
              </w:rPr>
              <w:t>'</w:t>
            </w:r>
            <w:r w:rsidRPr="006D3E70">
              <w:rPr>
                <w:lang w:val="fr-FR"/>
              </w:rPr>
              <w:t>antenne et les rayonnements dans le domaine des rayonnements non essentiels en termes de puissance moyenne (voir l</w:t>
            </w:r>
            <w:r w:rsidR="00324C7C" w:rsidRPr="006D3E70">
              <w:rPr>
                <w:lang w:val="fr-FR"/>
              </w:rPr>
              <w:t>'</w:t>
            </w:r>
            <w:r w:rsidRPr="006D3E70">
              <w:rPr>
                <w:lang w:val="fr-FR"/>
              </w:rPr>
              <w:t>Annexe 2).</w:t>
            </w:r>
          </w:p>
          <w:p w14:paraId="560E3405" w14:textId="4601BBAD" w:rsidR="00532249" w:rsidRPr="006D3E70" w:rsidRDefault="00532249" w:rsidP="009B33DD">
            <w:pPr>
              <w:pStyle w:val="Tablelegend"/>
              <w:tabs>
                <w:tab w:val="clear" w:pos="284"/>
                <w:tab w:val="left" w:pos="736"/>
              </w:tabs>
              <w:ind w:left="452" w:hanging="537"/>
              <w:rPr>
                <w:lang w:val="fr-FR"/>
              </w:rPr>
            </w:pPr>
            <w:r w:rsidRPr="006D3E70">
              <w:rPr>
                <w:lang w:val="fr-FR"/>
              </w:rPr>
              <w:t>dBc:</w:t>
            </w:r>
            <w:r w:rsidRPr="006D3E70">
              <w:rPr>
                <w:lang w:val="fr-FR"/>
              </w:rPr>
              <w:tab/>
              <w:t>décibels par rapport à la puissance de la porteuse non modulée de l</w:t>
            </w:r>
            <w:r w:rsidR="00324C7C" w:rsidRPr="006D3E70">
              <w:rPr>
                <w:lang w:val="fr-FR"/>
              </w:rPr>
              <w:t>'</w:t>
            </w:r>
            <w:r w:rsidRPr="006D3E70">
              <w:rPr>
                <w:lang w:val="fr-FR"/>
              </w:rPr>
              <w:t>émission. En l</w:t>
            </w:r>
            <w:r w:rsidR="00324C7C" w:rsidRPr="006D3E70">
              <w:rPr>
                <w:lang w:val="fr-FR"/>
              </w:rPr>
              <w:t>'</w:t>
            </w:r>
            <w:r w:rsidRPr="006D3E70">
              <w:rPr>
                <w:lang w:val="fr-FR"/>
              </w:rPr>
              <w:t>absence de porteuse, par exemple pour certains schémas de modulation numérique dans lesquels la porteuse est inaccessible aux mesures, le niveau de référence équivalent aux dBc s</w:t>
            </w:r>
            <w:r w:rsidR="00324C7C" w:rsidRPr="006D3E70">
              <w:rPr>
                <w:lang w:val="fr-FR"/>
              </w:rPr>
              <w:t>'</w:t>
            </w:r>
            <w:r w:rsidRPr="006D3E70">
              <w:rPr>
                <w:lang w:val="fr-FR"/>
              </w:rPr>
              <w:t>exprime en décibels par rapport à la puissance moyenne </w:t>
            </w:r>
            <w:r w:rsidRPr="006D3E70">
              <w:rPr>
                <w:i/>
                <w:iCs/>
                <w:lang w:val="fr-FR"/>
              </w:rPr>
              <w:t>P</w:t>
            </w:r>
            <w:r w:rsidRPr="006D3E70">
              <w:rPr>
                <w:lang w:val="fr-FR"/>
              </w:rPr>
              <w:t>.</w:t>
            </w:r>
          </w:p>
          <w:p w14:paraId="79EE75C9" w14:textId="7AD2CC36" w:rsidR="00532249" w:rsidRPr="006D3E70" w:rsidRDefault="00532249" w:rsidP="009B33DD">
            <w:pPr>
              <w:pStyle w:val="Tablelegend"/>
              <w:tabs>
                <w:tab w:val="clear" w:pos="284"/>
                <w:tab w:val="left" w:pos="709"/>
              </w:tabs>
              <w:ind w:left="567" w:hanging="652"/>
              <w:rPr>
                <w:lang w:val="fr-FR"/>
              </w:rPr>
            </w:pPr>
            <w:r w:rsidRPr="006D3E70">
              <w:rPr>
                <w:vertAlign w:val="superscript"/>
                <w:lang w:val="fr-FR"/>
              </w:rPr>
              <w:t>(1)</w:t>
            </w:r>
            <w:r w:rsidRPr="006D3E70">
              <w:rPr>
                <w:lang w:val="fr-FR"/>
              </w:rPr>
              <w:tab/>
              <w:t>Dans certains cas de modulation numérique et d</w:t>
            </w:r>
            <w:r w:rsidR="00324C7C" w:rsidRPr="006D3E70">
              <w:rPr>
                <w:lang w:val="fr-FR"/>
              </w:rPr>
              <w:t>'</w:t>
            </w:r>
            <w:r w:rsidRPr="006D3E70">
              <w:rPr>
                <w:lang w:val="fr-FR"/>
              </w:rPr>
              <w:t xml:space="preserve">émetteurs à bande étroite et à grande puissance pour toutes les catégories de service, il peut être difficile de respecter les limites fixées à </w:t>
            </w:r>
            <w:r w:rsidRPr="006D3E70">
              <w:rPr>
                <w:lang w:val="fr-FR"/>
              </w:rPr>
              <w:sym w:font="Symbol" w:char="F0B1"/>
            </w:r>
            <w:r w:rsidRPr="006D3E70">
              <w:rPr>
                <w:lang w:val="fr-FR"/>
              </w:rPr>
              <w:t>250% de la largeur de bande nécessaire.</w:t>
            </w:r>
          </w:p>
          <w:p w14:paraId="4C299548" w14:textId="22690D97" w:rsidR="00532249" w:rsidRPr="006D3E70" w:rsidRDefault="00532249" w:rsidP="009B33DD">
            <w:pPr>
              <w:pStyle w:val="Tablelegend"/>
              <w:tabs>
                <w:tab w:val="clear" w:pos="284"/>
                <w:tab w:val="left" w:pos="709"/>
              </w:tabs>
              <w:ind w:left="567" w:hanging="652"/>
              <w:rPr>
                <w:lang w:val="fr-FR"/>
              </w:rPr>
            </w:pPr>
            <w:r w:rsidRPr="006D3E70">
              <w:rPr>
                <w:vertAlign w:val="superscript"/>
                <w:lang w:val="fr-FR"/>
              </w:rPr>
              <w:t>(2)</w:t>
            </w:r>
            <w:r w:rsidRPr="006D3E70">
              <w:rPr>
                <w:lang w:val="fr-FR"/>
              </w:rPr>
              <w:tab/>
              <w:t>On utilisera la méthode de la p.i.r.e. présentée au § 3.3 de l</w:t>
            </w:r>
            <w:r w:rsidR="00324C7C" w:rsidRPr="006D3E70">
              <w:rPr>
                <w:lang w:val="fr-FR"/>
              </w:rPr>
              <w:t>'</w:t>
            </w:r>
            <w:r w:rsidRPr="006D3E70">
              <w:rPr>
                <w:lang w:val="fr-FR"/>
              </w:rPr>
              <w:t>Annexe 2 lorsqu</w:t>
            </w:r>
            <w:r w:rsidR="00324C7C" w:rsidRPr="006D3E70">
              <w:rPr>
                <w:lang w:val="fr-FR"/>
              </w:rPr>
              <w:t>'</w:t>
            </w:r>
            <w:r w:rsidRPr="006D3E70">
              <w:rPr>
                <w:lang w:val="fr-FR"/>
              </w:rPr>
              <w:t>il n</w:t>
            </w:r>
            <w:r w:rsidR="00324C7C" w:rsidRPr="006D3E70">
              <w:rPr>
                <w:lang w:val="fr-FR"/>
              </w:rPr>
              <w:t>'</w:t>
            </w:r>
            <w:r w:rsidRPr="006D3E70">
              <w:rPr>
                <w:lang w:val="fr-FR"/>
              </w:rPr>
              <w:t>est pas facile d</w:t>
            </w:r>
            <w:r w:rsidR="00324C7C" w:rsidRPr="006D3E70">
              <w:rPr>
                <w:lang w:val="fr-FR"/>
              </w:rPr>
              <w:t>'</w:t>
            </w:r>
            <w:r w:rsidRPr="006D3E70">
              <w:rPr>
                <w:lang w:val="fr-FR"/>
              </w:rPr>
              <w:t>avoir accès au connecteur reliant l</w:t>
            </w:r>
            <w:r w:rsidR="00324C7C" w:rsidRPr="006D3E70">
              <w:rPr>
                <w:lang w:val="fr-FR"/>
              </w:rPr>
              <w:t>'</w:t>
            </w:r>
            <w:r w:rsidRPr="006D3E70">
              <w:rPr>
                <w:lang w:val="fr-FR"/>
              </w:rPr>
              <w:t>émetteur à la ligne de transmission de l</w:t>
            </w:r>
            <w:r w:rsidR="00324C7C" w:rsidRPr="006D3E70">
              <w:rPr>
                <w:lang w:val="fr-FR"/>
              </w:rPr>
              <w:t>'</w:t>
            </w:r>
            <w:r w:rsidRPr="006D3E70">
              <w:rPr>
                <w:lang w:val="fr-FR"/>
              </w:rPr>
              <w:t>antenne.</w:t>
            </w:r>
          </w:p>
          <w:p w14:paraId="7250CF55" w14:textId="77777777" w:rsidR="00532249" w:rsidRPr="006D3E70" w:rsidRDefault="00532249" w:rsidP="009B33DD">
            <w:pPr>
              <w:pStyle w:val="Tablelegend"/>
              <w:tabs>
                <w:tab w:val="clear" w:pos="284"/>
                <w:tab w:val="left" w:pos="709"/>
              </w:tabs>
              <w:ind w:left="567" w:hanging="652"/>
              <w:rPr>
                <w:lang w:val="fr-FR"/>
              </w:rPr>
            </w:pPr>
            <w:r w:rsidRPr="006D3E70">
              <w:rPr>
                <w:vertAlign w:val="superscript"/>
                <w:lang w:val="fr-FR"/>
              </w:rPr>
              <w:t>(3)</w:t>
            </w:r>
            <w:r w:rsidRPr="006D3E70">
              <w:rPr>
                <w:lang w:val="fr-FR"/>
              </w:rPr>
              <w:tab/>
              <w:t>Les limites des rayonnements dans le domaine des rayonnements non essentiels pour tous les services spatiaux sont indiquées dans une largeur de bande de référence de 4 kHz.</w:t>
            </w:r>
          </w:p>
          <w:p w14:paraId="212EEA77" w14:textId="19D6A817" w:rsidR="00532249" w:rsidRPr="006D3E70" w:rsidRDefault="00532249" w:rsidP="009B33DD">
            <w:pPr>
              <w:pStyle w:val="Tablelegend"/>
              <w:tabs>
                <w:tab w:val="clear" w:pos="284"/>
                <w:tab w:val="clear" w:pos="567"/>
                <w:tab w:val="left" w:pos="600"/>
              </w:tabs>
              <w:ind w:left="600" w:hanging="709"/>
              <w:rPr>
                <w:lang w:val="fr-FR"/>
              </w:rPr>
            </w:pPr>
            <w:r w:rsidRPr="006D3E70">
              <w:rPr>
                <w:vertAlign w:val="superscript"/>
                <w:lang w:val="fr-FR"/>
              </w:rPr>
              <w:t>(4)</w:t>
            </w:r>
            <w:r w:rsidRPr="006D3E70">
              <w:rPr>
                <w:lang w:val="fr-FR"/>
              </w:rPr>
              <w:tab/>
              <w:t>Les stations terriennes du service d</w:t>
            </w:r>
            <w:r w:rsidR="00324C7C" w:rsidRPr="006D3E70">
              <w:rPr>
                <w:lang w:val="fr-FR"/>
              </w:rPr>
              <w:t>'</w:t>
            </w:r>
            <w:r w:rsidRPr="006D3E70">
              <w:rPr>
                <w:lang w:val="fr-FR"/>
              </w:rPr>
              <w:t>amateur par satellite fonctionnant au-dessous de 30 MHz sont dans la catégorie de service «services d</w:t>
            </w:r>
            <w:r w:rsidR="00324C7C" w:rsidRPr="006D3E70">
              <w:rPr>
                <w:lang w:val="fr-FR"/>
              </w:rPr>
              <w:t>'</w:t>
            </w:r>
            <w:r w:rsidRPr="006D3E70">
              <w:rPr>
                <w:lang w:val="fr-FR"/>
              </w:rPr>
              <w:t>amateur exploités au-dessous de 30 MHz (y compris avec BLU)».</w:t>
            </w:r>
          </w:p>
        </w:tc>
      </w:tr>
    </w:tbl>
    <w:p w14:paraId="0D9BD4CE" w14:textId="77777777" w:rsidR="00532249" w:rsidRPr="006D3E70" w:rsidRDefault="00532249" w:rsidP="00D00A57">
      <w:pPr>
        <w:pStyle w:val="Tablelegend"/>
        <w:keepNext/>
        <w:keepLines/>
        <w:tabs>
          <w:tab w:val="clear" w:pos="284"/>
          <w:tab w:val="left" w:pos="709"/>
        </w:tabs>
        <w:ind w:left="567" w:hanging="652"/>
        <w:rPr>
          <w:lang w:val="fr-FR"/>
        </w:rPr>
      </w:pPr>
      <w:r w:rsidRPr="006D3E70">
        <w:rPr>
          <w:i/>
          <w:iCs/>
          <w:lang w:val="fr-FR"/>
        </w:rPr>
        <w:lastRenderedPageBreak/>
        <w:t>Notes relatives au Tableau 2 (fin):</w:t>
      </w:r>
    </w:p>
    <w:p w14:paraId="2E3FAA2B" w14:textId="7318C385" w:rsidR="00532249" w:rsidRPr="006D3E70" w:rsidRDefault="00532249" w:rsidP="00D00A57">
      <w:pPr>
        <w:pStyle w:val="Tablelegend"/>
        <w:keepNext/>
        <w:keepLines/>
        <w:tabs>
          <w:tab w:val="clear" w:pos="284"/>
          <w:tab w:val="left" w:pos="709"/>
        </w:tabs>
        <w:ind w:left="567" w:hanging="652"/>
        <w:rPr>
          <w:lang w:val="fr-FR"/>
        </w:rPr>
      </w:pPr>
      <w:r w:rsidRPr="006D3E70">
        <w:rPr>
          <w:vertAlign w:val="superscript"/>
          <w:lang w:val="fr-FR"/>
        </w:rPr>
        <w:t>(5)</w:t>
      </w:r>
      <w:r w:rsidRPr="006D3E70">
        <w:rPr>
          <w:lang w:val="fr-FR"/>
        </w:rPr>
        <w:tab/>
        <w:t>Dans le cas d</w:t>
      </w:r>
      <w:r w:rsidR="00324C7C" w:rsidRPr="006D3E70">
        <w:rPr>
          <w:lang w:val="fr-FR"/>
        </w:rPr>
        <w:t>'</w:t>
      </w:r>
      <w:r w:rsidRPr="006D3E70">
        <w:rPr>
          <w:lang w:val="fr-FR"/>
        </w:rPr>
        <w:t>un satellite fonctionnant avec plus d</w:t>
      </w:r>
      <w:r w:rsidR="00324C7C" w:rsidRPr="006D3E70">
        <w:rPr>
          <w:lang w:val="fr-FR"/>
        </w:rPr>
        <w:t>'</w:t>
      </w:r>
      <w:r w:rsidRPr="006D3E70">
        <w:rPr>
          <w:lang w:val="fr-FR"/>
        </w:rPr>
        <w:t>un répéteur dans la même zone de service, et si l</w:t>
      </w:r>
      <w:r w:rsidR="00324C7C" w:rsidRPr="006D3E70">
        <w:rPr>
          <w:lang w:val="fr-FR"/>
        </w:rPr>
        <w:t>'</w:t>
      </w:r>
      <w:r w:rsidRPr="006D3E70">
        <w:rPr>
          <w:lang w:val="fr-FR"/>
        </w:rPr>
        <w:t>on considère les limites des rayonnements dans le domaine des rayonnements non essentiels indiquées dans le Tableau 2, les rayonnements dans le domaine des rayonnements non essentiels d</w:t>
      </w:r>
      <w:r w:rsidR="00324C7C" w:rsidRPr="006D3E70">
        <w:rPr>
          <w:lang w:val="fr-FR"/>
        </w:rPr>
        <w:t>'</w:t>
      </w:r>
      <w:r w:rsidRPr="006D3E70">
        <w:rPr>
          <w:lang w:val="fr-FR"/>
        </w:rPr>
        <w:t>un répéteur peuvent tomber sur une fréquence à laquelle émet un deuxième répéteur, associé. Dans ces cas, le niveau des rayonnements dans le domaine des rayonnements non essentiels provenant du premier répéteur est largement dépassé par les émissions fondamentales ou par les émissions dans le domaine des émissions hors bande du deuxième répéteur. Par conséquent, les limites ne devraient pas s</w:t>
      </w:r>
      <w:r w:rsidR="00324C7C" w:rsidRPr="006D3E70">
        <w:rPr>
          <w:lang w:val="fr-FR"/>
        </w:rPr>
        <w:t>'</w:t>
      </w:r>
      <w:r w:rsidRPr="006D3E70">
        <w:rPr>
          <w:lang w:val="fr-FR"/>
        </w:rPr>
        <w:t>appliquer aux rayonnements dans le domaine des rayonnements non essentiels d</w:t>
      </w:r>
      <w:r w:rsidR="00324C7C" w:rsidRPr="006D3E70">
        <w:rPr>
          <w:lang w:val="fr-FR"/>
        </w:rPr>
        <w:t>'</w:t>
      </w:r>
      <w:r w:rsidRPr="006D3E70">
        <w:rPr>
          <w:lang w:val="fr-FR"/>
        </w:rPr>
        <w:t>un satellite qui tombent soit dans la largeur de bande nécessaire soit dans le domaine des émissions hors bande d</w:t>
      </w:r>
      <w:r w:rsidR="00324C7C" w:rsidRPr="006D3E70">
        <w:rPr>
          <w:lang w:val="fr-FR"/>
        </w:rPr>
        <w:t>'</w:t>
      </w:r>
      <w:r w:rsidRPr="006D3E70">
        <w:rPr>
          <w:lang w:val="fr-FR"/>
        </w:rPr>
        <w:t>un autre répéteur sur le même satellite, dans la même zone de service (voir l</w:t>
      </w:r>
      <w:r w:rsidR="00324C7C" w:rsidRPr="006D3E70">
        <w:rPr>
          <w:lang w:val="fr-FR"/>
        </w:rPr>
        <w:t>'</w:t>
      </w:r>
      <w:r w:rsidRPr="006D3E70">
        <w:rPr>
          <w:lang w:val="fr-FR"/>
        </w:rPr>
        <w:t>Appendice </w:t>
      </w:r>
      <w:r w:rsidRPr="006D3E70">
        <w:rPr>
          <w:b/>
          <w:bCs/>
          <w:lang w:val="fr-FR"/>
        </w:rPr>
        <w:t>3</w:t>
      </w:r>
      <w:r w:rsidRPr="006D3E70">
        <w:rPr>
          <w:lang w:val="fr-FR"/>
        </w:rPr>
        <w:t xml:space="preserve"> du RR).</w:t>
      </w:r>
    </w:p>
    <w:p w14:paraId="5B700A76" w14:textId="7C045A5F" w:rsidR="00532249" w:rsidRPr="006D3E70" w:rsidRDefault="00532249" w:rsidP="00532249">
      <w:pPr>
        <w:pStyle w:val="Tablelegend"/>
        <w:tabs>
          <w:tab w:val="clear" w:pos="284"/>
          <w:tab w:val="left" w:pos="709"/>
        </w:tabs>
        <w:ind w:left="567" w:hanging="652"/>
        <w:rPr>
          <w:lang w:val="fr-FR"/>
        </w:rPr>
      </w:pPr>
      <w:r w:rsidRPr="006D3E70">
        <w:rPr>
          <w:vertAlign w:val="superscript"/>
          <w:lang w:val="fr-FR"/>
        </w:rPr>
        <w:t>(6)</w:t>
      </w:r>
      <w:r w:rsidRPr="006D3E70">
        <w:rPr>
          <w:lang w:val="fr-FR"/>
        </w:rPr>
        <w:tab/>
        <w:t>Les stations spatiales du service de recherche spatiale destinées à fonctionner dans l</w:t>
      </w:r>
      <w:r w:rsidR="00324C7C" w:rsidRPr="006D3E70">
        <w:rPr>
          <w:lang w:val="fr-FR"/>
        </w:rPr>
        <w:t>'</w:t>
      </w:r>
      <w:r w:rsidRPr="006D3E70">
        <w:rPr>
          <w:lang w:val="fr-FR"/>
        </w:rPr>
        <w:t xml:space="preserve">espace lointain (au sens du numéro </w:t>
      </w:r>
      <w:r w:rsidRPr="006D3E70">
        <w:rPr>
          <w:b/>
          <w:bCs/>
          <w:lang w:val="fr-FR"/>
        </w:rPr>
        <w:t>1.177</w:t>
      </w:r>
      <w:r w:rsidRPr="006D3E70">
        <w:rPr>
          <w:lang w:val="fr-FR"/>
        </w:rPr>
        <w:t xml:space="preserve"> du RR) ne sont pas assujetties aux limites des rayonnements dans le domaine des rayonnements non essentiels.</w:t>
      </w:r>
    </w:p>
    <w:p w14:paraId="744E3EB6" w14:textId="05D9773E" w:rsidR="00532249" w:rsidRPr="006D3E70" w:rsidRDefault="00532249" w:rsidP="00532249">
      <w:pPr>
        <w:pStyle w:val="Tablelegend"/>
        <w:tabs>
          <w:tab w:val="clear" w:pos="284"/>
          <w:tab w:val="left" w:pos="709"/>
        </w:tabs>
        <w:ind w:left="567" w:hanging="652"/>
        <w:rPr>
          <w:lang w:val="fr-FR"/>
        </w:rPr>
      </w:pPr>
      <w:r w:rsidRPr="006D3E70">
        <w:rPr>
          <w:vertAlign w:val="superscript"/>
          <w:lang w:val="fr-FR"/>
        </w:rPr>
        <w:t>(7)</w:t>
      </w:r>
      <w:r w:rsidRPr="006D3E70">
        <w:rPr>
          <w:lang w:val="fr-FR"/>
        </w:rPr>
        <w:tab/>
        <w:t>L</w:t>
      </w:r>
      <w:r w:rsidR="00324C7C" w:rsidRPr="006D3E70">
        <w:rPr>
          <w:lang w:val="fr-FR"/>
        </w:rPr>
        <w:t>'</w:t>
      </w:r>
      <w:r w:rsidRPr="006D3E70">
        <w:rPr>
          <w:lang w:val="fr-FR"/>
        </w:rPr>
        <w:t xml:space="preserve">affaiblissement (dB) des rayonnements dans le domaine des rayonnements non essentiels des systèmes de radiorepérage (radars au sens du numéro </w:t>
      </w:r>
      <w:r w:rsidRPr="006D3E70">
        <w:rPr>
          <w:b/>
          <w:bCs/>
          <w:lang w:val="fr-FR"/>
        </w:rPr>
        <w:t>1.100</w:t>
      </w:r>
      <w:r w:rsidRPr="006D3E70">
        <w:rPr>
          <w:lang w:val="fr-FR"/>
        </w:rPr>
        <w:t xml:space="preserve"> du RR) doit être déterminé pour des niveaux d</w:t>
      </w:r>
      <w:r w:rsidR="00324C7C" w:rsidRPr="006D3E70">
        <w:rPr>
          <w:lang w:val="fr-FR"/>
        </w:rPr>
        <w:t>'</w:t>
      </w:r>
      <w:r w:rsidRPr="006D3E70">
        <w:rPr>
          <w:lang w:val="fr-FR"/>
        </w:rPr>
        <w:t>émission rayonnés et non à la ligne d</w:t>
      </w:r>
      <w:r w:rsidR="00324C7C" w:rsidRPr="006D3E70">
        <w:rPr>
          <w:lang w:val="fr-FR"/>
        </w:rPr>
        <w:t>'</w:t>
      </w:r>
      <w:r w:rsidRPr="006D3E70">
        <w:rPr>
          <w:lang w:val="fr-FR"/>
        </w:rPr>
        <w:t>alimentation de l</w:t>
      </w:r>
      <w:r w:rsidR="00324C7C" w:rsidRPr="006D3E70">
        <w:rPr>
          <w:lang w:val="fr-FR"/>
        </w:rPr>
        <w:t>'</w:t>
      </w:r>
      <w:r w:rsidRPr="006D3E70">
        <w:rPr>
          <w:lang w:val="fr-FR"/>
        </w:rPr>
        <w:t>antenne. La méthode de mesure des niveaux des rayonnements dans le domaine des rayonnements non essentiels des radars devrait s</w:t>
      </w:r>
      <w:r w:rsidR="00324C7C" w:rsidRPr="006D3E70">
        <w:rPr>
          <w:lang w:val="fr-FR"/>
        </w:rPr>
        <w:t>'</w:t>
      </w:r>
      <w:r w:rsidRPr="006D3E70">
        <w:rPr>
          <w:lang w:val="fr-FR"/>
        </w:rPr>
        <w:t>inspirer de la Recommandation UIT</w:t>
      </w:r>
      <w:r w:rsidRPr="006D3E70">
        <w:rPr>
          <w:lang w:val="fr-FR"/>
        </w:rPr>
        <w:noBreakHyphen/>
        <w:t>R M.1177.</w:t>
      </w:r>
    </w:p>
    <w:p w14:paraId="78C8B0E5" w14:textId="234C0731" w:rsidR="00532249" w:rsidRPr="006D3E70" w:rsidRDefault="00532249" w:rsidP="00532249">
      <w:pPr>
        <w:pStyle w:val="Tablelegend"/>
        <w:tabs>
          <w:tab w:val="clear" w:pos="284"/>
          <w:tab w:val="left" w:pos="709"/>
        </w:tabs>
        <w:ind w:left="567" w:hanging="652"/>
        <w:rPr>
          <w:lang w:val="fr-FR"/>
        </w:rPr>
      </w:pPr>
      <w:r w:rsidRPr="006D3E70">
        <w:rPr>
          <w:vertAlign w:val="superscript"/>
          <w:lang w:val="fr-FR"/>
        </w:rPr>
        <w:t>(8)</w:t>
      </w:r>
      <w:r w:rsidRPr="006D3E70">
        <w:rPr>
          <w:lang w:val="fr-FR"/>
        </w:rPr>
        <w:tab/>
        <w:t>Pour les émissions de télévision analogique, le niveau de puissance moyenne est défini avec une modulation du signal vidéo particulière, ce signal doit être choisi de façon à ce que le niveau maximal de la puissance moyenne (par exemple, au niveau de suppression du signal vidéo pour les systèmes de télévision à modulation négative) soit fourni à la ligne de transmission de l</w:t>
      </w:r>
      <w:r w:rsidR="00324C7C" w:rsidRPr="006D3E70">
        <w:rPr>
          <w:lang w:val="fr-FR"/>
        </w:rPr>
        <w:t>'</w:t>
      </w:r>
      <w:r w:rsidRPr="006D3E70">
        <w:rPr>
          <w:lang w:val="fr-FR"/>
        </w:rPr>
        <w:t>antenne.</w:t>
      </w:r>
    </w:p>
    <w:p w14:paraId="463726DE" w14:textId="7E452ECA" w:rsidR="00532249" w:rsidRPr="006D3E70" w:rsidRDefault="00532249" w:rsidP="00532249">
      <w:pPr>
        <w:pStyle w:val="Tablelegend"/>
        <w:tabs>
          <w:tab w:val="clear" w:pos="284"/>
          <w:tab w:val="left" w:pos="709"/>
        </w:tabs>
        <w:ind w:left="567" w:hanging="652"/>
        <w:rPr>
          <w:lang w:val="fr-FR"/>
        </w:rPr>
      </w:pPr>
      <w:r w:rsidRPr="006D3E70">
        <w:rPr>
          <w:vertAlign w:val="superscript"/>
          <w:lang w:val="fr-FR"/>
        </w:rPr>
        <w:t>(9)</w:t>
      </w:r>
      <w:r w:rsidRPr="006D3E70">
        <w:rPr>
          <w:lang w:val="fr-FR"/>
        </w:rPr>
        <w:tab/>
        <w:t>Toutes les classes d</w:t>
      </w:r>
      <w:r w:rsidR="00324C7C" w:rsidRPr="006D3E70">
        <w:rPr>
          <w:lang w:val="fr-FR"/>
        </w:rPr>
        <w:t>'</w:t>
      </w:r>
      <w:r w:rsidRPr="006D3E70">
        <w:rPr>
          <w:lang w:val="fr-FR"/>
        </w:rPr>
        <w:t>émission utilisant la BLU sont incluses dans la catégorie «BLU».</w:t>
      </w:r>
    </w:p>
    <w:p w14:paraId="4CDAFF38" w14:textId="77777777" w:rsidR="00532249" w:rsidRPr="006D3E70" w:rsidRDefault="00532249" w:rsidP="00532249">
      <w:pPr>
        <w:pStyle w:val="Tablelegend"/>
        <w:tabs>
          <w:tab w:val="clear" w:pos="284"/>
          <w:tab w:val="left" w:pos="709"/>
        </w:tabs>
        <w:ind w:left="567" w:hanging="652"/>
        <w:rPr>
          <w:lang w:val="fr-FR"/>
        </w:rPr>
      </w:pPr>
      <w:r w:rsidRPr="006D3E70">
        <w:rPr>
          <w:vertAlign w:val="superscript"/>
          <w:lang w:val="fr-FR"/>
        </w:rPr>
        <w:t>(10)</w:t>
      </w:r>
      <w:r w:rsidRPr="006D3E70">
        <w:rPr>
          <w:lang w:val="fr-FR"/>
        </w:rPr>
        <w:tab/>
        <w:t>Dispositif radioélectrique de faible puissance ayant une puissance maximale en sortie inférieure à 100 mW et destiné aux communications de courtes distances ou des fins de commande. (Ces dispositifs ne sont en général pas soumis à des licences individuelles.)</w:t>
      </w:r>
    </w:p>
    <w:p w14:paraId="087DE8C1" w14:textId="77777777" w:rsidR="00532249" w:rsidRPr="006D3E70" w:rsidRDefault="00532249" w:rsidP="00532249">
      <w:pPr>
        <w:pStyle w:val="Heading2"/>
        <w:rPr>
          <w:rFonts w:eastAsia="Arial Unicode MS"/>
          <w:lang w:val="fr-FR"/>
        </w:rPr>
      </w:pPr>
      <w:r w:rsidRPr="006D3E70">
        <w:rPr>
          <w:lang w:val="fr-FR"/>
        </w:rPr>
        <w:t>4.3</w:t>
      </w:r>
      <w:r w:rsidRPr="006D3E70">
        <w:rPr>
          <w:lang w:val="fr-FR"/>
        </w:rPr>
        <w:tab/>
        <w:t>Limites de la catégorie B</w:t>
      </w:r>
    </w:p>
    <w:p w14:paraId="6156ECAF" w14:textId="087C40EE" w:rsidR="00532249" w:rsidRPr="006D3E70" w:rsidRDefault="00532249" w:rsidP="00532249">
      <w:pPr>
        <w:rPr>
          <w:lang w:val="fr-FR"/>
        </w:rPr>
      </w:pPr>
      <w:r w:rsidRPr="006D3E70">
        <w:rPr>
          <w:lang w:val="fr-FR"/>
        </w:rPr>
        <w:t>Le Tableau 3 donne les niveaux de puissance maximaux autorisés des rayonnements dans le domaine des rayonnements non essentiels, en termes de niveau de puissance pour toute composante non désirée appliquée par un émetteur à la ligne d</w:t>
      </w:r>
      <w:r w:rsidR="00324C7C" w:rsidRPr="006D3E70">
        <w:rPr>
          <w:lang w:val="fr-FR"/>
        </w:rPr>
        <w:t>'</w:t>
      </w:r>
      <w:r w:rsidRPr="006D3E70">
        <w:rPr>
          <w:lang w:val="fr-FR"/>
        </w:rPr>
        <w:t>alimentation de l</w:t>
      </w:r>
      <w:r w:rsidR="00324C7C" w:rsidRPr="006D3E70">
        <w:rPr>
          <w:lang w:val="fr-FR"/>
        </w:rPr>
        <w:t>'</w:t>
      </w:r>
      <w:r w:rsidRPr="006D3E70">
        <w:rPr>
          <w:lang w:val="fr-FR"/>
        </w:rPr>
        <w:t>antenne pour les équipements relevant de la catégorie B. Pour tous les services et systèmes qui ne sont pas énumérés dans ce Tableau, on applique les limites de la catégorie A.</w:t>
      </w:r>
    </w:p>
    <w:p w14:paraId="5EC2D4BB" w14:textId="77777777" w:rsidR="00532249" w:rsidRPr="006D3E70" w:rsidRDefault="00532249" w:rsidP="00532249">
      <w:pPr>
        <w:pStyle w:val="TableNo"/>
        <w:keepLines/>
        <w:rPr>
          <w:lang w:val="fr-FR"/>
        </w:rPr>
      </w:pPr>
      <w:r w:rsidRPr="006D3E70">
        <w:rPr>
          <w:lang w:val="fr-FR"/>
        </w:rPr>
        <w:t>TABLEAU 3</w:t>
      </w:r>
    </w:p>
    <w:p w14:paraId="7367FDFF" w14:textId="77777777" w:rsidR="00532249" w:rsidRPr="006D3E70" w:rsidRDefault="00532249" w:rsidP="0097214F">
      <w:pPr>
        <w:pStyle w:val="Tabletitle"/>
        <w:rPr>
          <w:lang w:val="fr-FR"/>
        </w:rPr>
      </w:pPr>
      <w:r w:rsidRPr="006D3E70">
        <w:rPr>
          <w:lang w:val="fr-FR"/>
        </w:rPr>
        <w:t>Limites de la catégorie B</w:t>
      </w:r>
    </w:p>
    <w:p w14:paraId="77880756" w14:textId="77777777" w:rsidR="00532249" w:rsidRPr="006D3E70" w:rsidRDefault="00532249" w:rsidP="0097214F">
      <w:pPr>
        <w:pStyle w:val="Tabletitle"/>
        <w:rPr>
          <w:b w:val="0"/>
          <w:bCs/>
          <w:lang w:val="fr-FR"/>
        </w:rPr>
      </w:pPr>
      <w:r w:rsidRPr="006D3E70">
        <w:rPr>
          <w:b w:val="0"/>
          <w:bCs/>
          <w:lang w:val="fr-FR"/>
        </w:rPr>
        <w:t xml:space="preserve">(Voir les définitions du § 3.3 du </w:t>
      </w:r>
      <w:r w:rsidRPr="006D3E70">
        <w:rPr>
          <w:b w:val="0"/>
          <w:bCs/>
          <w:i/>
          <w:iCs/>
          <w:lang w:val="fr-FR"/>
        </w:rPr>
        <w:t>recommande</w:t>
      </w:r>
      <w:r w:rsidRPr="006D3E70">
        <w:rPr>
          <w:b w:val="0"/>
          <w:bCs/>
          <w:lang w:val="fr-FR"/>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489"/>
      </w:tblGrid>
      <w:tr w:rsidR="00532249" w:rsidRPr="006D3E70" w14:paraId="2073405E" w14:textId="77777777" w:rsidTr="009B33DD">
        <w:trPr>
          <w:jc w:val="center"/>
        </w:trPr>
        <w:tc>
          <w:tcPr>
            <w:tcW w:w="3150" w:type="dxa"/>
            <w:tcBorders>
              <w:bottom w:val="single" w:sz="4" w:space="0" w:color="auto"/>
            </w:tcBorders>
            <w:tcMar>
              <w:left w:w="57" w:type="dxa"/>
              <w:right w:w="57" w:type="dxa"/>
            </w:tcMar>
          </w:tcPr>
          <w:p w14:paraId="388E5711" w14:textId="4F13E9B6" w:rsidR="00532249" w:rsidRPr="006D3E70" w:rsidRDefault="00532249" w:rsidP="009B33DD">
            <w:pPr>
              <w:pStyle w:val="Tablehead"/>
              <w:rPr>
                <w:lang w:val="fr-FR"/>
              </w:rPr>
            </w:pPr>
            <w:r w:rsidRPr="006D3E70">
              <w:rPr>
                <w:lang w:val="fr-FR"/>
              </w:rPr>
              <w:t>Type d</w:t>
            </w:r>
            <w:r w:rsidR="00324C7C" w:rsidRPr="006D3E70">
              <w:rPr>
                <w:lang w:val="fr-FR"/>
              </w:rPr>
              <w:t>'</w:t>
            </w:r>
            <w:r w:rsidRPr="006D3E70">
              <w:rPr>
                <w:lang w:val="fr-FR"/>
              </w:rPr>
              <w:t>équipement</w:t>
            </w:r>
          </w:p>
        </w:tc>
        <w:tc>
          <w:tcPr>
            <w:tcW w:w="6489" w:type="dxa"/>
            <w:tcBorders>
              <w:bottom w:val="single" w:sz="4" w:space="0" w:color="auto"/>
            </w:tcBorders>
            <w:tcMar>
              <w:left w:w="57" w:type="dxa"/>
              <w:right w:w="57" w:type="dxa"/>
            </w:tcMar>
          </w:tcPr>
          <w:p w14:paraId="47AF0583" w14:textId="77777777" w:rsidR="00532249" w:rsidRPr="006D3E70" w:rsidRDefault="00532249" w:rsidP="009B33DD">
            <w:pPr>
              <w:pStyle w:val="Tablehead"/>
              <w:rPr>
                <w:lang w:val="fr-FR"/>
              </w:rPr>
            </w:pPr>
            <w:r w:rsidRPr="006D3E70">
              <w:rPr>
                <w:lang w:val="fr-FR"/>
              </w:rPr>
              <w:t>Limites</w:t>
            </w:r>
          </w:p>
        </w:tc>
      </w:tr>
      <w:tr w:rsidR="00532249" w:rsidRPr="006D3E70" w14:paraId="1FCF391B" w14:textId="77777777" w:rsidTr="009B33D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jc w:val="center"/>
        </w:trPr>
        <w:tc>
          <w:tcPr>
            <w:tcW w:w="3150" w:type="dxa"/>
            <w:tcBorders>
              <w:top w:val="single" w:sz="4" w:space="0" w:color="auto"/>
              <w:left w:val="single" w:sz="4" w:space="0" w:color="auto"/>
              <w:bottom w:val="single" w:sz="4" w:space="0" w:color="auto"/>
              <w:right w:val="single" w:sz="4" w:space="0" w:color="auto"/>
            </w:tcBorders>
            <w:noWrap/>
            <w:tcMar>
              <w:left w:w="57" w:type="dxa"/>
              <w:right w:w="57" w:type="dxa"/>
            </w:tcMar>
          </w:tcPr>
          <w:p w14:paraId="00791E75" w14:textId="77777777" w:rsidR="00532249" w:rsidRPr="006D3E70" w:rsidRDefault="00532249" w:rsidP="009B33DD">
            <w:pPr>
              <w:pStyle w:val="Tabletext"/>
              <w:keepNext/>
              <w:keepLines/>
              <w:jc w:val="left"/>
              <w:rPr>
                <w:vertAlign w:val="superscript"/>
                <w:lang w:val="fr-FR"/>
              </w:rPr>
            </w:pPr>
            <w:r w:rsidRPr="006D3E70">
              <w:rPr>
                <w:lang w:val="fr-FR"/>
              </w:rPr>
              <w:t>Service fixe</w:t>
            </w:r>
            <w:r w:rsidRPr="006D3E70">
              <w:rPr>
                <w:vertAlign w:val="superscript"/>
                <w:lang w:val="fr-FR"/>
              </w:rPr>
              <w:t>(1), (2)</w:t>
            </w:r>
          </w:p>
        </w:tc>
        <w:tc>
          <w:tcPr>
            <w:tcW w:w="6489" w:type="dxa"/>
            <w:tcBorders>
              <w:top w:val="single" w:sz="4" w:space="0" w:color="auto"/>
              <w:left w:val="single" w:sz="4" w:space="0" w:color="auto"/>
              <w:bottom w:val="single" w:sz="4" w:space="0" w:color="auto"/>
              <w:right w:val="single" w:sz="4" w:space="0" w:color="auto"/>
            </w:tcBorders>
            <w:noWrap/>
            <w:tcMar>
              <w:left w:w="57" w:type="dxa"/>
              <w:right w:w="57" w:type="dxa"/>
            </w:tcMar>
          </w:tcPr>
          <w:p w14:paraId="41922CD8" w14:textId="77777777" w:rsidR="00532249" w:rsidRPr="006D3E70" w:rsidRDefault="00532249" w:rsidP="009B33DD">
            <w:pPr>
              <w:pStyle w:val="Tabletext"/>
              <w:keepNext/>
              <w:keepLines/>
              <w:jc w:val="left"/>
              <w:rPr>
                <w:lang w:val="fr-FR"/>
              </w:rPr>
            </w:pPr>
            <w:r w:rsidRPr="006D3E70">
              <w:rPr>
                <w:lang w:val="fr-FR"/>
              </w:rPr>
              <w:t>– 50 dBm</w:t>
            </w:r>
            <w:r w:rsidRPr="006D3E70">
              <w:rPr>
                <w:lang w:val="fr-FR"/>
              </w:rPr>
              <w:tab/>
              <w:t>pour</w:t>
            </w:r>
            <w:r w:rsidRPr="006D3E70">
              <w:rPr>
                <w:lang w:val="fr-FR"/>
              </w:rPr>
              <w:tab/>
              <w:t>30 MHz </w:t>
            </w:r>
            <w:r w:rsidRPr="006D3E70">
              <w:rPr>
                <w:lang w:val="fr-FR"/>
              </w:rPr>
              <w:sym w:font="Symbol" w:char="F0A3"/>
            </w:r>
            <w:r w:rsidRPr="006D3E70">
              <w:rPr>
                <w:lang w:val="fr-FR"/>
              </w:rPr>
              <w:t> </w:t>
            </w:r>
            <w:r w:rsidRPr="006D3E70">
              <w:rPr>
                <w:i/>
                <w:lang w:val="fr-FR"/>
              </w:rPr>
              <w:t>f</w:t>
            </w:r>
            <w:r w:rsidRPr="006D3E70">
              <w:rPr>
                <w:lang w:val="fr-FR"/>
              </w:rPr>
              <w:t> &lt; 21,2 GHz</w:t>
            </w:r>
            <w:r w:rsidRPr="006D3E70">
              <w:rPr>
                <w:vertAlign w:val="superscript"/>
                <w:lang w:val="fr-FR"/>
              </w:rPr>
              <w:t>(3)</w:t>
            </w:r>
            <w:r w:rsidRPr="006D3E70">
              <w:rPr>
                <w:position w:val="6"/>
                <w:sz w:val="18"/>
                <w:lang w:val="fr-FR"/>
              </w:rPr>
              <w:br/>
            </w:r>
            <w:r w:rsidRPr="006D3E70">
              <w:rPr>
                <w:lang w:val="fr-FR"/>
              </w:rPr>
              <w:t>– 30 dBm</w:t>
            </w:r>
            <w:r w:rsidRPr="006D3E70">
              <w:rPr>
                <w:lang w:val="fr-FR"/>
              </w:rPr>
              <w:tab/>
              <w:t>pour</w:t>
            </w:r>
            <w:r w:rsidRPr="006D3E70">
              <w:rPr>
                <w:lang w:val="fr-FR"/>
              </w:rPr>
              <w:tab/>
              <w:t>21,2 GHz </w:t>
            </w:r>
            <w:r w:rsidRPr="006D3E70">
              <w:rPr>
                <w:lang w:val="fr-FR"/>
              </w:rPr>
              <w:sym w:font="Symbol" w:char="F0A3"/>
            </w:r>
            <w:r w:rsidRPr="006D3E70">
              <w:rPr>
                <w:lang w:val="fr-FR"/>
              </w:rPr>
              <w:t> </w:t>
            </w:r>
            <w:r w:rsidRPr="006D3E70">
              <w:rPr>
                <w:i/>
                <w:lang w:val="fr-FR"/>
              </w:rPr>
              <w:t>f</w:t>
            </w:r>
            <w:r w:rsidRPr="006D3E70">
              <w:rPr>
                <w:lang w:val="fr-FR"/>
              </w:rPr>
              <w:t xml:space="preserve"> &lt; (voir le § 2.5 du </w:t>
            </w:r>
            <w:r w:rsidRPr="006D3E70">
              <w:rPr>
                <w:i/>
                <w:lang w:val="fr-FR"/>
              </w:rPr>
              <w:t>recommande</w:t>
            </w:r>
            <w:r w:rsidRPr="006D3E70">
              <w:rPr>
                <w:lang w:val="fr-FR"/>
              </w:rPr>
              <w:t>)</w:t>
            </w:r>
            <w:r w:rsidRPr="006D3E70">
              <w:rPr>
                <w:vertAlign w:val="superscript"/>
                <w:lang w:val="fr-FR"/>
              </w:rPr>
              <w:t>(3)</w:t>
            </w:r>
          </w:p>
        </w:tc>
      </w:tr>
      <w:tr w:rsidR="00532249" w:rsidRPr="006D3E70" w14:paraId="625D4F8A" w14:textId="77777777" w:rsidTr="009B33D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jc w:val="center"/>
        </w:trPr>
        <w:tc>
          <w:tcPr>
            <w:tcW w:w="3150" w:type="dxa"/>
            <w:tcBorders>
              <w:top w:val="single" w:sz="4" w:space="0" w:color="auto"/>
              <w:left w:val="single" w:sz="6" w:space="0" w:color="auto"/>
              <w:bottom w:val="single" w:sz="6" w:space="0" w:color="auto"/>
              <w:right w:val="single" w:sz="6" w:space="0" w:color="auto"/>
            </w:tcBorders>
            <w:noWrap/>
            <w:tcMar>
              <w:left w:w="57" w:type="dxa"/>
              <w:right w:w="57" w:type="dxa"/>
            </w:tcMar>
          </w:tcPr>
          <w:p w14:paraId="6BCE8F8E" w14:textId="58A05047" w:rsidR="00532249" w:rsidRPr="006D3E70" w:rsidRDefault="00532249" w:rsidP="009B33DD">
            <w:pPr>
              <w:pStyle w:val="Tabletext"/>
              <w:jc w:val="left"/>
              <w:rPr>
                <w:vertAlign w:val="superscript"/>
                <w:lang w:val="fr-FR"/>
              </w:rPr>
            </w:pPr>
            <w:r w:rsidRPr="006D3E70">
              <w:rPr>
                <w:lang w:val="fr-FR"/>
              </w:rPr>
              <w:t>Service fixe – Station terminale (station d</w:t>
            </w:r>
            <w:r w:rsidR="00324C7C" w:rsidRPr="006D3E70">
              <w:rPr>
                <w:lang w:val="fr-FR"/>
              </w:rPr>
              <w:t>'</w:t>
            </w:r>
            <w:r w:rsidRPr="006D3E70">
              <w:rPr>
                <w:lang w:val="fr-FR"/>
              </w:rPr>
              <w:t>extrémité munie d</w:t>
            </w:r>
            <w:r w:rsidR="00324C7C" w:rsidRPr="006D3E70">
              <w:rPr>
                <w:lang w:val="fr-FR"/>
              </w:rPr>
              <w:t>'</w:t>
            </w:r>
            <w:r w:rsidRPr="006D3E70">
              <w:rPr>
                <w:lang w:val="fr-FR"/>
              </w:rPr>
              <w:t>inter</w:t>
            </w:r>
            <w:r w:rsidRPr="006D3E70">
              <w:rPr>
                <w:lang w:val="fr-FR"/>
              </w:rPr>
              <w:softHyphen/>
              <w:t>faces d</w:t>
            </w:r>
            <w:r w:rsidR="00324C7C" w:rsidRPr="006D3E70">
              <w:rPr>
                <w:lang w:val="fr-FR"/>
              </w:rPr>
              <w:t>'</w:t>
            </w:r>
            <w:r w:rsidRPr="006D3E70">
              <w:rPr>
                <w:lang w:val="fr-FR"/>
              </w:rPr>
              <w:t>équipement d</w:t>
            </w:r>
            <w:r w:rsidR="00324C7C" w:rsidRPr="006D3E70">
              <w:rPr>
                <w:lang w:val="fr-FR"/>
              </w:rPr>
              <w:t>'</w:t>
            </w:r>
            <w:r w:rsidRPr="006D3E70">
              <w:rPr>
                <w:lang w:val="fr-FR"/>
              </w:rPr>
              <w:t>abonné)</w:t>
            </w:r>
            <w:r w:rsidRPr="006D3E70">
              <w:rPr>
                <w:vertAlign w:val="superscript"/>
                <w:lang w:val="fr-FR"/>
              </w:rPr>
              <w:t>(1)</w:t>
            </w:r>
          </w:p>
        </w:tc>
        <w:tc>
          <w:tcPr>
            <w:tcW w:w="6489" w:type="dxa"/>
            <w:tcBorders>
              <w:top w:val="single" w:sz="4" w:space="0" w:color="auto"/>
              <w:left w:val="single" w:sz="6" w:space="0" w:color="auto"/>
              <w:bottom w:val="single" w:sz="6" w:space="0" w:color="auto"/>
              <w:right w:val="single" w:sz="6" w:space="0" w:color="auto"/>
            </w:tcBorders>
            <w:noWrap/>
            <w:tcMar>
              <w:left w:w="57" w:type="dxa"/>
              <w:right w:w="57" w:type="dxa"/>
            </w:tcMar>
          </w:tcPr>
          <w:p w14:paraId="6E66371D" w14:textId="77777777" w:rsidR="00532249" w:rsidRPr="006D3E70" w:rsidRDefault="00532249" w:rsidP="009B33DD">
            <w:pPr>
              <w:pStyle w:val="Tabletext"/>
              <w:jc w:val="left"/>
              <w:rPr>
                <w:lang w:val="fr-FR"/>
              </w:rPr>
            </w:pPr>
            <w:r w:rsidRPr="006D3E70">
              <w:rPr>
                <w:lang w:val="fr-FR"/>
              </w:rPr>
              <w:t>– 40 dBm</w:t>
            </w:r>
            <w:r w:rsidRPr="006D3E70">
              <w:rPr>
                <w:lang w:val="fr-FR"/>
              </w:rPr>
              <w:tab/>
              <w:t>pour</w:t>
            </w:r>
            <w:r w:rsidRPr="006D3E70">
              <w:rPr>
                <w:lang w:val="fr-FR"/>
              </w:rPr>
              <w:tab/>
              <w:t>30 MHz </w:t>
            </w:r>
            <w:r w:rsidRPr="006D3E70">
              <w:rPr>
                <w:lang w:val="fr-FR"/>
              </w:rPr>
              <w:sym w:font="Symbol" w:char="F0A3"/>
            </w:r>
            <w:r w:rsidRPr="006D3E70">
              <w:rPr>
                <w:lang w:val="fr-FR"/>
              </w:rPr>
              <w:t> </w:t>
            </w:r>
            <w:r w:rsidRPr="006D3E70">
              <w:rPr>
                <w:i/>
                <w:lang w:val="fr-FR"/>
              </w:rPr>
              <w:t>f</w:t>
            </w:r>
            <w:r w:rsidRPr="006D3E70">
              <w:rPr>
                <w:lang w:val="fr-FR"/>
              </w:rPr>
              <w:t> </w:t>
            </w:r>
            <w:r w:rsidRPr="006D3E70">
              <w:rPr>
                <w:szCs w:val="18"/>
                <w:lang w:val="fr-FR"/>
              </w:rPr>
              <w:sym w:font="Symbol" w:char="F03C"/>
            </w:r>
            <w:r w:rsidRPr="006D3E70">
              <w:rPr>
                <w:szCs w:val="18"/>
                <w:lang w:val="fr-FR"/>
              </w:rPr>
              <w:t> </w:t>
            </w:r>
            <w:r w:rsidRPr="006D3E70">
              <w:rPr>
                <w:lang w:val="fr-FR"/>
              </w:rPr>
              <w:t>21,2 GHz</w:t>
            </w:r>
            <w:r w:rsidRPr="006D3E70">
              <w:rPr>
                <w:vertAlign w:val="superscript"/>
                <w:lang w:val="fr-FR"/>
              </w:rPr>
              <w:t>(3)</w:t>
            </w:r>
            <w:r w:rsidRPr="006D3E70">
              <w:rPr>
                <w:position w:val="6"/>
                <w:sz w:val="18"/>
                <w:lang w:val="fr-FR"/>
              </w:rPr>
              <w:br/>
            </w:r>
            <w:r w:rsidRPr="006D3E70">
              <w:rPr>
                <w:lang w:val="fr-FR"/>
              </w:rPr>
              <w:t>– 30 dBm</w:t>
            </w:r>
            <w:r w:rsidRPr="006D3E70">
              <w:rPr>
                <w:lang w:val="fr-FR"/>
              </w:rPr>
              <w:tab/>
              <w:t>pour</w:t>
            </w:r>
            <w:r w:rsidRPr="006D3E70">
              <w:rPr>
                <w:lang w:val="fr-FR"/>
              </w:rPr>
              <w:tab/>
              <w:t>21,2 GHz </w:t>
            </w:r>
            <w:r w:rsidRPr="006D3E70">
              <w:rPr>
                <w:lang w:val="fr-FR"/>
              </w:rPr>
              <w:sym w:font="Symbol" w:char="F0A3"/>
            </w:r>
            <w:r w:rsidRPr="006D3E70">
              <w:rPr>
                <w:lang w:val="fr-FR"/>
              </w:rPr>
              <w:t> </w:t>
            </w:r>
            <w:r w:rsidRPr="006D3E70">
              <w:rPr>
                <w:i/>
                <w:lang w:val="fr-FR"/>
              </w:rPr>
              <w:t>f</w:t>
            </w:r>
            <w:r w:rsidRPr="006D3E70">
              <w:rPr>
                <w:lang w:val="fr-FR"/>
              </w:rPr>
              <w:t xml:space="preserve"> &lt; (voir le § 2.5 du </w:t>
            </w:r>
            <w:r w:rsidRPr="006D3E70">
              <w:rPr>
                <w:i/>
                <w:lang w:val="fr-FR"/>
              </w:rPr>
              <w:t>recommande</w:t>
            </w:r>
            <w:r w:rsidRPr="006D3E70">
              <w:rPr>
                <w:lang w:val="fr-FR"/>
              </w:rPr>
              <w:t>)</w:t>
            </w:r>
            <w:r w:rsidRPr="006D3E70">
              <w:rPr>
                <w:vertAlign w:val="superscript"/>
                <w:lang w:val="fr-FR"/>
              </w:rPr>
              <w:t>(3)</w:t>
            </w:r>
          </w:p>
        </w:tc>
      </w:tr>
      <w:tr w:rsidR="00532249" w:rsidRPr="006D3E70" w14:paraId="1973EA8A" w14:textId="77777777" w:rsidTr="009B33DD">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jc w:val="center"/>
        </w:trPr>
        <w:tc>
          <w:tcPr>
            <w:tcW w:w="3150" w:type="dxa"/>
            <w:tcBorders>
              <w:top w:val="single" w:sz="4" w:space="0" w:color="auto"/>
              <w:left w:val="single" w:sz="6" w:space="0" w:color="auto"/>
              <w:bottom w:val="single" w:sz="6" w:space="0" w:color="auto"/>
              <w:right w:val="single" w:sz="6" w:space="0" w:color="auto"/>
            </w:tcBorders>
            <w:noWrap/>
            <w:tcMar>
              <w:left w:w="57" w:type="dxa"/>
              <w:right w:w="57" w:type="dxa"/>
            </w:tcMar>
          </w:tcPr>
          <w:p w14:paraId="30C152A7" w14:textId="222B0612" w:rsidR="00532249" w:rsidRPr="006D3E70" w:rsidRDefault="00532249" w:rsidP="009B33DD">
            <w:pPr>
              <w:pStyle w:val="Tabletext"/>
              <w:jc w:val="left"/>
              <w:rPr>
                <w:lang w:val="fr-FR"/>
              </w:rPr>
            </w:pPr>
            <w:r w:rsidRPr="006D3E70">
              <w:rPr>
                <w:lang w:val="fr-FR"/>
              </w:rPr>
              <w:t>Systèmes d</w:t>
            </w:r>
            <w:r w:rsidR="00324C7C" w:rsidRPr="006D3E70">
              <w:rPr>
                <w:lang w:val="fr-FR"/>
              </w:rPr>
              <w:t>'</w:t>
            </w:r>
            <w:r w:rsidRPr="006D3E70">
              <w:rPr>
                <w:lang w:val="fr-FR"/>
              </w:rPr>
              <w:t>accès hertzien large bande</w:t>
            </w:r>
            <w:r w:rsidRPr="006D3E70">
              <w:rPr>
                <w:vertAlign w:val="superscript"/>
                <w:lang w:val="fr-FR"/>
              </w:rPr>
              <w:t>(10)</w:t>
            </w:r>
            <w:r w:rsidRPr="006D3E70">
              <w:rPr>
                <w:lang w:val="fr-FR"/>
              </w:rPr>
              <w:t xml:space="preserve"> fonctionnant entre 1 GHz et 6 GHz (toutes les stations d</w:t>
            </w:r>
            <w:r w:rsidR="00324C7C" w:rsidRPr="006D3E70">
              <w:rPr>
                <w:lang w:val="fr-FR"/>
              </w:rPr>
              <w:t>'</w:t>
            </w:r>
            <w:r w:rsidRPr="006D3E70">
              <w:rPr>
                <w:lang w:val="fr-FR"/>
              </w:rPr>
              <w:t>émission)</w:t>
            </w:r>
          </w:p>
        </w:tc>
        <w:tc>
          <w:tcPr>
            <w:tcW w:w="6489" w:type="dxa"/>
            <w:tcBorders>
              <w:top w:val="single" w:sz="4" w:space="0" w:color="auto"/>
              <w:left w:val="single" w:sz="6" w:space="0" w:color="auto"/>
              <w:bottom w:val="single" w:sz="6" w:space="0" w:color="auto"/>
              <w:right w:val="single" w:sz="6" w:space="0" w:color="auto"/>
            </w:tcBorders>
            <w:noWrap/>
            <w:tcMar>
              <w:left w:w="57" w:type="dxa"/>
              <w:right w:w="57" w:type="dxa"/>
            </w:tcMar>
          </w:tcPr>
          <w:p w14:paraId="038C8B44" w14:textId="77777777" w:rsidR="00532249" w:rsidRPr="006D3E70" w:rsidRDefault="00532249" w:rsidP="009B33DD">
            <w:pPr>
              <w:pStyle w:val="Tabletext"/>
              <w:rPr>
                <w:lang w:val="fr-FR"/>
              </w:rPr>
            </w:pPr>
            <w:r w:rsidRPr="006D3E70">
              <w:rPr>
                <w:lang w:val="fr-FR"/>
              </w:rPr>
              <w:t>–36 dBm</w:t>
            </w:r>
            <w:r w:rsidRPr="006D3E70">
              <w:rPr>
                <w:lang w:val="fr-FR"/>
              </w:rPr>
              <w:tab/>
            </w:r>
            <w:r w:rsidRPr="006D3E70">
              <w:rPr>
                <w:lang w:val="fr-FR"/>
              </w:rPr>
              <w:tab/>
              <w:t>pour</w:t>
            </w:r>
            <w:r w:rsidRPr="006D3E70">
              <w:rPr>
                <w:lang w:val="fr-FR"/>
              </w:rPr>
              <w:tab/>
              <w:t xml:space="preserve">9 kHz ≤ </w:t>
            </w:r>
            <w:r w:rsidRPr="006D3E70">
              <w:rPr>
                <w:i/>
                <w:iCs/>
                <w:lang w:val="fr-FR"/>
              </w:rPr>
              <w:t>f</w:t>
            </w:r>
            <w:r w:rsidRPr="006D3E70">
              <w:rPr>
                <w:lang w:val="fr-FR"/>
              </w:rPr>
              <w:t xml:space="preserve"> &lt; 1 GHz</w:t>
            </w:r>
            <w:r w:rsidRPr="006D3E70">
              <w:rPr>
                <w:vertAlign w:val="superscript"/>
                <w:lang w:val="fr-FR"/>
              </w:rPr>
              <w:t>(4)</w:t>
            </w:r>
          </w:p>
          <w:p w14:paraId="41C764D4" w14:textId="45A1808E" w:rsidR="00532249" w:rsidRPr="006D3E70" w:rsidRDefault="00532249" w:rsidP="009B33DD">
            <w:pPr>
              <w:pStyle w:val="Tabletext"/>
              <w:jc w:val="left"/>
              <w:rPr>
                <w:lang w:val="fr-FR"/>
              </w:rPr>
            </w:pPr>
            <w:r w:rsidRPr="006D3E70">
              <w:rPr>
                <w:lang w:val="fr-FR"/>
              </w:rPr>
              <w:t>–30 dBm</w:t>
            </w:r>
            <w:r w:rsidR="0097214F" w:rsidRPr="006D3E70">
              <w:rPr>
                <w:lang w:val="fr-FR"/>
              </w:rPr>
              <w:tab/>
            </w:r>
            <w:r w:rsidRPr="006D3E70">
              <w:rPr>
                <w:lang w:val="fr-FR"/>
              </w:rPr>
              <w:tab/>
              <w:t>pour</w:t>
            </w:r>
            <w:r w:rsidRPr="006D3E70">
              <w:rPr>
                <w:lang w:val="fr-FR"/>
              </w:rPr>
              <w:tab/>
              <w:t xml:space="preserve">1 GHz ≤ </w:t>
            </w:r>
            <w:r w:rsidRPr="006D3E70">
              <w:rPr>
                <w:i/>
                <w:iCs/>
                <w:lang w:val="fr-FR"/>
              </w:rPr>
              <w:t>f</w:t>
            </w:r>
            <w:r w:rsidRPr="006D3E70">
              <w:rPr>
                <w:lang w:val="fr-FR"/>
              </w:rPr>
              <w:t xml:space="preserve"> &lt; (voir le § 2.5 du </w:t>
            </w:r>
            <w:r w:rsidRPr="006D3E70">
              <w:rPr>
                <w:i/>
                <w:lang w:val="fr-FR"/>
              </w:rPr>
              <w:t>recommande</w:t>
            </w:r>
            <w:r w:rsidRPr="006D3E70">
              <w:rPr>
                <w:lang w:val="fr-FR"/>
              </w:rPr>
              <w:t>)</w:t>
            </w:r>
            <w:r w:rsidRPr="006D3E70">
              <w:rPr>
                <w:vertAlign w:val="superscript"/>
                <w:lang w:val="fr-FR"/>
              </w:rPr>
              <w:t>(4)</w:t>
            </w:r>
          </w:p>
        </w:tc>
      </w:tr>
    </w:tbl>
    <w:p w14:paraId="1406FFF6" w14:textId="77777777" w:rsidR="00532249" w:rsidRPr="006D3E70" w:rsidRDefault="00532249" w:rsidP="00532249">
      <w:pPr>
        <w:pStyle w:val="TableNo"/>
        <w:rPr>
          <w:lang w:val="fr-FR"/>
        </w:rPr>
      </w:pPr>
      <w:r w:rsidRPr="006D3E70">
        <w:rPr>
          <w:lang w:val="fr-FR"/>
        </w:rPr>
        <w:lastRenderedPageBreak/>
        <w:t>TABLEAU 3 (</w:t>
      </w:r>
      <w:r w:rsidRPr="006D3E70">
        <w:rPr>
          <w:i/>
          <w:iCs/>
          <w:lang w:val="fr-FR"/>
        </w:rPr>
        <w:t>fin</w:t>
      </w:r>
      <w:r w:rsidRPr="006D3E70">
        <w:rPr>
          <w:lang w:val="fr-FR"/>
        </w:rPr>
        <w:t>)</w:t>
      </w:r>
    </w:p>
    <w:tbl>
      <w:tblPr>
        <w:tblW w:w="9639"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150"/>
        <w:gridCol w:w="6489"/>
      </w:tblGrid>
      <w:tr w:rsidR="00532249" w:rsidRPr="006D3E70" w14:paraId="5B8F9B22" w14:textId="77777777" w:rsidTr="009B33DD">
        <w:trPr>
          <w:jc w:val="center"/>
        </w:trPr>
        <w:tc>
          <w:tcPr>
            <w:tcW w:w="3150" w:type="dxa"/>
            <w:tcBorders>
              <w:top w:val="single" w:sz="6" w:space="0" w:color="auto"/>
              <w:left w:val="single" w:sz="6" w:space="0" w:color="auto"/>
              <w:bottom w:val="single" w:sz="6" w:space="0" w:color="auto"/>
              <w:right w:val="single" w:sz="6" w:space="0" w:color="auto"/>
            </w:tcBorders>
            <w:noWrap/>
            <w:tcMar>
              <w:left w:w="57" w:type="dxa"/>
              <w:right w:w="57" w:type="dxa"/>
            </w:tcMar>
          </w:tcPr>
          <w:p w14:paraId="6B964B5E" w14:textId="4D12CBB0" w:rsidR="00532249" w:rsidRPr="006D3E70" w:rsidRDefault="00532249" w:rsidP="009B33DD">
            <w:pPr>
              <w:pStyle w:val="Tablehead"/>
              <w:rPr>
                <w:lang w:val="fr-FR"/>
              </w:rPr>
            </w:pPr>
            <w:r w:rsidRPr="006D3E70">
              <w:rPr>
                <w:lang w:val="fr-FR"/>
              </w:rPr>
              <w:t>Type d</w:t>
            </w:r>
            <w:r w:rsidR="00324C7C" w:rsidRPr="006D3E70">
              <w:rPr>
                <w:lang w:val="fr-FR"/>
              </w:rPr>
              <w:t>'</w:t>
            </w:r>
            <w:r w:rsidRPr="006D3E70">
              <w:rPr>
                <w:lang w:val="fr-FR"/>
              </w:rPr>
              <w:t>équipement</w:t>
            </w:r>
          </w:p>
        </w:tc>
        <w:tc>
          <w:tcPr>
            <w:tcW w:w="6489" w:type="dxa"/>
            <w:tcBorders>
              <w:top w:val="single" w:sz="6" w:space="0" w:color="auto"/>
              <w:left w:val="single" w:sz="6" w:space="0" w:color="auto"/>
              <w:bottom w:val="single" w:sz="6" w:space="0" w:color="auto"/>
              <w:right w:val="single" w:sz="6" w:space="0" w:color="auto"/>
            </w:tcBorders>
            <w:noWrap/>
            <w:tcMar>
              <w:left w:w="57" w:type="dxa"/>
              <w:right w:w="57" w:type="dxa"/>
            </w:tcMar>
          </w:tcPr>
          <w:p w14:paraId="7FD64E87" w14:textId="77777777" w:rsidR="00532249" w:rsidRPr="006D3E70" w:rsidRDefault="00532249" w:rsidP="009B33DD">
            <w:pPr>
              <w:pStyle w:val="Tablehead"/>
              <w:rPr>
                <w:lang w:val="fr-FR"/>
              </w:rPr>
            </w:pPr>
            <w:r w:rsidRPr="006D3E70">
              <w:rPr>
                <w:lang w:val="fr-FR"/>
              </w:rPr>
              <w:t>Limites</w:t>
            </w:r>
          </w:p>
        </w:tc>
      </w:tr>
      <w:tr w:rsidR="00532249" w:rsidRPr="006D3E70" w14:paraId="231D075A" w14:textId="77777777" w:rsidTr="009B33DD">
        <w:trPr>
          <w:jc w:val="center"/>
        </w:trPr>
        <w:tc>
          <w:tcPr>
            <w:tcW w:w="3150" w:type="dxa"/>
            <w:tcBorders>
              <w:top w:val="single" w:sz="6" w:space="0" w:color="auto"/>
              <w:left w:val="single" w:sz="6" w:space="0" w:color="auto"/>
              <w:bottom w:val="single" w:sz="6" w:space="0" w:color="auto"/>
              <w:right w:val="single" w:sz="6" w:space="0" w:color="auto"/>
            </w:tcBorders>
            <w:noWrap/>
            <w:tcMar>
              <w:left w:w="57" w:type="dxa"/>
              <w:right w:w="57" w:type="dxa"/>
            </w:tcMar>
          </w:tcPr>
          <w:p w14:paraId="2F3F5E90" w14:textId="77777777" w:rsidR="00532249" w:rsidRPr="006D3E70" w:rsidRDefault="00532249" w:rsidP="0097214F">
            <w:pPr>
              <w:pStyle w:val="Tabletext"/>
              <w:keepNext/>
              <w:keepLines/>
              <w:jc w:val="left"/>
              <w:rPr>
                <w:lang w:val="fr-FR"/>
              </w:rPr>
            </w:pPr>
            <w:r w:rsidRPr="006D3E70">
              <w:rPr>
                <w:lang w:val="fr-FR"/>
              </w:rPr>
              <w:t>Service mobile terrestre (stations mobiles et stations de base)</w:t>
            </w:r>
          </w:p>
        </w:tc>
        <w:tc>
          <w:tcPr>
            <w:tcW w:w="6489" w:type="dxa"/>
            <w:tcBorders>
              <w:top w:val="single" w:sz="6" w:space="0" w:color="auto"/>
              <w:left w:val="single" w:sz="6" w:space="0" w:color="auto"/>
              <w:bottom w:val="single" w:sz="6" w:space="0" w:color="auto"/>
              <w:right w:val="single" w:sz="6" w:space="0" w:color="auto"/>
            </w:tcBorders>
            <w:noWrap/>
            <w:tcMar>
              <w:left w:w="57" w:type="dxa"/>
              <w:right w:w="57" w:type="dxa"/>
            </w:tcMar>
          </w:tcPr>
          <w:p w14:paraId="2D1B93C7" w14:textId="77777777" w:rsidR="00532249" w:rsidRPr="006D3E70" w:rsidRDefault="00532249" w:rsidP="0097214F">
            <w:pPr>
              <w:pStyle w:val="Tabletext"/>
              <w:keepNext/>
              <w:keepLines/>
              <w:jc w:val="left"/>
              <w:rPr>
                <w:lang w:val="fr-FR"/>
              </w:rPr>
            </w:pPr>
            <w:r w:rsidRPr="006D3E70">
              <w:rPr>
                <w:lang w:val="fr-FR"/>
              </w:rPr>
              <w:t>– 36 dBm</w:t>
            </w:r>
            <w:r w:rsidRPr="006D3E70">
              <w:rPr>
                <w:lang w:val="fr-FR"/>
              </w:rPr>
              <w:tab/>
              <w:t>pour</w:t>
            </w:r>
            <w:r w:rsidRPr="006D3E70">
              <w:rPr>
                <w:lang w:val="fr-FR"/>
              </w:rPr>
              <w:tab/>
            </w:r>
            <w:r w:rsidRPr="006D3E70">
              <w:rPr>
                <w:lang w:val="fr-FR"/>
              </w:rPr>
              <w:t> </w:t>
            </w:r>
            <w:r w:rsidRPr="006D3E70">
              <w:rPr>
                <w:lang w:val="fr-FR"/>
              </w:rPr>
              <w:t xml:space="preserve">9 kHz </w:t>
            </w:r>
            <w:r w:rsidRPr="006D3E70">
              <w:rPr>
                <w:lang w:val="fr-FR"/>
              </w:rPr>
              <w:sym w:font="Symbol" w:char="F0A3"/>
            </w:r>
            <w:r w:rsidRPr="006D3E70">
              <w:rPr>
                <w:lang w:val="fr-FR"/>
              </w:rPr>
              <w:t> </w:t>
            </w:r>
            <w:r w:rsidRPr="006D3E70">
              <w:rPr>
                <w:i/>
                <w:lang w:val="fr-FR"/>
              </w:rPr>
              <w:t>f</w:t>
            </w:r>
            <w:r w:rsidRPr="006D3E70">
              <w:rPr>
                <w:lang w:val="fr-FR"/>
              </w:rPr>
              <w:t> &lt; 30 MHz</w:t>
            </w:r>
          </w:p>
          <w:p w14:paraId="16010E7D" w14:textId="77777777" w:rsidR="00532249" w:rsidRPr="006D3E70" w:rsidRDefault="00532249" w:rsidP="0097214F">
            <w:pPr>
              <w:pStyle w:val="Tabletext"/>
              <w:keepNext/>
              <w:keepLines/>
              <w:jc w:val="left"/>
              <w:rPr>
                <w:lang w:val="fr-FR"/>
              </w:rPr>
            </w:pPr>
            <w:r w:rsidRPr="006D3E70">
              <w:rPr>
                <w:lang w:val="fr-FR"/>
              </w:rPr>
              <w:t>– 36 dBm</w:t>
            </w:r>
            <w:r w:rsidRPr="006D3E70">
              <w:rPr>
                <w:lang w:val="fr-FR"/>
              </w:rPr>
              <w:tab/>
              <w:t>pour</w:t>
            </w:r>
            <w:r w:rsidRPr="006D3E70">
              <w:rPr>
                <w:lang w:val="fr-FR"/>
              </w:rPr>
              <w:tab/>
              <w:t>30 MHz </w:t>
            </w:r>
            <w:r w:rsidRPr="006D3E70">
              <w:rPr>
                <w:lang w:val="fr-FR"/>
              </w:rPr>
              <w:sym w:font="Symbol" w:char="F0A3"/>
            </w:r>
            <w:r w:rsidRPr="006D3E70">
              <w:rPr>
                <w:lang w:val="fr-FR"/>
              </w:rPr>
              <w:t> </w:t>
            </w:r>
            <w:r w:rsidRPr="006D3E70">
              <w:rPr>
                <w:i/>
                <w:lang w:val="fr-FR"/>
              </w:rPr>
              <w:t>f</w:t>
            </w:r>
            <w:r w:rsidRPr="006D3E70">
              <w:rPr>
                <w:lang w:val="fr-FR"/>
              </w:rPr>
              <w:t> </w:t>
            </w:r>
            <w:r w:rsidRPr="006D3E70">
              <w:rPr>
                <w:szCs w:val="18"/>
                <w:lang w:val="fr-FR"/>
              </w:rPr>
              <w:sym w:font="Symbol" w:char="F03C"/>
            </w:r>
            <w:r w:rsidRPr="006D3E70">
              <w:rPr>
                <w:szCs w:val="18"/>
                <w:lang w:val="fr-FR"/>
              </w:rPr>
              <w:t> </w:t>
            </w:r>
            <w:r w:rsidRPr="006D3E70">
              <w:rPr>
                <w:lang w:val="fr-FR"/>
              </w:rPr>
              <w:t>1 GHz</w:t>
            </w:r>
            <w:r w:rsidRPr="006D3E70">
              <w:rPr>
                <w:vertAlign w:val="superscript"/>
                <w:lang w:val="fr-FR"/>
              </w:rPr>
              <w:t>(4)</w:t>
            </w:r>
          </w:p>
          <w:p w14:paraId="4195990B" w14:textId="77777777" w:rsidR="00532249" w:rsidRPr="006D3E70" w:rsidRDefault="00532249" w:rsidP="0097214F">
            <w:pPr>
              <w:pStyle w:val="Tabletext"/>
              <w:keepNext/>
              <w:keepLines/>
              <w:jc w:val="left"/>
              <w:rPr>
                <w:lang w:val="fr-FR"/>
              </w:rPr>
            </w:pPr>
            <w:r w:rsidRPr="006D3E70">
              <w:rPr>
                <w:lang w:val="fr-FR"/>
              </w:rPr>
              <w:t>– 30 dBm</w:t>
            </w:r>
            <w:r w:rsidRPr="006D3E70">
              <w:rPr>
                <w:lang w:val="fr-FR"/>
              </w:rPr>
              <w:tab/>
              <w:t>pour</w:t>
            </w:r>
            <w:r w:rsidRPr="006D3E70">
              <w:rPr>
                <w:lang w:val="fr-FR"/>
              </w:rPr>
              <w:tab/>
            </w:r>
            <w:r w:rsidRPr="006D3E70">
              <w:rPr>
                <w:lang w:val="fr-FR"/>
              </w:rPr>
              <w:t> </w:t>
            </w:r>
            <w:r w:rsidRPr="006D3E70">
              <w:rPr>
                <w:lang w:val="fr-FR"/>
              </w:rPr>
              <w:t>1 GHz </w:t>
            </w:r>
            <w:r w:rsidRPr="006D3E70">
              <w:rPr>
                <w:lang w:val="fr-FR"/>
              </w:rPr>
              <w:sym w:font="Symbol" w:char="F0A3"/>
            </w:r>
            <w:r w:rsidRPr="006D3E70">
              <w:rPr>
                <w:lang w:val="fr-FR"/>
              </w:rPr>
              <w:t> </w:t>
            </w:r>
            <w:r w:rsidRPr="006D3E70">
              <w:rPr>
                <w:i/>
                <w:lang w:val="fr-FR"/>
              </w:rPr>
              <w:t>f</w:t>
            </w:r>
            <w:r w:rsidRPr="006D3E70">
              <w:rPr>
                <w:lang w:val="fr-FR"/>
              </w:rPr>
              <w:t xml:space="preserve"> &lt; (voir le § 2.5 du </w:t>
            </w:r>
            <w:r w:rsidRPr="006D3E70">
              <w:rPr>
                <w:i/>
                <w:lang w:val="fr-FR"/>
              </w:rPr>
              <w:t>recommande</w:t>
            </w:r>
            <w:r w:rsidRPr="006D3E70">
              <w:rPr>
                <w:lang w:val="fr-FR"/>
              </w:rPr>
              <w:t>)</w:t>
            </w:r>
            <w:r w:rsidRPr="006D3E70">
              <w:rPr>
                <w:vertAlign w:val="superscript"/>
                <w:lang w:val="fr-FR"/>
              </w:rPr>
              <w:t>(4)</w:t>
            </w:r>
          </w:p>
        </w:tc>
      </w:tr>
      <w:tr w:rsidR="00532249" w:rsidRPr="006D3E70" w14:paraId="20BF6F49" w14:textId="77777777" w:rsidTr="009B33DD">
        <w:trPr>
          <w:jc w:val="center"/>
        </w:trPr>
        <w:tc>
          <w:tcPr>
            <w:tcW w:w="3150" w:type="dxa"/>
            <w:tcBorders>
              <w:top w:val="single" w:sz="6" w:space="0" w:color="auto"/>
              <w:left w:val="single" w:sz="6" w:space="0" w:color="auto"/>
              <w:bottom w:val="single" w:sz="6" w:space="0" w:color="auto"/>
              <w:right w:val="single" w:sz="6" w:space="0" w:color="auto"/>
            </w:tcBorders>
            <w:noWrap/>
            <w:tcMar>
              <w:left w:w="57" w:type="dxa"/>
              <w:right w:w="57" w:type="dxa"/>
            </w:tcMar>
          </w:tcPr>
          <w:p w14:paraId="2BAFBEB2" w14:textId="77777777" w:rsidR="00532249" w:rsidRPr="006D3E70" w:rsidRDefault="00532249" w:rsidP="0097214F">
            <w:pPr>
              <w:pStyle w:val="Tabletext"/>
              <w:keepNext/>
              <w:keepLines/>
              <w:jc w:val="left"/>
              <w:rPr>
                <w:lang w:val="fr-FR"/>
              </w:rPr>
            </w:pPr>
            <w:r w:rsidRPr="006D3E70">
              <w:rPr>
                <w:lang w:val="fr-FR"/>
              </w:rPr>
              <w:t>Microstations</w:t>
            </w:r>
          </w:p>
        </w:tc>
        <w:tc>
          <w:tcPr>
            <w:tcW w:w="6489" w:type="dxa"/>
            <w:tcBorders>
              <w:top w:val="single" w:sz="6" w:space="0" w:color="auto"/>
              <w:left w:val="single" w:sz="6" w:space="0" w:color="auto"/>
              <w:bottom w:val="single" w:sz="6" w:space="0" w:color="auto"/>
              <w:right w:val="single" w:sz="6" w:space="0" w:color="auto"/>
            </w:tcBorders>
            <w:noWrap/>
            <w:tcMar>
              <w:left w:w="57" w:type="dxa"/>
              <w:right w:w="57" w:type="dxa"/>
            </w:tcMar>
          </w:tcPr>
          <w:p w14:paraId="10337295" w14:textId="77777777" w:rsidR="00532249" w:rsidRPr="006D3E70" w:rsidRDefault="00532249" w:rsidP="0097214F">
            <w:pPr>
              <w:pStyle w:val="Tabletext"/>
              <w:keepNext/>
              <w:keepLines/>
              <w:jc w:val="left"/>
              <w:rPr>
                <w:lang w:val="fr-FR"/>
              </w:rPr>
            </w:pPr>
            <w:r w:rsidRPr="006D3E70">
              <w:rPr>
                <w:lang w:val="fr-FR"/>
              </w:rPr>
              <w:t>Voir les limites fixées dans la Recommandation UIT-R S.726</w:t>
            </w:r>
          </w:p>
        </w:tc>
      </w:tr>
      <w:tr w:rsidR="00532249" w:rsidRPr="006D3E70" w14:paraId="6418EF6D" w14:textId="77777777" w:rsidTr="009B33DD">
        <w:trPr>
          <w:jc w:val="center"/>
        </w:trPr>
        <w:tc>
          <w:tcPr>
            <w:tcW w:w="3150" w:type="dxa"/>
            <w:tcBorders>
              <w:top w:val="single" w:sz="6" w:space="0" w:color="auto"/>
              <w:left w:val="single" w:sz="6" w:space="0" w:color="auto"/>
              <w:bottom w:val="single" w:sz="6" w:space="0" w:color="auto"/>
              <w:right w:val="single" w:sz="6" w:space="0" w:color="auto"/>
            </w:tcBorders>
            <w:noWrap/>
            <w:tcMar>
              <w:left w:w="57" w:type="dxa"/>
              <w:right w:w="57" w:type="dxa"/>
            </w:tcMar>
          </w:tcPr>
          <w:p w14:paraId="6B1CFCFD" w14:textId="77777777" w:rsidR="00532249" w:rsidRPr="006D3E70" w:rsidRDefault="00532249" w:rsidP="0097214F">
            <w:pPr>
              <w:pStyle w:val="Tabletext"/>
              <w:keepNext/>
              <w:keepLines/>
              <w:jc w:val="left"/>
              <w:rPr>
                <w:lang w:val="fr-FR"/>
              </w:rPr>
            </w:pPr>
            <w:r w:rsidRPr="006D3E70">
              <w:rPr>
                <w:lang w:val="fr-FR"/>
              </w:rPr>
              <w:t>Radiodiffusion en modulation de fréquence</w:t>
            </w:r>
          </w:p>
        </w:tc>
        <w:tc>
          <w:tcPr>
            <w:tcW w:w="6489" w:type="dxa"/>
            <w:tcBorders>
              <w:top w:val="single" w:sz="6" w:space="0" w:color="auto"/>
              <w:left w:val="single" w:sz="6" w:space="0" w:color="auto"/>
              <w:bottom w:val="single" w:sz="6" w:space="0" w:color="auto"/>
              <w:right w:val="single" w:sz="6" w:space="0" w:color="auto"/>
            </w:tcBorders>
            <w:noWrap/>
            <w:tcMar>
              <w:left w:w="57" w:type="dxa"/>
              <w:right w:w="57" w:type="dxa"/>
            </w:tcMar>
          </w:tcPr>
          <w:p w14:paraId="52225BF6" w14:textId="77777777" w:rsidR="00532249" w:rsidRPr="006D3E70" w:rsidRDefault="00532249" w:rsidP="0097214F">
            <w:pPr>
              <w:pStyle w:val="Tabletext"/>
              <w:keepNext/>
              <w:keepLines/>
              <w:framePr w:hSpace="181" w:wrap="notBeside" w:vAnchor="text" w:hAnchor="text" w:xAlign="center" w:y="1"/>
              <w:tabs>
                <w:tab w:val="clear" w:pos="1418"/>
                <w:tab w:val="clear" w:pos="1701"/>
                <w:tab w:val="clear" w:pos="1985"/>
                <w:tab w:val="clear" w:pos="2268"/>
                <w:tab w:val="clear" w:pos="2552"/>
                <w:tab w:val="clear" w:pos="3119"/>
                <w:tab w:val="clear" w:pos="3402"/>
                <w:tab w:val="clear" w:pos="3686"/>
                <w:tab w:val="left" w:pos="1447"/>
                <w:tab w:val="left" w:pos="2147"/>
                <w:tab w:val="left" w:pos="3196"/>
                <w:tab w:val="left" w:pos="3280"/>
                <w:tab w:val="left" w:pos="3700"/>
              </w:tabs>
              <w:jc w:val="left"/>
              <w:rPr>
                <w:lang w:val="fr-FR"/>
              </w:rPr>
            </w:pPr>
            <w:r w:rsidRPr="006D3E70">
              <w:rPr>
                <w:lang w:val="fr-FR"/>
              </w:rPr>
              <w:t xml:space="preserve">87,5 MHz </w:t>
            </w:r>
            <w:r w:rsidRPr="006D3E70">
              <w:rPr>
                <w:lang w:val="fr-FR"/>
              </w:rPr>
              <w:sym w:font="Symbol" w:char="F0A3"/>
            </w:r>
            <w:r w:rsidRPr="006D3E70">
              <w:rPr>
                <w:lang w:val="fr-FR"/>
              </w:rPr>
              <w:t> </w:t>
            </w:r>
            <w:r w:rsidRPr="006D3E70">
              <w:rPr>
                <w:szCs w:val="18"/>
                <w:lang w:val="fr-FR"/>
              </w:rPr>
              <w:sym w:font="Symbol" w:char="F0A6"/>
            </w:r>
            <w:r w:rsidRPr="006D3E70">
              <w:rPr>
                <w:lang w:val="fr-FR"/>
              </w:rPr>
              <w:t> </w:t>
            </w:r>
            <w:r w:rsidRPr="006D3E70">
              <w:rPr>
                <w:lang w:val="fr-FR"/>
              </w:rPr>
              <w:sym w:font="Symbol" w:char="F0A3"/>
            </w:r>
            <w:r w:rsidRPr="006D3E70">
              <w:rPr>
                <w:lang w:val="fr-FR"/>
              </w:rPr>
              <w:t> 137 MHz:</w:t>
            </w:r>
          </w:p>
          <w:p w14:paraId="0B2ED57F" w14:textId="77777777" w:rsidR="00532249" w:rsidRPr="006D3E70" w:rsidRDefault="00532249" w:rsidP="0097214F">
            <w:pPr>
              <w:pStyle w:val="Tabletext"/>
              <w:tabs>
                <w:tab w:val="clear" w:pos="3686"/>
                <w:tab w:val="left" w:pos="3700"/>
              </w:tabs>
              <w:rPr>
                <w:lang w:val="fr-FR"/>
              </w:rPr>
            </w:pPr>
            <w:r w:rsidRPr="006D3E70">
              <w:rPr>
                <w:lang w:val="fr-FR"/>
              </w:rPr>
              <w:tab/>
              <w:t>– 36 dBm</w:t>
            </w:r>
            <w:r w:rsidRPr="006D3E70">
              <w:rPr>
                <w:lang w:val="fr-FR"/>
              </w:rPr>
              <w:tab/>
              <w:t>pour</w:t>
            </w:r>
            <w:r w:rsidRPr="006D3E70">
              <w:rPr>
                <w:lang w:val="fr-FR"/>
              </w:rPr>
              <w:tab/>
            </w:r>
            <w:r w:rsidRPr="006D3E70">
              <w:rPr>
                <w:lang w:val="fr-FR"/>
              </w:rPr>
              <w:tab/>
              <w:t>    </w:t>
            </w:r>
            <w:r w:rsidRPr="006D3E70">
              <w:rPr>
                <w:i/>
                <w:lang w:val="fr-FR"/>
              </w:rPr>
              <w:t>P</w:t>
            </w:r>
            <w:r w:rsidRPr="006D3E70">
              <w:rPr>
                <w:lang w:val="fr-FR"/>
              </w:rPr>
              <w:t> &lt; 9 dBW</w:t>
            </w:r>
            <w:r w:rsidRPr="006D3E70">
              <w:rPr>
                <w:lang w:val="fr-FR"/>
              </w:rPr>
              <w:t> </w:t>
            </w:r>
          </w:p>
          <w:p w14:paraId="1EC1168C" w14:textId="77777777" w:rsidR="00532249" w:rsidRPr="006D3E70" w:rsidRDefault="00532249" w:rsidP="0097214F">
            <w:pPr>
              <w:pStyle w:val="Tabletext"/>
              <w:tabs>
                <w:tab w:val="clear" w:pos="3686"/>
                <w:tab w:val="left" w:pos="3700"/>
              </w:tabs>
              <w:rPr>
                <w:lang w:val="fr-FR"/>
              </w:rPr>
            </w:pPr>
            <w:r w:rsidRPr="006D3E70">
              <w:rPr>
                <w:lang w:val="fr-FR"/>
              </w:rPr>
              <w:tab/>
            </w:r>
            <w:r w:rsidRPr="006D3E70">
              <w:rPr>
                <w:lang w:val="fr-FR"/>
              </w:rPr>
              <w:t> </w:t>
            </w:r>
            <w:r w:rsidRPr="006D3E70">
              <w:rPr>
                <w:lang w:val="fr-FR"/>
              </w:rPr>
              <w:t>75 dBc</w:t>
            </w:r>
            <w:r w:rsidRPr="006D3E70">
              <w:rPr>
                <w:lang w:val="fr-FR"/>
              </w:rPr>
              <w:tab/>
            </w:r>
            <w:r w:rsidRPr="006D3E70">
              <w:rPr>
                <w:lang w:val="fr-FR"/>
              </w:rPr>
              <w:tab/>
              <w:t>pour</w:t>
            </w:r>
            <w:r w:rsidRPr="006D3E70">
              <w:rPr>
                <w:lang w:val="fr-FR"/>
              </w:rPr>
              <w:tab/>
            </w:r>
            <w:r w:rsidRPr="006D3E70">
              <w:rPr>
                <w:lang w:val="fr-FR"/>
              </w:rPr>
              <w:t> </w:t>
            </w:r>
            <w:r w:rsidRPr="006D3E70">
              <w:rPr>
                <w:lang w:val="fr-FR"/>
              </w:rPr>
              <w:t>9 dBW </w:t>
            </w:r>
            <w:r w:rsidRPr="006D3E70">
              <w:rPr>
                <w:lang w:val="fr-FR"/>
              </w:rPr>
              <w:sym w:font="Symbol" w:char="F0A3"/>
            </w:r>
            <w:r w:rsidRPr="006D3E70">
              <w:rPr>
                <w:lang w:val="fr-FR"/>
              </w:rPr>
              <w:t> </w:t>
            </w:r>
            <w:r w:rsidRPr="006D3E70">
              <w:rPr>
                <w:i/>
                <w:lang w:val="fr-FR"/>
              </w:rPr>
              <w:t>P</w:t>
            </w:r>
            <w:r w:rsidRPr="006D3E70">
              <w:rPr>
                <w:lang w:val="fr-FR"/>
              </w:rPr>
              <w:t> &lt; 29 dBW</w:t>
            </w:r>
          </w:p>
          <w:p w14:paraId="708AAF2E" w14:textId="77777777" w:rsidR="00532249" w:rsidRPr="006D3E70" w:rsidRDefault="00532249" w:rsidP="0097214F">
            <w:pPr>
              <w:pStyle w:val="Tabletext"/>
              <w:tabs>
                <w:tab w:val="clear" w:pos="3686"/>
                <w:tab w:val="left" w:pos="3700"/>
              </w:tabs>
              <w:rPr>
                <w:lang w:val="fr-FR"/>
              </w:rPr>
            </w:pPr>
            <w:r w:rsidRPr="006D3E70">
              <w:rPr>
                <w:lang w:val="fr-FR"/>
              </w:rPr>
              <w:tab/>
              <w:t>– 16 dBm</w:t>
            </w:r>
            <w:r w:rsidRPr="006D3E70">
              <w:rPr>
                <w:lang w:val="fr-FR"/>
              </w:rPr>
              <w:tab/>
              <w:t>pour</w:t>
            </w:r>
            <w:r w:rsidRPr="006D3E70">
              <w:rPr>
                <w:lang w:val="fr-FR"/>
              </w:rPr>
              <w:tab/>
              <w:t>29 dBW </w:t>
            </w:r>
            <w:r w:rsidRPr="006D3E70">
              <w:rPr>
                <w:lang w:val="fr-FR"/>
              </w:rPr>
              <w:sym w:font="Symbol" w:char="F0A3"/>
            </w:r>
            <w:r w:rsidRPr="006D3E70">
              <w:rPr>
                <w:lang w:val="fr-FR"/>
              </w:rPr>
              <w:t> </w:t>
            </w:r>
            <w:r w:rsidRPr="006D3E70">
              <w:rPr>
                <w:i/>
                <w:lang w:val="fr-FR"/>
              </w:rPr>
              <w:t>P</w:t>
            </w:r>
            <w:r w:rsidRPr="006D3E70">
              <w:rPr>
                <w:lang w:val="fr-FR"/>
              </w:rPr>
              <w:t> &lt; 39 dBW</w:t>
            </w:r>
          </w:p>
          <w:p w14:paraId="136F6C01" w14:textId="77777777" w:rsidR="00532249" w:rsidRPr="006D3E70" w:rsidRDefault="00532249" w:rsidP="0097214F">
            <w:pPr>
              <w:pStyle w:val="Tabletext"/>
              <w:tabs>
                <w:tab w:val="clear" w:pos="3686"/>
                <w:tab w:val="left" w:pos="3700"/>
              </w:tabs>
              <w:rPr>
                <w:lang w:val="fr-FR"/>
              </w:rPr>
            </w:pPr>
            <w:r w:rsidRPr="006D3E70">
              <w:rPr>
                <w:lang w:val="fr-FR"/>
              </w:rPr>
              <w:tab/>
            </w:r>
            <w:r w:rsidRPr="006D3E70">
              <w:rPr>
                <w:lang w:val="fr-FR"/>
              </w:rPr>
              <w:t> </w:t>
            </w:r>
            <w:r w:rsidRPr="006D3E70">
              <w:rPr>
                <w:lang w:val="fr-FR"/>
              </w:rPr>
              <w:t>85 dBc</w:t>
            </w:r>
            <w:r w:rsidRPr="006D3E70">
              <w:rPr>
                <w:lang w:val="fr-FR"/>
              </w:rPr>
              <w:tab/>
            </w:r>
            <w:r w:rsidRPr="006D3E70">
              <w:rPr>
                <w:lang w:val="fr-FR"/>
              </w:rPr>
              <w:tab/>
              <w:t>pour</w:t>
            </w:r>
            <w:r w:rsidRPr="006D3E70">
              <w:rPr>
                <w:lang w:val="fr-FR"/>
              </w:rPr>
              <w:tab/>
              <w:t>39 dBW </w:t>
            </w:r>
            <w:r w:rsidRPr="006D3E70">
              <w:rPr>
                <w:lang w:val="fr-FR"/>
              </w:rPr>
              <w:sym w:font="Symbol" w:char="F0A3"/>
            </w:r>
            <w:r w:rsidRPr="006D3E70">
              <w:rPr>
                <w:lang w:val="fr-FR"/>
              </w:rPr>
              <w:t> </w:t>
            </w:r>
            <w:r w:rsidRPr="006D3E70">
              <w:rPr>
                <w:i/>
                <w:lang w:val="fr-FR"/>
              </w:rPr>
              <w:t>P</w:t>
            </w:r>
            <w:r w:rsidRPr="006D3E70">
              <w:rPr>
                <w:lang w:val="fr-FR"/>
              </w:rPr>
              <w:t> &lt; 50 dBW</w:t>
            </w:r>
          </w:p>
          <w:p w14:paraId="348F123E" w14:textId="77777777" w:rsidR="00532249" w:rsidRPr="006D3E70" w:rsidRDefault="00532249" w:rsidP="0097214F">
            <w:pPr>
              <w:pStyle w:val="Tabletext"/>
              <w:tabs>
                <w:tab w:val="clear" w:pos="3686"/>
                <w:tab w:val="left" w:pos="3700"/>
              </w:tabs>
              <w:rPr>
                <w:lang w:val="fr-FR"/>
              </w:rPr>
            </w:pPr>
            <w:r w:rsidRPr="006D3E70">
              <w:rPr>
                <w:lang w:val="fr-FR"/>
              </w:rPr>
              <w:tab/>
            </w:r>
            <w:r w:rsidRPr="006D3E70">
              <w:rPr>
                <w:lang w:val="fr-FR"/>
              </w:rPr>
              <w:t> </w:t>
            </w:r>
            <w:r w:rsidRPr="006D3E70">
              <w:rPr>
                <w:lang w:val="fr-FR"/>
              </w:rPr>
              <w:t> </w:t>
            </w:r>
            <w:r w:rsidRPr="006D3E70">
              <w:rPr>
                <w:lang w:val="fr-FR"/>
              </w:rPr>
              <w:t>–5 dBm</w:t>
            </w:r>
            <w:r w:rsidRPr="006D3E70">
              <w:rPr>
                <w:lang w:val="fr-FR"/>
              </w:rPr>
              <w:tab/>
              <w:t>pour</w:t>
            </w:r>
            <w:r w:rsidRPr="006D3E70">
              <w:rPr>
                <w:lang w:val="fr-FR"/>
              </w:rPr>
              <w:tab/>
              <w:t>50 dBW </w:t>
            </w:r>
            <w:r w:rsidRPr="006D3E70">
              <w:rPr>
                <w:lang w:val="fr-FR"/>
              </w:rPr>
              <w:sym w:font="Symbol" w:char="F0A3"/>
            </w:r>
            <w:r w:rsidRPr="006D3E70">
              <w:rPr>
                <w:lang w:val="fr-FR"/>
              </w:rPr>
              <w:t> </w:t>
            </w:r>
            <w:r w:rsidRPr="006D3E70">
              <w:rPr>
                <w:i/>
                <w:lang w:val="fr-FR"/>
              </w:rPr>
              <w:t>P</w:t>
            </w:r>
          </w:p>
          <w:p w14:paraId="6FBBB0FB" w14:textId="77777777" w:rsidR="00532249" w:rsidRPr="006D3E70" w:rsidRDefault="00532249" w:rsidP="0097214F">
            <w:pPr>
              <w:pStyle w:val="Tabletext"/>
              <w:keepNext/>
              <w:keepLines/>
              <w:framePr w:hSpace="181" w:wrap="notBeside" w:vAnchor="text" w:hAnchor="text" w:xAlign="center" w:y="1"/>
              <w:tabs>
                <w:tab w:val="clear" w:pos="1418"/>
                <w:tab w:val="clear" w:pos="1701"/>
                <w:tab w:val="clear" w:pos="1985"/>
                <w:tab w:val="clear" w:pos="2268"/>
                <w:tab w:val="clear" w:pos="2552"/>
                <w:tab w:val="clear" w:pos="3119"/>
                <w:tab w:val="clear" w:pos="3402"/>
                <w:tab w:val="clear" w:pos="3686"/>
                <w:tab w:val="left" w:pos="1447"/>
                <w:tab w:val="left" w:pos="2147"/>
                <w:tab w:val="left" w:pos="3196"/>
                <w:tab w:val="left" w:pos="3280"/>
                <w:tab w:val="left" w:pos="3700"/>
              </w:tabs>
              <w:jc w:val="left"/>
              <w:rPr>
                <w:lang w:val="fr-FR"/>
              </w:rPr>
            </w:pPr>
            <w:r w:rsidRPr="006D3E70">
              <w:rPr>
                <w:lang w:val="fr-FR"/>
              </w:rPr>
              <w:t>30 MHz &lt; </w:t>
            </w:r>
            <w:r w:rsidRPr="006D3E70">
              <w:rPr>
                <w:i/>
                <w:lang w:val="fr-FR"/>
              </w:rPr>
              <w:t>f</w:t>
            </w:r>
            <w:r w:rsidRPr="006D3E70">
              <w:rPr>
                <w:lang w:val="fr-FR"/>
              </w:rPr>
              <w:t> &lt; 87,5 MHz et 137 MHz &lt; </w:t>
            </w:r>
            <w:r w:rsidRPr="006D3E70">
              <w:rPr>
                <w:i/>
                <w:lang w:val="fr-FR"/>
              </w:rPr>
              <w:t>f</w:t>
            </w:r>
            <w:r w:rsidRPr="006D3E70">
              <w:rPr>
                <w:lang w:val="fr-FR"/>
              </w:rPr>
              <w:t xml:space="preserve"> &lt;  (voir le § 2.5 du </w:t>
            </w:r>
            <w:r w:rsidRPr="006D3E70">
              <w:rPr>
                <w:i/>
                <w:lang w:val="fr-FR"/>
              </w:rPr>
              <w:t>recommande</w:t>
            </w:r>
            <w:r w:rsidRPr="006D3E70">
              <w:rPr>
                <w:lang w:val="fr-FR"/>
              </w:rPr>
              <w:t>):</w:t>
            </w:r>
          </w:p>
          <w:p w14:paraId="0E8192EF" w14:textId="77777777" w:rsidR="00532249" w:rsidRPr="006D3E70" w:rsidRDefault="00532249" w:rsidP="0097214F">
            <w:pPr>
              <w:pStyle w:val="Tabletext"/>
              <w:tabs>
                <w:tab w:val="clear" w:pos="3686"/>
                <w:tab w:val="left" w:pos="3700"/>
              </w:tabs>
              <w:rPr>
                <w:lang w:val="fr-FR"/>
              </w:rPr>
            </w:pPr>
            <w:r w:rsidRPr="006D3E70">
              <w:rPr>
                <w:lang w:val="fr-FR"/>
              </w:rPr>
              <w:tab/>
              <w:t>– 36 dBm</w:t>
            </w:r>
            <w:r w:rsidRPr="006D3E70">
              <w:rPr>
                <w:lang w:val="fr-FR"/>
              </w:rPr>
              <w:tab/>
              <w:t>pour</w:t>
            </w:r>
            <w:r w:rsidRPr="006D3E70">
              <w:rPr>
                <w:lang w:val="fr-FR"/>
              </w:rPr>
              <w:tab/>
            </w:r>
            <w:r w:rsidRPr="006D3E70">
              <w:rPr>
                <w:lang w:val="fr-FR"/>
              </w:rPr>
              <w:tab/>
              <w:t>    </w:t>
            </w:r>
            <w:r w:rsidRPr="006D3E70">
              <w:rPr>
                <w:i/>
                <w:lang w:val="fr-FR"/>
              </w:rPr>
              <w:t>P</w:t>
            </w:r>
            <w:r w:rsidRPr="006D3E70">
              <w:rPr>
                <w:lang w:val="fr-FR"/>
              </w:rPr>
              <w:t> &lt; 4 dBW</w:t>
            </w:r>
            <w:r w:rsidRPr="006D3E70">
              <w:rPr>
                <w:lang w:val="fr-FR"/>
              </w:rPr>
              <w:t> </w:t>
            </w:r>
          </w:p>
          <w:p w14:paraId="1BEE9725" w14:textId="77777777" w:rsidR="00532249" w:rsidRPr="006D3E70" w:rsidRDefault="00532249" w:rsidP="0097214F">
            <w:pPr>
              <w:pStyle w:val="Tabletext"/>
              <w:tabs>
                <w:tab w:val="clear" w:pos="3686"/>
                <w:tab w:val="left" w:pos="3700"/>
              </w:tabs>
              <w:rPr>
                <w:lang w:val="fr-FR"/>
              </w:rPr>
            </w:pPr>
            <w:r w:rsidRPr="006D3E70">
              <w:rPr>
                <w:lang w:val="fr-FR"/>
              </w:rPr>
              <w:tab/>
            </w:r>
            <w:r w:rsidRPr="006D3E70">
              <w:rPr>
                <w:lang w:val="fr-FR"/>
              </w:rPr>
              <w:t> </w:t>
            </w:r>
            <w:r w:rsidRPr="006D3E70">
              <w:rPr>
                <w:lang w:val="fr-FR"/>
              </w:rPr>
              <w:t>70 dBc</w:t>
            </w:r>
            <w:r w:rsidRPr="006D3E70">
              <w:rPr>
                <w:lang w:val="fr-FR"/>
              </w:rPr>
              <w:tab/>
            </w:r>
            <w:r w:rsidRPr="006D3E70">
              <w:rPr>
                <w:lang w:val="fr-FR"/>
              </w:rPr>
              <w:tab/>
              <w:t>pour</w:t>
            </w:r>
            <w:r w:rsidRPr="006D3E70">
              <w:rPr>
                <w:lang w:val="fr-FR"/>
              </w:rPr>
              <w:tab/>
              <w:t xml:space="preserve"> 4 dBW </w:t>
            </w:r>
            <w:r w:rsidRPr="006D3E70">
              <w:rPr>
                <w:lang w:val="fr-FR"/>
              </w:rPr>
              <w:sym w:font="Symbol" w:char="F0A3"/>
            </w:r>
            <w:r w:rsidRPr="006D3E70">
              <w:rPr>
                <w:lang w:val="fr-FR"/>
              </w:rPr>
              <w:t> </w:t>
            </w:r>
            <w:r w:rsidRPr="006D3E70">
              <w:rPr>
                <w:i/>
                <w:lang w:val="fr-FR"/>
              </w:rPr>
              <w:t>P</w:t>
            </w:r>
            <w:r w:rsidRPr="006D3E70">
              <w:rPr>
                <w:lang w:val="fr-FR"/>
              </w:rPr>
              <w:t> &lt; 40 dBW</w:t>
            </w:r>
          </w:p>
          <w:p w14:paraId="2B292263" w14:textId="77777777" w:rsidR="00532249" w:rsidRPr="006D3E70" w:rsidRDefault="00532249" w:rsidP="0097214F">
            <w:pPr>
              <w:pStyle w:val="Tabletext"/>
              <w:rPr>
                <w:lang w:val="fr-FR"/>
              </w:rPr>
            </w:pPr>
            <w:r w:rsidRPr="006D3E70">
              <w:rPr>
                <w:lang w:val="fr-FR"/>
              </w:rPr>
              <w:tab/>
            </w:r>
            <w:r w:rsidRPr="006D3E70">
              <w:rPr>
                <w:lang w:val="fr-FR"/>
              </w:rPr>
              <w:t> </w:t>
            </w:r>
            <w:r w:rsidRPr="006D3E70">
              <w:rPr>
                <w:lang w:val="fr-FR"/>
              </w:rPr>
              <w:t> </w:t>
            </w:r>
            <w:r w:rsidRPr="006D3E70">
              <w:rPr>
                <w:lang w:val="fr-FR"/>
              </w:rPr>
              <w:t>0 dBm</w:t>
            </w:r>
            <w:r w:rsidRPr="006D3E70">
              <w:rPr>
                <w:lang w:val="fr-FR"/>
              </w:rPr>
              <w:tab/>
              <w:t>pour</w:t>
            </w:r>
            <w:r w:rsidRPr="006D3E70">
              <w:rPr>
                <w:lang w:val="fr-FR"/>
              </w:rPr>
              <w:tab/>
              <w:t>40 dBW </w:t>
            </w:r>
            <w:r w:rsidRPr="006D3E70">
              <w:rPr>
                <w:lang w:val="fr-FR"/>
              </w:rPr>
              <w:sym w:font="Symbol" w:char="F0A3"/>
            </w:r>
            <w:r w:rsidRPr="006D3E70">
              <w:rPr>
                <w:lang w:val="fr-FR"/>
              </w:rPr>
              <w:t> </w:t>
            </w:r>
            <w:r w:rsidRPr="006D3E70">
              <w:rPr>
                <w:i/>
                <w:lang w:val="fr-FR"/>
              </w:rPr>
              <w:t>P</w:t>
            </w:r>
          </w:p>
        </w:tc>
      </w:tr>
      <w:tr w:rsidR="00532249" w:rsidRPr="006D3E70" w14:paraId="7976C85E" w14:textId="77777777" w:rsidTr="009B33DD">
        <w:trPr>
          <w:jc w:val="center"/>
        </w:trPr>
        <w:tc>
          <w:tcPr>
            <w:tcW w:w="3150" w:type="dxa"/>
            <w:tcBorders>
              <w:top w:val="single" w:sz="6" w:space="0" w:color="auto"/>
              <w:left w:val="single" w:sz="6" w:space="0" w:color="auto"/>
              <w:bottom w:val="single" w:sz="6" w:space="0" w:color="auto"/>
              <w:right w:val="single" w:sz="6" w:space="0" w:color="auto"/>
            </w:tcBorders>
            <w:noWrap/>
            <w:tcMar>
              <w:left w:w="57" w:type="dxa"/>
              <w:right w:w="57" w:type="dxa"/>
            </w:tcMar>
          </w:tcPr>
          <w:p w14:paraId="2BA62308" w14:textId="77777777" w:rsidR="00532249" w:rsidRPr="006D3E70" w:rsidRDefault="00532249" w:rsidP="0097214F">
            <w:pPr>
              <w:pStyle w:val="Tabletext"/>
              <w:keepNext/>
              <w:keepLines/>
              <w:jc w:val="left"/>
              <w:rPr>
                <w:lang w:val="fr-FR"/>
              </w:rPr>
            </w:pPr>
            <w:r w:rsidRPr="006D3E70">
              <w:rPr>
                <w:lang w:val="fr-FR"/>
              </w:rPr>
              <w:t>Systèmes radar du service de radiorepérage</w:t>
            </w:r>
            <w:r w:rsidRPr="006D3E70">
              <w:rPr>
                <w:vertAlign w:val="superscript"/>
                <w:lang w:val="fr-FR"/>
              </w:rPr>
              <w:t>(5)</w:t>
            </w:r>
            <w:r w:rsidRPr="006D3E70">
              <w:rPr>
                <w:sz w:val="24"/>
                <w:szCs w:val="24"/>
                <w:vertAlign w:val="superscript"/>
                <w:lang w:val="fr-FR"/>
              </w:rPr>
              <w:t>,</w:t>
            </w:r>
            <w:r w:rsidRPr="006D3E70">
              <w:rPr>
                <w:vertAlign w:val="superscript"/>
                <w:lang w:val="fr-FR"/>
              </w:rPr>
              <w:t> (6)</w:t>
            </w:r>
            <w:r w:rsidRPr="006D3E70">
              <w:rPr>
                <w:lang w:val="fr-FR"/>
              </w:rPr>
              <w:t>:</w:t>
            </w:r>
          </w:p>
          <w:p w14:paraId="1F9ABC1B" w14:textId="77777777" w:rsidR="00532249" w:rsidRPr="006D3E70" w:rsidRDefault="00532249" w:rsidP="0097214F">
            <w:pPr>
              <w:pStyle w:val="Tabletext"/>
              <w:keepNext/>
              <w:keepLines/>
              <w:jc w:val="left"/>
              <w:rPr>
                <w:lang w:val="fr-FR"/>
              </w:rPr>
            </w:pPr>
            <w:r w:rsidRPr="006D3E70">
              <w:rPr>
                <w:lang w:val="fr-FR"/>
              </w:rPr>
              <w:t>Stations de radiorepérage fixes</w:t>
            </w:r>
            <w:r w:rsidRPr="006D3E70">
              <w:rPr>
                <w:vertAlign w:val="superscript"/>
                <w:lang w:val="fr-FR"/>
              </w:rPr>
              <w:t> (7)</w:t>
            </w:r>
            <w:r w:rsidRPr="006D3E70">
              <w:rPr>
                <w:lang w:val="fr-FR"/>
              </w:rPr>
              <w:t xml:space="preserve"> </w:t>
            </w:r>
            <w:r w:rsidRPr="006D3E70">
              <w:rPr>
                <w:lang w:val="fr-FR"/>
              </w:rPr>
              <w:br/>
              <w:t>(sauf les radars multifréquences, les radars à antenne réseau active</w:t>
            </w:r>
            <w:r w:rsidRPr="006D3E70">
              <w:rPr>
                <w:vertAlign w:val="superscript"/>
                <w:lang w:val="fr-FR"/>
              </w:rPr>
              <w:t>(8)</w:t>
            </w:r>
            <w:r w:rsidRPr="006D3E70">
              <w:rPr>
                <w:lang w:val="fr-FR"/>
              </w:rPr>
              <w:t xml:space="preserve"> et les radars météorologiques)</w:t>
            </w:r>
          </w:p>
          <w:p w14:paraId="0E2F1541" w14:textId="77777777" w:rsidR="00532249" w:rsidRPr="006D3E70" w:rsidRDefault="00532249" w:rsidP="0097214F">
            <w:pPr>
              <w:pStyle w:val="Tabletext"/>
              <w:keepNext/>
              <w:keepLines/>
              <w:jc w:val="left"/>
              <w:rPr>
                <w:lang w:val="fr-FR"/>
              </w:rPr>
            </w:pPr>
            <w:r w:rsidRPr="006D3E70">
              <w:rPr>
                <w:lang w:val="fr-FR"/>
              </w:rPr>
              <w:t>Radars météorologiques (sauf les radars profileurs de vent)</w:t>
            </w:r>
          </w:p>
        </w:tc>
        <w:tc>
          <w:tcPr>
            <w:tcW w:w="6489" w:type="dxa"/>
            <w:tcBorders>
              <w:top w:val="single" w:sz="6" w:space="0" w:color="auto"/>
              <w:left w:val="single" w:sz="6" w:space="0" w:color="auto"/>
              <w:bottom w:val="single" w:sz="6" w:space="0" w:color="auto"/>
              <w:right w:val="single" w:sz="6" w:space="0" w:color="auto"/>
            </w:tcBorders>
            <w:noWrap/>
            <w:tcMar>
              <w:left w:w="57" w:type="dxa"/>
              <w:right w:w="57" w:type="dxa"/>
            </w:tcMar>
          </w:tcPr>
          <w:p w14:paraId="3F4F0FFE" w14:textId="77777777" w:rsidR="00532249" w:rsidRPr="006D3E70" w:rsidRDefault="00532249" w:rsidP="0097214F">
            <w:pPr>
              <w:pStyle w:val="Tabletext"/>
              <w:keepNext/>
              <w:keepLines/>
              <w:tabs>
                <w:tab w:val="right" w:pos="9611"/>
              </w:tabs>
              <w:jc w:val="left"/>
              <w:rPr>
                <w:lang w:val="fr-FR"/>
              </w:rPr>
            </w:pPr>
            <w:r w:rsidRPr="006D3E70">
              <w:rPr>
                <w:lang w:val="fr-FR"/>
              </w:rPr>
              <w:t>Niveaux absolus (dBm de PEP dans la largeur de bande de référence) ou affaiblissement (dB) au-dessous de la puissance (PEP) (selon la valeur qui est la moins contraignante):</w:t>
            </w:r>
          </w:p>
          <w:p w14:paraId="572551A6" w14:textId="77777777" w:rsidR="00532249" w:rsidRPr="006D3E70" w:rsidRDefault="00532249" w:rsidP="0097214F">
            <w:pPr>
              <w:pStyle w:val="Tabletext"/>
              <w:jc w:val="left"/>
              <w:rPr>
                <w:lang w:val="fr-FR"/>
              </w:rPr>
            </w:pPr>
            <w:r w:rsidRPr="006D3E70">
              <w:rPr>
                <w:lang w:val="fr-FR"/>
              </w:rPr>
              <w:t xml:space="preserve">–30 dBm ou 100 dB </w:t>
            </w:r>
            <w:r w:rsidRPr="006D3E70">
              <w:rPr>
                <w:lang w:val="fr-FR"/>
              </w:rPr>
              <w:br/>
            </w:r>
            <w:r w:rsidRPr="006D3E70">
              <w:rPr>
                <w:lang w:val="fr-FR"/>
              </w:rPr>
              <w:br/>
            </w:r>
            <w:r w:rsidRPr="006D3E70">
              <w:rPr>
                <w:lang w:val="fr-FR"/>
              </w:rPr>
              <w:br/>
            </w:r>
          </w:p>
          <w:p w14:paraId="4DBA26FE" w14:textId="77777777" w:rsidR="00532249" w:rsidRPr="006D3E70" w:rsidRDefault="00532249" w:rsidP="0097214F">
            <w:pPr>
              <w:pStyle w:val="Tabletext"/>
              <w:keepNext/>
              <w:keepLines/>
              <w:jc w:val="left"/>
              <w:rPr>
                <w:lang w:val="fr-FR"/>
              </w:rPr>
            </w:pPr>
            <w:r w:rsidRPr="006D3E70">
              <w:rPr>
                <w:lang w:val="fr-FR"/>
              </w:rPr>
              <w:t>–30 dBm ou 100 dB, pour PEP ≤ 150 kW;</w:t>
            </w:r>
            <w:r w:rsidRPr="006D3E70">
              <w:rPr>
                <w:lang w:val="fr-FR"/>
              </w:rPr>
              <w:br/>
              <w:t>–30 dBm ou 90 dB, pour PEP &gt; 150 kW</w:t>
            </w:r>
            <w:r w:rsidRPr="006D3E70">
              <w:rPr>
                <w:sz w:val="20"/>
                <w:vertAlign w:val="superscript"/>
                <w:lang w:val="fr-FR"/>
              </w:rPr>
              <w:t>(9)</w:t>
            </w:r>
            <w:r w:rsidRPr="006D3E70">
              <w:rPr>
                <w:lang w:val="fr-FR"/>
              </w:rPr>
              <w:t xml:space="preserve"> </w:t>
            </w:r>
          </w:p>
        </w:tc>
      </w:tr>
      <w:tr w:rsidR="00532249" w:rsidRPr="006D3E70" w14:paraId="0FAE1202" w14:textId="77777777" w:rsidTr="0097214F">
        <w:trPr>
          <w:jc w:val="center"/>
        </w:trPr>
        <w:tc>
          <w:tcPr>
            <w:tcW w:w="3150" w:type="dxa"/>
            <w:tcBorders>
              <w:top w:val="single" w:sz="6" w:space="0" w:color="auto"/>
              <w:left w:val="single" w:sz="6" w:space="0" w:color="auto"/>
              <w:bottom w:val="single" w:sz="6" w:space="0" w:color="auto"/>
              <w:right w:val="single" w:sz="6" w:space="0" w:color="auto"/>
            </w:tcBorders>
            <w:noWrap/>
            <w:tcMar>
              <w:left w:w="57" w:type="dxa"/>
              <w:right w:w="57" w:type="dxa"/>
            </w:tcMar>
          </w:tcPr>
          <w:p w14:paraId="5CF1C624" w14:textId="77777777" w:rsidR="00532249" w:rsidRPr="006D3E70" w:rsidRDefault="00532249" w:rsidP="0097214F">
            <w:pPr>
              <w:pStyle w:val="Tabletext"/>
              <w:jc w:val="left"/>
              <w:rPr>
                <w:lang w:val="fr-FR"/>
              </w:rPr>
            </w:pPr>
            <w:r w:rsidRPr="006D3E70">
              <w:rPr>
                <w:lang w:val="fr-FR"/>
              </w:rPr>
              <w:t>Dispositifs à courte portée fonctionnant au</w:t>
            </w:r>
            <w:r w:rsidRPr="006D3E70">
              <w:rPr>
                <w:lang w:val="fr-FR"/>
              </w:rPr>
              <w:noBreakHyphen/>
              <w:t>dessous de 30 MHz</w:t>
            </w:r>
          </w:p>
        </w:tc>
        <w:tc>
          <w:tcPr>
            <w:tcW w:w="6489" w:type="dxa"/>
            <w:tcBorders>
              <w:top w:val="single" w:sz="6" w:space="0" w:color="auto"/>
              <w:left w:val="single" w:sz="6" w:space="0" w:color="auto"/>
              <w:bottom w:val="single" w:sz="6" w:space="0" w:color="auto"/>
              <w:right w:val="single" w:sz="6" w:space="0" w:color="auto"/>
            </w:tcBorders>
            <w:noWrap/>
            <w:tcMar>
              <w:left w:w="57" w:type="dxa"/>
              <w:right w:w="57" w:type="dxa"/>
            </w:tcMar>
          </w:tcPr>
          <w:p w14:paraId="424B46FE" w14:textId="77777777" w:rsidR="00532249" w:rsidRPr="006D3E70" w:rsidRDefault="00532249" w:rsidP="0097214F">
            <w:pPr>
              <w:pStyle w:val="Tabletext"/>
              <w:jc w:val="left"/>
              <w:rPr>
                <w:lang w:val="fr-FR"/>
              </w:rPr>
            </w:pPr>
            <w:r w:rsidRPr="006D3E70">
              <w:rPr>
                <w:lang w:val="fr-FR"/>
              </w:rPr>
              <w:t>29 – 10 log(</w:t>
            </w:r>
            <w:r w:rsidRPr="006D3E70">
              <w:rPr>
                <w:sz w:val="20"/>
                <w:lang w:val="fr-FR"/>
              </w:rPr>
              <w:t xml:space="preserve"> </w:t>
            </w:r>
            <w:r w:rsidRPr="006D3E70">
              <w:rPr>
                <w:i/>
                <w:iCs/>
                <w:lang w:val="fr-FR"/>
              </w:rPr>
              <w:t xml:space="preserve">f </w:t>
            </w:r>
            <w:r w:rsidRPr="006D3E70">
              <w:rPr>
                <w:lang w:val="fr-FR"/>
              </w:rPr>
              <w:t>(kHz)/9) dB(</w:t>
            </w:r>
            <w:r w:rsidRPr="006D3E70">
              <w:rPr>
                <w:lang w:val="fr-FR"/>
              </w:rPr>
              <w:sym w:font="Symbol" w:char="F06D"/>
            </w:r>
            <w:r w:rsidRPr="006D3E70">
              <w:rPr>
                <w:lang w:val="fr-FR"/>
              </w:rPr>
              <w:t xml:space="preserve">A/m) à 10 m pour 9 kHz &lt; </w:t>
            </w:r>
            <w:r w:rsidRPr="006D3E70">
              <w:rPr>
                <w:i/>
                <w:iCs/>
                <w:lang w:val="fr-FR"/>
              </w:rPr>
              <w:t>f</w:t>
            </w:r>
            <w:r w:rsidRPr="006D3E70">
              <w:rPr>
                <w:lang w:val="fr-FR"/>
              </w:rPr>
              <w:t xml:space="preserve"> &lt; 10 MHz</w:t>
            </w:r>
          </w:p>
          <w:p w14:paraId="5CEF5809" w14:textId="77777777" w:rsidR="00532249" w:rsidRPr="006D3E70" w:rsidRDefault="00532249" w:rsidP="0097214F">
            <w:pPr>
              <w:pStyle w:val="Tabletext"/>
              <w:jc w:val="left"/>
              <w:rPr>
                <w:lang w:val="fr-FR"/>
              </w:rPr>
            </w:pPr>
            <w:r w:rsidRPr="006D3E70">
              <w:rPr>
                <w:lang w:val="fr-FR"/>
              </w:rPr>
              <w:t>–1 dB(</w:t>
            </w:r>
            <w:r w:rsidRPr="006D3E70">
              <w:rPr>
                <w:lang w:val="fr-FR"/>
              </w:rPr>
              <w:sym w:font="Symbol" w:char="F06D"/>
            </w:r>
            <w:r w:rsidRPr="006D3E70">
              <w:rPr>
                <w:lang w:val="fr-FR"/>
              </w:rPr>
              <w:t>A/m) à 10 m</w:t>
            </w:r>
            <w:r w:rsidRPr="006D3E70">
              <w:rPr>
                <w:lang w:val="fr-FR"/>
              </w:rPr>
              <w:tab/>
              <w:t xml:space="preserve">pour 10 MHz &lt; </w:t>
            </w:r>
            <w:r w:rsidRPr="006D3E70">
              <w:rPr>
                <w:i/>
                <w:iCs/>
                <w:lang w:val="fr-FR"/>
              </w:rPr>
              <w:t>f</w:t>
            </w:r>
            <w:r w:rsidRPr="006D3E70">
              <w:rPr>
                <w:lang w:val="fr-FR"/>
              </w:rPr>
              <w:t xml:space="preserve"> &lt; 30 MHz</w:t>
            </w:r>
          </w:p>
          <w:p w14:paraId="65114256" w14:textId="77777777" w:rsidR="00532249" w:rsidRPr="006D3E70" w:rsidRDefault="00532249" w:rsidP="0097214F">
            <w:pPr>
              <w:pStyle w:val="Tabletext"/>
              <w:jc w:val="left"/>
              <w:rPr>
                <w:lang w:val="fr-FR"/>
              </w:rPr>
            </w:pPr>
            <w:r w:rsidRPr="006D3E70">
              <w:rPr>
                <w:lang w:val="fr-FR"/>
              </w:rPr>
              <w:t>–36 dBm</w:t>
            </w:r>
            <w:r w:rsidRPr="006D3E70">
              <w:rPr>
                <w:lang w:val="fr-FR"/>
              </w:rPr>
              <w:tab/>
            </w:r>
            <w:r w:rsidRPr="006D3E70">
              <w:rPr>
                <w:lang w:val="fr-FR"/>
              </w:rPr>
              <w:tab/>
            </w:r>
            <w:r w:rsidRPr="006D3E70">
              <w:rPr>
                <w:lang w:val="fr-FR"/>
              </w:rPr>
              <w:tab/>
            </w:r>
            <w:r w:rsidRPr="006D3E70">
              <w:rPr>
                <w:lang w:val="fr-FR"/>
              </w:rPr>
              <w:tab/>
            </w:r>
            <w:r w:rsidRPr="006D3E70">
              <w:rPr>
                <w:lang w:val="fr-FR"/>
              </w:rPr>
              <w:tab/>
              <w:t xml:space="preserve">pour 30 MHz </w:t>
            </w:r>
            <w:r w:rsidRPr="006D3E70">
              <w:rPr>
                <w:lang w:val="fr-FR"/>
              </w:rPr>
              <w:sym w:font="Symbol" w:char="F0A3"/>
            </w:r>
            <w:r w:rsidRPr="006D3E70">
              <w:rPr>
                <w:lang w:val="fr-FR"/>
              </w:rPr>
              <w:t xml:space="preserve"> sauf aux fréquences </w:t>
            </w:r>
            <w:r w:rsidRPr="006D3E70">
              <w:rPr>
                <w:lang w:val="fr-FR"/>
              </w:rPr>
              <w:sym w:font="Symbol" w:char="F03C"/>
            </w:r>
            <w:r w:rsidRPr="006D3E70">
              <w:rPr>
                <w:lang w:val="fr-FR"/>
              </w:rPr>
              <w:t xml:space="preserve"> 1 GHz</w:t>
            </w:r>
          </w:p>
          <w:p w14:paraId="622ABAC0" w14:textId="77777777" w:rsidR="00532249" w:rsidRPr="006D3E70" w:rsidRDefault="00532249" w:rsidP="0097214F">
            <w:pPr>
              <w:pStyle w:val="Tabletext"/>
              <w:jc w:val="left"/>
              <w:rPr>
                <w:lang w:val="fr-FR"/>
              </w:rPr>
            </w:pPr>
            <w:r w:rsidRPr="006D3E70">
              <w:rPr>
                <w:lang w:val="fr-FR"/>
              </w:rPr>
              <w:t>–54 dBm</w:t>
            </w:r>
            <w:r w:rsidRPr="006D3E70">
              <w:rPr>
                <w:lang w:val="fr-FR"/>
              </w:rPr>
              <w:tab/>
            </w:r>
            <w:r w:rsidRPr="006D3E70">
              <w:rPr>
                <w:lang w:val="fr-FR"/>
              </w:rPr>
              <w:tab/>
            </w:r>
            <w:r w:rsidRPr="006D3E70">
              <w:rPr>
                <w:lang w:val="fr-FR"/>
              </w:rPr>
              <w:tab/>
            </w:r>
            <w:r w:rsidRPr="006D3E70">
              <w:rPr>
                <w:lang w:val="fr-FR"/>
              </w:rPr>
              <w:tab/>
            </w:r>
            <w:r w:rsidRPr="006D3E70">
              <w:rPr>
                <w:lang w:val="fr-FR"/>
              </w:rPr>
              <w:tab/>
              <w:t xml:space="preserve">pour </w:t>
            </w:r>
            <w:r w:rsidRPr="006D3E70">
              <w:rPr>
                <w:i/>
                <w:lang w:val="fr-FR"/>
              </w:rPr>
              <w:t>f</w:t>
            </w:r>
            <w:r w:rsidRPr="006D3E70">
              <w:rPr>
                <w:lang w:val="fr-FR"/>
              </w:rPr>
              <w:t xml:space="preserve"> dans les bandes 47-74 MHz,</w:t>
            </w:r>
            <w:r w:rsidRPr="006D3E70">
              <w:rPr>
                <w:lang w:val="fr-FR"/>
              </w:rPr>
              <w:br/>
            </w:r>
            <w:r w:rsidRPr="006D3E70">
              <w:rPr>
                <w:lang w:val="fr-FR"/>
              </w:rPr>
              <w:tab/>
            </w:r>
            <w:r w:rsidRPr="006D3E70">
              <w:rPr>
                <w:lang w:val="fr-FR"/>
              </w:rPr>
              <w:tab/>
            </w:r>
            <w:r w:rsidRPr="006D3E70">
              <w:rPr>
                <w:lang w:val="fr-FR"/>
              </w:rPr>
              <w:tab/>
            </w:r>
            <w:r w:rsidRPr="006D3E70">
              <w:rPr>
                <w:lang w:val="fr-FR"/>
              </w:rPr>
              <w:tab/>
            </w:r>
            <w:r w:rsidRPr="006D3E70">
              <w:rPr>
                <w:lang w:val="fr-FR"/>
              </w:rPr>
              <w:tab/>
            </w:r>
            <w:r w:rsidRPr="006D3E70">
              <w:rPr>
                <w:lang w:val="fr-FR"/>
              </w:rPr>
              <w:tab/>
            </w:r>
            <w:r w:rsidRPr="006D3E70">
              <w:rPr>
                <w:lang w:val="fr-FR"/>
              </w:rPr>
              <w:tab/>
              <w:t>87,5</w:t>
            </w:r>
            <w:r w:rsidRPr="006D3E70">
              <w:rPr>
                <w:lang w:val="fr-FR"/>
              </w:rPr>
              <w:noBreakHyphen/>
              <w:t>118 MHz, 174-230 MHz, 470-862 MHz</w:t>
            </w:r>
          </w:p>
          <w:p w14:paraId="1C4B4BF7" w14:textId="77777777" w:rsidR="00532249" w:rsidRPr="006D3E70" w:rsidRDefault="00532249" w:rsidP="0097214F">
            <w:pPr>
              <w:pStyle w:val="Tabletext"/>
              <w:jc w:val="left"/>
              <w:rPr>
                <w:lang w:val="fr-FR"/>
              </w:rPr>
            </w:pPr>
            <w:r w:rsidRPr="006D3E70">
              <w:rPr>
                <w:lang w:val="fr-FR"/>
              </w:rPr>
              <w:t>–30 dBm</w:t>
            </w:r>
            <w:r w:rsidRPr="006D3E70">
              <w:rPr>
                <w:lang w:val="fr-FR"/>
              </w:rPr>
              <w:tab/>
            </w:r>
            <w:r w:rsidRPr="006D3E70">
              <w:rPr>
                <w:lang w:val="fr-FR"/>
              </w:rPr>
              <w:tab/>
            </w:r>
            <w:r w:rsidRPr="006D3E70">
              <w:rPr>
                <w:lang w:val="fr-FR"/>
              </w:rPr>
              <w:tab/>
            </w:r>
            <w:r w:rsidRPr="006D3E70">
              <w:rPr>
                <w:lang w:val="fr-FR"/>
              </w:rPr>
              <w:tab/>
            </w:r>
            <w:r w:rsidRPr="006D3E70">
              <w:rPr>
                <w:lang w:val="fr-FR"/>
              </w:rPr>
              <w:tab/>
              <w:t xml:space="preserve">pour 1 GHz </w:t>
            </w:r>
            <w:r w:rsidRPr="006D3E70">
              <w:rPr>
                <w:lang w:val="fr-FR"/>
              </w:rPr>
              <w:sym w:font="Symbol" w:char="F0A3"/>
            </w:r>
            <w:r w:rsidRPr="006D3E70">
              <w:rPr>
                <w:lang w:val="fr-FR"/>
              </w:rPr>
              <w:t xml:space="preserve"> </w:t>
            </w:r>
            <w:r w:rsidRPr="006D3E70">
              <w:rPr>
                <w:i/>
                <w:lang w:val="fr-FR"/>
              </w:rPr>
              <w:t>f</w:t>
            </w:r>
            <w:r w:rsidRPr="006D3E70">
              <w:rPr>
                <w:lang w:val="fr-FR"/>
              </w:rPr>
              <w:t xml:space="preserve"> &lt; (voir le § 2.5 du </w:t>
            </w:r>
            <w:r w:rsidRPr="006D3E70">
              <w:rPr>
                <w:i/>
                <w:iCs/>
                <w:lang w:val="fr-FR"/>
              </w:rPr>
              <w:t>recommande</w:t>
            </w:r>
            <w:r w:rsidRPr="006D3E70">
              <w:rPr>
                <w:lang w:val="fr-FR"/>
              </w:rPr>
              <w:t>)</w:t>
            </w:r>
          </w:p>
        </w:tc>
      </w:tr>
      <w:tr w:rsidR="00532249" w:rsidRPr="006D3E70" w14:paraId="5B70C65C" w14:textId="77777777" w:rsidTr="0097214F">
        <w:trPr>
          <w:jc w:val="center"/>
        </w:trPr>
        <w:tc>
          <w:tcPr>
            <w:tcW w:w="3150" w:type="dxa"/>
            <w:tcBorders>
              <w:top w:val="single" w:sz="6" w:space="0" w:color="auto"/>
              <w:left w:val="single" w:sz="6" w:space="0" w:color="auto"/>
              <w:bottom w:val="single" w:sz="4" w:space="0" w:color="auto"/>
              <w:right w:val="single" w:sz="6" w:space="0" w:color="auto"/>
            </w:tcBorders>
            <w:noWrap/>
            <w:tcMar>
              <w:left w:w="57" w:type="dxa"/>
              <w:right w:w="57" w:type="dxa"/>
            </w:tcMar>
          </w:tcPr>
          <w:p w14:paraId="23F590F3" w14:textId="77777777" w:rsidR="00532249" w:rsidRPr="006D3E70" w:rsidRDefault="00532249" w:rsidP="0097214F">
            <w:pPr>
              <w:pStyle w:val="Tabletext"/>
              <w:jc w:val="left"/>
              <w:rPr>
                <w:lang w:val="fr-FR"/>
              </w:rPr>
            </w:pPr>
            <w:r w:rsidRPr="006D3E70">
              <w:rPr>
                <w:lang w:val="fr-FR"/>
              </w:rPr>
              <w:t>Dispositifs à courte portée au</w:t>
            </w:r>
            <w:r w:rsidRPr="006D3E70">
              <w:rPr>
                <w:lang w:val="fr-FR"/>
              </w:rPr>
              <w:noBreakHyphen/>
              <w:t>dessus de 30 MHz, réseaux radio locaux, bande banalisée (CB), téléphonie sans cordon et microphones sans fil</w:t>
            </w:r>
          </w:p>
        </w:tc>
        <w:tc>
          <w:tcPr>
            <w:tcW w:w="6489" w:type="dxa"/>
            <w:tcBorders>
              <w:top w:val="single" w:sz="6" w:space="0" w:color="auto"/>
              <w:left w:val="single" w:sz="6" w:space="0" w:color="auto"/>
              <w:bottom w:val="single" w:sz="4" w:space="0" w:color="auto"/>
              <w:right w:val="single" w:sz="6" w:space="0" w:color="auto"/>
            </w:tcBorders>
            <w:noWrap/>
            <w:tcMar>
              <w:left w:w="57" w:type="dxa"/>
              <w:right w:w="57" w:type="dxa"/>
            </w:tcMar>
          </w:tcPr>
          <w:p w14:paraId="1EC672ED" w14:textId="77777777" w:rsidR="00532249" w:rsidRPr="006D3E70" w:rsidRDefault="00532249" w:rsidP="0097214F">
            <w:pPr>
              <w:pStyle w:val="Tabletext"/>
              <w:jc w:val="left"/>
              <w:rPr>
                <w:lang w:val="fr-FR"/>
              </w:rPr>
            </w:pPr>
            <w:r w:rsidRPr="006D3E70">
              <w:rPr>
                <w:lang w:val="fr-FR"/>
              </w:rPr>
              <w:t>–36 dBm</w:t>
            </w:r>
            <w:r w:rsidRPr="006D3E70">
              <w:rPr>
                <w:lang w:val="fr-FR"/>
              </w:rPr>
              <w:tab/>
            </w:r>
            <w:r w:rsidRPr="006D3E70">
              <w:rPr>
                <w:lang w:val="fr-FR"/>
              </w:rPr>
              <w:tab/>
            </w:r>
            <w:r w:rsidRPr="006D3E70">
              <w:rPr>
                <w:lang w:val="fr-FR"/>
              </w:rPr>
              <w:tab/>
            </w:r>
            <w:r w:rsidRPr="006D3E70">
              <w:rPr>
                <w:lang w:val="fr-FR"/>
              </w:rPr>
              <w:tab/>
            </w:r>
            <w:r w:rsidRPr="006D3E70">
              <w:rPr>
                <w:lang w:val="fr-FR"/>
              </w:rPr>
              <w:tab/>
              <w:t xml:space="preserve">pour 9 kHz </w:t>
            </w:r>
            <w:r w:rsidRPr="006D3E70">
              <w:rPr>
                <w:lang w:val="fr-FR"/>
              </w:rPr>
              <w:sym w:font="Symbol" w:char="F0A3"/>
            </w:r>
            <w:r w:rsidRPr="006D3E70">
              <w:rPr>
                <w:lang w:val="fr-FR"/>
              </w:rPr>
              <w:t xml:space="preserve"> sauf aux fréquences &lt; 1 GHz</w:t>
            </w:r>
          </w:p>
          <w:p w14:paraId="3E33ADDD" w14:textId="77777777" w:rsidR="00532249" w:rsidRPr="006D3E70" w:rsidRDefault="00532249" w:rsidP="0097214F">
            <w:pPr>
              <w:pStyle w:val="Tabletext"/>
              <w:jc w:val="left"/>
              <w:rPr>
                <w:lang w:val="fr-FR"/>
              </w:rPr>
            </w:pPr>
            <w:r w:rsidRPr="006D3E70">
              <w:rPr>
                <w:lang w:val="fr-FR"/>
              </w:rPr>
              <w:t>–54 dBm</w:t>
            </w:r>
            <w:r w:rsidRPr="006D3E70">
              <w:rPr>
                <w:lang w:val="fr-FR"/>
              </w:rPr>
              <w:tab/>
            </w:r>
            <w:r w:rsidRPr="006D3E70">
              <w:rPr>
                <w:lang w:val="fr-FR"/>
              </w:rPr>
              <w:tab/>
            </w:r>
            <w:r w:rsidRPr="006D3E70">
              <w:rPr>
                <w:lang w:val="fr-FR"/>
              </w:rPr>
              <w:tab/>
            </w:r>
            <w:r w:rsidRPr="006D3E70">
              <w:rPr>
                <w:lang w:val="fr-FR"/>
              </w:rPr>
              <w:tab/>
            </w:r>
            <w:r w:rsidRPr="006D3E70">
              <w:rPr>
                <w:lang w:val="fr-FR"/>
              </w:rPr>
              <w:tab/>
              <w:t xml:space="preserve">pour </w:t>
            </w:r>
            <w:r w:rsidRPr="006D3E70">
              <w:rPr>
                <w:i/>
                <w:lang w:val="fr-FR"/>
              </w:rPr>
              <w:t>f</w:t>
            </w:r>
            <w:r w:rsidRPr="006D3E70">
              <w:rPr>
                <w:lang w:val="fr-FR"/>
              </w:rPr>
              <w:t xml:space="preserve"> dans les bandes 47-74 MHz, </w:t>
            </w:r>
            <w:r w:rsidRPr="006D3E70">
              <w:rPr>
                <w:lang w:val="fr-FR"/>
              </w:rPr>
              <w:br/>
            </w:r>
            <w:r w:rsidRPr="006D3E70">
              <w:rPr>
                <w:lang w:val="fr-FR"/>
              </w:rPr>
              <w:tab/>
            </w:r>
            <w:r w:rsidRPr="006D3E70">
              <w:rPr>
                <w:lang w:val="fr-FR"/>
              </w:rPr>
              <w:tab/>
            </w:r>
            <w:r w:rsidRPr="006D3E70">
              <w:rPr>
                <w:lang w:val="fr-FR"/>
              </w:rPr>
              <w:tab/>
            </w:r>
            <w:r w:rsidRPr="006D3E70">
              <w:rPr>
                <w:lang w:val="fr-FR"/>
              </w:rPr>
              <w:tab/>
            </w:r>
            <w:r w:rsidRPr="006D3E70">
              <w:rPr>
                <w:lang w:val="fr-FR"/>
              </w:rPr>
              <w:tab/>
            </w:r>
            <w:r w:rsidRPr="006D3E70">
              <w:rPr>
                <w:lang w:val="fr-FR"/>
              </w:rPr>
              <w:tab/>
            </w:r>
            <w:r w:rsidRPr="006D3E70">
              <w:rPr>
                <w:lang w:val="fr-FR"/>
              </w:rPr>
              <w:tab/>
              <w:t xml:space="preserve">87,5-118 MHz, </w:t>
            </w:r>
            <w:r w:rsidRPr="006D3E70">
              <w:rPr>
                <w:lang w:val="fr-FR"/>
              </w:rPr>
              <w:tab/>
              <w:t>174-230 MHz, 470-862 MHz</w:t>
            </w:r>
          </w:p>
          <w:p w14:paraId="5FA1C0DD" w14:textId="77777777" w:rsidR="00532249" w:rsidRPr="006D3E70" w:rsidRDefault="00532249" w:rsidP="0097214F">
            <w:pPr>
              <w:pStyle w:val="Tabletext"/>
              <w:jc w:val="left"/>
              <w:rPr>
                <w:lang w:val="fr-FR"/>
              </w:rPr>
            </w:pPr>
            <w:r w:rsidRPr="006D3E70">
              <w:rPr>
                <w:lang w:val="fr-FR"/>
              </w:rPr>
              <w:t>–30 dBm</w:t>
            </w:r>
            <w:r w:rsidRPr="006D3E70">
              <w:rPr>
                <w:lang w:val="fr-FR"/>
              </w:rPr>
              <w:tab/>
            </w:r>
            <w:r w:rsidRPr="006D3E70">
              <w:rPr>
                <w:lang w:val="fr-FR"/>
              </w:rPr>
              <w:tab/>
            </w:r>
            <w:r w:rsidRPr="006D3E70">
              <w:rPr>
                <w:lang w:val="fr-FR"/>
              </w:rPr>
              <w:tab/>
            </w:r>
            <w:r w:rsidRPr="006D3E70">
              <w:rPr>
                <w:lang w:val="fr-FR"/>
              </w:rPr>
              <w:tab/>
            </w:r>
            <w:r w:rsidRPr="006D3E70">
              <w:rPr>
                <w:lang w:val="fr-FR"/>
              </w:rPr>
              <w:tab/>
              <w:t xml:space="preserve">pour 1 GHz </w:t>
            </w:r>
            <w:r w:rsidRPr="006D3E70">
              <w:rPr>
                <w:lang w:val="fr-FR"/>
              </w:rPr>
              <w:sym w:font="Symbol" w:char="F0A3"/>
            </w:r>
            <w:r w:rsidRPr="006D3E70">
              <w:rPr>
                <w:lang w:val="fr-FR"/>
              </w:rPr>
              <w:t xml:space="preserve"> </w:t>
            </w:r>
            <w:r w:rsidRPr="006D3E70">
              <w:rPr>
                <w:i/>
                <w:lang w:val="fr-FR"/>
              </w:rPr>
              <w:t>f</w:t>
            </w:r>
            <w:r w:rsidRPr="006D3E70">
              <w:rPr>
                <w:lang w:val="fr-FR"/>
              </w:rPr>
              <w:t xml:space="preserve"> &lt; (voir le § 2.5 du </w:t>
            </w:r>
            <w:r w:rsidRPr="006D3E70">
              <w:rPr>
                <w:i/>
                <w:lang w:val="fr-FR"/>
              </w:rPr>
              <w:t>recommande</w:t>
            </w:r>
            <w:r w:rsidRPr="006D3E70">
              <w:rPr>
                <w:lang w:val="fr-FR"/>
              </w:rPr>
              <w:t>)</w:t>
            </w:r>
          </w:p>
        </w:tc>
      </w:tr>
    </w:tbl>
    <w:p w14:paraId="57DDBC27" w14:textId="77777777" w:rsidR="00D00A57" w:rsidRPr="006D3E70" w:rsidRDefault="00D00A57" w:rsidP="00D00A57">
      <w:pPr>
        <w:pStyle w:val="Tablelegend"/>
        <w:keepNext/>
        <w:keepLines/>
        <w:rPr>
          <w:lang w:val="fr-FR"/>
        </w:rPr>
      </w:pPr>
      <w:r w:rsidRPr="006D3E70">
        <w:rPr>
          <w:i/>
          <w:iCs/>
          <w:lang w:val="fr-FR"/>
        </w:rPr>
        <w:lastRenderedPageBreak/>
        <w:t>Notes relatives au Tableau 3:</w:t>
      </w:r>
    </w:p>
    <w:p w14:paraId="7087F636" w14:textId="26B1173D" w:rsidR="00D00A57" w:rsidRPr="006D3E70" w:rsidRDefault="00D00A57" w:rsidP="00D00A57">
      <w:pPr>
        <w:pStyle w:val="Tablelegend"/>
        <w:keepNext/>
        <w:keepLines/>
        <w:tabs>
          <w:tab w:val="clear" w:pos="284"/>
        </w:tabs>
        <w:rPr>
          <w:lang w:val="fr-FR"/>
        </w:rPr>
      </w:pPr>
      <w:r w:rsidRPr="006D3E70">
        <w:rPr>
          <w:i/>
          <w:lang w:val="fr-FR"/>
        </w:rPr>
        <w:t>P</w:t>
      </w:r>
      <w:r w:rsidRPr="006D3E70">
        <w:rPr>
          <w:lang w:val="fr-FR"/>
        </w:rPr>
        <w:t>:</w:t>
      </w:r>
      <w:r w:rsidRPr="006D3E70">
        <w:rPr>
          <w:lang w:val="fr-FR"/>
        </w:rPr>
        <w:tab/>
        <w:t>Puissance moyenne (W) fournie à la ligne de transmission de l</w:t>
      </w:r>
      <w:r w:rsidR="00324C7C" w:rsidRPr="006D3E70">
        <w:rPr>
          <w:lang w:val="fr-FR"/>
        </w:rPr>
        <w:t>'</w:t>
      </w:r>
      <w:r w:rsidRPr="006D3E70">
        <w:rPr>
          <w:lang w:val="fr-FR"/>
        </w:rPr>
        <w:t xml:space="preserve">antenne conformément au numéro </w:t>
      </w:r>
      <w:r w:rsidRPr="006D3E70">
        <w:rPr>
          <w:b/>
          <w:bCs/>
          <w:lang w:val="fr-FR"/>
        </w:rPr>
        <w:t>1.158</w:t>
      </w:r>
      <w:r w:rsidRPr="006D3E70">
        <w:rPr>
          <w:lang w:val="fr-FR"/>
        </w:rPr>
        <w:t xml:space="preserve"> du RR. Dans le cas de transmissions par salves, on mesure la puissance moyenne, </w:t>
      </w:r>
      <w:r w:rsidRPr="006D3E70">
        <w:rPr>
          <w:i/>
          <w:lang w:val="fr-FR"/>
        </w:rPr>
        <w:t>P</w:t>
      </w:r>
      <w:r w:rsidRPr="006D3E70">
        <w:rPr>
          <w:lang w:val="fr-FR"/>
        </w:rPr>
        <w:t xml:space="preserve"> et la puissance moyenne des rayonnements dans le domaine des rayonnements non essentiels en calculant la puissance dont on a établi une moyenne sur la durée de la salve.</w:t>
      </w:r>
    </w:p>
    <w:p w14:paraId="2AFD71DA" w14:textId="0C403EC9" w:rsidR="00D00A57" w:rsidRPr="006D3E70" w:rsidRDefault="00D00A57" w:rsidP="00D00A57">
      <w:pPr>
        <w:pStyle w:val="Tablelegend"/>
        <w:keepNext/>
        <w:keepLines/>
        <w:tabs>
          <w:tab w:val="clear" w:pos="284"/>
        </w:tabs>
        <w:spacing w:before="0"/>
        <w:ind w:firstLine="0"/>
        <w:rPr>
          <w:lang w:val="fr-FR"/>
        </w:rPr>
      </w:pPr>
      <w:r w:rsidRPr="006D3E70">
        <w:rPr>
          <w:lang w:val="fr-FR"/>
        </w:rPr>
        <w:t>Les rayonnements dans le domaine des rayonnements non essentiels devraient être évalués en termes de puissance moyenne sauf pour les services de radiocommunication où ils devraient être évalués en termes de </w:t>
      </w:r>
      <w:r w:rsidRPr="006D3E70">
        <w:rPr>
          <w:i/>
          <w:iCs/>
          <w:lang w:val="fr-FR"/>
        </w:rPr>
        <w:t>PEP</w:t>
      </w:r>
      <w:r w:rsidRPr="006D3E70">
        <w:rPr>
          <w:lang w:val="fr-FR"/>
        </w:rPr>
        <w:t>. Cependant, lorsqu</w:t>
      </w:r>
      <w:r w:rsidR="00324C7C" w:rsidRPr="006D3E70">
        <w:rPr>
          <w:lang w:val="fr-FR"/>
        </w:rPr>
        <w:t>'</w:t>
      </w:r>
      <w:r w:rsidRPr="006D3E70">
        <w:rPr>
          <w:lang w:val="fr-FR"/>
        </w:rPr>
        <w:t xml:space="preserve">il est difficile de mesurer les rayonnements dans le domaine des rayonnements non essentiels en termes de </w:t>
      </w:r>
      <w:r w:rsidRPr="006D3E70">
        <w:rPr>
          <w:i/>
          <w:iCs/>
          <w:lang w:val="fr-FR"/>
        </w:rPr>
        <w:t>PEP</w:t>
      </w:r>
      <w:r w:rsidRPr="006D3E70">
        <w:rPr>
          <w:lang w:val="fr-FR"/>
        </w:rPr>
        <w:t xml:space="preserve"> en raison de la nature même de ces rayonnements (bruit gaussien, par exemple) on peut évaluer la puissance fournie à la ligne de transmission de l</w:t>
      </w:r>
      <w:r w:rsidR="00324C7C" w:rsidRPr="006D3E70">
        <w:rPr>
          <w:lang w:val="fr-FR"/>
        </w:rPr>
        <w:t>'</w:t>
      </w:r>
      <w:r w:rsidRPr="006D3E70">
        <w:rPr>
          <w:lang w:val="fr-FR"/>
        </w:rPr>
        <w:t>antenne et la puissance des rayonnements dans le domaine des rayonnements non essentiels en termes de puissance moyenne (voir l</w:t>
      </w:r>
      <w:r w:rsidR="00324C7C" w:rsidRPr="006D3E70">
        <w:rPr>
          <w:lang w:val="fr-FR"/>
        </w:rPr>
        <w:t>'</w:t>
      </w:r>
      <w:r w:rsidRPr="006D3E70">
        <w:rPr>
          <w:lang w:val="fr-FR"/>
        </w:rPr>
        <w:t>Annexe 2).</w:t>
      </w:r>
    </w:p>
    <w:p w14:paraId="580571F7" w14:textId="77777777" w:rsidR="00D00A57" w:rsidRPr="006D3E70" w:rsidRDefault="00D00A57" w:rsidP="00D00A57">
      <w:pPr>
        <w:pStyle w:val="Tablelegend"/>
        <w:tabs>
          <w:tab w:val="clear" w:pos="284"/>
        </w:tabs>
        <w:rPr>
          <w:lang w:val="fr-FR"/>
        </w:rPr>
      </w:pPr>
      <w:r w:rsidRPr="006D3E70">
        <w:rPr>
          <w:i/>
          <w:lang w:val="fr-FR"/>
        </w:rPr>
        <w:t>f</w:t>
      </w:r>
      <w:r w:rsidRPr="006D3E70">
        <w:rPr>
          <w:lang w:val="fr-FR"/>
        </w:rPr>
        <w:t>:</w:t>
      </w:r>
      <w:r w:rsidRPr="006D3E70">
        <w:rPr>
          <w:lang w:val="fr-FR"/>
        </w:rPr>
        <w:tab/>
        <w:t>Fréquence des rayonnements dans le domaine des rayonnements non essentiels.</w:t>
      </w:r>
    </w:p>
    <w:p w14:paraId="63F1EC4A" w14:textId="3C216393" w:rsidR="00D00A57" w:rsidRPr="006D3E70" w:rsidRDefault="00D00A57" w:rsidP="00D00A57">
      <w:pPr>
        <w:pStyle w:val="Tablelegend"/>
        <w:tabs>
          <w:tab w:val="clear" w:pos="284"/>
        </w:tabs>
        <w:rPr>
          <w:lang w:val="fr-FR"/>
        </w:rPr>
      </w:pPr>
      <w:r w:rsidRPr="006D3E70">
        <w:rPr>
          <w:vertAlign w:val="superscript"/>
          <w:lang w:val="fr-FR"/>
        </w:rPr>
        <w:t>(1)</w:t>
      </w:r>
      <w:r w:rsidRPr="006D3E70">
        <w:rPr>
          <w:lang w:val="fr-FR"/>
        </w:rPr>
        <w:tab/>
        <w:t>Lorsque les administrations autorisent l</w:t>
      </w:r>
      <w:r w:rsidR="00324C7C" w:rsidRPr="006D3E70">
        <w:rPr>
          <w:lang w:val="fr-FR"/>
        </w:rPr>
        <w:t>'</w:t>
      </w:r>
      <w:r w:rsidRPr="006D3E70">
        <w:rPr>
          <w:lang w:val="fr-FR"/>
        </w:rPr>
        <w:t>utilisation des systèmes d</w:t>
      </w:r>
      <w:r w:rsidR="00324C7C" w:rsidRPr="006D3E70">
        <w:rPr>
          <w:lang w:val="fr-FR"/>
        </w:rPr>
        <w:t>'</w:t>
      </w:r>
      <w:r w:rsidRPr="006D3E70">
        <w:rPr>
          <w:lang w:val="fr-FR"/>
        </w:rPr>
        <w:t xml:space="preserve">accès hertzien fixe (FWA, </w:t>
      </w:r>
      <w:r w:rsidRPr="006D3E70">
        <w:rPr>
          <w:i/>
          <w:iCs/>
          <w:lang w:val="fr-FR"/>
        </w:rPr>
        <w:t>fixed wireless access</w:t>
      </w:r>
      <w:r w:rsidRPr="006D3E70">
        <w:rPr>
          <w:lang w:val="fr-FR"/>
        </w:rPr>
        <w:t>) utilisant des techniques mobiles de type cellulaires décrits dans la Recommandation UIT-R F.757, dans les mêmes bandes assignées localement aux systèmes mobiles terrestres ou à un système FWA utilisant une technique mobile terrestre, ces systèmes devraient être assujettis aux limites des rayonnements du service mobile terrestre dans le domaine des rayonnements non essentiels.</w:t>
      </w:r>
    </w:p>
    <w:p w14:paraId="5302D1BC" w14:textId="5CE5E620" w:rsidR="00D00A57" w:rsidRPr="006D3E70" w:rsidRDefault="00D00A57" w:rsidP="00D00A57">
      <w:pPr>
        <w:pStyle w:val="Tablelegend"/>
        <w:tabs>
          <w:tab w:val="clear" w:pos="284"/>
        </w:tabs>
        <w:rPr>
          <w:lang w:val="fr-FR"/>
        </w:rPr>
      </w:pPr>
      <w:r w:rsidRPr="006D3E70">
        <w:rPr>
          <w:vertAlign w:val="superscript"/>
          <w:lang w:val="fr-FR"/>
        </w:rPr>
        <w:t>(2)</w:t>
      </w:r>
      <w:r w:rsidRPr="006D3E70">
        <w:rPr>
          <w:lang w:val="fr-FR"/>
        </w:rPr>
        <w:tab/>
        <w:t>Les limites de la catégorie A s</w:t>
      </w:r>
      <w:r w:rsidR="00324C7C" w:rsidRPr="006D3E70">
        <w:rPr>
          <w:lang w:val="fr-FR"/>
        </w:rPr>
        <w:t>'</w:t>
      </w:r>
      <w:r w:rsidRPr="006D3E70">
        <w:rPr>
          <w:lang w:val="fr-FR"/>
        </w:rPr>
        <w:t>appliquent au service fixe en ondes décamétriques.</w:t>
      </w:r>
    </w:p>
    <w:p w14:paraId="2E3506FE" w14:textId="35796E2C" w:rsidR="00D00A57" w:rsidRPr="006D3E70" w:rsidRDefault="00D00A57" w:rsidP="00D00A57">
      <w:pPr>
        <w:pStyle w:val="Tablelegend"/>
        <w:tabs>
          <w:tab w:val="clear" w:pos="284"/>
        </w:tabs>
        <w:rPr>
          <w:lang w:val="fr-FR"/>
        </w:rPr>
      </w:pPr>
      <w:r w:rsidRPr="006D3E70">
        <w:rPr>
          <w:vertAlign w:val="superscript"/>
          <w:lang w:val="fr-FR"/>
        </w:rPr>
        <w:t>(3)</w:t>
      </w:r>
      <w:r w:rsidRPr="006D3E70">
        <w:rPr>
          <w:lang w:val="fr-FR"/>
        </w:rPr>
        <w:tab/>
        <w:t>Une largeur de bande de référence réduite est autorisée de part et d</w:t>
      </w:r>
      <w:r w:rsidR="00324C7C" w:rsidRPr="006D3E70">
        <w:rPr>
          <w:lang w:val="fr-FR"/>
        </w:rPr>
        <w:t>'</w:t>
      </w:r>
      <w:r w:rsidRPr="006D3E70">
        <w:rPr>
          <w:lang w:val="fr-FR"/>
        </w:rPr>
        <w:t>autre des 250% de la largeur de bande nécessaire de l</w:t>
      </w:r>
      <w:r w:rsidR="00324C7C" w:rsidRPr="006D3E70">
        <w:rPr>
          <w:lang w:val="fr-FR"/>
        </w:rPr>
        <w:t>'</w:t>
      </w:r>
      <w:r w:rsidRPr="006D3E70">
        <w:rPr>
          <w:lang w:val="fr-FR"/>
        </w:rPr>
        <w:t>émission (voir l</w:t>
      </w:r>
      <w:r w:rsidR="00324C7C" w:rsidRPr="006D3E70">
        <w:rPr>
          <w:lang w:val="fr-FR"/>
        </w:rPr>
        <w:t>'</w:t>
      </w:r>
      <w:r w:rsidRPr="006D3E70">
        <w:rPr>
          <w:lang w:val="fr-FR"/>
        </w:rPr>
        <w:t>Annexe 5).</w:t>
      </w:r>
    </w:p>
    <w:p w14:paraId="435A151E" w14:textId="303D2A75" w:rsidR="00D00A57" w:rsidRPr="006D3E70" w:rsidRDefault="00D00A57" w:rsidP="00D00A57">
      <w:pPr>
        <w:pStyle w:val="Tablelegend"/>
        <w:tabs>
          <w:tab w:val="clear" w:pos="284"/>
        </w:tabs>
        <w:rPr>
          <w:lang w:val="fr-FR"/>
        </w:rPr>
      </w:pPr>
      <w:r w:rsidRPr="006D3E70">
        <w:rPr>
          <w:vertAlign w:val="superscript"/>
          <w:lang w:val="fr-FR"/>
        </w:rPr>
        <w:t>(4)</w:t>
      </w:r>
      <w:r w:rsidRPr="006D3E70">
        <w:rPr>
          <w:lang w:val="fr-FR"/>
        </w:rPr>
        <w:tab/>
        <w:t>Une largeur de bande de référence réduite est autorisée de part et d</w:t>
      </w:r>
      <w:r w:rsidR="00324C7C" w:rsidRPr="006D3E70">
        <w:rPr>
          <w:lang w:val="fr-FR"/>
        </w:rPr>
        <w:t>'</w:t>
      </w:r>
      <w:r w:rsidRPr="006D3E70">
        <w:rPr>
          <w:lang w:val="fr-FR"/>
        </w:rPr>
        <w:t>autre des 250% de la largeur de bande nécessaire de l</w:t>
      </w:r>
      <w:r w:rsidR="00324C7C" w:rsidRPr="006D3E70">
        <w:rPr>
          <w:lang w:val="fr-FR"/>
        </w:rPr>
        <w:t>'</w:t>
      </w:r>
      <w:r w:rsidRPr="006D3E70">
        <w:rPr>
          <w:lang w:val="fr-FR"/>
        </w:rPr>
        <w:t>émission (voir l</w:t>
      </w:r>
      <w:r w:rsidR="00324C7C" w:rsidRPr="006D3E70">
        <w:rPr>
          <w:lang w:val="fr-FR"/>
        </w:rPr>
        <w:t>'</w:t>
      </w:r>
      <w:r w:rsidRPr="006D3E70">
        <w:rPr>
          <w:lang w:val="fr-FR"/>
        </w:rPr>
        <w:t>Annexe 6).</w:t>
      </w:r>
    </w:p>
    <w:p w14:paraId="71E8E761" w14:textId="47FAC43C" w:rsidR="00D00A57" w:rsidRPr="006D3E70" w:rsidRDefault="00D00A57" w:rsidP="00D00A57">
      <w:pPr>
        <w:pStyle w:val="Tablelegend"/>
        <w:tabs>
          <w:tab w:val="clear" w:pos="284"/>
        </w:tabs>
        <w:rPr>
          <w:lang w:val="fr-FR"/>
        </w:rPr>
      </w:pPr>
      <w:r w:rsidRPr="006D3E70">
        <w:rPr>
          <w:vertAlign w:val="superscript"/>
          <w:lang w:val="fr-FR"/>
        </w:rPr>
        <w:t>(5)</w:t>
      </w:r>
      <w:r w:rsidRPr="006D3E70">
        <w:rPr>
          <w:lang w:val="fr-FR"/>
        </w:rPr>
        <w:tab/>
        <w:t>L</w:t>
      </w:r>
      <w:r w:rsidR="00324C7C" w:rsidRPr="006D3E70">
        <w:rPr>
          <w:lang w:val="fr-FR"/>
        </w:rPr>
        <w:t>'</w:t>
      </w:r>
      <w:r w:rsidRPr="006D3E70">
        <w:rPr>
          <w:lang w:val="fr-FR"/>
        </w:rPr>
        <w:t xml:space="preserve">affaiblissement (dB) des rayonnements dans le domaine des rayonnements non essentiels des systèmes de radiorepérage (radars au sens du numéro </w:t>
      </w:r>
      <w:r w:rsidRPr="006D3E70">
        <w:rPr>
          <w:b/>
          <w:bCs/>
          <w:lang w:val="fr-FR"/>
        </w:rPr>
        <w:t>1.100</w:t>
      </w:r>
      <w:r w:rsidRPr="006D3E70">
        <w:rPr>
          <w:lang w:val="fr-FR"/>
        </w:rPr>
        <w:t xml:space="preserve"> du RR) doit être déterminé pour des niveaux d</w:t>
      </w:r>
      <w:r w:rsidR="00324C7C" w:rsidRPr="006D3E70">
        <w:rPr>
          <w:lang w:val="fr-FR"/>
        </w:rPr>
        <w:t>'</w:t>
      </w:r>
      <w:r w:rsidRPr="006D3E70">
        <w:rPr>
          <w:lang w:val="fr-FR"/>
        </w:rPr>
        <w:t>émission rayonnés et non à la ligne d</w:t>
      </w:r>
      <w:r w:rsidR="00324C7C" w:rsidRPr="006D3E70">
        <w:rPr>
          <w:lang w:val="fr-FR"/>
        </w:rPr>
        <w:t>'</w:t>
      </w:r>
      <w:r w:rsidRPr="006D3E70">
        <w:rPr>
          <w:lang w:val="fr-FR"/>
        </w:rPr>
        <w:t>alimentation de l</w:t>
      </w:r>
      <w:r w:rsidR="00324C7C" w:rsidRPr="006D3E70">
        <w:rPr>
          <w:lang w:val="fr-FR"/>
        </w:rPr>
        <w:t>'</w:t>
      </w:r>
      <w:r w:rsidRPr="006D3E70">
        <w:rPr>
          <w:lang w:val="fr-FR"/>
        </w:rPr>
        <w:t>antenne. La méthode de mesure des niveaux des rayonnements du domaine des rayonnements non essentiels des radars devrait s</w:t>
      </w:r>
      <w:r w:rsidR="00324C7C" w:rsidRPr="006D3E70">
        <w:rPr>
          <w:lang w:val="fr-FR"/>
        </w:rPr>
        <w:t>'</w:t>
      </w:r>
      <w:r w:rsidRPr="006D3E70">
        <w:rPr>
          <w:lang w:val="fr-FR"/>
        </w:rPr>
        <w:t>inspirer de la Recommandation UIT</w:t>
      </w:r>
      <w:r w:rsidRPr="006D3E70">
        <w:rPr>
          <w:lang w:val="fr-FR"/>
        </w:rPr>
        <w:noBreakHyphen/>
        <w:t>R M.1177.</w:t>
      </w:r>
    </w:p>
    <w:p w14:paraId="0F015905" w14:textId="3E8FB23F" w:rsidR="00D00A57" w:rsidRPr="006D3E70" w:rsidRDefault="00D00A57" w:rsidP="00D00A57">
      <w:pPr>
        <w:pStyle w:val="Tablelegend"/>
        <w:tabs>
          <w:tab w:val="clear" w:pos="284"/>
        </w:tabs>
        <w:rPr>
          <w:lang w:val="fr-FR"/>
        </w:rPr>
      </w:pPr>
      <w:r w:rsidRPr="006D3E70">
        <w:rPr>
          <w:vertAlign w:val="superscript"/>
          <w:lang w:val="fr-FR"/>
        </w:rPr>
        <w:t>(6)</w:t>
      </w:r>
      <w:r w:rsidRPr="006D3E70">
        <w:rPr>
          <w:lang w:val="fr-FR"/>
        </w:rPr>
        <w:tab/>
        <w:t>Des pays européens et certains autres pays ont déterminé que, pour ce qui les concerne, les limites des rayonnements non essentiels de la catégorie B pour les systèmes radar devraient s</w:t>
      </w:r>
      <w:r w:rsidR="00324C7C" w:rsidRPr="006D3E70">
        <w:rPr>
          <w:lang w:val="fr-FR"/>
        </w:rPr>
        <w:t>'</w:t>
      </w:r>
      <w:r w:rsidRPr="006D3E70">
        <w:rPr>
          <w:lang w:val="fr-FR"/>
        </w:rPr>
        <w:t>appliquer aux émetteurs utilisés dans leurs pays et installés après le 1er janvier 2006, exception faite des limites pour les radars météorologiques, qui s</w:t>
      </w:r>
      <w:r w:rsidR="00324C7C" w:rsidRPr="006D3E70">
        <w:rPr>
          <w:lang w:val="fr-FR"/>
        </w:rPr>
        <w:t>'</w:t>
      </w:r>
      <w:r w:rsidRPr="006D3E70">
        <w:rPr>
          <w:lang w:val="fr-FR"/>
        </w:rPr>
        <w:t>appliquent à compter du 1er janvier 2012.</w:t>
      </w:r>
    </w:p>
    <w:p w14:paraId="41C0D422" w14:textId="2E344B16" w:rsidR="00D00A57" w:rsidRPr="006D3E70" w:rsidRDefault="00D00A57" w:rsidP="00D00A57">
      <w:pPr>
        <w:pStyle w:val="Tablelegend"/>
        <w:tabs>
          <w:tab w:val="clear" w:pos="284"/>
        </w:tabs>
        <w:rPr>
          <w:lang w:val="fr-FR"/>
        </w:rPr>
      </w:pPr>
      <w:r w:rsidRPr="006D3E70">
        <w:rPr>
          <w:vertAlign w:val="superscript"/>
          <w:lang w:val="fr-FR"/>
        </w:rPr>
        <w:t>(7)</w:t>
      </w:r>
      <w:r w:rsidRPr="006D3E70">
        <w:rPr>
          <w:lang w:val="fr-FR"/>
        </w:rPr>
        <w:tab/>
        <w:t>Selon les sites, les administrations peuvent autoriser l</w:t>
      </w:r>
      <w:r w:rsidR="00324C7C" w:rsidRPr="006D3E70">
        <w:rPr>
          <w:lang w:val="fr-FR"/>
        </w:rPr>
        <w:t>'</w:t>
      </w:r>
      <w:r w:rsidRPr="006D3E70">
        <w:rPr>
          <w:lang w:val="fr-FR"/>
        </w:rPr>
        <w:t>utilisation d</w:t>
      </w:r>
      <w:r w:rsidR="00324C7C" w:rsidRPr="006D3E70">
        <w:rPr>
          <w:lang w:val="fr-FR"/>
        </w:rPr>
        <w:t>'</w:t>
      </w:r>
      <w:r w:rsidRPr="006D3E70">
        <w:rPr>
          <w:lang w:val="fr-FR"/>
        </w:rPr>
        <w:t>équipements radar mobiles maritimes dans des installations fixes (radars des services du trafic des navires), en utilisant les limites appropriées pour les radars mobiles.</w:t>
      </w:r>
    </w:p>
    <w:p w14:paraId="1D96E27D" w14:textId="0542E7E5" w:rsidR="00D00A57" w:rsidRPr="006D3E70" w:rsidRDefault="00D00A57" w:rsidP="00D00A57">
      <w:pPr>
        <w:pStyle w:val="Tablelegend"/>
        <w:tabs>
          <w:tab w:val="clear" w:pos="284"/>
        </w:tabs>
        <w:rPr>
          <w:lang w:val="fr-FR"/>
        </w:rPr>
      </w:pPr>
      <w:r w:rsidRPr="006D3E70">
        <w:rPr>
          <w:vertAlign w:val="superscript"/>
          <w:lang w:val="fr-FR"/>
        </w:rPr>
        <w:t>(8)</w:t>
      </w:r>
      <w:r w:rsidRPr="006D3E70">
        <w:rPr>
          <w:lang w:val="fr-FR"/>
        </w:rPr>
        <w:tab/>
        <w:t>L</w:t>
      </w:r>
      <w:r w:rsidR="00324C7C" w:rsidRPr="006D3E70">
        <w:rPr>
          <w:lang w:val="fr-FR"/>
        </w:rPr>
        <w:t>'</w:t>
      </w:r>
      <w:r w:rsidRPr="006D3E70">
        <w:rPr>
          <w:lang w:val="fr-FR"/>
        </w:rPr>
        <w:t>organe régional compétent devra entreprendre un complément d</w:t>
      </w:r>
      <w:r w:rsidR="00324C7C" w:rsidRPr="006D3E70">
        <w:rPr>
          <w:lang w:val="fr-FR"/>
        </w:rPr>
        <w:t>'</w:t>
      </w:r>
      <w:r w:rsidRPr="006D3E70">
        <w:rPr>
          <w:lang w:val="fr-FR"/>
        </w:rPr>
        <w:t>étude; tout brouillage sera traité au cas par cas.</w:t>
      </w:r>
    </w:p>
    <w:p w14:paraId="407B897C" w14:textId="4CDDC217" w:rsidR="00D00A57" w:rsidRPr="006D3E70" w:rsidRDefault="00D00A57" w:rsidP="00D00A57">
      <w:pPr>
        <w:pStyle w:val="Tablelegend"/>
        <w:tabs>
          <w:tab w:val="clear" w:pos="284"/>
        </w:tabs>
        <w:spacing w:before="100" w:after="100"/>
        <w:ind w:left="312" w:right="-57"/>
        <w:rPr>
          <w:lang w:val="fr-FR"/>
        </w:rPr>
      </w:pPr>
      <w:r w:rsidRPr="006D3E70">
        <w:rPr>
          <w:vertAlign w:val="superscript"/>
          <w:lang w:val="fr-FR"/>
        </w:rPr>
        <w:t>(9)</w:t>
      </w:r>
      <w:r w:rsidRPr="006D3E70">
        <w:rPr>
          <w:lang w:val="fr-FR"/>
        </w:rPr>
        <w:tab/>
        <w:t>Selon les sites, une administration peut décider, compte tenu le cas échéant des problèmes potentiels de compatibilité transfrontière, de déployer des radars météorologiques dans la bande 2 700-2 900 MHz avec une puissance de crête supérieure à 750 kW sur la base d</w:t>
      </w:r>
      <w:r w:rsidR="00324C7C" w:rsidRPr="006D3E70">
        <w:rPr>
          <w:lang w:val="fr-FR"/>
        </w:rPr>
        <w:t>'</w:t>
      </w:r>
      <w:r w:rsidRPr="006D3E70">
        <w:rPr>
          <w:lang w:val="fr-FR"/>
        </w:rPr>
        <w:t>un assouplissement des limites des rayonnements non essentiels. Un complément d</w:t>
      </w:r>
      <w:r w:rsidR="00324C7C" w:rsidRPr="006D3E70">
        <w:rPr>
          <w:lang w:val="fr-FR"/>
        </w:rPr>
        <w:t>'</w:t>
      </w:r>
      <w:r w:rsidRPr="006D3E70">
        <w:rPr>
          <w:lang w:val="fr-FR"/>
        </w:rPr>
        <w:t>étude est nécessaire pour déterminer l</w:t>
      </w:r>
      <w:r w:rsidR="00324C7C" w:rsidRPr="006D3E70">
        <w:rPr>
          <w:lang w:val="fr-FR"/>
        </w:rPr>
        <w:t>'</w:t>
      </w:r>
      <w:r w:rsidRPr="006D3E70">
        <w:rPr>
          <w:lang w:val="fr-FR"/>
        </w:rPr>
        <w:t>assouplissement possible par rapport à la limite des rayonnements non essentiels de 90 dB.</w:t>
      </w:r>
    </w:p>
    <w:p w14:paraId="04B8DF2D" w14:textId="17CCF704" w:rsidR="00D00A57" w:rsidRPr="006D3E70" w:rsidRDefault="00D00A57" w:rsidP="00D00A57">
      <w:pPr>
        <w:pStyle w:val="Tablelegend"/>
        <w:rPr>
          <w:lang w:val="fr-FR"/>
        </w:rPr>
      </w:pPr>
      <w:r w:rsidRPr="006D3E70">
        <w:rPr>
          <w:vertAlign w:val="superscript"/>
          <w:lang w:val="fr-FR"/>
        </w:rPr>
        <w:t>(10)</w:t>
      </w:r>
      <w:r w:rsidRPr="006D3E70">
        <w:rPr>
          <w:lang w:val="fr-FR"/>
        </w:rPr>
        <w:tab/>
        <w:t>Les systèmes d</w:t>
      </w:r>
      <w:r w:rsidR="00324C7C" w:rsidRPr="006D3E70">
        <w:rPr>
          <w:lang w:val="fr-FR"/>
        </w:rPr>
        <w:t>'</w:t>
      </w:r>
      <w:r w:rsidRPr="006D3E70">
        <w:rPr>
          <w:lang w:val="fr-FR"/>
        </w:rPr>
        <w:t>accès hertzien large bande sont utilisés pour le déploiement de réseaux d</w:t>
      </w:r>
      <w:r w:rsidR="00324C7C" w:rsidRPr="006D3E70">
        <w:rPr>
          <w:lang w:val="fr-FR"/>
        </w:rPr>
        <w:t>'</w:t>
      </w:r>
      <w:r w:rsidRPr="006D3E70">
        <w:rPr>
          <w:lang w:val="fr-FR"/>
        </w:rPr>
        <w:t>accès radioélectriques dans le service fixe et dans le service mobile sur la même plate-forme. En principe, ils fonctionnent à des fréquences allant jusqu</w:t>
      </w:r>
      <w:r w:rsidR="00324C7C" w:rsidRPr="006D3E70">
        <w:rPr>
          <w:lang w:val="fr-FR"/>
        </w:rPr>
        <w:t>'</w:t>
      </w:r>
      <w:r w:rsidRPr="006D3E70">
        <w:rPr>
          <w:lang w:val="fr-FR"/>
        </w:rPr>
        <w:t>à 6 GHz et utilisent des stations terminales dont le gain d</w:t>
      </w:r>
      <w:r w:rsidR="00324C7C" w:rsidRPr="006D3E70">
        <w:rPr>
          <w:lang w:val="fr-FR"/>
        </w:rPr>
        <w:t>'</w:t>
      </w:r>
      <w:r w:rsidRPr="006D3E70">
        <w:rPr>
          <w:lang w:val="fr-FR"/>
        </w:rPr>
        <w:t>antenne est inférieur à environ 20 dBi.</w:t>
      </w:r>
    </w:p>
    <w:p w14:paraId="2B0AA1E3" w14:textId="591DBAE7" w:rsidR="00532249" w:rsidRPr="006D3E70" w:rsidRDefault="00532249" w:rsidP="00D00A57">
      <w:pPr>
        <w:pStyle w:val="Heading2"/>
        <w:rPr>
          <w:lang w:val="fr-FR"/>
        </w:rPr>
      </w:pPr>
      <w:r w:rsidRPr="006D3E70">
        <w:rPr>
          <w:lang w:val="fr-FR"/>
        </w:rPr>
        <w:lastRenderedPageBreak/>
        <w:t>4.4</w:t>
      </w:r>
      <w:r w:rsidRPr="006D3E70">
        <w:rPr>
          <w:lang w:val="fr-FR"/>
        </w:rPr>
        <w:tab/>
        <w:t>Limites de la catégorie C</w:t>
      </w:r>
    </w:p>
    <w:p w14:paraId="51F140EE" w14:textId="6551684C" w:rsidR="00532249" w:rsidRPr="006D3E70" w:rsidRDefault="00532249" w:rsidP="00D00A57">
      <w:pPr>
        <w:keepNext/>
        <w:keepLines/>
        <w:rPr>
          <w:lang w:val="fr-FR"/>
        </w:rPr>
      </w:pPr>
      <w:r w:rsidRPr="006D3E70">
        <w:rPr>
          <w:lang w:val="fr-FR"/>
        </w:rPr>
        <w:t>Le Tableau 4 donne les niveaux maximaux autorisés des rayonnements dans le domaine des rayonnements non essentiels, en termes de niveaux de puissance, pour toute composante non désirée appliquée par un émetteur à la ligne d</w:t>
      </w:r>
      <w:r w:rsidR="00324C7C" w:rsidRPr="006D3E70">
        <w:rPr>
          <w:lang w:val="fr-FR"/>
        </w:rPr>
        <w:t>'</w:t>
      </w:r>
      <w:r w:rsidRPr="006D3E70">
        <w:rPr>
          <w:lang w:val="fr-FR"/>
        </w:rPr>
        <w:t>alimentation de l</w:t>
      </w:r>
      <w:r w:rsidR="00324C7C" w:rsidRPr="006D3E70">
        <w:rPr>
          <w:lang w:val="fr-FR"/>
        </w:rPr>
        <w:t>'</w:t>
      </w:r>
      <w:r w:rsidRPr="006D3E70">
        <w:rPr>
          <w:lang w:val="fr-FR"/>
        </w:rPr>
        <w:t>antenne pour les équipements relevant de la catégorie C. Pour tous les services/systèmes qui ne sont pas énumérés dans ce Tableau, on applique les limites de la catégorie A.</w:t>
      </w:r>
    </w:p>
    <w:p w14:paraId="2F54BE88" w14:textId="77777777" w:rsidR="00532249" w:rsidRPr="006D3E70" w:rsidRDefault="00532249" w:rsidP="00532249">
      <w:pPr>
        <w:pStyle w:val="TableNo"/>
        <w:rPr>
          <w:lang w:val="fr-FR"/>
        </w:rPr>
      </w:pPr>
      <w:r w:rsidRPr="006D3E70">
        <w:rPr>
          <w:lang w:val="fr-FR"/>
        </w:rPr>
        <w:t>TABLEAU 4</w:t>
      </w:r>
    </w:p>
    <w:p w14:paraId="611E399A" w14:textId="77777777" w:rsidR="00532249" w:rsidRPr="006D3E70" w:rsidRDefault="00532249" w:rsidP="00834B0C">
      <w:pPr>
        <w:pStyle w:val="Tabletitle"/>
        <w:rPr>
          <w:lang w:val="fr-FR"/>
        </w:rPr>
      </w:pPr>
      <w:r w:rsidRPr="006D3E70">
        <w:rPr>
          <w:lang w:val="fr-FR"/>
        </w:rPr>
        <w:t>Limites de la catégorie C</w:t>
      </w:r>
    </w:p>
    <w:p w14:paraId="5F94ACC0" w14:textId="77777777" w:rsidR="00532249" w:rsidRPr="006D3E70" w:rsidRDefault="00532249" w:rsidP="0097214F">
      <w:pPr>
        <w:pStyle w:val="Tabletitle"/>
        <w:rPr>
          <w:b w:val="0"/>
          <w:bCs/>
          <w:lang w:val="fr-FR"/>
        </w:rPr>
      </w:pPr>
      <w:r w:rsidRPr="006D3E70">
        <w:rPr>
          <w:b w:val="0"/>
          <w:bCs/>
          <w:lang w:val="fr-FR"/>
        </w:rPr>
        <w:t xml:space="preserve">(Voir les définitions du § 3.3 du </w:t>
      </w:r>
      <w:r w:rsidRPr="006D3E70">
        <w:rPr>
          <w:b w:val="0"/>
          <w:bCs/>
          <w:i/>
          <w:iCs/>
          <w:lang w:val="fr-FR"/>
        </w:rPr>
        <w:t>recommande</w:t>
      </w:r>
      <w:r w:rsidRPr="006D3E70">
        <w:rPr>
          <w:b w:val="0"/>
          <w:bCs/>
          <w:lang w:val="fr-FR"/>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6237"/>
      </w:tblGrid>
      <w:tr w:rsidR="00532249" w:rsidRPr="006D3E70" w14:paraId="21921C7F" w14:textId="77777777" w:rsidTr="009B33DD">
        <w:trPr>
          <w:jc w:val="center"/>
        </w:trPr>
        <w:tc>
          <w:tcPr>
            <w:tcW w:w="3402" w:type="dxa"/>
            <w:vAlign w:val="center"/>
          </w:tcPr>
          <w:p w14:paraId="65B4197D" w14:textId="4E10F764" w:rsidR="00532249" w:rsidRPr="006D3E70" w:rsidRDefault="00532249" w:rsidP="00834B0C">
            <w:pPr>
              <w:pStyle w:val="Tablehead"/>
              <w:rPr>
                <w:lang w:val="fr-FR"/>
              </w:rPr>
            </w:pPr>
            <w:r w:rsidRPr="006D3E70">
              <w:rPr>
                <w:lang w:val="fr-FR"/>
              </w:rPr>
              <w:t>Type d</w:t>
            </w:r>
            <w:r w:rsidR="00324C7C" w:rsidRPr="006D3E70">
              <w:rPr>
                <w:lang w:val="fr-FR"/>
              </w:rPr>
              <w:t>'</w:t>
            </w:r>
            <w:r w:rsidRPr="006D3E70">
              <w:rPr>
                <w:lang w:val="fr-FR"/>
              </w:rPr>
              <w:t>équipement</w:t>
            </w:r>
          </w:p>
        </w:tc>
        <w:tc>
          <w:tcPr>
            <w:tcW w:w="6237" w:type="dxa"/>
            <w:vAlign w:val="center"/>
          </w:tcPr>
          <w:p w14:paraId="4942C526" w14:textId="33C5CC15" w:rsidR="00532249" w:rsidRPr="006D3E70" w:rsidRDefault="00532249" w:rsidP="00834B0C">
            <w:pPr>
              <w:pStyle w:val="Tablehead"/>
              <w:rPr>
                <w:lang w:val="fr-FR"/>
              </w:rPr>
            </w:pPr>
            <w:r w:rsidRPr="006D3E70">
              <w:rPr>
                <w:lang w:val="fr-FR"/>
              </w:rPr>
              <w:t>Affaiblissement au-dessous de la puissance fournie</w:t>
            </w:r>
            <w:r w:rsidRPr="006D3E70">
              <w:rPr>
                <w:lang w:val="fr-FR"/>
              </w:rPr>
              <w:br/>
              <w:t>à la ligne de transmission de l</w:t>
            </w:r>
            <w:r w:rsidR="00324C7C" w:rsidRPr="006D3E70">
              <w:rPr>
                <w:lang w:val="fr-FR"/>
              </w:rPr>
              <w:t>'</w:t>
            </w:r>
            <w:r w:rsidRPr="006D3E70">
              <w:rPr>
                <w:lang w:val="fr-FR"/>
              </w:rPr>
              <w:t>antenne</w:t>
            </w:r>
            <w:r w:rsidRPr="006D3E70">
              <w:rPr>
                <w:vertAlign w:val="superscript"/>
                <w:lang w:val="fr-FR"/>
              </w:rPr>
              <w:t>(1)</w:t>
            </w:r>
          </w:p>
        </w:tc>
      </w:tr>
      <w:tr w:rsidR="00532249" w:rsidRPr="006D3E70" w14:paraId="2405458A" w14:textId="77777777" w:rsidTr="009B33DD">
        <w:trPr>
          <w:jc w:val="center"/>
        </w:trPr>
        <w:tc>
          <w:tcPr>
            <w:tcW w:w="3402" w:type="dxa"/>
          </w:tcPr>
          <w:p w14:paraId="7D5BF7DE" w14:textId="77777777" w:rsidR="00532249" w:rsidRPr="006D3E70" w:rsidRDefault="00532249" w:rsidP="009B33DD">
            <w:pPr>
              <w:pStyle w:val="Tabletext"/>
              <w:jc w:val="left"/>
              <w:rPr>
                <w:lang w:val="fr-FR"/>
              </w:rPr>
            </w:pPr>
            <w:r w:rsidRPr="006D3E70">
              <w:rPr>
                <w:lang w:val="fr-FR"/>
              </w:rPr>
              <w:t>Service mobile terrestre</w:t>
            </w:r>
            <w:r w:rsidRPr="006D3E70">
              <w:rPr>
                <w:lang w:val="fr-FR"/>
              </w:rPr>
              <w:br/>
              <w:t>(150</w:t>
            </w:r>
            <w:r w:rsidRPr="006D3E70">
              <w:rPr>
                <w:lang w:val="fr-FR"/>
              </w:rPr>
              <w:noBreakHyphen/>
              <w:t>174 Hz et 421-512 MHz)</w:t>
            </w:r>
          </w:p>
        </w:tc>
        <w:tc>
          <w:tcPr>
            <w:tcW w:w="6237" w:type="dxa"/>
          </w:tcPr>
          <w:p w14:paraId="4C4107A5" w14:textId="77777777" w:rsidR="00532249" w:rsidRPr="006D3E70" w:rsidRDefault="00532249" w:rsidP="009B33DD">
            <w:pPr>
              <w:pStyle w:val="Tabletext"/>
              <w:jc w:val="left"/>
              <w:rPr>
                <w:lang w:val="fr-FR"/>
              </w:rPr>
            </w:pPr>
            <w:r w:rsidRPr="006D3E70">
              <w:rPr>
                <w:lang w:val="fr-FR"/>
              </w:rPr>
              <w:t xml:space="preserve">50 + 10 log </w:t>
            </w:r>
            <w:r w:rsidRPr="006D3E70">
              <w:rPr>
                <w:i/>
                <w:iCs/>
                <w:lang w:val="fr-FR"/>
              </w:rPr>
              <w:t>P</w:t>
            </w:r>
            <w:r w:rsidRPr="006D3E70">
              <w:rPr>
                <w:lang w:val="fr-FR"/>
              </w:rPr>
              <w:t xml:space="preserve"> ou 70 dBc pour des canaux de 12,5 kHz, selon la valeur qui est la moins contraignante</w:t>
            </w:r>
          </w:p>
          <w:p w14:paraId="75CF127D" w14:textId="77777777" w:rsidR="00532249" w:rsidRPr="006D3E70" w:rsidRDefault="00532249" w:rsidP="009B33DD">
            <w:pPr>
              <w:pStyle w:val="Tabletext"/>
              <w:jc w:val="left"/>
              <w:rPr>
                <w:lang w:val="fr-FR"/>
              </w:rPr>
            </w:pPr>
            <w:r w:rsidRPr="006D3E70">
              <w:rPr>
                <w:lang w:val="fr-FR"/>
              </w:rPr>
              <w:t xml:space="preserve">50 + 10 log </w:t>
            </w:r>
            <w:r w:rsidRPr="006D3E70">
              <w:rPr>
                <w:i/>
                <w:iCs/>
                <w:lang w:val="fr-FR"/>
              </w:rPr>
              <w:t>P</w:t>
            </w:r>
            <w:r w:rsidRPr="006D3E70">
              <w:rPr>
                <w:lang w:val="fr-FR"/>
              </w:rPr>
              <w:t xml:space="preserve"> ou 65 dBc pour des canaux de 6,5 kHz, selon la valeur qui est la moins contraignante</w:t>
            </w:r>
          </w:p>
        </w:tc>
      </w:tr>
      <w:tr w:rsidR="00532249" w:rsidRPr="006D3E70" w14:paraId="3E51C365" w14:textId="77777777" w:rsidTr="009B33DD">
        <w:trPr>
          <w:jc w:val="center"/>
        </w:trPr>
        <w:tc>
          <w:tcPr>
            <w:tcW w:w="3402" w:type="dxa"/>
          </w:tcPr>
          <w:p w14:paraId="794989FC" w14:textId="77777777" w:rsidR="00532249" w:rsidRPr="006D3E70" w:rsidRDefault="00532249" w:rsidP="009B33DD">
            <w:pPr>
              <w:pStyle w:val="Tabletext"/>
              <w:jc w:val="left"/>
              <w:rPr>
                <w:vertAlign w:val="superscript"/>
                <w:lang w:val="fr-FR"/>
              </w:rPr>
            </w:pPr>
            <w:r w:rsidRPr="006D3E70">
              <w:rPr>
                <w:lang w:val="fr-FR"/>
              </w:rPr>
              <w:t>Télémesure aéronautique</w:t>
            </w:r>
            <w:r w:rsidRPr="006D3E70">
              <w:rPr>
                <w:vertAlign w:val="superscript"/>
                <w:lang w:val="fr-FR"/>
              </w:rPr>
              <w:t>(2)</w:t>
            </w:r>
          </w:p>
        </w:tc>
        <w:tc>
          <w:tcPr>
            <w:tcW w:w="6237" w:type="dxa"/>
          </w:tcPr>
          <w:p w14:paraId="153F73FF" w14:textId="77777777" w:rsidR="00532249" w:rsidRPr="006D3E70" w:rsidRDefault="00532249" w:rsidP="009B33DD">
            <w:pPr>
              <w:pStyle w:val="Tabletext"/>
              <w:jc w:val="left"/>
              <w:rPr>
                <w:lang w:val="fr-FR"/>
              </w:rPr>
            </w:pPr>
            <w:r w:rsidRPr="006D3E70">
              <w:rPr>
                <w:lang w:val="fr-FR"/>
              </w:rPr>
              <w:t xml:space="preserve">55 + 10 log </w:t>
            </w:r>
            <w:r w:rsidRPr="006D3E70">
              <w:rPr>
                <w:i/>
                <w:iCs/>
                <w:lang w:val="fr-FR"/>
              </w:rPr>
              <w:t>P</w:t>
            </w:r>
          </w:p>
        </w:tc>
      </w:tr>
      <w:tr w:rsidR="00532249" w:rsidRPr="006D3E70" w14:paraId="5BC7CAA4" w14:textId="77777777" w:rsidTr="009B33DD">
        <w:trPr>
          <w:jc w:val="center"/>
        </w:trPr>
        <w:tc>
          <w:tcPr>
            <w:tcW w:w="3402" w:type="dxa"/>
          </w:tcPr>
          <w:p w14:paraId="61C1D7A6" w14:textId="77777777" w:rsidR="00532249" w:rsidRPr="006D3E70" w:rsidRDefault="00532249" w:rsidP="009B33DD">
            <w:pPr>
              <w:pStyle w:val="Tabletext"/>
              <w:jc w:val="left"/>
              <w:rPr>
                <w:lang w:val="fr-FR"/>
              </w:rPr>
            </w:pPr>
            <w:r w:rsidRPr="006D3E70">
              <w:rPr>
                <w:lang w:val="fr-FR"/>
              </w:rPr>
              <w:t>Radiodiffusion en ondes décamétriques</w:t>
            </w:r>
          </w:p>
        </w:tc>
        <w:tc>
          <w:tcPr>
            <w:tcW w:w="6237" w:type="dxa"/>
          </w:tcPr>
          <w:p w14:paraId="647AF2F7" w14:textId="77777777" w:rsidR="00532249" w:rsidRPr="006D3E70" w:rsidRDefault="00532249" w:rsidP="009B33DD">
            <w:pPr>
              <w:pStyle w:val="Tabletext"/>
              <w:jc w:val="left"/>
              <w:rPr>
                <w:lang w:val="fr-FR"/>
              </w:rPr>
            </w:pPr>
            <w:r w:rsidRPr="006D3E70">
              <w:rPr>
                <w:lang w:val="fr-FR"/>
              </w:rPr>
              <w:t>80 dBc</w:t>
            </w:r>
          </w:p>
        </w:tc>
      </w:tr>
      <w:tr w:rsidR="00532249" w:rsidRPr="006D3E70" w14:paraId="118D09C5" w14:textId="77777777" w:rsidTr="009B33DD">
        <w:trPr>
          <w:jc w:val="center"/>
        </w:trPr>
        <w:tc>
          <w:tcPr>
            <w:tcW w:w="3402" w:type="dxa"/>
          </w:tcPr>
          <w:p w14:paraId="1AB5D869" w14:textId="77777777" w:rsidR="00532249" w:rsidRPr="006D3E70" w:rsidRDefault="00532249" w:rsidP="009B33DD">
            <w:pPr>
              <w:pStyle w:val="Tabletext"/>
              <w:jc w:val="left"/>
              <w:rPr>
                <w:lang w:val="fr-FR"/>
              </w:rPr>
            </w:pPr>
            <w:r w:rsidRPr="006D3E70">
              <w:rPr>
                <w:lang w:val="fr-FR"/>
              </w:rPr>
              <w:t>Radiodiffusion MA et MF</w:t>
            </w:r>
          </w:p>
        </w:tc>
        <w:tc>
          <w:tcPr>
            <w:tcW w:w="6237" w:type="dxa"/>
          </w:tcPr>
          <w:p w14:paraId="4D3BFE06" w14:textId="77777777" w:rsidR="00532249" w:rsidRPr="006D3E70" w:rsidRDefault="00532249" w:rsidP="009B33DD">
            <w:pPr>
              <w:pStyle w:val="Tabletext"/>
              <w:jc w:val="left"/>
              <w:rPr>
                <w:lang w:val="fr-FR"/>
              </w:rPr>
            </w:pPr>
            <w:r w:rsidRPr="006D3E70">
              <w:rPr>
                <w:lang w:val="fr-FR"/>
              </w:rPr>
              <w:t xml:space="preserve">43 + 10 log </w:t>
            </w:r>
            <w:r w:rsidRPr="006D3E70">
              <w:rPr>
                <w:i/>
                <w:iCs/>
                <w:lang w:val="fr-FR"/>
              </w:rPr>
              <w:t>P</w:t>
            </w:r>
            <w:r w:rsidRPr="006D3E70">
              <w:rPr>
                <w:lang w:val="fr-FR"/>
              </w:rPr>
              <w:t xml:space="preserve"> ou 80 dBc, selon la valeur qui est la moins contraignante</w:t>
            </w:r>
          </w:p>
        </w:tc>
      </w:tr>
      <w:tr w:rsidR="00532249" w:rsidRPr="006D3E70" w14:paraId="386C4C3B" w14:textId="77777777" w:rsidTr="009B33DD">
        <w:trPr>
          <w:jc w:val="center"/>
        </w:trPr>
        <w:tc>
          <w:tcPr>
            <w:tcW w:w="3402" w:type="dxa"/>
            <w:tcBorders>
              <w:bottom w:val="single" w:sz="4" w:space="0" w:color="auto"/>
            </w:tcBorders>
          </w:tcPr>
          <w:p w14:paraId="6ABC7905" w14:textId="313321F5" w:rsidR="00532249" w:rsidRPr="006D3E70" w:rsidRDefault="00532249" w:rsidP="009B33DD">
            <w:pPr>
              <w:pStyle w:val="Tabletext"/>
              <w:jc w:val="left"/>
              <w:rPr>
                <w:vertAlign w:val="superscript"/>
                <w:lang w:val="fr-FR"/>
              </w:rPr>
            </w:pPr>
            <w:r w:rsidRPr="006D3E70">
              <w:rPr>
                <w:lang w:val="fr-FR"/>
              </w:rPr>
              <w:t>Stations terriennes mobiles non OSG (service mobile par satellite, 1</w:t>
            </w:r>
            <w:r w:rsidRPr="006D3E70">
              <w:rPr>
                <w:rFonts w:ascii="Tms Rmn" w:hAnsi="Tms Rmn"/>
                <w:sz w:val="12"/>
                <w:lang w:val="fr-FR"/>
              </w:rPr>
              <w:t> </w:t>
            </w:r>
            <w:r w:rsidRPr="006D3E70">
              <w:rPr>
                <w:lang w:val="fr-FR"/>
              </w:rPr>
              <w:t>610</w:t>
            </w:r>
            <w:r w:rsidRPr="006D3E70">
              <w:rPr>
                <w:lang w:val="fr-FR"/>
              </w:rPr>
              <w:noBreakHyphen/>
              <w:t>1</w:t>
            </w:r>
            <w:r w:rsidRPr="006D3E70">
              <w:rPr>
                <w:rFonts w:ascii="Tms Rmn" w:hAnsi="Tms Rmn"/>
                <w:sz w:val="12"/>
                <w:lang w:val="fr-FR"/>
              </w:rPr>
              <w:t> </w:t>
            </w:r>
            <w:r w:rsidRPr="006D3E70">
              <w:rPr>
                <w:lang w:val="fr-FR"/>
              </w:rPr>
              <w:t>660,5 MHz (les limites s</w:t>
            </w:r>
            <w:r w:rsidR="00324C7C" w:rsidRPr="006D3E70">
              <w:rPr>
                <w:lang w:val="fr-FR"/>
              </w:rPr>
              <w:t>'</w:t>
            </w:r>
            <w:r w:rsidRPr="006D3E70">
              <w:rPr>
                <w:lang w:val="fr-FR"/>
              </w:rPr>
              <w:t>appliquent aux rayonnements dans le domaine des rayonnements non essentiels dans la bande des 1</w:t>
            </w:r>
            <w:r w:rsidRPr="006D3E70">
              <w:rPr>
                <w:rFonts w:ascii="Tms Rmn" w:hAnsi="Tms Rmn"/>
                <w:sz w:val="12"/>
                <w:lang w:val="fr-FR"/>
              </w:rPr>
              <w:t> </w:t>
            </w:r>
            <w:r w:rsidRPr="006D3E70">
              <w:rPr>
                <w:lang w:val="fr-FR"/>
              </w:rPr>
              <w:t>559</w:t>
            </w:r>
            <w:r w:rsidRPr="006D3E70">
              <w:rPr>
                <w:lang w:val="fr-FR"/>
              </w:rPr>
              <w:noBreakHyphen/>
              <w:t>1</w:t>
            </w:r>
            <w:r w:rsidRPr="006D3E70">
              <w:rPr>
                <w:rFonts w:ascii="Tms Rmn" w:hAnsi="Tms Rmn"/>
                <w:sz w:val="12"/>
                <w:lang w:val="fr-FR"/>
              </w:rPr>
              <w:t> </w:t>
            </w:r>
            <w:r w:rsidRPr="006D3E70">
              <w:rPr>
                <w:lang w:val="fr-FR"/>
              </w:rPr>
              <w:t>605 MHz))</w:t>
            </w:r>
            <w:r w:rsidRPr="006D3E70">
              <w:rPr>
                <w:vertAlign w:val="superscript"/>
                <w:lang w:val="fr-FR"/>
              </w:rPr>
              <w:t>(3)</w:t>
            </w:r>
          </w:p>
        </w:tc>
        <w:tc>
          <w:tcPr>
            <w:tcW w:w="6237" w:type="dxa"/>
            <w:tcBorders>
              <w:bottom w:val="single" w:sz="4" w:space="0" w:color="auto"/>
            </w:tcBorders>
          </w:tcPr>
          <w:p w14:paraId="5B7BA655" w14:textId="77777777" w:rsidR="00532249" w:rsidRPr="006D3E70" w:rsidRDefault="00532249" w:rsidP="009B33DD">
            <w:pPr>
              <w:pStyle w:val="Tabletext"/>
              <w:framePr w:hSpace="181" w:wrap="notBeside" w:vAnchor="text" w:hAnchor="text" w:xAlign="center" w:y="1"/>
              <w:jc w:val="left"/>
              <w:rPr>
                <w:lang w:val="fr-FR"/>
              </w:rPr>
            </w:pPr>
            <w:r w:rsidRPr="006D3E70">
              <w:rPr>
                <w:lang w:val="fr-FR"/>
              </w:rPr>
              <w:t>p.i.r.e. de –70 dB(W/MHz), et</w:t>
            </w:r>
          </w:p>
          <w:p w14:paraId="31A8EBD6" w14:textId="77777777" w:rsidR="00532249" w:rsidRPr="006D3E70" w:rsidRDefault="00532249" w:rsidP="009B33DD">
            <w:pPr>
              <w:pStyle w:val="Tabletext"/>
              <w:jc w:val="left"/>
              <w:rPr>
                <w:lang w:val="fr-FR"/>
              </w:rPr>
            </w:pPr>
            <w:r w:rsidRPr="006D3E70">
              <w:rPr>
                <w:lang w:val="fr-FR"/>
              </w:rPr>
              <w:t>p.i.r.e. de –80 dBW dans une largeur de bande quelconque de 300 Hz</w:t>
            </w:r>
          </w:p>
        </w:tc>
      </w:tr>
      <w:tr w:rsidR="00532249" w:rsidRPr="006D3E70" w14:paraId="5F722CE3" w14:textId="77777777" w:rsidTr="009B33DD">
        <w:trPr>
          <w:jc w:val="center"/>
        </w:trPr>
        <w:tc>
          <w:tcPr>
            <w:tcW w:w="9639" w:type="dxa"/>
            <w:gridSpan w:val="2"/>
            <w:tcBorders>
              <w:left w:val="nil"/>
              <w:bottom w:val="nil"/>
              <w:right w:val="nil"/>
            </w:tcBorders>
          </w:tcPr>
          <w:p w14:paraId="2DB544F5" w14:textId="556CBC05" w:rsidR="00532249" w:rsidRPr="006D3E70" w:rsidRDefault="00532249" w:rsidP="009B33DD">
            <w:pPr>
              <w:pStyle w:val="Tablelegend"/>
              <w:rPr>
                <w:lang w:val="fr-FR"/>
              </w:rPr>
            </w:pPr>
            <w:r w:rsidRPr="006D3E70">
              <w:rPr>
                <w:i/>
                <w:iCs/>
                <w:lang w:val="fr-FR"/>
              </w:rPr>
              <w:t>P</w:t>
            </w:r>
            <w:r w:rsidRPr="006D3E70">
              <w:rPr>
                <w:lang w:val="fr-FR"/>
              </w:rPr>
              <w:t>:</w:t>
            </w:r>
            <w:r w:rsidRPr="006D3E70">
              <w:rPr>
                <w:lang w:val="fr-FR"/>
              </w:rPr>
              <w:tab/>
              <w:t>puissance moyenne (W) fournie à la ligne de transmission de l</w:t>
            </w:r>
            <w:r w:rsidR="00324C7C" w:rsidRPr="006D3E70">
              <w:rPr>
                <w:lang w:val="fr-FR"/>
              </w:rPr>
              <w:t>'</w:t>
            </w:r>
            <w:r w:rsidRPr="006D3E70">
              <w:rPr>
                <w:lang w:val="fr-FR"/>
              </w:rPr>
              <w:t>antenne, conformément au numéro </w:t>
            </w:r>
            <w:r w:rsidRPr="006D3E70">
              <w:rPr>
                <w:b/>
                <w:bCs/>
                <w:lang w:val="fr-FR"/>
              </w:rPr>
              <w:t>1.158</w:t>
            </w:r>
            <w:r w:rsidRPr="006D3E70">
              <w:rPr>
                <w:lang w:val="fr-FR"/>
              </w:rPr>
              <w:t xml:space="preserve"> du RR. Dans le cas de transmission par salves, on mesure la puissance moyenne </w:t>
            </w:r>
            <w:r w:rsidRPr="006D3E70">
              <w:rPr>
                <w:i/>
                <w:iCs/>
                <w:lang w:val="fr-FR"/>
              </w:rPr>
              <w:t>P</w:t>
            </w:r>
            <w:r w:rsidRPr="006D3E70">
              <w:rPr>
                <w:lang w:val="fr-FR"/>
              </w:rPr>
              <w:t xml:space="preserve"> et la puissance moyenne de rayonnements dans le domaine des rayonnements non essentiels en calculant la puissance dont on a établi une moyenne sur la durée de la salve.</w:t>
            </w:r>
          </w:p>
          <w:p w14:paraId="1E233676" w14:textId="14D50338" w:rsidR="00532249" w:rsidRPr="006D3E70" w:rsidRDefault="00532249" w:rsidP="009B33DD">
            <w:pPr>
              <w:pStyle w:val="Tablelegend"/>
              <w:rPr>
                <w:lang w:val="fr-FR"/>
              </w:rPr>
            </w:pPr>
            <w:r w:rsidRPr="006D3E70">
              <w:rPr>
                <w:vertAlign w:val="superscript"/>
                <w:lang w:val="fr-FR"/>
              </w:rPr>
              <w:t>(1)</w:t>
            </w:r>
            <w:r w:rsidRPr="006D3E70">
              <w:rPr>
                <w:sz w:val="20"/>
                <w:lang w:val="fr-FR"/>
              </w:rPr>
              <w:tab/>
            </w:r>
            <w:r w:rsidRPr="006D3E70">
              <w:rPr>
                <w:lang w:val="fr-FR"/>
              </w:rPr>
              <w:t>Pour les stations terriennes mobiles, les limites indiquées représentent des niveaux absolus de p.i.r.e. et non des valeurs de l</w:t>
            </w:r>
            <w:r w:rsidR="00324C7C" w:rsidRPr="006D3E70">
              <w:rPr>
                <w:lang w:val="fr-FR"/>
              </w:rPr>
              <w:t>'</w:t>
            </w:r>
            <w:r w:rsidRPr="006D3E70">
              <w:rPr>
                <w:lang w:val="fr-FR"/>
              </w:rPr>
              <w:t>affaiblissement.</w:t>
            </w:r>
          </w:p>
          <w:p w14:paraId="47ECFCF9" w14:textId="77777777" w:rsidR="00532249" w:rsidRPr="006D3E70" w:rsidRDefault="00532249" w:rsidP="009B33DD">
            <w:pPr>
              <w:pStyle w:val="Tablelegend"/>
              <w:rPr>
                <w:lang w:val="fr-FR"/>
              </w:rPr>
            </w:pPr>
            <w:r w:rsidRPr="006D3E70">
              <w:rPr>
                <w:vertAlign w:val="superscript"/>
                <w:lang w:val="fr-FR"/>
              </w:rPr>
              <w:t>(2)</w:t>
            </w:r>
            <w:r w:rsidRPr="006D3E70">
              <w:rPr>
                <w:sz w:val="20"/>
                <w:lang w:val="fr-FR"/>
              </w:rPr>
              <w:tab/>
            </w:r>
            <w:r w:rsidRPr="006D3E70">
              <w:rPr>
                <w:lang w:val="fr-FR"/>
              </w:rPr>
              <w:t>Dans ce cas particulier, la largeur de bande de référence devrait être de 3 kHz.</w:t>
            </w:r>
          </w:p>
          <w:p w14:paraId="69B1A775" w14:textId="77777777" w:rsidR="00532249" w:rsidRPr="006D3E70" w:rsidRDefault="00532249" w:rsidP="009B33DD">
            <w:pPr>
              <w:pStyle w:val="Tablelegend"/>
              <w:rPr>
                <w:lang w:val="fr-FR"/>
              </w:rPr>
            </w:pPr>
            <w:r w:rsidRPr="006D3E70">
              <w:rPr>
                <w:vertAlign w:val="superscript"/>
                <w:lang w:val="fr-FR"/>
              </w:rPr>
              <w:t>(3)</w:t>
            </w:r>
            <w:r w:rsidRPr="006D3E70">
              <w:rPr>
                <w:sz w:val="20"/>
                <w:lang w:val="fr-FR"/>
              </w:rPr>
              <w:tab/>
            </w:r>
            <w:r w:rsidRPr="006D3E70">
              <w:rPr>
                <w:lang w:val="fr-FR"/>
              </w:rPr>
              <w:t>Proposé.</w:t>
            </w:r>
          </w:p>
        </w:tc>
      </w:tr>
    </w:tbl>
    <w:p w14:paraId="3A30E432" w14:textId="77777777" w:rsidR="00532249" w:rsidRPr="006D3E70" w:rsidRDefault="00532249" w:rsidP="00532249">
      <w:pPr>
        <w:pStyle w:val="Tablefin"/>
        <w:rPr>
          <w:lang w:val="fr-FR"/>
        </w:rPr>
      </w:pPr>
    </w:p>
    <w:p w14:paraId="00AF22F1" w14:textId="77777777" w:rsidR="00532249" w:rsidRPr="006D3E70" w:rsidRDefault="00532249" w:rsidP="00532249">
      <w:pPr>
        <w:pStyle w:val="Heading2"/>
        <w:rPr>
          <w:lang w:val="fr-FR"/>
        </w:rPr>
      </w:pPr>
      <w:r w:rsidRPr="006D3E70">
        <w:rPr>
          <w:lang w:val="fr-FR"/>
        </w:rPr>
        <w:t>4.5</w:t>
      </w:r>
      <w:r w:rsidRPr="006D3E70">
        <w:rPr>
          <w:lang w:val="fr-FR"/>
        </w:rPr>
        <w:tab/>
        <w:t>Limites de la catégorie D</w:t>
      </w:r>
    </w:p>
    <w:p w14:paraId="59DC23AF" w14:textId="23C2D96E" w:rsidR="00532249" w:rsidRPr="006D3E70" w:rsidRDefault="00532249" w:rsidP="00532249">
      <w:pPr>
        <w:spacing w:before="100"/>
        <w:rPr>
          <w:lang w:val="fr-FR"/>
        </w:rPr>
      </w:pPr>
      <w:r w:rsidRPr="006D3E70">
        <w:rPr>
          <w:lang w:val="fr-FR"/>
        </w:rPr>
        <w:t>Le Tableau 5 donne les niveaux maximaux autorisés des rayonnements dans le domaine des rayonnements non essentiels, en termes de niveaux de puissance, pour toute composante non désirée appliquée par un émetteur à la ligne d</w:t>
      </w:r>
      <w:r w:rsidR="00324C7C" w:rsidRPr="006D3E70">
        <w:rPr>
          <w:lang w:val="fr-FR"/>
        </w:rPr>
        <w:t>'</w:t>
      </w:r>
      <w:r w:rsidRPr="006D3E70">
        <w:rPr>
          <w:lang w:val="fr-FR"/>
        </w:rPr>
        <w:t>alimentation de l</w:t>
      </w:r>
      <w:r w:rsidR="00324C7C" w:rsidRPr="006D3E70">
        <w:rPr>
          <w:lang w:val="fr-FR"/>
        </w:rPr>
        <w:t>'</w:t>
      </w:r>
      <w:r w:rsidRPr="006D3E70">
        <w:rPr>
          <w:lang w:val="fr-FR"/>
        </w:rPr>
        <w:t>antenne pour les équipements relevant de la catégorie D. Pour tous les services/systèmes et pour les gammes de puissance de sortie qui ne sont pas énumérés dans ce Tableau, on applique les limites de la catégorie A.</w:t>
      </w:r>
    </w:p>
    <w:p w14:paraId="6D51C9E3" w14:textId="77777777" w:rsidR="00532249" w:rsidRPr="006D3E70" w:rsidRDefault="00532249" w:rsidP="00532249">
      <w:pPr>
        <w:pStyle w:val="TableNo"/>
        <w:keepLines/>
        <w:spacing w:before="300"/>
        <w:rPr>
          <w:lang w:val="fr-FR"/>
        </w:rPr>
      </w:pPr>
      <w:r w:rsidRPr="006D3E70">
        <w:rPr>
          <w:lang w:val="fr-FR"/>
        </w:rPr>
        <w:lastRenderedPageBreak/>
        <w:t>TABLEAU 5</w:t>
      </w:r>
    </w:p>
    <w:p w14:paraId="75BB028C" w14:textId="77777777" w:rsidR="00532249" w:rsidRPr="006D3E70" w:rsidRDefault="00532249" w:rsidP="00834B0C">
      <w:pPr>
        <w:pStyle w:val="Tabletitle"/>
        <w:rPr>
          <w:lang w:val="fr-FR"/>
        </w:rPr>
      </w:pPr>
      <w:r w:rsidRPr="006D3E70">
        <w:rPr>
          <w:lang w:val="fr-FR"/>
        </w:rPr>
        <w:t>Limites de la catégorie D</w:t>
      </w:r>
    </w:p>
    <w:p w14:paraId="225DA315" w14:textId="77777777" w:rsidR="00532249" w:rsidRPr="006D3E70" w:rsidRDefault="00532249" w:rsidP="00834B0C">
      <w:pPr>
        <w:pStyle w:val="Tabletitle"/>
        <w:rPr>
          <w:b w:val="0"/>
          <w:bCs/>
          <w:lang w:val="fr-FR"/>
        </w:rPr>
      </w:pPr>
      <w:r w:rsidRPr="006D3E70">
        <w:rPr>
          <w:b w:val="0"/>
          <w:bCs/>
          <w:lang w:val="fr-FR"/>
        </w:rPr>
        <w:t xml:space="preserve">(Voir les définitions du § 3.3 </w:t>
      </w:r>
      <w:r w:rsidRPr="006D3E70">
        <w:rPr>
          <w:b w:val="0"/>
          <w:bCs/>
          <w:i/>
          <w:iCs/>
          <w:lang w:val="fr-FR"/>
        </w:rPr>
        <w:t>recommande</w:t>
      </w:r>
      <w:r w:rsidRPr="006D3E70">
        <w:rPr>
          <w:b w:val="0"/>
          <w:bCs/>
          <w:lang w:val="fr-FR"/>
        </w:rPr>
        <w:t>)</w:t>
      </w:r>
    </w:p>
    <w:tbl>
      <w:tblPr>
        <w:tblW w:w="963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720"/>
        <w:gridCol w:w="5919"/>
      </w:tblGrid>
      <w:tr w:rsidR="00532249" w:rsidRPr="006D3E70" w14:paraId="0A617E4B" w14:textId="77777777" w:rsidTr="009B33DD">
        <w:trPr>
          <w:jc w:val="center"/>
        </w:trPr>
        <w:tc>
          <w:tcPr>
            <w:tcW w:w="3720" w:type="dxa"/>
          </w:tcPr>
          <w:p w14:paraId="7D461798" w14:textId="1FD1A3A1" w:rsidR="00532249" w:rsidRPr="006D3E70" w:rsidRDefault="00532249" w:rsidP="009B33DD">
            <w:pPr>
              <w:pStyle w:val="Tablehead"/>
              <w:keepLines/>
              <w:rPr>
                <w:lang w:val="fr-FR"/>
              </w:rPr>
            </w:pPr>
            <w:r w:rsidRPr="006D3E70">
              <w:rPr>
                <w:lang w:val="fr-FR"/>
              </w:rPr>
              <w:t>Type d</w:t>
            </w:r>
            <w:r w:rsidR="00324C7C" w:rsidRPr="006D3E70">
              <w:rPr>
                <w:lang w:val="fr-FR"/>
              </w:rPr>
              <w:t>'</w:t>
            </w:r>
            <w:r w:rsidRPr="006D3E70">
              <w:rPr>
                <w:lang w:val="fr-FR"/>
              </w:rPr>
              <w:t>équipement</w:t>
            </w:r>
          </w:p>
        </w:tc>
        <w:tc>
          <w:tcPr>
            <w:tcW w:w="5919" w:type="dxa"/>
          </w:tcPr>
          <w:p w14:paraId="0504208D" w14:textId="77777777" w:rsidR="00532249" w:rsidRPr="006D3E70" w:rsidRDefault="00532249" w:rsidP="009B33DD">
            <w:pPr>
              <w:pStyle w:val="Tablehead"/>
              <w:keepLines/>
              <w:rPr>
                <w:lang w:val="fr-FR"/>
              </w:rPr>
            </w:pPr>
            <w:r w:rsidRPr="006D3E70">
              <w:rPr>
                <w:lang w:val="fr-FR"/>
              </w:rPr>
              <w:t>Limites</w:t>
            </w:r>
          </w:p>
        </w:tc>
      </w:tr>
      <w:tr w:rsidR="00532249" w:rsidRPr="006D3E70" w14:paraId="423403E4" w14:textId="77777777" w:rsidTr="009B33DD">
        <w:trPr>
          <w:jc w:val="center"/>
        </w:trPr>
        <w:tc>
          <w:tcPr>
            <w:tcW w:w="3720" w:type="dxa"/>
            <w:vAlign w:val="center"/>
          </w:tcPr>
          <w:p w14:paraId="5936B825" w14:textId="77777777" w:rsidR="00532249" w:rsidRPr="006D3E70" w:rsidRDefault="00532249" w:rsidP="009B33DD">
            <w:pPr>
              <w:pStyle w:val="Tabletext"/>
              <w:keepNext/>
              <w:keepLines/>
              <w:tabs>
                <w:tab w:val="clear" w:pos="1134"/>
                <w:tab w:val="clear" w:pos="1418"/>
                <w:tab w:val="clear" w:pos="1701"/>
                <w:tab w:val="clear" w:pos="1985"/>
                <w:tab w:val="left" w:pos="1106"/>
                <w:tab w:val="left" w:pos="1344"/>
                <w:tab w:val="left" w:pos="1610"/>
                <w:tab w:val="left" w:pos="1890"/>
              </w:tabs>
              <w:spacing w:before="20" w:after="20"/>
              <w:jc w:val="left"/>
              <w:rPr>
                <w:lang w:val="fr-FR"/>
              </w:rPr>
            </w:pPr>
            <w:r w:rsidRPr="006D3E70">
              <w:rPr>
                <w:lang w:val="fr-FR"/>
              </w:rPr>
              <w:t>Service fixe</w:t>
            </w:r>
          </w:p>
          <w:p w14:paraId="2343466C" w14:textId="77777777" w:rsidR="00532249" w:rsidRPr="006D3E70" w:rsidRDefault="00532249" w:rsidP="009B33DD">
            <w:pPr>
              <w:pStyle w:val="Tabletext"/>
              <w:keepNext/>
              <w:keepLines/>
              <w:tabs>
                <w:tab w:val="clear" w:pos="1134"/>
                <w:tab w:val="clear" w:pos="1418"/>
                <w:tab w:val="clear" w:pos="1701"/>
                <w:tab w:val="clear" w:pos="1985"/>
                <w:tab w:val="left" w:pos="1106"/>
                <w:tab w:val="left" w:pos="1344"/>
                <w:tab w:val="left" w:pos="1610"/>
                <w:tab w:val="left" w:pos="1890"/>
              </w:tabs>
              <w:spacing w:before="20" w:after="20"/>
              <w:jc w:val="left"/>
              <w:rPr>
                <w:lang w:val="fr-FR"/>
              </w:rPr>
            </w:pPr>
            <w:r w:rsidRPr="006D3E70">
              <w:rPr>
                <w:lang w:val="fr-FR"/>
              </w:rPr>
              <w:t>30 MHz &lt; </w:t>
            </w:r>
            <w:r w:rsidRPr="006D3E70">
              <w:rPr>
                <w:i/>
                <w:lang w:val="fr-FR"/>
              </w:rPr>
              <w:t>f</w:t>
            </w:r>
            <w:r w:rsidRPr="006D3E70">
              <w:rPr>
                <w:position w:val="-4"/>
                <w:sz w:val="18"/>
                <w:lang w:val="fr-FR"/>
              </w:rPr>
              <w:t>0</w:t>
            </w:r>
            <w:r w:rsidRPr="006D3E70">
              <w:rPr>
                <w:position w:val="-4"/>
                <w:lang w:val="fr-FR"/>
              </w:rPr>
              <w:t> </w:t>
            </w:r>
            <w:r w:rsidRPr="006D3E70">
              <w:rPr>
                <w:lang w:val="fr-FR"/>
              </w:rPr>
              <w:sym w:font="Symbol" w:char="F0A3"/>
            </w:r>
            <w:r w:rsidRPr="006D3E70">
              <w:rPr>
                <w:lang w:val="fr-FR"/>
              </w:rPr>
              <w:t> 335,4 MHz</w:t>
            </w:r>
          </w:p>
          <w:p w14:paraId="66F1750C" w14:textId="77777777" w:rsidR="00532249" w:rsidRPr="006D3E70" w:rsidRDefault="00532249" w:rsidP="009B33DD">
            <w:pPr>
              <w:pStyle w:val="Tabletext"/>
              <w:keepNext/>
              <w:keepLines/>
              <w:tabs>
                <w:tab w:val="clear" w:pos="1134"/>
                <w:tab w:val="clear" w:pos="1418"/>
                <w:tab w:val="clear" w:pos="1701"/>
                <w:tab w:val="clear" w:pos="1985"/>
                <w:tab w:val="left" w:pos="1106"/>
                <w:tab w:val="left" w:pos="1344"/>
                <w:tab w:val="left" w:pos="1610"/>
                <w:tab w:val="left" w:pos="1890"/>
              </w:tabs>
              <w:spacing w:before="20" w:after="20"/>
              <w:jc w:val="left"/>
              <w:rPr>
                <w:lang w:val="fr-FR"/>
              </w:rPr>
            </w:pPr>
          </w:p>
          <w:p w14:paraId="58244911" w14:textId="77777777" w:rsidR="00532249" w:rsidRPr="006D3E70" w:rsidRDefault="00532249" w:rsidP="009B33DD">
            <w:pPr>
              <w:pStyle w:val="Tabletext"/>
              <w:keepNext/>
              <w:keepLines/>
              <w:tabs>
                <w:tab w:val="clear" w:pos="851"/>
                <w:tab w:val="clear" w:pos="1134"/>
                <w:tab w:val="clear" w:pos="1418"/>
                <w:tab w:val="clear" w:pos="1701"/>
                <w:tab w:val="clear" w:pos="1985"/>
                <w:tab w:val="left" w:pos="1078"/>
                <w:tab w:val="left" w:pos="1106"/>
                <w:tab w:val="left" w:pos="1344"/>
                <w:tab w:val="left" w:pos="1610"/>
                <w:tab w:val="left" w:pos="1890"/>
              </w:tabs>
              <w:spacing w:before="20" w:after="20"/>
              <w:jc w:val="left"/>
              <w:rPr>
                <w:lang w:val="fr-FR"/>
              </w:rPr>
            </w:pPr>
            <w:r w:rsidRPr="006D3E70">
              <w:rPr>
                <w:lang w:val="fr-FR"/>
              </w:rPr>
              <w:t>335,4 MHz &lt; </w:t>
            </w:r>
            <w:r w:rsidRPr="006D3E70">
              <w:rPr>
                <w:i/>
                <w:lang w:val="fr-FR"/>
              </w:rPr>
              <w:t>f</w:t>
            </w:r>
            <w:r w:rsidRPr="006D3E70">
              <w:rPr>
                <w:position w:val="-4"/>
                <w:sz w:val="18"/>
                <w:lang w:val="fr-FR"/>
              </w:rPr>
              <w:t>0</w:t>
            </w:r>
            <w:r w:rsidRPr="006D3E70">
              <w:rPr>
                <w:position w:val="-4"/>
                <w:lang w:val="fr-FR"/>
              </w:rPr>
              <w:t> </w:t>
            </w:r>
            <w:r w:rsidRPr="006D3E70">
              <w:rPr>
                <w:lang w:val="fr-FR"/>
              </w:rPr>
              <w:sym w:font="Symbol" w:char="F0A3"/>
            </w:r>
            <w:r w:rsidRPr="006D3E70">
              <w:rPr>
                <w:lang w:val="fr-FR"/>
              </w:rPr>
              <w:t> 470 MHz</w:t>
            </w:r>
          </w:p>
          <w:p w14:paraId="0313E6BF" w14:textId="77777777" w:rsidR="00532249" w:rsidRPr="006D3E70" w:rsidRDefault="00532249" w:rsidP="009B33DD">
            <w:pPr>
              <w:pStyle w:val="Tabletext"/>
              <w:keepNext/>
              <w:keepLines/>
              <w:tabs>
                <w:tab w:val="clear" w:pos="1134"/>
                <w:tab w:val="clear" w:pos="1418"/>
                <w:tab w:val="clear" w:pos="1701"/>
                <w:tab w:val="clear" w:pos="1985"/>
                <w:tab w:val="left" w:pos="1106"/>
                <w:tab w:val="left" w:pos="1344"/>
                <w:tab w:val="left" w:pos="1610"/>
                <w:tab w:val="left" w:pos="1890"/>
              </w:tabs>
              <w:spacing w:before="20" w:after="20"/>
              <w:jc w:val="left"/>
              <w:rPr>
                <w:lang w:val="fr-FR"/>
              </w:rPr>
            </w:pPr>
          </w:p>
          <w:p w14:paraId="2D87F17F" w14:textId="77777777" w:rsidR="00532249" w:rsidRPr="006D3E70" w:rsidRDefault="00532249" w:rsidP="009B33DD">
            <w:pPr>
              <w:pStyle w:val="Tablelegend"/>
              <w:keepNext/>
              <w:keepLines/>
              <w:spacing w:before="20" w:after="20"/>
              <w:jc w:val="left"/>
              <w:rPr>
                <w:lang w:val="fr-FR"/>
              </w:rPr>
            </w:pPr>
          </w:p>
        </w:tc>
        <w:tc>
          <w:tcPr>
            <w:tcW w:w="5919" w:type="dxa"/>
            <w:vAlign w:val="center"/>
          </w:tcPr>
          <w:p w14:paraId="53487340" w14:textId="77777777" w:rsidR="00532249" w:rsidRPr="006D3E70" w:rsidRDefault="00532249" w:rsidP="009B33DD">
            <w:pPr>
              <w:pStyle w:val="Tabletext"/>
              <w:keepNext/>
              <w:keepLines/>
              <w:tabs>
                <w:tab w:val="clear" w:pos="567"/>
                <w:tab w:val="clear" w:pos="851"/>
                <w:tab w:val="clear" w:pos="1134"/>
                <w:tab w:val="clear" w:pos="1418"/>
                <w:tab w:val="clear" w:pos="1701"/>
                <w:tab w:val="clear" w:pos="1985"/>
                <w:tab w:val="clear" w:pos="2268"/>
                <w:tab w:val="clear" w:pos="2552"/>
                <w:tab w:val="clear" w:pos="2835"/>
                <w:tab w:val="left" w:pos="1383"/>
                <w:tab w:val="left" w:pos="2517"/>
                <w:tab w:val="left" w:pos="2747"/>
              </w:tabs>
              <w:spacing w:before="20" w:after="20"/>
              <w:jc w:val="left"/>
              <w:rPr>
                <w:lang w:val="fr-FR"/>
              </w:rPr>
            </w:pPr>
          </w:p>
          <w:p w14:paraId="1D7A2E20" w14:textId="77777777" w:rsidR="00532249" w:rsidRPr="006D3E70" w:rsidRDefault="00532249" w:rsidP="009B33DD">
            <w:pPr>
              <w:pStyle w:val="Tabletext"/>
              <w:keepNext/>
              <w:keepLines/>
              <w:tabs>
                <w:tab w:val="clear" w:pos="567"/>
                <w:tab w:val="clear" w:pos="851"/>
                <w:tab w:val="clear" w:pos="1134"/>
                <w:tab w:val="clear" w:pos="1418"/>
                <w:tab w:val="clear" w:pos="1701"/>
                <w:tab w:val="clear" w:pos="1985"/>
                <w:tab w:val="clear" w:pos="2268"/>
                <w:tab w:val="clear" w:pos="2552"/>
                <w:tab w:val="clear" w:pos="2835"/>
                <w:tab w:val="left" w:pos="1383"/>
                <w:tab w:val="left" w:pos="2517"/>
                <w:tab w:val="left" w:pos="2747"/>
              </w:tabs>
              <w:spacing w:before="20" w:after="20"/>
              <w:jc w:val="left"/>
              <w:rPr>
                <w:lang w:val="fr-FR"/>
              </w:rPr>
            </w:pPr>
            <w:r w:rsidRPr="006D3E70">
              <w:rPr>
                <w:lang w:val="fr-FR"/>
              </w:rPr>
              <w:t>60 dBc</w:t>
            </w:r>
            <w:r w:rsidRPr="006D3E70">
              <w:rPr>
                <w:lang w:val="fr-FR"/>
              </w:rPr>
              <w:tab/>
              <w:t>pour</w:t>
            </w:r>
            <w:r w:rsidRPr="006D3E70">
              <w:rPr>
                <w:lang w:val="fr-FR"/>
              </w:rPr>
              <w:t> </w:t>
            </w:r>
            <w:r w:rsidRPr="006D3E70">
              <w:rPr>
                <w:lang w:val="fr-FR"/>
              </w:rPr>
              <w:t> </w:t>
            </w:r>
            <w:r w:rsidRPr="006D3E70">
              <w:rPr>
                <w:lang w:val="fr-FR"/>
              </w:rPr>
              <w:t> </w:t>
            </w:r>
            <w:r w:rsidRPr="006D3E70">
              <w:rPr>
                <w:lang w:val="fr-FR"/>
              </w:rPr>
              <w:t> </w:t>
            </w:r>
            <w:r w:rsidRPr="006D3E70">
              <w:rPr>
                <w:lang w:val="fr-FR"/>
              </w:rPr>
              <w:t> </w:t>
            </w:r>
            <w:r w:rsidRPr="006D3E70">
              <w:rPr>
                <w:lang w:val="fr-FR"/>
              </w:rPr>
              <w:t> </w:t>
            </w:r>
            <w:r w:rsidRPr="006D3E70">
              <w:rPr>
                <w:lang w:val="fr-FR"/>
              </w:rPr>
              <w:t> </w:t>
            </w:r>
            <w:r w:rsidRPr="006D3E70">
              <w:rPr>
                <w:lang w:val="fr-FR"/>
              </w:rPr>
              <w:t> </w:t>
            </w:r>
            <w:r w:rsidRPr="006D3E70">
              <w:rPr>
                <w:i/>
                <w:lang w:val="fr-FR"/>
              </w:rPr>
              <w:t>P</w:t>
            </w:r>
            <w:r w:rsidRPr="006D3E70">
              <w:rPr>
                <w:lang w:val="fr-FR"/>
              </w:rPr>
              <w:t> &lt; 50 W</w:t>
            </w:r>
          </w:p>
          <w:p w14:paraId="73484D3A" w14:textId="77777777" w:rsidR="00532249" w:rsidRPr="006D3E70" w:rsidRDefault="00532249" w:rsidP="009B33DD">
            <w:pPr>
              <w:pStyle w:val="Tabletext"/>
              <w:keepNext/>
              <w:keepLines/>
              <w:tabs>
                <w:tab w:val="clear" w:pos="567"/>
                <w:tab w:val="clear" w:pos="851"/>
                <w:tab w:val="clear" w:pos="1134"/>
                <w:tab w:val="clear" w:pos="1418"/>
                <w:tab w:val="clear" w:pos="1701"/>
                <w:tab w:val="clear" w:pos="1985"/>
                <w:tab w:val="clear" w:pos="2268"/>
                <w:tab w:val="clear" w:pos="2552"/>
                <w:tab w:val="clear" w:pos="2835"/>
                <w:tab w:val="left" w:pos="1383"/>
                <w:tab w:val="left" w:pos="2517"/>
                <w:tab w:val="left" w:pos="2747"/>
              </w:tabs>
              <w:spacing w:before="20" w:after="20"/>
              <w:jc w:val="left"/>
              <w:rPr>
                <w:lang w:val="fr-FR"/>
              </w:rPr>
            </w:pPr>
            <w:r w:rsidRPr="006D3E70">
              <w:rPr>
                <w:lang w:val="fr-FR"/>
              </w:rPr>
              <w:t> </w:t>
            </w:r>
            <w:r w:rsidRPr="006D3E70">
              <w:rPr>
                <w:lang w:val="fr-FR"/>
              </w:rPr>
              <w:t>0 dBm</w:t>
            </w:r>
            <w:r w:rsidRPr="006D3E70">
              <w:rPr>
                <w:lang w:val="fr-FR"/>
              </w:rPr>
              <w:tab/>
              <w:t>pour 10 kW </w:t>
            </w:r>
            <w:r w:rsidRPr="006D3E70">
              <w:rPr>
                <w:lang w:val="fr-FR"/>
              </w:rPr>
              <w:sym w:font="Symbol" w:char="F0A3"/>
            </w:r>
            <w:r w:rsidRPr="006D3E70">
              <w:rPr>
                <w:lang w:val="fr-FR"/>
              </w:rPr>
              <w:t> </w:t>
            </w:r>
            <w:r w:rsidRPr="006D3E70">
              <w:rPr>
                <w:i/>
                <w:lang w:val="fr-FR"/>
              </w:rPr>
              <w:t>P</w:t>
            </w:r>
          </w:p>
          <w:p w14:paraId="37C78E7A" w14:textId="77777777" w:rsidR="00532249" w:rsidRPr="006D3E70" w:rsidRDefault="00532249" w:rsidP="009B33DD">
            <w:pPr>
              <w:pStyle w:val="Tabletext"/>
              <w:keepNext/>
              <w:keepLines/>
              <w:tabs>
                <w:tab w:val="clear" w:pos="567"/>
                <w:tab w:val="clear" w:pos="851"/>
                <w:tab w:val="clear" w:pos="1134"/>
                <w:tab w:val="clear" w:pos="1418"/>
                <w:tab w:val="clear" w:pos="1701"/>
                <w:tab w:val="clear" w:pos="1985"/>
                <w:tab w:val="clear" w:pos="2268"/>
                <w:tab w:val="clear" w:pos="2552"/>
                <w:tab w:val="clear" w:pos="2835"/>
                <w:tab w:val="left" w:pos="1383"/>
                <w:tab w:val="left" w:pos="2517"/>
                <w:tab w:val="left" w:pos="2747"/>
              </w:tabs>
              <w:spacing w:before="20" w:after="20"/>
              <w:jc w:val="left"/>
              <w:rPr>
                <w:lang w:val="fr-FR"/>
              </w:rPr>
            </w:pPr>
            <w:r w:rsidRPr="006D3E70">
              <w:rPr>
                <w:lang w:val="fr-FR"/>
              </w:rPr>
              <w:t>–26 dBm</w:t>
            </w:r>
            <w:r w:rsidRPr="006D3E70">
              <w:rPr>
                <w:lang w:val="fr-FR"/>
              </w:rPr>
              <w:tab/>
              <w:t>pour</w:t>
            </w:r>
            <w:r w:rsidRPr="006D3E70">
              <w:rPr>
                <w:lang w:val="fr-FR"/>
              </w:rPr>
              <w:t> </w:t>
            </w:r>
            <w:r w:rsidRPr="006D3E70">
              <w:rPr>
                <w:lang w:val="fr-FR"/>
              </w:rPr>
              <w:t> </w:t>
            </w:r>
            <w:r w:rsidRPr="006D3E70">
              <w:rPr>
                <w:lang w:val="fr-FR"/>
              </w:rPr>
              <w:t> </w:t>
            </w:r>
            <w:r w:rsidRPr="006D3E70">
              <w:rPr>
                <w:lang w:val="fr-FR"/>
              </w:rPr>
              <w:t> </w:t>
            </w:r>
            <w:r w:rsidRPr="006D3E70">
              <w:rPr>
                <w:lang w:val="fr-FR"/>
              </w:rPr>
              <w:t> </w:t>
            </w:r>
            <w:r w:rsidRPr="006D3E70">
              <w:rPr>
                <w:lang w:val="fr-FR"/>
              </w:rPr>
              <w:t> </w:t>
            </w:r>
            <w:r w:rsidRPr="006D3E70">
              <w:rPr>
                <w:lang w:val="fr-FR"/>
              </w:rPr>
              <w:t> </w:t>
            </w:r>
            <w:r w:rsidRPr="006D3E70">
              <w:rPr>
                <w:lang w:val="fr-FR"/>
              </w:rPr>
              <w:t> </w:t>
            </w:r>
            <w:r w:rsidRPr="006D3E70">
              <w:rPr>
                <w:i/>
                <w:lang w:val="fr-FR"/>
              </w:rPr>
              <w:t>P</w:t>
            </w:r>
            <w:r w:rsidRPr="006D3E70">
              <w:rPr>
                <w:lang w:val="fr-FR"/>
              </w:rPr>
              <w:t> &lt; 25 W</w:t>
            </w:r>
          </w:p>
          <w:p w14:paraId="7DB1A114" w14:textId="77777777" w:rsidR="00532249" w:rsidRPr="006D3E70" w:rsidRDefault="00532249" w:rsidP="009B33DD">
            <w:pPr>
              <w:pStyle w:val="Tabletext"/>
              <w:keepNext/>
              <w:keepLines/>
              <w:tabs>
                <w:tab w:val="clear" w:pos="567"/>
                <w:tab w:val="clear" w:pos="851"/>
                <w:tab w:val="clear" w:pos="1134"/>
                <w:tab w:val="clear" w:pos="1418"/>
                <w:tab w:val="clear" w:pos="1701"/>
                <w:tab w:val="clear" w:pos="1985"/>
                <w:tab w:val="clear" w:pos="2268"/>
                <w:tab w:val="clear" w:pos="2552"/>
                <w:tab w:val="clear" w:pos="2835"/>
                <w:tab w:val="left" w:pos="1383"/>
                <w:tab w:val="left" w:pos="2517"/>
                <w:tab w:val="left" w:pos="2747"/>
              </w:tabs>
              <w:spacing w:before="20" w:after="20"/>
              <w:jc w:val="left"/>
              <w:rPr>
                <w:lang w:val="fr-FR"/>
              </w:rPr>
            </w:pPr>
            <w:r w:rsidRPr="006D3E70">
              <w:rPr>
                <w:lang w:val="fr-FR"/>
              </w:rPr>
              <w:t>70 dBc</w:t>
            </w:r>
            <w:r w:rsidRPr="006D3E70">
              <w:rPr>
                <w:lang w:val="fr-FR"/>
              </w:rPr>
              <w:tab/>
              <w:t>pour 25 W</w:t>
            </w:r>
            <w:r w:rsidRPr="006D3E70">
              <w:rPr>
                <w:lang w:val="fr-FR"/>
              </w:rPr>
              <w:t> </w:t>
            </w:r>
            <w:r w:rsidRPr="006D3E70">
              <w:rPr>
                <w:lang w:val="fr-FR"/>
              </w:rPr>
              <w:t> </w:t>
            </w:r>
            <w:r w:rsidRPr="006D3E70">
              <w:rPr>
                <w:lang w:val="fr-FR"/>
              </w:rPr>
              <w:sym w:font="Symbol" w:char="F0A3"/>
            </w:r>
            <w:r w:rsidRPr="006D3E70">
              <w:rPr>
                <w:lang w:val="fr-FR"/>
              </w:rPr>
              <w:t> </w:t>
            </w:r>
            <w:r w:rsidRPr="006D3E70">
              <w:rPr>
                <w:i/>
                <w:lang w:val="fr-FR"/>
              </w:rPr>
              <w:t>P</w:t>
            </w:r>
            <w:r w:rsidRPr="006D3E70">
              <w:rPr>
                <w:lang w:val="fr-FR"/>
              </w:rPr>
              <w:t> &lt; 10 kW</w:t>
            </w:r>
          </w:p>
          <w:p w14:paraId="227D7667" w14:textId="77777777" w:rsidR="00532249" w:rsidRPr="006D3E70" w:rsidRDefault="00532249" w:rsidP="009B33DD">
            <w:pPr>
              <w:pStyle w:val="Tabletext"/>
              <w:keepNext/>
              <w:keepLines/>
              <w:tabs>
                <w:tab w:val="clear" w:pos="567"/>
                <w:tab w:val="clear" w:pos="851"/>
                <w:tab w:val="clear" w:pos="1134"/>
                <w:tab w:val="clear" w:pos="1418"/>
                <w:tab w:val="clear" w:pos="1701"/>
                <w:tab w:val="clear" w:pos="1985"/>
                <w:tab w:val="clear" w:pos="2268"/>
                <w:tab w:val="clear" w:pos="2552"/>
                <w:tab w:val="clear" w:pos="2835"/>
                <w:tab w:val="left" w:pos="1383"/>
                <w:tab w:val="left" w:pos="2517"/>
                <w:tab w:val="left" w:pos="2747"/>
              </w:tabs>
              <w:spacing w:before="20" w:after="20"/>
              <w:jc w:val="left"/>
              <w:rPr>
                <w:lang w:val="fr-FR"/>
              </w:rPr>
            </w:pPr>
            <w:r w:rsidRPr="006D3E70">
              <w:rPr>
                <w:lang w:val="fr-FR"/>
              </w:rPr>
              <w:t> </w:t>
            </w:r>
            <w:r w:rsidRPr="006D3E70">
              <w:rPr>
                <w:lang w:val="fr-FR"/>
              </w:rPr>
              <w:t>0 dBm</w:t>
            </w:r>
            <w:r w:rsidRPr="006D3E70">
              <w:rPr>
                <w:lang w:val="fr-FR"/>
              </w:rPr>
              <w:tab/>
              <w:t>pour 10 kW </w:t>
            </w:r>
            <w:r w:rsidRPr="006D3E70">
              <w:rPr>
                <w:lang w:val="fr-FR"/>
              </w:rPr>
              <w:sym w:font="Symbol" w:char="F0A3"/>
            </w:r>
            <w:r w:rsidRPr="006D3E70">
              <w:rPr>
                <w:lang w:val="fr-FR"/>
              </w:rPr>
              <w:t> </w:t>
            </w:r>
            <w:r w:rsidRPr="006D3E70">
              <w:rPr>
                <w:i/>
                <w:lang w:val="fr-FR"/>
              </w:rPr>
              <w:t>P</w:t>
            </w:r>
          </w:p>
        </w:tc>
      </w:tr>
      <w:tr w:rsidR="00532249" w:rsidRPr="006D3E70" w14:paraId="353AFCD4" w14:textId="77777777" w:rsidTr="009B33DD">
        <w:trPr>
          <w:jc w:val="center"/>
        </w:trPr>
        <w:tc>
          <w:tcPr>
            <w:tcW w:w="3720" w:type="dxa"/>
          </w:tcPr>
          <w:p w14:paraId="60861DB0" w14:textId="77777777" w:rsidR="00532249" w:rsidRPr="006D3E70" w:rsidRDefault="00532249" w:rsidP="009B33DD">
            <w:pPr>
              <w:pStyle w:val="Tabletext"/>
              <w:spacing w:before="20" w:after="20"/>
              <w:jc w:val="left"/>
              <w:rPr>
                <w:position w:val="6"/>
                <w:sz w:val="18"/>
                <w:lang w:val="fr-FR"/>
              </w:rPr>
            </w:pPr>
            <w:r w:rsidRPr="006D3E70">
              <w:rPr>
                <w:lang w:val="fr-FR"/>
              </w:rPr>
              <w:t>Service mobile maritime</w:t>
            </w:r>
            <w:r w:rsidRPr="006D3E70">
              <w:rPr>
                <w:vertAlign w:val="superscript"/>
                <w:lang w:val="fr-FR"/>
              </w:rPr>
              <w:t>(1)</w:t>
            </w:r>
          </w:p>
          <w:p w14:paraId="142DDD4E" w14:textId="77777777" w:rsidR="00532249" w:rsidRPr="006D3E70" w:rsidRDefault="00532249" w:rsidP="009B33DD">
            <w:pPr>
              <w:pStyle w:val="Tabletext"/>
              <w:spacing w:before="20" w:after="20"/>
              <w:jc w:val="left"/>
              <w:rPr>
                <w:lang w:val="fr-FR"/>
              </w:rPr>
            </w:pPr>
            <w:r w:rsidRPr="006D3E70">
              <w:rPr>
                <w:lang w:val="fr-FR"/>
              </w:rPr>
              <w:t>30 MHz &lt; </w:t>
            </w:r>
            <w:r w:rsidRPr="006D3E70">
              <w:rPr>
                <w:i/>
                <w:lang w:val="fr-FR"/>
              </w:rPr>
              <w:t>f</w:t>
            </w:r>
            <w:r w:rsidRPr="006D3E70">
              <w:rPr>
                <w:position w:val="-4"/>
                <w:sz w:val="18"/>
                <w:lang w:val="fr-FR"/>
              </w:rPr>
              <w:t>0</w:t>
            </w:r>
            <w:r w:rsidRPr="006D3E70">
              <w:rPr>
                <w:lang w:val="fr-FR"/>
              </w:rPr>
              <w:t> </w:t>
            </w:r>
            <w:r w:rsidRPr="006D3E70">
              <w:rPr>
                <w:lang w:val="fr-FR"/>
              </w:rPr>
              <w:sym w:font="Symbol" w:char="F0A3"/>
            </w:r>
            <w:r w:rsidRPr="006D3E70">
              <w:rPr>
                <w:lang w:val="fr-FR"/>
              </w:rPr>
              <w:t> 335,4 MHz</w:t>
            </w:r>
          </w:p>
          <w:p w14:paraId="3E8FB02F" w14:textId="77777777" w:rsidR="00532249" w:rsidRPr="006D3E70" w:rsidRDefault="00532249" w:rsidP="009B33DD">
            <w:pPr>
              <w:pStyle w:val="Tabletext"/>
              <w:spacing w:before="20" w:after="20"/>
              <w:jc w:val="left"/>
              <w:rPr>
                <w:lang w:val="fr-FR"/>
              </w:rPr>
            </w:pPr>
          </w:p>
          <w:p w14:paraId="2966D36B" w14:textId="77777777" w:rsidR="00532249" w:rsidRPr="006D3E70" w:rsidRDefault="00532249" w:rsidP="009B33DD">
            <w:pPr>
              <w:pStyle w:val="Tabletext"/>
              <w:spacing w:before="20" w:after="20"/>
              <w:jc w:val="left"/>
              <w:rPr>
                <w:lang w:val="fr-FR"/>
              </w:rPr>
            </w:pPr>
          </w:p>
          <w:p w14:paraId="68C96944" w14:textId="77777777" w:rsidR="00532249" w:rsidRPr="006D3E70" w:rsidRDefault="00532249" w:rsidP="009B33DD">
            <w:pPr>
              <w:pStyle w:val="Tabletext"/>
              <w:spacing w:before="20" w:after="20"/>
              <w:jc w:val="left"/>
              <w:rPr>
                <w:lang w:val="fr-FR"/>
              </w:rPr>
            </w:pPr>
          </w:p>
          <w:p w14:paraId="11D834CA" w14:textId="77777777" w:rsidR="00532249" w:rsidRPr="006D3E70" w:rsidRDefault="00532249" w:rsidP="009B33DD">
            <w:pPr>
              <w:pStyle w:val="Tabletext"/>
              <w:spacing w:before="20" w:after="20"/>
              <w:jc w:val="left"/>
              <w:rPr>
                <w:lang w:val="fr-FR"/>
              </w:rPr>
            </w:pPr>
          </w:p>
          <w:p w14:paraId="2E6DF01E" w14:textId="77777777" w:rsidR="00532249" w:rsidRPr="006D3E70" w:rsidRDefault="00532249" w:rsidP="009B33DD">
            <w:pPr>
              <w:pStyle w:val="Tablelegend"/>
              <w:spacing w:before="20" w:after="20"/>
              <w:jc w:val="left"/>
              <w:rPr>
                <w:lang w:val="fr-FR"/>
              </w:rPr>
            </w:pPr>
          </w:p>
        </w:tc>
        <w:tc>
          <w:tcPr>
            <w:tcW w:w="5919" w:type="dxa"/>
            <w:vAlign w:val="center"/>
          </w:tcPr>
          <w:p w14:paraId="4AA1745B" w14:textId="77777777" w:rsidR="00532249" w:rsidRPr="006D3E70" w:rsidRDefault="00532249" w:rsidP="009B33DD">
            <w:pPr>
              <w:pStyle w:val="Tabletext"/>
              <w:tabs>
                <w:tab w:val="clear" w:pos="1134"/>
                <w:tab w:val="clear" w:pos="1418"/>
                <w:tab w:val="clear" w:pos="2268"/>
                <w:tab w:val="clear" w:pos="2552"/>
                <w:tab w:val="clear" w:pos="2835"/>
                <w:tab w:val="left" w:pos="1376"/>
                <w:tab w:val="left" w:pos="2369"/>
                <w:tab w:val="left" w:pos="2747"/>
              </w:tabs>
              <w:spacing w:before="20" w:after="20"/>
              <w:jc w:val="left"/>
              <w:rPr>
                <w:lang w:val="fr-FR"/>
              </w:rPr>
            </w:pPr>
          </w:p>
          <w:p w14:paraId="2EF9AF83" w14:textId="77777777" w:rsidR="00532249" w:rsidRPr="006D3E70" w:rsidRDefault="00532249" w:rsidP="009B33DD">
            <w:pPr>
              <w:pStyle w:val="Tabletext"/>
              <w:tabs>
                <w:tab w:val="clear" w:pos="1134"/>
                <w:tab w:val="clear" w:pos="1418"/>
                <w:tab w:val="clear" w:pos="2268"/>
                <w:tab w:val="clear" w:pos="2552"/>
                <w:tab w:val="clear" w:pos="2835"/>
                <w:tab w:val="left" w:pos="1376"/>
                <w:tab w:val="left" w:pos="2369"/>
                <w:tab w:val="left" w:pos="2747"/>
              </w:tabs>
              <w:spacing w:before="20" w:after="20"/>
              <w:jc w:val="left"/>
              <w:rPr>
                <w:lang w:val="fr-FR"/>
              </w:rPr>
            </w:pPr>
            <w:r w:rsidRPr="006D3E70">
              <w:rPr>
                <w:lang w:val="fr-FR"/>
              </w:rPr>
              <w:t>146 MHz &lt; </w:t>
            </w:r>
            <w:r w:rsidRPr="006D3E70">
              <w:rPr>
                <w:i/>
                <w:lang w:val="fr-FR"/>
              </w:rPr>
              <w:t>f</w:t>
            </w:r>
            <w:r w:rsidRPr="006D3E70">
              <w:rPr>
                <w:lang w:val="fr-FR"/>
              </w:rPr>
              <w:t> </w:t>
            </w:r>
            <w:r w:rsidRPr="006D3E70">
              <w:rPr>
                <w:lang w:val="fr-FR"/>
              </w:rPr>
              <w:sym w:font="Symbol" w:char="F0A3"/>
            </w:r>
            <w:r w:rsidRPr="006D3E70">
              <w:rPr>
                <w:lang w:val="fr-FR"/>
              </w:rPr>
              <w:t> 162,0375 MHz</w:t>
            </w:r>
          </w:p>
          <w:p w14:paraId="3BCEF002" w14:textId="77777777" w:rsidR="00532249" w:rsidRPr="006D3E70" w:rsidRDefault="00532249" w:rsidP="009B33DD">
            <w:pPr>
              <w:pStyle w:val="Tabletext"/>
              <w:tabs>
                <w:tab w:val="clear" w:pos="1134"/>
                <w:tab w:val="clear" w:pos="1418"/>
                <w:tab w:val="clear" w:pos="2268"/>
                <w:tab w:val="clear" w:pos="2552"/>
                <w:tab w:val="clear" w:pos="2835"/>
                <w:tab w:val="left" w:pos="1376"/>
                <w:tab w:val="left" w:pos="2369"/>
                <w:tab w:val="left" w:pos="2747"/>
              </w:tabs>
              <w:spacing w:before="20" w:after="20"/>
              <w:jc w:val="left"/>
              <w:rPr>
                <w:lang w:val="fr-FR"/>
              </w:rPr>
            </w:pPr>
            <w:r w:rsidRPr="006D3E70">
              <w:rPr>
                <w:lang w:val="fr-FR"/>
              </w:rPr>
              <w:tab/>
              <w:t>–26 dBm</w:t>
            </w:r>
            <w:r w:rsidRPr="006D3E70">
              <w:rPr>
                <w:lang w:val="fr-FR"/>
              </w:rPr>
              <w:tab/>
              <w:t>pour</w:t>
            </w:r>
            <w:r w:rsidRPr="006D3E70">
              <w:rPr>
                <w:lang w:val="fr-FR"/>
              </w:rPr>
              <w:t> </w:t>
            </w:r>
            <w:r w:rsidRPr="006D3E70">
              <w:rPr>
                <w:lang w:val="fr-FR"/>
              </w:rPr>
              <w:t> </w:t>
            </w:r>
            <w:r w:rsidRPr="006D3E70">
              <w:rPr>
                <w:lang w:val="fr-FR"/>
              </w:rPr>
              <w:t> </w:t>
            </w:r>
            <w:r w:rsidRPr="006D3E70">
              <w:rPr>
                <w:lang w:val="fr-FR"/>
              </w:rPr>
              <w:t> </w:t>
            </w:r>
            <w:r w:rsidRPr="006D3E70">
              <w:rPr>
                <w:lang w:val="fr-FR"/>
              </w:rPr>
              <w:t> </w:t>
            </w:r>
            <w:r w:rsidRPr="006D3E70">
              <w:rPr>
                <w:lang w:val="fr-FR"/>
              </w:rPr>
              <w:t> </w:t>
            </w:r>
            <w:r w:rsidRPr="006D3E70">
              <w:rPr>
                <w:lang w:val="fr-FR"/>
              </w:rPr>
              <w:t> </w:t>
            </w:r>
            <w:r w:rsidRPr="006D3E70">
              <w:rPr>
                <w:i/>
                <w:lang w:val="fr-FR"/>
              </w:rPr>
              <w:t>P</w:t>
            </w:r>
            <w:r w:rsidRPr="006D3E70">
              <w:rPr>
                <w:lang w:val="fr-FR"/>
              </w:rPr>
              <w:t> &lt; 20 W</w:t>
            </w:r>
          </w:p>
          <w:p w14:paraId="0CDA5824" w14:textId="77777777" w:rsidR="00532249" w:rsidRPr="006D3E70" w:rsidRDefault="00532249" w:rsidP="009B33DD">
            <w:pPr>
              <w:pStyle w:val="Tabletext"/>
              <w:tabs>
                <w:tab w:val="clear" w:pos="1134"/>
                <w:tab w:val="clear" w:pos="1418"/>
                <w:tab w:val="clear" w:pos="2268"/>
                <w:tab w:val="clear" w:pos="2552"/>
                <w:tab w:val="clear" w:pos="2835"/>
                <w:tab w:val="left" w:pos="1376"/>
                <w:tab w:val="left" w:pos="2369"/>
                <w:tab w:val="left" w:pos="2747"/>
              </w:tabs>
              <w:spacing w:before="20" w:after="20"/>
              <w:jc w:val="left"/>
              <w:rPr>
                <w:lang w:val="fr-FR"/>
              </w:rPr>
            </w:pPr>
            <w:r w:rsidRPr="006D3E70">
              <w:rPr>
                <w:lang w:val="fr-FR"/>
              </w:rPr>
              <w:tab/>
            </w:r>
            <w:r w:rsidRPr="006D3E70">
              <w:rPr>
                <w:lang w:val="fr-FR"/>
              </w:rPr>
              <w:t> </w:t>
            </w:r>
            <w:r w:rsidRPr="006D3E70">
              <w:rPr>
                <w:lang w:val="fr-FR"/>
              </w:rPr>
              <w:t>69 dBc</w:t>
            </w:r>
            <w:r w:rsidRPr="006D3E70">
              <w:rPr>
                <w:lang w:val="fr-FR"/>
              </w:rPr>
              <w:tab/>
              <w:t>pour 20 W </w:t>
            </w:r>
            <w:r w:rsidRPr="006D3E70">
              <w:rPr>
                <w:lang w:val="fr-FR"/>
              </w:rPr>
              <w:sym w:font="Symbol" w:char="F0A3"/>
            </w:r>
            <w:r w:rsidRPr="006D3E70">
              <w:rPr>
                <w:lang w:val="fr-FR"/>
              </w:rPr>
              <w:t> </w:t>
            </w:r>
            <w:r w:rsidRPr="006D3E70">
              <w:rPr>
                <w:i/>
                <w:lang w:val="fr-FR"/>
              </w:rPr>
              <w:t>P</w:t>
            </w:r>
            <w:r w:rsidRPr="006D3E70">
              <w:rPr>
                <w:lang w:val="fr-FR"/>
              </w:rPr>
              <w:t> &lt; 400 W</w:t>
            </w:r>
          </w:p>
          <w:p w14:paraId="2F7427A2" w14:textId="77777777" w:rsidR="00532249" w:rsidRPr="006D3E70" w:rsidRDefault="00532249" w:rsidP="009B33DD">
            <w:pPr>
              <w:pStyle w:val="Tabletext"/>
              <w:tabs>
                <w:tab w:val="clear" w:pos="1134"/>
                <w:tab w:val="clear" w:pos="1418"/>
                <w:tab w:val="clear" w:pos="2268"/>
                <w:tab w:val="clear" w:pos="2552"/>
                <w:tab w:val="clear" w:pos="2835"/>
                <w:tab w:val="left" w:pos="1376"/>
                <w:tab w:val="left" w:pos="2369"/>
                <w:tab w:val="left" w:pos="2747"/>
              </w:tabs>
              <w:spacing w:before="20" w:after="20"/>
              <w:jc w:val="left"/>
              <w:rPr>
                <w:lang w:val="fr-FR"/>
              </w:rPr>
            </w:pPr>
            <w:r w:rsidRPr="006D3E70">
              <w:rPr>
                <w:i/>
                <w:lang w:val="fr-FR"/>
              </w:rPr>
              <w:t>f</w:t>
            </w:r>
            <w:r w:rsidRPr="006D3E70">
              <w:rPr>
                <w:lang w:val="fr-FR"/>
              </w:rPr>
              <w:t> </w:t>
            </w:r>
            <w:r w:rsidRPr="006D3E70">
              <w:rPr>
                <w:lang w:val="fr-FR"/>
              </w:rPr>
              <w:sym w:font="Symbol" w:char="F0A3"/>
            </w:r>
            <w:r w:rsidRPr="006D3E70">
              <w:rPr>
                <w:lang w:val="fr-FR"/>
              </w:rPr>
              <w:t> 146 MHz et 162,0375 MHz &lt; </w:t>
            </w:r>
            <w:r w:rsidRPr="006D3E70">
              <w:rPr>
                <w:i/>
                <w:lang w:val="fr-FR"/>
              </w:rPr>
              <w:t>f</w:t>
            </w:r>
          </w:p>
          <w:p w14:paraId="1621416E" w14:textId="77777777" w:rsidR="00532249" w:rsidRPr="006D3E70" w:rsidRDefault="00532249" w:rsidP="009B33DD">
            <w:pPr>
              <w:pStyle w:val="Tabletext"/>
              <w:tabs>
                <w:tab w:val="clear" w:pos="1134"/>
                <w:tab w:val="clear" w:pos="1418"/>
                <w:tab w:val="clear" w:pos="2268"/>
                <w:tab w:val="clear" w:pos="2552"/>
                <w:tab w:val="clear" w:pos="2835"/>
                <w:tab w:val="left" w:pos="1376"/>
                <w:tab w:val="left" w:pos="2369"/>
                <w:tab w:val="left" w:pos="2747"/>
              </w:tabs>
              <w:spacing w:before="20" w:after="20"/>
              <w:jc w:val="left"/>
              <w:rPr>
                <w:lang w:val="fr-FR"/>
              </w:rPr>
            </w:pPr>
            <w:r w:rsidRPr="006D3E70">
              <w:rPr>
                <w:lang w:val="fr-FR"/>
              </w:rPr>
              <w:tab/>
              <w:t>–20 dBm</w:t>
            </w:r>
            <w:r w:rsidRPr="006D3E70">
              <w:rPr>
                <w:lang w:val="fr-FR"/>
              </w:rPr>
              <w:tab/>
              <w:t>pour</w:t>
            </w:r>
            <w:r w:rsidRPr="006D3E70">
              <w:rPr>
                <w:lang w:val="fr-FR"/>
              </w:rPr>
              <w:t> </w:t>
            </w:r>
            <w:r w:rsidRPr="006D3E70">
              <w:rPr>
                <w:lang w:val="fr-FR"/>
              </w:rPr>
              <w:t> </w:t>
            </w:r>
            <w:r w:rsidRPr="006D3E70">
              <w:rPr>
                <w:lang w:val="fr-FR"/>
              </w:rPr>
              <w:t> </w:t>
            </w:r>
            <w:r w:rsidRPr="006D3E70">
              <w:rPr>
                <w:lang w:val="fr-FR"/>
              </w:rPr>
              <w:t> </w:t>
            </w:r>
            <w:r w:rsidRPr="006D3E70">
              <w:rPr>
                <w:lang w:val="fr-FR"/>
              </w:rPr>
              <w:t> </w:t>
            </w:r>
            <w:r w:rsidRPr="006D3E70">
              <w:rPr>
                <w:lang w:val="fr-FR"/>
              </w:rPr>
              <w:t> </w:t>
            </w:r>
            <w:r w:rsidRPr="006D3E70">
              <w:rPr>
                <w:lang w:val="fr-FR"/>
              </w:rPr>
              <w:t> </w:t>
            </w:r>
            <w:r w:rsidRPr="006D3E70">
              <w:rPr>
                <w:i/>
                <w:lang w:val="fr-FR"/>
              </w:rPr>
              <w:t>P</w:t>
            </w:r>
            <w:r w:rsidRPr="006D3E70">
              <w:rPr>
                <w:lang w:val="fr-FR"/>
              </w:rPr>
              <w:t> &lt; 20 W</w:t>
            </w:r>
          </w:p>
          <w:p w14:paraId="14D7C8B1" w14:textId="77777777" w:rsidR="00532249" w:rsidRPr="006D3E70" w:rsidRDefault="00532249" w:rsidP="009B33DD">
            <w:pPr>
              <w:pStyle w:val="Tabletext"/>
              <w:tabs>
                <w:tab w:val="clear" w:pos="1134"/>
                <w:tab w:val="clear" w:pos="1418"/>
                <w:tab w:val="clear" w:pos="2268"/>
                <w:tab w:val="clear" w:pos="2552"/>
                <w:tab w:val="clear" w:pos="2835"/>
                <w:tab w:val="left" w:pos="1376"/>
                <w:tab w:val="left" w:pos="2369"/>
                <w:tab w:val="left" w:pos="2747"/>
              </w:tabs>
              <w:spacing w:before="20" w:after="20"/>
              <w:jc w:val="left"/>
              <w:rPr>
                <w:lang w:val="fr-FR"/>
              </w:rPr>
            </w:pPr>
            <w:r w:rsidRPr="006D3E70">
              <w:rPr>
                <w:lang w:val="fr-FR"/>
              </w:rPr>
              <w:tab/>
            </w:r>
            <w:r w:rsidRPr="006D3E70">
              <w:rPr>
                <w:lang w:val="fr-FR"/>
              </w:rPr>
              <w:t> </w:t>
            </w:r>
            <w:r w:rsidRPr="006D3E70">
              <w:rPr>
                <w:lang w:val="fr-FR"/>
              </w:rPr>
              <w:t>63 dBc</w:t>
            </w:r>
            <w:r w:rsidRPr="006D3E70">
              <w:rPr>
                <w:lang w:val="fr-FR"/>
              </w:rPr>
              <w:tab/>
              <w:t>pour 20 W </w:t>
            </w:r>
            <w:r w:rsidRPr="006D3E70">
              <w:rPr>
                <w:lang w:val="fr-FR"/>
              </w:rPr>
              <w:sym w:font="Symbol" w:char="F0A3"/>
            </w:r>
            <w:r w:rsidRPr="006D3E70">
              <w:rPr>
                <w:lang w:val="fr-FR"/>
              </w:rPr>
              <w:t> </w:t>
            </w:r>
            <w:r w:rsidRPr="006D3E70">
              <w:rPr>
                <w:i/>
                <w:lang w:val="fr-FR"/>
              </w:rPr>
              <w:t>P</w:t>
            </w:r>
            <w:r w:rsidRPr="006D3E70">
              <w:rPr>
                <w:lang w:val="fr-FR"/>
              </w:rPr>
              <w:t> &lt; 100 W</w:t>
            </w:r>
          </w:p>
        </w:tc>
      </w:tr>
      <w:tr w:rsidR="00532249" w:rsidRPr="006D3E70" w14:paraId="6863D198" w14:textId="77777777" w:rsidTr="009B33DD">
        <w:trPr>
          <w:jc w:val="center"/>
        </w:trPr>
        <w:tc>
          <w:tcPr>
            <w:tcW w:w="3720" w:type="dxa"/>
            <w:vAlign w:val="center"/>
          </w:tcPr>
          <w:p w14:paraId="33021247" w14:textId="77777777" w:rsidR="00532249" w:rsidRPr="006D3E70" w:rsidRDefault="00532249" w:rsidP="009B33DD">
            <w:pPr>
              <w:pStyle w:val="Tabletext"/>
              <w:spacing w:before="20" w:after="20"/>
              <w:jc w:val="left"/>
              <w:rPr>
                <w:lang w:val="fr-FR"/>
              </w:rPr>
            </w:pPr>
            <w:r w:rsidRPr="006D3E70">
              <w:rPr>
                <w:lang w:val="fr-FR"/>
              </w:rPr>
              <w:t>Service mobile aéronautique</w:t>
            </w:r>
            <w:r w:rsidRPr="006D3E70">
              <w:rPr>
                <w:vertAlign w:val="superscript"/>
                <w:lang w:val="fr-FR"/>
              </w:rPr>
              <w:t>(2)</w:t>
            </w:r>
          </w:p>
          <w:p w14:paraId="71840FA6" w14:textId="77777777" w:rsidR="00532249" w:rsidRPr="006D3E70" w:rsidRDefault="00532249" w:rsidP="009B33DD">
            <w:pPr>
              <w:pStyle w:val="Tabletext"/>
              <w:spacing w:before="20" w:after="20"/>
              <w:jc w:val="left"/>
              <w:rPr>
                <w:lang w:val="fr-FR"/>
              </w:rPr>
            </w:pPr>
            <w:r w:rsidRPr="006D3E70">
              <w:rPr>
                <w:lang w:val="fr-FR"/>
              </w:rPr>
              <w:t>118 MHz &lt; </w:t>
            </w:r>
            <w:r w:rsidRPr="006D3E70">
              <w:rPr>
                <w:i/>
                <w:lang w:val="fr-FR"/>
              </w:rPr>
              <w:t>f</w:t>
            </w:r>
            <w:r w:rsidRPr="006D3E70">
              <w:rPr>
                <w:position w:val="-4"/>
                <w:sz w:val="18"/>
                <w:lang w:val="fr-FR"/>
              </w:rPr>
              <w:t>0</w:t>
            </w:r>
            <w:r w:rsidRPr="006D3E70">
              <w:rPr>
                <w:lang w:val="fr-FR"/>
              </w:rPr>
              <w:t> </w:t>
            </w:r>
            <w:r w:rsidRPr="006D3E70">
              <w:rPr>
                <w:lang w:val="fr-FR"/>
              </w:rPr>
              <w:sym w:font="Symbol" w:char="F0A3"/>
            </w:r>
            <w:r w:rsidRPr="006D3E70">
              <w:rPr>
                <w:lang w:val="fr-FR"/>
              </w:rPr>
              <w:t> 142 MHz</w:t>
            </w:r>
          </w:p>
          <w:p w14:paraId="725935AF" w14:textId="77777777" w:rsidR="00532249" w:rsidRPr="006D3E70" w:rsidRDefault="00532249" w:rsidP="009B33DD">
            <w:pPr>
              <w:pStyle w:val="Tabletext"/>
              <w:spacing w:before="20" w:after="20"/>
              <w:jc w:val="left"/>
              <w:rPr>
                <w:lang w:val="fr-FR"/>
              </w:rPr>
            </w:pPr>
            <w:r w:rsidRPr="006D3E70">
              <w:rPr>
                <w:lang w:val="fr-FR"/>
              </w:rPr>
              <w:t>335,4 MHz &lt; </w:t>
            </w:r>
            <w:r w:rsidRPr="006D3E70">
              <w:rPr>
                <w:i/>
                <w:lang w:val="fr-FR"/>
              </w:rPr>
              <w:t>f</w:t>
            </w:r>
            <w:r w:rsidRPr="006D3E70">
              <w:rPr>
                <w:position w:val="-4"/>
                <w:sz w:val="18"/>
                <w:lang w:val="fr-FR"/>
              </w:rPr>
              <w:t>0</w:t>
            </w:r>
            <w:r w:rsidRPr="006D3E70">
              <w:rPr>
                <w:lang w:val="fr-FR"/>
              </w:rPr>
              <w:t> </w:t>
            </w:r>
            <w:r w:rsidRPr="006D3E70">
              <w:rPr>
                <w:lang w:val="fr-FR"/>
              </w:rPr>
              <w:sym w:font="Symbol" w:char="F0A3"/>
            </w:r>
            <w:r w:rsidRPr="006D3E70">
              <w:rPr>
                <w:lang w:val="fr-FR"/>
              </w:rPr>
              <w:t> 470 MHz</w:t>
            </w:r>
          </w:p>
          <w:p w14:paraId="636D6771" w14:textId="77777777" w:rsidR="00532249" w:rsidRPr="006D3E70" w:rsidRDefault="00532249" w:rsidP="009B33DD">
            <w:pPr>
              <w:pStyle w:val="Tabletext"/>
              <w:spacing w:before="20" w:after="20"/>
              <w:jc w:val="left"/>
              <w:rPr>
                <w:lang w:val="fr-FR"/>
              </w:rPr>
            </w:pPr>
          </w:p>
          <w:p w14:paraId="77265767" w14:textId="77777777" w:rsidR="00532249" w:rsidRPr="006D3E70" w:rsidRDefault="00532249" w:rsidP="009B33DD">
            <w:pPr>
              <w:pStyle w:val="Tabletext"/>
              <w:spacing w:before="20" w:after="20"/>
              <w:jc w:val="left"/>
              <w:rPr>
                <w:lang w:val="fr-FR"/>
              </w:rPr>
            </w:pPr>
            <w:r w:rsidRPr="006D3E70">
              <w:rPr>
                <w:lang w:val="fr-FR"/>
              </w:rPr>
              <w:t>830 MHz &lt; </w:t>
            </w:r>
            <w:r w:rsidRPr="006D3E70">
              <w:rPr>
                <w:i/>
                <w:lang w:val="fr-FR"/>
              </w:rPr>
              <w:t>f</w:t>
            </w:r>
            <w:r w:rsidRPr="006D3E70">
              <w:rPr>
                <w:position w:val="-4"/>
                <w:sz w:val="18"/>
                <w:lang w:val="fr-FR"/>
              </w:rPr>
              <w:t>0</w:t>
            </w:r>
            <w:r w:rsidRPr="006D3E70">
              <w:rPr>
                <w:lang w:val="fr-FR"/>
              </w:rPr>
              <w:t> </w:t>
            </w:r>
            <w:r w:rsidRPr="006D3E70">
              <w:rPr>
                <w:lang w:val="fr-FR"/>
              </w:rPr>
              <w:sym w:font="Symbol" w:char="F0A3"/>
            </w:r>
            <w:r w:rsidRPr="006D3E70">
              <w:rPr>
                <w:lang w:val="fr-FR"/>
              </w:rPr>
              <w:t> 887 MHz</w:t>
            </w:r>
            <w:r w:rsidRPr="006D3E70">
              <w:rPr>
                <w:vertAlign w:val="superscript"/>
                <w:lang w:val="fr-FR"/>
              </w:rPr>
              <w:t>(2)</w:t>
            </w:r>
          </w:p>
          <w:p w14:paraId="14F40634" w14:textId="77777777" w:rsidR="00532249" w:rsidRPr="006D3E70" w:rsidRDefault="00532249" w:rsidP="009B33DD">
            <w:pPr>
              <w:pStyle w:val="Tablelegend"/>
              <w:spacing w:before="20" w:after="20"/>
              <w:jc w:val="left"/>
              <w:rPr>
                <w:lang w:val="fr-FR"/>
              </w:rPr>
            </w:pPr>
          </w:p>
        </w:tc>
        <w:tc>
          <w:tcPr>
            <w:tcW w:w="5919" w:type="dxa"/>
            <w:vAlign w:val="center"/>
          </w:tcPr>
          <w:p w14:paraId="709EAF10" w14:textId="77777777" w:rsidR="00532249" w:rsidRPr="006D3E70" w:rsidRDefault="00532249" w:rsidP="009B33DD">
            <w:pPr>
              <w:pStyle w:val="Tabletext"/>
              <w:tabs>
                <w:tab w:val="clear" w:pos="1134"/>
                <w:tab w:val="clear" w:pos="1418"/>
                <w:tab w:val="clear" w:pos="2268"/>
                <w:tab w:val="clear" w:pos="2835"/>
                <w:tab w:val="left" w:pos="1383"/>
                <w:tab w:val="left" w:pos="2747"/>
              </w:tabs>
              <w:spacing w:before="20" w:after="20"/>
              <w:jc w:val="left"/>
              <w:rPr>
                <w:lang w:val="fr-FR"/>
              </w:rPr>
            </w:pPr>
          </w:p>
          <w:p w14:paraId="12AEDF2B" w14:textId="77777777" w:rsidR="00532249" w:rsidRPr="006D3E70" w:rsidRDefault="00532249" w:rsidP="009B33DD">
            <w:pPr>
              <w:pStyle w:val="Tabletext"/>
              <w:tabs>
                <w:tab w:val="clear" w:pos="1134"/>
                <w:tab w:val="clear" w:pos="1418"/>
                <w:tab w:val="clear" w:pos="2268"/>
                <w:tab w:val="clear" w:pos="2835"/>
                <w:tab w:val="left" w:pos="1383"/>
                <w:tab w:val="left" w:pos="2747"/>
              </w:tabs>
              <w:spacing w:before="20" w:after="20"/>
              <w:jc w:val="left"/>
              <w:rPr>
                <w:lang w:val="fr-FR"/>
              </w:rPr>
            </w:pPr>
            <w:r w:rsidRPr="006D3E70">
              <w:rPr>
                <w:lang w:val="fr-FR"/>
              </w:rPr>
              <w:t>–16 dBm</w:t>
            </w:r>
            <w:r w:rsidRPr="006D3E70">
              <w:rPr>
                <w:lang w:val="fr-FR"/>
              </w:rPr>
              <w:tab/>
            </w:r>
            <w:r w:rsidRPr="006D3E70">
              <w:rPr>
                <w:lang w:val="fr-FR"/>
              </w:rPr>
              <w:tab/>
              <w:t>pour</w:t>
            </w:r>
            <w:r w:rsidRPr="006D3E70">
              <w:rPr>
                <w:lang w:val="fr-FR"/>
              </w:rPr>
              <w:t> </w:t>
            </w:r>
            <w:r w:rsidRPr="006D3E70">
              <w:rPr>
                <w:lang w:val="fr-FR"/>
              </w:rPr>
              <w:t> </w:t>
            </w:r>
            <w:r w:rsidRPr="006D3E70">
              <w:rPr>
                <w:lang w:val="fr-FR"/>
              </w:rPr>
              <w:t> </w:t>
            </w:r>
            <w:r w:rsidRPr="006D3E70">
              <w:rPr>
                <w:lang w:val="fr-FR"/>
              </w:rPr>
              <w:t> </w:t>
            </w:r>
            <w:r w:rsidRPr="006D3E70">
              <w:rPr>
                <w:lang w:val="fr-FR"/>
              </w:rPr>
              <w:t> </w:t>
            </w:r>
            <w:r w:rsidRPr="006D3E70">
              <w:rPr>
                <w:lang w:val="fr-FR"/>
              </w:rPr>
              <w:t> </w:t>
            </w:r>
            <w:r w:rsidRPr="006D3E70">
              <w:rPr>
                <w:lang w:val="fr-FR"/>
              </w:rPr>
              <w:t> </w:t>
            </w:r>
            <w:r w:rsidRPr="006D3E70">
              <w:rPr>
                <w:lang w:val="fr-FR"/>
              </w:rPr>
              <w:t> </w:t>
            </w:r>
            <w:r w:rsidRPr="006D3E70">
              <w:rPr>
                <w:i/>
                <w:lang w:val="fr-FR"/>
              </w:rPr>
              <w:t>P</w:t>
            </w:r>
            <w:r w:rsidRPr="006D3E70">
              <w:rPr>
                <w:lang w:val="fr-FR"/>
              </w:rPr>
              <w:t> </w:t>
            </w:r>
            <w:r w:rsidRPr="006D3E70">
              <w:rPr>
                <w:lang w:val="fr-FR"/>
              </w:rPr>
              <w:sym w:font="Symbol" w:char="F0A3"/>
            </w:r>
            <w:r w:rsidRPr="006D3E70">
              <w:rPr>
                <w:lang w:val="fr-FR"/>
              </w:rPr>
              <w:t> 25 W</w:t>
            </w:r>
          </w:p>
          <w:p w14:paraId="59B42CE4" w14:textId="77777777" w:rsidR="00532249" w:rsidRPr="006D3E70" w:rsidRDefault="00532249" w:rsidP="009B33DD">
            <w:pPr>
              <w:pStyle w:val="Tabletext"/>
              <w:tabs>
                <w:tab w:val="clear" w:pos="1134"/>
                <w:tab w:val="clear" w:pos="1418"/>
                <w:tab w:val="clear" w:pos="2268"/>
                <w:tab w:val="clear" w:pos="2835"/>
                <w:tab w:val="left" w:pos="1383"/>
                <w:tab w:val="left" w:pos="2747"/>
              </w:tabs>
              <w:spacing w:before="20" w:after="20"/>
              <w:jc w:val="left"/>
              <w:rPr>
                <w:lang w:val="fr-FR"/>
              </w:rPr>
            </w:pPr>
            <w:r w:rsidRPr="006D3E70">
              <w:rPr>
                <w:lang w:val="fr-FR"/>
              </w:rPr>
              <w:t> </w:t>
            </w:r>
            <w:r w:rsidRPr="006D3E70">
              <w:rPr>
                <w:lang w:val="fr-FR"/>
              </w:rPr>
              <w:t>60 dBc</w:t>
            </w:r>
            <w:r w:rsidRPr="006D3E70">
              <w:rPr>
                <w:lang w:val="fr-FR"/>
              </w:rPr>
              <w:tab/>
            </w:r>
            <w:r w:rsidRPr="006D3E70">
              <w:rPr>
                <w:lang w:val="fr-FR"/>
              </w:rPr>
              <w:tab/>
              <w:t>pour</w:t>
            </w:r>
            <w:r w:rsidRPr="006D3E70">
              <w:rPr>
                <w:lang w:val="fr-FR"/>
              </w:rPr>
              <w:t> </w:t>
            </w:r>
            <w:r w:rsidRPr="006D3E70">
              <w:rPr>
                <w:lang w:val="fr-FR"/>
              </w:rPr>
              <w:t> </w:t>
            </w:r>
            <w:r w:rsidRPr="006D3E70">
              <w:rPr>
                <w:lang w:val="fr-FR"/>
              </w:rPr>
              <w:t> </w:t>
            </w:r>
            <w:r w:rsidRPr="006D3E70">
              <w:rPr>
                <w:lang w:val="fr-FR"/>
              </w:rPr>
              <w:t> </w:t>
            </w:r>
            <w:r w:rsidRPr="006D3E70">
              <w:rPr>
                <w:lang w:val="fr-FR"/>
              </w:rPr>
              <w:t> </w:t>
            </w:r>
            <w:r w:rsidRPr="006D3E70">
              <w:rPr>
                <w:lang w:val="fr-FR"/>
              </w:rPr>
              <w:t> </w:t>
            </w:r>
            <w:r w:rsidRPr="006D3E70">
              <w:rPr>
                <w:lang w:val="fr-FR"/>
              </w:rPr>
              <w:t> </w:t>
            </w:r>
            <w:r w:rsidRPr="006D3E70">
              <w:rPr>
                <w:lang w:val="fr-FR"/>
              </w:rPr>
              <w:t> </w:t>
            </w:r>
            <w:r w:rsidRPr="006D3E70">
              <w:rPr>
                <w:i/>
                <w:lang w:val="fr-FR"/>
              </w:rPr>
              <w:t>P</w:t>
            </w:r>
            <w:r w:rsidRPr="006D3E70">
              <w:rPr>
                <w:lang w:val="fr-FR"/>
              </w:rPr>
              <w:t> &lt; 50 W</w:t>
            </w:r>
          </w:p>
          <w:p w14:paraId="702B1079" w14:textId="77777777" w:rsidR="00532249" w:rsidRPr="006D3E70" w:rsidRDefault="00532249" w:rsidP="009B33DD">
            <w:pPr>
              <w:pStyle w:val="Tabletext"/>
              <w:tabs>
                <w:tab w:val="clear" w:pos="1134"/>
                <w:tab w:val="clear" w:pos="1418"/>
                <w:tab w:val="clear" w:pos="2268"/>
                <w:tab w:val="clear" w:pos="2835"/>
                <w:tab w:val="left" w:pos="1383"/>
                <w:tab w:val="left" w:pos="2747"/>
              </w:tabs>
              <w:spacing w:before="20" w:after="20"/>
              <w:jc w:val="left"/>
              <w:rPr>
                <w:lang w:val="fr-FR"/>
              </w:rPr>
            </w:pPr>
            <w:r w:rsidRPr="006D3E70">
              <w:rPr>
                <w:lang w:val="fr-FR"/>
              </w:rPr>
              <w:t> </w:t>
            </w:r>
            <w:r w:rsidRPr="006D3E70">
              <w:rPr>
                <w:lang w:val="fr-FR"/>
              </w:rPr>
              <w:t>0 dBm</w:t>
            </w:r>
            <w:r w:rsidRPr="006D3E70">
              <w:rPr>
                <w:lang w:val="fr-FR"/>
              </w:rPr>
              <w:tab/>
            </w:r>
            <w:r w:rsidRPr="006D3E70">
              <w:rPr>
                <w:lang w:val="fr-FR"/>
              </w:rPr>
              <w:tab/>
              <w:t>pour 10 kW </w:t>
            </w:r>
            <w:r w:rsidRPr="006D3E70">
              <w:rPr>
                <w:lang w:val="fr-FR"/>
              </w:rPr>
              <w:sym w:font="Symbol" w:char="F0A3"/>
            </w:r>
            <w:r w:rsidRPr="006D3E70">
              <w:rPr>
                <w:lang w:val="fr-FR"/>
              </w:rPr>
              <w:t> </w:t>
            </w:r>
            <w:r w:rsidRPr="006D3E70">
              <w:rPr>
                <w:i/>
                <w:lang w:val="fr-FR"/>
              </w:rPr>
              <w:t>P</w:t>
            </w:r>
          </w:p>
          <w:p w14:paraId="3F23F681" w14:textId="77777777" w:rsidR="00532249" w:rsidRPr="006D3E70" w:rsidRDefault="00532249" w:rsidP="009B33DD">
            <w:pPr>
              <w:pStyle w:val="Tabletext"/>
              <w:tabs>
                <w:tab w:val="clear" w:pos="1134"/>
                <w:tab w:val="clear" w:pos="1418"/>
                <w:tab w:val="clear" w:pos="2268"/>
                <w:tab w:val="clear" w:pos="2835"/>
                <w:tab w:val="left" w:pos="1383"/>
                <w:tab w:val="left" w:pos="2747"/>
              </w:tabs>
              <w:spacing w:before="20" w:after="20"/>
              <w:jc w:val="left"/>
              <w:rPr>
                <w:lang w:val="fr-FR"/>
              </w:rPr>
            </w:pPr>
            <w:r w:rsidRPr="006D3E70">
              <w:rPr>
                <w:lang w:val="fr-FR"/>
              </w:rPr>
              <w:t>–26 dBm</w:t>
            </w:r>
            <w:r w:rsidRPr="006D3E70">
              <w:rPr>
                <w:lang w:val="fr-FR"/>
              </w:rPr>
              <w:tab/>
            </w:r>
            <w:r w:rsidRPr="006D3E70">
              <w:rPr>
                <w:lang w:val="fr-FR"/>
              </w:rPr>
              <w:tab/>
              <w:t>pour</w:t>
            </w:r>
            <w:r w:rsidRPr="006D3E70">
              <w:rPr>
                <w:lang w:val="fr-FR"/>
              </w:rPr>
              <w:t> </w:t>
            </w:r>
            <w:r w:rsidRPr="006D3E70">
              <w:rPr>
                <w:lang w:val="fr-FR"/>
              </w:rPr>
              <w:t> </w:t>
            </w:r>
            <w:r w:rsidRPr="006D3E70">
              <w:rPr>
                <w:lang w:val="fr-FR"/>
              </w:rPr>
              <w:t> </w:t>
            </w:r>
            <w:r w:rsidRPr="006D3E70">
              <w:rPr>
                <w:lang w:val="fr-FR"/>
              </w:rPr>
              <w:t> </w:t>
            </w:r>
            <w:r w:rsidRPr="006D3E70">
              <w:rPr>
                <w:lang w:val="fr-FR"/>
              </w:rPr>
              <w:t> </w:t>
            </w:r>
            <w:r w:rsidRPr="006D3E70">
              <w:rPr>
                <w:lang w:val="fr-FR"/>
              </w:rPr>
              <w:t> </w:t>
            </w:r>
            <w:r w:rsidRPr="006D3E70">
              <w:rPr>
                <w:lang w:val="fr-FR"/>
              </w:rPr>
              <w:t> </w:t>
            </w:r>
            <w:r w:rsidRPr="006D3E70">
              <w:rPr>
                <w:lang w:val="fr-FR"/>
              </w:rPr>
              <w:t> </w:t>
            </w:r>
            <w:r w:rsidRPr="006D3E70">
              <w:rPr>
                <w:i/>
                <w:lang w:val="fr-FR"/>
              </w:rPr>
              <w:t>P</w:t>
            </w:r>
            <w:r w:rsidRPr="006D3E70">
              <w:rPr>
                <w:lang w:val="fr-FR"/>
              </w:rPr>
              <w:t> </w:t>
            </w:r>
            <w:r w:rsidRPr="006D3E70">
              <w:rPr>
                <w:lang w:val="fr-FR"/>
              </w:rPr>
              <w:sym w:font="Symbol" w:char="F0A3"/>
            </w:r>
            <w:r w:rsidRPr="006D3E70">
              <w:rPr>
                <w:lang w:val="fr-FR"/>
              </w:rPr>
              <w:t> 25 W</w:t>
            </w:r>
          </w:p>
          <w:p w14:paraId="61B49923" w14:textId="77777777" w:rsidR="00532249" w:rsidRPr="006D3E70" w:rsidRDefault="00532249" w:rsidP="009B33DD">
            <w:pPr>
              <w:pStyle w:val="Tabletext"/>
              <w:tabs>
                <w:tab w:val="clear" w:pos="1134"/>
                <w:tab w:val="clear" w:pos="1418"/>
                <w:tab w:val="clear" w:pos="2268"/>
                <w:tab w:val="clear" w:pos="2835"/>
                <w:tab w:val="left" w:pos="1383"/>
                <w:tab w:val="left" w:pos="2747"/>
              </w:tabs>
              <w:spacing w:before="20" w:after="20"/>
              <w:jc w:val="left"/>
              <w:rPr>
                <w:lang w:val="fr-FR"/>
              </w:rPr>
            </w:pPr>
            <w:r w:rsidRPr="006D3E70">
              <w:rPr>
                <w:lang w:val="fr-FR"/>
              </w:rPr>
              <w:t> </w:t>
            </w:r>
            <w:r w:rsidRPr="006D3E70">
              <w:rPr>
                <w:lang w:val="fr-FR"/>
              </w:rPr>
              <w:t>70 dBc</w:t>
            </w:r>
            <w:r w:rsidRPr="006D3E70">
              <w:rPr>
                <w:lang w:val="fr-FR"/>
              </w:rPr>
              <w:tab/>
            </w:r>
            <w:r w:rsidRPr="006D3E70">
              <w:rPr>
                <w:lang w:val="fr-FR"/>
              </w:rPr>
              <w:tab/>
              <w:t>pour 25 W   &lt; </w:t>
            </w:r>
            <w:r w:rsidRPr="006D3E70">
              <w:rPr>
                <w:i/>
                <w:lang w:val="fr-FR"/>
              </w:rPr>
              <w:t>P</w:t>
            </w:r>
          </w:p>
        </w:tc>
      </w:tr>
      <w:tr w:rsidR="00532249" w:rsidRPr="006D3E70" w14:paraId="3A202411" w14:textId="77777777" w:rsidTr="009B33DD">
        <w:trPr>
          <w:jc w:val="center"/>
        </w:trPr>
        <w:tc>
          <w:tcPr>
            <w:tcW w:w="3720" w:type="dxa"/>
            <w:tcBorders>
              <w:bottom w:val="single" w:sz="6" w:space="0" w:color="auto"/>
            </w:tcBorders>
          </w:tcPr>
          <w:p w14:paraId="586C940D" w14:textId="77777777" w:rsidR="00532249" w:rsidRPr="006D3E70" w:rsidRDefault="00532249" w:rsidP="009B33DD">
            <w:pPr>
              <w:pStyle w:val="Tabletext"/>
              <w:spacing w:before="20" w:after="20"/>
              <w:jc w:val="left"/>
              <w:rPr>
                <w:lang w:val="fr-FR"/>
              </w:rPr>
            </w:pPr>
            <w:r w:rsidRPr="006D3E70">
              <w:rPr>
                <w:lang w:val="fr-FR"/>
              </w:rPr>
              <w:t>BLU</w:t>
            </w:r>
          </w:p>
          <w:p w14:paraId="58789CC6" w14:textId="77777777" w:rsidR="00532249" w:rsidRPr="006D3E70" w:rsidRDefault="00532249" w:rsidP="009B33DD">
            <w:pPr>
              <w:pStyle w:val="Tabletext"/>
              <w:spacing w:before="20" w:after="20"/>
              <w:jc w:val="left"/>
              <w:rPr>
                <w:lang w:val="fr-FR"/>
              </w:rPr>
            </w:pPr>
            <w:r w:rsidRPr="006D3E70">
              <w:rPr>
                <w:lang w:val="fr-FR"/>
              </w:rPr>
              <w:t>(Stations fixes et stations terrestres sauf stations côtières)</w:t>
            </w:r>
          </w:p>
          <w:p w14:paraId="262340E8" w14:textId="77777777" w:rsidR="00532249" w:rsidRPr="006D3E70" w:rsidRDefault="00532249" w:rsidP="009B33DD">
            <w:pPr>
              <w:pStyle w:val="Tabletext"/>
              <w:spacing w:before="20" w:after="20"/>
              <w:jc w:val="left"/>
              <w:rPr>
                <w:lang w:val="fr-FR"/>
              </w:rPr>
            </w:pPr>
            <w:r w:rsidRPr="006D3E70">
              <w:rPr>
                <w:i/>
                <w:lang w:val="fr-FR"/>
              </w:rPr>
              <w:t>f</w:t>
            </w:r>
            <w:r w:rsidRPr="006D3E70">
              <w:rPr>
                <w:position w:val="-4"/>
                <w:sz w:val="18"/>
                <w:lang w:val="fr-FR"/>
              </w:rPr>
              <w:t>0</w:t>
            </w:r>
            <w:r w:rsidRPr="006D3E70">
              <w:rPr>
                <w:lang w:val="fr-FR"/>
              </w:rPr>
              <w:t> </w:t>
            </w:r>
            <w:r w:rsidRPr="006D3E70">
              <w:rPr>
                <w:lang w:val="fr-FR"/>
              </w:rPr>
              <w:sym w:font="Symbol" w:char="F0A3"/>
            </w:r>
            <w:r w:rsidRPr="006D3E70">
              <w:rPr>
                <w:lang w:val="fr-FR"/>
              </w:rPr>
              <w:t> 30 MHz</w:t>
            </w:r>
          </w:p>
        </w:tc>
        <w:tc>
          <w:tcPr>
            <w:tcW w:w="5919" w:type="dxa"/>
            <w:tcBorders>
              <w:bottom w:val="single" w:sz="6" w:space="0" w:color="auto"/>
            </w:tcBorders>
            <w:vAlign w:val="center"/>
          </w:tcPr>
          <w:p w14:paraId="317DCA1E" w14:textId="77777777" w:rsidR="00532249" w:rsidRPr="006D3E70" w:rsidRDefault="00532249" w:rsidP="009B33DD">
            <w:pPr>
              <w:pStyle w:val="Tabletext"/>
              <w:tabs>
                <w:tab w:val="clear" w:pos="1134"/>
                <w:tab w:val="clear" w:pos="1418"/>
                <w:tab w:val="clear" w:pos="1701"/>
                <w:tab w:val="left" w:pos="1376"/>
              </w:tabs>
              <w:spacing w:before="20" w:after="20"/>
              <w:jc w:val="left"/>
              <w:rPr>
                <w:lang w:val="fr-FR"/>
              </w:rPr>
            </w:pPr>
          </w:p>
          <w:p w14:paraId="41BF9F77" w14:textId="77777777" w:rsidR="00532249" w:rsidRPr="006D3E70" w:rsidRDefault="00532249" w:rsidP="009B33DD">
            <w:pPr>
              <w:pStyle w:val="Tabletext"/>
              <w:tabs>
                <w:tab w:val="clear" w:pos="1134"/>
                <w:tab w:val="clear" w:pos="1418"/>
                <w:tab w:val="clear" w:pos="1701"/>
                <w:tab w:val="left" w:pos="1376"/>
              </w:tabs>
              <w:spacing w:before="20" w:after="20"/>
              <w:jc w:val="left"/>
              <w:rPr>
                <w:lang w:val="fr-FR"/>
              </w:rPr>
            </w:pPr>
            <w:r w:rsidRPr="006D3E70">
              <w:rPr>
                <w:lang w:val="fr-FR"/>
              </w:rPr>
              <w:t>50 dBc</w:t>
            </w:r>
            <w:r w:rsidRPr="006D3E70">
              <w:rPr>
                <w:lang w:val="fr-FR"/>
              </w:rPr>
              <w:tab/>
            </w:r>
            <w:r w:rsidRPr="006D3E70">
              <w:rPr>
                <w:lang w:val="fr-FR"/>
              </w:rPr>
              <w:tab/>
              <w:t xml:space="preserve">pour </w:t>
            </w:r>
            <w:r w:rsidRPr="006D3E70">
              <w:rPr>
                <w:i/>
                <w:lang w:val="fr-FR"/>
              </w:rPr>
              <w:t>P</w:t>
            </w:r>
            <w:r w:rsidRPr="006D3E70">
              <w:rPr>
                <w:lang w:val="fr-FR"/>
              </w:rPr>
              <w:t> &lt; 5 W</w:t>
            </w:r>
            <w:r w:rsidRPr="006D3E70">
              <w:rPr>
                <w:lang w:val="fr-FR"/>
              </w:rPr>
              <w:br/>
            </w:r>
          </w:p>
          <w:p w14:paraId="6F556567" w14:textId="77777777" w:rsidR="00532249" w:rsidRPr="006D3E70" w:rsidRDefault="00532249" w:rsidP="009B33DD">
            <w:pPr>
              <w:pStyle w:val="Tabletext"/>
              <w:tabs>
                <w:tab w:val="clear" w:pos="1134"/>
                <w:tab w:val="clear" w:pos="1418"/>
                <w:tab w:val="clear" w:pos="1701"/>
                <w:tab w:val="left" w:pos="1376"/>
              </w:tabs>
              <w:spacing w:before="20" w:after="20"/>
              <w:jc w:val="left"/>
              <w:rPr>
                <w:lang w:val="fr-FR"/>
              </w:rPr>
            </w:pPr>
          </w:p>
        </w:tc>
      </w:tr>
      <w:tr w:rsidR="00532249" w:rsidRPr="006D3E70" w14:paraId="01E929AE" w14:textId="77777777" w:rsidTr="009B33DD">
        <w:trPr>
          <w:jc w:val="center"/>
        </w:trPr>
        <w:tc>
          <w:tcPr>
            <w:tcW w:w="3720" w:type="dxa"/>
            <w:tcBorders>
              <w:top w:val="single" w:sz="6" w:space="0" w:color="auto"/>
              <w:bottom w:val="single" w:sz="6" w:space="0" w:color="auto"/>
            </w:tcBorders>
          </w:tcPr>
          <w:p w14:paraId="7E147F8E" w14:textId="77777777" w:rsidR="00532249" w:rsidRPr="006D3E70" w:rsidRDefault="00532249" w:rsidP="009B33DD">
            <w:pPr>
              <w:pStyle w:val="Tabletext"/>
              <w:spacing w:before="20" w:after="20"/>
              <w:jc w:val="left"/>
              <w:rPr>
                <w:lang w:val="fr-FR"/>
              </w:rPr>
            </w:pPr>
            <w:r w:rsidRPr="006D3E70">
              <w:rPr>
                <w:lang w:val="fr-FR"/>
              </w:rPr>
              <w:t>Service mobile terrestre</w:t>
            </w:r>
          </w:p>
          <w:p w14:paraId="736E738D" w14:textId="77777777" w:rsidR="00532249" w:rsidRPr="006D3E70" w:rsidRDefault="00532249" w:rsidP="009B33DD">
            <w:pPr>
              <w:pStyle w:val="Tabletext"/>
              <w:spacing w:before="20" w:after="20"/>
              <w:jc w:val="left"/>
              <w:rPr>
                <w:lang w:val="fr-FR"/>
              </w:rPr>
            </w:pPr>
            <w:r w:rsidRPr="006D3E70">
              <w:rPr>
                <w:lang w:val="fr-FR"/>
              </w:rPr>
              <w:t>(Systèmes analogues pour téléphones portables/de voiture)</w:t>
            </w:r>
          </w:p>
          <w:p w14:paraId="6F53E9EC" w14:textId="77777777" w:rsidR="00532249" w:rsidRPr="006D3E70" w:rsidRDefault="00532249" w:rsidP="009B33DD">
            <w:pPr>
              <w:pStyle w:val="Tabletext"/>
              <w:spacing w:before="20" w:after="20"/>
              <w:jc w:val="left"/>
              <w:rPr>
                <w:lang w:val="fr-FR"/>
              </w:rPr>
            </w:pPr>
            <w:r w:rsidRPr="006D3E70">
              <w:rPr>
                <w:lang w:val="fr-FR"/>
              </w:rPr>
              <w:t>(Téléphones numériques sans cordon et PHS)</w:t>
            </w:r>
          </w:p>
          <w:p w14:paraId="0141ECC3" w14:textId="77777777" w:rsidR="00532249" w:rsidRPr="006D3E70" w:rsidRDefault="00532249" w:rsidP="009B33DD">
            <w:pPr>
              <w:pStyle w:val="Tabletext"/>
              <w:spacing w:before="20" w:after="20"/>
              <w:jc w:val="left"/>
              <w:rPr>
                <w:lang w:val="fr-FR"/>
              </w:rPr>
            </w:pPr>
            <w:r w:rsidRPr="006D3E70">
              <w:rPr>
                <w:lang w:val="fr-FR"/>
              </w:rPr>
              <w:t>1</w:t>
            </w:r>
            <w:r w:rsidRPr="006D3E70">
              <w:rPr>
                <w:rFonts w:ascii="Tms Rmn" w:hAnsi="Tms Rmn"/>
                <w:sz w:val="12"/>
                <w:lang w:val="fr-FR"/>
              </w:rPr>
              <w:t> </w:t>
            </w:r>
            <w:r w:rsidRPr="006D3E70">
              <w:rPr>
                <w:lang w:val="fr-FR"/>
              </w:rPr>
              <w:t>893,65 MHz &lt; </w:t>
            </w:r>
            <w:r w:rsidRPr="006D3E70">
              <w:rPr>
                <w:i/>
                <w:lang w:val="fr-FR"/>
              </w:rPr>
              <w:t>f</w:t>
            </w:r>
            <w:r w:rsidRPr="006D3E70">
              <w:rPr>
                <w:position w:val="-4"/>
                <w:sz w:val="18"/>
                <w:lang w:val="fr-FR"/>
              </w:rPr>
              <w:t>0</w:t>
            </w:r>
            <w:r w:rsidRPr="006D3E70">
              <w:rPr>
                <w:lang w:val="fr-FR"/>
              </w:rPr>
              <w:t> </w:t>
            </w:r>
            <w:r w:rsidRPr="006D3E70">
              <w:rPr>
                <w:lang w:val="fr-FR"/>
              </w:rPr>
              <w:sym w:font="Symbol" w:char="F0A3"/>
            </w:r>
            <w:r w:rsidRPr="006D3E70">
              <w:rPr>
                <w:lang w:val="fr-FR"/>
              </w:rPr>
              <w:t> 1</w:t>
            </w:r>
            <w:r w:rsidRPr="006D3E70">
              <w:rPr>
                <w:rFonts w:ascii="Tms Rmn" w:hAnsi="Tms Rmn"/>
                <w:sz w:val="12"/>
                <w:lang w:val="fr-FR"/>
              </w:rPr>
              <w:t> </w:t>
            </w:r>
            <w:r w:rsidRPr="006D3E70">
              <w:rPr>
                <w:lang w:val="fr-FR"/>
              </w:rPr>
              <w:t>919,45 MHz</w:t>
            </w:r>
          </w:p>
          <w:p w14:paraId="5924A937" w14:textId="77777777" w:rsidR="00532249" w:rsidRPr="006D3E70" w:rsidRDefault="00532249" w:rsidP="009B33DD">
            <w:pPr>
              <w:pStyle w:val="Tabletext"/>
              <w:spacing w:before="20" w:after="20"/>
              <w:jc w:val="left"/>
              <w:rPr>
                <w:lang w:val="fr-FR"/>
              </w:rPr>
            </w:pPr>
          </w:p>
        </w:tc>
        <w:tc>
          <w:tcPr>
            <w:tcW w:w="5919" w:type="dxa"/>
            <w:tcBorders>
              <w:top w:val="single" w:sz="6" w:space="0" w:color="auto"/>
              <w:bottom w:val="single" w:sz="6" w:space="0" w:color="auto"/>
            </w:tcBorders>
            <w:vAlign w:val="center"/>
          </w:tcPr>
          <w:p w14:paraId="6E7C7B8B" w14:textId="77777777" w:rsidR="00532249" w:rsidRPr="006D3E70" w:rsidRDefault="00532249" w:rsidP="009B33DD">
            <w:pPr>
              <w:pStyle w:val="Tabletext"/>
              <w:spacing w:before="20" w:after="20"/>
              <w:jc w:val="left"/>
              <w:rPr>
                <w:lang w:val="fr-FR"/>
              </w:rPr>
            </w:pPr>
          </w:p>
          <w:p w14:paraId="389C83A0" w14:textId="77777777" w:rsidR="00532249" w:rsidRPr="006D3E70" w:rsidRDefault="00532249" w:rsidP="009B33DD">
            <w:pPr>
              <w:pStyle w:val="Tabletext"/>
              <w:spacing w:before="20" w:after="20"/>
              <w:jc w:val="left"/>
              <w:rPr>
                <w:lang w:val="fr-FR"/>
              </w:rPr>
            </w:pPr>
            <w:r w:rsidRPr="006D3E70">
              <w:rPr>
                <w:lang w:val="fr-FR"/>
              </w:rPr>
              <w:t>60 dBc</w:t>
            </w:r>
            <w:r w:rsidRPr="006D3E70">
              <w:rPr>
                <w:lang w:val="fr-FR"/>
              </w:rPr>
              <w:tab/>
            </w:r>
            <w:r w:rsidRPr="006D3E70">
              <w:rPr>
                <w:lang w:val="fr-FR"/>
              </w:rPr>
              <w:tab/>
              <w:t xml:space="preserve">pour </w:t>
            </w:r>
            <w:r w:rsidRPr="006D3E70">
              <w:rPr>
                <w:i/>
                <w:lang w:val="fr-FR"/>
              </w:rPr>
              <w:t>P</w:t>
            </w:r>
            <w:r w:rsidRPr="006D3E70">
              <w:rPr>
                <w:lang w:val="fr-FR"/>
              </w:rPr>
              <w:t> &lt; 50 W</w:t>
            </w:r>
            <w:r w:rsidRPr="006D3E70">
              <w:rPr>
                <w:lang w:val="fr-FR"/>
              </w:rPr>
              <w:br/>
            </w:r>
          </w:p>
          <w:p w14:paraId="67725BFA" w14:textId="77777777" w:rsidR="00532249" w:rsidRPr="006D3E70" w:rsidRDefault="00532249" w:rsidP="009B33DD">
            <w:pPr>
              <w:pStyle w:val="Tabletext"/>
              <w:spacing w:before="20" w:after="20"/>
              <w:jc w:val="left"/>
              <w:rPr>
                <w:lang w:val="fr-FR"/>
              </w:rPr>
            </w:pPr>
            <w:r w:rsidRPr="006D3E70">
              <w:rPr>
                <w:lang w:val="fr-FR"/>
              </w:rPr>
              <w:t>1</w:t>
            </w:r>
            <w:r w:rsidRPr="006D3E70">
              <w:rPr>
                <w:rFonts w:ascii="Tms Rmn" w:hAnsi="Tms Rmn"/>
                <w:sz w:val="12"/>
                <w:lang w:val="fr-FR"/>
              </w:rPr>
              <w:t> </w:t>
            </w:r>
            <w:r w:rsidRPr="006D3E70">
              <w:rPr>
                <w:lang w:val="fr-FR"/>
              </w:rPr>
              <w:t>893,5 MHz &lt; </w:t>
            </w:r>
            <w:r w:rsidRPr="006D3E70">
              <w:rPr>
                <w:i/>
                <w:lang w:val="fr-FR"/>
              </w:rPr>
              <w:t>f</w:t>
            </w:r>
            <w:r w:rsidRPr="006D3E70">
              <w:rPr>
                <w:lang w:val="fr-FR"/>
              </w:rPr>
              <w:t> </w:t>
            </w:r>
            <w:r w:rsidRPr="006D3E70">
              <w:rPr>
                <w:lang w:val="fr-FR"/>
              </w:rPr>
              <w:sym w:font="Symbol" w:char="F0A3"/>
            </w:r>
            <w:r w:rsidRPr="006D3E70">
              <w:rPr>
                <w:lang w:val="fr-FR"/>
              </w:rPr>
              <w:t> 1</w:t>
            </w:r>
            <w:r w:rsidRPr="006D3E70">
              <w:rPr>
                <w:rFonts w:ascii="Tms Rmn" w:hAnsi="Tms Rmn"/>
                <w:sz w:val="12"/>
                <w:lang w:val="fr-FR"/>
              </w:rPr>
              <w:t> </w:t>
            </w:r>
            <w:r w:rsidRPr="006D3E70">
              <w:rPr>
                <w:lang w:val="fr-FR"/>
              </w:rPr>
              <w:t>919,6 MHz</w:t>
            </w:r>
            <w:r w:rsidRPr="006D3E70">
              <w:rPr>
                <w:lang w:val="fr-FR"/>
              </w:rPr>
              <w:br/>
              <w:t>–36 dBm</w:t>
            </w:r>
          </w:p>
          <w:p w14:paraId="293F7145" w14:textId="77777777" w:rsidR="00532249" w:rsidRPr="006D3E70" w:rsidRDefault="00532249" w:rsidP="009B33DD">
            <w:pPr>
              <w:pStyle w:val="Tabletext"/>
              <w:spacing w:before="20" w:after="20"/>
              <w:jc w:val="left"/>
              <w:rPr>
                <w:lang w:val="fr-FR"/>
              </w:rPr>
            </w:pPr>
            <w:r w:rsidRPr="006D3E70">
              <w:rPr>
                <w:i/>
                <w:lang w:val="fr-FR"/>
              </w:rPr>
              <w:t>f</w:t>
            </w:r>
            <w:r w:rsidRPr="006D3E70">
              <w:rPr>
                <w:lang w:val="fr-FR"/>
              </w:rPr>
              <w:t> </w:t>
            </w:r>
            <w:r w:rsidRPr="006D3E70">
              <w:rPr>
                <w:lang w:val="fr-FR"/>
              </w:rPr>
              <w:sym w:font="Symbol" w:char="F0A3"/>
            </w:r>
            <w:r w:rsidRPr="006D3E70">
              <w:rPr>
                <w:lang w:val="fr-FR"/>
              </w:rPr>
              <w:t> 1</w:t>
            </w:r>
            <w:r w:rsidRPr="006D3E70">
              <w:rPr>
                <w:rFonts w:ascii="Tms Rmn" w:hAnsi="Tms Rmn"/>
                <w:sz w:val="12"/>
                <w:lang w:val="fr-FR"/>
              </w:rPr>
              <w:t> </w:t>
            </w:r>
            <w:r w:rsidRPr="006D3E70">
              <w:rPr>
                <w:lang w:val="fr-FR"/>
              </w:rPr>
              <w:t>893,5 MHz et 1</w:t>
            </w:r>
            <w:r w:rsidRPr="006D3E70">
              <w:rPr>
                <w:rFonts w:ascii="Tms Rmn" w:hAnsi="Tms Rmn"/>
                <w:sz w:val="12"/>
                <w:lang w:val="fr-FR"/>
              </w:rPr>
              <w:t> </w:t>
            </w:r>
            <w:r w:rsidRPr="006D3E70">
              <w:rPr>
                <w:lang w:val="fr-FR"/>
              </w:rPr>
              <w:t>919,6 MHz &lt; </w:t>
            </w:r>
            <w:r w:rsidRPr="006D3E70">
              <w:rPr>
                <w:i/>
                <w:lang w:val="fr-FR"/>
              </w:rPr>
              <w:t>f</w:t>
            </w:r>
            <w:r w:rsidRPr="006D3E70">
              <w:rPr>
                <w:lang w:val="fr-FR"/>
              </w:rPr>
              <w:br/>
              <w:t>–26 dBm</w:t>
            </w:r>
          </w:p>
        </w:tc>
      </w:tr>
      <w:tr w:rsidR="00532249" w:rsidRPr="006D3E70" w14:paraId="7A568256" w14:textId="77777777" w:rsidTr="009B33DD">
        <w:trPr>
          <w:jc w:val="center"/>
        </w:trPr>
        <w:tc>
          <w:tcPr>
            <w:tcW w:w="9639" w:type="dxa"/>
            <w:gridSpan w:val="2"/>
            <w:tcBorders>
              <w:top w:val="single" w:sz="6" w:space="0" w:color="auto"/>
              <w:left w:val="nil"/>
              <w:bottom w:val="nil"/>
              <w:right w:val="nil"/>
            </w:tcBorders>
            <w:vAlign w:val="center"/>
          </w:tcPr>
          <w:p w14:paraId="68F0A1DE" w14:textId="4D3ED29E" w:rsidR="00532249" w:rsidRPr="006D3E70" w:rsidRDefault="00532249" w:rsidP="009B33DD">
            <w:pPr>
              <w:pStyle w:val="Tablelegend"/>
              <w:spacing w:before="60"/>
              <w:rPr>
                <w:lang w:val="fr-FR"/>
              </w:rPr>
            </w:pPr>
            <w:r w:rsidRPr="006D3E70">
              <w:rPr>
                <w:i/>
                <w:iCs/>
                <w:lang w:val="fr-FR"/>
              </w:rPr>
              <w:t>P</w:t>
            </w:r>
            <w:r w:rsidRPr="006D3E70">
              <w:rPr>
                <w:lang w:val="fr-FR"/>
              </w:rPr>
              <w:t>:</w:t>
            </w:r>
            <w:r w:rsidRPr="006D3E70">
              <w:rPr>
                <w:lang w:val="fr-FR"/>
              </w:rPr>
              <w:tab/>
              <w:t>puissance moyenne (W) fournie à la ligne de transmission de l</w:t>
            </w:r>
            <w:r w:rsidR="00324C7C" w:rsidRPr="006D3E70">
              <w:rPr>
                <w:lang w:val="fr-FR"/>
              </w:rPr>
              <w:t>'</w:t>
            </w:r>
            <w:r w:rsidRPr="006D3E70">
              <w:rPr>
                <w:lang w:val="fr-FR"/>
              </w:rPr>
              <w:t>antenne, conformément au numéro </w:t>
            </w:r>
            <w:r w:rsidRPr="006D3E70">
              <w:rPr>
                <w:b/>
                <w:bCs/>
                <w:lang w:val="fr-FR"/>
              </w:rPr>
              <w:t>1.158</w:t>
            </w:r>
            <w:r w:rsidRPr="006D3E70">
              <w:rPr>
                <w:lang w:val="fr-FR"/>
              </w:rPr>
              <w:t xml:space="preserve"> du RR. Dans le cas de transmission par salves, on mesure la puissance moyenne </w:t>
            </w:r>
            <w:r w:rsidRPr="006D3E70">
              <w:rPr>
                <w:i/>
                <w:iCs/>
                <w:lang w:val="fr-FR"/>
              </w:rPr>
              <w:t>P</w:t>
            </w:r>
            <w:r w:rsidRPr="006D3E70">
              <w:rPr>
                <w:lang w:val="fr-FR"/>
              </w:rPr>
              <w:t xml:space="preserve"> et la puissance moyenne des rayonnements dans le domaine des rayonnements non essentiels en calculant la puissance dont on a établi une moyenne sur la durée de la salve.</w:t>
            </w:r>
          </w:p>
          <w:p w14:paraId="727EC18D" w14:textId="77777777" w:rsidR="00532249" w:rsidRPr="006D3E70" w:rsidRDefault="00532249" w:rsidP="009B33DD">
            <w:pPr>
              <w:pStyle w:val="Tablelegend"/>
              <w:spacing w:before="40"/>
              <w:rPr>
                <w:lang w:val="fr-FR"/>
              </w:rPr>
            </w:pPr>
            <w:r w:rsidRPr="006D3E70">
              <w:rPr>
                <w:i/>
                <w:iCs/>
                <w:lang w:val="fr-FR"/>
              </w:rPr>
              <w:t>f</w:t>
            </w:r>
            <w:r w:rsidRPr="006D3E70">
              <w:rPr>
                <w:lang w:val="fr-FR"/>
              </w:rPr>
              <w:t>:</w:t>
            </w:r>
            <w:r w:rsidRPr="006D3E70">
              <w:rPr>
                <w:lang w:val="fr-FR"/>
              </w:rPr>
              <w:tab/>
              <w:t>fréquence des rayonnements du domaine des rayonnements non essentiels.</w:t>
            </w:r>
          </w:p>
          <w:p w14:paraId="03D43164" w14:textId="77777777" w:rsidR="00532249" w:rsidRPr="006D3E70" w:rsidRDefault="00532249" w:rsidP="009B33DD">
            <w:pPr>
              <w:pStyle w:val="Tablelegend"/>
              <w:spacing w:before="40"/>
              <w:rPr>
                <w:lang w:val="fr-FR"/>
              </w:rPr>
            </w:pPr>
            <w:r w:rsidRPr="006D3E70">
              <w:rPr>
                <w:i/>
                <w:iCs/>
                <w:lang w:val="fr-FR"/>
              </w:rPr>
              <w:t>f</w:t>
            </w:r>
            <w:r w:rsidRPr="006D3E70">
              <w:rPr>
                <w:vertAlign w:val="subscript"/>
                <w:lang w:val="fr-FR"/>
              </w:rPr>
              <w:t>0</w:t>
            </w:r>
            <w:r w:rsidRPr="006D3E70">
              <w:rPr>
                <w:lang w:val="fr-FR"/>
              </w:rPr>
              <w:t>:</w:t>
            </w:r>
            <w:r w:rsidRPr="006D3E70">
              <w:rPr>
                <w:lang w:val="fr-FR"/>
              </w:rPr>
              <w:tab/>
              <w:t>fréquence fondamentale.</w:t>
            </w:r>
          </w:p>
          <w:p w14:paraId="7E7783D8" w14:textId="77777777" w:rsidR="00532249" w:rsidRPr="006D3E70" w:rsidRDefault="00532249" w:rsidP="009B33DD">
            <w:pPr>
              <w:pStyle w:val="Tablelegend"/>
              <w:spacing w:before="40"/>
              <w:rPr>
                <w:lang w:val="fr-FR"/>
              </w:rPr>
            </w:pPr>
            <w:r w:rsidRPr="006D3E70">
              <w:rPr>
                <w:vertAlign w:val="superscript"/>
                <w:lang w:val="fr-FR"/>
              </w:rPr>
              <w:t>(1)</w:t>
            </w:r>
            <w:r w:rsidRPr="006D3E70">
              <w:rPr>
                <w:lang w:val="fr-FR"/>
              </w:rPr>
              <w:tab/>
              <w:t>Pour les émissions F3E et pour les stations de navire ou les stations de communication à bord.</w:t>
            </w:r>
          </w:p>
          <w:p w14:paraId="4A09F05A" w14:textId="18D601EE" w:rsidR="00532249" w:rsidRPr="006D3E70" w:rsidRDefault="00532249" w:rsidP="009B33DD">
            <w:pPr>
              <w:pStyle w:val="Tablelegend"/>
              <w:spacing w:before="40"/>
              <w:rPr>
                <w:sz w:val="18"/>
                <w:lang w:val="fr-FR"/>
              </w:rPr>
            </w:pPr>
            <w:r w:rsidRPr="006D3E70">
              <w:rPr>
                <w:vertAlign w:val="superscript"/>
                <w:lang w:val="fr-FR"/>
              </w:rPr>
              <w:t>(2)</w:t>
            </w:r>
            <w:r w:rsidRPr="006D3E70">
              <w:rPr>
                <w:lang w:val="fr-FR"/>
              </w:rPr>
              <w:tab/>
              <w:t>Pour la radiotéléphonie d</w:t>
            </w:r>
            <w:r w:rsidR="00324C7C" w:rsidRPr="006D3E70">
              <w:rPr>
                <w:lang w:val="fr-FR"/>
              </w:rPr>
              <w:t>'</w:t>
            </w:r>
            <w:r w:rsidRPr="006D3E70">
              <w:rPr>
                <w:lang w:val="fr-FR"/>
              </w:rPr>
              <w:t>aéronef.</w:t>
            </w:r>
          </w:p>
        </w:tc>
      </w:tr>
    </w:tbl>
    <w:p w14:paraId="00B16448" w14:textId="77777777" w:rsidR="00834B0C" w:rsidRPr="006D3E70" w:rsidRDefault="00834B0C" w:rsidP="00834B0C">
      <w:pPr>
        <w:pStyle w:val="Tablefin"/>
        <w:rPr>
          <w:lang w:val="fr-FR"/>
        </w:rPr>
      </w:pPr>
    </w:p>
    <w:p w14:paraId="63D30EAF" w14:textId="434D1F2A" w:rsidR="00532249" w:rsidRPr="006D3E70" w:rsidRDefault="00532249" w:rsidP="00834B0C">
      <w:pPr>
        <w:pStyle w:val="Heading2"/>
        <w:rPr>
          <w:rFonts w:eastAsia="Arial Unicode MS"/>
          <w:lang w:val="fr-FR"/>
        </w:rPr>
      </w:pPr>
      <w:r w:rsidRPr="006D3E70">
        <w:rPr>
          <w:lang w:val="fr-FR"/>
        </w:rPr>
        <w:lastRenderedPageBreak/>
        <w:t>4.6</w:t>
      </w:r>
      <w:r w:rsidRPr="006D3E70">
        <w:rPr>
          <w:lang w:val="fr-FR"/>
        </w:rPr>
        <w:tab/>
        <w:t>Limites de la catégorie Z</w:t>
      </w:r>
    </w:p>
    <w:p w14:paraId="32E729B7" w14:textId="37CBFBB6" w:rsidR="00532249" w:rsidRPr="006D3E70" w:rsidRDefault="00532249" w:rsidP="00834B0C">
      <w:pPr>
        <w:keepNext/>
        <w:keepLines/>
        <w:rPr>
          <w:lang w:val="fr-FR"/>
        </w:rPr>
      </w:pPr>
      <w:r w:rsidRPr="006D3E70">
        <w:rPr>
          <w:lang w:val="fr-FR"/>
        </w:rPr>
        <w:t>Le Tableau 6 donne les limites de la catégorie Z pour les ITE relevant des classes A (équipements industriels) et B (équipements grand public). Les équipements relevant de la catégorie Z sont définis comme associant des équipements multimédias comportant des ITE à une fonction de transmission radioélectrique. Au cas où la partie informatique est amovible et peut fonctionner de manière autonome, chaque partie doit être testée séparément et on doit en vérifier la conformité aux limites des rayonnements dans le domaine des rayonnements non essentiels fixées par l</w:t>
      </w:r>
      <w:r w:rsidR="00324C7C" w:rsidRPr="006D3E70">
        <w:rPr>
          <w:lang w:val="fr-FR"/>
        </w:rPr>
        <w:t>'</w:t>
      </w:r>
      <w:r w:rsidRPr="006D3E70">
        <w:rPr>
          <w:lang w:val="fr-FR"/>
        </w:rPr>
        <w:t>UIT-R ou par le CISPR. Si la partie informatique ne peut pas fonctionner de manière autonome, on doit appliquer les limites des catégories A, B, C ou D définies par l</w:t>
      </w:r>
      <w:r w:rsidR="00324C7C" w:rsidRPr="006D3E70">
        <w:rPr>
          <w:lang w:val="fr-FR"/>
        </w:rPr>
        <w:t>'</w:t>
      </w:r>
      <w:r w:rsidRPr="006D3E70">
        <w:rPr>
          <w:lang w:val="fr-FR"/>
        </w:rPr>
        <w:t>UIT-R tout en procédant à des essais sur l</w:t>
      </w:r>
      <w:r w:rsidR="00324C7C" w:rsidRPr="006D3E70">
        <w:rPr>
          <w:lang w:val="fr-FR"/>
        </w:rPr>
        <w:t>'</w:t>
      </w:r>
      <w:r w:rsidRPr="006D3E70">
        <w:rPr>
          <w:lang w:val="fr-FR"/>
        </w:rPr>
        <w:t>équipement en mode émission et on doit appliquer les limites définies par le CISPR lorsque l</w:t>
      </w:r>
      <w:r w:rsidR="00324C7C" w:rsidRPr="006D3E70">
        <w:rPr>
          <w:lang w:val="fr-FR"/>
        </w:rPr>
        <w:t>'</w:t>
      </w:r>
      <w:r w:rsidRPr="006D3E70">
        <w:rPr>
          <w:lang w:val="fr-FR"/>
        </w:rPr>
        <w:t>équipement est en mode attente ou inactif. Les valeurs utilisées sont extraites de la Publication N° 32 du CISPR pour les fréquences inférieures à 1 GHz.</w:t>
      </w:r>
    </w:p>
    <w:p w14:paraId="693818A9" w14:textId="77777777" w:rsidR="00532249" w:rsidRPr="006D3E70" w:rsidRDefault="00532249" w:rsidP="00532249">
      <w:pPr>
        <w:pStyle w:val="TableNo"/>
        <w:rPr>
          <w:lang w:val="fr-FR"/>
        </w:rPr>
      </w:pPr>
      <w:r w:rsidRPr="006D3E70">
        <w:rPr>
          <w:lang w:val="fr-FR"/>
        </w:rPr>
        <w:t>TABLEAU 6</w:t>
      </w:r>
    </w:p>
    <w:p w14:paraId="2816FAAA" w14:textId="77777777" w:rsidR="00532249" w:rsidRPr="006D3E70" w:rsidRDefault="00532249" w:rsidP="00834B0C">
      <w:pPr>
        <w:pStyle w:val="Tabletitle"/>
        <w:rPr>
          <w:lang w:val="fr-FR"/>
        </w:rPr>
      </w:pPr>
      <w:r w:rsidRPr="006D3E70">
        <w:rPr>
          <w:lang w:val="fr-FR"/>
        </w:rPr>
        <w:t>Limites de la catégorie Z</w:t>
      </w:r>
    </w:p>
    <w:p w14:paraId="149B1B7C" w14:textId="77777777" w:rsidR="00532249" w:rsidRPr="006D3E70" w:rsidRDefault="00532249" w:rsidP="00834B0C">
      <w:pPr>
        <w:pStyle w:val="Tabletitle"/>
        <w:rPr>
          <w:b w:val="0"/>
          <w:bCs/>
          <w:lang w:val="fr-FR"/>
        </w:rPr>
      </w:pPr>
      <w:r w:rsidRPr="006D3E70">
        <w:rPr>
          <w:b w:val="0"/>
          <w:bCs/>
          <w:lang w:val="fr-FR"/>
        </w:rPr>
        <w:t xml:space="preserve">(Limites des rayonnements applicables aux ITE spécifiés par la publication </w:t>
      </w:r>
      <w:hyperlink r:id="rId15" w:history="1">
        <w:r w:rsidRPr="006D3E70">
          <w:rPr>
            <w:b w:val="0"/>
            <w:bCs/>
            <w:lang w:val="fr-FR"/>
          </w:rPr>
          <w:t>CISPR 32</w:t>
        </w:r>
      </w:hyperlink>
      <w:r w:rsidRPr="006D3E70">
        <w:rPr>
          <w:b w:val="0"/>
          <w:bCs/>
          <w:lang w:val="fr-FR"/>
        </w:rPr>
        <w:t>)</w:t>
      </w:r>
    </w:p>
    <w:tbl>
      <w:tblPr>
        <w:tblW w:w="9639" w:type="dxa"/>
        <w:jc w:val="center"/>
        <w:tblBorders>
          <w:top w:val="single" w:sz="4" w:space="0" w:color="auto"/>
          <w:left w:val="single" w:sz="4" w:space="0" w:color="auto"/>
          <w:right w:val="sing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409"/>
        <w:gridCol w:w="1997"/>
        <w:gridCol w:w="2219"/>
        <w:gridCol w:w="3014"/>
      </w:tblGrid>
      <w:tr w:rsidR="00532249" w:rsidRPr="006D3E70" w14:paraId="19ADB727" w14:textId="77777777" w:rsidTr="009B33DD">
        <w:trPr>
          <w:jc w:val="center"/>
        </w:trPr>
        <w:tc>
          <w:tcPr>
            <w:tcW w:w="2409" w:type="dxa"/>
            <w:tcBorders>
              <w:top w:val="single" w:sz="4" w:space="0" w:color="auto"/>
              <w:left w:val="single" w:sz="4" w:space="0" w:color="auto"/>
              <w:bottom w:val="single" w:sz="6" w:space="0" w:color="auto"/>
              <w:right w:val="single" w:sz="6" w:space="0" w:color="auto"/>
            </w:tcBorders>
          </w:tcPr>
          <w:p w14:paraId="1D7A21B7" w14:textId="77777777" w:rsidR="00532249" w:rsidRPr="006D3E70" w:rsidRDefault="00532249" w:rsidP="009B33DD">
            <w:pPr>
              <w:pStyle w:val="Tablehead"/>
              <w:rPr>
                <w:lang w:val="fr-FR"/>
              </w:rPr>
            </w:pPr>
            <w:r w:rsidRPr="006D3E70">
              <w:rPr>
                <w:lang w:val="fr-FR"/>
              </w:rPr>
              <w:t xml:space="preserve">Fréquence </w:t>
            </w:r>
            <w:r w:rsidRPr="006D3E70">
              <w:rPr>
                <w:lang w:val="fr-FR"/>
              </w:rPr>
              <w:br/>
              <w:t>(MHz)</w:t>
            </w:r>
          </w:p>
        </w:tc>
        <w:tc>
          <w:tcPr>
            <w:tcW w:w="1997" w:type="dxa"/>
            <w:tcBorders>
              <w:top w:val="single" w:sz="4" w:space="0" w:color="auto"/>
              <w:left w:val="single" w:sz="6" w:space="0" w:color="auto"/>
              <w:bottom w:val="single" w:sz="6" w:space="0" w:color="auto"/>
              <w:right w:val="single" w:sz="6" w:space="0" w:color="auto"/>
            </w:tcBorders>
          </w:tcPr>
          <w:p w14:paraId="716C2FC3" w14:textId="77777777" w:rsidR="00532249" w:rsidRPr="006D3E70" w:rsidRDefault="00532249" w:rsidP="009B33DD">
            <w:pPr>
              <w:pStyle w:val="Tablehead"/>
              <w:rPr>
                <w:lang w:val="fr-FR"/>
              </w:rPr>
            </w:pPr>
            <w:r w:rsidRPr="006D3E70">
              <w:rPr>
                <w:i/>
                <w:lang w:val="fr-FR"/>
              </w:rPr>
              <w:t>E</w:t>
            </w:r>
            <w:r w:rsidRPr="006D3E70">
              <w:rPr>
                <w:i/>
                <w:vertAlign w:val="subscript"/>
                <w:lang w:val="fr-FR"/>
              </w:rPr>
              <w:t>max</w:t>
            </w:r>
            <w:r w:rsidRPr="006D3E70">
              <w:rPr>
                <w:lang w:val="fr-FR"/>
              </w:rPr>
              <w:br/>
              <w:t>(dB(</w:t>
            </w:r>
            <w:r w:rsidRPr="006D3E70">
              <w:rPr>
                <w:lang w:val="fr-FR"/>
              </w:rPr>
              <w:sym w:font="Symbol" w:char="F06D"/>
            </w:r>
            <w:r w:rsidRPr="006D3E70">
              <w:rPr>
                <w:lang w:val="fr-FR"/>
              </w:rPr>
              <w:t>V/m))</w:t>
            </w:r>
          </w:p>
        </w:tc>
        <w:tc>
          <w:tcPr>
            <w:tcW w:w="2219" w:type="dxa"/>
            <w:tcBorders>
              <w:top w:val="single" w:sz="4" w:space="0" w:color="auto"/>
              <w:left w:val="single" w:sz="6" w:space="0" w:color="auto"/>
              <w:bottom w:val="single" w:sz="6" w:space="0" w:color="auto"/>
              <w:right w:val="single" w:sz="6" w:space="0" w:color="auto"/>
            </w:tcBorders>
          </w:tcPr>
          <w:p w14:paraId="5E713437" w14:textId="77777777" w:rsidR="00532249" w:rsidRPr="006D3E70" w:rsidRDefault="00532249" w:rsidP="009B33DD">
            <w:pPr>
              <w:pStyle w:val="Tablehead"/>
              <w:rPr>
                <w:lang w:val="fr-FR"/>
              </w:rPr>
            </w:pPr>
            <w:r w:rsidRPr="006D3E70">
              <w:rPr>
                <w:lang w:val="fr-FR"/>
              </w:rPr>
              <w:t xml:space="preserve">Distance de mesure </w:t>
            </w:r>
            <w:r w:rsidRPr="006D3E70">
              <w:rPr>
                <w:lang w:val="fr-FR"/>
              </w:rPr>
              <w:br/>
              <w:t>(m)</w:t>
            </w:r>
          </w:p>
        </w:tc>
        <w:tc>
          <w:tcPr>
            <w:tcW w:w="3014" w:type="dxa"/>
            <w:tcBorders>
              <w:top w:val="single" w:sz="4" w:space="0" w:color="auto"/>
              <w:left w:val="single" w:sz="6" w:space="0" w:color="auto"/>
              <w:bottom w:val="single" w:sz="6" w:space="0" w:color="auto"/>
              <w:right w:val="single" w:sz="4" w:space="0" w:color="auto"/>
            </w:tcBorders>
          </w:tcPr>
          <w:p w14:paraId="37ECFCDF" w14:textId="77777777" w:rsidR="00532249" w:rsidRPr="006D3E70" w:rsidRDefault="00532249" w:rsidP="009B33DD">
            <w:pPr>
              <w:pStyle w:val="Tablehead"/>
              <w:rPr>
                <w:lang w:val="fr-FR"/>
              </w:rPr>
            </w:pPr>
            <w:r w:rsidRPr="006D3E70">
              <w:rPr>
                <w:lang w:val="fr-FR"/>
              </w:rPr>
              <w:t xml:space="preserve">p.i.r.e. correspondante </w:t>
            </w:r>
            <w:r w:rsidRPr="006D3E70">
              <w:rPr>
                <w:lang w:val="fr-FR"/>
              </w:rPr>
              <w:br/>
              <w:t>(dBm)</w:t>
            </w:r>
          </w:p>
        </w:tc>
      </w:tr>
      <w:tr w:rsidR="00532249" w:rsidRPr="006D3E70" w14:paraId="26CC998B" w14:textId="77777777" w:rsidTr="009B33D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jc w:val="center"/>
        </w:trPr>
        <w:tc>
          <w:tcPr>
            <w:tcW w:w="9639" w:type="dxa"/>
            <w:gridSpan w:val="4"/>
            <w:tcBorders>
              <w:top w:val="single" w:sz="4" w:space="0" w:color="auto"/>
              <w:left w:val="single" w:sz="4" w:space="0" w:color="auto"/>
              <w:bottom w:val="single" w:sz="4" w:space="0" w:color="auto"/>
              <w:right w:val="single" w:sz="4" w:space="0" w:color="auto"/>
            </w:tcBorders>
          </w:tcPr>
          <w:p w14:paraId="3858193A" w14:textId="77777777" w:rsidR="00532249" w:rsidRPr="006D3E70" w:rsidRDefault="00532249" w:rsidP="009B33DD">
            <w:pPr>
              <w:pStyle w:val="Tabletext"/>
              <w:spacing w:before="80" w:after="80"/>
              <w:jc w:val="center"/>
              <w:rPr>
                <w:lang w:val="fr-FR"/>
              </w:rPr>
            </w:pPr>
            <w:r w:rsidRPr="006D3E70">
              <w:rPr>
                <w:lang w:val="fr-FR"/>
              </w:rPr>
              <w:t>Classe A: applicable aux ITE industriels</w:t>
            </w:r>
          </w:p>
        </w:tc>
      </w:tr>
      <w:tr w:rsidR="00532249" w:rsidRPr="006D3E70" w14:paraId="5DA4E4AA" w14:textId="77777777" w:rsidTr="009B33D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jc w:val="center"/>
        </w:trPr>
        <w:tc>
          <w:tcPr>
            <w:tcW w:w="2409" w:type="dxa"/>
            <w:tcBorders>
              <w:top w:val="single" w:sz="4" w:space="0" w:color="auto"/>
              <w:left w:val="single" w:sz="6" w:space="0" w:color="auto"/>
              <w:bottom w:val="single" w:sz="6" w:space="0" w:color="auto"/>
              <w:right w:val="single" w:sz="6" w:space="0" w:color="auto"/>
            </w:tcBorders>
          </w:tcPr>
          <w:p w14:paraId="122B2A50" w14:textId="77777777" w:rsidR="00532249" w:rsidRPr="006D3E70" w:rsidRDefault="00532249" w:rsidP="009B33DD">
            <w:pPr>
              <w:pStyle w:val="Tabletext"/>
              <w:spacing w:before="80" w:after="80"/>
              <w:jc w:val="center"/>
              <w:rPr>
                <w:lang w:val="fr-FR"/>
              </w:rPr>
            </w:pPr>
            <w:r w:rsidRPr="006D3E70">
              <w:rPr>
                <w:lang w:val="fr-FR"/>
              </w:rPr>
              <w:t>30-230</w:t>
            </w:r>
          </w:p>
        </w:tc>
        <w:tc>
          <w:tcPr>
            <w:tcW w:w="1997" w:type="dxa"/>
            <w:tcBorders>
              <w:top w:val="single" w:sz="4" w:space="0" w:color="auto"/>
              <w:left w:val="single" w:sz="6" w:space="0" w:color="auto"/>
              <w:bottom w:val="single" w:sz="6" w:space="0" w:color="auto"/>
              <w:right w:val="single" w:sz="6" w:space="0" w:color="auto"/>
            </w:tcBorders>
          </w:tcPr>
          <w:p w14:paraId="1D02F71C" w14:textId="77777777" w:rsidR="00532249" w:rsidRPr="006D3E70" w:rsidRDefault="00532249" w:rsidP="009B33DD">
            <w:pPr>
              <w:pStyle w:val="Tabletext"/>
              <w:spacing w:before="80" w:after="80"/>
              <w:jc w:val="center"/>
              <w:rPr>
                <w:lang w:val="fr-FR"/>
              </w:rPr>
            </w:pPr>
            <w:r w:rsidRPr="006D3E70">
              <w:rPr>
                <w:lang w:val="fr-FR"/>
              </w:rPr>
              <w:t>40</w:t>
            </w:r>
            <w:r w:rsidRPr="006D3E70">
              <w:rPr>
                <w:vertAlign w:val="superscript"/>
                <w:lang w:val="fr-FR"/>
              </w:rPr>
              <w:t>(1)</w:t>
            </w:r>
          </w:p>
        </w:tc>
        <w:tc>
          <w:tcPr>
            <w:tcW w:w="2219" w:type="dxa"/>
            <w:tcBorders>
              <w:top w:val="single" w:sz="4" w:space="0" w:color="auto"/>
              <w:left w:val="single" w:sz="6" w:space="0" w:color="auto"/>
              <w:bottom w:val="single" w:sz="6" w:space="0" w:color="auto"/>
              <w:right w:val="single" w:sz="6" w:space="0" w:color="auto"/>
            </w:tcBorders>
          </w:tcPr>
          <w:p w14:paraId="15CEC1EB" w14:textId="77777777" w:rsidR="00532249" w:rsidRPr="006D3E70" w:rsidRDefault="00532249" w:rsidP="009B33DD">
            <w:pPr>
              <w:pStyle w:val="Tabletext"/>
              <w:spacing w:before="80" w:after="80"/>
              <w:jc w:val="center"/>
              <w:rPr>
                <w:lang w:val="fr-FR"/>
              </w:rPr>
            </w:pPr>
            <w:r w:rsidRPr="006D3E70">
              <w:rPr>
                <w:lang w:val="fr-FR"/>
              </w:rPr>
              <w:t>10</w:t>
            </w:r>
          </w:p>
        </w:tc>
        <w:tc>
          <w:tcPr>
            <w:tcW w:w="3014" w:type="dxa"/>
            <w:tcBorders>
              <w:top w:val="single" w:sz="4" w:space="0" w:color="auto"/>
              <w:left w:val="single" w:sz="6" w:space="0" w:color="auto"/>
              <w:bottom w:val="single" w:sz="6" w:space="0" w:color="auto"/>
              <w:right w:val="single" w:sz="6" w:space="0" w:color="auto"/>
            </w:tcBorders>
          </w:tcPr>
          <w:p w14:paraId="37F2188F" w14:textId="77777777" w:rsidR="00532249" w:rsidRPr="006D3E70" w:rsidRDefault="00532249" w:rsidP="009B33DD">
            <w:pPr>
              <w:pStyle w:val="Tabletext"/>
              <w:spacing w:before="80" w:after="80"/>
              <w:jc w:val="center"/>
              <w:rPr>
                <w:lang w:val="fr-FR"/>
              </w:rPr>
            </w:pPr>
            <w:r w:rsidRPr="006D3E70">
              <w:rPr>
                <w:lang w:val="fr-FR"/>
              </w:rPr>
              <w:t>–49</w:t>
            </w:r>
          </w:p>
        </w:tc>
      </w:tr>
      <w:tr w:rsidR="00532249" w:rsidRPr="006D3E70" w14:paraId="7FA67EE1" w14:textId="77777777" w:rsidTr="009B33D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jc w:val="center"/>
        </w:trPr>
        <w:tc>
          <w:tcPr>
            <w:tcW w:w="2409" w:type="dxa"/>
            <w:tcBorders>
              <w:top w:val="single" w:sz="6" w:space="0" w:color="auto"/>
              <w:left w:val="single" w:sz="6" w:space="0" w:color="auto"/>
              <w:bottom w:val="single" w:sz="6" w:space="0" w:color="auto"/>
              <w:right w:val="single" w:sz="6" w:space="0" w:color="auto"/>
            </w:tcBorders>
          </w:tcPr>
          <w:p w14:paraId="19E528E0" w14:textId="77777777" w:rsidR="00532249" w:rsidRPr="006D3E70" w:rsidRDefault="00532249" w:rsidP="009B33DD">
            <w:pPr>
              <w:pStyle w:val="Tabletext"/>
              <w:spacing w:before="80" w:after="80"/>
              <w:jc w:val="center"/>
              <w:rPr>
                <w:lang w:val="fr-FR"/>
              </w:rPr>
            </w:pPr>
            <w:r w:rsidRPr="006D3E70">
              <w:rPr>
                <w:lang w:val="fr-FR"/>
              </w:rPr>
              <w:t>230-1</w:t>
            </w:r>
            <w:r w:rsidRPr="006D3E70">
              <w:rPr>
                <w:rFonts w:ascii="Tms Rmn" w:hAnsi="Tms Rmn"/>
                <w:sz w:val="12"/>
                <w:lang w:val="fr-FR"/>
              </w:rPr>
              <w:t> </w:t>
            </w:r>
            <w:r w:rsidRPr="006D3E70">
              <w:rPr>
                <w:lang w:val="fr-FR"/>
              </w:rPr>
              <w:t>000</w:t>
            </w:r>
          </w:p>
        </w:tc>
        <w:tc>
          <w:tcPr>
            <w:tcW w:w="1997" w:type="dxa"/>
            <w:tcBorders>
              <w:top w:val="single" w:sz="6" w:space="0" w:color="auto"/>
              <w:left w:val="single" w:sz="6" w:space="0" w:color="auto"/>
              <w:bottom w:val="single" w:sz="6" w:space="0" w:color="auto"/>
              <w:right w:val="single" w:sz="6" w:space="0" w:color="auto"/>
            </w:tcBorders>
          </w:tcPr>
          <w:p w14:paraId="075DC80F" w14:textId="77777777" w:rsidR="00532249" w:rsidRPr="006D3E70" w:rsidRDefault="00532249" w:rsidP="009B33DD">
            <w:pPr>
              <w:pStyle w:val="Tabletext"/>
              <w:spacing w:before="80" w:after="80"/>
              <w:jc w:val="center"/>
              <w:rPr>
                <w:lang w:val="fr-FR"/>
              </w:rPr>
            </w:pPr>
            <w:r w:rsidRPr="006D3E70">
              <w:rPr>
                <w:lang w:val="fr-FR"/>
              </w:rPr>
              <w:t>47</w:t>
            </w:r>
            <w:r w:rsidRPr="006D3E70">
              <w:rPr>
                <w:vertAlign w:val="superscript"/>
                <w:lang w:val="fr-FR"/>
              </w:rPr>
              <w:t>(1)</w:t>
            </w:r>
          </w:p>
        </w:tc>
        <w:tc>
          <w:tcPr>
            <w:tcW w:w="2219" w:type="dxa"/>
            <w:tcBorders>
              <w:top w:val="single" w:sz="6" w:space="0" w:color="auto"/>
              <w:left w:val="single" w:sz="6" w:space="0" w:color="auto"/>
              <w:bottom w:val="single" w:sz="6" w:space="0" w:color="auto"/>
              <w:right w:val="single" w:sz="6" w:space="0" w:color="auto"/>
            </w:tcBorders>
          </w:tcPr>
          <w:p w14:paraId="33D0A125" w14:textId="77777777" w:rsidR="00532249" w:rsidRPr="006D3E70" w:rsidRDefault="00532249" w:rsidP="009B33DD">
            <w:pPr>
              <w:pStyle w:val="Tabletext"/>
              <w:spacing w:before="80" w:after="80"/>
              <w:jc w:val="center"/>
              <w:rPr>
                <w:lang w:val="fr-FR"/>
              </w:rPr>
            </w:pPr>
            <w:r w:rsidRPr="006D3E70">
              <w:rPr>
                <w:lang w:val="fr-FR"/>
              </w:rPr>
              <w:t>10</w:t>
            </w:r>
          </w:p>
        </w:tc>
        <w:tc>
          <w:tcPr>
            <w:tcW w:w="3014" w:type="dxa"/>
            <w:tcBorders>
              <w:top w:val="single" w:sz="6" w:space="0" w:color="auto"/>
              <w:left w:val="single" w:sz="6" w:space="0" w:color="auto"/>
              <w:bottom w:val="single" w:sz="6" w:space="0" w:color="auto"/>
              <w:right w:val="single" w:sz="6" w:space="0" w:color="auto"/>
            </w:tcBorders>
          </w:tcPr>
          <w:p w14:paraId="65C2DD09" w14:textId="77777777" w:rsidR="00532249" w:rsidRPr="006D3E70" w:rsidRDefault="00532249" w:rsidP="009B33DD">
            <w:pPr>
              <w:pStyle w:val="Tabletext"/>
              <w:spacing w:before="80" w:after="80"/>
              <w:jc w:val="center"/>
              <w:rPr>
                <w:lang w:val="fr-FR"/>
              </w:rPr>
            </w:pPr>
            <w:r w:rsidRPr="006D3E70">
              <w:rPr>
                <w:lang w:val="fr-FR"/>
              </w:rPr>
              <w:t>–42</w:t>
            </w:r>
          </w:p>
        </w:tc>
      </w:tr>
      <w:tr w:rsidR="00532249" w:rsidRPr="006D3E70" w14:paraId="3EBD66BE" w14:textId="77777777" w:rsidTr="009B33D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jc w:val="center"/>
        </w:trPr>
        <w:tc>
          <w:tcPr>
            <w:tcW w:w="2409" w:type="dxa"/>
            <w:tcBorders>
              <w:top w:val="single" w:sz="6" w:space="0" w:color="auto"/>
              <w:left w:val="single" w:sz="6" w:space="0" w:color="auto"/>
              <w:bottom w:val="single" w:sz="6" w:space="0" w:color="auto"/>
              <w:right w:val="single" w:sz="6" w:space="0" w:color="auto"/>
            </w:tcBorders>
          </w:tcPr>
          <w:p w14:paraId="315E6B0F" w14:textId="77777777" w:rsidR="00532249" w:rsidRPr="006D3E70" w:rsidRDefault="00532249" w:rsidP="009B33DD">
            <w:pPr>
              <w:pStyle w:val="Tabletext"/>
              <w:spacing w:before="80" w:after="80"/>
              <w:jc w:val="center"/>
              <w:rPr>
                <w:lang w:val="fr-FR"/>
              </w:rPr>
            </w:pPr>
            <w:r w:rsidRPr="006D3E70">
              <w:rPr>
                <w:lang w:val="fr-FR"/>
              </w:rPr>
              <w:t>1 000-3 000</w:t>
            </w:r>
          </w:p>
        </w:tc>
        <w:tc>
          <w:tcPr>
            <w:tcW w:w="1997" w:type="dxa"/>
            <w:tcBorders>
              <w:top w:val="single" w:sz="6" w:space="0" w:color="auto"/>
              <w:left w:val="single" w:sz="6" w:space="0" w:color="auto"/>
              <w:bottom w:val="single" w:sz="6" w:space="0" w:color="auto"/>
              <w:right w:val="single" w:sz="6" w:space="0" w:color="auto"/>
            </w:tcBorders>
          </w:tcPr>
          <w:p w14:paraId="0E3DF8E4" w14:textId="77777777" w:rsidR="00532249" w:rsidRPr="006D3E70" w:rsidRDefault="00532249" w:rsidP="009B33DD">
            <w:pPr>
              <w:pStyle w:val="Tabletext"/>
              <w:spacing w:before="80" w:after="80"/>
              <w:jc w:val="center"/>
              <w:rPr>
                <w:lang w:val="fr-FR"/>
              </w:rPr>
            </w:pPr>
            <w:r w:rsidRPr="006D3E70">
              <w:rPr>
                <w:lang w:val="fr-FR"/>
              </w:rPr>
              <w:t>80</w:t>
            </w:r>
            <w:r w:rsidRPr="006D3E70">
              <w:rPr>
                <w:vertAlign w:val="superscript"/>
                <w:lang w:val="fr-FR"/>
              </w:rPr>
              <w:t>(2)</w:t>
            </w:r>
          </w:p>
        </w:tc>
        <w:tc>
          <w:tcPr>
            <w:tcW w:w="2219" w:type="dxa"/>
            <w:tcBorders>
              <w:top w:val="single" w:sz="6" w:space="0" w:color="auto"/>
              <w:left w:val="single" w:sz="6" w:space="0" w:color="auto"/>
              <w:bottom w:val="single" w:sz="6" w:space="0" w:color="auto"/>
              <w:right w:val="single" w:sz="6" w:space="0" w:color="auto"/>
            </w:tcBorders>
          </w:tcPr>
          <w:p w14:paraId="7A81FF84" w14:textId="77777777" w:rsidR="00532249" w:rsidRPr="006D3E70" w:rsidRDefault="00532249" w:rsidP="009B33DD">
            <w:pPr>
              <w:pStyle w:val="Tabletext"/>
              <w:spacing w:before="80" w:after="80"/>
              <w:jc w:val="center"/>
              <w:rPr>
                <w:lang w:val="fr-FR"/>
              </w:rPr>
            </w:pPr>
            <w:r w:rsidRPr="006D3E70">
              <w:rPr>
                <w:lang w:val="fr-FR"/>
              </w:rPr>
              <w:t>3</w:t>
            </w:r>
          </w:p>
        </w:tc>
        <w:tc>
          <w:tcPr>
            <w:tcW w:w="3014" w:type="dxa"/>
            <w:tcBorders>
              <w:top w:val="single" w:sz="6" w:space="0" w:color="auto"/>
              <w:left w:val="single" w:sz="6" w:space="0" w:color="auto"/>
              <w:bottom w:val="single" w:sz="6" w:space="0" w:color="auto"/>
              <w:right w:val="single" w:sz="6" w:space="0" w:color="auto"/>
            </w:tcBorders>
          </w:tcPr>
          <w:p w14:paraId="68347019" w14:textId="77777777" w:rsidR="00532249" w:rsidRPr="006D3E70" w:rsidRDefault="00532249" w:rsidP="009B33DD">
            <w:pPr>
              <w:pStyle w:val="Tabletext"/>
              <w:spacing w:before="80" w:after="80"/>
              <w:jc w:val="center"/>
              <w:rPr>
                <w:lang w:val="fr-FR"/>
              </w:rPr>
            </w:pPr>
            <w:r w:rsidRPr="006D3E70">
              <w:rPr>
                <w:lang w:val="fr-FR"/>
              </w:rPr>
              <w:t>–19</w:t>
            </w:r>
          </w:p>
        </w:tc>
      </w:tr>
      <w:tr w:rsidR="00532249" w:rsidRPr="006D3E70" w14:paraId="02FC448E" w14:textId="77777777" w:rsidTr="009B33D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jc w:val="center"/>
        </w:trPr>
        <w:tc>
          <w:tcPr>
            <w:tcW w:w="2409" w:type="dxa"/>
            <w:tcBorders>
              <w:top w:val="single" w:sz="6" w:space="0" w:color="auto"/>
              <w:left w:val="single" w:sz="6" w:space="0" w:color="auto"/>
              <w:bottom w:val="single" w:sz="6" w:space="0" w:color="auto"/>
              <w:right w:val="single" w:sz="6" w:space="0" w:color="auto"/>
            </w:tcBorders>
          </w:tcPr>
          <w:p w14:paraId="031B63F0" w14:textId="77777777" w:rsidR="00532249" w:rsidRPr="006D3E70" w:rsidRDefault="00532249" w:rsidP="009B33DD">
            <w:pPr>
              <w:pStyle w:val="Tabletext"/>
              <w:spacing w:before="80" w:after="80"/>
              <w:jc w:val="center"/>
              <w:rPr>
                <w:lang w:val="fr-FR"/>
              </w:rPr>
            </w:pPr>
            <w:r w:rsidRPr="006D3E70">
              <w:rPr>
                <w:lang w:val="fr-FR"/>
              </w:rPr>
              <w:t>3 000-6 000</w:t>
            </w:r>
          </w:p>
        </w:tc>
        <w:tc>
          <w:tcPr>
            <w:tcW w:w="1997" w:type="dxa"/>
            <w:tcBorders>
              <w:top w:val="single" w:sz="6" w:space="0" w:color="auto"/>
              <w:left w:val="single" w:sz="6" w:space="0" w:color="auto"/>
              <w:bottom w:val="single" w:sz="6" w:space="0" w:color="auto"/>
              <w:right w:val="single" w:sz="6" w:space="0" w:color="auto"/>
            </w:tcBorders>
          </w:tcPr>
          <w:p w14:paraId="4CD5AAA7" w14:textId="77777777" w:rsidR="00532249" w:rsidRPr="006D3E70" w:rsidRDefault="00532249" w:rsidP="009B33DD">
            <w:pPr>
              <w:pStyle w:val="Tabletext"/>
              <w:spacing w:before="80" w:after="80"/>
              <w:jc w:val="center"/>
              <w:rPr>
                <w:lang w:val="fr-FR"/>
              </w:rPr>
            </w:pPr>
            <w:r w:rsidRPr="006D3E70">
              <w:rPr>
                <w:lang w:val="fr-FR"/>
              </w:rPr>
              <w:t>80</w:t>
            </w:r>
            <w:r w:rsidRPr="006D3E70">
              <w:rPr>
                <w:vertAlign w:val="superscript"/>
                <w:lang w:val="fr-FR"/>
              </w:rPr>
              <w:t>(2)</w:t>
            </w:r>
          </w:p>
        </w:tc>
        <w:tc>
          <w:tcPr>
            <w:tcW w:w="2219" w:type="dxa"/>
            <w:tcBorders>
              <w:top w:val="single" w:sz="6" w:space="0" w:color="auto"/>
              <w:left w:val="single" w:sz="6" w:space="0" w:color="auto"/>
              <w:bottom w:val="single" w:sz="6" w:space="0" w:color="auto"/>
              <w:right w:val="single" w:sz="6" w:space="0" w:color="auto"/>
            </w:tcBorders>
          </w:tcPr>
          <w:p w14:paraId="3C00B8EA" w14:textId="77777777" w:rsidR="00532249" w:rsidRPr="006D3E70" w:rsidRDefault="00532249" w:rsidP="009B33DD">
            <w:pPr>
              <w:pStyle w:val="Tabletext"/>
              <w:spacing w:before="80" w:after="80"/>
              <w:jc w:val="center"/>
              <w:rPr>
                <w:lang w:val="fr-FR"/>
              </w:rPr>
            </w:pPr>
            <w:r w:rsidRPr="006D3E70">
              <w:rPr>
                <w:lang w:val="fr-FR"/>
              </w:rPr>
              <w:t>3</w:t>
            </w:r>
          </w:p>
        </w:tc>
        <w:tc>
          <w:tcPr>
            <w:tcW w:w="3014" w:type="dxa"/>
            <w:tcBorders>
              <w:top w:val="single" w:sz="6" w:space="0" w:color="auto"/>
              <w:left w:val="single" w:sz="6" w:space="0" w:color="auto"/>
              <w:bottom w:val="single" w:sz="6" w:space="0" w:color="auto"/>
              <w:right w:val="single" w:sz="6" w:space="0" w:color="auto"/>
            </w:tcBorders>
          </w:tcPr>
          <w:p w14:paraId="02C2B73D" w14:textId="77777777" w:rsidR="00532249" w:rsidRPr="006D3E70" w:rsidRDefault="00532249" w:rsidP="009B33DD">
            <w:pPr>
              <w:pStyle w:val="Tabletext"/>
              <w:spacing w:before="80" w:after="80"/>
              <w:jc w:val="center"/>
              <w:rPr>
                <w:lang w:val="fr-FR"/>
              </w:rPr>
            </w:pPr>
            <w:r w:rsidRPr="006D3E70">
              <w:rPr>
                <w:lang w:val="fr-FR"/>
              </w:rPr>
              <w:t>–19</w:t>
            </w:r>
          </w:p>
        </w:tc>
      </w:tr>
      <w:tr w:rsidR="00532249" w:rsidRPr="006D3E70" w14:paraId="51DB1968" w14:textId="77777777" w:rsidTr="009B33D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jc w:val="center"/>
        </w:trPr>
        <w:tc>
          <w:tcPr>
            <w:tcW w:w="9639" w:type="dxa"/>
            <w:gridSpan w:val="4"/>
            <w:tcBorders>
              <w:top w:val="single" w:sz="6" w:space="0" w:color="auto"/>
              <w:left w:val="single" w:sz="6" w:space="0" w:color="auto"/>
              <w:bottom w:val="single" w:sz="6" w:space="0" w:color="auto"/>
              <w:right w:val="single" w:sz="6" w:space="0" w:color="auto"/>
            </w:tcBorders>
          </w:tcPr>
          <w:p w14:paraId="22DEA134" w14:textId="77777777" w:rsidR="00532249" w:rsidRPr="006D3E70" w:rsidRDefault="00532249" w:rsidP="009B33DD">
            <w:pPr>
              <w:pStyle w:val="Tabletext"/>
              <w:spacing w:before="80" w:after="80"/>
              <w:jc w:val="center"/>
              <w:rPr>
                <w:lang w:val="fr-FR"/>
              </w:rPr>
            </w:pPr>
            <w:r w:rsidRPr="006D3E70">
              <w:rPr>
                <w:lang w:val="fr-FR"/>
              </w:rPr>
              <w:t>Classe B: applicable aux ITE grand public</w:t>
            </w:r>
          </w:p>
        </w:tc>
      </w:tr>
      <w:tr w:rsidR="00532249" w:rsidRPr="006D3E70" w14:paraId="2FFDF3F3" w14:textId="77777777" w:rsidTr="009B33D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jc w:val="center"/>
        </w:trPr>
        <w:tc>
          <w:tcPr>
            <w:tcW w:w="2409" w:type="dxa"/>
            <w:tcBorders>
              <w:top w:val="single" w:sz="6" w:space="0" w:color="auto"/>
              <w:left w:val="single" w:sz="6" w:space="0" w:color="auto"/>
              <w:bottom w:val="single" w:sz="6" w:space="0" w:color="auto"/>
              <w:right w:val="single" w:sz="6" w:space="0" w:color="auto"/>
            </w:tcBorders>
          </w:tcPr>
          <w:p w14:paraId="5D6A94F4" w14:textId="77777777" w:rsidR="00532249" w:rsidRPr="006D3E70" w:rsidRDefault="00532249" w:rsidP="009B33DD">
            <w:pPr>
              <w:pStyle w:val="Tabletext"/>
              <w:spacing w:before="80" w:after="80"/>
              <w:jc w:val="center"/>
              <w:rPr>
                <w:lang w:val="fr-FR"/>
              </w:rPr>
            </w:pPr>
            <w:r w:rsidRPr="006D3E70">
              <w:rPr>
                <w:lang w:val="fr-FR"/>
              </w:rPr>
              <w:t>30-230</w:t>
            </w:r>
          </w:p>
        </w:tc>
        <w:tc>
          <w:tcPr>
            <w:tcW w:w="1997" w:type="dxa"/>
            <w:tcBorders>
              <w:top w:val="single" w:sz="6" w:space="0" w:color="auto"/>
              <w:left w:val="single" w:sz="6" w:space="0" w:color="auto"/>
              <w:bottom w:val="single" w:sz="6" w:space="0" w:color="auto"/>
              <w:right w:val="single" w:sz="6" w:space="0" w:color="auto"/>
            </w:tcBorders>
          </w:tcPr>
          <w:p w14:paraId="5CE13D3D" w14:textId="77777777" w:rsidR="00532249" w:rsidRPr="006D3E70" w:rsidRDefault="00532249" w:rsidP="009B33DD">
            <w:pPr>
              <w:pStyle w:val="Tabletext"/>
              <w:spacing w:before="80" w:after="80"/>
              <w:jc w:val="center"/>
              <w:rPr>
                <w:lang w:val="fr-FR"/>
              </w:rPr>
            </w:pPr>
            <w:r w:rsidRPr="006D3E70">
              <w:rPr>
                <w:lang w:val="fr-FR"/>
              </w:rPr>
              <w:t>30</w:t>
            </w:r>
            <w:r w:rsidRPr="006D3E70">
              <w:rPr>
                <w:vertAlign w:val="superscript"/>
                <w:lang w:val="fr-FR"/>
              </w:rPr>
              <w:t>(1)</w:t>
            </w:r>
          </w:p>
        </w:tc>
        <w:tc>
          <w:tcPr>
            <w:tcW w:w="2219" w:type="dxa"/>
            <w:tcBorders>
              <w:top w:val="single" w:sz="6" w:space="0" w:color="auto"/>
              <w:left w:val="single" w:sz="6" w:space="0" w:color="auto"/>
              <w:bottom w:val="single" w:sz="6" w:space="0" w:color="auto"/>
              <w:right w:val="single" w:sz="6" w:space="0" w:color="auto"/>
            </w:tcBorders>
          </w:tcPr>
          <w:p w14:paraId="47F73CE1" w14:textId="77777777" w:rsidR="00532249" w:rsidRPr="006D3E70" w:rsidRDefault="00532249" w:rsidP="009B33DD">
            <w:pPr>
              <w:pStyle w:val="Tabletext"/>
              <w:spacing w:before="80" w:after="80"/>
              <w:jc w:val="center"/>
              <w:rPr>
                <w:lang w:val="fr-FR"/>
              </w:rPr>
            </w:pPr>
            <w:r w:rsidRPr="006D3E70">
              <w:rPr>
                <w:lang w:val="fr-FR"/>
              </w:rPr>
              <w:t>10</w:t>
            </w:r>
          </w:p>
        </w:tc>
        <w:tc>
          <w:tcPr>
            <w:tcW w:w="3014" w:type="dxa"/>
            <w:tcBorders>
              <w:top w:val="single" w:sz="6" w:space="0" w:color="auto"/>
              <w:left w:val="single" w:sz="6" w:space="0" w:color="auto"/>
              <w:bottom w:val="single" w:sz="6" w:space="0" w:color="auto"/>
              <w:right w:val="single" w:sz="6" w:space="0" w:color="auto"/>
            </w:tcBorders>
          </w:tcPr>
          <w:p w14:paraId="72E756E8" w14:textId="77777777" w:rsidR="00532249" w:rsidRPr="006D3E70" w:rsidRDefault="00532249" w:rsidP="009B33DD">
            <w:pPr>
              <w:pStyle w:val="Tabletext"/>
              <w:spacing w:before="80" w:after="80"/>
              <w:jc w:val="center"/>
              <w:rPr>
                <w:lang w:val="fr-FR"/>
              </w:rPr>
            </w:pPr>
            <w:r w:rsidRPr="006D3E70">
              <w:rPr>
                <w:lang w:val="fr-FR"/>
              </w:rPr>
              <w:t>–59</w:t>
            </w:r>
          </w:p>
        </w:tc>
      </w:tr>
      <w:tr w:rsidR="00532249" w:rsidRPr="006D3E70" w14:paraId="2AC17553" w14:textId="77777777" w:rsidTr="009B33D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jc w:val="center"/>
        </w:trPr>
        <w:tc>
          <w:tcPr>
            <w:tcW w:w="2409" w:type="dxa"/>
            <w:tcBorders>
              <w:top w:val="single" w:sz="6" w:space="0" w:color="auto"/>
              <w:left w:val="single" w:sz="6" w:space="0" w:color="auto"/>
              <w:bottom w:val="single" w:sz="6" w:space="0" w:color="auto"/>
              <w:right w:val="single" w:sz="6" w:space="0" w:color="auto"/>
            </w:tcBorders>
          </w:tcPr>
          <w:p w14:paraId="3C8479E2" w14:textId="77777777" w:rsidR="00532249" w:rsidRPr="006D3E70" w:rsidRDefault="00532249" w:rsidP="009B33DD">
            <w:pPr>
              <w:pStyle w:val="Tabletext"/>
              <w:spacing w:before="80" w:after="80"/>
              <w:jc w:val="center"/>
              <w:rPr>
                <w:lang w:val="fr-FR"/>
              </w:rPr>
            </w:pPr>
            <w:r w:rsidRPr="006D3E70">
              <w:rPr>
                <w:lang w:val="fr-FR"/>
              </w:rPr>
              <w:t>230-1</w:t>
            </w:r>
            <w:r w:rsidRPr="006D3E70">
              <w:rPr>
                <w:rFonts w:ascii="Tms Rmn" w:hAnsi="Tms Rmn"/>
                <w:sz w:val="12"/>
                <w:lang w:val="fr-FR"/>
              </w:rPr>
              <w:t> </w:t>
            </w:r>
            <w:r w:rsidRPr="006D3E70">
              <w:rPr>
                <w:lang w:val="fr-FR"/>
              </w:rPr>
              <w:t>000</w:t>
            </w:r>
          </w:p>
        </w:tc>
        <w:tc>
          <w:tcPr>
            <w:tcW w:w="1997" w:type="dxa"/>
            <w:tcBorders>
              <w:top w:val="single" w:sz="6" w:space="0" w:color="auto"/>
              <w:left w:val="single" w:sz="6" w:space="0" w:color="auto"/>
              <w:bottom w:val="single" w:sz="6" w:space="0" w:color="auto"/>
              <w:right w:val="single" w:sz="6" w:space="0" w:color="auto"/>
            </w:tcBorders>
          </w:tcPr>
          <w:p w14:paraId="4144AD51" w14:textId="77777777" w:rsidR="00532249" w:rsidRPr="006D3E70" w:rsidRDefault="00532249" w:rsidP="009B33DD">
            <w:pPr>
              <w:pStyle w:val="Tabletext"/>
              <w:spacing w:before="80" w:after="80"/>
              <w:jc w:val="center"/>
              <w:rPr>
                <w:lang w:val="fr-FR"/>
              </w:rPr>
            </w:pPr>
            <w:r w:rsidRPr="006D3E70">
              <w:rPr>
                <w:lang w:val="fr-FR"/>
              </w:rPr>
              <w:t>37</w:t>
            </w:r>
            <w:r w:rsidRPr="006D3E70">
              <w:rPr>
                <w:vertAlign w:val="superscript"/>
                <w:lang w:val="fr-FR"/>
              </w:rPr>
              <w:t>(1)</w:t>
            </w:r>
          </w:p>
        </w:tc>
        <w:tc>
          <w:tcPr>
            <w:tcW w:w="2219" w:type="dxa"/>
            <w:tcBorders>
              <w:top w:val="single" w:sz="6" w:space="0" w:color="auto"/>
              <w:left w:val="single" w:sz="6" w:space="0" w:color="auto"/>
              <w:bottom w:val="single" w:sz="6" w:space="0" w:color="auto"/>
              <w:right w:val="single" w:sz="6" w:space="0" w:color="auto"/>
            </w:tcBorders>
          </w:tcPr>
          <w:p w14:paraId="02B9CA94" w14:textId="77777777" w:rsidR="00532249" w:rsidRPr="006D3E70" w:rsidRDefault="00532249" w:rsidP="009B33DD">
            <w:pPr>
              <w:pStyle w:val="Tabletext"/>
              <w:spacing w:before="80" w:after="80"/>
              <w:jc w:val="center"/>
              <w:rPr>
                <w:lang w:val="fr-FR"/>
              </w:rPr>
            </w:pPr>
            <w:r w:rsidRPr="006D3E70">
              <w:rPr>
                <w:lang w:val="fr-FR"/>
              </w:rPr>
              <w:t>10</w:t>
            </w:r>
          </w:p>
        </w:tc>
        <w:tc>
          <w:tcPr>
            <w:tcW w:w="3014" w:type="dxa"/>
            <w:tcBorders>
              <w:top w:val="single" w:sz="6" w:space="0" w:color="auto"/>
              <w:left w:val="single" w:sz="6" w:space="0" w:color="auto"/>
              <w:bottom w:val="single" w:sz="6" w:space="0" w:color="auto"/>
              <w:right w:val="single" w:sz="6" w:space="0" w:color="auto"/>
            </w:tcBorders>
          </w:tcPr>
          <w:p w14:paraId="2C9D548D" w14:textId="77777777" w:rsidR="00532249" w:rsidRPr="006D3E70" w:rsidRDefault="00532249" w:rsidP="009B33DD">
            <w:pPr>
              <w:pStyle w:val="Tabletext"/>
              <w:spacing w:before="80" w:after="80"/>
              <w:jc w:val="center"/>
              <w:rPr>
                <w:lang w:val="fr-FR"/>
              </w:rPr>
            </w:pPr>
            <w:r w:rsidRPr="006D3E70">
              <w:rPr>
                <w:lang w:val="fr-FR"/>
              </w:rPr>
              <w:t>–52</w:t>
            </w:r>
          </w:p>
        </w:tc>
      </w:tr>
      <w:tr w:rsidR="00532249" w:rsidRPr="006D3E70" w14:paraId="27A2A343" w14:textId="77777777" w:rsidTr="009B33D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jc w:val="center"/>
        </w:trPr>
        <w:tc>
          <w:tcPr>
            <w:tcW w:w="2409" w:type="dxa"/>
            <w:tcBorders>
              <w:top w:val="single" w:sz="6" w:space="0" w:color="auto"/>
              <w:left w:val="single" w:sz="6" w:space="0" w:color="auto"/>
              <w:bottom w:val="single" w:sz="6" w:space="0" w:color="auto"/>
              <w:right w:val="single" w:sz="6" w:space="0" w:color="auto"/>
            </w:tcBorders>
          </w:tcPr>
          <w:p w14:paraId="5ABEC24C" w14:textId="77777777" w:rsidR="00532249" w:rsidRPr="006D3E70" w:rsidRDefault="00532249" w:rsidP="009B33DD">
            <w:pPr>
              <w:pStyle w:val="Tabletext"/>
              <w:spacing w:before="80" w:after="80"/>
              <w:jc w:val="center"/>
              <w:rPr>
                <w:lang w:val="fr-FR"/>
              </w:rPr>
            </w:pPr>
            <w:r w:rsidRPr="006D3E70">
              <w:rPr>
                <w:lang w:val="fr-FR"/>
              </w:rPr>
              <w:t>1 000-3 000</w:t>
            </w:r>
          </w:p>
        </w:tc>
        <w:tc>
          <w:tcPr>
            <w:tcW w:w="1997" w:type="dxa"/>
            <w:tcBorders>
              <w:top w:val="single" w:sz="6" w:space="0" w:color="auto"/>
              <w:left w:val="single" w:sz="6" w:space="0" w:color="auto"/>
              <w:bottom w:val="single" w:sz="6" w:space="0" w:color="auto"/>
              <w:right w:val="single" w:sz="6" w:space="0" w:color="auto"/>
            </w:tcBorders>
          </w:tcPr>
          <w:p w14:paraId="6330D2F2" w14:textId="77777777" w:rsidR="00532249" w:rsidRPr="006D3E70" w:rsidRDefault="00532249" w:rsidP="009B33DD">
            <w:pPr>
              <w:pStyle w:val="Tabletext"/>
              <w:spacing w:before="80" w:after="80"/>
              <w:jc w:val="center"/>
              <w:rPr>
                <w:lang w:val="fr-FR"/>
              </w:rPr>
            </w:pPr>
            <w:r w:rsidRPr="006D3E70">
              <w:rPr>
                <w:lang w:val="fr-FR"/>
              </w:rPr>
              <w:t>74</w:t>
            </w:r>
            <w:r w:rsidRPr="006D3E70">
              <w:rPr>
                <w:vertAlign w:val="superscript"/>
                <w:lang w:val="fr-FR"/>
              </w:rPr>
              <w:t>(2)</w:t>
            </w:r>
          </w:p>
        </w:tc>
        <w:tc>
          <w:tcPr>
            <w:tcW w:w="2219" w:type="dxa"/>
            <w:tcBorders>
              <w:top w:val="single" w:sz="6" w:space="0" w:color="auto"/>
              <w:left w:val="single" w:sz="6" w:space="0" w:color="auto"/>
              <w:bottom w:val="single" w:sz="6" w:space="0" w:color="auto"/>
              <w:right w:val="single" w:sz="6" w:space="0" w:color="auto"/>
            </w:tcBorders>
          </w:tcPr>
          <w:p w14:paraId="631978FC" w14:textId="77777777" w:rsidR="00532249" w:rsidRPr="006D3E70" w:rsidRDefault="00532249" w:rsidP="009B33DD">
            <w:pPr>
              <w:pStyle w:val="Tabletext"/>
              <w:spacing w:before="80" w:after="80"/>
              <w:jc w:val="center"/>
              <w:rPr>
                <w:lang w:val="fr-FR"/>
              </w:rPr>
            </w:pPr>
            <w:r w:rsidRPr="006D3E70">
              <w:rPr>
                <w:lang w:val="fr-FR"/>
              </w:rPr>
              <w:t>3</w:t>
            </w:r>
          </w:p>
        </w:tc>
        <w:tc>
          <w:tcPr>
            <w:tcW w:w="3014" w:type="dxa"/>
            <w:tcBorders>
              <w:top w:val="single" w:sz="6" w:space="0" w:color="auto"/>
              <w:left w:val="single" w:sz="6" w:space="0" w:color="auto"/>
              <w:bottom w:val="single" w:sz="6" w:space="0" w:color="auto"/>
              <w:right w:val="single" w:sz="6" w:space="0" w:color="auto"/>
            </w:tcBorders>
          </w:tcPr>
          <w:p w14:paraId="63434B0A" w14:textId="77777777" w:rsidR="00532249" w:rsidRPr="006D3E70" w:rsidRDefault="00532249" w:rsidP="009B33DD">
            <w:pPr>
              <w:pStyle w:val="Tabletext"/>
              <w:spacing w:before="80" w:after="80"/>
              <w:jc w:val="center"/>
              <w:rPr>
                <w:lang w:val="fr-FR"/>
              </w:rPr>
            </w:pPr>
            <w:r w:rsidRPr="006D3E70">
              <w:rPr>
                <w:lang w:val="fr-FR"/>
              </w:rPr>
              <w:t>–25</w:t>
            </w:r>
          </w:p>
        </w:tc>
      </w:tr>
      <w:tr w:rsidR="00532249" w:rsidRPr="006D3E70" w14:paraId="0B9F9B8E" w14:textId="77777777" w:rsidTr="009B33D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jc w:val="center"/>
        </w:trPr>
        <w:tc>
          <w:tcPr>
            <w:tcW w:w="2409" w:type="dxa"/>
            <w:tcBorders>
              <w:top w:val="single" w:sz="6" w:space="0" w:color="auto"/>
              <w:left w:val="single" w:sz="6" w:space="0" w:color="auto"/>
              <w:bottom w:val="single" w:sz="6" w:space="0" w:color="auto"/>
              <w:right w:val="single" w:sz="6" w:space="0" w:color="auto"/>
            </w:tcBorders>
          </w:tcPr>
          <w:p w14:paraId="255E1902" w14:textId="77777777" w:rsidR="00532249" w:rsidRPr="006D3E70" w:rsidRDefault="00532249" w:rsidP="009B33DD">
            <w:pPr>
              <w:pStyle w:val="Tabletext"/>
              <w:spacing w:before="80" w:after="80"/>
              <w:jc w:val="center"/>
              <w:rPr>
                <w:lang w:val="fr-FR"/>
              </w:rPr>
            </w:pPr>
            <w:r w:rsidRPr="006D3E70">
              <w:rPr>
                <w:lang w:val="fr-FR"/>
              </w:rPr>
              <w:t>3 000-6 000</w:t>
            </w:r>
          </w:p>
        </w:tc>
        <w:tc>
          <w:tcPr>
            <w:tcW w:w="1997" w:type="dxa"/>
            <w:tcBorders>
              <w:top w:val="single" w:sz="6" w:space="0" w:color="auto"/>
              <w:left w:val="single" w:sz="6" w:space="0" w:color="auto"/>
              <w:bottom w:val="single" w:sz="6" w:space="0" w:color="auto"/>
              <w:right w:val="single" w:sz="6" w:space="0" w:color="auto"/>
            </w:tcBorders>
          </w:tcPr>
          <w:p w14:paraId="25F22923" w14:textId="77777777" w:rsidR="00532249" w:rsidRPr="006D3E70" w:rsidRDefault="00532249" w:rsidP="009B33DD">
            <w:pPr>
              <w:pStyle w:val="Tabletext"/>
              <w:spacing w:before="80" w:after="80"/>
              <w:jc w:val="center"/>
              <w:rPr>
                <w:lang w:val="fr-FR"/>
              </w:rPr>
            </w:pPr>
            <w:r w:rsidRPr="006D3E70">
              <w:rPr>
                <w:lang w:val="fr-FR"/>
              </w:rPr>
              <w:t>74</w:t>
            </w:r>
            <w:r w:rsidRPr="006D3E70">
              <w:rPr>
                <w:vertAlign w:val="superscript"/>
                <w:lang w:val="fr-FR"/>
              </w:rPr>
              <w:t>(2)</w:t>
            </w:r>
          </w:p>
        </w:tc>
        <w:tc>
          <w:tcPr>
            <w:tcW w:w="2219" w:type="dxa"/>
            <w:tcBorders>
              <w:top w:val="single" w:sz="6" w:space="0" w:color="auto"/>
              <w:left w:val="single" w:sz="6" w:space="0" w:color="auto"/>
              <w:bottom w:val="single" w:sz="6" w:space="0" w:color="auto"/>
              <w:right w:val="single" w:sz="6" w:space="0" w:color="auto"/>
            </w:tcBorders>
          </w:tcPr>
          <w:p w14:paraId="5620DB29" w14:textId="77777777" w:rsidR="00532249" w:rsidRPr="006D3E70" w:rsidRDefault="00532249" w:rsidP="009B33DD">
            <w:pPr>
              <w:pStyle w:val="Tabletext"/>
              <w:spacing w:before="80" w:after="80"/>
              <w:jc w:val="center"/>
              <w:rPr>
                <w:lang w:val="fr-FR"/>
              </w:rPr>
            </w:pPr>
            <w:r w:rsidRPr="006D3E70">
              <w:rPr>
                <w:lang w:val="fr-FR"/>
              </w:rPr>
              <w:t>3</w:t>
            </w:r>
          </w:p>
        </w:tc>
        <w:tc>
          <w:tcPr>
            <w:tcW w:w="3014" w:type="dxa"/>
            <w:tcBorders>
              <w:top w:val="single" w:sz="6" w:space="0" w:color="auto"/>
              <w:left w:val="single" w:sz="6" w:space="0" w:color="auto"/>
              <w:bottom w:val="single" w:sz="6" w:space="0" w:color="auto"/>
              <w:right w:val="single" w:sz="6" w:space="0" w:color="auto"/>
            </w:tcBorders>
          </w:tcPr>
          <w:p w14:paraId="45849D9E" w14:textId="77777777" w:rsidR="00532249" w:rsidRPr="006D3E70" w:rsidRDefault="00532249" w:rsidP="009B33DD">
            <w:pPr>
              <w:pStyle w:val="Tabletext"/>
              <w:spacing w:before="80" w:after="80"/>
              <w:jc w:val="center"/>
              <w:rPr>
                <w:lang w:val="fr-FR"/>
              </w:rPr>
            </w:pPr>
            <w:r w:rsidRPr="006D3E70">
              <w:rPr>
                <w:lang w:val="fr-FR"/>
              </w:rPr>
              <w:t>–25</w:t>
            </w:r>
          </w:p>
        </w:tc>
      </w:tr>
      <w:tr w:rsidR="00532249" w:rsidRPr="006D3E70" w14:paraId="17A0A438" w14:textId="77777777" w:rsidTr="009B33D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jc w:val="center"/>
        </w:trPr>
        <w:tc>
          <w:tcPr>
            <w:tcW w:w="9639" w:type="dxa"/>
            <w:gridSpan w:val="4"/>
            <w:tcBorders>
              <w:top w:val="single" w:sz="6" w:space="0" w:color="auto"/>
              <w:left w:val="nil"/>
              <w:bottom w:val="nil"/>
              <w:right w:val="nil"/>
            </w:tcBorders>
          </w:tcPr>
          <w:p w14:paraId="051F524F" w14:textId="1B4B8DDE" w:rsidR="00532249" w:rsidRPr="006D3E70" w:rsidRDefault="00532249" w:rsidP="009B33DD">
            <w:pPr>
              <w:pStyle w:val="Tablelegend"/>
              <w:rPr>
                <w:lang w:val="fr-FR"/>
              </w:rPr>
            </w:pPr>
            <w:r w:rsidRPr="006D3E70">
              <w:rPr>
                <w:lang w:val="fr-FR"/>
              </w:rPr>
              <w:t>Pour les fréquences de transition, les limites inférieures indiquées dans le Tableau 6 s</w:t>
            </w:r>
            <w:r w:rsidR="00324C7C" w:rsidRPr="006D3E70">
              <w:rPr>
                <w:lang w:val="fr-FR"/>
              </w:rPr>
              <w:t>'</w:t>
            </w:r>
            <w:r w:rsidRPr="006D3E70">
              <w:rPr>
                <w:lang w:val="fr-FR"/>
              </w:rPr>
              <w:t>appliquent.</w:t>
            </w:r>
          </w:p>
          <w:p w14:paraId="1DA54B43" w14:textId="77777777" w:rsidR="00532249" w:rsidRPr="006D3E70" w:rsidRDefault="00532249" w:rsidP="009B33DD">
            <w:pPr>
              <w:pStyle w:val="Tablelegend"/>
              <w:rPr>
                <w:lang w:val="fr-FR"/>
              </w:rPr>
            </w:pPr>
            <w:r w:rsidRPr="006D3E70">
              <w:rPr>
                <w:vertAlign w:val="superscript"/>
                <w:lang w:val="fr-FR"/>
              </w:rPr>
              <w:t>(1)</w:t>
            </w:r>
            <w:r w:rsidRPr="006D3E70">
              <w:rPr>
                <w:lang w:val="fr-FR"/>
              </w:rPr>
              <w:tab/>
              <w:t>Limites de quasi-crête.</w:t>
            </w:r>
          </w:p>
          <w:p w14:paraId="69450368" w14:textId="77777777" w:rsidR="00532249" w:rsidRPr="006D3E70" w:rsidRDefault="00532249" w:rsidP="009B33DD">
            <w:pPr>
              <w:pStyle w:val="Tablelegend"/>
              <w:rPr>
                <w:lang w:val="fr-FR"/>
              </w:rPr>
            </w:pPr>
            <w:r w:rsidRPr="006D3E70">
              <w:rPr>
                <w:vertAlign w:val="superscript"/>
                <w:lang w:val="fr-FR"/>
              </w:rPr>
              <w:t>(2)</w:t>
            </w:r>
            <w:r w:rsidRPr="006D3E70">
              <w:rPr>
                <w:lang w:val="fr-FR"/>
              </w:rPr>
              <w:tab/>
              <w:t>Limites de crête.</w:t>
            </w:r>
          </w:p>
        </w:tc>
      </w:tr>
    </w:tbl>
    <w:p w14:paraId="08C8C05B" w14:textId="77777777" w:rsidR="00532249" w:rsidRPr="006D3E70" w:rsidRDefault="00532249" w:rsidP="00532249">
      <w:pPr>
        <w:pStyle w:val="Tablefin"/>
        <w:rPr>
          <w:lang w:val="fr-FR"/>
        </w:rPr>
      </w:pPr>
    </w:p>
    <w:p w14:paraId="18880587" w14:textId="4048F3A9" w:rsidR="00532249" w:rsidRPr="006D3E70" w:rsidRDefault="00532249" w:rsidP="00532249">
      <w:pPr>
        <w:rPr>
          <w:lang w:val="fr-FR"/>
        </w:rPr>
      </w:pPr>
      <w:r w:rsidRPr="006D3E70">
        <w:rPr>
          <w:lang w:val="fr-FR"/>
        </w:rPr>
        <w:t>Les p.i.r.e. correspondantes sont indiquées pour information: on suppose que le champ maximal doit être mesuré dans une chambre semi-anéchoïde ou sur un site d</w:t>
      </w:r>
      <w:r w:rsidR="00324C7C" w:rsidRPr="006D3E70">
        <w:rPr>
          <w:lang w:val="fr-FR"/>
        </w:rPr>
        <w:t>'</w:t>
      </w:r>
      <w:r w:rsidRPr="006D3E70">
        <w:rPr>
          <w:lang w:val="fr-FR"/>
        </w:rPr>
        <w:t>essai en espace libre, conformément à la méthode de mesure adoptée par le CISPR en dessous de 1 GHz. La valeur obtenue est supérieure d</w:t>
      </w:r>
      <w:r w:rsidR="00324C7C" w:rsidRPr="006D3E70">
        <w:rPr>
          <w:lang w:val="fr-FR"/>
        </w:rPr>
        <w:t>'</w:t>
      </w:r>
      <w:r w:rsidRPr="006D3E70">
        <w:rPr>
          <w:lang w:val="fr-FR"/>
        </w:rPr>
        <w:t>approximativement 4 dB aux mesures obtenues en espace libre.</w:t>
      </w:r>
    </w:p>
    <w:p w14:paraId="3548D4CD" w14:textId="77777777" w:rsidR="00532249" w:rsidRPr="006D3E70" w:rsidRDefault="00532249" w:rsidP="00532249">
      <w:pPr>
        <w:pStyle w:val="Heading1"/>
        <w:rPr>
          <w:rFonts w:eastAsia="Arial Unicode MS"/>
          <w:lang w:val="fr-FR"/>
        </w:rPr>
      </w:pPr>
      <w:r w:rsidRPr="006D3E70">
        <w:rPr>
          <w:lang w:val="fr-FR"/>
        </w:rPr>
        <w:t>5</w:t>
      </w:r>
      <w:r w:rsidRPr="006D3E70">
        <w:rPr>
          <w:lang w:val="fr-FR"/>
        </w:rPr>
        <w:tab/>
        <w:t>Méthode de mesure</w:t>
      </w:r>
    </w:p>
    <w:p w14:paraId="46187E42" w14:textId="419E1282" w:rsidR="00532249" w:rsidRPr="006D3E70" w:rsidRDefault="00532249" w:rsidP="00532249">
      <w:pPr>
        <w:rPr>
          <w:lang w:val="fr-FR"/>
        </w:rPr>
      </w:pPr>
      <w:r w:rsidRPr="006D3E70">
        <w:rPr>
          <w:lang w:val="fr-FR"/>
        </w:rPr>
        <w:t>Les méthodes de mesure des rayonnements dans le domaine des rayonnements non essentiels sont décrites en détail dans l</w:t>
      </w:r>
      <w:r w:rsidR="00324C7C" w:rsidRPr="006D3E70">
        <w:rPr>
          <w:lang w:val="fr-FR"/>
        </w:rPr>
        <w:t>'</w:t>
      </w:r>
      <w:r w:rsidRPr="006D3E70">
        <w:rPr>
          <w:lang w:val="fr-FR"/>
        </w:rPr>
        <w:t>Annexe 2.</w:t>
      </w:r>
    </w:p>
    <w:p w14:paraId="34B09640" w14:textId="77777777" w:rsidR="00532249" w:rsidRPr="006D3E70" w:rsidRDefault="00532249" w:rsidP="00834B0C">
      <w:pPr>
        <w:pStyle w:val="Heading1"/>
        <w:rPr>
          <w:rFonts w:eastAsia="Arial Unicode MS"/>
          <w:lang w:val="fr-FR"/>
        </w:rPr>
      </w:pPr>
      <w:r w:rsidRPr="006D3E70">
        <w:rPr>
          <w:lang w:val="fr-FR"/>
        </w:rPr>
        <w:lastRenderedPageBreak/>
        <w:t>6</w:t>
      </w:r>
      <w:r w:rsidRPr="006D3E70">
        <w:rPr>
          <w:lang w:val="fr-FR"/>
        </w:rPr>
        <w:tab/>
        <w:t>Protection du service de radioastronomie et des services spatiaux utilisant des capteurs passifs</w:t>
      </w:r>
    </w:p>
    <w:p w14:paraId="7580DAC8" w14:textId="6F64E701" w:rsidR="00532249" w:rsidRPr="006D3E70" w:rsidRDefault="00532249" w:rsidP="00532249">
      <w:pPr>
        <w:rPr>
          <w:lang w:val="fr-FR"/>
        </w:rPr>
      </w:pPr>
      <w:r w:rsidRPr="006D3E70">
        <w:rPr>
          <w:lang w:val="fr-FR"/>
        </w:rPr>
        <w:t>Il convient de tenir compte des critères de protection pour le service de radioastronomie et les services d</w:t>
      </w:r>
      <w:r w:rsidR="00324C7C" w:rsidRPr="006D3E70">
        <w:rPr>
          <w:lang w:val="fr-FR"/>
        </w:rPr>
        <w:t>'</w:t>
      </w:r>
      <w:r w:rsidRPr="006D3E70">
        <w:rPr>
          <w:lang w:val="fr-FR"/>
        </w:rPr>
        <w:t>exploration de la Terre par satellite et de météorologie par satellite utilisant des capteurs passifs lorsqu</w:t>
      </w:r>
      <w:r w:rsidR="00324C7C" w:rsidRPr="006D3E70">
        <w:rPr>
          <w:lang w:val="fr-FR"/>
        </w:rPr>
        <w:t>'</w:t>
      </w:r>
      <w:r w:rsidRPr="006D3E70">
        <w:rPr>
          <w:lang w:val="fr-FR"/>
        </w:rPr>
        <w:t>on applique des limites aux rayonnements dans le domaine des rayonnements non essentiels. Tous ces services peuvent être extrêmement sensibles au brouillage.</w:t>
      </w:r>
    </w:p>
    <w:p w14:paraId="6B561A13" w14:textId="77777777" w:rsidR="00532249" w:rsidRPr="006D3E70" w:rsidRDefault="00532249" w:rsidP="00532249">
      <w:pPr>
        <w:pStyle w:val="Heading2"/>
        <w:rPr>
          <w:rFonts w:eastAsia="Arial Unicode MS"/>
          <w:lang w:val="fr-FR"/>
        </w:rPr>
      </w:pPr>
      <w:r w:rsidRPr="006D3E70">
        <w:rPr>
          <w:lang w:val="fr-FR"/>
        </w:rPr>
        <w:t>6.1</w:t>
      </w:r>
      <w:r w:rsidRPr="006D3E70">
        <w:rPr>
          <w:lang w:val="fr-FR"/>
        </w:rPr>
        <w:tab/>
        <w:t>Service de radioastronomie</w:t>
      </w:r>
    </w:p>
    <w:p w14:paraId="613328A3" w14:textId="21B38AD1" w:rsidR="00532249" w:rsidRPr="006D3E70" w:rsidRDefault="00532249" w:rsidP="00532249">
      <w:pPr>
        <w:rPr>
          <w:lang w:val="fr-FR"/>
        </w:rPr>
      </w:pPr>
      <w:r w:rsidRPr="006D3E70">
        <w:rPr>
          <w:lang w:val="fr-FR"/>
        </w:rPr>
        <w:t>Il convient de porter une attention toute particulière au service de radioastronomie, du fait de son caractère passif et de la vulnérabilité de ses mesures, en ce qui concerne l</w:t>
      </w:r>
      <w:r w:rsidR="00324C7C" w:rsidRPr="006D3E70">
        <w:rPr>
          <w:lang w:val="fr-FR"/>
        </w:rPr>
        <w:t>'</w:t>
      </w:r>
      <w:r w:rsidRPr="006D3E70">
        <w:rPr>
          <w:lang w:val="fr-FR"/>
        </w:rPr>
        <w:t>incidence des rayonnements dans le domaine des rayonnements non essentiels; les radioastronomes relèvent couramment des rapports signal/bruit variant entre –30 et –60 dB en utilisant de longs temps d</w:t>
      </w:r>
      <w:r w:rsidR="00324C7C" w:rsidRPr="006D3E70">
        <w:rPr>
          <w:lang w:val="fr-FR"/>
        </w:rPr>
        <w:t>'</w:t>
      </w:r>
      <w:r w:rsidRPr="006D3E70">
        <w:rPr>
          <w:lang w:val="fr-FR"/>
        </w:rPr>
        <w:t>intégration. Les administrations sont instamment priées, dans la mesure du possible, de veiller à éviter les rayonnements dans le domaine des rayonnements non essentiels susceptibles de causer des brouillages au service de radioastronomie exploité conformément à l</w:t>
      </w:r>
      <w:r w:rsidR="00324C7C" w:rsidRPr="006D3E70">
        <w:rPr>
          <w:lang w:val="fr-FR"/>
        </w:rPr>
        <w:t>'</w:t>
      </w:r>
      <w:r w:rsidRPr="006D3E70">
        <w:rPr>
          <w:lang w:val="fr-FR"/>
        </w:rPr>
        <w:t xml:space="preserve">Article </w:t>
      </w:r>
      <w:r w:rsidRPr="006D3E70">
        <w:rPr>
          <w:b/>
          <w:bCs/>
          <w:lang w:val="fr-FR"/>
        </w:rPr>
        <w:t>29</w:t>
      </w:r>
      <w:r w:rsidRPr="006D3E70">
        <w:rPr>
          <w:lang w:val="fr-FR"/>
        </w:rPr>
        <w:t xml:space="preserve"> du RR. Lorsqu</w:t>
      </w:r>
      <w:r w:rsidR="00324C7C" w:rsidRPr="006D3E70">
        <w:rPr>
          <w:lang w:val="fr-FR"/>
        </w:rPr>
        <w:t>'</w:t>
      </w:r>
      <w:r w:rsidRPr="006D3E70">
        <w:rPr>
          <w:lang w:val="fr-FR"/>
        </w:rPr>
        <w:t>elles mettent en service de nouveaux systèmes par satellite, les administrations sont priées de noter que les émetteurs placés à bord de satellites peuvent être à l</w:t>
      </w:r>
      <w:r w:rsidR="00324C7C" w:rsidRPr="006D3E70">
        <w:rPr>
          <w:lang w:val="fr-FR"/>
        </w:rPr>
        <w:t>'</w:t>
      </w:r>
      <w:r w:rsidRPr="006D3E70">
        <w:rPr>
          <w:lang w:val="fr-FR"/>
        </w:rPr>
        <w:t>origine de graves brouillages causés au service de radioastronomie du fait des rayonnements non essentiels et des émissions hors bande qu</w:t>
      </w:r>
      <w:r w:rsidR="00324C7C" w:rsidRPr="006D3E70">
        <w:rPr>
          <w:lang w:val="fr-FR"/>
        </w:rPr>
        <w:t>'</w:t>
      </w:r>
      <w:r w:rsidRPr="006D3E70">
        <w:rPr>
          <w:lang w:val="fr-FR"/>
        </w:rPr>
        <w:t>ils produisent, y compris dans les bandes latérales éloignées résultant de l</w:t>
      </w:r>
      <w:r w:rsidR="00324C7C" w:rsidRPr="006D3E70">
        <w:rPr>
          <w:lang w:val="fr-FR"/>
        </w:rPr>
        <w:t>'</w:t>
      </w:r>
      <w:r w:rsidRPr="006D3E70">
        <w:rPr>
          <w:lang w:val="fr-FR"/>
        </w:rPr>
        <w:t>utilisation des techniques de modulation numérique. Il convient de tenir compte des seuils de brouillage pour la radioastronomie précisés dans la Recommandation UIT-R RA.769. Les seuils présentés dans les Tableaux 1 à 3 de cette même Recommandation sont indiqués pour référence et ne constituent pas des limites impératives applicables dans le cas général.</w:t>
      </w:r>
    </w:p>
    <w:p w14:paraId="02AAD80D" w14:textId="2C1585A1" w:rsidR="00532249" w:rsidRPr="006D3E70" w:rsidRDefault="00532249" w:rsidP="00532249">
      <w:pPr>
        <w:rPr>
          <w:lang w:val="fr-FR"/>
        </w:rPr>
      </w:pPr>
      <w:r w:rsidRPr="006D3E70">
        <w:rPr>
          <w:lang w:val="fr-FR"/>
        </w:rPr>
        <w:t>Pour les émetteurs placés à la surface de la Terre, si les limites fixées aux rayonnements non désirés n</w:t>
      </w:r>
      <w:r w:rsidR="00324C7C" w:rsidRPr="006D3E70">
        <w:rPr>
          <w:lang w:val="fr-FR"/>
        </w:rPr>
        <w:t>'</w:t>
      </w:r>
      <w:r w:rsidRPr="006D3E70">
        <w:rPr>
          <w:lang w:val="fr-FR"/>
        </w:rPr>
        <w:t>offrent pas une protection suffisante pour le service de radioastronomie, on peut quelquefois atténuer les brouillages, par exemple en adoptant les solutions suivantes: effet d</w:t>
      </w:r>
      <w:r w:rsidR="00324C7C" w:rsidRPr="006D3E70">
        <w:rPr>
          <w:lang w:val="fr-FR"/>
        </w:rPr>
        <w:t>'</w:t>
      </w:r>
      <w:r w:rsidRPr="006D3E70">
        <w:rPr>
          <w:lang w:val="fr-FR"/>
        </w:rPr>
        <w:t>écran du terrain, création par les administrations de zones de coordination, de protection ou d</w:t>
      </w:r>
      <w:r w:rsidR="00324C7C" w:rsidRPr="006D3E70">
        <w:rPr>
          <w:lang w:val="fr-FR"/>
        </w:rPr>
        <w:t>'</w:t>
      </w:r>
      <w:r w:rsidRPr="006D3E70">
        <w:rPr>
          <w:lang w:val="fr-FR"/>
        </w:rPr>
        <w:t>exclusion et respect d</w:t>
      </w:r>
      <w:r w:rsidR="00324C7C" w:rsidRPr="006D3E70">
        <w:rPr>
          <w:lang w:val="fr-FR"/>
        </w:rPr>
        <w:t>'</w:t>
      </w:r>
      <w:r w:rsidRPr="006D3E70">
        <w:rPr>
          <w:lang w:val="fr-FR"/>
        </w:rPr>
        <w:t xml:space="preserve">autres dispositions des Articles </w:t>
      </w:r>
      <w:r w:rsidRPr="006D3E70">
        <w:rPr>
          <w:b/>
          <w:bCs/>
          <w:lang w:val="fr-FR"/>
        </w:rPr>
        <w:t>15</w:t>
      </w:r>
      <w:r w:rsidRPr="006D3E70">
        <w:rPr>
          <w:lang w:val="fr-FR"/>
        </w:rPr>
        <w:t xml:space="preserve"> et </w:t>
      </w:r>
      <w:r w:rsidRPr="006D3E70">
        <w:rPr>
          <w:b/>
          <w:bCs/>
          <w:lang w:val="fr-FR"/>
        </w:rPr>
        <w:t>29</w:t>
      </w:r>
      <w:r w:rsidRPr="006D3E70">
        <w:rPr>
          <w:lang w:val="fr-FR"/>
        </w:rPr>
        <w:t xml:space="preserve"> du RR relatifs aux observatoires de radioastronomie.</w:t>
      </w:r>
    </w:p>
    <w:p w14:paraId="6F2F0E3C" w14:textId="2C81AC4E" w:rsidR="00532249" w:rsidRPr="006D3E70" w:rsidRDefault="00532249" w:rsidP="00532249">
      <w:pPr>
        <w:pStyle w:val="Heading2"/>
        <w:rPr>
          <w:rFonts w:eastAsia="Arial Unicode MS"/>
          <w:lang w:val="fr-FR"/>
        </w:rPr>
      </w:pPr>
      <w:r w:rsidRPr="006D3E70">
        <w:rPr>
          <w:lang w:val="fr-FR"/>
        </w:rPr>
        <w:t>6.2</w:t>
      </w:r>
      <w:r w:rsidRPr="006D3E70">
        <w:rPr>
          <w:lang w:val="fr-FR"/>
        </w:rPr>
        <w:tab/>
        <w:t>Service d</w:t>
      </w:r>
      <w:r w:rsidR="00324C7C" w:rsidRPr="006D3E70">
        <w:rPr>
          <w:lang w:val="fr-FR"/>
        </w:rPr>
        <w:t>'</w:t>
      </w:r>
      <w:r w:rsidRPr="006D3E70">
        <w:rPr>
          <w:lang w:val="fr-FR"/>
        </w:rPr>
        <w:t>exploration de la Terre par satellite et service de météorologie par satellite utilisant des capteurs passifs</w:t>
      </w:r>
    </w:p>
    <w:p w14:paraId="7B4217BF" w14:textId="5F12C03F" w:rsidR="00532249" w:rsidRPr="006D3E70" w:rsidRDefault="00532249" w:rsidP="00532249">
      <w:pPr>
        <w:rPr>
          <w:lang w:val="fr-FR"/>
        </w:rPr>
      </w:pPr>
      <w:r w:rsidRPr="006D3E70">
        <w:rPr>
          <w:lang w:val="fr-FR"/>
        </w:rPr>
        <w:t>La télédétection passive à partir de satellites joue un rôle de plus en plus important pour la collecte de paramètres relatifs à l</w:t>
      </w:r>
      <w:r w:rsidR="00324C7C" w:rsidRPr="006D3E70">
        <w:rPr>
          <w:lang w:val="fr-FR"/>
        </w:rPr>
        <w:t>'</w:t>
      </w:r>
      <w:r w:rsidRPr="006D3E70">
        <w:rPr>
          <w:lang w:val="fr-FR"/>
        </w:rPr>
        <w:t>atmosphère (par exemple, température, teneur en vapeur d</w:t>
      </w:r>
      <w:r w:rsidR="00324C7C" w:rsidRPr="006D3E70">
        <w:rPr>
          <w:lang w:val="fr-FR"/>
        </w:rPr>
        <w:t>'</w:t>
      </w:r>
      <w:r w:rsidRPr="006D3E70">
        <w:rPr>
          <w:lang w:val="fr-FR"/>
        </w:rPr>
        <w:t>eau, teneur en ozone et en autres gaz) ainsi que pour l</w:t>
      </w:r>
      <w:r w:rsidR="00324C7C" w:rsidRPr="006D3E70">
        <w:rPr>
          <w:lang w:val="fr-FR"/>
        </w:rPr>
        <w:t>'</w:t>
      </w:r>
      <w:r w:rsidRPr="006D3E70">
        <w:rPr>
          <w:lang w:val="fr-FR"/>
        </w:rPr>
        <w:t>exploration de la surface de la Terre. La Recommandation UIT-R RS.2017 précise les seuils de brouillage pour la télédétection passive par satellite. Les seuils présentés dans le Tableau 2 de cette même Recommandation sont donnés à des fins de référence et n</w:t>
      </w:r>
      <w:r w:rsidR="00324C7C" w:rsidRPr="006D3E70">
        <w:rPr>
          <w:lang w:val="fr-FR"/>
        </w:rPr>
        <w:t>'</w:t>
      </w:r>
      <w:r w:rsidRPr="006D3E70">
        <w:rPr>
          <w:lang w:val="fr-FR"/>
        </w:rPr>
        <w:t>ont pas un caractère obligatoire.</w:t>
      </w:r>
    </w:p>
    <w:p w14:paraId="6752D59E" w14:textId="77777777" w:rsidR="00834B0C" w:rsidRPr="006D3E70" w:rsidRDefault="00834B0C" w:rsidP="00532249">
      <w:pPr>
        <w:rPr>
          <w:lang w:val="fr-FR"/>
        </w:rPr>
      </w:pPr>
    </w:p>
    <w:p w14:paraId="2442C4C0" w14:textId="77777777" w:rsidR="00834B0C" w:rsidRPr="006D3E70" w:rsidRDefault="00834B0C" w:rsidP="00532249">
      <w:pPr>
        <w:rPr>
          <w:lang w:val="fr-FR"/>
        </w:rPr>
      </w:pPr>
    </w:p>
    <w:p w14:paraId="5EAD67C7" w14:textId="77777777" w:rsidR="00532249" w:rsidRPr="006D3E70" w:rsidRDefault="00532249" w:rsidP="00F44007">
      <w:pPr>
        <w:pStyle w:val="AnnexNoTitle"/>
        <w:outlineLvl w:val="0"/>
        <w:rPr>
          <w:lang w:val="fr-FR"/>
        </w:rPr>
      </w:pPr>
      <w:r w:rsidRPr="006D3E70">
        <w:rPr>
          <w:lang w:val="fr-FR"/>
        </w:rPr>
        <w:lastRenderedPageBreak/>
        <w:t>Annexe 1</w:t>
      </w:r>
      <w:r w:rsidRPr="006D3E70">
        <w:rPr>
          <w:lang w:val="fr-FR"/>
        </w:rPr>
        <w:br/>
      </w:r>
      <w:r w:rsidRPr="006D3E70">
        <w:rPr>
          <w:lang w:val="fr-FR"/>
        </w:rPr>
        <w:br/>
        <w:t>Paramètres représentant les rayonnements dans le domaine</w:t>
      </w:r>
      <w:r w:rsidRPr="006D3E70">
        <w:rPr>
          <w:lang w:val="fr-FR"/>
        </w:rPr>
        <w:br/>
        <w:t>des rayonnements non essentiels et unités associées</w:t>
      </w:r>
    </w:p>
    <w:p w14:paraId="3D73260B" w14:textId="77777777" w:rsidR="00532249" w:rsidRPr="006D3E70" w:rsidRDefault="00532249" w:rsidP="00532249">
      <w:pPr>
        <w:pStyle w:val="Heading1"/>
        <w:rPr>
          <w:rFonts w:eastAsia="Arial Unicode MS"/>
          <w:lang w:val="fr-FR"/>
        </w:rPr>
      </w:pPr>
      <w:r w:rsidRPr="006D3E70">
        <w:rPr>
          <w:lang w:val="fr-FR"/>
        </w:rPr>
        <w:t>1</w:t>
      </w:r>
      <w:r w:rsidRPr="006D3E70">
        <w:rPr>
          <w:lang w:val="fr-FR"/>
        </w:rPr>
        <w:tab/>
        <w:t>Paramètres représentant les rayonnements dans le domaine des rayonnements non essentiels</w:t>
      </w:r>
    </w:p>
    <w:p w14:paraId="05874B4B" w14:textId="026DC870" w:rsidR="00532249" w:rsidRPr="006D3E70" w:rsidRDefault="00532249" w:rsidP="00532249">
      <w:pPr>
        <w:rPr>
          <w:lang w:val="fr-FR"/>
        </w:rPr>
      </w:pPr>
      <w:r w:rsidRPr="006D3E70">
        <w:rPr>
          <w:lang w:val="fr-FR"/>
        </w:rPr>
        <w:t>Les niveaux de rayonnements dans le domaine des rayonnements non essentiels s</w:t>
      </w:r>
      <w:r w:rsidR="00324C7C" w:rsidRPr="006D3E70">
        <w:rPr>
          <w:lang w:val="fr-FR"/>
        </w:rPr>
        <w:t>'</w:t>
      </w:r>
      <w:r w:rsidRPr="006D3E70">
        <w:rPr>
          <w:lang w:val="fr-FR"/>
        </w:rPr>
        <w:t>expriment généralement en termes de puissance ou de champ mesurés à une distance donnée ou en termes de puissance surfacique également mesurée à une certaine distance, toutes ces données étant mesurées dans une largeur de bande précise.</w:t>
      </w:r>
    </w:p>
    <w:p w14:paraId="326020D0" w14:textId="41CD7B5E" w:rsidR="00532249" w:rsidRPr="006D3E70" w:rsidRDefault="00532249" w:rsidP="00532249">
      <w:pPr>
        <w:rPr>
          <w:lang w:val="fr-FR"/>
        </w:rPr>
      </w:pPr>
      <w:r w:rsidRPr="006D3E70">
        <w:rPr>
          <w:lang w:val="fr-FR"/>
        </w:rPr>
        <w:t>Même si le champ mesuré à une certaine distance de l</w:t>
      </w:r>
      <w:r w:rsidR="00324C7C" w:rsidRPr="006D3E70">
        <w:rPr>
          <w:lang w:val="fr-FR"/>
        </w:rPr>
        <w:t>'</w:t>
      </w:r>
      <w:r w:rsidRPr="006D3E70">
        <w:rPr>
          <w:lang w:val="fr-FR"/>
        </w:rPr>
        <w:t>antenne d</w:t>
      </w:r>
      <w:r w:rsidR="00324C7C" w:rsidRPr="006D3E70">
        <w:rPr>
          <w:lang w:val="fr-FR"/>
        </w:rPr>
        <w:t>'</w:t>
      </w:r>
      <w:r w:rsidRPr="006D3E70">
        <w:rPr>
          <w:lang w:val="fr-FR"/>
        </w:rPr>
        <w:t>émission est la valeur la plus importante qui permet d</w:t>
      </w:r>
      <w:r w:rsidR="00324C7C" w:rsidRPr="006D3E70">
        <w:rPr>
          <w:lang w:val="fr-FR"/>
        </w:rPr>
        <w:t>'</w:t>
      </w:r>
      <w:r w:rsidRPr="006D3E70">
        <w:rPr>
          <w:lang w:val="fr-FR"/>
        </w:rPr>
        <w:t>évaluer et de mesurer les rayonnements du domaine des rayonnements non essentiels, on considère comme suffisant pour le moment, de définir les paramètres de puissance des émetteurs, dans le cadre des études relatives aux brouillages radioélectriques et à la compatibilité électromagnétique.</w:t>
      </w:r>
    </w:p>
    <w:p w14:paraId="2CD7979E" w14:textId="77777777" w:rsidR="00532249" w:rsidRPr="006D3E70" w:rsidRDefault="00532249" w:rsidP="00532249">
      <w:pPr>
        <w:pStyle w:val="Heading2"/>
        <w:rPr>
          <w:rFonts w:eastAsia="Arial Unicode MS"/>
          <w:lang w:val="fr-FR"/>
        </w:rPr>
      </w:pPr>
      <w:r w:rsidRPr="006D3E70">
        <w:rPr>
          <w:lang w:val="fr-FR"/>
        </w:rPr>
        <w:t>1.1</w:t>
      </w:r>
      <w:r w:rsidRPr="006D3E70">
        <w:rPr>
          <w:lang w:val="fr-FR"/>
        </w:rPr>
        <w:tab/>
        <w:t>Valeurs de puissance</w:t>
      </w:r>
    </w:p>
    <w:p w14:paraId="65E049E2" w14:textId="501E0553" w:rsidR="00532249" w:rsidRPr="006D3E70" w:rsidRDefault="00532249" w:rsidP="00532249">
      <w:pPr>
        <w:rPr>
          <w:lang w:val="fr-FR"/>
        </w:rPr>
      </w:pPr>
      <w:r w:rsidRPr="006D3E70">
        <w:rPr>
          <w:lang w:val="fr-FR"/>
        </w:rPr>
        <w:t>De nombreux paramètres relatifs à la puissance rayonnée servent à évaluer les rayonnements dans le domaine des rayonnements non essentiels. Ils présentent tous des avantages et des inconvénients liés aux méthodes actuelles de mesure ainsi qu</w:t>
      </w:r>
      <w:r w:rsidR="00324C7C" w:rsidRPr="006D3E70">
        <w:rPr>
          <w:lang w:val="fr-FR"/>
        </w:rPr>
        <w:t>'</w:t>
      </w:r>
      <w:r w:rsidRPr="006D3E70">
        <w:rPr>
          <w:lang w:val="fr-FR"/>
        </w:rPr>
        <w:t>à l</w:t>
      </w:r>
      <w:r w:rsidR="00324C7C" w:rsidRPr="006D3E70">
        <w:rPr>
          <w:lang w:val="fr-FR"/>
        </w:rPr>
        <w:t>'</w:t>
      </w:r>
      <w:r w:rsidRPr="006D3E70">
        <w:rPr>
          <w:lang w:val="fr-FR"/>
        </w:rPr>
        <w:t>interprétation des valeurs obtenues.</w:t>
      </w:r>
    </w:p>
    <w:p w14:paraId="687F59DC" w14:textId="7EFD0524" w:rsidR="00532249" w:rsidRPr="006D3E70" w:rsidRDefault="00532249" w:rsidP="00532249">
      <w:pPr>
        <w:pStyle w:val="Heading3"/>
        <w:rPr>
          <w:rFonts w:eastAsia="Arial Unicode MS"/>
          <w:lang w:val="fr-FR"/>
        </w:rPr>
      </w:pPr>
      <w:r w:rsidRPr="006D3E70">
        <w:rPr>
          <w:lang w:val="fr-FR"/>
        </w:rPr>
        <w:t>1.1.1</w:t>
      </w:r>
      <w:r w:rsidRPr="006D3E70">
        <w:rPr>
          <w:lang w:val="fr-FR"/>
        </w:rPr>
        <w:tab/>
        <w:t>Puissance appliquée à l</w:t>
      </w:r>
      <w:r w:rsidR="00324C7C" w:rsidRPr="006D3E70">
        <w:rPr>
          <w:lang w:val="fr-FR"/>
        </w:rPr>
        <w:t>'</w:t>
      </w:r>
      <w:r w:rsidRPr="006D3E70">
        <w:rPr>
          <w:lang w:val="fr-FR"/>
        </w:rPr>
        <w:t>antenne (p.a.a.)</w:t>
      </w:r>
    </w:p>
    <w:p w14:paraId="78A7494D" w14:textId="02CCEF79" w:rsidR="00532249" w:rsidRPr="006D3E70" w:rsidRDefault="00532249" w:rsidP="00532249">
      <w:pPr>
        <w:rPr>
          <w:lang w:val="fr-FR"/>
        </w:rPr>
      </w:pPr>
      <w:r w:rsidRPr="006D3E70">
        <w:rPr>
          <w:lang w:val="fr-FR"/>
        </w:rPr>
        <w:t>Cette puissance, qui est souvent utilisée dans les fréquences inférieures à 30 MHz ainsi que pour les équipements ayant des fréquences supérieures à 30 MHz et munis d</w:t>
      </w:r>
      <w:r w:rsidR="00324C7C" w:rsidRPr="006D3E70">
        <w:rPr>
          <w:lang w:val="fr-FR"/>
        </w:rPr>
        <w:t>'</w:t>
      </w:r>
      <w:r w:rsidRPr="006D3E70">
        <w:rPr>
          <w:lang w:val="fr-FR"/>
        </w:rPr>
        <w:t>un connecteur d</w:t>
      </w:r>
      <w:r w:rsidR="00324C7C" w:rsidRPr="006D3E70">
        <w:rPr>
          <w:lang w:val="fr-FR"/>
        </w:rPr>
        <w:t>'</w:t>
      </w:r>
      <w:r w:rsidRPr="006D3E70">
        <w:rPr>
          <w:lang w:val="fr-FR"/>
        </w:rPr>
        <w:t>antenne, est généralement facile à mesurer, sauf dans le cas où un émetteur est équipé d</w:t>
      </w:r>
      <w:r w:rsidR="00324C7C" w:rsidRPr="006D3E70">
        <w:rPr>
          <w:lang w:val="fr-FR"/>
        </w:rPr>
        <w:t>'</w:t>
      </w:r>
      <w:r w:rsidRPr="006D3E70">
        <w:rPr>
          <w:lang w:val="fr-FR"/>
        </w:rPr>
        <w:t>une antenne intégrale ou encore dans le cas des systèmes à basse ou très basse fréquence et à puissance élevée.</w:t>
      </w:r>
    </w:p>
    <w:p w14:paraId="44B3FCE4" w14:textId="68D3A259" w:rsidR="00532249" w:rsidRPr="006D3E70" w:rsidRDefault="00532249" w:rsidP="00532249">
      <w:pPr>
        <w:rPr>
          <w:lang w:val="fr-FR"/>
        </w:rPr>
      </w:pPr>
      <w:r w:rsidRPr="006D3E70">
        <w:rPr>
          <w:lang w:val="fr-FR"/>
        </w:rPr>
        <w:t>Cette mesure de puissance représente la capacité réelle de l</w:t>
      </w:r>
      <w:r w:rsidR="00324C7C" w:rsidRPr="006D3E70">
        <w:rPr>
          <w:lang w:val="fr-FR"/>
        </w:rPr>
        <w:t>'</w:t>
      </w:r>
      <w:r w:rsidRPr="006D3E70">
        <w:rPr>
          <w:lang w:val="fr-FR"/>
        </w:rPr>
        <w:t>émetteur en termes d</w:t>
      </w:r>
      <w:r w:rsidR="00324C7C" w:rsidRPr="006D3E70">
        <w:rPr>
          <w:lang w:val="fr-FR"/>
        </w:rPr>
        <w:t>'</w:t>
      </w:r>
      <w:r w:rsidRPr="006D3E70">
        <w:rPr>
          <w:lang w:val="fr-FR"/>
        </w:rPr>
        <w:t>alimentation de l</w:t>
      </w:r>
      <w:r w:rsidR="00324C7C" w:rsidRPr="006D3E70">
        <w:rPr>
          <w:lang w:val="fr-FR"/>
        </w:rPr>
        <w:t>'</w:t>
      </w:r>
      <w:r w:rsidRPr="006D3E70">
        <w:rPr>
          <w:lang w:val="fr-FR"/>
        </w:rPr>
        <w:t>antenne en rayonnements non essentiels, mais ne tient pas compte de l</w:t>
      </w:r>
      <w:r w:rsidR="00324C7C" w:rsidRPr="006D3E70">
        <w:rPr>
          <w:lang w:val="fr-FR"/>
        </w:rPr>
        <w:t>'</w:t>
      </w:r>
      <w:r w:rsidRPr="006D3E70">
        <w:rPr>
          <w:lang w:val="fr-FR"/>
        </w:rPr>
        <w:t>antenne proprement dite et de sa capacité à émettre à des fréquences autres que celles pour lesquelles elle a été conçue.</w:t>
      </w:r>
    </w:p>
    <w:p w14:paraId="47F9A2A6" w14:textId="77777777" w:rsidR="00532249" w:rsidRPr="006D3E70" w:rsidRDefault="00532249" w:rsidP="00532249">
      <w:pPr>
        <w:pStyle w:val="Heading3"/>
        <w:rPr>
          <w:rFonts w:eastAsia="Arial Unicode MS"/>
          <w:lang w:val="fr-FR"/>
        </w:rPr>
      </w:pPr>
      <w:r w:rsidRPr="006D3E70">
        <w:rPr>
          <w:lang w:val="fr-FR"/>
        </w:rPr>
        <w:t>1.1.2</w:t>
      </w:r>
      <w:r w:rsidRPr="006D3E70">
        <w:rPr>
          <w:lang w:val="fr-FR"/>
        </w:rPr>
        <w:tab/>
        <w:t>Puissance isotrope rayonnée équivalente (p.i.r.e.)</w:t>
      </w:r>
    </w:p>
    <w:p w14:paraId="4EE1A2C1" w14:textId="3572F52C" w:rsidR="00532249" w:rsidRPr="006D3E70" w:rsidRDefault="00532249" w:rsidP="00532249">
      <w:pPr>
        <w:rPr>
          <w:lang w:val="fr-FR"/>
        </w:rPr>
      </w:pPr>
      <w:r w:rsidRPr="006D3E70">
        <w:rPr>
          <w:lang w:val="fr-FR"/>
        </w:rPr>
        <w:t>Surtout utilisée pour les fréquences supérieures à 30 MHz (et la plupart du temps supérieures à 80 MHz), cette puissance permet de mieux définir la capacité qu</w:t>
      </w:r>
      <w:r w:rsidR="00324C7C" w:rsidRPr="006D3E70">
        <w:rPr>
          <w:lang w:val="fr-FR"/>
        </w:rPr>
        <w:t>'</w:t>
      </w:r>
      <w:r w:rsidRPr="006D3E70">
        <w:rPr>
          <w:lang w:val="fr-FR"/>
        </w:rPr>
        <w:t>a le système émetteur (antenne comprise) d</w:t>
      </w:r>
      <w:r w:rsidR="00324C7C" w:rsidRPr="006D3E70">
        <w:rPr>
          <w:lang w:val="fr-FR"/>
        </w:rPr>
        <w:t>'</w:t>
      </w:r>
      <w:r w:rsidRPr="006D3E70">
        <w:rPr>
          <w:lang w:val="fr-FR"/>
        </w:rPr>
        <w:t>émettre des rayonnements non désirés et éventuellement de causer un brouillage préjudiciable à d</w:t>
      </w:r>
      <w:r w:rsidR="00324C7C" w:rsidRPr="006D3E70">
        <w:rPr>
          <w:lang w:val="fr-FR"/>
        </w:rPr>
        <w:t>'</w:t>
      </w:r>
      <w:r w:rsidRPr="006D3E70">
        <w:rPr>
          <w:lang w:val="fr-FR"/>
        </w:rPr>
        <w:t>autres services de radiocommunication. Il n</w:t>
      </w:r>
      <w:r w:rsidR="00324C7C" w:rsidRPr="006D3E70">
        <w:rPr>
          <w:lang w:val="fr-FR"/>
        </w:rPr>
        <w:t>'</w:t>
      </w:r>
      <w:r w:rsidRPr="006D3E70">
        <w:rPr>
          <w:lang w:val="fr-FR"/>
        </w:rPr>
        <w:t>est pas facile de déduire la relation entre la puissance fournie à la borne ou au connecteur de l</w:t>
      </w:r>
      <w:r w:rsidR="00324C7C" w:rsidRPr="006D3E70">
        <w:rPr>
          <w:lang w:val="fr-FR"/>
        </w:rPr>
        <w:t>'</w:t>
      </w:r>
      <w:r w:rsidRPr="006D3E70">
        <w:rPr>
          <w:lang w:val="fr-FR"/>
        </w:rPr>
        <w:t>antenne et la p.i.r.e., étant donné qu</w:t>
      </w:r>
      <w:r w:rsidR="00324C7C" w:rsidRPr="006D3E70">
        <w:rPr>
          <w:lang w:val="fr-FR"/>
        </w:rPr>
        <w:t>'</w:t>
      </w:r>
      <w:r w:rsidRPr="006D3E70">
        <w:rPr>
          <w:lang w:val="fr-FR"/>
        </w:rPr>
        <w:t>on ne connaît généralement pas les caractéristiques des antennes hors de la bande pour laquelle elles ont été conçues.</w:t>
      </w:r>
    </w:p>
    <w:p w14:paraId="412DA7E5" w14:textId="74AD1FC1" w:rsidR="00532249" w:rsidRPr="006D3E70" w:rsidRDefault="00532249" w:rsidP="00532249">
      <w:pPr>
        <w:rPr>
          <w:lang w:val="fr-FR"/>
        </w:rPr>
      </w:pPr>
      <w:r w:rsidRPr="006D3E70">
        <w:rPr>
          <w:lang w:val="fr-FR"/>
        </w:rPr>
        <w:t>Pour les équipements munis d</w:t>
      </w:r>
      <w:r w:rsidR="00324C7C" w:rsidRPr="006D3E70">
        <w:rPr>
          <w:lang w:val="fr-FR"/>
        </w:rPr>
        <w:t>'</w:t>
      </w:r>
      <w:r w:rsidRPr="006D3E70">
        <w:rPr>
          <w:lang w:val="fr-FR"/>
        </w:rPr>
        <w:t>une antenne intégrale, la p.i.r.e. est le principal paramètre de puissance connu servant à caractériser les rayonnements dans le domaine des rayonnements non essentiels.</w:t>
      </w:r>
    </w:p>
    <w:p w14:paraId="0F8ED79B" w14:textId="77777777" w:rsidR="00532249" w:rsidRPr="006D3E70" w:rsidRDefault="00532249" w:rsidP="00532249">
      <w:pPr>
        <w:pStyle w:val="Heading3"/>
        <w:rPr>
          <w:rFonts w:eastAsia="Arial Unicode MS"/>
          <w:b w:val="0"/>
          <w:lang w:val="fr-FR"/>
        </w:rPr>
      </w:pPr>
      <w:r w:rsidRPr="006D3E70">
        <w:rPr>
          <w:lang w:val="fr-FR"/>
        </w:rPr>
        <w:t>1.1.3</w:t>
      </w:r>
      <w:r w:rsidRPr="006D3E70">
        <w:rPr>
          <w:lang w:val="fr-FR"/>
        </w:rPr>
        <w:tab/>
        <w:t>Puissance apparente rayonnée (p.a.r.)</w:t>
      </w:r>
    </w:p>
    <w:p w14:paraId="75F21FDC" w14:textId="3C4C2948" w:rsidR="00532249" w:rsidRPr="006D3E70" w:rsidRDefault="00532249" w:rsidP="00532249">
      <w:pPr>
        <w:keepNext/>
        <w:keepLines/>
        <w:rPr>
          <w:lang w:val="fr-FR"/>
        </w:rPr>
      </w:pPr>
      <w:r w:rsidRPr="006D3E70">
        <w:rPr>
          <w:lang w:val="fr-FR"/>
        </w:rPr>
        <w:t>La seule différence entre la p.i.r.e. et la p.a.r. est que cette dernière permet d</w:t>
      </w:r>
      <w:r w:rsidR="00324C7C" w:rsidRPr="006D3E70">
        <w:rPr>
          <w:lang w:val="fr-FR"/>
        </w:rPr>
        <w:t>'</w:t>
      </w:r>
      <w:r w:rsidRPr="006D3E70">
        <w:rPr>
          <w:lang w:val="fr-FR"/>
        </w:rPr>
        <w:t>évaluer les rayonnements émis, non par une antenne isotrope, mais par un doublet demi-onde accordé. Il existe une différence constante de 2,15 dB entre la p.i.r.e. et la p.a.r.:</w:t>
      </w:r>
    </w:p>
    <w:p w14:paraId="5E190A2F" w14:textId="77777777" w:rsidR="00834B0C" w:rsidRPr="006D3E70" w:rsidRDefault="00834B0C" w:rsidP="00834B0C">
      <w:pPr>
        <w:pStyle w:val="Equation"/>
        <w:rPr>
          <w:lang w:val="fr-FR"/>
        </w:rPr>
      </w:pPr>
      <w:r w:rsidRPr="006D3E70">
        <w:rPr>
          <w:lang w:val="fr-FR"/>
        </w:rPr>
        <w:tab/>
      </w:r>
      <w:r w:rsidRPr="006D3E70">
        <w:rPr>
          <w:lang w:val="fr-FR"/>
        </w:rPr>
        <w:tab/>
      </w:r>
      <w:r w:rsidRPr="006D3E70">
        <w:rPr>
          <w:i/>
          <w:iCs/>
          <w:lang w:val="fr-FR"/>
        </w:rPr>
        <w:t>p.i.r.e.</w:t>
      </w:r>
      <w:r w:rsidRPr="006D3E70">
        <w:rPr>
          <w:lang w:val="fr-FR"/>
        </w:rPr>
        <w:t xml:space="preserve"> (dBm)  =  </w:t>
      </w:r>
      <w:r w:rsidRPr="006D3E70">
        <w:rPr>
          <w:i/>
          <w:iCs/>
          <w:lang w:val="fr-FR"/>
        </w:rPr>
        <w:t>p.a.r.</w:t>
      </w:r>
      <w:r w:rsidRPr="006D3E70">
        <w:rPr>
          <w:lang w:val="fr-FR"/>
        </w:rPr>
        <w:t xml:space="preserve"> (dBm)  +  2,15</w:t>
      </w:r>
    </w:p>
    <w:p w14:paraId="49083E2A" w14:textId="77777777" w:rsidR="00532249" w:rsidRPr="006D3E70" w:rsidRDefault="00532249" w:rsidP="00532249">
      <w:pPr>
        <w:pStyle w:val="Heading2"/>
        <w:rPr>
          <w:rFonts w:eastAsia="Arial Unicode MS"/>
          <w:lang w:val="fr-FR"/>
        </w:rPr>
      </w:pPr>
      <w:r w:rsidRPr="006D3E70">
        <w:rPr>
          <w:lang w:val="fr-FR"/>
        </w:rPr>
        <w:lastRenderedPageBreak/>
        <w:t>1.2</w:t>
      </w:r>
      <w:r w:rsidRPr="006D3E70">
        <w:rPr>
          <w:lang w:val="fr-FR"/>
        </w:rPr>
        <w:tab/>
        <w:t>Champ</w:t>
      </w:r>
    </w:p>
    <w:p w14:paraId="5C45ADB8" w14:textId="4B3DE1E4" w:rsidR="00532249" w:rsidRPr="006D3E70" w:rsidRDefault="00532249" w:rsidP="00532249">
      <w:pPr>
        <w:rPr>
          <w:lang w:val="fr-FR"/>
        </w:rPr>
      </w:pPr>
      <w:r w:rsidRPr="006D3E70">
        <w:rPr>
          <w:lang w:val="fr-FR"/>
        </w:rPr>
        <w:t xml:space="preserve">Le champ brouilleur, </w:t>
      </w:r>
      <w:r w:rsidRPr="006D3E70">
        <w:rPr>
          <w:i/>
          <w:lang w:val="fr-FR"/>
        </w:rPr>
        <w:t xml:space="preserve">E </w:t>
      </w:r>
      <w:r w:rsidRPr="006D3E70">
        <w:rPr>
          <w:iCs/>
          <w:lang w:val="fr-FR"/>
        </w:rPr>
        <w:t xml:space="preserve">ou </w:t>
      </w:r>
      <w:r w:rsidRPr="006D3E70">
        <w:rPr>
          <w:i/>
          <w:lang w:val="fr-FR"/>
        </w:rPr>
        <w:t>H</w:t>
      </w:r>
      <w:r w:rsidRPr="006D3E70">
        <w:rPr>
          <w:lang w:val="fr-FR"/>
        </w:rPr>
        <w:t>, de l</w:t>
      </w:r>
      <w:r w:rsidR="00324C7C" w:rsidRPr="006D3E70">
        <w:rPr>
          <w:lang w:val="fr-FR"/>
        </w:rPr>
        <w:t>'</w:t>
      </w:r>
      <w:r w:rsidRPr="006D3E70">
        <w:rPr>
          <w:lang w:val="fr-FR"/>
        </w:rPr>
        <w:t>antenne du récepteur brouillé est, en principe, la caractéristique qui permet de connaître les effets des rayonnements du domaine des rayonnements non essentiels. Toutefois, il est assez difficile de déterminer dans tous les cas de figure possibles la relation entre la p.i.r.e. et le champ du fait de la propagation des ondes radioélectriques et d</w:t>
      </w:r>
      <w:r w:rsidR="00324C7C" w:rsidRPr="006D3E70">
        <w:rPr>
          <w:lang w:val="fr-FR"/>
        </w:rPr>
        <w:t>'</w:t>
      </w:r>
      <w:r w:rsidRPr="006D3E70">
        <w:rPr>
          <w:lang w:val="fr-FR"/>
        </w:rPr>
        <w:t>autres phénomènes de couplage radioélectrique (diffraction par les bâtiments, effet d</w:t>
      </w:r>
      <w:r w:rsidR="00324C7C" w:rsidRPr="006D3E70">
        <w:rPr>
          <w:lang w:val="fr-FR"/>
        </w:rPr>
        <w:t>'</w:t>
      </w:r>
      <w:r w:rsidRPr="006D3E70">
        <w:rPr>
          <w:lang w:val="fr-FR"/>
        </w:rPr>
        <w:t>écran, etc.), même si le calcul des limites de rayonnements dans le domaine des rayonnements non essentiels ne tient compte que de certaines éventualités (situations types et situations les plus défavorables).</w:t>
      </w:r>
    </w:p>
    <w:p w14:paraId="78264B39" w14:textId="764BA4D7" w:rsidR="00532249" w:rsidRPr="006D3E70" w:rsidRDefault="00532249" w:rsidP="00532249">
      <w:pPr>
        <w:rPr>
          <w:lang w:val="fr-FR"/>
        </w:rPr>
      </w:pPr>
      <w:r w:rsidRPr="006D3E70">
        <w:rPr>
          <w:lang w:val="fr-FR"/>
        </w:rPr>
        <w:t>Le champ est une valeur habituellement mesurée à une certaine distance sur un site d</w:t>
      </w:r>
      <w:r w:rsidR="00324C7C" w:rsidRPr="006D3E70">
        <w:rPr>
          <w:lang w:val="fr-FR"/>
        </w:rPr>
        <w:t>'</w:t>
      </w:r>
      <w:r w:rsidRPr="006D3E70">
        <w:rPr>
          <w:lang w:val="fr-FR"/>
        </w:rPr>
        <w:t>essai. Pour les mesures des perturbations et des brouillages causés par les appareils qui émettent des parasites, et notamment les équipements multimédias comportant des ITE, le CISPR recommande de procéder à des mesures types de champ à 10 m ou à 3 m sur un site d</w:t>
      </w:r>
      <w:r w:rsidR="00324C7C" w:rsidRPr="006D3E70">
        <w:rPr>
          <w:lang w:val="fr-FR"/>
        </w:rPr>
        <w:t>'</w:t>
      </w:r>
      <w:r w:rsidRPr="006D3E70">
        <w:rPr>
          <w:lang w:val="fr-FR"/>
        </w:rPr>
        <w:t>essai ouvert étalonné ou dans une chambre semi-anéchoïde avec réseau de sol réfléchissant, ou dans une chambre entièrement anéchoïde sans réseau de sol réfléchissant.</w:t>
      </w:r>
    </w:p>
    <w:p w14:paraId="7020D2AC" w14:textId="77777777" w:rsidR="00532249" w:rsidRPr="006D3E70" w:rsidRDefault="00532249" w:rsidP="00532249">
      <w:pPr>
        <w:pStyle w:val="Heading2"/>
        <w:rPr>
          <w:rFonts w:eastAsia="Arial Unicode MS"/>
          <w:lang w:val="fr-FR"/>
        </w:rPr>
      </w:pPr>
      <w:r w:rsidRPr="006D3E70">
        <w:rPr>
          <w:lang w:val="fr-FR"/>
        </w:rPr>
        <w:t>1.3</w:t>
      </w:r>
      <w:r w:rsidRPr="006D3E70">
        <w:rPr>
          <w:lang w:val="fr-FR"/>
        </w:rPr>
        <w:tab/>
        <w:t>Puissance surfacique</w:t>
      </w:r>
    </w:p>
    <w:p w14:paraId="363F1230" w14:textId="77777777" w:rsidR="00532249" w:rsidRPr="006D3E70" w:rsidRDefault="00532249" w:rsidP="00532249">
      <w:pPr>
        <w:rPr>
          <w:lang w:val="fr-FR"/>
        </w:rPr>
      </w:pPr>
      <w:r w:rsidRPr="006D3E70">
        <w:rPr>
          <w:lang w:val="fr-FR"/>
        </w:rPr>
        <w:t>La puissance surfacique est généralement évaluée et mesurée au-dessus de 1 GHz pour les liaisons de radiocommunication par satellite et pour la radioastronomie.</w:t>
      </w:r>
    </w:p>
    <w:p w14:paraId="2CA97F19" w14:textId="77777777" w:rsidR="00532249" w:rsidRPr="006D3E70" w:rsidRDefault="00532249" w:rsidP="00532249">
      <w:pPr>
        <w:pStyle w:val="Heading1"/>
        <w:rPr>
          <w:rFonts w:eastAsia="Arial Unicode MS"/>
          <w:lang w:val="fr-FR"/>
        </w:rPr>
      </w:pPr>
      <w:r w:rsidRPr="006D3E70">
        <w:rPr>
          <w:lang w:val="fr-FR"/>
        </w:rPr>
        <w:t>2</w:t>
      </w:r>
      <w:r w:rsidRPr="006D3E70">
        <w:rPr>
          <w:lang w:val="fr-FR"/>
        </w:rPr>
        <w:tab/>
        <w:t>Unités</w:t>
      </w:r>
    </w:p>
    <w:p w14:paraId="7D7DBCBE" w14:textId="77777777" w:rsidR="00532249" w:rsidRPr="006D3E70" w:rsidRDefault="00532249" w:rsidP="00532249">
      <w:pPr>
        <w:pStyle w:val="Heading2"/>
        <w:rPr>
          <w:rFonts w:eastAsia="Arial Unicode MS"/>
          <w:lang w:val="fr-FR"/>
        </w:rPr>
      </w:pPr>
      <w:r w:rsidRPr="006D3E70">
        <w:rPr>
          <w:lang w:val="fr-FR"/>
        </w:rPr>
        <w:t>2.1</w:t>
      </w:r>
      <w:r w:rsidRPr="006D3E70">
        <w:rPr>
          <w:lang w:val="fr-FR"/>
        </w:rPr>
        <w:tab/>
        <w:t>Unités de puissance</w:t>
      </w:r>
    </w:p>
    <w:p w14:paraId="5BBEBCFB" w14:textId="6F597888" w:rsidR="00532249" w:rsidRPr="006D3E70" w:rsidRDefault="00532249" w:rsidP="00532249">
      <w:pPr>
        <w:rPr>
          <w:lang w:val="fr-FR"/>
        </w:rPr>
      </w:pPr>
      <w:r w:rsidRPr="006D3E70">
        <w:rPr>
          <w:lang w:val="fr-FR"/>
        </w:rPr>
        <w:t>Bien que, d</w:t>
      </w:r>
      <w:r w:rsidR="00324C7C" w:rsidRPr="006D3E70">
        <w:rPr>
          <w:lang w:val="fr-FR"/>
        </w:rPr>
        <w:t>'</w:t>
      </w:r>
      <w:r w:rsidRPr="006D3E70">
        <w:rPr>
          <w:lang w:val="fr-FR"/>
        </w:rPr>
        <w:t>après le système international d</w:t>
      </w:r>
      <w:r w:rsidR="00324C7C" w:rsidRPr="006D3E70">
        <w:rPr>
          <w:lang w:val="fr-FR"/>
        </w:rPr>
        <w:t>'</w:t>
      </w:r>
      <w:r w:rsidRPr="006D3E70">
        <w:rPr>
          <w:lang w:val="fr-FR"/>
        </w:rPr>
        <w:t>unités, l</w:t>
      </w:r>
      <w:r w:rsidR="00324C7C" w:rsidRPr="006D3E70">
        <w:rPr>
          <w:lang w:val="fr-FR"/>
        </w:rPr>
        <w:t>'</w:t>
      </w:r>
      <w:r w:rsidRPr="006D3E70">
        <w:rPr>
          <w:lang w:val="fr-FR"/>
        </w:rPr>
        <w:t>unité de puissance soit le watt (W) les ouvrages spécialisés en télécommunication expriment la p.a.a., la p.i.r.e. ou la p.a.r. des rayonnements dans le domaine des rayonnements non essentiels en diverses unités (par exemple dBpW, nW, dBm ou dBW) ou en des expressions équivalentes de puissance par largeur de bande de référence.</w:t>
      </w:r>
    </w:p>
    <w:p w14:paraId="3F64E20B" w14:textId="77777777" w:rsidR="00532249" w:rsidRPr="006D3E70" w:rsidRDefault="00532249" w:rsidP="00532249">
      <w:pPr>
        <w:pStyle w:val="Heading2"/>
        <w:rPr>
          <w:rFonts w:eastAsia="Arial Unicode MS"/>
          <w:lang w:val="fr-FR"/>
        </w:rPr>
      </w:pPr>
      <w:r w:rsidRPr="006D3E70">
        <w:rPr>
          <w:lang w:val="fr-FR"/>
        </w:rPr>
        <w:t>2.2</w:t>
      </w:r>
      <w:r w:rsidRPr="006D3E70">
        <w:rPr>
          <w:lang w:val="fr-FR"/>
        </w:rPr>
        <w:tab/>
        <w:t>Unités de champ</w:t>
      </w:r>
    </w:p>
    <w:p w14:paraId="1C409950" w14:textId="69A1F41C" w:rsidR="00532249" w:rsidRPr="006D3E70" w:rsidRDefault="00532249" w:rsidP="00532249">
      <w:pPr>
        <w:rPr>
          <w:lang w:val="fr-FR"/>
        </w:rPr>
      </w:pPr>
      <w:r w:rsidRPr="006D3E70">
        <w:rPr>
          <w:lang w:val="fr-FR"/>
        </w:rPr>
        <w:t>L</w:t>
      </w:r>
      <w:r w:rsidR="00324C7C" w:rsidRPr="006D3E70">
        <w:rPr>
          <w:lang w:val="fr-FR"/>
        </w:rPr>
        <w:t>'</w:t>
      </w:r>
      <w:r w:rsidRPr="006D3E70">
        <w:rPr>
          <w:lang w:val="fr-FR"/>
        </w:rPr>
        <w:t xml:space="preserve">unité de champ électrique </w:t>
      </w:r>
      <w:r w:rsidRPr="006D3E70">
        <w:rPr>
          <w:i/>
          <w:lang w:val="fr-FR"/>
        </w:rPr>
        <w:t>E</w:t>
      </w:r>
      <w:r w:rsidRPr="006D3E70">
        <w:rPr>
          <w:lang w:val="fr-FR"/>
        </w:rPr>
        <w:t xml:space="preserve"> est le V/m. Dans la plupart des ouvrages spécialisés en télécommu</w:t>
      </w:r>
      <w:r w:rsidRPr="006D3E70">
        <w:rPr>
          <w:lang w:val="fr-FR"/>
        </w:rPr>
        <w:softHyphen/>
        <w:t xml:space="preserve">nication, le champ électrique est exprimé en </w:t>
      </w:r>
      <w:r w:rsidRPr="006D3E70">
        <w:rPr>
          <w:lang w:val="fr-FR"/>
        </w:rPr>
        <w:sym w:font="Symbol" w:char="F06D"/>
      </w:r>
      <w:r w:rsidRPr="006D3E70">
        <w:rPr>
          <w:lang w:val="fr-FR"/>
        </w:rPr>
        <w:t>V/m ou dB(</w:t>
      </w:r>
      <w:r w:rsidRPr="006D3E70">
        <w:rPr>
          <w:lang w:val="fr-FR"/>
        </w:rPr>
        <w:sym w:font="Symbol" w:char="F06D"/>
      </w:r>
      <w:r w:rsidRPr="006D3E70">
        <w:rPr>
          <w:lang w:val="fr-FR"/>
        </w:rPr>
        <w:t>V/m).</w:t>
      </w:r>
    </w:p>
    <w:p w14:paraId="75465951" w14:textId="07B1B97A" w:rsidR="00532249" w:rsidRPr="006D3E70" w:rsidRDefault="00532249" w:rsidP="00532249">
      <w:pPr>
        <w:rPr>
          <w:lang w:val="fr-FR"/>
        </w:rPr>
      </w:pPr>
      <w:r w:rsidRPr="006D3E70">
        <w:rPr>
          <w:lang w:val="fr-FR"/>
        </w:rPr>
        <w:t>L</w:t>
      </w:r>
      <w:r w:rsidR="00324C7C" w:rsidRPr="006D3E70">
        <w:rPr>
          <w:lang w:val="fr-FR"/>
        </w:rPr>
        <w:t>'</w:t>
      </w:r>
      <w:r w:rsidRPr="006D3E70">
        <w:rPr>
          <w:lang w:val="fr-FR"/>
        </w:rPr>
        <w:t xml:space="preserve">unité de champ magnétique </w:t>
      </w:r>
      <w:r w:rsidRPr="006D3E70">
        <w:rPr>
          <w:i/>
          <w:iCs/>
          <w:lang w:val="fr-FR"/>
        </w:rPr>
        <w:t>H</w:t>
      </w:r>
      <w:r w:rsidRPr="006D3E70">
        <w:rPr>
          <w:lang w:val="fr-FR"/>
        </w:rPr>
        <w:t xml:space="preserve"> est le A/m. Dans la plupart des ouvrages spécialisés en télécommu</w:t>
      </w:r>
      <w:r w:rsidRPr="006D3E70">
        <w:rPr>
          <w:lang w:val="fr-FR"/>
        </w:rPr>
        <w:softHyphen/>
        <w:t xml:space="preserve">nication, le champ magnétique est exprimé en </w:t>
      </w:r>
      <w:r w:rsidRPr="006D3E70">
        <w:rPr>
          <w:lang w:val="fr-FR"/>
        </w:rPr>
        <w:sym w:font="Symbol" w:char="F06D"/>
      </w:r>
      <w:r w:rsidRPr="006D3E70">
        <w:rPr>
          <w:lang w:val="fr-FR"/>
        </w:rPr>
        <w:t>A/m ou dB(</w:t>
      </w:r>
      <w:r w:rsidRPr="006D3E70">
        <w:rPr>
          <w:lang w:val="fr-FR"/>
        </w:rPr>
        <w:sym w:font="Symbol" w:char="F06D"/>
      </w:r>
      <w:r w:rsidRPr="006D3E70">
        <w:rPr>
          <w:lang w:val="fr-FR"/>
        </w:rPr>
        <w:t>A/m).</w:t>
      </w:r>
    </w:p>
    <w:p w14:paraId="26DD6EAA" w14:textId="77777777" w:rsidR="00532249" w:rsidRPr="006D3E70" w:rsidRDefault="00532249" w:rsidP="00532249">
      <w:pPr>
        <w:pStyle w:val="Heading2"/>
        <w:rPr>
          <w:rFonts w:eastAsia="Arial Unicode MS"/>
          <w:lang w:val="fr-FR"/>
        </w:rPr>
      </w:pPr>
      <w:r w:rsidRPr="006D3E70">
        <w:rPr>
          <w:lang w:val="fr-FR"/>
        </w:rPr>
        <w:t>2.3</w:t>
      </w:r>
      <w:r w:rsidRPr="006D3E70">
        <w:rPr>
          <w:lang w:val="fr-FR"/>
        </w:rPr>
        <w:tab/>
        <w:t>Unités de puissance surfacique</w:t>
      </w:r>
    </w:p>
    <w:p w14:paraId="17EB3B83" w14:textId="57A81E71" w:rsidR="00532249" w:rsidRPr="006D3E70" w:rsidRDefault="00532249" w:rsidP="00532249">
      <w:pPr>
        <w:rPr>
          <w:lang w:val="fr-FR"/>
        </w:rPr>
      </w:pPr>
      <w:r w:rsidRPr="006D3E70">
        <w:rPr>
          <w:lang w:val="fr-FR"/>
        </w:rPr>
        <w:t>L</w:t>
      </w:r>
      <w:r w:rsidR="00324C7C" w:rsidRPr="006D3E70">
        <w:rPr>
          <w:lang w:val="fr-FR"/>
        </w:rPr>
        <w:t>'</w:t>
      </w:r>
      <w:r w:rsidRPr="006D3E70">
        <w:rPr>
          <w:lang w:val="fr-FR"/>
        </w:rPr>
        <w:t>unité de puissance surfacique est le W/m</w:t>
      </w:r>
      <w:r w:rsidRPr="006D3E70">
        <w:rPr>
          <w:vertAlign w:val="superscript"/>
          <w:lang w:val="fr-FR"/>
        </w:rPr>
        <w:t>2</w:t>
      </w:r>
      <w:r w:rsidRPr="006D3E70">
        <w:rPr>
          <w:lang w:val="fr-FR"/>
        </w:rPr>
        <w:t>. Dans la plupart des ouvrages consacrés aux télécommunications, la puissance surfacique est exprimée en dB(W/m</w:t>
      </w:r>
      <w:r w:rsidRPr="006D3E70">
        <w:rPr>
          <w:vertAlign w:val="superscript"/>
          <w:lang w:val="fr-FR"/>
        </w:rPr>
        <w:t>2</w:t>
      </w:r>
      <w:r w:rsidRPr="006D3E70">
        <w:rPr>
          <w:lang w:val="fr-FR"/>
        </w:rPr>
        <w:t>) ou en mW/cm</w:t>
      </w:r>
      <w:r w:rsidRPr="006D3E70">
        <w:rPr>
          <w:vertAlign w:val="superscript"/>
          <w:lang w:val="fr-FR"/>
        </w:rPr>
        <w:t>2</w:t>
      </w:r>
      <w:r w:rsidRPr="006D3E70">
        <w:rPr>
          <w:lang w:val="fr-FR"/>
        </w:rPr>
        <w:t>.</w:t>
      </w:r>
    </w:p>
    <w:p w14:paraId="3656DC91" w14:textId="77777777" w:rsidR="00532249" w:rsidRPr="006D3E70" w:rsidRDefault="00532249" w:rsidP="00532249">
      <w:pPr>
        <w:pStyle w:val="Heading1"/>
        <w:rPr>
          <w:rFonts w:eastAsia="Arial Unicode MS"/>
          <w:lang w:val="fr-FR"/>
        </w:rPr>
      </w:pPr>
      <w:r w:rsidRPr="006D3E70">
        <w:rPr>
          <w:lang w:val="fr-FR"/>
        </w:rPr>
        <w:t>3</w:t>
      </w:r>
      <w:r w:rsidRPr="006D3E70">
        <w:rPr>
          <w:lang w:val="fr-FR"/>
        </w:rPr>
        <w:tab/>
        <w:t xml:space="preserve">Relation entre la puissance, le champ électrique </w:t>
      </w:r>
      <w:r w:rsidRPr="006D3E70">
        <w:rPr>
          <w:i/>
          <w:lang w:val="fr-FR"/>
        </w:rPr>
        <w:t>E</w:t>
      </w:r>
      <w:r w:rsidRPr="006D3E70">
        <w:rPr>
          <w:lang w:val="fr-FR"/>
        </w:rPr>
        <w:t xml:space="preserve"> et la puissance surfacique</w:t>
      </w:r>
    </w:p>
    <w:p w14:paraId="3D58878F" w14:textId="32269674" w:rsidR="00532249" w:rsidRPr="006D3E70" w:rsidRDefault="00532249" w:rsidP="00532249">
      <w:pPr>
        <w:keepNext/>
        <w:keepLines/>
        <w:rPr>
          <w:lang w:val="fr-FR"/>
        </w:rPr>
      </w:pPr>
      <w:r w:rsidRPr="006D3E70">
        <w:rPr>
          <w:lang w:val="fr-FR"/>
        </w:rPr>
        <w:t>On peut établir une relation simple pour les cas parfaits et optimaux (c</w:t>
      </w:r>
      <w:r w:rsidR="00324C7C" w:rsidRPr="006D3E70">
        <w:rPr>
          <w:lang w:val="fr-FR"/>
        </w:rPr>
        <w:t>'</w:t>
      </w:r>
      <w:r w:rsidRPr="006D3E70">
        <w:rPr>
          <w:lang w:val="fr-FR"/>
        </w:rPr>
        <w:t>est-à-dire dans des conditions d</w:t>
      </w:r>
      <w:r w:rsidR="00324C7C" w:rsidRPr="006D3E70">
        <w:rPr>
          <w:lang w:val="fr-FR"/>
        </w:rPr>
        <w:t>'</w:t>
      </w:r>
      <w:r w:rsidRPr="006D3E70">
        <w:rPr>
          <w:lang w:val="fr-FR"/>
        </w:rPr>
        <w:t xml:space="preserve">espace libre et de champ lointain) entre </w:t>
      </w:r>
      <w:r w:rsidRPr="006D3E70">
        <w:rPr>
          <w:i/>
          <w:lang w:val="fr-FR"/>
        </w:rPr>
        <w:t>E</w:t>
      </w:r>
      <w:r w:rsidRPr="006D3E70">
        <w:rPr>
          <w:lang w:val="fr-FR"/>
        </w:rPr>
        <w:t xml:space="preserve"> (V/m), une distance </w:t>
      </w:r>
      <w:r w:rsidRPr="006D3E70">
        <w:rPr>
          <w:i/>
          <w:lang w:val="fr-FR"/>
        </w:rPr>
        <w:t>D</w:t>
      </w:r>
      <w:r w:rsidRPr="006D3E70">
        <w:rPr>
          <w:lang w:val="fr-FR"/>
        </w:rPr>
        <w:t xml:space="preserve"> (m) séparant l</w:t>
      </w:r>
      <w:r w:rsidR="00324C7C" w:rsidRPr="006D3E70">
        <w:rPr>
          <w:lang w:val="fr-FR"/>
        </w:rPr>
        <w:t>'</w:t>
      </w:r>
      <w:r w:rsidRPr="006D3E70">
        <w:rPr>
          <w:lang w:val="fr-FR"/>
        </w:rPr>
        <w:t>équipement émetteur radioélectrique et le point de mesure, la p.i.r.e. (W) et la puissance surfacique (W/m</w:t>
      </w:r>
      <w:r w:rsidRPr="006D3E70">
        <w:rPr>
          <w:vertAlign w:val="superscript"/>
          <w:lang w:val="fr-FR"/>
        </w:rPr>
        <w:t>2</w:t>
      </w:r>
      <w:r w:rsidRPr="006D3E70">
        <w:rPr>
          <w:lang w:val="fr-FR"/>
        </w:rPr>
        <w:t>).</w:t>
      </w:r>
    </w:p>
    <w:p w14:paraId="08554D79" w14:textId="77777777" w:rsidR="00532249" w:rsidRPr="006D3E70" w:rsidRDefault="00532249" w:rsidP="00532249">
      <w:pPr>
        <w:pStyle w:val="Equation"/>
        <w:rPr>
          <w:lang w:val="fr-FR"/>
        </w:rPr>
      </w:pPr>
      <w:r w:rsidRPr="006D3E70">
        <w:rPr>
          <w:lang w:val="fr-FR"/>
        </w:rPr>
        <w:tab/>
      </w:r>
      <w:r w:rsidRPr="006D3E70">
        <w:rPr>
          <w:lang w:val="fr-FR"/>
        </w:rPr>
        <w:tab/>
      </w:r>
      <w:r w:rsidRPr="006D3E70">
        <w:rPr>
          <w:position w:val="-24"/>
          <w:lang w:val="fr-FR"/>
        </w:rPr>
        <w:object w:dxaOrig="1939" w:dyaOrig="700" w14:anchorId="04E09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8pt;height:36pt" o:ole="">
            <v:imagedata r:id="rId16" o:title=""/>
          </v:shape>
          <o:OLEObject Type="Embed" ProgID="Equation.3" ShapeID="_x0000_i1025" DrawAspect="Content" ObjectID="_1794295330" r:id="rId17"/>
        </w:object>
      </w:r>
    </w:p>
    <w:p w14:paraId="4B89CA3D" w14:textId="53B46822" w:rsidR="00532249" w:rsidRPr="006D3E70" w:rsidRDefault="00532249" w:rsidP="00532249">
      <w:pPr>
        <w:rPr>
          <w:lang w:val="fr-FR"/>
        </w:rPr>
      </w:pPr>
      <w:r w:rsidRPr="006D3E70">
        <w:rPr>
          <w:lang w:val="fr-FR"/>
        </w:rPr>
        <w:lastRenderedPageBreak/>
        <w:t xml:space="preserve">On peut calculer une valeur maximale de </w:t>
      </w:r>
      <w:r w:rsidRPr="006D3E70">
        <w:rPr>
          <w:i/>
          <w:lang w:val="fr-FR"/>
        </w:rPr>
        <w:t>E</w:t>
      </w:r>
      <w:r w:rsidRPr="006D3E70">
        <w:rPr>
          <w:lang w:val="fr-FR"/>
        </w:rPr>
        <w:t xml:space="preserve"> qui représente la lecture maximale qu</w:t>
      </w:r>
      <w:r w:rsidR="00324C7C" w:rsidRPr="006D3E70">
        <w:rPr>
          <w:lang w:val="fr-FR"/>
        </w:rPr>
        <w:t>'</w:t>
      </w:r>
      <w:r w:rsidRPr="006D3E70">
        <w:rPr>
          <w:lang w:val="fr-FR"/>
        </w:rPr>
        <w:t>on peut obtenir sur un terrain d</w:t>
      </w:r>
      <w:r w:rsidR="00324C7C" w:rsidRPr="006D3E70">
        <w:rPr>
          <w:lang w:val="fr-FR"/>
        </w:rPr>
        <w:t>'</w:t>
      </w:r>
      <w:r w:rsidRPr="006D3E70">
        <w:rPr>
          <w:lang w:val="fr-FR"/>
        </w:rPr>
        <w:t>essai ouvert en réglant la hauteur de l</w:t>
      </w:r>
      <w:r w:rsidR="00324C7C" w:rsidRPr="006D3E70">
        <w:rPr>
          <w:lang w:val="fr-FR"/>
        </w:rPr>
        <w:t>'</w:t>
      </w:r>
      <w:r w:rsidRPr="006D3E70">
        <w:rPr>
          <w:lang w:val="fr-FR"/>
        </w:rPr>
        <w:t>antenne de mesure. On obtient:</w:t>
      </w:r>
    </w:p>
    <w:p w14:paraId="0020513E" w14:textId="77777777" w:rsidR="00532249" w:rsidRPr="006D3E70" w:rsidRDefault="00532249" w:rsidP="00532249">
      <w:pPr>
        <w:pStyle w:val="Equation"/>
        <w:rPr>
          <w:lang w:val="fr-FR"/>
        </w:rPr>
      </w:pPr>
      <w:r w:rsidRPr="006D3E70">
        <w:rPr>
          <w:lang w:val="fr-FR"/>
        </w:rPr>
        <w:tab/>
      </w:r>
      <w:r w:rsidRPr="006D3E70">
        <w:rPr>
          <w:lang w:val="fr-FR"/>
        </w:rPr>
        <w:tab/>
      </w:r>
      <w:r w:rsidRPr="006D3E70">
        <w:rPr>
          <w:i/>
          <w:lang w:val="fr-FR"/>
        </w:rPr>
        <w:t>E</w:t>
      </w:r>
      <w:r w:rsidRPr="006D3E70">
        <w:rPr>
          <w:i/>
          <w:vertAlign w:val="subscript"/>
          <w:lang w:val="fr-FR"/>
        </w:rPr>
        <w:t>max</w:t>
      </w:r>
      <w:r w:rsidRPr="006D3E70">
        <w:rPr>
          <w:lang w:val="fr-FR"/>
        </w:rPr>
        <w:t xml:space="preserve"> </w:t>
      </w:r>
      <w:r w:rsidRPr="006D3E70">
        <w:rPr>
          <w:lang w:val="fr-FR"/>
        </w:rPr>
        <w:sym w:font="Symbol" w:char="0040"/>
      </w:r>
      <w:r w:rsidRPr="006D3E70">
        <w:rPr>
          <w:lang w:val="fr-FR"/>
        </w:rPr>
        <w:t xml:space="preserve"> 1,6 </w:t>
      </w:r>
      <w:r w:rsidRPr="006D3E70">
        <w:rPr>
          <w:i/>
          <w:lang w:val="fr-FR"/>
        </w:rPr>
        <w:t>E</w:t>
      </w:r>
    </w:p>
    <w:p w14:paraId="72D96B25" w14:textId="1F3735D7" w:rsidR="00532249" w:rsidRPr="006D3E70" w:rsidRDefault="00532249" w:rsidP="00532249">
      <w:pPr>
        <w:rPr>
          <w:lang w:val="fr-FR"/>
        </w:rPr>
      </w:pPr>
      <w:r w:rsidRPr="006D3E70">
        <w:rPr>
          <w:lang w:val="fr-FR"/>
        </w:rPr>
        <w:t>Soit un gain de site de 4 dB. Le champ tel qu</w:t>
      </w:r>
      <w:r w:rsidR="00324C7C" w:rsidRPr="006D3E70">
        <w:rPr>
          <w:lang w:val="fr-FR"/>
        </w:rPr>
        <w:t>'</w:t>
      </w:r>
      <w:r w:rsidRPr="006D3E70">
        <w:rPr>
          <w:lang w:val="fr-FR"/>
        </w:rPr>
        <w:t xml:space="preserve">il est exprimé par </w:t>
      </w:r>
      <w:r w:rsidRPr="006D3E70">
        <w:rPr>
          <w:i/>
          <w:lang w:val="fr-FR"/>
        </w:rPr>
        <w:t>E</w:t>
      </w:r>
      <w:r w:rsidRPr="006D3E70">
        <w:rPr>
          <w:lang w:val="fr-FR"/>
        </w:rPr>
        <w:t xml:space="preserve"> (V/m) peut être converti en dB(</w:t>
      </w:r>
      <w:r w:rsidRPr="006D3E70">
        <w:rPr>
          <w:lang w:val="fr-FR"/>
        </w:rPr>
        <w:sym w:font="Symbol" w:char="F06D"/>
      </w:r>
      <w:r w:rsidRPr="006D3E70">
        <w:rPr>
          <w:lang w:val="fr-FR"/>
        </w:rPr>
        <w:t>V/m) comme suit:</w:t>
      </w:r>
    </w:p>
    <w:p w14:paraId="19F0706B" w14:textId="77777777" w:rsidR="00532249" w:rsidRPr="006D3E70" w:rsidRDefault="00532249" w:rsidP="00532249">
      <w:pPr>
        <w:pStyle w:val="Equation"/>
        <w:rPr>
          <w:lang w:val="fr-FR"/>
        </w:rPr>
      </w:pPr>
      <w:r w:rsidRPr="006D3E70">
        <w:rPr>
          <w:lang w:val="fr-FR"/>
        </w:rPr>
        <w:tab/>
      </w:r>
      <w:r w:rsidRPr="006D3E70">
        <w:rPr>
          <w:lang w:val="fr-FR"/>
        </w:rPr>
        <w:tab/>
      </w:r>
      <w:r w:rsidRPr="006D3E70">
        <w:rPr>
          <w:i/>
          <w:lang w:val="fr-FR"/>
        </w:rPr>
        <w:t>E</w:t>
      </w:r>
      <w:r w:rsidRPr="006D3E70">
        <w:rPr>
          <w:lang w:val="fr-FR"/>
        </w:rPr>
        <w:t xml:space="preserve"> (dB(</w:t>
      </w:r>
      <w:r w:rsidRPr="006D3E70">
        <w:rPr>
          <w:lang w:val="fr-FR"/>
        </w:rPr>
        <w:sym w:font="Symbol" w:char="F06D"/>
      </w:r>
      <w:r w:rsidRPr="006D3E70">
        <w:rPr>
          <w:lang w:val="fr-FR"/>
        </w:rPr>
        <w:t xml:space="preserve">V/m)) = 120 + 20 log </w:t>
      </w:r>
      <w:r w:rsidRPr="006D3E70">
        <w:rPr>
          <w:i/>
          <w:lang w:val="fr-FR"/>
        </w:rPr>
        <w:t>E</w:t>
      </w:r>
    </w:p>
    <w:p w14:paraId="3815720B" w14:textId="77777777" w:rsidR="00532249" w:rsidRPr="006D3E70" w:rsidRDefault="00532249" w:rsidP="00532249">
      <w:pPr>
        <w:rPr>
          <w:lang w:val="fr-FR"/>
        </w:rPr>
      </w:pPr>
      <w:r w:rsidRPr="006D3E70">
        <w:rPr>
          <w:lang w:val="fr-FR"/>
        </w:rPr>
        <w:t>la puissance surfacique (pfd) (W/m</w:t>
      </w:r>
      <w:r w:rsidRPr="006D3E70">
        <w:rPr>
          <w:vertAlign w:val="superscript"/>
          <w:lang w:val="fr-FR"/>
        </w:rPr>
        <w:t>2</w:t>
      </w:r>
      <w:r w:rsidRPr="006D3E70">
        <w:rPr>
          <w:lang w:val="fr-FR"/>
        </w:rPr>
        <w:t>) est:</w:t>
      </w:r>
    </w:p>
    <w:p w14:paraId="29C4DA2D" w14:textId="77777777" w:rsidR="00532249" w:rsidRPr="006D3E70" w:rsidRDefault="00532249" w:rsidP="00532249">
      <w:pPr>
        <w:pStyle w:val="Equation"/>
        <w:rPr>
          <w:lang w:val="fr-FR"/>
        </w:rPr>
      </w:pPr>
      <w:r w:rsidRPr="006D3E70">
        <w:rPr>
          <w:lang w:val="fr-FR"/>
        </w:rPr>
        <w:tab/>
      </w:r>
      <w:r w:rsidRPr="006D3E70">
        <w:rPr>
          <w:lang w:val="fr-FR"/>
        </w:rPr>
        <w:tab/>
      </w:r>
      <w:r w:rsidRPr="006D3E70">
        <w:rPr>
          <w:i/>
          <w:lang w:val="fr-FR"/>
        </w:rPr>
        <w:t>pfd</w:t>
      </w:r>
      <w:r w:rsidRPr="006D3E70">
        <w:rPr>
          <w:lang w:val="fr-FR"/>
        </w:rPr>
        <w:t xml:space="preserve"> = </w:t>
      </w:r>
      <w:r w:rsidRPr="006D3E70">
        <w:rPr>
          <w:i/>
          <w:lang w:val="fr-FR"/>
        </w:rPr>
        <w:t>E</w:t>
      </w:r>
      <w:r w:rsidRPr="006D3E70">
        <w:rPr>
          <w:vertAlign w:val="superscript"/>
          <w:lang w:val="fr-FR"/>
        </w:rPr>
        <w:t>2</w:t>
      </w:r>
      <w:r w:rsidRPr="006D3E70">
        <w:rPr>
          <w:lang w:val="fr-FR"/>
        </w:rPr>
        <w:t>/(120</w:t>
      </w:r>
      <w:r w:rsidRPr="006D3E70">
        <w:rPr>
          <w:lang w:val="fr-FR"/>
        </w:rPr>
        <w:sym w:font="Symbol" w:char="F070"/>
      </w:r>
      <w:r w:rsidRPr="006D3E70">
        <w:rPr>
          <w:lang w:val="fr-FR"/>
        </w:rPr>
        <w:t>)</w:t>
      </w:r>
    </w:p>
    <w:p w14:paraId="7FF2C371" w14:textId="77777777" w:rsidR="00532249" w:rsidRPr="006D3E70" w:rsidRDefault="00532249" w:rsidP="00532249">
      <w:pPr>
        <w:rPr>
          <w:lang w:val="fr-FR"/>
        </w:rPr>
      </w:pPr>
      <w:r w:rsidRPr="006D3E70">
        <w:rPr>
          <w:lang w:val="fr-FR"/>
        </w:rPr>
        <w:t>et la pfd (dB(W/m</w:t>
      </w:r>
      <w:r w:rsidRPr="006D3E70">
        <w:rPr>
          <w:vertAlign w:val="superscript"/>
          <w:lang w:val="fr-FR"/>
        </w:rPr>
        <w:t>2</w:t>
      </w:r>
      <w:r w:rsidRPr="006D3E70">
        <w:rPr>
          <w:lang w:val="fr-FR"/>
        </w:rPr>
        <w:t>)) est:</w:t>
      </w:r>
    </w:p>
    <w:p w14:paraId="1F40B0C0" w14:textId="77777777" w:rsidR="00532249" w:rsidRPr="006D3E70" w:rsidRDefault="00532249" w:rsidP="00532249">
      <w:pPr>
        <w:pStyle w:val="Equation"/>
        <w:rPr>
          <w:lang w:val="fr-FR"/>
        </w:rPr>
      </w:pPr>
      <w:r w:rsidRPr="006D3E70">
        <w:rPr>
          <w:lang w:val="fr-FR"/>
        </w:rPr>
        <w:tab/>
      </w:r>
      <w:r w:rsidRPr="006D3E70">
        <w:rPr>
          <w:lang w:val="fr-FR"/>
        </w:rPr>
        <w:tab/>
      </w:r>
      <w:r w:rsidRPr="006D3E70">
        <w:rPr>
          <w:i/>
          <w:lang w:val="fr-FR"/>
        </w:rPr>
        <w:t>pfd</w:t>
      </w:r>
      <w:r w:rsidRPr="006D3E70">
        <w:rPr>
          <w:lang w:val="fr-FR"/>
        </w:rPr>
        <w:t xml:space="preserve"> = 10 log </w:t>
      </w:r>
      <w:r w:rsidRPr="006D3E70">
        <w:rPr>
          <w:i/>
          <w:lang w:val="fr-FR"/>
        </w:rPr>
        <w:t>pfd</w:t>
      </w:r>
    </w:p>
    <w:p w14:paraId="0FC98268" w14:textId="77777777" w:rsidR="00532249" w:rsidRPr="006D3E70" w:rsidRDefault="00532249" w:rsidP="00532249">
      <w:pPr>
        <w:rPr>
          <w:lang w:val="fr-FR"/>
        </w:rPr>
      </w:pPr>
      <w:r w:rsidRPr="006D3E70">
        <w:rPr>
          <w:lang w:val="fr-FR"/>
        </w:rPr>
        <w:t>Le Tableau 7 établit une correspondance entre les valeurs de p.i.r.e. et de p.a.r., le champ (</w:t>
      </w:r>
      <w:r w:rsidRPr="006D3E70">
        <w:rPr>
          <w:i/>
          <w:lang w:val="fr-FR"/>
        </w:rPr>
        <w:t>E</w:t>
      </w:r>
      <w:r w:rsidRPr="006D3E70">
        <w:rPr>
          <w:lang w:val="fr-FR"/>
        </w:rPr>
        <w:t>, </w:t>
      </w:r>
      <w:r w:rsidRPr="006D3E70">
        <w:rPr>
          <w:i/>
          <w:lang w:val="fr-FR"/>
        </w:rPr>
        <w:t>E</w:t>
      </w:r>
      <w:r w:rsidRPr="006D3E70">
        <w:rPr>
          <w:i/>
          <w:vertAlign w:val="subscript"/>
          <w:lang w:val="fr-FR"/>
        </w:rPr>
        <w:t>max</w:t>
      </w:r>
      <w:r w:rsidRPr="006D3E70">
        <w:rPr>
          <w:lang w:val="fr-FR"/>
        </w:rPr>
        <w:t>) et la puissance surfacique pour différentes unités.</w:t>
      </w:r>
    </w:p>
    <w:p w14:paraId="409C7C4A" w14:textId="77777777" w:rsidR="00532249" w:rsidRPr="006D3E70" w:rsidRDefault="00532249" w:rsidP="00532249">
      <w:pPr>
        <w:pStyle w:val="TableNo"/>
        <w:rPr>
          <w:lang w:val="fr-FR"/>
        </w:rPr>
      </w:pPr>
      <w:r w:rsidRPr="006D3E70">
        <w:rPr>
          <w:lang w:val="fr-FR"/>
        </w:rPr>
        <w:t>TABLEAU 7</w:t>
      </w:r>
    </w:p>
    <w:p w14:paraId="4E58F8AD" w14:textId="77777777" w:rsidR="00532249" w:rsidRPr="006D3E70" w:rsidRDefault="00532249" w:rsidP="00532249">
      <w:pPr>
        <w:pStyle w:val="Tabletitle"/>
        <w:rPr>
          <w:lang w:val="fr-FR"/>
        </w:rPr>
      </w:pPr>
      <w:r w:rsidRPr="006D3E70">
        <w:rPr>
          <w:lang w:val="fr-FR"/>
        </w:rPr>
        <w:t xml:space="preserve">Correspondance entre la p.i.r.e., la p.a.r., le champ </w:t>
      </w:r>
      <w:r w:rsidRPr="006D3E70">
        <w:rPr>
          <w:i/>
          <w:lang w:val="fr-FR"/>
        </w:rPr>
        <w:t>E</w:t>
      </w:r>
      <w:r w:rsidRPr="006D3E70">
        <w:rPr>
          <w:lang w:val="fr-FR"/>
        </w:rPr>
        <w:t xml:space="preserve"> et la puissance surfacique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1382"/>
        <w:gridCol w:w="974"/>
        <w:gridCol w:w="837"/>
        <w:gridCol w:w="858"/>
        <w:gridCol w:w="1236"/>
        <w:gridCol w:w="1207"/>
        <w:gridCol w:w="1249"/>
        <w:gridCol w:w="1242"/>
      </w:tblGrid>
      <w:tr w:rsidR="00532249" w:rsidRPr="006D3E70" w14:paraId="753627A3" w14:textId="77777777" w:rsidTr="00714EB9">
        <w:trPr>
          <w:jc w:val="center"/>
        </w:trPr>
        <w:tc>
          <w:tcPr>
            <w:tcW w:w="339"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648DDDD" w14:textId="77777777" w:rsidR="00532249" w:rsidRPr="006D3E70" w:rsidRDefault="00532249" w:rsidP="00714EB9">
            <w:pPr>
              <w:pStyle w:val="Tablehead"/>
              <w:rPr>
                <w:lang w:val="fr-FR"/>
              </w:rPr>
            </w:pPr>
            <w:r w:rsidRPr="006D3E70">
              <w:rPr>
                <w:lang w:val="fr-FR"/>
              </w:rPr>
              <w:t>p.i.r.e.</w:t>
            </w:r>
            <w:r w:rsidRPr="006D3E70">
              <w:rPr>
                <w:lang w:val="fr-FR"/>
              </w:rPr>
              <w:br/>
              <w:t>(dBm)</w:t>
            </w:r>
          </w:p>
        </w:tc>
        <w:tc>
          <w:tcPr>
            <w:tcW w:w="717"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4743907" w14:textId="77777777" w:rsidR="00532249" w:rsidRPr="006D3E70" w:rsidRDefault="00532249" w:rsidP="00714EB9">
            <w:pPr>
              <w:pStyle w:val="Tablehead"/>
              <w:rPr>
                <w:lang w:val="fr-FR"/>
              </w:rPr>
            </w:pPr>
            <w:r w:rsidRPr="006D3E70">
              <w:rPr>
                <w:lang w:val="fr-FR"/>
              </w:rPr>
              <w:t>p.i.r.e.</w:t>
            </w:r>
            <w:r w:rsidRPr="006D3E70">
              <w:rPr>
                <w:lang w:val="fr-FR"/>
              </w:rPr>
              <w:br/>
              <w:t>(nW)</w:t>
            </w:r>
          </w:p>
        </w:tc>
        <w:tc>
          <w:tcPr>
            <w:tcW w:w="505"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BCC844" w14:textId="77777777" w:rsidR="00532249" w:rsidRPr="006D3E70" w:rsidRDefault="00532249" w:rsidP="00714EB9">
            <w:pPr>
              <w:pStyle w:val="Tablehead"/>
              <w:rPr>
                <w:lang w:val="fr-FR"/>
              </w:rPr>
            </w:pPr>
            <w:r w:rsidRPr="006D3E70">
              <w:rPr>
                <w:lang w:val="fr-FR"/>
              </w:rPr>
              <w:t>p.i.r.e.</w:t>
            </w:r>
            <w:r w:rsidRPr="006D3E70">
              <w:rPr>
                <w:lang w:val="fr-FR"/>
              </w:rPr>
              <w:br/>
              <w:t>(dB(pW))</w:t>
            </w:r>
          </w:p>
        </w:tc>
        <w:tc>
          <w:tcPr>
            <w:tcW w:w="434"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A5BA2F5" w14:textId="77777777" w:rsidR="00532249" w:rsidRPr="006D3E70" w:rsidRDefault="00532249" w:rsidP="00714EB9">
            <w:pPr>
              <w:pStyle w:val="Tablehead"/>
              <w:rPr>
                <w:lang w:val="fr-FR"/>
              </w:rPr>
            </w:pPr>
            <w:r w:rsidRPr="006D3E70">
              <w:rPr>
                <w:lang w:val="fr-FR"/>
              </w:rPr>
              <w:t>p.i.r.e.</w:t>
            </w:r>
            <w:r w:rsidRPr="006D3E70">
              <w:rPr>
                <w:lang w:val="fr-FR"/>
              </w:rPr>
              <w:br/>
              <w:t>(dBW)</w:t>
            </w:r>
          </w:p>
        </w:tc>
        <w:tc>
          <w:tcPr>
            <w:tcW w:w="445"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8876B12" w14:textId="77777777" w:rsidR="00532249" w:rsidRPr="006D3E70" w:rsidRDefault="00532249" w:rsidP="00714EB9">
            <w:pPr>
              <w:pStyle w:val="Tablehead"/>
              <w:rPr>
                <w:lang w:val="fr-FR"/>
              </w:rPr>
            </w:pPr>
            <w:r w:rsidRPr="006D3E70">
              <w:rPr>
                <w:lang w:val="fr-FR"/>
              </w:rPr>
              <w:t>p.a.r.</w:t>
            </w:r>
            <w:r w:rsidRPr="006D3E70">
              <w:rPr>
                <w:lang w:val="fr-FR"/>
              </w:rPr>
              <w:br/>
              <w:t>(dBm)</w:t>
            </w:r>
          </w:p>
        </w:tc>
        <w:tc>
          <w:tcPr>
            <w:tcW w:w="64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E2351C1" w14:textId="77777777" w:rsidR="00532249" w:rsidRPr="006D3E70" w:rsidRDefault="00532249" w:rsidP="00714EB9">
            <w:pPr>
              <w:pStyle w:val="Tablehead"/>
              <w:rPr>
                <w:lang w:val="fr-FR"/>
              </w:rPr>
            </w:pPr>
            <w:r w:rsidRPr="006D3E70">
              <w:rPr>
                <w:lang w:val="fr-FR"/>
              </w:rPr>
              <w:t xml:space="preserve">Champ </w:t>
            </w:r>
            <w:r w:rsidRPr="006D3E70">
              <w:rPr>
                <w:i/>
                <w:lang w:val="fr-FR"/>
              </w:rPr>
              <w:t>E</w:t>
            </w:r>
            <w:r w:rsidRPr="006D3E70">
              <w:rPr>
                <w:lang w:val="fr-FR"/>
              </w:rPr>
              <w:t xml:space="preserve"> en</w:t>
            </w:r>
            <w:r w:rsidRPr="006D3E70">
              <w:rPr>
                <w:lang w:val="fr-FR"/>
              </w:rPr>
              <w:br/>
              <w:t>espace libre</w:t>
            </w:r>
            <w:r w:rsidRPr="006D3E70">
              <w:rPr>
                <w:lang w:val="fr-FR"/>
              </w:rPr>
              <w:br/>
              <w:t>(dB(</w:t>
            </w:r>
            <w:r w:rsidRPr="006D3E70">
              <w:rPr>
                <w:lang w:val="fr-FR"/>
              </w:rPr>
              <w:sym w:font="Symbol" w:char="F06D"/>
            </w:r>
            <w:r w:rsidRPr="006D3E70">
              <w:rPr>
                <w:lang w:val="fr-FR"/>
              </w:rPr>
              <w:t>V/m))</w:t>
            </w:r>
            <w:r w:rsidRPr="006D3E70">
              <w:rPr>
                <w:lang w:val="fr-FR"/>
              </w:rPr>
              <w:br/>
              <w:t>à 10 m</w:t>
            </w:r>
          </w:p>
        </w:tc>
        <w:tc>
          <w:tcPr>
            <w:tcW w:w="6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C042623" w14:textId="7900518F" w:rsidR="00532249" w:rsidRPr="006D3E70" w:rsidRDefault="00532249" w:rsidP="00714EB9">
            <w:pPr>
              <w:pStyle w:val="Tablehead"/>
              <w:rPr>
                <w:lang w:val="fr-FR"/>
              </w:rPr>
            </w:pPr>
            <w:r w:rsidRPr="006D3E70">
              <w:rPr>
                <w:lang w:val="fr-FR"/>
              </w:rPr>
              <w:t xml:space="preserve">Champ </w:t>
            </w:r>
            <w:r w:rsidRPr="006D3E70">
              <w:rPr>
                <w:i/>
                <w:lang w:val="fr-FR"/>
              </w:rPr>
              <w:t>E</w:t>
            </w:r>
            <w:r w:rsidRPr="006D3E70">
              <w:rPr>
                <w:i/>
                <w:iCs/>
                <w:vertAlign w:val="subscript"/>
                <w:lang w:val="fr-FR"/>
              </w:rPr>
              <w:t>max</w:t>
            </w:r>
            <w:r w:rsidRPr="006D3E70">
              <w:rPr>
                <w:lang w:val="fr-FR"/>
              </w:rPr>
              <w:t xml:space="preserve"> en terrain d</w:t>
            </w:r>
            <w:r w:rsidR="00324C7C" w:rsidRPr="006D3E70">
              <w:rPr>
                <w:lang w:val="fr-FR"/>
              </w:rPr>
              <w:t>'</w:t>
            </w:r>
            <w:r w:rsidRPr="006D3E70">
              <w:rPr>
                <w:lang w:val="fr-FR"/>
              </w:rPr>
              <w:t>essai ouvert</w:t>
            </w:r>
            <w:r w:rsidRPr="006D3E70">
              <w:rPr>
                <w:lang w:val="fr-FR"/>
              </w:rPr>
              <w:br/>
              <w:t>(dB(</w:t>
            </w:r>
            <w:r w:rsidRPr="006D3E70">
              <w:rPr>
                <w:lang w:val="fr-FR"/>
              </w:rPr>
              <w:sym w:font="Symbol" w:char="F06D"/>
            </w:r>
            <w:r w:rsidRPr="006D3E70">
              <w:rPr>
                <w:lang w:val="fr-FR"/>
              </w:rPr>
              <w:t xml:space="preserve">V/m)) </w:t>
            </w:r>
            <w:r w:rsidRPr="006D3E70">
              <w:rPr>
                <w:lang w:val="fr-FR"/>
              </w:rPr>
              <w:br/>
              <w:t>à 10 m</w:t>
            </w:r>
          </w:p>
        </w:tc>
        <w:tc>
          <w:tcPr>
            <w:tcW w:w="648"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38026D" w14:textId="77777777" w:rsidR="00532249" w:rsidRPr="006D3E70" w:rsidRDefault="00532249" w:rsidP="00714EB9">
            <w:pPr>
              <w:pStyle w:val="Tablehead"/>
              <w:rPr>
                <w:lang w:val="fr-FR"/>
              </w:rPr>
            </w:pPr>
            <w:r w:rsidRPr="006D3E70">
              <w:rPr>
                <w:lang w:val="fr-FR"/>
              </w:rPr>
              <w:t>pfd en</w:t>
            </w:r>
            <w:r w:rsidRPr="006D3E70">
              <w:rPr>
                <w:lang w:val="fr-FR"/>
              </w:rPr>
              <w:br/>
              <w:t>espace libre</w:t>
            </w:r>
            <w:r w:rsidRPr="006D3E70">
              <w:rPr>
                <w:lang w:val="fr-FR"/>
              </w:rPr>
              <w:br/>
              <w:t>(dB(W/m</w:t>
            </w:r>
            <w:r w:rsidRPr="006D3E70">
              <w:rPr>
                <w:vertAlign w:val="superscript"/>
                <w:lang w:val="fr-FR"/>
              </w:rPr>
              <w:t>2</w:t>
            </w:r>
            <w:r w:rsidRPr="006D3E70">
              <w:rPr>
                <w:lang w:val="fr-FR"/>
              </w:rPr>
              <w:t>))</w:t>
            </w:r>
            <w:r w:rsidRPr="006D3E70">
              <w:rPr>
                <w:lang w:val="fr-FR"/>
              </w:rPr>
              <w:br/>
              <w:t>à 10 m</w:t>
            </w:r>
          </w:p>
        </w:tc>
        <w:tc>
          <w:tcPr>
            <w:tcW w:w="644"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DC1F739" w14:textId="3E7F5E4B" w:rsidR="00532249" w:rsidRPr="006D3E70" w:rsidRDefault="00532249" w:rsidP="00714EB9">
            <w:pPr>
              <w:pStyle w:val="Tablehead"/>
              <w:rPr>
                <w:lang w:val="fr-FR"/>
              </w:rPr>
            </w:pPr>
            <w:r w:rsidRPr="006D3E70">
              <w:rPr>
                <w:lang w:val="fr-FR"/>
              </w:rPr>
              <w:t>pfd maximum</w:t>
            </w:r>
            <w:r w:rsidRPr="006D3E70">
              <w:rPr>
                <w:lang w:val="fr-FR"/>
              </w:rPr>
              <w:br/>
              <w:t>en terrain d</w:t>
            </w:r>
            <w:r w:rsidR="00324C7C" w:rsidRPr="006D3E70">
              <w:rPr>
                <w:lang w:val="fr-FR"/>
              </w:rPr>
              <w:t>'</w:t>
            </w:r>
            <w:r w:rsidRPr="006D3E70">
              <w:rPr>
                <w:lang w:val="fr-FR"/>
              </w:rPr>
              <w:t>essai ouvert</w:t>
            </w:r>
            <w:r w:rsidRPr="006D3E70">
              <w:rPr>
                <w:lang w:val="fr-FR"/>
              </w:rPr>
              <w:br/>
              <w:t>(dB(W/m</w:t>
            </w:r>
            <w:r w:rsidRPr="006D3E70">
              <w:rPr>
                <w:vertAlign w:val="superscript"/>
                <w:lang w:val="fr-FR"/>
              </w:rPr>
              <w:t>2</w:t>
            </w:r>
            <w:r w:rsidRPr="006D3E70">
              <w:rPr>
                <w:lang w:val="fr-FR"/>
              </w:rPr>
              <w:t>))</w:t>
            </w:r>
            <w:r w:rsidRPr="006D3E70">
              <w:rPr>
                <w:lang w:val="fr-FR"/>
              </w:rPr>
              <w:br/>
              <w:t>à 10 m</w:t>
            </w:r>
          </w:p>
        </w:tc>
      </w:tr>
      <w:tr w:rsidR="00532249" w:rsidRPr="006D3E70" w14:paraId="594B7784" w14:textId="77777777" w:rsidTr="00714EB9">
        <w:trPr>
          <w:jc w:val="center"/>
        </w:trPr>
        <w:tc>
          <w:tcPr>
            <w:tcW w:w="339" w:type="pct"/>
            <w:tcBorders>
              <w:top w:val="single" w:sz="4" w:space="0" w:color="auto"/>
              <w:left w:val="single" w:sz="4" w:space="0" w:color="auto"/>
              <w:bottom w:val="single" w:sz="4" w:space="0" w:color="auto"/>
              <w:right w:val="single" w:sz="4" w:space="0" w:color="auto"/>
            </w:tcBorders>
          </w:tcPr>
          <w:p w14:paraId="399B8191" w14:textId="77777777" w:rsidR="00532249" w:rsidRPr="006D3E70" w:rsidRDefault="00532249" w:rsidP="00714EB9">
            <w:pPr>
              <w:pStyle w:val="Tabletext"/>
              <w:jc w:val="center"/>
              <w:rPr>
                <w:lang w:val="fr-FR"/>
              </w:rPr>
            </w:pPr>
            <w:r w:rsidRPr="006D3E70">
              <w:rPr>
                <w:lang w:val="fr-FR"/>
              </w:rPr>
              <w:t>–90</w:t>
            </w:r>
          </w:p>
        </w:tc>
        <w:tc>
          <w:tcPr>
            <w:tcW w:w="717" w:type="pct"/>
            <w:tcBorders>
              <w:top w:val="single" w:sz="4" w:space="0" w:color="auto"/>
              <w:left w:val="single" w:sz="4" w:space="0" w:color="auto"/>
              <w:bottom w:val="single" w:sz="4" w:space="0" w:color="auto"/>
              <w:right w:val="single" w:sz="4" w:space="0" w:color="auto"/>
            </w:tcBorders>
            <w:tcMar>
              <w:left w:w="0" w:type="dxa"/>
              <w:right w:w="0" w:type="dxa"/>
            </w:tcMar>
          </w:tcPr>
          <w:p w14:paraId="1DC65A24" w14:textId="77777777" w:rsidR="00532249" w:rsidRPr="006D3E70" w:rsidRDefault="00532249" w:rsidP="00714EB9">
            <w:pPr>
              <w:pStyle w:val="Tabletext"/>
              <w:jc w:val="center"/>
              <w:rPr>
                <w:lang w:val="fr-FR"/>
              </w:rPr>
            </w:pPr>
            <w:r w:rsidRPr="006D3E70">
              <w:rPr>
                <w:lang w:val="fr-FR"/>
              </w:rPr>
              <w:t>0,001</w:t>
            </w:r>
          </w:p>
        </w:tc>
        <w:tc>
          <w:tcPr>
            <w:tcW w:w="505" w:type="pct"/>
            <w:tcBorders>
              <w:top w:val="single" w:sz="4" w:space="0" w:color="auto"/>
              <w:left w:val="single" w:sz="4" w:space="0" w:color="auto"/>
              <w:bottom w:val="single" w:sz="4" w:space="0" w:color="auto"/>
              <w:right w:val="single" w:sz="4" w:space="0" w:color="auto"/>
            </w:tcBorders>
          </w:tcPr>
          <w:p w14:paraId="5D7CCEF9" w14:textId="6341AFF6" w:rsidR="00532249" w:rsidRPr="006D3E70" w:rsidRDefault="00532249" w:rsidP="00714EB9">
            <w:pPr>
              <w:pStyle w:val="Tabletext"/>
              <w:jc w:val="center"/>
              <w:rPr>
                <w:lang w:val="fr-FR"/>
              </w:rPr>
            </w:pPr>
            <w:r w:rsidRPr="006D3E70">
              <w:rPr>
                <w:lang w:val="fr-FR"/>
              </w:rPr>
              <w:t>0</w:t>
            </w:r>
          </w:p>
        </w:tc>
        <w:tc>
          <w:tcPr>
            <w:tcW w:w="434" w:type="pct"/>
            <w:tcBorders>
              <w:top w:val="single" w:sz="4" w:space="0" w:color="auto"/>
              <w:left w:val="single" w:sz="4" w:space="0" w:color="auto"/>
              <w:bottom w:val="single" w:sz="4" w:space="0" w:color="auto"/>
              <w:right w:val="single" w:sz="4" w:space="0" w:color="auto"/>
            </w:tcBorders>
          </w:tcPr>
          <w:p w14:paraId="181D13A1" w14:textId="77777777" w:rsidR="00532249" w:rsidRPr="006D3E70" w:rsidRDefault="00532249" w:rsidP="00714EB9">
            <w:pPr>
              <w:pStyle w:val="Tabletext"/>
              <w:jc w:val="center"/>
              <w:rPr>
                <w:lang w:val="fr-FR"/>
              </w:rPr>
            </w:pPr>
            <w:r w:rsidRPr="006D3E70">
              <w:rPr>
                <w:lang w:val="fr-FR"/>
              </w:rPr>
              <w:t>–120</w:t>
            </w:r>
          </w:p>
        </w:tc>
        <w:tc>
          <w:tcPr>
            <w:tcW w:w="445" w:type="pct"/>
            <w:tcBorders>
              <w:top w:val="single" w:sz="4" w:space="0" w:color="auto"/>
              <w:left w:val="single" w:sz="4" w:space="0" w:color="auto"/>
              <w:bottom w:val="single" w:sz="4" w:space="0" w:color="auto"/>
              <w:right w:val="single" w:sz="4" w:space="0" w:color="auto"/>
            </w:tcBorders>
          </w:tcPr>
          <w:p w14:paraId="2E86D3EB" w14:textId="77777777" w:rsidR="00532249" w:rsidRPr="006D3E70" w:rsidRDefault="00532249" w:rsidP="00714EB9">
            <w:pPr>
              <w:pStyle w:val="Tabletext"/>
              <w:jc w:val="center"/>
              <w:rPr>
                <w:lang w:val="fr-FR"/>
              </w:rPr>
            </w:pPr>
            <w:r w:rsidRPr="006D3E70">
              <w:rPr>
                <w:lang w:val="fr-FR"/>
              </w:rPr>
              <w:t>–92,15</w:t>
            </w:r>
          </w:p>
        </w:tc>
        <w:tc>
          <w:tcPr>
            <w:tcW w:w="641" w:type="pct"/>
            <w:tcBorders>
              <w:top w:val="single" w:sz="4" w:space="0" w:color="auto"/>
              <w:left w:val="single" w:sz="4" w:space="0" w:color="auto"/>
              <w:bottom w:val="single" w:sz="4" w:space="0" w:color="auto"/>
              <w:right w:val="single" w:sz="4" w:space="0" w:color="auto"/>
            </w:tcBorders>
          </w:tcPr>
          <w:p w14:paraId="057C9C57" w14:textId="77777777" w:rsidR="00532249" w:rsidRPr="006D3E70" w:rsidRDefault="00532249" w:rsidP="00714EB9">
            <w:pPr>
              <w:pStyle w:val="Tabletext"/>
              <w:jc w:val="center"/>
              <w:rPr>
                <w:lang w:val="fr-FR"/>
              </w:rPr>
            </w:pPr>
            <w:r w:rsidRPr="006D3E70">
              <w:rPr>
                <w:lang w:val="fr-FR"/>
              </w:rPr>
              <w:t>–5,2</w:t>
            </w:r>
          </w:p>
        </w:tc>
        <w:tc>
          <w:tcPr>
            <w:tcW w:w="626" w:type="pct"/>
            <w:tcBorders>
              <w:top w:val="single" w:sz="4" w:space="0" w:color="auto"/>
              <w:left w:val="single" w:sz="4" w:space="0" w:color="auto"/>
              <w:bottom w:val="single" w:sz="4" w:space="0" w:color="auto"/>
              <w:right w:val="single" w:sz="4" w:space="0" w:color="auto"/>
            </w:tcBorders>
          </w:tcPr>
          <w:p w14:paraId="18867167" w14:textId="77777777" w:rsidR="00532249" w:rsidRPr="006D3E70" w:rsidRDefault="00532249" w:rsidP="00714EB9">
            <w:pPr>
              <w:pStyle w:val="Tabletext"/>
              <w:jc w:val="center"/>
              <w:rPr>
                <w:lang w:val="fr-FR"/>
              </w:rPr>
            </w:pPr>
            <w:r w:rsidRPr="006D3E70">
              <w:rPr>
                <w:lang w:val="fr-FR"/>
              </w:rPr>
              <w:t>–1,2</w:t>
            </w:r>
          </w:p>
        </w:tc>
        <w:tc>
          <w:tcPr>
            <w:tcW w:w="648" w:type="pct"/>
            <w:tcBorders>
              <w:top w:val="single" w:sz="4" w:space="0" w:color="auto"/>
              <w:left w:val="single" w:sz="4" w:space="0" w:color="auto"/>
              <w:bottom w:val="single" w:sz="4" w:space="0" w:color="auto"/>
              <w:right w:val="single" w:sz="4" w:space="0" w:color="auto"/>
            </w:tcBorders>
          </w:tcPr>
          <w:p w14:paraId="78B92DF1" w14:textId="77777777" w:rsidR="00532249" w:rsidRPr="006D3E70" w:rsidRDefault="00532249" w:rsidP="00714EB9">
            <w:pPr>
              <w:pStyle w:val="Tabletext"/>
              <w:jc w:val="center"/>
              <w:rPr>
                <w:lang w:val="fr-FR"/>
              </w:rPr>
            </w:pPr>
            <w:r w:rsidRPr="006D3E70">
              <w:rPr>
                <w:lang w:val="fr-FR"/>
              </w:rPr>
              <w:t>–151,0</w:t>
            </w:r>
          </w:p>
        </w:tc>
        <w:tc>
          <w:tcPr>
            <w:tcW w:w="644" w:type="pct"/>
            <w:tcBorders>
              <w:top w:val="single" w:sz="4" w:space="0" w:color="auto"/>
              <w:left w:val="single" w:sz="4" w:space="0" w:color="auto"/>
              <w:bottom w:val="single" w:sz="4" w:space="0" w:color="auto"/>
              <w:right w:val="single" w:sz="4" w:space="0" w:color="auto"/>
            </w:tcBorders>
          </w:tcPr>
          <w:p w14:paraId="73247939" w14:textId="77777777" w:rsidR="00532249" w:rsidRPr="006D3E70" w:rsidRDefault="00532249" w:rsidP="00714EB9">
            <w:pPr>
              <w:pStyle w:val="Tabletext"/>
              <w:jc w:val="center"/>
              <w:rPr>
                <w:lang w:val="fr-FR"/>
              </w:rPr>
            </w:pPr>
            <w:r w:rsidRPr="006D3E70">
              <w:rPr>
                <w:lang w:val="fr-FR"/>
              </w:rPr>
              <w:t>–147,0</w:t>
            </w:r>
          </w:p>
        </w:tc>
      </w:tr>
      <w:tr w:rsidR="00532249" w:rsidRPr="006D3E70" w14:paraId="2422D88D" w14:textId="77777777" w:rsidTr="00714EB9">
        <w:trPr>
          <w:jc w:val="center"/>
        </w:trPr>
        <w:tc>
          <w:tcPr>
            <w:tcW w:w="339" w:type="pct"/>
            <w:tcBorders>
              <w:top w:val="single" w:sz="4" w:space="0" w:color="auto"/>
              <w:left w:val="single" w:sz="4" w:space="0" w:color="auto"/>
              <w:bottom w:val="single" w:sz="4" w:space="0" w:color="auto"/>
              <w:right w:val="single" w:sz="4" w:space="0" w:color="auto"/>
            </w:tcBorders>
          </w:tcPr>
          <w:p w14:paraId="3F34EDE0" w14:textId="77777777" w:rsidR="00532249" w:rsidRPr="006D3E70" w:rsidRDefault="00532249" w:rsidP="00714EB9">
            <w:pPr>
              <w:pStyle w:val="Tabletext"/>
              <w:jc w:val="center"/>
              <w:rPr>
                <w:lang w:val="fr-FR"/>
              </w:rPr>
            </w:pPr>
            <w:r w:rsidRPr="006D3E70">
              <w:rPr>
                <w:lang w:val="fr-FR"/>
              </w:rPr>
              <w:t>–80</w:t>
            </w:r>
          </w:p>
        </w:tc>
        <w:tc>
          <w:tcPr>
            <w:tcW w:w="717" w:type="pct"/>
            <w:tcBorders>
              <w:top w:val="single" w:sz="4" w:space="0" w:color="auto"/>
              <w:left w:val="single" w:sz="4" w:space="0" w:color="auto"/>
              <w:bottom w:val="single" w:sz="4" w:space="0" w:color="auto"/>
              <w:right w:val="single" w:sz="4" w:space="0" w:color="auto"/>
            </w:tcBorders>
            <w:tcMar>
              <w:left w:w="0" w:type="dxa"/>
              <w:right w:w="0" w:type="dxa"/>
            </w:tcMar>
          </w:tcPr>
          <w:p w14:paraId="6C968BEE" w14:textId="77777777" w:rsidR="00532249" w:rsidRPr="006D3E70" w:rsidRDefault="00532249" w:rsidP="00714EB9">
            <w:pPr>
              <w:pStyle w:val="Tabletext"/>
              <w:jc w:val="center"/>
              <w:rPr>
                <w:lang w:val="fr-FR"/>
              </w:rPr>
            </w:pPr>
            <w:r w:rsidRPr="006D3E70">
              <w:rPr>
                <w:lang w:val="fr-FR"/>
              </w:rPr>
              <w:t>0,01</w:t>
            </w:r>
          </w:p>
        </w:tc>
        <w:tc>
          <w:tcPr>
            <w:tcW w:w="505" w:type="pct"/>
            <w:tcBorders>
              <w:top w:val="single" w:sz="4" w:space="0" w:color="auto"/>
              <w:left w:val="single" w:sz="4" w:space="0" w:color="auto"/>
              <w:bottom w:val="single" w:sz="4" w:space="0" w:color="auto"/>
              <w:right w:val="single" w:sz="4" w:space="0" w:color="auto"/>
            </w:tcBorders>
          </w:tcPr>
          <w:p w14:paraId="66831654" w14:textId="77777777" w:rsidR="00532249" w:rsidRPr="006D3E70" w:rsidRDefault="00532249" w:rsidP="00714EB9">
            <w:pPr>
              <w:pStyle w:val="Tabletext"/>
              <w:jc w:val="center"/>
              <w:rPr>
                <w:lang w:val="fr-FR"/>
              </w:rPr>
            </w:pPr>
            <w:r w:rsidRPr="006D3E70">
              <w:rPr>
                <w:lang w:val="fr-FR"/>
              </w:rPr>
              <w:t>10</w:t>
            </w:r>
          </w:p>
        </w:tc>
        <w:tc>
          <w:tcPr>
            <w:tcW w:w="434" w:type="pct"/>
            <w:tcBorders>
              <w:top w:val="single" w:sz="4" w:space="0" w:color="auto"/>
              <w:left w:val="single" w:sz="4" w:space="0" w:color="auto"/>
              <w:bottom w:val="single" w:sz="4" w:space="0" w:color="auto"/>
              <w:right w:val="single" w:sz="4" w:space="0" w:color="auto"/>
            </w:tcBorders>
          </w:tcPr>
          <w:p w14:paraId="4DFC91DF" w14:textId="77777777" w:rsidR="00532249" w:rsidRPr="006D3E70" w:rsidRDefault="00532249" w:rsidP="00714EB9">
            <w:pPr>
              <w:pStyle w:val="Tabletext"/>
              <w:jc w:val="center"/>
              <w:rPr>
                <w:lang w:val="fr-FR"/>
              </w:rPr>
            </w:pPr>
            <w:r w:rsidRPr="006D3E70">
              <w:rPr>
                <w:lang w:val="fr-FR"/>
              </w:rPr>
              <w:t>–110</w:t>
            </w:r>
          </w:p>
        </w:tc>
        <w:tc>
          <w:tcPr>
            <w:tcW w:w="445" w:type="pct"/>
            <w:tcBorders>
              <w:top w:val="single" w:sz="4" w:space="0" w:color="auto"/>
              <w:left w:val="single" w:sz="4" w:space="0" w:color="auto"/>
              <w:bottom w:val="single" w:sz="4" w:space="0" w:color="auto"/>
              <w:right w:val="single" w:sz="4" w:space="0" w:color="auto"/>
            </w:tcBorders>
          </w:tcPr>
          <w:p w14:paraId="6D74ED6D" w14:textId="77777777" w:rsidR="00532249" w:rsidRPr="006D3E70" w:rsidRDefault="00532249" w:rsidP="00714EB9">
            <w:pPr>
              <w:pStyle w:val="Tabletext"/>
              <w:jc w:val="center"/>
              <w:rPr>
                <w:lang w:val="fr-FR"/>
              </w:rPr>
            </w:pPr>
            <w:r w:rsidRPr="006D3E70">
              <w:rPr>
                <w:lang w:val="fr-FR"/>
              </w:rPr>
              <w:t>–82,15</w:t>
            </w:r>
          </w:p>
        </w:tc>
        <w:tc>
          <w:tcPr>
            <w:tcW w:w="641" w:type="pct"/>
            <w:tcBorders>
              <w:top w:val="single" w:sz="4" w:space="0" w:color="auto"/>
              <w:left w:val="single" w:sz="4" w:space="0" w:color="auto"/>
              <w:bottom w:val="single" w:sz="4" w:space="0" w:color="auto"/>
              <w:right w:val="single" w:sz="4" w:space="0" w:color="auto"/>
            </w:tcBorders>
          </w:tcPr>
          <w:p w14:paraId="39C57180" w14:textId="77777777" w:rsidR="00532249" w:rsidRPr="006D3E70" w:rsidRDefault="00532249" w:rsidP="00714EB9">
            <w:pPr>
              <w:pStyle w:val="Tabletext"/>
              <w:jc w:val="center"/>
              <w:rPr>
                <w:lang w:val="fr-FR"/>
              </w:rPr>
            </w:pPr>
            <w:r w:rsidRPr="006D3E70">
              <w:rPr>
                <w:lang w:val="fr-FR"/>
              </w:rPr>
              <w:t>4,8</w:t>
            </w:r>
          </w:p>
        </w:tc>
        <w:tc>
          <w:tcPr>
            <w:tcW w:w="626" w:type="pct"/>
            <w:tcBorders>
              <w:top w:val="single" w:sz="4" w:space="0" w:color="auto"/>
              <w:left w:val="single" w:sz="4" w:space="0" w:color="auto"/>
              <w:bottom w:val="single" w:sz="4" w:space="0" w:color="auto"/>
              <w:right w:val="single" w:sz="4" w:space="0" w:color="auto"/>
            </w:tcBorders>
          </w:tcPr>
          <w:p w14:paraId="669FFB90" w14:textId="77777777" w:rsidR="00532249" w:rsidRPr="006D3E70" w:rsidRDefault="00532249" w:rsidP="00714EB9">
            <w:pPr>
              <w:pStyle w:val="Tabletext"/>
              <w:jc w:val="center"/>
              <w:rPr>
                <w:lang w:val="fr-FR"/>
              </w:rPr>
            </w:pPr>
            <w:r w:rsidRPr="006D3E70">
              <w:rPr>
                <w:lang w:val="fr-FR"/>
              </w:rPr>
              <w:t>8,8</w:t>
            </w:r>
          </w:p>
        </w:tc>
        <w:tc>
          <w:tcPr>
            <w:tcW w:w="648" w:type="pct"/>
            <w:tcBorders>
              <w:top w:val="single" w:sz="4" w:space="0" w:color="auto"/>
              <w:left w:val="single" w:sz="4" w:space="0" w:color="auto"/>
              <w:bottom w:val="single" w:sz="4" w:space="0" w:color="auto"/>
              <w:right w:val="single" w:sz="4" w:space="0" w:color="auto"/>
            </w:tcBorders>
          </w:tcPr>
          <w:p w14:paraId="2282A8C4" w14:textId="77777777" w:rsidR="00532249" w:rsidRPr="006D3E70" w:rsidRDefault="00532249" w:rsidP="00714EB9">
            <w:pPr>
              <w:pStyle w:val="Tabletext"/>
              <w:jc w:val="center"/>
              <w:rPr>
                <w:lang w:val="fr-FR"/>
              </w:rPr>
            </w:pPr>
            <w:r w:rsidRPr="006D3E70">
              <w:rPr>
                <w:lang w:val="fr-FR"/>
              </w:rPr>
              <w:t>–141,0</w:t>
            </w:r>
          </w:p>
        </w:tc>
        <w:tc>
          <w:tcPr>
            <w:tcW w:w="644" w:type="pct"/>
            <w:tcBorders>
              <w:top w:val="single" w:sz="4" w:space="0" w:color="auto"/>
              <w:left w:val="single" w:sz="4" w:space="0" w:color="auto"/>
              <w:bottom w:val="single" w:sz="4" w:space="0" w:color="auto"/>
              <w:right w:val="single" w:sz="4" w:space="0" w:color="auto"/>
            </w:tcBorders>
          </w:tcPr>
          <w:p w14:paraId="09913ECC" w14:textId="77777777" w:rsidR="00532249" w:rsidRPr="006D3E70" w:rsidRDefault="00532249" w:rsidP="00714EB9">
            <w:pPr>
              <w:pStyle w:val="Tabletext"/>
              <w:jc w:val="center"/>
              <w:rPr>
                <w:lang w:val="fr-FR"/>
              </w:rPr>
            </w:pPr>
            <w:r w:rsidRPr="006D3E70">
              <w:rPr>
                <w:lang w:val="fr-FR"/>
              </w:rPr>
              <w:t>–137,0</w:t>
            </w:r>
          </w:p>
        </w:tc>
      </w:tr>
      <w:tr w:rsidR="00532249" w:rsidRPr="006D3E70" w14:paraId="3D31BD50" w14:textId="77777777" w:rsidTr="00714EB9">
        <w:trPr>
          <w:jc w:val="center"/>
        </w:trPr>
        <w:tc>
          <w:tcPr>
            <w:tcW w:w="339" w:type="pct"/>
            <w:tcBorders>
              <w:top w:val="single" w:sz="4" w:space="0" w:color="auto"/>
              <w:left w:val="single" w:sz="4" w:space="0" w:color="auto"/>
              <w:bottom w:val="single" w:sz="4" w:space="0" w:color="auto"/>
              <w:right w:val="single" w:sz="4" w:space="0" w:color="auto"/>
            </w:tcBorders>
          </w:tcPr>
          <w:p w14:paraId="67DA54CA" w14:textId="77777777" w:rsidR="00532249" w:rsidRPr="006D3E70" w:rsidRDefault="00532249" w:rsidP="00714EB9">
            <w:pPr>
              <w:pStyle w:val="Tabletext"/>
              <w:jc w:val="center"/>
              <w:rPr>
                <w:lang w:val="fr-FR"/>
              </w:rPr>
            </w:pPr>
            <w:r w:rsidRPr="006D3E70">
              <w:rPr>
                <w:lang w:val="fr-FR"/>
              </w:rPr>
              <w:t>–70</w:t>
            </w:r>
          </w:p>
        </w:tc>
        <w:tc>
          <w:tcPr>
            <w:tcW w:w="717" w:type="pct"/>
            <w:tcBorders>
              <w:top w:val="single" w:sz="4" w:space="0" w:color="auto"/>
              <w:left w:val="single" w:sz="4" w:space="0" w:color="auto"/>
              <w:bottom w:val="single" w:sz="4" w:space="0" w:color="auto"/>
              <w:right w:val="single" w:sz="4" w:space="0" w:color="auto"/>
            </w:tcBorders>
            <w:tcMar>
              <w:left w:w="0" w:type="dxa"/>
              <w:right w:w="0" w:type="dxa"/>
            </w:tcMar>
          </w:tcPr>
          <w:p w14:paraId="3DF3B2BC" w14:textId="77777777" w:rsidR="00532249" w:rsidRPr="006D3E70" w:rsidRDefault="00532249" w:rsidP="00714EB9">
            <w:pPr>
              <w:pStyle w:val="Tabletext"/>
              <w:jc w:val="center"/>
              <w:rPr>
                <w:lang w:val="fr-FR"/>
              </w:rPr>
            </w:pPr>
            <w:r w:rsidRPr="006D3E70">
              <w:rPr>
                <w:lang w:val="fr-FR"/>
              </w:rPr>
              <w:t>0,1</w:t>
            </w:r>
          </w:p>
        </w:tc>
        <w:tc>
          <w:tcPr>
            <w:tcW w:w="505" w:type="pct"/>
            <w:tcBorders>
              <w:top w:val="single" w:sz="4" w:space="0" w:color="auto"/>
              <w:left w:val="single" w:sz="4" w:space="0" w:color="auto"/>
              <w:bottom w:val="single" w:sz="4" w:space="0" w:color="auto"/>
              <w:right w:val="single" w:sz="4" w:space="0" w:color="auto"/>
            </w:tcBorders>
          </w:tcPr>
          <w:p w14:paraId="491C989C" w14:textId="77777777" w:rsidR="00532249" w:rsidRPr="006D3E70" w:rsidRDefault="00532249" w:rsidP="00714EB9">
            <w:pPr>
              <w:pStyle w:val="Tabletext"/>
              <w:jc w:val="center"/>
              <w:rPr>
                <w:lang w:val="fr-FR"/>
              </w:rPr>
            </w:pPr>
            <w:r w:rsidRPr="006D3E70">
              <w:rPr>
                <w:lang w:val="fr-FR"/>
              </w:rPr>
              <w:t>20</w:t>
            </w:r>
          </w:p>
        </w:tc>
        <w:tc>
          <w:tcPr>
            <w:tcW w:w="434" w:type="pct"/>
            <w:tcBorders>
              <w:top w:val="single" w:sz="4" w:space="0" w:color="auto"/>
              <w:left w:val="single" w:sz="4" w:space="0" w:color="auto"/>
              <w:bottom w:val="single" w:sz="4" w:space="0" w:color="auto"/>
              <w:right w:val="single" w:sz="4" w:space="0" w:color="auto"/>
            </w:tcBorders>
          </w:tcPr>
          <w:p w14:paraId="691768FE" w14:textId="77777777" w:rsidR="00532249" w:rsidRPr="006D3E70" w:rsidRDefault="00532249" w:rsidP="00714EB9">
            <w:pPr>
              <w:pStyle w:val="Tabletext"/>
              <w:jc w:val="center"/>
              <w:rPr>
                <w:lang w:val="fr-FR"/>
              </w:rPr>
            </w:pPr>
            <w:r w:rsidRPr="006D3E70">
              <w:rPr>
                <w:lang w:val="fr-FR"/>
              </w:rPr>
              <w:t>–100</w:t>
            </w:r>
          </w:p>
        </w:tc>
        <w:tc>
          <w:tcPr>
            <w:tcW w:w="445" w:type="pct"/>
            <w:tcBorders>
              <w:top w:val="single" w:sz="4" w:space="0" w:color="auto"/>
              <w:left w:val="single" w:sz="4" w:space="0" w:color="auto"/>
              <w:bottom w:val="single" w:sz="4" w:space="0" w:color="auto"/>
              <w:right w:val="single" w:sz="4" w:space="0" w:color="auto"/>
            </w:tcBorders>
          </w:tcPr>
          <w:p w14:paraId="4223CDB0" w14:textId="77777777" w:rsidR="00532249" w:rsidRPr="006D3E70" w:rsidRDefault="00532249" w:rsidP="00714EB9">
            <w:pPr>
              <w:pStyle w:val="Tabletext"/>
              <w:jc w:val="center"/>
              <w:rPr>
                <w:lang w:val="fr-FR"/>
              </w:rPr>
            </w:pPr>
            <w:r w:rsidRPr="006D3E70">
              <w:rPr>
                <w:lang w:val="fr-FR"/>
              </w:rPr>
              <w:t>–72,15</w:t>
            </w:r>
          </w:p>
        </w:tc>
        <w:tc>
          <w:tcPr>
            <w:tcW w:w="641" w:type="pct"/>
            <w:tcBorders>
              <w:top w:val="single" w:sz="4" w:space="0" w:color="auto"/>
              <w:left w:val="single" w:sz="4" w:space="0" w:color="auto"/>
              <w:bottom w:val="single" w:sz="4" w:space="0" w:color="auto"/>
              <w:right w:val="single" w:sz="4" w:space="0" w:color="auto"/>
            </w:tcBorders>
          </w:tcPr>
          <w:p w14:paraId="7296A49D" w14:textId="77777777" w:rsidR="00532249" w:rsidRPr="006D3E70" w:rsidRDefault="00532249" w:rsidP="00714EB9">
            <w:pPr>
              <w:pStyle w:val="Tabletext"/>
              <w:jc w:val="center"/>
              <w:rPr>
                <w:lang w:val="fr-FR"/>
              </w:rPr>
            </w:pPr>
            <w:r w:rsidRPr="006D3E70">
              <w:rPr>
                <w:lang w:val="fr-FR"/>
              </w:rPr>
              <w:t>14,8</w:t>
            </w:r>
          </w:p>
        </w:tc>
        <w:tc>
          <w:tcPr>
            <w:tcW w:w="626" w:type="pct"/>
            <w:tcBorders>
              <w:top w:val="single" w:sz="4" w:space="0" w:color="auto"/>
              <w:left w:val="single" w:sz="4" w:space="0" w:color="auto"/>
              <w:bottom w:val="single" w:sz="4" w:space="0" w:color="auto"/>
              <w:right w:val="single" w:sz="4" w:space="0" w:color="auto"/>
            </w:tcBorders>
          </w:tcPr>
          <w:p w14:paraId="18360669" w14:textId="77777777" w:rsidR="00532249" w:rsidRPr="006D3E70" w:rsidRDefault="00532249" w:rsidP="00714EB9">
            <w:pPr>
              <w:pStyle w:val="Tabletext"/>
              <w:jc w:val="center"/>
              <w:rPr>
                <w:lang w:val="fr-FR"/>
              </w:rPr>
            </w:pPr>
            <w:r w:rsidRPr="006D3E70">
              <w:rPr>
                <w:lang w:val="fr-FR"/>
              </w:rPr>
              <w:t>18,8</w:t>
            </w:r>
          </w:p>
        </w:tc>
        <w:tc>
          <w:tcPr>
            <w:tcW w:w="648" w:type="pct"/>
            <w:tcBorders>
              <w:top w:val="single" w:sz="4" w:space="0" w:color="auto"/>
              <w:left w:val="single" w:sz="4" w:space="0" w:color="auto"/>
              <w:bottom w:val="single" w:sz="4" w:space="0" w:color="auto"/>
              <w:right w:val="single" w:sz="4" w:space="0" w:color="auto"/>
            </w:tcBorders>
          </w:tcPr>
          <w:p w14:paraId="6BA0A8DB" w14:textId="77777777" w:rsidR="00532249" w:rsidRPr="006D3E70" w:rsidRDefault="00532249" w:rsidP="00714EB9">
            <w:pPr>
              <w:pStyle w:val="Tabletext"/>
              <w:jc w:val="center"/>
              <w:rPr>
                <w:lang w:val="fr-FR"/>
              </w:rPr>
            </w:pPr>
            <w:r w:rsidRPr="006D3E70">
              <w:rPr>
                <w:lang w:val="fr-FR"/>
              </w:rPr>
              <w:t>–131,0</w:t>
            </w:r>
          </w:p>
        </w:tc>
        <w:tc>
          <w:tcPr>
            <w:tcW w:w="644" w:type="pct"/>
            <w:tcBorders>
              <w:top w:val="single" w:sz="4" w:space="0" w:color="auto"/>
              <w:left w:val="single" w:sz="4" w:space="0" w:color="auto"/>
              <w:bottom w:val="single" w:sz="4" w:space="0" w:color="auto"/>
              <w:right w:val="single" w:sz="4" w:space="0" w:color="auto"/>
            </w:tcBorders>
          </w:tcPr>
          <w:p w14:paraId="0D7ADB0A" w14:textId="77777777" w:rsidR="00532249" w:rsidRPr="006D3E70" w:rsidRDefault="00532249" w:rsidP="00714EB9">
            <w:pPr>
              <w:pStyle w:val="Tabletext"/>
              <w:jc w:val="center"/>
              <w:rPr>
                <w:lang w:val="fr-FR"/>
              </w:rPr>
            </w:pPr>
            <w:r w:rsidRPr="006D3E70">
              <w:rPr>
                <w:lang w:val="fr-FR"/>
              </w:rPr>
              <w:t>–127,0</w:t>
            </w:r>
          </w:p>
        </w:tc>
      </w:tr>
      <w:tr w:rsidR="00532249" w:rsidRPr="006D3E70" w14:paraId="7F71FCE0" w14:textId="77777777" w:rsidTr="00714EB9">
        <w:trPr>
          <w:jc w:val="center"/>
        </w:trPr>
        <w:tc>
          <w:tcPr>
            <w:tcW w:w="339" w:type="pct"/>
            <w:tcBorders>
              <w:top w:val="single" w:sz="4" w:space="0" w:color="auto"/>
              <w:left w:val="single" w:sz="4" w:space="0" w:color="auto"/>
              <w:bottom w:val="single" w:sz="4" w:space="0" w:color="auto"/>
              <w:right w:val="single" w:sz="4" w:space="0" w:color="auto"/>
            </w:tcBorders>
          </w:tcPr>
          <w:p w14:paraId="3838861F" w14:textId="77777777" w:rsidR="00532249" w:rsidRPr="006D3E70" w:rsidRDefault="00532249" w:rsidP="00714EB9">
            <w:pPr>
              <w:pStyle w:val="Tabletext"/>
              <w:jc w:val="center"/>
              <w:rPr>
                <w:lang w:val="fr-FR"/>
              </w:rPr>
            </w:pPr>
            <w:r w:rsidRPr="006D3E70">
              <w:rPr>
                <w:lang w:val="fr-FR"/>
              </w:rPr>
              <w:t>–60</w:t>
            </w:r>
          </w:p>
        </w:tc>
        <w:tc>
          <w:tcPr>
            <w:tcW w:w="717" w:type="pct"/>
            <w:tcBorders>
              <w:top w:val="single" w:sz="4" w:space="0" w:color="auto"/>
              <w:left w:val="single" w:sz="4" w:space="0" w:color="auto"/>
              <w:bottom w:val="single" w:sz="4" w:space="0" w:color="auto"/>
              <w:right w:val="single" w:sz="4" w:space="0" w:color="auto"/>
            </w:tcBorders>
            <w:tcMar>
              <w:left w:w="0" w:type="dxa"/>
              <w:right w:w="0" w:type="dxa"/>
            </w:tcMar>
          </w:tcPr>
          <w:p w14:paraId="6B7E27DA" w14:textId="77777777" w:rsidR="00532249" w:rsidRPr="006D3E70" w:rsidRDefault="00532249" w:rsidP="00714EB9">
            <w:pPr>
              <w:pStyle w:val="Tabletext"/>
              <w:jc w:val="center"/>
              <w:rPr>
                <w:lang w:val="fr-FR"/>
              </w:rPr>
            </w:pPr>
            <w:r w:rsidRPr="006D3E70">
              <w:rPr>
                <w:lang w:val="fr-FR"/>
              </w:rPr>
              <w:t>1</w:t>
            </w:r>
          </w:p>
        </w:tc>
        <w:tc>
          <w:tcPr>
            <w:tcW w:w="505" w:type="pct"/>
            <w:tcBorders>
              <w:top w:val="single" w:sz="4" w:space="0" w:color="auto"/>
              <w:left w:val="single" w:sz="4" w:space="0" w:color="auto"/>
              <w:bottom w:val="single" w:sz="4" w:space="0" w:color="auto"/>
              <w:right w:val="single" w:sz="4" w:space="0" w:color="auto"/>
            </w:tcBorders>
          </w:tcPr>
          <w:p w14:paraId="61CBD92B" w14:textId="77777777" w:rsidR="00532249" w:rsidRPr="006D3E70" w:rsidRDefault="00532249" w:rsidP="00714EB9">
            <w:pPr>
              <w:pStyle w:val="Tabletext"/>
              <w:jc w:val="center"/>
              <w:rPr>
                <w:lang w:val="fr-FR"/>
              </w:rPr>
            </w:pPr>
            <w:r w:rsidRPr="006D3E70">
              <w:rPr>
                <w:lang w:val="fr-FR"/>
              </w:rPr>
              <w:t>30</w:t>
            </w:r>
          </w:p>
        </w:tc>
        <w:tc>
          <w:tcPr>
            <w:tcW w:w="434" w:type="pct"/>
            <w:tcBorders>
              <w:top w:val="single" w:sz="4" w:space="0" w:color="auto"/>
              <w:left w:val="single" w:sz="4" w:space="0" w:color="auto"/>
              <w:bottom w:val="single" w:sz="4" w:space="0" w:color="auto"/>
              <w:right w:val="single" w:sz="4" w:space="0" w:color="auto"/>
            </w:tcBorders>
          </w:tcPr>
          <w:p w14:paraId="645733F1" w14:textId="6A0860E8" w:rsidR="00532249" w:rsidRPr="006D3E70" w:rsidRDefault="00532249" w:rsidP="00714EB9">
            <w:pPr>
              <w:pStyle w:val="Tabletext"/>
              <w:jc w:val="center"/>
              <w:rPr>
                <w:lang w:val="fr-FR"/>
              </w:rPr>
            </w:pPr>
            <w:r w:rsidRPr="006D3E70">
              <w:rPr>
                <w:lang w:val="fr-FR"/>
              </w:rPr>
              <w:t>–90</w:t>
            </w:r>
          </w:p>
        </w:tc>
        <w:tc>
          <w:tcPr>
            <w:tcW w:w="445" w:type="pct"/>
            <w:tcBorders>
              <w:top w:val="single" w:sz="4" w:space="0" w:color="auto"/>
              <w:left w:val="single" w:sz="4" w:space="0" w:color="auto"/>
              <w:bottom w:val="single" w:sz="4" w:space="0" w:color="auto"/>
              <w:right w:val="single" w:sz="4" w:space="0" w:color="auto"/>
            </w:tcBorders>
          </w:tcPr>
          <w:p w14:paraId="00707EEB" w14:textId="77777777" w:rsidR="00532249" w:rsidRPr="006D3E70" w:rsidRDefault="00532249" w:rsidP="00714EB9">
            <w:pPr>
              <w:pStyle w:val="Tabletext"/>
              <w:jc w:val="center"/>
              <w:rPr>
                <w:lang w:val="fr-FR"/>
              </w:rPr>
            </w:pPr>
            <w:r w:rsidRPr="006D3E70">
              <w:rPr>
                <w:lang w:val="fr-FR"/>
              </w:rPr>
              <w:t>–62,15</w:t>
            </w:r>
          </w:p>
        </w:tc>
        <w:tc>
          <w:tcPr>
            <w:tcW w:w="641" w:type="pct"/>
            <w:tcBorders>
              <w:top w:val="single" w:sz="4" w:space="0" w:color="auto"/>
              <w:left w:val="single" w:sz="4" w:space="0" w:color="auto"/>
              <w:bottom w:val="single" w:sz="4" w:space="0" w:color="auto"/>
              <w:right w:val="single" w:sz="4" w:space="0" w:color="auto"/>
            </w:tcBorders>
          </w:tcPr>
          <w:p w14:paraId="76C1B317" w14:textId="77777777" w:rsidR="00532249" w:rsidRPr="006D3E70" w:rsidRDefault="00532249" w:rsidP="00714EB9">
            <w:pPr>
              <w:pStyle w:val="Tabletext"/>
              <w:jc w:val="center"/>
              <w:rPr>
                <w:lang w:val="fr-FR"/>
              </w:rPr>
            </w:pPr>
            <w:r w:rsidRPr="006D3E70">
              <w:rPr>
                <w:lang w:val="fr-FR"/>
              </w:rPr>
              <w:t>24,8</w:t>
            </w:r>
          </w:p>
        </w:tc>
        <w:tc>
          <w:tcPr>
            <w:tcW w:w="626" w:type="pct"/>
            <w:tcBorders>
              <w:top w:val="single" w:sz="4" w:space="0" w:color="auto"/>
              <w:left w:val="single" w:sz="4" w:space="0" w:color="auto"/>
              <w:bottom w:val="single" w:sz="4" w:space="0" w:color="auto"/>
              <w:right w:val="single" w:sz="4" w:space="0" w:color="auto"/>
            </w:tcBorders>
          </w:tcPr>
          <w:p w14:paraId="000082A1" w14:textId="77777777" w:rsidR="00532249" w:rsidRPr="006D3E70" w:rsidRDefault="00532249" w:rsidP="00714EB9">
            <w:pPr>
              <w:pStyle w:val="Tabletext"/>
              <w:jc w:val="center"/>
              <w:rPr>
                <w:lang w:val="fr-FR"/>
              </w:rPr>
            </w:pPr>
            <w:r w:rsidRPr="006D3E70">
              <w:rPr>
                <w:lang w:val="fr-FR"/>
              </w:rPr>
              <w:t>28,8</w:t>
            </w:r>
          </w:p>
        </w:tc>
        <w:tc>
          <w:tcPr>
            <w:tcW w:w="648" w:type="pct"/>
            <w:tcBorders>
              <w:top w:val="single" w:sz="4" w:space="0" w:color="auto"/>
              <w:left w:val="single" w:sz="4" w:space="0" w:color="auto"/>
              <w:bottom w:val="single" w:sz="4" w:space="0" w:color="auto"/>
              <w:right w:val="single" w:sz="4" w:space="0" w:color="auto"/>
            </w:tcBorders>
          </w:tcPr>
          <w:p w14:paraId="2EA01083" w14:textId="77777777" w:rsidR="00532249" w:rsidRPr="006D3E70" w:rsidRDefault="00532249" w:rsidP="00714EB9">
            <w:pPr>
              <w:pStyle w:val="Tabletext"/>
              <w:jc w:val="center"/>
              <w:rPr>
                <w:lang w:val="fr-FR"/>
              </w:rPr>
            </w:pPr>
            <w:r w:rsidRPr="006D3E70">
              <w:rPr>
                <w:lang w:val="fr-FR"/>
              </w:rPr>
              <w:t>–121,0</w:t>
            </w:r>
          </w:p>
        </w:tc>
        <w:tc>
          <w:tcPr>
            <w:tcW w:w="644" w:type="pct"/>
            <w:tcBorders>
              <w:top w:val="single" w:sz="4" w:space="0" w:color="auto"/>
              <w:left w:val="single" w:sz="4" w:space="0" w:color="auto"/>
              <w:bottom w:val="single" w:sz="4" w:space="0" w:color="auto"/>
              <w:right w:val="single" w:sz="4" w:space="0" w:color="auto"/>
            </w:tcBorders>
          </w:tcPr>
          <w:p w14:paraId="4DA64A02" w14:textId="77777777" w:rsidR="00532249" w:rsidRPr="006D3E70" w:rsidRDefault="00532249" w:rsidP="00714EB9">
            <w:pPr>
              <w:pStyle w:val="Tabletext"/>
              <w:jc w:val="center"/>
              <w:rPr>
                <w:lang w:val="fr-FR"/>
              </w:rPr>
            </w:pPr>
            <w:r w:rsidRPr="006D3E70">
              <w:rPr>
                <w:lang w:val="fr-FR"/>
              </w:rPr>
              <w:t>–117,0</w:t>
            </w:r>
          </w:p>
        </w:tc>
      </w:tr>
      <w:tr w:rsidR="00532249" w:rsidRPr="006D3E70" w14:paraId="6B11FFF2" w14:textId="77777777" w:rsidTr="00714EB9">
        <w:trPr>
          <w:jc w:val="center"/>
        </w:trPr>
        <w:tc>
          <w:tcPr>
            <w:tcW w:w="339" w:type="pct"/>
            <w:tcBorders>
              <w:top w:val="single" w:sz="4" w:space="0" w:color="auto"/>
              <w:left w:val="single" w:sz="4" w:space="0" w:color="auto"/>
              <w:bottom w:val="single" w:sz="4" w:space="0" w:color="auto"/>
              <w:right w:val="single" w:sz="4" w:space="0" w:color="auto"/>
            </w:tcBorders>
          </w:tcPr>
          <w:p w14:paraId="52FF0886" w14:textId="77777777" w:rsidR="00532249" w:rsidRPr="006D3E70" w:rsidRDefault="00532249" w:rsidP="00714EB9">
            <w:pPr>
              <w:pStyle w:val="Tabletext"/>
              <w:jc w:val="center"/>
              <w:rPr>
                <w:lang w:val="fr-FR"/>
              </w:rPr>
            </w:pPr>
            <w:r w:rsidRPr="006D3E70">
              <w:rPr>
                <w:lang w:val="fr-FR"/>
              </w:rPr>
              <w:t>–50</w:t>
            </w:r>
          </w:p>
        </w:tc>
        <w:tc>
          <w:tcPr>
            <w:tcW w:w="717" w:type="pct"/>
            <w:tcBorders>
              <w:top w:val="single" w:sz="4" w:space="0" w:color="auto"/>
              <w:left w:val="single" w:sz="4" w:space="0" w:color="auto"/>
              <w:bottom w:val="single" w:sz="4" w:space="0" w:color="auto"/>
              <w:right w:val="single" w:sz="4" w:space="0" w:color="auto"/>
            </w:tcBorders>
            <w:tcMar>
              <w:left w:w="0" w:type="dxa"/>
              <w:right w:w="0" w:type="dxa"/>
            </w:tcMar>
          </w:tcPr>
          <w:p w14:paraId="1CF6CCEE" w14:textId="77777777" w:rsidR="00532249" w:rsidRPr="006D3E70" w:rsidRDefault="00532249" w:rsidP="00714EB9">
            <w:pPr>
              <w:pStyle w:val="Tabletext"/>
              <w:jc w:val="center"/>
              <w:rPr>
                <w:lang w:val="fr-FR"/>
              </w:rPr>
            </w:pPr>
            <w:r w:rsidRPr="006D3E70">
              <w:rPr>
                <w:lang w:val="fr-FR"/>
              </w:rPr>
              <w:t>10</w:t>
            </w:r>
          </w:p>
        </w:tc>
        <w:tc>
          <w:tcPr>
            <w:tcW w:w="505" w:type="pct"/>
            <w:tcBorders>
              <w:top w:val="single" w:sz="4" w:space="0" w:color="auto"/>
              <w:left w:val="single" w:sz="4" w:space="0" w:color="auto"/>
              <w:bottom w:val="single" w:sz="4" w:space="0" w:color="auto"/>
              <w:right w:val="single" w:sz="4" w:space="0" w:color="auto"/>
            </w:tcBorders>
          </w:tcPr>
          <w:p w14:paraId="43208E8B" w14:textId="77777777" w:rsidR="00532249" w:rsidRPr="006D3E70" w:rsidRDefault="00532249" w:rsidP="00714EB9">
            <w:pPr>
              <w:pStyle w:val="Tabletext"/>
              <w:jc w:val="center"/>
              <w:rPr>
                <w:lang w:val="fr-FR"/>
              </w:rPr>
            </w:pPr>
            <w:r w:rsidRPr="006D3E70">
              <w:rPr>
                <w:lang w:val="fr-FR"/>
              </w:rPr>
              <w:t>40</w:t>
            </w:r>
          </w:p>
        </w:tc>
        <w:tc>
          <w:tcPr>
            <w:tcW w:w="434" w:type="pct"/>
            <w:tcBorders>
              <w:top w:val="single" w:sz="4" w:space="0" w:color="auto"/>
              <w:left w:val="single" w:sz="4" w:space="0" w:color="auto"/>
              <w:bottom w:val="single" w:sz="4" w:space="0" w:color="auto"/>
              <w:right w:val="single" w:sz="4" w:space="0" w:color="auto"/>
            </w:tcBorders>
          </w:tcPr>
          <w:p w14:paraId="53093A4B" w14:textId="5E7A9DBD" w:rsidR="00532249" w:rsidRPr="006D3E70" w:rsidRDefault="00532249" w:rsidP="00714EB9">
            <w:pPr>
              <w:pStyle w:val="Tabletext"/>
              <w:jc w:val="center"/>
              <w:rPr>
                <w:lang w:val="fr-FR"/>
              </w:rPr>
            </w:pPr>
            <w:r w:rsidRPr="006D3E70">
              <w:rPr>
                <w:lang w:val="fr-FR"/>
              </w:rPr>
              <w:t>–80</w:t>
            </w:r>
          </w:p>
        </w:tc>
        <w:tc>
          <w:tcPr>
            <w:tcW w:w="445" w:type="pct"/>
            <w:tcBorders>
              <w:top w:val="single" w:sz="4" w:space="0" w:color="auto"/>
              <w:left w:val="single" w:sz="4" w:space="0" w:color="auto"/>
              <w:bottom w:val="single" w:sz="4" w:space="0" w:color="auto"/>
              <w:right w:val="single" w:sz="4" w:space="0" w:color="auto"/>
            </w:tcBorders>
          </w:tcPr>
          <w:p w14:paraId="240E3A3F" w14:textId="77777777" w:rsidR="00532249" w:rsidRPr="006D3E70" w:rsidRDefault="00532249" w:rsidP="00714EB9">
            <w:pPr>
              <w:pStyle w:val="Tabletext"/>
              <w:jc w:val="center"/>
              <w:rPr>
                <w:lang w:val="fr-FR"/>
              </w:rPr>
            </w:pPr>
            <w:r w:rsidRPr="006D3E70">
              <w:rPr>
                <w:lang w:val="fr-FR"/>
              </w:rPr>
              <w:t>–52,15</w:t>
            </w:r>
          </w:p>
        </w:tc>
        <w:tc>
          <w:tcPr>
            <w:tcW w:w="641" w:type="pct"/>
            <w:tcBorders>
              <w:top w:val="single" w:sz="4" w:space="0" w:color="auto"/>
              <w:left w:val="single" w:sz="4" w:space="0" w:color="auto"/>
              <w:bottom w:val="single" w:sz="4" w:space="0" w:color="auto"/>
              <w:right w:val="single" w:sz="4" w:space="0" w:color="auto"/>
            </w:tcBorders>
          </w:tcPr>
          <w:p w14:paraId="50DD450C" w14:textId="77777777" w:rsidR="00532249" w:rsidRPr="006D3E70" w:rsidRDefault="00532249" w:rsidP="00714EB9">
            <w:pPr>
              <w:pStyle w:val="Tabletext"/>
              <w:jc w:val="center"/>
              <w:rPr>
                <w:lang w:val="fr-FR"/>
              </w:rPr>
            </w:pPr>
            <w:r w:rsidRPr="006D3E70">
              <w:rPr>
                <w:lang w:val="fr-FR"/>
              </w:rPr>
              <w:t>34,8</w:t>
            </w:r>
          </w:p>
        </w:tc>
        <w:tc>
          <w:tcPr>
            <w:tcW w:w="626" w:type="pct"/>
            <w:tcBorders>
              <w:top w:val="single" w:sz="4" w:space="0" w:color="auto"/>
              <w:left w:val="single" w:sz="4" w:space="0" w:color="auto"/>
              <w:bottom w:val="single" w:sz="4" w:space="0" w:color="auto"/>
              <w:right w:val="single" w:sz="4" w:space="0" w:color="auto"/>
            </w:tcBorders>
          </w:tcPr>
          <w:p w14:paraId="53AEC61C" w14:textId="77777777" w:rsidR="00532249" w:rsidRPr="006D3E70" w:rsidRDefault="00532249" w:rsidP="00714EB9">
            <w:pPr>
              <w:pStyle w:val="Tabletext"/>
              <w:jc w:val="center"/>
              <w:rPr>
                <w:lang w:val="fr-FR"/>
              </w:rPr>
            </w:pPr>
            <w:r w:rsidRPr="006D3E70">
              <w:rPr>
                <w:lang w:val="fr-FR"/>
              </w:rPr>
              <w:t>38,8</w:t>
            </w:r>
          </w:p>
        </w:tc>
        <w:tc>
          <w:tcPr>
            <w:tcW w:w="648" w:type="pct"/>
            <w:tcBorders>
              <w:top w:val="single" w:sz="4" w:space="0" w:color="auto"/>
              <w:left w:val="single" w:sz="4" w:space="0" w:color="auto"/>
              <w:bottom w:val="single" w:sz="4" w:space="0" w:color="auto"/>
              <w:right w:val="single" w:sz="4" w:space="0" w:color="auto"/>
            </w:tcBorders>
          </w:tcPr>
          <w:p w14:paraId="72F2F776" w14:textId="77777777" w:rsidR="00532249" w:rsidRPr="006D3E70" w:rsidRDefault="00532249" w:rsidP="00714EB9">
            <w:pPr>
              <w:pStyle w:val="Tabletext"/>
              <w:jc w:val="center"/>
              <w:rPr>
                <w:lang w:val="fr-FR"/>
              </w:rPr>
            </w:pPr>
            <w:r w:rsidRPr="006D3E70">
              <w:rPr>
                <w:lang w:val="fr-FR"/>
              </w:rPr>
              <w:t>–111,0</w:t>
            </w:r>
          </w:p>
        </w:tc>
        <w:tc>
          <w:tcPr>
            <w:tcW w:w="644" w:type="pct"/>
            <w:tcBorders>
              <w:top w:val="single" w:sz="4" w:space="0" w:color="auto"/>
              <w:left w:val="single" w:sz="4" w:space="0" w:color="auto"/>
              <w:bottom w:val="single" w:sz="4" w:space="0" w:color="auto"/>
              <w:right w:val="single" w:sz="4" w:space="0" w:color="auto"/>
            </w:tcBorders>
          </w:tcPr>
          <w:p w14:paraId="6E0C5B28" w14:textId="77777777" w:rsidR="00532249" w:rsidRPr="006D3E70" w:rsidRDefault="00532249" w:rsidP="00714EB9">
            <w:pPr>
              <w:pStyle w:val="Tabletext"/>
              <w:jc w:val="center"/>
              <w:rPr>
                <w:lang w:val="fr-FR"/>
              </w:rPr>
            </w:pPr>
            <w:r w:rsidRPr="006D3E70">
              <w:rPr>
                <w:lang w:val="fr-FR"/>
              </w:rPr>
              <w:t>–107,0</w:t>
            </w:r>
          </w:p>
        </w:tc>
      </w:tr>
      <w:tr w:rsidR="00532249" w:rsidRPr="006D3E70" w14:paraId="0507F9F7" w14:textId="77777777" w:rsidTr="00714EB9">
        <w:trPr>
          <w:jc w:val="center"/>
        </w:trPr>
        <w:tc>
          <w:tcPr>
            <w:tcW w:w="339" w:type="pct"/>
            <w:tcBorders>
              <w:top w:val="single" w:sz="4" w:space="0" w:color="auto"/>
              <w:left w:val="single" w:sz="4" w:space="0" w:color="auto"/>
              <w:bottom w:val="single" w:sz="4" w:space="0" w:color="auto"/>
              <w:right w:val="single" w:sz="4" w:space="0" w:color="auto"/>
            </w:tcBorders>
          </w:tcPr>
          <w:p w14:paraId="2C94CED7" w14:textId="77777777" w:rsidR="00532249" w:rsidRPr="006D3E70" w:rsidRDefault="00532249" w:rsidP="00714EB9">
            <w:pPr>
              <w:pStyle w:val="Tabletext"/>
              <w:jc w:val="center"/>
              <w:rPr>
                <w:lang w:val="fr-FR"/>
              </w:rPr>
            </w:pPr>
            <w:r w:rsidRPr="006D3E70">
              <w:rPr>
                <w:lang w:val="fr-FR"/>
              </w:rPr>
              <w:t>–40</w:t>
            </w:r>
          </w:p>
        </w:tc>
        <w:tc>
          <w:tcPr>
            <w:tcW w:w="717" w:type="pct"/>
            <w:tcBorders>
              <w:top w:val="single" w:sz="4" w:space="0" w:color="auto"/>
              <w:left w:val="single" w:sz="4" w:space="0" w:color="auto"/>
              <w:bottom w:val="single" w:sz="4" w:space="0" w:color="auto"/>
              <w:right w:val="single" w:sz="4" w:space="0" w:color="auto"/>
            </w:tcBorders>
            <w:tcMar>
              <w:left w:w="0" w:type="dxa"/>
              <w:right w:w="0" w:type="dxa"/>
            </w:tcMar>
          </w:tcPr>
          <w:p w14:paraId="63CFE58C" w14:textId="77777777" w:rsidR="00532249" w:rsidRPr="006D3E70" w:rsidRDefault="00532249" w:rsidP="00714EB9">
            <w:pPr>
              <w:pStyle w:val="Tabletext"/>
              <w:jc w:val="center"/>
              <w:rPr>
                <w:lang w:val="fr-FR"/>
              </w:rPr>
            </w:pPr>
            <w:r w:rsidRPr="006D3E70">
              <w:rPr>
                <w:lang w:val="fr-FR"/>
              </w:rPr>
              <w:t>100</w:t>
            </w:r>
          </w:p>
        </w:tc>
        <w:tc>
          <w:tcPr>
            <w:tcW w:w="505" w:type="pct"/>
            <w:tcBorders>
              <w:top w:val="single" w:sz="4" w:space="0" w:color="auto"/>
              <w:left w:val="single" w:sz="4" w:space="0" w:color="auto"/>
              <w:bottom w:val="single" w:sz="4" w:space="0" w:color="auto"/>
              <w:right w:val="single" w:sz="4" w:space="0" w:color="auto"/>
            </w:tcBorders>
          </w:tcPr>
          <w:p w14:paraId="39A604BA" w14:textId="77777777" w:rsidR="00532249" w:rsidRPr="006D3E70" w:rsidRDefault="00532249" w:rsidP="00714EB9">
            <w:pPr>
              <w:pStyle w:val="Tabletext"/>
              <w:jc w:val="center"/>
              <w:rPr>
                <w:lang w:val="fr-FR"/>
              </w:rPr>
            </w:pPr>
            <w:r w:rsidRPr="006D3E70">
              <w:rPr>
                <w:lang w:val="fr-FR"/>
              </w:rPr>
              <w:t>50</w:t>
            </w:r>
          </w:p>
        </w:tc>
        <w:tc>
          <w:tcPr>
            <w:tcW w:w="434" w:type="pct"/>
            <w:tcBorders>
              <w:top w:val="single" w:sz="4" w:space="0" w:color="auto"/>
              <w:left w:val="single" w:sz="4" w:space="0" w:color="auto"/>
              <w:bottom w:val="single" w:sz="4" w:space="0" w:color="auto"/>
              <w:right w:val="single" w:sz="4" w:space="0" w:color="auto"/>
            </w:tcBorders>
          </w:tcPr>
          <w:p w14:paraId="31101762" w14:textId="2102465C" w:rsidR="00532249" w:rsidRPr="006D3E70" w:rsidRDefault="00532249" w:rsidP="00714EB9">
            <w:pPr>
              <w:pStyle w:val="Tabletext"/>
              <w:jc w:val="center"/>
              <w:rPr>
                <w:lang w:val="fr-FR"/>
              </w:rPr>
            </w:pPr>
            <w:r w:rsidRPr="006D3E70">
              <w:rPr>
                <w:lang w:val="fr-FR"/>
              </w:rPr>
              <w:t>–70</w:t>
            </w:r>
          </w:p>
        </w:tc>
        <w:tc>
          <w:tcPr>
            <w:tcW w:w="445" w:type="pct"/>
            <w:tcBorders>
              <w:top w:val="single" w:sz="4" w:space="0" w:color="auto"/>
              <w:left w:val="single" w:sz="4" w:space="0" w:color="auto"/>
              <w:bottom w:val="single" w:sz="4" w:space="0" w:color="auto"/>
              <w:right w:val="single" w:sz="4" w:space="0" w:color="auto"/>
            </w:tcBorders>
          </w:tcPr>
          <w:p w14:paraId="515DCCD6" w14:textId="77777777" w:rsidR="00532249" w:rsidRPr="006D3E70" w:rsidRDefault="00532249" w:rsidP="00714EB9">
            <w:pPr>
              <w:pStyle w:val="Tabletext"/>
              <w:jc w:val="center"/>
              <w:rPr>
                <w:lang w:val="fr-FR"/>
              </w:rPr>
            </w:pPr>
            <w:r w:rsidRPr="006D3E70">
              <w:rPr>
                <w:lang w:val="fr-FR"/>
              </w:rPr>
              <w:t>–42,15</w:t>
            </w:r>
          </w:p>
        </w:tc>
        <w:tc>
          <w:tcPr>
            <w:tcW w:w="641" w:type="pct"/>
            <w:tcBorders>
              <w:top w:val="single" w:sz="4" w:space="0" w:color="auto"/>
              <w:left w:val="single" w:sz="4" w:space="0" w:color="auto"/>
              <w:bottom w:val="single" w:sz="4" w:space="0" w:color="auto"/>
              <w:right w:val="single" w:sz="4" w:space="0" w:color="auto"/>
            </w:tcBorders>
          </w:tcPr>
          <w:p w14:paraId="16881D77" w14:textId="77777777" w:rsidR="00532249" w:rsidRPr="006D3E70" w:rsidRDefault="00532249" w:rsidP="00714EB9">
            <w:pPr>
              <w:pStyle w:val="Tabletext"/>
              <w:jc w:val="center"/>
              <w:rPr>
                <w:lang w:val="fr-FR"/>
              </w:rPr>
            </w:pPr>
            <w:r w:rsidRPr="006D3E70">
              <w:rPr>
                <w:lang w:val="fr-FR"/>
              </w:rPr>
              <w:t>44,8</w:t>
            </w:r>
          </w:p>
        </w:tc>
        <w:tc>
          <w:tcPr>
            <w:tcW w:w="626" w:type="pct"/>
            <w:tcBorders>
              <w:top w:val="single" w:sz="4" w:space="0" w:color="auto"/>
              <w:left w:val="single" w:sz="4" w:space="0" w:color="auto"/>
              <w:bottom w:val="single" w:sz="4" w:space="0" w:color="auto"/>
              <w:right w:val="single" w:sz="4" w:space="0" w:color="auto"/>
            </w:tcBorders>
          </w:tcPr>
          <w:p w14:paraId="7EDF0B09" w14:textId="77777777" w:rsidR="00532249" w:rsidRPr="006D3E70" w:rsidRDefault="00532249" w:rsidP="00714EB9">
            <w:pPr>
              <w:pStyle w:val="Tabletext"/>
              <w:jc w:val="center"/>
              <w:rPr>
                <w:lang w:val="fr-FR"/>
              </w:rPr>
            </w:pPr>
            <w:r w:rsidRPr="006D3E70">
              <w:rPr>
                <w:lang w:val="fr-FR"/>
              </w:rPr>
              <w:t>48,8</w:t>
            </w:r>
          </w:p>
        </w:tc>
        <w:tc>
          <w:tcPr>
            <w:tcW w:w="648" w:type="pct"/>
            <w:tcBorders>
              <w:top w:val="single" w:sz="4" w:space="0" w:color="auto"/>
              <w:left w:val="single" w:sz="4" w:space="0" w:color="auto"/>
              <w:bottom w:val="single" w:sz="4" w:space="0" w:color="auto"/>
              <w:right w:val="single" w:sz="4" w:space="0" w:color="auto"/>
            </w:tcBorders>
          </w:tcPr>
          <w:p w14:paraId="4DB749EF" w14:textId="77777777" w:rsidR="00532249" w:rsidRPr="006D3E70" w:rsidRDefault="00532249" w:rsidP="00714EB9">
            <w:pPr>
              <w:pStyle w:val="Tabletext"/>
              <w:jc w:val="center"/>
              <w:rPr>
                <w:lang w:val="fr-FR"/>
              </w:rPr>
            </w:pPr>
            <w:r w:rsidRPr="006D3E70">
              <w:rPr>
                <w:lang w:val="fr-FR"/>
              </w:rPr>
              <w:t>–101,0</w:t>
            </w:r>
          </w:p>
        </w:tc>
        <w:tc>
          <w:tcPr>
            <w:tcW w:w="644" w:type="pct"/>
            <w:tcBorders>
              <w:top w:val="single" w:sz="4" w:space="0" w:color="auto"/>
              <w:left w:val="single" w:sz="4" w:space="0" w:color="auto"/>
              <w:bottom w:val="single" w:sz="4" w:space="0" w:color="auto"/>
              <w:right w:val="single" w:sz="4" w:space="0" w:color="auto"/>
            </w:tcBorders>
          </w:tcPr>
          <w:p w14:paraId="0B9C44CC" w14:textId="6F520412" w:rsidR="00532249" w:rsidRPr="006D3E70" w:rsidRDefault="00532249" w:rsidP="00714EB9">
            <w:pPr>
              <w:pStyle w:val="Tabletext"/>
              <w:jc w:val="center"/>
              <w:rPr>
                <w:lang w:val="fr-FR"/>
              </w:rPr>
            </w:pPr>
            <w:r w:rsidRPr="006D3E70">
              <w:rPr>
                <w:lang w:val="fr-FR"/>
              </w:rPr>
              <w:t>–97,0</w:t>
            </w:r>
          </w:p>
        </w:tc>
      </w:tr>
      <w:tr w:rsidR="00532249" w:rsidRPr="006D3E70" w14:paraId="71638B31" w14:textId="77777777" w:rsidTr="00714EB9">
        <w:trPr>
          <w:jc w:val="center"/>
        </w:trPr>
        <w:tc>
          <w:tcPr>
            <w:tcW w:w="339" w:type="pct"/>
            <w:tcBorders>
              <w:top w:val="single" w:sz="4" w:space="0" w:color="auto"/>
              <w:left w:val="single" w:sz="4" w:space="0" w:color="auto"/>
              <w:bottom w:val="single" w:sz="4" w:space="0" w:color="auto"/>
              <w:right w:val="single" w:sz="4" w:space="0" w:color="auto"/>
            </w:tcBorders>
          </w:tcPr>
          <w:p w14:paraId="1E0D2085" w14:textId="77777777" w:rsidR="00532249" w:rsidRPr="006D3E70" w:rsidRDefault="00532249" w:rsidP="00714EB9">
            <w:pPr>
              <w:pStyle w:val="Tabletext"/>
              <w:jc w:val="center"/>
              <w:rPr>
                <w:lang w:val="fr-FR"/>
              </w:rPr>
            </w:pPr>
            <w:r w:rsidRPr="006D3E70">
              <w:rPr>
                <w:lang w:val="fr-FR"/>
              </w:rPr>
              <w:t>–30</w:t>
            </w:r>
          </w:p>
        </w:tc>
        <w:tc>
          <w:tcPr>
            <w:tcW w:w="717" w:type="pct"/>
            <w:tcBorders>
              <w:top w:val="single" w:sz="4" w:space="0" w:color="auto"/>
              <w:left w:val="single" w:sz="4" w:space="0" w:color="auto"/>
              <w:bottom w:val="single" w:sz="4" w:space="0" w:color="auto"/>
              <w:right w:val="single" w:sz="4" w:space="0" w:color="auto"/>
            </w:tcBorders>
            <w:tcMar>
              <w:left w:w="0" w:type="dxa"/>
              <w:right w:w="0" w:type="dxa"/>
            </w:tcMar>
          </w:tcPr>
          <w:p w14:paraId="78A55319" w14:textId="77777777" w:rsidR="00532249" w:rsidRPr="006D3E70" w:rsidRDefault="00532249" w:rsidP="00714EB9">
            <w:pPr>
              <w:pStyle w:val="Tabletext"/>
              <w:jc w:val="center"/>
              <w:rPr>
                <w:lang w:val="fr-FR"/>
              </w:rPr>
            </w:pPr>
            <w:r w:rsidRPr="006D3E70">
              <w:rPr>
                <w:lang w:val="fr-FR"/>
              </w:rPr>
              <w:t>1 000</w:t>
            </w:r>
          </w:p>
        </w:tc>
        <w:tc>
          <w:tcPr>
            <w:tcW w:w="505" w:type="pct"/>
            <w:tcBorders>
              <w:top w:val="single" w:sz="4" w:space="0" w:color="auto"/>
              <w:left w:val="single" w:sz="4" w:space="0" w:color="auto"/>
              <w:bottom w:val="single" w:sz="4" w:space="0" w:color="auto"/>
              <w:right w:val="single" w:sz="4" w:space="0" w:color="auto"/>
            </w:tcBorders>
          </w:tcPr>
          <w:p w14:paraId="7971DC8A" w14:textId="77777777" w:rsidR="00532249" w:rsidRPr="006D3E70" w:rsidRDefault="00532249" w:rsidP="00714EB9">
            <w:pPr>
              <w:pStyle w:val="Tabletext"/>
              <w:jc w:val="center"/>
              <w:rPr>
                <w:lang w:val="fr-FR"/>
              </w:rPr>
            </w:pPr>
            <w:r w:rsidRPr="006D3E70">
              <w:rPr>
                <w:lang w:val="fr-FR"/>
              </w:rPr>
              <w:t>60</w:t>
            </w:r>
          </w:p>
        </w:tc>
        <w:tc>
          <w:tcPr>
            <w:tcW w:w="434" w:type="pct"/>
            <w:tcBorders>
              <w:top w:val="single" w:sz="4" w:space="0" w:color="auto"/>
              <w:left w:val="single" w:sz="4" w:space="0" w:color="auto"/>
              <w:bottom w:val="single" w:sz="4" w:space="0" w:color="auto"/>
              <w:right w:val="single" w:sz="4" w:space="0" w:color="auto"/>
            </w:tcBorders>
          </w:tcPr>
          <w:p w14:paraId="2026A115" w14:textId="38731FC6" w:rsidR="00532249" w:rsidRPr="006D3E70" w:rsidRDefault="00532249" w:rsidP="00714EB9">
            <w:pPr>
              <w:pStyle w:val="Tabletext"/>
              <w:jc w:val="center"/>
              <w:rPr>
                <w:lang w:val="fr-FR"/>
              </w:rPr>
            </w:pPr>
            <w:r w:rsidRPr="006D3E70">
              <w:rPr>
                <w:lang w:val="fr-FR"/>
              </w:rPr>
              <w:t>–60</w:t>
            </w:r>
          </w:p>
        </w:tc>
        <w:tc>
          <w:tcPr>
            <w:tcW w:w="445" w:type="pct"/>
            <w:tcBorders>
              <w:top w:val="single" w:sz="4" w:space="0" w:color="auto"/>
              <w:left w:val="single" w:sz="4" w:space="0" w:color="auto"/>
              <w:bottom w:val="single" w:sz="4" w:space="0" w:color="auto"/>
              <w:right w:val="single" w:sz="4" w:space="0" w:color="auto"/>
            </w:tcBorders>
          </w:tcPr>
          <w:p w14:paraId="04FE5B5B" w14:textId="77777777" w:rsidR="00532249" w:rsidRPr="006D3E70" w:rsidRDefault="00532249" w:rsidP="00714EB9">
            <w:pPr>
              <w:pStyle w:val="Tabletext"/>
              <w:jc w:val="center"/>
              <w:rPr>
                <w:lang w:val="fr-FR"/>
              </w:rPr>
            </w:pPr>
            <w:r w:rsidRPr="006D3E70">
              <w:rPr>
                <w:lang w:val="fr-FR"/>
              </w:rPr>
              <w:t>–32,15</w:t>
            </w:r>
          </w:p>
        </w:tc>
        <w:tc>
          <w:tcPr>
            <w:tcW w:w="641" w:type="pct"/>
            <w:tcBorders>
              <w:top w:val="single" w:sz="4" w:space="0" w:color="auto"/>
              <w:left w:val="single" w:sz="4" w:space="0" w:color="auto"/>
              <w:bottom w:val="single" w:sz="4" w:space="0" w:color="auto"/>
              <w:right w:val="single" w:sz="4" w:space="0" w:color="auto"/>
            </w:tcBorders>
          </w:tcPr>
          <w:p w14:paraId="2D03526E" w14:textId="77777777" w:rsidR="00532249" w:rsidRPr="006D3E70" w:rsidRDefault="00532249" w:rsidP="00714EB9">
            <w:pPr>
              <w:pStyle w:val="Tabletext"/>
              <w:jc w:val="center"/>
              <w:rPr>
                <w:lang w:val="fr-FR"/>
              </w:rPr>
            </w:pPr>
            <w:r w:rsidRPr="006D3E70">
              <w:rPr>
                <w:lang w:val="fr-FR"/>
              </w:rPr>
              <w:t>54,8</w:t>
            </w:r>
          </w:p>
        </w:tc>
        <w:tc>
          <w:tcPr>
            <w:tcW w:w="626" w:type="pct"/>
            <w:tcBorders>
              <w:top w:val="single" w:sz="4" w:space="0" w:color="auto"/>
              <w:left w:val="single" w:sz="4" w:space="0" w:color="auto"/>
              <w:bottom w:val="single" w:sz="4" w:space="0" w:color="auto"/>
              <w:right w:val="single" w:sz="4" w:space="0" w:color="auto"/>
            </w:tcBorders>
          </w:tcPr>
          <w:p w14:paraId="737E0B6B" w14:textId="77777777" w:rsidR="00532249" w:rsidRPr="006D3E70" w:rsidRDefault="00532249" w:rsidP="00714EB9">
            <w:pPr>
              <w:pStyle w:val="Tabletext"/>
              <w:jc w:val="center"/>
              <w:rPr>
                <w:lang w:val="fr-FR"/>
              </w:rPr>
            </w:pPr>
            <w:r w:rsidRPr="006D3E70">
              <w:rPr>
                <w:lang w:val="fr-FR"/>
              </w:rPr>
              <w:t>58,8</w:t>
            </w:r>
          </w:p>
        </w:tc>
        <w:tc>
          <w:tcPr>
            <w:tcW w:w="648" w:type="pct"/>
            <w:tcBorders>
              <w:top w:val="single" w:sz="4" w:space="0" w:color="auto"/>
              <w:left w:val="single" w:sz="4" w:space="0" w:color="auto"/>
              <w:bottom w:val="single" w:sz="4" w:space="0" w:color="auto"/>
              <w:right w:val="single" w:sz="4" w:space="0" w:color="auto"/>
            </w:tcBorders>
          </w:tcPr>
          <w:p w14:paraId="4588F052" w14:textId="3396C4E0" w:rsidR="00532249" w:rsidRPr="006D3E70" w:rsidRDefault="00532249" w:rsidP="00714EB9">
            <w:pPr>
              <w:pStyle w:val="Tabletext"/>
              <w:jc w:val="center"/>
              <w:rPr>
                <w:lang w:val="fr-FR"/>
              </w:rPr>
            </w:pPr>
            <w:r w:rsidRPr="006D3E70">
              <w:rPr>
                <w:lang w:val="fr-FR"/>
              </w:rPr>
              <w:t>–91,0</w:t>
            </w:r>
          </w:p>
        </w:tc>
        <w:tc>
          <w:tcPr>
            <w:tcW w:w="644" w:type="pct"/>
            <w:tcBorders>
              <w:top w:val="single" w:sz="4" w:space="0" w:color="auto"/>
              <w:left w:val="single" w:sz="4" w:space="0" w:color="auto"/>
              <w:bottom w:val="single" w:sz="4" w:space="0" w:color="auto"/>
              <w:right w:val="single" w:sz="4" w:space="0" w:color="auto"/>
            </w:tcBorders>
          </w:tcPr>
          <w:p w14:paraId="31785BB9" w14:textId="3A0B85F7" w:rsidR="00532249" w:rsidRPr="006D3E70" w:rsidRDefault="00532249" w:rsidP="00714EB9">
            <w:pPr>
              <w:pStyle w:val="Tabletext"/>
              <w:jc w:val="center"/>
              <w:rPr>
                <w:lang w:val="fr-FR"/>
              </w:rPr>
            </w:pPr>
            <w:r w:rsidRPr="006D3E70">
              <w:rPr>
                <w:lang w:val="fr-FR"/>
              </w:rPr>
              <w:t>–87,0</w:t>
            </w:r>
          </w:p>
        </w:tc>
      </w:tr>
      <w:tr w:rsidR="00532249" w:rsidRPr="006D3E70" w14:paraId="23EE50E3" w14:textId="77777777" w:rsidTr="00714EB9">
        <w:trPr>
          <w:jc w:val="center"/>
        </w:trPr>
        <w:tc>
          <w:tcPr>
            <w:tcW w:w="339" w:type="pct"/>
            <w:tcBorders>
              <w:top w:val="single" w:sz="4" w:space="0" w:color="auto"/>
              <w:left w:val="single" w:sz="4" w:space="0" w:color="auto"/>
              <w:bottom w:val="single" w:sz="4" w:space="0" w:color="auto"/>
              <w:right w:val="single" w:sz="4" w:space="0" w:color="auto"/>
            </w:tcBorders>
          </w:tcPr>
          <w:p w14:paraId="12DFBF7B" w14:textId="77777777" w:rsidR="00532249" w:rsidRPr="006D3E70" w:rsidRDefault="00532249" w:rsidP="00714EB9">
            <w:pPr>
              <w:pStyle w:val="Tabletext"/>
              <w:jc w:val="center"/>
              <w:rPr>
                <w:lang w:val="fr-FR"/>
              </w:rPr>
            </w:pPr>
            <w:r w:rsidRPr="006D3E70">
              <w:rPr>
                <w:lang w:val="fr-FR"/>
              </w:rPr>
              <w:t>–20</w:t>
            </w:r>
          </w:p>
        </w:tc>
        <w:tc>
          <w:tcPr>
            <w:tcW w:w="717" w:type="pct"/>
            <w:tcBorders>
              <w:top w:val="single" w:sz="4" w:space="0" w:color="auto"/>
              <w:left w:val="single" w:sz="4" w:space="0" w:color="auto"/>
              <w:bottom w:val="single" w:sz="4" w:space="0" w:color="auto"/>
              <w:right w:val="single" w:sz="4" w:space="0" w:color="auto"/>
            </w:tcBorders>
            <w:tcMar>
              <w:left w:w="0" w:type="dxa"/>
              <w:right w:w="0" w:type="dxa"/>
            </w:tcMar>
          </w:tcPr>
          <w:p w14:paraId="2CC17BB8" w14:textId="77777777" w:rsidR="00532249" w:rsidRPr="006D3E70" w:rsidRDefault="00532249" w:rsidP="00714EB9">
            <w:pPr>
              <w:pStyle w:val="Tabletext"/>
              <w:jc w:val="center"/>
              <w:rPr>
                <w:lang w:val="fr-FR"/>
              </w:rPr>
            </w:pPr>
            <w:r w:rsidRPr="006D3E70">
              <w:rPr>
                <w:lang w:val="fr-FR"/>
              </w:rPr>
              <w:t>10 000</w:t>
            </w:r>
          </w:p>
        </w:tc>
        <w:tc>
          <w:tcPr>
            <w:tcW w:w="505" w:type="pct"/>
            <w:tcBorders>
              <w:top w:val="single" w:sz="4" w:space="0" w:color="auto"/>
              <w:left w:val="single" w:sz="4" w:space="0" w:color="auto"/>
              <w:bottom w:val="single" w:sz="4" w:space="0" w:color="auto"/>
              <w:right w:val="single" w:sz="4" w:space="0" w:color="auto"/>
            </w:tcBorders>
          </w:tcPr>
          <w:p w14:paraId="15B417DD" w14:textId="77777777" w:rsidR="00532249" w:rsidRPr="006D3E70" w:rsidRDefault="00532249" w:rsidP="00714EB9">
            <w:pPr>
              <w:pStyle w:val="Tabletext"/>
              <w:jc w:val="center"/>
              <w:rPr>
                <w:lang w:val="fr-FR"/>
              </w:rPr>
            </w:pPr>
            <w:r w:rsidRPr="006D3E70">
              <w:rPr>
                <w:lang w:val="fr-FR"/>
              </w:rPr>
              <w:t>70</w:t>
            </w:r>
          </w:p>
        </w:tc>
        <w:tc>
          <w:tcPr>
            <w:tcW w:w="434" w:type="pct"/>
            <w:tcBorders>
              <w:top w:val="single" w:sz="4" w:space="0" w:color="auto"/>
              <w:left w:val="single" w:sz="4" w:space="0" w:color="auto"/>
              <w:bottom w:val="single" w:sz="4" w:space="0" w:color="auto"/>
              <w:right w:val="single" w:sz="4" w:space="0" w:color="auto"/>
            </w:tcBorders>
          </w:tcPr>
          <w:p w14:paraId="390440D8" w14:textId="671F1E3C" w:rsidR="00532249" w:rsidRPr="006D3E70" w:rsidRDefault="00532249" w:rsidP="00714EB9">
            <w:pPr>
              <w:pStyle w:val="Tabletext"/>
              <w:jc w:val="center"/>
              <w:rPr>
                <w:lang w:val="fr-FR"/>
              </w:rPr>
            </w:pPr>
            <w:r w:rsidRPr="006D3E70">
              <w:rPr>
                <w:lang w:val="fr-FR"/>
              </w:rPr>
              <w:t>–50</w:t>
            </w:r>
          </w:p>
        </w:tc>
        <w:tc>
          <w:tcPr>
            <w:tcW w:w="445" w:type="pct"/>
            <w:tcBorders>
              <w:top w:val="single" w:sz="4" w:space="0" w:color="auto"/>
              <w:left w:val="single" w:sz="4" w:space="0" w:color="auto"/>
              <w:bottom w:val="single" w:sz="4" w:space="0" w:color="auto"/>
              <w:right w:val="single" w:sz="4" w:space="0" w:color="auto"/>
            </w:tcBorders>
          </w:tcPr>
          <w:p w14:paraId="733863D9" w14:textId="77777777" w:rsidR="00532249" w:rsidRPr="006D3E70" w:rsidRDefault="00532249" w:rsidP="00714EB9">
            <w:pPr>
              <w:pStyle w:val="Tabletext"/>
              <w:jc w:val="center"/>
              <w:rPr>
                <w:lang w:val="fr-FR"/>
              </w:rPr>
            </w:pPr>
            <w:r w:rsidRPr="006D3E70">
              <w:rPr>
                <w:lang w:val="fr-FR"/>
              </w:rPr>
              <w:t>–22,15</w:t>
            </w:r>
          </w:p>
        </w:tc>
        <w:tc>
          <w:tcPr>
            <w:tcW w:w="641" w:type="pct"/>
            <w:tcBorders>
              <w:top w:val="single" w:sz="4" w:space="0" w:color="auto"/>
              <w:left w:val="single" w:sz="4" w:space="0" w:color="auto"/>
              <w:bottom w:val="single" w:sz="4" w:space="0" w:color="auto"/>
              <w:right w:val="single" w:sz="4" w:space="0" w:color="auto"/>
            </w:tcBorders>
          </w:tcPr>
          <w:p w14:paraId="555B83AD" w14:textId="77777777" w:rsidR="00532249" w:rsidRPr="006D3E70" w:rsidRDefault="00532249" w:rsidP="00714EB9">
            <w:pPr>
              <w:pStyle w:val="Tabletext"/>
              <w:jc w:val="center"/>
              <w:rPr>
                <w:lang w:val="fr-FR"/>
              </w:rPr>
            </w:pPr>
            <w:r w:rsidRPr="006D3E70">
              <w:rPr>
                <w:lang w:val="fr-FR"/>
              </w:rPr>
              <w:t>64,8</w:t>
            </w:r>
          </w:p>
        </w:tc>
        <w:tc>
          <w:tcPr>
            <w:tcW w:w="626" w:type="pct"/>
            <w:tcBorders>
              <w:top w:val="single" w:sz="4" w:space="0" w:color="auto"/>
              <w:left w:val="single" w:sz="4" w:space="0" w:color="auto"/>
              <w:bottom w:val="single" w:sz="4" w:space="0" w:color="auto"/>
              <w:right w:val="single" w:sz="4" w:space="0" w:color="auto"/>
            </w:tcBorders>
          </w:tcPr>
          <w:p w14:paraId="32D769D4" w14:textId="77777777" w:rsidR="00532249" w:rsidRPr="006D3E70" w:rsidRDefault="00532249" w:rsidP="00714EB9">
            <w:pPr>
              <w:pStyle w:val="Tabletext"/>
              <w:jc w:val="center"/>
              <w:rPr>
                <w:lang w:val="fr-FR"/>
              </w:rPr>
            </w:pPr>
            <w:r w:rsidRPr="006D3E70">
              <w:rPr>
                <w:lang w:val="fr-FR"/>
              </w:rPr>
              <w:t>68,8</w:t>
            </w:r>
          </w:p>
        </w:tc>
        <w:tc>
          <w:tcPr>
            <w:tcW w:w="648" w:type="pct"/>
            <w:tcBorders>
              <w:top w:val="single" w:sz="4" w:space="0" w:color="auto"/>
              <w:left w:val="single" w:sz="4" w:space="0" w:color="auto"/>
              <w:bottom w:val="single" w:sz="4" w:space="0" w:color="auto"/>
              <w:right w:val="single" w:sz="4" w:space="0" w:color="auto"/>
            </w:tcBorders>
          </w:tcPr>
          <w:p w14:paraId="0D03A5A9" w14:textId="2FD7C4E8" w:rsidR="00532249" w:rsidRPr="006D3E70" w:rsidRDefault="00532249" w:rsidP="00714EB9">
            <w:pPr>
              <w:pStyle w:val="Tabletext"/>
              <w:jc w:val="center"/>
              <w:rPr>
                <w:lang w:val="fr-FR"/>
              </w:rPr>
            </w:pPr>
            <w:r w:rsidRPr="006D3E70">
              <w:rPr>
                <w:lang w:val="fr-FR"/>
              </w:rPr>
              <w:t>–81,0</w:t>
            </w:r>
          </w:p>
        </w:tc>
        <w:tc>
          <w:tcPr>
            <w:tcW w:w="644" w:type="pct"/>
            <w:tcBorders>
              <w:top w:val="single" w:sz="4" w:space="0" w:color="auto"/>
              <w:left w:val="single" w:sz="4" w:space="0" w:color="auto"/>
              <w:bottom w:val="single" w:sz="4" w:space="0" w:color="auto"/>
              <w:right w:val="single" w:sz="4" w:space="0" w:color="auto"/>
            </w:tcBorders>
          </w:tcPr>
          <w:p w14:paraId="5FF70E59" w14:textId="03A9BB59" w:rsidR="00532249" w:rsidRPr="006D3E70" w:rsidRDefault="00532249" w:rsidP="00714EB9">
            <w:pPr>
              <w:pStyle w:val="Tabletext"/>
              <w:jc w:val="center"/>
              <w:rPr>
                <w:lang w:val="fr-FR"/>
              </w:rPr>
            </w:pPr>
            <w:r w:rsidRPr="006D3E70">
              <w:rPr>
                <w:lang w:val="fr-FR"/>
              </w:rPr>
              <w:t>–77,0</w:t>
            </w:r>
          </w:p>
        </w:tc>
      </w:tr>
      <w:tr w:rsidR="00532249" w:rsidRPr="006D3E70" w14:paraId="612DB50E" w14:textId="77777777" w:rsidTr="00714EB9">
        <w:trPr>
          <w:jc w:val="center"/>
        </w:trPr>
        <w:tc>
          <w:tcPr>
            <w:tcW w:w="339" w:type="pct"/>
            <w:tcBorders>
              <w:top w:val="single" w:sz="4" w:space="0" w:color="auto"/>
              <w:left w:val="single" w:sz="4" w:space="0" w:color="auto"/>
              <w:bottom w:val="single" w:sz="4" w:space="0" w:color="auto"/>
              <w:right w:val="single" w:sz="4" w:space="0" w:color="auto"/>
            </w:tcBorders>
          </w:tcPr>
          <w:p w14:paraId="08A1E52B" w14:textId="77777777" w:rsidR="00532249" w:rsidRPr="006D3E70" w:rsidRDefault="00532249" w:rsidP="00714EB9">
            <w:pPr>
              <w:pStyle w:val="Tabletext"/>
              <w:jc w:val="center"/>
              <w:rPr>
                <w:lang w:val="fr-FR"/>
              </w:rPr>
            </w:pPr>
            <w:r w:rsidRPr="006D3E70">
              <w:rPr>
                <w:lang w:val="fr-FR"/>
              </w:rPr>
              <w:t>–10</w:t>
            </w:r>
          </w:p>
        </w:tc>
        <w:tc>
          <w:tcPr>
            <w:tcW w:w="717" w:type="pct"/>
            <w:tcBorders>
              <w:top w:val="single" w:sz="4" w:space="0" w:color="auto"/>
              <w:left w:val="single" w:sz="4" w:space="0" w:color="auto"/>
              <w:bottom w:val="single" w:sz="4" w:space="0" w:color="auto"/>
              <w:right w:val="single" w:sz="4" w:space="0" w:color="auto"/>
            </w:tcBorders>
            <w:tcMar>
              <w:left w:w="0" w:type="dxa"/>
              <w:right w:w="0" w:type="dxa"/>
            </w:tcMar>
          </w:tcPr>
          <w:p w14:paraId="45E147C9" w14:textId="77777777" w:rsidR="00532249" w:rsidRPr="006D3E70" w:rsidRDefault="00532249" w:rsidP="00714EB9">
            <w:pPr>
              <w:pStyle w:val="Tabletext"/>
              <w:jc w:val="center"/>
              <w:rPr>
                <w:lang w:val="fr-FR"/>
              </w:rPr>
            </w:pPr>
            <w:r w:rsidRPr="006D3E70">
              <w:rPr>
                <w:lang w:val="fr-FR"/>
              </w:rPr>
              <w:t>100 000</w:t>
            </w:r>
          </w:p>
        </w:tc>
        <w:tc>
          <w:tcPr>
            <w:tcW w:w="505" w:type="pct"/>
            <w:tcBorders>
              <w:top w:val="single" w:sz="4" w:space="0" w:color="auto"/>
              <w:left w:val="single" w:sz="4" w:space="0" w:color="auto"/>
              <w:bottom w:val="single" w:sz="4" w:space="0" w:color="auto"/>
              <w:right w:val="single" w:sz="4" w:space="0" w:color="auto"/>
            </w:tcBorders>
          </w:tcPr>
          <w:p w14:paraId="6E8BC774" w14:textId="77777777" w:rsidR="00532249" w:rsidRPr="006D3E70" w:rsidRDefault="00532249" w:rsidP="00714EB9">
            <w:pPr>
              <w:pStyle w:val="Tabletext"/>
              <w:jc w:val="center"/>
              <w:rPr>
                <w:lang w:val="fr-FR"/>
              </w:rPr>
            </w:pPr>
            <w:r w:rsidRPr="006D3E70">
              <w:rPr>
                <w:lang w:val="fr-FR"/>
              </w:rPr>
              <w:t>80</w:t>
            </w:r>
          </w:p>
        </w:tc>
        <w:tc>
          <w:tcPr>
            <w:tcW w:w="434" w:type="pct"/>
            <w:tcBorders>
              <w:top w:val="single" w:sz="4" w:space="0" w:color="auto"/>
              <w:left w:val="single" w:sz="4" w:space="0" w:color="auto"/>
              <w:bottom w:val="single" w:sz="4" w:space="0" w:color="auto"/>
              <w:right w:val="single" w:sz="4" w:space="0" w:color="auto"/>
            </w:tcBorders>
          </w:tcPr>
          <w:p w14:paraId="036F9A64" w14:textId="2184E840" w:rsidR="00532249" w:rsidRPr="006D3E70" w:rsidRDefault="00532249" w:rsidP="00714EB9">
            <w:pPr>
              <w:pStyle w:val="Tabletext"/>
              <w:jc w:val="center"/>
              <w:rPr>
                <w:lang w:val="fr-FR"/>
              </w:rPr>
            </w:pPr>
            <w:r w:rsidRPr="006D3E70">
              <w:rPr>
                <w:lang w:val="fr-FR"/>
              </w:rPr>
              <w:t>–40</w:t>
            </w:r>
          </w:p>
        </w:tc>
        <w:tc>
          <w:tcPr>
            <w:tcW w:w="445" w:type="pct"/>
            <w:tcBorders>
              <w:top w:val="single" w:sz="4" w:space="0" w:color="auto"/>
              <w:left w:val="single" w:sz="4" w:space="0" w:color="auto"/>
              <w:bottom w:val="single" w:sz="4" w:space="0" w:color="auto"/>
              <w:right w:val="single" w:sz="4" w:space="0" w:color="auto"/>
            </w:tcBorders>
          </w:tcPr>
          <w:p w14:paraId="6B829B82" w14:textId="77777777" w:rsidR="00532249" w:rsidRPr="006D3E70" w:rsidRDefault="00532249" w:rsidP="00714EB9">
            <w:pPr>
              <w:pStyle w:val="Tabletext"/>
              <w:jc w:val="center"/>
              <w:rPr>
                <w:lang w:val="fr-FR"/>
              </w:rPr>
            </w:pPr>
            <w:r w:rsidRPr="006D3E70">
              <w:rPr>
                <w:lang w:val="fr-FR"/>
              </w:rPr>
              <w:t>–12,15</w:t>
            </w:r>
          </w:p>
        </w:tc>
        <w:tc>
          <w:tcPr>
            <w:tcW w:w="641" w:type="pct"/>
            <w:tcBorders>
              <w:top w:val="single" w:sz="4" w:space="0" w:color="auto"/>
              <w:left w:val="single" w:sz="4" w:space="0" w:color="auto"/>
              <w:bottom w:val="single" w:sz="4" w:space="0" w:color="auto"/>
              <w:right w:val="single" w:sz="4" w:space="0" w:color="auto"/>
            </w:tcBorders>
          </w:tcPr>
          <w:p w14:paraId="0C94B860" w14:textId="77777777" w:rsidR="00532249" w:rsidRPr="006D3E70" w:rsidRDefault="00532249" w:rsidP="00714EB9">
            <w:pPr>
              <w:pStyle w:val="Tabletext"/>
              <w:jc w:val="center"/>
              <w:rPr>
                <w:lang w:val="fr-FR"/>
              </w:rPr>
            </w:pPr>
            <w:r w:rsidRPr="006D3E70">
              <w:rPr>
                <w:lang w:val="fr-FR"/>
              </w:rPr>
              <w:t>74,8</w:t>
            </w:r>
          </w:p>
        </w:tc>
        <w:tc>
          <w:tcPr>
            <w:tcW w:w="626" w:type="pct"/>
            <w:tcBorders>
              <w:top w:val="single" w:sz="4" w:space="0" w:color="auto"/>
              <w:left w:val="single" w:sz="4" w:space="0" w:color="auto"/>
              <w:bottom w:val="single" w:sz="4" w:space="0" w:color="auto"/>
              <w:right w:val="single" w:sz="4" w:space="0" w:color="auto"/>
            </w:tcBorders>
          </w:tcPr>
          <w:p w14:paraId="4071EEF3" w14:textId="77777777" w:rsidR="00532249" w:rsidRPr="006D3E70" w:rsidRDefault="00532249" w:rsidP="00714EB9">
            <w:pPr>
              <w:pStyle w:val="Tabletext"/>
              <w:jc w:val="center"/>
              <w:rPr>
                <w:lang w:val="fr-FR"/>
              </w:rPr>
            </w:pPr>
            <w:r w:rsidRPr="006D3E70">
              <w:rPr>
                <w:lang w:val="fr-FR"/>
              </w:rPr>
              <w:t>78,8</w:t>
            </w:r>
          </w:p>
        </w:tc>
        <w:tc>
          <w:tcPr>
            <w:tcW w:w="648" w:type="pct"/>
            <w:tcBorders>
              <w:top w:val="single" w:sz="4" w:space="0" w:color="auto"/>
              <w:left w:val="single" w:sz="4" w:space="0" w:color="auto"/>
              <w:bottom w:val="single" w:sz="4" w:space="0" w:color="auto"/>
              <w:right w:val="single" w:sz="4" w:space="0" w:color="auto"/>
            </w:tcBorders>
          </w:tcPr>
          <w:p w14:paraId="6DE8C354" w14:textId="02CEAB75" w:rsidR="00532249" w:rsidRPr="006D3E70" w:rsidRDefault="00532249" w:rsidP="00714EB9">
            <w:pPr>
              <w:pStyle w:val="Tabletext"/>
              <w:jc w:val="center"/>
              <w:rPr>
                <w:lang w:val="fr-FR"/>
              </w:rPr>
            </w:pPr>
            <w:r w:rsidRPr="006D3E70">
              <w:rPr>
                <w:lang w:val="fr-FR"/>
              </w:rPr>
              <w:t>–71,0</w:t>
            </w:r>
          </w:p>
        </w:tc>
        <w:tc>
          <w:tcPr>
            <w:tcW w:w="644" w:type="pct"/>
            <w:tcBorders>
              <w:top w:val="single" w:sz="4" w:space="0" w:color="auto"/>
              <w:left w:val="single" w:sz="4" w:space="0" w:color="auto"/>
              <w:bottom w:val="single" w:sz="4" w:space="0" w:color="auto"/>
              <w:right w:val="single" w:sz="4" w:space="0" w:color="auto"/>
            </w:tcBorders>
          </w:tcPr>
          <w:p w14:paraId="159A72AB" w14:textId="4D945090" w:rsidR="00532249" w:rsidRPr="006D3E70" w:rsidRDefault="00532249" w:rsidP="00714EB9">
            <w:pPr>
              <w:pStyle w:val="Tabletext"/>
              <w:jc w:val="center"/>
              <w:rPr>
                <w:lang w:val="fr-FR"/>
              </w:rPr>
            </w:pPr>
            <w:r w:rsidRPr="006D3E70">
              <w:rPr>
                <w:lang w:val="fr-FR"/>
              </w:rPr>
              <w:t>–67,0</w:t>
            </w:r>
          </w:p>
        </w:tc>
      </w:tr>
      <w:tr w:rsidR="00532249" w:rsidRPr="006D3E70" w14:paraId="570553B0" w14:textId="77777777" w:rsidTr="00714EB9">
        <w:trPr>
          <w:jc w:val="center"/>
        </w:trPr>
        <w:tc>
          <w:tcPr>
            <w:tcW w:w="339" w:type="pct"/>
            <w:tcBorders>
              <w:top w:val="single" w:sz="4" w:space="0" w:color="auto"/>
              <w:left w:val="single" w:sz="4" w:space="0" w:color="auto"/>
              <w:bottom w:val="single" w:sz="4" w:space="0" w:color="auto"/>
              <w:right w:val="single" w:sz="4" w:space="0" w:color="auto"/>
            </w:tcBorders>
          </w:tcPr>
          <w:p w14:paraId="3187B700" w14:textId="4DE392D5" w:rsidR="00532249" w:rsidRPr="006D3E70" w:rsidRDefault="00532249" w:rsidP="00714EB9">
            <w:pPr>
              <w:pStyle w:val="Tabletext"/>
              <w:jc w:val="center"/>
              <w:rPr>
                <w:lang w:val="fr-FR"/>
              </w:rPr>
            </w:pPr>
            <w:r w:rsidRPr="006D3E70">
              <w:rPr>
                <w:lang w:val="fr-FR"/>
              </w:rPr>
              <w:t>0</w:t>
            </w:r>
          </w:p>
        </w:tc>
        <w:tc>
          <w:tcPr>
            <w:tcW w:w="717" w:type="pct"/>
            <w:tcBorders>
              <w:top w:val="single" w:sz="4" w:space="0" w:color="auto"/>
              <w:left w:val="single" w:sz="4" w:space="0" w:color="auto"/>
              <w:bottom w:val="single" w:sz="4" w:space="0" w:color="auto"/>
              <w:right w:val="single" w:sz="4" w:space="0" w:color="auto"/>
            </w:tcBorders>
            <w:tcMar>
              <w:left w:w="0" w:type="dxa"/>
              <w:right w:w="0" w:type="dxa"/>
            </w:tcMar>
          </w:tcPr>
          <w:p w14:paraId="3E843778" w14:textId="77777777" w:rsidR="00532249" w:rsidRPr="006D3E70" w:rsidRDefault="00532249" w:rsidP="00714EB9">
            <w:pPr>
              <w:pStyle w:val="Tabletext"/>
              <w:jc w:val="center"/>
              <w:rPr>
                <w:lang w:val="fr-FR"/>
              </w:rPr>
            </w:pPr>
            <w:r w:rsidRPr="006D3E70">
              <w:rPr>
                <w:lang w:val="fr-FR"/>
              </w:rPr>
              <w:t>1 000 000</w:t>
            </w:r>
          </w:p>
        </w:tc>
        <w:tc>
          <w:tcPr>
            <w:tcW w:w="505" w:type="pct"/>
            <w:tcBorders>
              <w:top w:val="single" w:sz="4" w:space="0" w:color="auto"/>
              <w:left w:val="single" w:sz="4" w:space="0" w:color="auto"/>
              <w:bottom w:val="single" w:sz="4" w:space="0" w:color="auto"/>
              <w:right w:val="single" w:sz="4" w:space="0" w:color="auto"/>
            </w:tcBorders>
          </w:tcPr>
          <w:p w14:paraId="7150C078" w14:textId="77777777" w:rsidR="00532249" w:rsidRPr="006D3E70" w:rsidRDefault="00532249" w:rsidP="00714EB9">
            <w:pPr>
              <w:pStyle w:val="Tabletext"/>
              <w:jc w:val="center"/>
              <w:rPr>
                <w:lang w:val="fr-FR"/>
              </w:rPr>
            </w:pPr>
            <w:r w:rsidRPr="006D3E70">
              <w:rPr>
                <w:lang w:val="fr-FR"/>
              </w:rPr>
              <w:t>90</w:t>
            </w:r>
          </w:p>
        </w:tc>
        <w:tc>
          <w:tcPr>
            <w:tcW w:w="434" w:type="pct"/>
            <w:tcBorders>
              <w:top w:val="single" w:sz="4" w:space="0" w:color="auto"/>
              <w:left w:val="single" w:sz="4" w:space="0" w:color="auto"/>
              <w:bottom w:val="single" w:sz="4" w:space="0" w:color="auto"/>
              <w:right w:val="single" w:sz="4" w:space="0" w:color="auto"/>
            </w:tcBorders>
          </w:tcPr>
          <w:p w14:paraId="41F4BF8B" w14:textId="2E84E326" w:rsidR="00532249" w:rsidRPr="006D3E70" w:rsidRDefault="00532249" w:rsidP="00714EB9">
            <w:pPr>
              <w:pStyle w:val="Tabletext"/>
              <w:jc w:val="center"/>
              <w:rPr>
                <w:lang w:val="fr-FR"/>
              </w:rPr>
            </w:pPr>
            <w:r w:rsidRPr="006D3E70">
              <w:rPr>
                <w:lang w:val="fr-FR"/>
              </w:rPr>
              <w:t>–30</w:t>
            </w:r>
          </w:p>
        </w:tc>
        <w:tc>
          <w:tcPr>
            <w:tcW w:w="445" w:type="pct"/>
            <w:tcBorders>
              <w:top w:val="single" w:sz="4" w:space="0" w:color="auto"/>
              <w:left w:val="single" w:sz="4" w:space="0" w:color="auto"/>
              <w:bottom w:val="single" w:sz="4" w:space="0" w:color="auto"/>
              <w:right w:val="single" w:sz="4" w:space="0" w:color="auto"/>
            </w:tcBorders>
          </w:tcPr>
          <w:p w14:paraId="65650C63" w14:textId="3B0B069E" w:rsidR="00532249" w:rsidRPr="006D3E70" w:rsidRDefault="00532249" w:rsidP="00714EB9">
            <w:pPr>
              <w:pStyle w:val="Tabletext"/>
              <w:jc w:val="center"/>
              <w:rPr>
                <w:lang w:val="fr-FR"/>
              </w:rPr>
            </w:pPr>
            <w:r w:rsidRPr="006D3E70">
              <w:rPr>
                <w:lang w:val="fr-FR"/>
              </w:rPr>
              <w:t>–2,15</w:t>
            </w:r>
          </w:p>
        </w:tc>
        <w:tc>
          <w:tcPr>
            <w:tcW w:w="641" w:type="pct"/>
            <w:tcBorders>
              <w:top w:val="single" w:sz="4" w:space="0" w:color="auto"/>
              <w:left w:val="single" w:sz="4" w:space="0" w:color="auto"/>
              <w:bottom w:val="single" w:sz="4" w:space="0" w:color="auto"/>
              <w:right w:val="single" w:sz="4" w:space="0" w:color="auto"/>
            </w:tcBorders>
          </w:tcPr>
          <w:p w14:paraId="70992A72" w14:textId="77777777" w:rsidR="00532249" w:rsidRPr="006D3E70" w:rsidRDefault="00532249" w:rsidP="00714EB9">
            <w:pPr>
              <w:pStyle w:val="Tabletext"/>
              <w:jc w:val="center"/>
              <w:rPr>
                <w:lang w:val="fr-FR"/>
              </w:rPr>
            </w:pPr>
            <w:r w:rsidRPr="006D3E70">
              <w:rPr>
                <w:lang w:val="fr-FR"/>
              </w:rPr>
              <w:t>84,8</w:t>
            </w:r>
          </w:p>
        </w:tc>
        <w:tc>
          <w:tcPr>
            <w:tcW w:w="626" w:type="pct"/>
            <w:tcBorders>
              <w:top w:val="single" w:sz="4" w:space="0" w:color="auto"/>
              <w:left w:val="single" w:sz="4" w:space="0" w:color="auto"/>
              <w:bottom w:val="single" w:sz="4" w:space="0" w:color="auto"/>
              <w:right w:val="single" w:sz="4" w:space="0" w:color="auto"/>
            </w:tcBorders>
          </w:tcPr>
          <w:p w14:paraId="3EFE5A9D" w14:textId="77777777" w:rsidR="00532249" w:rsidRPr="006D3E70" w:rsidRDefault="00532249" w:rsidP="00714EB9">
            <w:pPr>
              <w:pStyle w:val="Tabletext"/>
              <w:jc w:val="center"/>
              <w:rPr>
                <w:lang w:val="fr-FR"/>
              </w:rPr>
            </w:pPr>
            <w:r w:rsidRPr="006D3E70">
              <w:rPr>
                <w:lang w:val="fr-FR"/>
              </w:rPr>
              <w:t>88,8</w:t>
            </w:r>
          </w:p>
        </w:tc>
        <w:tc>
          <w:tcPr>
            <w:tcW w:w="648" w:type="pct"/>
            <w:tcBorders>
              <w:top w:val="single" w:sz="4" w:space="0" w:color="auto"/>
              <w:left w:val="single" w:sz="4" w:space="0" w:color="auto"/>
              <w:bottom w:val="single" w:sz="4" w:space="0" w:color="auto"/>
              <w:right w:val="single" w:sz="4" w:space="0" w:color="auto"/>
            </w:tcBorders>
          </w:tcPr>
          <w:p w14:paraId="3EE714F9" w14:textId="31099EC3" w:rsidR="00532249" w:rsidRPr="006D3E70" w:rsidRDefault="00532249" w:rsidP="00714EB9">
            <w:pPr>
              <w:pStyle w:val="Tabletext"/>
              <w:jc w:val="center"/>
              <w:rPr>
                <w:lang w:val="fr-FR"/>
              </w:rPr>
            </w:pPr>
            <w:r w:rsidRPr="006D3E70">
              <w:rPr>
                <w:lang w:val="fr-FR"/>
              </w:rPr>
              <w:t>–61,0</w:t>
            </w:r>
          </w:p>
        </w:tc>
        <w:tc>
          <w:tcPr>
            <w:tcW w:w="644" w:type="pct"/>
            <w:tcBorders>
              <w:top w:val="single" w:sz="4" w:space="0" w:color="auto"/>
              <w:left w:val="single" w:sz="4" w:space="0" w:color="auto"/>
              <w:bottom w:val="single" w:sz="4" w:space="0" w:color="auto"/>
              <w:right w:val="single" w:sz="4" w:space="0" w:color="auto"/>
            </w:tcBorders>
          </w:tcPr>
          <w:p w14:paraId="421C696D" w14:textId="591C5DA1" w:rsidR="00532249" w:rsidRPr="006D3E70" w:rsidRDefault="00532249" w:rsidP="00714EB9">
            <w:pPr>
              <w:pStyle w:val="Tabletext"/>
              <w:jc w:val="center"/>
              <w:rPr>
                <w:lang w:val="fr-FR"/>
              </w:rPr>
            </w:pPr>
            <w:r w:rsidRPr="006D3E70">
              <w:rPr>
                <w:lang w:val="fr-FR"/>
              </w:rPr>
              <w:t>–57,0</w:t>
            </w:r>
          </w:p>
        </w:tc>
      </w:tr>
    </w:tbl>
    <w:p w14:paraId="5DAF40DD" w14:textId="77777777" w:rsidR="00714EB9" w:rsidRPr="006D3E70" w:rsidRDefault="00714EB9" w:rsidP="00714EB9">
      <w:pPr>
        <w:pStyle w:val="Tablefin"/>
        <w:rPr>
          <w:lang w:val="fr-FR"/>
        </w:rPr>
      </w:pPr>
    </w:p>
    <w:p w14:paraId="3374EDDB" w14:textId="77777777" w:rsidR="00714EB9" w:rsidRPr="006D3E70" w:rsidRDefault="00714EB9" w:rsidP="00714EB9">
      <w:pPr>
        <w:rPr>
          <w:lang w:val="fr-FR"/>
        </w:rPr>
      </w:pPr>
    </w:p>
    <w:p w14:paraId="2909955B" w14:textId="77777777" w:rsidR="00714EB9" w:rsidRPr="006D3E70" w:rsidRDefault="00714EB9" w:rsidP="00714EB9">
      <w:pPr>
        <w:rPr>
          <w:lang w:val="fr-FR"/>
        </w:rPr>
      </w:pPr>
    </w:p>
    <w:p w14:paraId="02685FA8" w14:textId="199E0194" w:rsidR="00532249" w:rsidRPr="006D3E70" w:rsidRDefault="00532249" w:rsidP="00F44007">
      <w:pPr>
        <w:pStyle w:val="AnnexNoTitle"/>
        <w:outlineLvl w:val="0"/>
        <w:rPr>
          <w:lang w:val="fr-FR"/>
        </w:rPr>
      </w:pPr>
      <w:r w:rsidRPr="006D3E70">
        <w:rPr>
          <w:lang w:val="fr-FR"/>
        </w:rPr>
        <w:lastRenderedPageBreak/>
        <w:t>Annexe 2</w:t>
      </w:r>
      <w:r w:rsidRPr="006D3E70">
        <w:rPr>
          <w:lang w:val="fr-FR"/>
        </w:rPr>
        <w:br/>
      </w:r>
      <w:r w:rsidRPr="006D3E70">
        <w:rPr>
          <w:lang w:val="fr-FR"/>
        </w:rPr>
        <w:br/>
        <w:t>Méthodes de mesure des rayonnements dans le domaine</w:t>
      </w:r>
      <w:r w:rsidRPr="006D3E70">
        <w:rPr>
          <w:lang w:val="fr-FR"/>
        </w:rPr>
        <w:br/>
        <w:t>des rayonnements non essentiels</w:t>
      </w:r>
    </w:p>
    <w:p w14:paraId="792A65E7" w14:textId="77777777" w:rsidR="00532249" w:rsidRPr="006D3E70" w:rsidRDefault="00532249" w:rsidP="00714EB9">
      <w:pPr>
        <w:pStyle w:val="Heading1"/>
        <w:rPr>
          <w:rFonts w:eastAsia="Arial Unicode MS"/>
          <w:lang w:val="fr-FR"/>
        </w:rPr>
      </w:pPr>
      <w:r w:rsidRPr="006D3E70">
        <w:rPr>
          <w:lang w:val="fr-FR"/>
        </w:rPr>
        <w:t>1</w:t>
      </w:r>
      <w:r w:rsidRPr="006D3E70">
        <w:rPr>
          <w:lang w:val="fr-FR"/>
        </w:rPr>
        <w:tab/>
        <w:t>Équipement de mesure</w:t>
      </w:r>
    </w:p>
    <w:p w14:paraId="6A943FC3" w14:textId="77777777" w:rsidR="00532249" w:rsidRPr="006D3E70" w:rsidRDefault="00532249" w:rsidP="00714EB9">
      <w:pPr>
        <w:pStyle w:val="Heading2"/>
        <w:rPr>
          <w:rFonts w:eastAsia="Arial Unicode MS"/>
          <w:lang w:val="fr-FR"/>
        </w:rPr>
      </w:pPr>
      <w:r w:rsidRPr="006D3E70">
        <w:rPr>
          <w:lang w:val="fr-FR"/>
        </w:rPr>
        <w:t>1.1</w:t>
      </w:r>
      <w:r w:rsidRPr="006D3E70">
        <w:rPr>
          <w:lang w:val="fr-FR"/>
        </w:rPr>
        <w:tab/>
        <w:t>Récepteur sélectif de mesure</w:t>
      </w:r>
    </w:p>
    <w:p w14:paraId="545EFB86" w14:textId="4139F6D4" w:rsidR="00532249" w:rsidRPr="006D3E70" w:rsidRDefault="00532249" w:rsidP="00714EB9">
      <w:pPr>
        <w:keepNext/>
        <w:keepLines/>
        <w:rPr>
          <w:lang w:val="fr-FR"/>
        </w:rPr>
      </w:pPr>
      <w:r w:rsidRPr="006D3E70">
        <w:rPr>
          <w:lang w:val="fr-FR"/>
        </w:rPr>
        <w:t>On peut utiliser un récepteur sélectif ou un analyseur de spectre pour la mesure de la puissance des rayonnements non essentiels appliquée à l</w:t>
      </w:r>
      <w:r w:rsidR="00324C7C" w:rsidRPr="006D3E70">
        <w:rPr>
          <w:lang w:val="fr-FR"/>
        </w:rPr>
        <w:t>'</w:t>
      </w:r>
      <w:r w:rsidRPr="006D3E70">
        <w:rPr>
          <w:lang w:val="fr-FR"/>
        </w:rPr>
        <w:t>antenne et aux rayonnements par le coffret.</w:t>
      </w:r>
    </w:p>
    <w:p w14:paraId="5AE41BCB" w14:textId="275B73B0" w:rsidR="00532249" w:rsidRPr="006D3E70" w:rsidRDefault="00532249" w:rsidP="00714EB9">
      <w:pPr>
        <w:pStyle w:val="Heading3"/>
        <w:keepNext w:val="0"/>
        <w:keepLines w:val="0"/>
        <w:rPr>
          <w:rFonts w:eastAsia="Arial Unicode MS"/>
          <w:lang w:val="fr-FR"/>
        </w:rPr>
      </w:pPr>
      <w:r w:rsidRPr="006D3E70">
        <w:rPr>
          <w:lang w:val="fr-FR"/>
        </w:rPr>
        <w:t>1.1.1</w:t>
      </w:r>
      <w:r w:rsidRPr="006D3E70">
        <w:rPr>
          <w:lang w:val="fr-FR"/>
        </w:rPr>
        <w:tab/>
        <w:t>Fonctions de pondération de l</w:t>
      </w:r>
      <w:r w:rsidR="00324C7C" w:rsidRPr="006D3E70">
        <w:rPr>
          <w:lang w:val="fr-FR"/>
        </w:rPr>
        <w:t>'</w:t>
      </w:r>
      <w:r w:rsidRPr="006D3E70">
        <w:rPr>
          <w:lang w:val="fr-FR"/>
        </w:rPr>
        <w:t>équipement de mesure</w:t>
      </w:r>
    </w:p>
    <w:p w14:paraId="7C0B2BF6" w14:textId="7D72FF10" w:rsidR="00532249" w:rsidRPr="006D3E70" w:rsidRDefault="00532249" w:rsidP="00714EB9">
      <w:pPr>
        <w:rPr>
          <w:lang w:val="fr-FR"/>
        </w:rPr>
      </w:pPr>
      <w:r w:rsidRPr="006D3E70">
        <w:rPr>
          <w:lang w:val="fr-FR"/>
        </w:rPr>
        <w:t>Il est recommandé d</w:t>
      </w:r>
      <w:r w:rsidR="00324C7C" w:rsidRPr="006D3E70">
        <w:rPr>
          <w:lang w:val="fr-FR"/>
        </w:rPr>
        <w:t>'</w:t>
      </w:r>
      <w:r w:rsidRPr="006D3E70">
        <w:rPr>
          <w:lang w:val="fr-FR"/>
        </w:rPr>
        <w:t>utiliser des récepteurs de mesure dotés à la fois de fonctions de pondération moyenne et de crête.</w:t>
      </w:r>
    </w:p>
    <w:p w14:paraId="53A267D0" w14:textId="77777777" w:rsidR="00532249" w:rsidRPr="006D3E70" w:rsidRDefault="00532249" w:rsidP="00714EB9">
      <w:pPr>
        <w:pStyle w:val="Heading3"/>
        <w:keepNext w:val="0"/>
        <w:keepLines w:val="0"/>
        <w:rPr>
          <w:rFonts w:eastAsia="Arial Unicode MS"/>
          <w:lang w:val="fr-FR"/>
        </w:rPr>
      </w:pPr>
      <w:r w:rsidRPr="006D3E70">
        <w:rPr>
          <w:lang w:val="fr-FR"/>
        </w:rPr>
        <w:t>1.1.2</w:t>
      </w:r>
      <w:r w:rsidRPr="006D3E70">
        <w:rPr>
          <w:lang w:val="fr-FR"/>
        </w:rPr>
        <w:tab/>
        <w:t>Largeurs de bande de résolution</w:t>
      </w:r>
    </w:p>
    <w:p w14:paraId="187582B0" w14:textId="114D1877" w:rsidR="00532249" w:rsidRPr="006D3E70" w:rsidRDefault="00532249" w:rsidP="00714EB9">
      <w:pPr>
        <w:rPr>
          <w:lang w:val="fr-FR"/>
        </w:rPr>
      </w:pPr>
      <w:r w:rsidRPr="006D3E70">
        <w:rPr>
          <w:lang w:val="fr-FR"/>
        </w:rPr>
        <w:t>À titre d</w:t>
      </w:r>
      <w:r w:rsidR="00324C7C" w:rsidRPr="006D3E70">
        <w:rPr>
          <w:lang w:val="fr-FR"/>
        </w:rPr>
        <w:t>'</w:t>
      </w:r>
      <w:r w:rsidRPr="006D3E70">
        <w:rPr>
          <w:lang w:val="fr-FR"/>
        </w:rPr>
        <w:t>orientation générale, la largeur de bande de résolution (mesurée aux points à –3 dB du filtre FI final) de l</w:t>
      </w:r>
      <w:r w:rsidR="00324C7C" w:rsidRPr="006D3E70">
        <w:rPr>
          <w:lang w:val="fr-FR"/>
        </w:rPr>
        <w:t>'</w:t>
      </w:r>
      <w:r w:rsidRPr="006D3E70">
        <w:rPr>
          <w:lang w:val="fr-FR"/>
        </w:rPr>
        <w:t xml:space="preserve">équipement de mesure doit être égale aux largeurs de bande de référence données au § 4.1 du </w:t>
      </w:r>
      <w:r w:rsidRPr="006D3E70">
        <w:rPr>
          <w:i/>
          <w:lang w:val="fr-FR"/>
        </w:rPr>
        <w:t>recommande</w:t>
      </w:r>
      <w:r w:rsidRPr="006D3E70">
        <w:rPr>
          <w:lang w:val="fr-FR"/>
        </w:rPr>
        <w:t>. Pour améliorer la précision, la sensibilité et l</w:t>
      </w:r>
      <w:r w:rsidR="00324C7C" w:rsidRPr="006D3E70">
        <w:rPr>
          <w:lang w:val="fr-FR"/>
        </w:rPr>
        <w:t>'</w:t>
      </w:r>
      <w:r w:rsidRPr="006D3E70">
        <w:rPr>
          <w:lang w:val="fr-FR"/>
        </w:rPr>
        <w:t>efficacité des mesures, la largeur de bande de résolution peut être différente de la largeur de bande de référence. Par exemple, une largeur de bande de résolution plus étroite est parfois nécessaire pour des émissions proches de la fréquence centrale. Lorsque la largeur de bande de résolution est inférieure à la largeur de bande de référence, le résultat doit être intégré sur la largeur de bande de référence (l</w:t>
      </w:r>
      <w:r w:rsidR="00324C7C" w:rsidRPr="006D3E70">
        <w:rPr>
          <w:lang w:val="fr-FR"/>
        </w:rPr>
        <w:t>'</w:t>
      </w:r>
      <w:r w:rsidRPr="006D3E70">
        <w:rPr>
          <w:lang w:val="fr-FR"/>
        </w:rPr>
        <w:t>intégration doit se faire sur la base d</w:t>
      </w:r>
      <w:r w:rsidR="00324C7C" w:rsidRPr="006D3E70">
        <w:rPr>
          <w:lang w:val="fr-FR"/>
        </w:rPr>
        <w:t>'</w:t>
      </w:r>
      <w:r w:rsidRPr="006D3E70">
        <w:rPr>
          <w:lang w:val="fr-FR"/>
        </w:rPr>
        <w:t>une somme de puissances à moins qu</w:t>
      </w:r>
      <w:r w:rsidR="00324C7C" w:rsidRPr="006D3E70">
        <w:rPr>
          <w:lang w:val="fr-FR"/>
        </w:rPr>
        <w:t>'</w:t>
      </w:r>
      <w:r w:rsidRPr="006D3E70">
        <w:rPr>
          <w:lang w:val="fr-FR"/>
        </w:rPr>
        <w:t>on ne sache que les tensions des signaux parasites ne s</w:t>
      </w:r>
      <w:r w:rsidR="00324C7C" w:rsidRPr="006D3E70">
        <w:rPr>
          <w:lang w:val="fr-FR"/>
        </w:rPr>
        <w:t>'</w:t>
      </w:r>
      <w:r w:rsidRPr="006D3E70">
        <w:rPr>
          <w:lang w:val="fr-FR"/>
        </w:rPr>
        <w:t>ajoutent et que le signal obéit à une loi intermédiaire, voir la Note 1). Lorsque la largeur de bande de résolution est supérieure à la largeur de bande de référence, le résultat pour les rayonnements à large bande non essentiels doit être normalisé sur le rapport des largeurs de bande. La normalisation n</w:t>
      </w:r>
      <w:r w:rsidR="00324C7C" w:rsidRPr="006D3E70">
        <w:rPr>
          <w:lang w:val="fr-FR"/>
        </w:rPr>
        <w:t>'</w:t>
      </w:r>
      <w:r w:rsidRPr="006D3E70">
        <w:rPr>
          <w:lang w:val="fr-FR"/>
        </w:rPr>
        <w:t>est pas possible pour des rayonnements non essentiels discrets (à large bande).</w:t>
      </w:r>
    </w:p>
    <w:p w14:paraId="6F235188" w14:textId="77777777" w:rsidR="00532249" w:rsidRPr="006D3E70" w:rsidRDefault="00532249" w:rsidP="00532249">
      <w:pPr>
        <w:rPr>
          <w:lang w:val="fr-FR"/>
        </w:rPr>
      </w:pPr>
      <w:r w:rsidRPr="006D3E70">
        <w:rPr>
          <w:lang w:val="fr-FR"/>
        </w:rPr>
        <w:t>Un facteur de correction pour la largeur de bande de résolution doit être introduit en fonction de la largeur de bande de résolution réelle du récepteur de mesure (par exemple, une largeur de bande de résolution à –</w:t>
      </w:r>
      <w:r w:rsidRPr="006D3E70">
        <w:rPr>
          <w:sz w:val="4"/>
          <w:lang w:val="fr-FR"/>
        </w:rPr>
        <w:t> </w:t>
      </w:r>
      <w:r w:rsidRPr="006D3E70">
        <w:rPr>
          <w:lang w:val="fr-FR"/>
        </w:rPr>
        <w:t>6 dB) et de la nature des rayonnements dans le domaine des rayonnements non essentiels étudiés (par exemple, signal pulsé ou bruit gaussien).</w:t>
      </w:r>
    </w:p>
    <w:p w14:paraId="38FBC611" w14:textId="01C8EEBF" w:rsidR="00532249" w:rsidRPr="006D3E70" w:rsidRDefault="00532249" w:rsidP="00532249">
      <w:pPr>
        <w:pStyle w:val="Note"/>
        <w:rPr>
          <w:lang w:val="fr-FR"/>
        </w:rPr>
      </w:pPr>
      <w:r w:rsidRPr="006D3E70">
        <w:rPr>
          <w:lang w:val="fr-FR"/>
        </w:rPr>
        <w:t>NOTE 1 </w:t>
      </w:r>
      <w:r w:rsidRPr="006D3E70">
        <w:rPr>
          <w:lang w:val="fr-FR"/>
        </w:rPr>
        <w:sym w:font="Symbol" w:char="F02D"/>
      </w:r>
      <w:r w:rsidRPr="006D3E70">
        <w:rPr>
          <w:lang w:val="fr-FR"/>
        </w:rPr>
        <w:t> Lorsque les rayonnements dans le domaine des rayonnements non essentiels sont mesurés en termes de PEP avec une largeur de bande de résolution plus étroite que la largeur de bande de référence, la somme des puissances peut ne pas être appropriée. Si la règle d</w:t>
      </w:r>
      <w:r w:rsidR="00324C7C" w:rsidRPr="006D3E70">
        <w:rPr>
          <w:lang w:val="fr-FR"/>
        </w:rPr>
        <w:t>'</w:t>
      </w:r>
      <w:r w:rsidRPr="006D3E70">
        <w:rPr>
          <w:lang w:val="fr-FR"/>
        </w:rPr>
        <w:t>addition n</w:t>
      </w:r>
      <w:r w:rsidR="00324C7C" w:rsidRPr="006D3E70">
        <w:rPr>
          <w:lang w:val="fr-FR"/>
        </w:rPr>
        <w:t>'</w:t>
      </w:r>
      <w:r w:rsidRPr="006D3E70">
        <w:rPr>
          <w:lang w:val="fr-FR"/>
        </w:rPr>
        <w:t>est pas connue, il convient d</w:t>
      </w:r>
      <w:r w:rsidR="00324C7C" w:rsidRPr="006D3E70">
        <w:rPr>
          <w:lang w:val="fr-FR"/>
        </w:rPr>
        <w:t>'</w:t>
      </w:r>
      <w:r w:rsidRPr="006D3E70">
        <w:rPr>
          <w:lang w:val="fr-FR"/>
        </w:rPr>
        <w:t>évaluer l</w:t>
      </w:r>
      <w:r w:rsidR="00324C7C" w:rsidRPr="006D3E70">
        <w:rPr>
          <w:lang w:val="fr-FR"/>
        </w:rPr>
        <w:t>'</w:t>
      </w:r>
      <w:r w:rsidRPr="006D3E70">
        <w:rPr>
          <w:lang w:val="fr-FR"/>
        </w:rPr>
        <w:t>ensemble des rayonnements dans le domaine des rayonnements non essentiels dans la largeur de bande de référence en utilisant les règles de la somme des puissances et de la somme des tensions. Dans tous les cas, si le niveau de l</w:t>
      </w:r>
      <w:r w:rsidR="00324C7C" w:rsidRPr="006D3E70">
        <w:rPr>
          <w:lang w:val="fr-FR"/>
        </w:rPr>
        <w:t>'</w:t>
      </w:r>
      <w:r w:rsidRPr="006D3E70">
        <w:rPr>
          <w:lang w:val="fr-FR"/>
        </w:rPr>
        <w:t>ensemble des rayonnements dans le domaine des rayonnements non essentiels, calculé avec la méthode de la somme des tensions, est inférieur à la limite spécifiée, la limite est alors respectée. Si le niveau est supérieur à la limite spécifiée, la limite n</w:t>
      </w:r>
      <w:r w:rsidR="00324C7C" w:rsidRPr="006D3E70">
        <w:rPr>
          <w:lang w:val="fr-FR"/>
        </w:rPr>
        <w:t>'</w:t>
      </w:r>
      <w:r w:rsidRPr="006D3E70">
        <w:rPr>
          <w:lang w:val="fr-FR"/>
        </w:rPr>
        <w:t>est pas respectée.</w:t>
      </w:r>
    </w:p>
    <w:p w14:paraId="2DEA572A" w14:textId="77777777" w:rsidR="00532249" w:rsidRPr="006D3E70" w:rsidRDefault="00532249" w:rsidP="00532249">
      <w:pPr>
        <w:pStyle w:val="Heading3"/>
        <w:rPr>
          <w:rFonts w:eastAsia="Arial Unicode MS"/>
          <w:lang w:val="fr-FR"/>
        </w:rPr>
      </w:pPr>
      <w:r w:rsidRPr="006D3E70">
        <w:rPr>
          <w:lang w:val="fr-FR"/>
        </w:rPr>
        <w:t>1.1.3</w:t>
      </w:r>
      <w:r w:rsidRPr="006D3E70">
        <w:rPr>
          <w:lang w:val="fr-FR"/>
        </w:rPr>
        <w:tab/>
        <w:t>Largeur de bande vidéo</w:t>
      </w:r>
    </w:p>
    <w:p w14:paraId="121EA9B2" w14:textId="77777777" w:rsidR="00532249" w:rsidRPr="006D3E70" w:rsidRDefault="00532249" w:rsidP="00532249">
      <w:pPr>
        <w:rPr>
          <w:lang w:val="fr-FR"/>
        </w:rPr>
      </w:pPr>
      <w:r w:rsidRPr="006D3E70">
        <w:rPr>
          <w:lang w:val="fr-FR"/>
        </w:rPr>
        <w:t>La largeur de bande vidéo doit être au moins égale à la largeur de bande de résolution, et de préférence trois à cinq fois supérieure.</w:t>
      </w:r>
    </w:p>
    <w:p w14:paraId="3D60D76C" w14:textId="77777777" w:rsidR="00532249" w:rsidRPr="006D3E70" w:rsidRDefault="00532249" w:rsidP="00532249">
      <w:pPr>
        <w:pStyle w:val="Heading3"/>
        <w:rPr>
          <w:rFonts w:eastAsia="Arial Unicode MS"/>
          <w:lang w:val="fr-FR"/>
        </w:rPr>
      </w:pPr>
      <w:r w:rsidRPr="006D3E70">
        <w:rPr>
          <w:lang w:val="fr-FR"/>
        </w:rPr>
        <w:lastRenderedPageBreak/>
        <w:t>1.1.4</w:t>
      </w:r>
      <w:r w:rsidRPr="006D3E70">
        <w:rPr>
          <w:lang w:val="fr-FR"/>
        </w:rPr>
        <w:tab/>
        <w:t>Facteur de forme du filtre du récepteur de mesure</w:t>
      </w:r>
    </w:p>
    <w:p w14:paraId="47352832" w14:textId="4103AD7B" w:rsidR="00532249" w:rsidRPr="006D3E70" w:rsidRDefault="00532249" w:rsidP="00532249">
      <w:pPr>
        <w:keepNext/>
        <w:keepLines/>
        <w:rPr>
          <w:lang w:val="fr-FR"/>
        </w:rPr>
      </w:pPr>
      <w:r w:rsidRPr="006D3E70">
        <w:rPr>
          <w:lang w:val="fr-FR"/>
        </w:rPr>
        <w:t>Un facteur de forme est un paramètre de sélectivité d</w:t>
      </w:r>
      <w:r w:rsidR="00324C7C" w:rsidRPr="006D3E70">
        <w:rPr>
          <w:lang w:val="fr-FR"/>
        </w:rPr>
        <w:t>'</w:t>
      </w:r>
      <w:r w:rsidRPr="006D3E70">
        <w:rPr>
          <w:lang w:val="fr-FR"/>
        </w:rPr>
        <w:t>un filtre passe-bande et est généralement défini comme étant le rapport de la largeur de bande d</w:t>
      </w:r>
      <w:r w:rsidR="00324C7C" w:rsidRPr="006D3E70">
        <w:rPr>
          <w:lang w:val="fr-FR"/>
        </w:rPr>
        <w:t>'</w:t>
      </w:r>
      <w:r w:rsidRPr="006D3E70">
        <w:rPr>
          <w:lang w:val="fr-FR"/>
        </w:rPr>
        <w:t>élimination spécifiée sur la largeur de bande spécifiée. Pour un filtre parfait, ce rapport est égal à 1. Cependant, les filtres réels ont une décroissance d</w:t>
      </w:r>
      <w:r w:rsidR="00324C7C" w:rsidRPr="006D3E70">
        <w:rPr>
          <w:lang w:val="fr-FR"/>
        </w:rPr>
        <w:t>'</w:t>
      </w:r>
      <w:r w:rsidRPr="006D3E70">
        <w:rPr>
          <w:lang w:val="fr-FR"/>
        </w:rPr>
        <w:t>affaiblissement loin de celle du filtre parfait. Ainsi, les analyseurs de spectre qui simulent approximativement des filtres gaussiens en utilisant une batterie de filtres accordés pour répondre au signal tout en étant dans le mode de balayage, définissent en général un rapport pour des niveaux compris entre –60 dB et –3 dB allant de 5:1 à 15:1.</w:t>
      </w:r>
    </w:p>
    <w:p w14:paraId="5D53D776" w14:textId="6EE6CD91" w:rsidR="00532249" w:rsidRPr="006D3E70" w:rsidRDefault="00532249" w:rsidP="00532249">
      <w:pPr>
        <w:pStyle w:val="Heading2"/>
        <w:rPr>
          <w:rFonts w:eastAsia="Arial Unicode MS"/>
          <w:lang w:val="fr-FR"/>
        </w:rPr>
      </w:pPr>
      <w:r w:rsidRPr="006D3E70">
        <w:rPr>
          <w:lang w:val="fr-FR"/>
        </w:rPr>
        <w:t>1.2</w:t>
      </w:r>
      <w:r w:rsidRPr="006D3E70">
        <w:rPr>
          <w:lang w:val="fr-FR"/>
        </w:rPr>
        <w:tab/>
        <w:t>Filtre d</w:t>
      </w:r>
      <w:r w:rsidR="00324C7C" w:rsidRPr="006D3E70">
        <w:rPr>
          <w:lang w:val="fr-FR"/>
        </w:rPr>
        <w:t>'</w:t>
      </w:r>
      <w:r w:rsidRPr="006D3E70">
        <w:rPr>
          <w:lang w:val="fr-FR"/>
        </w:rPr>
        <w:t>élimination de la fréquence fondamentale</w:t>
      </w:r>
    </w:p>
    <w:p w14:paraId="747DA6C7" w14:textId="42574162" w:rsidR="00532249" w:rsidRPr="006D3E70" w:rsidRDefault="00532249" w:rsidP="00532249">
      <w:pPr>
        <w:rPr>
          <w:lang w:val="fr-FR"/>
        </w:rPr>
      </w:pPr>
      <w:r w:rsidRPr="006D3E70">
        <w:rPr>
          <w:lang w:val="fr-FR"/>
        </w:rPr>
        <w:t>Le rapport de la puissance de la fréquence fondamentale sur la puissance des rayonnements dans le domaine des rayonnements non essentiels peut être de l</w:t>
      </w:r>
      <w:r w:rsidR="00324C7C" w:rsidRPr="006D3E70">
        <w:rPr>
          <w:lang w:val="fr-FR"/>
        </w:rPr>
        <w:t>'</w:t>
      </w:r>
      <w:r w:rsidRPr="006D3E70">
        <w:rPr>
          <w:lang w:val="fr-FR"/>
        </w:rPr>
        <w:t>ordre de 70 dB ou plus. Un rapport de cet ordre peut souvent se traduire par la présence d</w:t>
      </w:r>
      <w:r w:rsidR="00324C7C" w:rsidRPr="006D3E70">
        <w:rPr>
          <w:lang w:val="fr-FR"/>
        </w:rPr>
        <w:t>'</w:t>
      </w:r>
      <w:r w:rsidRPr="006D3E70">
        <w:rPr>
          <w:lang w:val="fr-FR"/>
        </w:rPr>
        <w:t>une fréquence fondamentale dont le niveau est suffisant pour produire des non-linéarités dans le récepteur sélectif. Par conséquent, un filtre d</w:t>
      </w:r>
      <w:r w:rsidR="00324C7C" w:rsidRPr="006D3E70">
        <w:rPr>
          <w:lang w:val="fr-FR"/>
        </w:rPr>
        <w:t>'</w:t>
      </w:r>
      <w:r w:rsidRPr="006D3E70">
        <w:rPr>
          <w:lang w:val="fr-FR"/>
        </w:rPr>
        <w:t>élimination destiné à affaiblir la fréquence fondamentale à l</w:t>
      </w:r>
      <w:r w:rsidR="00324C7C" w:rsidRPr="006D3E70">
        <w:rPr>
          <w:lang w:val="fr-FR"/>
        </w:rPr>
        <w:t>'</w:t>
      </w:r>
      <w:r w:rsidRPr="006D3E70">
        <w:rPr>
          <w:lang w:val="fr-FR"/>
        </w:rPr>
        <w:t>entrée du dispositif de mesure est en général nécessaire (si la fréquence d</w:t>
      </w:r>
      <w:r w:rsidR="00324C7C" w:rsidRPr="006D3E70">
        <w:rPr>
          <w:lang w:val="fr-FR"/>
        </w:rPr>
        <w:t>'</w:t>
      </w:r>
      <w:r w:rsidRPr="006D3E70">
        <w:rPr>
          <w:lang w:val="fr-FR"/>
        </w:rPr>
        <w:t>émission des rayonnements non essentiels n</w:t>
      </w:r>
      <w:r w:rsidR="00324C7C" w:rsidRPr="006D3E70">
        <w:rPr>
          <w:lang w:val="fr-FR"/>
        </w:rPr>
        <w:t>'</w:t>
      </w:r>
      <w:r w:rsidRPr="006D3E70">
        <w:rPr>
          <w:lang w:val="fr-FR"/>
        </w:rPr>
        <w:t>est pas trop proche de la fréquence fondamentale). Pour les gammes de fréquences bien au-dessus de la fréquence fondamentale (pour les harmoniques, par exemple), on peut utiliser un filtre passe-bande ou un filtre passe-haut. L</w:t>
      </w:r>
      <w:r w:rsidR="00324C7C" w:rsidRPr="006D3E70">
        <w:rPr>
          <w:lang w:val="fr-FR"/>
        </w:rPr>
        <w:t>'</w:t>
      </w:r>
      <w:r w:rsidRPr="006D3E70">
        <w:rPr>
          <w:lang w:val="fr-FR"/>
        </w:rPr>
        <w:t>affaiblissement d</w:t>
      </w:r>
      <w:r w:rsidR="00324C7C" w:rsidRPr="006D3E70">
        <w:rPr>
          <w:lang w:val="fr-FR"/>
        </w:rPr>
        <w:t>'</w:t>
      </w:r>
      <w:r w:rsidRPr="006D3E70">
        <w:rPr>
          <w:lang w:val="fr-FR"/>
        </w:rPr>
        <w:t>insertion de ce filtre pour les fréquences des rayonnements dans le domaine des rayonnements non essentiels ne doit pas être trop élevé. Cependant, la réponse en fréquence du filtre doit être parfaitement connue.</w:t>
      </w:r>
    </w:p>
    <w:p w14:paraId="13740320" w14:textId="5E2001CE" w:rsidR="00532249" w:rsidRPr="006D3E70" w:rsidRDefault="00532249" w:rsidP="00532249">
      <w:pPr>
        <w:rPr>
          <w:lang w:val="fr-FR"/>
        </w:rPr>
      </w:pPr>
      <w:r w:rsidRPr="006D3E70">
        <w:rPr>
          <w:lang w:val="fr-FR"/>
        </w:rPr>
        <w:t>Des filtres d</w:t>
      </w:r>
      <w:r w:rsidR="00324C7C" w:rsidRPr="006D3E70">
        <w:rPr>
          <w:lang w:val="fr-FR"/>
        </w:rPr>
        <w:t>'</w:t>
      </w:r>
      <w:r w:rsidRPr="006D3E70">
        <w:rPr>
          <w:lang w:val="fr-FR"/>
        </w:rPr>
        <w:t>élimination types à fréquence variable et à constantes localisées fonctionnant dans la gamme des ondes métriques et décimétriques présentent une perte d</w:t>
      </w:r>
      <w:r w:rsidR="00324C7C" w:rsidRPr="006D3E70">
        <w:rPr>
          <w:lang w:val="fr-FR"/>
        </w:rPr>
        <w:t>'</w:t>
      </w:r>
      <w:r w:rsidRPr="006D3E70">
        <w:rPr>
          <w:lang w:val="fr-FR"/>
        </w:rPr>
        <w:t>insertion de 3 à 5 dB, voire moins et d</w:t>
      </w:r>
      <w:r w:rsidR="00324C7C" w:rsidRPr="006D3E70">
        <w:rPr>
          <w:lang w:val="fr-FR"/>
        </w:rPr>
        <w:t>'</w:t>
      </w:r>
      <w:r w:rsidRPr="006D3E70">
        <w:rPr>
          <w:lang w:val="fr-FR"/>
        </w:rPr>
        <w:t>environ 2 à 3 dB au-dessus de 1 GHz.</w:t>
      </w:r>
    </w:p>
    <w:p w14:paraId="64A8AC94" w14:textId="10AE1BAE" w:rsidR="00532249" w:rsidRPr="006D3E70" w:rsidRDefault="00532249" w:rsidP="00532249">
      <w:pPr>
        <w:rPr>
          <w:lang w:val="fr-FR"/>
        </w:rPr>
      </w:pPr>
      <w:r w:rsidRPr="006D3E70">
        <w:rPr>
          <w:lang w:val="fr-FR"/>
        </w:rPr>
        <w:t>Il existe des filtres quart d</w:t>
      </w:r>
      <w:r w:rsidR="00324C7C" w:rsidRPr="006D3E70">
        <w:rPr>
          <w:lang w:val="fr-FR"/>
        </w:rPr>
        <w:t>'</w:t>
      </w:r>
      <w:r w:rsidRPr="006D3E70">
        <w:rPr>
          <w:lang w:val="fr-FR"/>
        </w:rPr>
        <w:t>onde passe-bande à cavité accordable pour des fréquences au-dessus de 50 MHz compte tenu de leurs dimensions. Ils présentent des affaiblissements d</w:t>
      </w:r>
      <w:r w:rsidR="00324C7C" w:rsidRPr="006D3E70">
        <w:rPr>
          <w:lang w:val="fr-FR"/>
        </w:rPr>
        <w:t>'</w:t>
      </w:r>
      <w:r w:rsidRPr="006D3E70">
        <w:rPr>
          <w:lang w:val="fr-FR"/>
        </w:rPr>
        <w:t>insertion inférieurs à 1 dB. Des filtres d</w:t>
      </w:r>
      <w:r w:rsidR="00324C7C" w:rsidRPr="006D3E70">
        <w:rPr>
          <w:lang w:val="fr-FR"/>
        </w:rPr>
        <w:t>'</w:t>
      </w:r>
      <w:r w:rsidRPr="006D3E70">
        <w:rPr>
          <w:lang w:val="fr-FR"/>
        </w:rPr>
        <w:t>élimination de bande à cavité présenteront un affaiblissement du même ordre pour les fréquences situées à 10% de la fréquence d</w:t>
      </w:r>
      <w:r w:rsidR="00324C7C" w:rsidRPr="006D3E70">
        <w:rPr>
          <w:lang w:val="fr-FR"/>
        </w:rPr>
        <w:t>'</w:t>
      </w:r>
      <w:r w:rsidRPr="006D3E70">
        <w:rPr>
          <w:lang w:val="fr-FR"/>
        </w:rPr>
        <w:t>élimination.</w:t>
      </w:r>
    </w:p>
    <w:p w14:paraId="35F18E52" w14:textId="763E2664" w:rsidR="00532249" w:rsidRPr="006D3E70" w:rsidRDefault="00532249" w:rsidP="00532249">
      <w:pPr>
        <w:rPr>
          <w:lang w:val="fr-FR"/>
        </w:rPr>
      </w:pPr>
      <w:r w:rsidRPr="006D3E70">
        <w:rPr>
          <w:lang w:val="fr-FR"/>
        </w:rPr>
        <w:t>Les récepteurs qui doivent couvrir de nombreuses bandes nécessitent en général un filtrage variable qui suit la fréquence d</w:t>
      </w:r>
      <w:r w:rsidR="00324C7C" w:rsidRPr="006D3E70">
        <w:rPr>
          <w:lang w:val="fr-FR"/>
        </w:rPr>
        <w:t>'</w:t>
      </w:r>
      <w:r w:rsidRPr="006D3E70">
        <w:rPr>
          <w:lang w:val="fr-FR"/>
        </w:rPr>
        <w:t>accord du système mesuré. Les types de filtres variables qui conviennent aux mesures des rayonnements non essentiels sont des syntoniseurs à varactor ou des filtres YIG (grenat</w:t>
      </w:r>
      <w:r w:rsidRPr="006D3E70">
        <w:rPr>
          <w:lang w:val="fr-FR"/>
        </w:rPr>
        <w:noBreakHyphen/>
        <w:t>yttrium-fer). Ces filtres ont un affaiblissement d</w:t>
      </w:r>
      <w:r w:rsidR="00324C7C" w:rsidRPr="006D3E70">
        <w:rPr>
          <w:lang w:val="fr-FR"/>
        </w:rPr>
        <w:t>'</w:t>
      </w:r>
      <w:r w:rsidRPr="006D3E70">
        <w:rPr>
          <w:lang w:val="fr-FR"/>
        </w:rPr>
        <w:t>insertion supérieur aux filtres à fréquence fixe, mais ont des largeurs de bande plus faibles qui permettent des mesures à des fréquences très proches de la fréquence de l</w:t>
      </w:r>
      <w:r w:rsidR="00324C7C" w:rsidRPr="006D3E70">
        <w:rPr>
          <w:lang w:val="fr-FR"/>
        </w:rPr>
        <w:t>'</w:t>
      </w:r>
      <w:r w:rsidRPr="006D3E70">
        <w:rPr>
          <w:lang w:val="fr-FR"/>
        </w:rPr>
        <w:t>émetteur.</w:t>
      </w:r>
    </w:p>
    <w:p w14:paraId="0EEDB07D" w14:textId="16EBE099" w:rsidR="00532249" w:rsidRPr="006D3E70" w:rsidRDefault="00532249" w:rsidP="00532249">
      <w:pPr>
        <w:rPr>
          <w:lang w:val="fr-FR"/>
        </w:rPr>
      </w:pPr>
      <w:r w:rsidRPr="006D3E70">
        <w:rPr>
          <w:lang w:val="fr-FR"/>
        </w:rPr>
        <w:t>Les syntoniseurs à varactor sont en général recommandés pour des fréquences comprises entre 50 MHz et 1 GHz. Ils offrent une largeur de bande à 3 dB qui est d</w:t>
      </w:r>
      <w:r w:rsidR="00324C7C" w:rsidRPr="006D3E70">
        <w:rPr>
          <w:lang w:val="fr-FR"/>
        </w:rPr>
        <w:t>'</w:t>
      </w:r>
      <w:r w:rsidRPr="006D3E70">
        <w:rPr>
          <w:lang w:val="fr-FR"/>
        </w:rPr>
        <w:t>environ 5% de la fréquence d</w:t>
      </w:r>
      <w:r w:rsidR="00324C7C" w:rsidRPr="006D3E70">
        <w:rPr>
          <w:lang w:val="fr-FR"/>
        </w:rPr>
        <w:t>'</w:t>
      </w:r>
      <w:r w:rsidRPr="006D3E70">
        <w:rPr>
          <w:lang w:val="fr-FR"/>
        </w:rPr>
        <w:t>accord et ont un affaiblissement d</w:t>
      </w:r>
      <w:r w:rsidR="00324C7C" w:rsidRPr="006D3E70">
        <w:rPr>
          <w:lang w:val="fr-FR"/>
        </w:rPr>
        <w:t>'</w:t>
      </w:r>
      <w:r w:rsidRPr="006D3E70">
        <w:rPr>
          <w:lang w:val="fr-FR"/>
        </w:rPr>
        <w:t>insertion de 5 à 6 dB environ.</w:t>
      </w:r>
    </w:p>
    <w:p w14:paraId="4F9876F0" w14:textId="489A91ED" w:rsidR="00532249" w:rsidRPr="006D3E70" w:rsidRDefault="00532249" w:rsidP="00532249">
      <w:pPr>
        <w:rPr>
          <w:lang w:val="fr-FR"/>
        </w:rPr>
      </w:pPr>
      <w:r w:rsidRPr="006D3E70">
        <w:rPr>
          <w:lang w:val="fr-FR"/>
        </w:rPr>
        <w:t>Les filtres YIG sont en général recommandés pour des fréquences comprises entre 1 et 18 GHz. Ils offrent une largeur de bande à 3 dB qui est d</w:t>
      </w:r>
      <w:r w:rsidR="00324C7C" w:rsidRPr="006D3E70">
        <w:rPr>
          <w:lang w:val="fr-FR"/>
        </w:rPr>
        <w:t>'</w:t>
      </w:r>
      <w:r w:rsidRPr="006D3E70">
        <w:rPr>
          <w:lang w:val="fr-FR"/>
        </w:rPr>
        <w:t>environ 15 MHz à 2 GHz RF et d</w:t>
      </w:r>
      <w:r w:rsidR="00324C7C" w:rsidRPr="006D3E70">
        <w:rPr>
          <w:lang w:val="fr-FR"/>
        </w:rPr>
        <w:t>'</w:t>
      </w:r>
      <w:r w:rsidRPr="006D3E70">
        <w:rPr>
          <w:lang w:val="fr-FR"/>
        </w:rPr>
        <w:t>environ 30 MHz à 18 GHz RF. Leur affaiblissement d</w:t>
      </w:r>
      <w:r w:rsidR="00324C7C" w:rsidRPr="006D3E70">
        <w:rPr>
          <w:lang w:val="fr-FR"/>
        </w:rPr>
        <w:t>'</w:t>
      </w:r>
      <w:r w:rsidRPr="006D3E70">
        <w:rPr>
          <w:lang w:val="fr-FR"/>
        </w:rPr>
        <w:t>insertion est de 6 à 8 dB environ.</w:t>
      </w:r>
    </w:p>
    <w:p w14:paraId="2717B2A0" w14:textId="77777777" w:rsidR="00532249" w:rsidRPr="006D3E70" w:rsidRDefault="00532249" w:rsidP="00532249">
      <w:pPr>
        <w:pStyle w:val="Heading2"/>
        <w:rPr>
          <w:rFonts w:eastAsia="Arial Unicode MS"/>
          <w:lang w:val="fr-FR"/>
        </w:rPr>
      </w:pPr>
      <w:r w:rsidRPr="006D3E70">
        <w:rPr>
          <w:lang w:val="fr-FR"/>
        </w:rPr>
        <w:t>1.3</w:t>
      </w:r>
      <w:r w:rsidRPr="006D3E70">
        <w:rPr>
          <w:lang w:val="fr-FR"/>
        </w:rPr>
        <w:tab/>
        <w:t>Dispositif de couplage</w:t>
      </w:r>
    </w:p>
    <w:p w14:paraId="532C6B02" w14:textId="00F9DB5C" w:rsidR="00532249" w:rsidRPr="006D3E70" w:rsidRDefault="00532249" w:rsidP="00532249">
      <w:pPr>
        <w:rPr>
          <w:lang w:val="fr-FR"/>
        </w:rPr>
      </w:pPr>
      <w:r w:rsidRPr="006D3E70">
        <w:rPr>
          <w:lang w:val="fr-FR"/>
        </w:rPr>
        <w:t>Les mesures sont faites en utilisant un coupleur directionnel pouvant supporter la puissance du signal d</w:t>
      </w:r>
      <w:r w:rsidR="00324C7C" w:rsidRPr="006D3E70">
        <w:rPr>
          <w:lang w:val="fr-FR"/>
        </w:rPr>
        <w:t>'</w:t>
      </w:r>
      <w:r w:rsidRPr="006D3E70">
        <w:rPr>
          <w:lang w:val="fr-FR"/>
        </w:rPr>
        <w:t>émission à la fréquence fondamentale. L</w:t>
      </w:r>
      <w:r w:rsidR="00324C7C" w:rsidRPr="006D3E70">
        <w:rPr>
          <w:lang w:val="fr-FR"/>
        </w:rPr>
        <w:t>'</w:t>
      </w:r>
      <w:r w:rsidRPr="006D3E70">
        <w:rPr>
          <w:lang w:val="fr-FR"/>
        </w:rPr>
        <w:t>impédance de ce coupleur doit correspondre à l</w:t>
      </w:r>
      <w:r w:rsidR="00324C7C" w:rsidRPr="006D3E70">
        <w:rPr>
          <w:lang w:val="fr-FR"/>
        </w:rPr>
        <w:t>'</w:t>
      </w:r>
      <w:r w:rsidRPr="006D3E70">
        <w:rPr>
          <w:lang w:val="fr-FR"/>
        </w:rPr>
        <w:t>impédance de l</w:t>
      </w:r>
      <w:r w:rsidR="00324C7C" w:rsidRPr="006D3E70">
        <w:rPr>
          <w:lang w:val="fr-FR"/>
        </w:rPr>
        <w:t>'</w:t>
      </w:r>
      <w:r w:rsidRPr="006D3E70">
        <w:rPr>
          <w:lang w:val="fr-FR"/>
        </w:rPr>
        <w:t>émetteur à la fréquence fondamentale.</w:t>
      </w:r>
    </w:p>
    <w:p w14:paraId="6A11FF1F" w14:textId="77777777" w:rsidR="00532249" w:rsidRPr="006D3E70" w:rsidRDefault="00532249" w:rsidP="00532249">
      <w:pPr>
        <w:pStyle w:val="Heading2"/>
        <w:rPr>
          <w:rFonts w:eastAsia="Arial Unicode MS"/>
          <w:lang w:val="fr-FR"/>
        </w:rPr>
      </w:pPr>
      <w:r w:rsidRPr="006D3E70">
        <w:rPr>
          <w:lang w:val="fr-FR"/>
        </w:rPr>
        <w:lastRenderedPageBreak/>
        <w:t>1.4</w:t>
      </w:r>
      <w:r w:rsidRPr="006D3E70">
        <w:rPr>
          <w:lang w:val="fr-FR"/>
        </w:rPr>
        <w:tab/>
        <w:t>Charge terminale</w:t>
      </w:r>
    </w:p>
    <w:p w14:paraId="4F752878" w14:textId="218BF29C" w:rsidR="00532249" w:rsidRPr="006D3E70" w:rsidRDefault="00532249" w:rsidP="00532249">
      <w:pPr>
        <w:rPr>
          <w:lang w:val="fr-FR"/>
        </w:rPr>
      </w:pPr>
      <w:r w:rsidRPr="006D3E70">
        <w:rPr>
          <w:lang w:val="fr-FR"/>
        </w:rPr>
        <w:t>Pour mesurer la puissance des rayonnements dans le domaine des rayonnements non essentiels, tout en utilisant la Méthode de mesure 1, il faut connecter l</w:t>
      </w:r>
      <w:r w:rsidR="00324C7C" w:rsidRPr="006D3E70">
        <w:rPr>
          <w:lang w:val="fr-FR"/>
        </w:rPr>
        <w:t>'</w:t>
      </w:r>
      <w:r w:rsidRPr="006D3E70">
        <w:rPr>
          <w:lang w:val="fr-FR"/>
        </w:rPr>
        <w:t>émetteur à une charge d</w:t>
      </w:r>
      <w:r w:rsidR="00324C7C" w:rsidRPr="006D3E70">
        <w:rPr>
          <w:lang w:val="fr-FR"/>
        </w:rPr>
        <w:t>'</w:t>
      </w:r>
      <w:r w:rsidRPr="006D3E70">
        <w:rPr>
          <w:lang w:val="fr-FR"/>
        </w:rPr>
        <w:t>essai ou à une charge terminale. Le niveau des rayonnements dans le domaine des rayonnements non essentiels dépend de l</w:t>
      </w:r>
      <w:r w:rsidR="00324C7C" w:rsidRPr="006D3E70">
        <w:rPr>
          <w:lang w:val="fr-FR"/>
        </w:rPr>
        <w:t>'</w:t>
      </w:r>
      <w:r w:rsidRPr="006D3E70">
        <w:rPr>
          <w:lang w:val="fr-FR"/>
        </w:rPr>
        <w:t>adaptation d</w:t>
      </w:r>
      <w:r w:rsidR="00324C7C" w:rsidRPr="006D3E70">
        <w:rPr>
          <w:lang w:val="fr-FR"/>
        </w:rPr>
        <w:t>'</w:t>
      </w:r>
      <w:r w:rsidRPr="006D3E70">
        <w:rPr>
          <w:lang w:val="fr-FR"/>
        </w:rPr>
        <w:t>impédance entre l</w:t>
      </w:r>
      <w:r w:rsidR="00324C7C" w:rsidRPr="006D3E70">
        <w:rPr>
          <w:lang w:val="fr-FR"/>
        </w:rPr>
        <w:t>'</w:t>
      </w:r>
      <w:r w:rsidRPr="006D3E70">
        <w:rPr>
          <w:lang w:val="fr-FR"/>
        </w:rPr>
        <w:t>étage de sortie de l</w:t>
      </w:r>
      <w:r w:rsidR="00324C7C" w:rsidRPr="006D3E70">
        <w:rPr>
          <w:lang w:val="fr-FR"/>
        </w:rPr>
        <w:t>'</w:t>
      </w:r>
      <w:r w:rsidRPr="006D3E70">
        <w:rPr>
          <w:lang w:val="fr-FR"/>
        </w:rPr>
        <w:t>émetteur, la ligne de transmission et la charge de mesure.</w:t>
      </w:r>
    </w:p>
    <w:p w14:paraId="5C9E661F" w14:textId="77777777" w:rsidR="00532249" w:rsidRPr="006D3E70" w:rsidRDefault="00532249" w:rsidP="00532249">
      <w:pPr>
        <w:pStyle w:val="Heading2"/>
        <w:rPr>
          <w:rFonts w:eastAsia="Arial Unicode MS"/>
          <w:lang w:val="fr-FR"/>
        </w:rPr>
      </w:pPr>
      <w:r w:rsidRPr="006D3E70">
        <w:rPr>
          <w:lang w:val="fr-FR"/>
        </w:rPr>
        <w:t>1.5</w:t>
      </w:r>
      <w:r w:rsidRPr="006D3E70">
        <w:rPr>
          <w:lang w:val="fr-FR"/>
        </w:rPr>
        <w:tab/>
        <w:t>Antenne de mesure</w:t>
      </w:r>
    </w:p>
    <w:p w14:paraId="43C0ADFF" w14:textId="77777777" w:rsidR="00532249" w:rsidRPr="006D3E70" w:rsidRDefault="00532249" w:rsidP="00532249">
      <w:pPr>
        <w:rPr>
          <w:lang w:val="fr-FR"/>
        </w:rPr>
      </w:pPr>
      <w:r w:rsidRPr="006D3E70">
        <w:rPr>
          <w:lang w:val="fr-FR"/>
        </w:rPr>
        <w:t>Les mesures sont faites avec une antenne doublet accordée ou une antenne de référence dont le gain est connu par rapport à une antenne isotrope.</w:t>
      </w:r>
    </w:p>
    <w:p w14:paraId="51DFD758" w14:textId="77777777" w:rsidR="00532249" w:rsidRPr="006D3E70" w:rsidRDefault="00532249" w:rsidP="00532249">
      <w:pPr>
        <w:pStyle w:val="Heading2"/>
        <w:rPr>
          <w:rFonts w:eastAsia="Arial Unicode MS"/>
          <w:lang w:val="fr-FR"/>
        </w:rPr>
      </w:pPr>
      <w:r w:rsidRPr="006D3E70">
        <w:rPr>
          <w:lang w:val="fr-FR"/>
        </w:rPr>
        <w:t>1.6</w:t>
      </w:r>
      <w:r w:rsidRPr="006D3E70">
        <w:rPr>
          <w:lang w:val="fr-FR"/>
        </w:rPr>
        <w:tab/>
        <w:t>Condition de modulation</w:t>
      </w:r>
    </w:p>
    <w:p w14:paraId="13551E4B" w14:textId="409E1715" w:rsidR="00532249" w:rsidRPr="006D3E70" w:rsidRDefault="00532249" w:rsidP="00532249">
      <w:pPr>
        <w:rPr>
          <w:lang w:val="fr-FR"/>
        </w:rPr>
      </w:pPr>
      <w:r w:rsidRPr="006D3E70">
        <w:rPr>
          <w:lang w:val="fr-FR"/>
        </w:rPr>
        <w:t>Chaque fois que cela est possible, les mesures sont effectuées avec la modulation nominale maximale dans des conditions de fonctionnement normal. Il peut être parfois utile de commencer les mesures sans modulation, afin de détecter certaines fréquences parasites particulières. Dans ce cas, il faut signaler que toutes les fréquences des rayonnements dans le domaine des rayonnements non essentiels peuvent ne pas être détectées et que la présence d</w:t>
      </w:r>
      <w:r w:rsidR="00324C7C" w:rsidRPr="006D3E70">
        <w:rPr>
          <w:lang w:val="fr-FR"/>
        </w:rPr>
        <w:t>'</w:t>
      </w:r>
      <w:r w:rsidRPr="006D3E70">
        <w:rPr>
          <w:lang w:val="fr-FR"/>
        </w:rPr>
        <w:t>une modulation peut produire d</w:t>
      </w:r>
      <w:r w:rsidR="00324C7C" w:rsidRPr="006D3E70">
        <w:rPr>
          <w:lang w:val="fr-FR"/>
        </w:rPr>
        <w:t>'</w:t>
      </w:r>
      <w:r w:rsidRPr="006D3E70">
        <w:rPr>
          <w:lang w:val="fr-FR"/>
        </w:rPr>
        <w:t>autres composantes de fréquence indésirables.</w:t>
      </w:r>
    </w:p>
    <w:p w14:paraId="4377D61F" w14:textId="77777777" w:rsidR="00532249" w:rsidRPr="006D3E70" w:rsidRDefault="00532249" w:rsidP="00532249">
      <w:pPr>
        <w:pStyle w:val="Heading1"/>
        <w:rPr>
          <w:rFonts w:eastAsia="Arial Unicode MS"/>
          <w:lang w:val="fr-FR"/>
        </w:rPr>
      </w:pPr>
      <w:r w:rsidRPr="006D3E70">
        <w:rPr>
          <w:lang w:val="fr-FR"/>
        </w:rPr>
        <w:t>2</w:t>
      </w:r>
      <w:r w:rsidRPr="006D3E70">
        <w:rPr>
          <w:lang w:val="fr-FR"/>
        </w:rPr>
        <w:tab/>
        <w:t>Limites des mesures</w:t>
      </w:r>
    </w:p>
    <w:p w14:paraId="675E49E9" w14:textId="77777777" w:rsidR="00532249" w:rsidRPr="006D3E70" w:rsidRDefault="00532249" w:rsidP="00532249">
      <w:pPr>
        <w:pStyle w:val="Heading2"/>
        <w:rPr>
          <w:rFonts w:eastAsia="Arial Unicode MS"/>
          <w:lang w:val="fr-FR"/>
        </w:rPr>
      </w:pPr>
      <w:r w:rsidRPr="006D3E70">
        <w:rPr>
          <w:lang w:val="fr-FR"/>
        </w:rPr>
        <w:t>2.1</w:t>
      </w:r>
      <w:r w:rsidRPr="006D3E70">
        <w:rPr>
          <w:lang w:val="fr-FR"/>
        </w:rPr>
        <w:tab/>
        <w:t>Limites de largeur de bande</w:t>
      </w:r>
    </w:p>
    <w:p w14:paraId="27466A01" w14:textId="79AB6F65" w:rsidR="00532249" w:rsidRPr="006D3E70" w:rsidRDefault="00532249" w:rsidP="00532249">
      <w:pPr>
        <w:rPr>
          <w:lang w:val="fr-FR"/>
        </w:rPr>
      </w:pPr>
      <w:r w:rsidRPr="006D3E70">
        <w:rPr>
          <w:lang w:val="fr-FR"/>
        </w:rPr>
        <w:t xml:space="preserve">Les limites de </w:t>
      </w:r>
      <w:r w:rsidRPr="006D3E70">
        <w:rPr>
          <w:lang w:val="fr-FR"/>
        </w:rPr>
        <w:sym w:font="Symbol" w:char="F0B1"/>
      </w:r>
      <w:r w:rsidRPr="006D3E70">
        <w:rPr>
          <w:lang w:val="fr-FR"/>
        </w:rPr>
        <w:t>250% de la largeur de bande nécessaire déterminent le début de la bande de mesure de fréquence pour les rayonnements dans le domaine des rayonnements non essentiels confor</w:t>
      </w:r>
      <w:r w:rsidRPr="006D3E70">
        <w:rPr>
          <w:lang w:val="fr-FR"/>
        </w:rPr>
        <w:softHyphen/>
        <w:t xml:space="preserve">mément au § 2.3 du </w:t>
      </w:r>
      <w:r w:rsidRPr="006D3E70">
        <w:rPr>
          <w:i/>
          <w:lang w:val="fr-FR"/>
        </w:rPr>
        <w:t>recommande</w:t>
      </w:r>
      <w:r w:rsidRPr="006D3E70">
        <w:rPr>
          <w:lang w:val="fr-FR"/>
        </w:rPr>
        <w:t>. Dans certains cas, cela n</w:t>
      </w:r>
      <w:r w:rsidR="00324C7C" w:rsidRPr="006D3E70">
        <w:rPr>
          <w:lang w:val="fr-FR"/>
        </w:rPr>
        <w:t>'</w:t>
      </w:r>
      <w:r w:rsidRPr="006D3E70">
        <w:rPr>
          <w:lang w:val="fr-FR"/>
        </w:rPr>
        <w:t>est pas possible car d</w:t>
      </w:r>
      <w:r w:rsidR="00324C7C" w:rsidRPr="006D3E70">
        <w:rPr>
          <w:lang w:val="fr-FR"/>
        </w:rPr>
        <w:t>'</w:t>
      </w:r>
      <w:r w:rsidRPr="006D3E70">
        <w:rPr>
          <w:lang w:val="fr-FR"/>
        </w:rPr>
        <w:t>importantes erreurs de mesure peuvent apparaître du fait de la présence de rayonnements dans le domaine des rayonnements non essentiels. Afin d</w:t>
      </w:r>
      <w:r w:rsidR="00324C7C" w:rsidRPr="006D3E70">
        <w:rPr>
          <w:lang w:val="fr-FR"/>
        </w:rPr>
        <w:t>'</w:t>
      </w:r>
      <w:r w:rsidRPr="006D3E70">
        <w:rPr>
          <w:lang w:val="fr-FR"/>
        </w:rPr>
        <w:t>établir une nouvelle limite pour la largeur de bande de mesure des rayonnements dans le domaine des rayonnements non essentiels, un nouvel espacement de fréquence autre que </w:t>
      </w:r>
      <w:r w:rsidRPr="006D3E70">
        <w:rPr>
          <w:lang w:val="fr-FR"/>
        </w:rPr>
        <w:sym w:font="Symbol" w:char="F0B1"/>
      </w:r>
      <w:r w:rsidRPr="006D3E70">
        <w:rPr>
          <w:lang w:val="fr-FR"/>
        </w:rPr>
        <w:t>250% de la largeur de bande nécessaire peut alors se justifier. De même, une largeur de bande de résolution plus faible peut être utilisée à l</w:t>
      </w:r>
      <w:r w:rsidR="00324C7C" w:rsidRPr="006D3E70">
        <w:rPr>
          <w:lang w:val="fr-FR"/>
        </w:rPr>
        <w:t>'</w:t>
      </w:r>
      <w:r w:rsidRPr="006D3E70">
        <w:rPr>
          <w:lang w:val="fr-FR"/>
        </w:rPr>
        <w:t xml:space="preserve">intérieur des </w:t>
      </w:r>
      <w:r w:rsidRPr="006D3E70">
        <w:rPr>
          <w:lang w:val="fr-FR"/>
        </w:rPr>
        <w:sym w:font="Symbol" w:char="F0B1"/>
      </w:r>
      <w:r w:rsidRPr="006D3E70">
        <w:rPr>
          <w:lang w:val="fr-FR"/>
        </w:rPr>
        <w:t>250% de la largeur de bande nécessaire.</w:t>
      </w:r>
    </w:p>
    <w:p w14:paraId="535D7397" w14:textId="08A7DF0C" w:rsidR="00532249" w:rsidRPr="006D3E70" w:rsidRDefault="00532249" w:rsidP="00532249">
      <w:pPr>
        <w:rPr>
          <w:lang w:val="fr-FR"/>
        </w:rPr>
      </w:pPr>
      <w:r w:rsidRPr="006D3E70">
        <w:rPr>
          <w:lang w:val="fr-FR"/>
        </w:rPr>
        <w:t>La nouvelle limite et la largeur de bande (LB) de résolution sont liées par l</w:t>
      </w:r>
      <w:r w:rsidR="00324C7C" w:rsidRPr="006D3E70">
        <w:rPr>
          <w:lang w:val="fr-FR"/>
        </w:rPr>
        <w:t>'</w:t>
      </w:r>
      <w:r w:rsidRPr="006D3E70">
        <w:rPr>
          <w:lang w:val="fr-FR"/>
        </w:rPr>
        <w:t>équation suivante:</w:t>
      </w:r>
    </w:p>
    <w:p w14:paraId="43284FC8" w14:textId="77777777" w:rsidR="00532249" w:rsidRPr="006D3E70" w:rsidRDefault="00532249" w:rsidP="00714EB9">
      <w:pPr>
        <w:pStyle w:val="Equation"/>
        <w:jc w:val="center"/>
        <w:rPr>
          <w:lang w:val="fr-FR"/>
        </w:rPr>
      </w:pPr>
      <w:r w:rsidRPr="006D3E70">
        <w:rPr>
          <w:lang w:val="fr-FR"/>
        </w:rPr>
        <w:t xml:space="preserve">LB de résolution </w:t>
      </w:r>
      <w:r w:rsidRPr="006D3E70">
        <w:rPr>
          <w:lang w:val="fr-FR"/>
        </w:rPr>
        <w:sym w:font="Symbol" w:char="F0B4"/>
      </w:r>
      <w:r w:rsidRPr="006D3E70">
        <w:rPr>
          <w:lang w:val="fr-FR"/>
        </w:rPr>
        <w:t xml:space="preserve"> {(Facteur de forme –1)} </w:t>
      </w:r>
      <w:r w:rsidRPr="006D3E70">
        <w:rPr>
          <w:lang w:val="fr-FR"/>
        </w:rPr>
        <w:sym w:font="Symbol" w:char="F0A3"/>
      </w:r>
      <w:r w:rsidRPr="006D3E70">
        <w:rPr>
          <w:lang w:val="fr-FR"/>
        </w:rPr>
        <w:t xml:space="preserve"> 2 {(Limite entre le domaine des émissions</w:t>
      </w:r>
      <w:r w:rsidRPr="006D3E70">
        <w:rPr>
          <w:lang w:val="fr-FR"/>
        </w:rPr>
        <w:br/>
        <w:t>hors bande et le domaine des rayonnements non essentiels) – (LB nécessaire)/2}</w:t>
      </w:r>
    </w:p>
    <w:p w14:paraId="7C898305" w14:textId="3199CA7A" w:rsidR="00532249" w:rsidRPr="006D3E70" w:rsidRDefault="00532249" w:rsidP="00532249">
      <w:pPr>
        <w:rPr>
          <w:lang w:val="fr-FR"/>
        </w:rPr>
      </w:pPr>
      <w:r w:rsidRPr="006D3E70">
        <w:rPr>
          <w:lang w:val="fr-FR"/>
        </w:rPr>
        <w:t>Cette équation montre que si la largeur de bande de résolution ne peut être changée, il faut calculer une nouvelle limite. L</w:t>
      </w:r>
      <w:r w:rsidR="00324C7C" w:rsidRPr="006D3E70">
        <w:rPr>
          <w:lang w:val="fr-FR"/>
        </w:rPr>
        <w:t>'</w:t>
      </w:r>
      <w:r w:rsidRPr="006D3E70">
        <w:rPr>
          <w:lang w:val="fr-FR"/>
        </w:rPr>
        <w:t>inverse est également vrai.</w:t>
      </w:r>
    </w:p>
    <w:p w14:paraId="42744F14" w14:textId="515CB771" w:rsidR="00532249" w:rsidRPr="006D3E70" w:rsidRDefault="00532249" w:rsidP="00532249">
      <w:pPr>
        <w:rPr>
          <w:lang w:val="fr-FR"/>
        </w:rPr>
      </w:pPr>
      <w:r w:rsidRPr="006D3E70">
        <w:rPr>
          <w:lang w:val="fr-FR"/>
        </w:rPr>
        <w:t xml:space="preserve">Considérons un signal avec une largeur de bande nécessaire de 16 kHz, et une limite de </w:t>
      </w:r>
      <w:r w:rsidRPr="006D3E70">
        <w:rPr>
          <w:lang w:val="fr-FR"/>
        </w:rPr>
        <w:sym w:font="Symbol" w:char="F0B1"/>
      </w:r>
      <w:r w:rsidRPr="006D3E70">
        <w:rPr>
          <w:lang w:val="fr-FR"/>
        </w:rPr>
        <w:t>250% (c</w:t>
      </w:r>
      <w:r w:rsidR="00324C7C" w:rsidRPr="006D3E70">
        <w:rPr>
          <w:lang w:val="fr-FR"/>
        </w:rPr>
        <w:t>'</w:t>
      </w:r>
      <w:r w:rsidRPr="006D3E70">
        <w:rPr>
          <w:lang w:val="fr-FR"/>
        </w:rPr>
        <w:t>est</w:t>
      </w:r>
      <w:r w:rsidRPr="006D3E70">
        <w:rPr>
          <w:lang w:val="fr-FR"/>
        </w:rPr>
        <w:noBreakHyphen/>
        <w:t>à-dire 40 kHz) qui ne peut être modifiée. Si le filtre de mesure à la largeur de bande de résolution a un facteur de forme de 15:1 et que l</w:t>
      </w:r>
      <w:r w:rsidR="00324C7C" w:rsidRPr="006D3E70">
        <w:rPr>
          <w:lang w:val="fr-FR"/>
        </w:rPr>
        <w:t>'</w:t>
      </w:r>
      <w:r w:rsidRPr="006D3E70">
        <w:rPr>
          <w:lang w:val="fr-FR"/>
        </w:rPr>
        <w:t>élimination requise de la puissance de la porteuse dans la bande est de 60 dB, la largeur de bande de résolution doit donc être de 4,5 kHz environ comme le montre la formule suivante:</w:t>
      </w:r>
    </w:p>
    <w:p w14:paraId="030A7A47" w14:textId="77777777" w:rsidR="00532249" w:rsidRPr="006D3E70" w:rsidRDefault="00532249" w:rsidP="00532249">
      <w:pPr>
        <w:pStyle w:val="Equation"/>
        <w:spacing w:before="80"/>
        <w:jc w:val="center"/>
        <w:rPr>
          <w:lang w:val="fr-FR"/>
        </w:rPr>
      </w:pPr>
      <w:r w:rsidRPr="006D3E70">
        <w:rPr>
          <w:lang w:val="fr-FR"/>
        </w:rPr>
        <w:t xml:space="preserve">LB de résolution requise </w:t>
      </w:r>
      <w:r w:rsidRPr="006D3E70">
        <w:rPr>
          <w:lang w:val="fr-FR"/>
        </w:rPr>
        <w:sym w:font="Symbol" w:char="F0A3"/>
      </w:r>
      <w:r w:rsidRPr="006D3E70">
        <w:rPr>
          <w:lang w:val="fr-FR"/>
        </w:rPr>
        <w:t xml:space="preserve"> 2 {(Limite) – (LB nécessaire)/2}/(Facteur de forme –</w:t>
      </w:r>
      <w:r w:rsidRPr="006D3E70">
        <w:rPr>
          <w:sz w:val="4"/>
          <w:lang w:val="fr-FR"/>
        </w:rPr>
        <w:t> </w:t>
      </w:r>
      <w:r w:rsidRPr="006D3E70">
        <w:rPr>
          <w:lang w:val="fr-FR"/>
        </w:rPr>
        <w:t>1)</w:t>
      </w:r>
    </w:p>
    <w:p w14:paraId="44019843" w14:textId="77777777" w:rsidR="00532249" w:rsidRPr="006D3E70" w:rsidRDefault="00532249" w:rsidP="00532249">
      <w:pPr>
        <w:rPr>
          <w:lang w:val="fr-FR"/>
        </w:rPr>
      </w:pPr>
      <w:r w:rsidRPr="006D3E70">
        <w:rPr>
          <w:lang w:val="fr-FR"/>
        </w:rPr>
        <w:t>par conséquent:</w:t>
      </w:r>
    </w:p>
    <w:p w14:paraId="0C3B0B1A" w14:textId="77777777" w:rsidR="00532249" w:rsidRPr="006D3E70" w:rsidRDefault="00532249" w:rsidP="00532249">
      <w:pPr>
        <w:pStyle w:val="Equation"/>
        <w:spacing w:before="0"/>
        <w:jc w:val="center"/>
        <w:rPr>
          <w:lang w:val="fr-FR"/>
        </w:rPr>
      </w:pPr>
      <w:r w:rsidRPr="006D3E70">
        <w:rPr>
          <w:lang w:val="fr-FR"/>
        </w:rPr>
        <w:t xml:space="preserve">LB de résolution requise </w:t>
      </w:r>
      <w:r w:rsidRPr="006D3E70">
        <w:rPr>
          <w:lang w:val="fr-FR"/>
        </w:rPr>
        <w:sym w:font="Symbol" w:char="F0A3"/>
      </w:r>
      <w:r w:rsidRPr="006D3E70">
        <w:rPr>
          <w:lang w:val="fr-FR"/>
        </w:rPr>
        <w:t xml:space="preserve"> 2 (40 – 16/2)/(15 – 1)</w:t>
      </w:r>
    </w:p>
    <w:p w14:paraId="502596DF" w14:textId="77777777" w:rsidR="00532249" w:rsidRPr="006D3E70" w:rsidRDefault="00532249" w:rsidP="00532249">
      <w:pPr>
        <w:keepNext/>
        <w:keepLines/>
        <w:spacing w:before="0"/>
        <w:rPr>
          <w:lang w:val="fr-FR"/>
        </w:rPr>
      </w:pPr>
      <w:r w:rsidRPr="006D3E70">
        <w:rPr>
          <w:lang w:val="fr-FR"/>
        </w:rPr>
        <w:t>par conséquent:</w:t>
      </w:r>
    </w:p>
    <w:p w14:paraId="4D19CC37" w14:textId="77777777" w:rsidR="00532249" w:rsidRPr="006D3E70" w:rsidRDefault="00532249" w:rsidP="00532249">
      <w:pPr>
        <w:pStyle w:val="Equation"/>
        <w:spacing w:before="0"/>
        <w:jc w:val="center"/>
        <w:rPr>
          <w:lang w:val="fr-FR"/>
        </w:rPr>
      </w:pPr>
      <w:r w:rsidRPr="006D3E70">
        <w:rPr>
          <w:lang w:val="fr-FR"/>
        </w:rPr>
        <w:t>LB de résolution requise &lt; 4,5 kHz</w:t>
      </w:r>
    </w:p>
    <w:p w14:paraId="71BC46B3" w14:textId="77777777" w:rsidR="00532249" w:rsidRPr="006D3E70" w:rsidRDefault="00532249" w:rsidP="00532249">
      <w:pPr>
        <w:rPr>
          <w:lang w:val="fr-FR"/>
        </w:rPr>
      </w:pPr>
      <w:r w:rsidRPr="006D3E70">
        <w:rPr>
          <w:lang w:val="fr-FR"/>
        </w:rPr>
        <w:lastRenderedPageBreak/>
        <w:t>Par ailleurs, avec le même signal et les mêmes paramètres du récepteur de mesure, si la largeur de résolution est fixée à 100 kHz, une nouvelle limite est calculée en remaniant la formule ci-dessus et en la résolvant pour la nouvelle limite; dans ce cas, si la largeur de bande de résolution est fixée 100 kHz, la nouvelle limite est 708 kHz.</w:t>
      </w:r>
    </w:p>
    <w:p w14:paraId="5EF1305F" w14:textId="77777777" w:rsidR="00532249" w:rsidRPr="006D3E70" w:rsidRDefault="00532249" w:rsidP="00532249">
      <w:pPr>
        <w:pStyle w:val="Heading2"/>
        <w:rPr>
          <w:rFonts w:eastAsia="Arial Unicode MS"/>
          <w:lang w:val="fr-FR"/>
        </w:rPr>
      </w:pPr>
      <w:r w:rsidRPr="006D3E70">
        <w:rPr>
          <w:lang w:val="fr-FR"/>
        </w:rPr>
        <w:t>2.2</w:t>
      </w:r>
      <w:r w:rsidRPr="006D3E70">
        <w:rPr>
          <w:lang w:val="fr-FR"/>
        </w:rPr>
        <w:tab/>
        <w:t>Limites de sensibilité</w:t>
      </w:r>
    </w:p>
    <w:p w14:paraId="65D9835A" w14:textId="77777777" w:rsidR="00532249" w:rsidRPr="006D3E70" w:rsidRDefault="00532249" w:rsidP="00532249">
      <w:pPr>
        <w:rPr>
          <w:lang w:val="fr-FR"/>
        </w:rPr>
      </w:pPr>
      <w:r w:rsidRPr="006D3E70">
        <w:rPr>
          <w:lang w:val="fr-FR"/>
        </w:rPr>
        <w:t>Dans certaines conditions, la sensibilité des analyseurs de spectre disponibles sur le marché et les pertes dues aux transitions et au câble peuvent conduire à une sensibilité de mesure insuffisante. On peut pallier cet inconvénient en utilisant un amplificateur à faible bruit.</w:t>
      </w:r>
    </w:p>
    <w:p w14:paraId="6491018A" w14:textId="04D37825" w:rsidR="00532249" w:rsidRPr="006D3E70" w:rsidRDefault="00532249" w:rsidP="00532249">
      <w:pPr>
        <w:rPr>
          <w:lang w:val="fr-FR"/>
        </w:rPr>
      </w:pPr>
      <w:r w:rsidRPr="006D3E70">
        <w:rPr>
          <w:lang w:val="fr-FR"/>
        </w:rPr>
        <w:t>Dans les cas extrêmes, en général au-dessus de 26 GHz et principalement en raison de l</w:t>
      </w:r>
      <w:r w:rsidR="00324C7C" w:rsidRPr="006D3E70">
        <w:rPr>
          <w:lang w:val="fr-FR"/>
        </w:rPr>
        <w:t>'</w:t>
      </w:r>
      <w:r w:rsidRPr="006D3E70">
        <w:rPr>
          <w:lang w:val="fr-FR"/>
        </w:rPr>
        <w:t>utilisation de mélangeurs externes dans le montage de test, il peut ne pas être possible d</w:t>
      </w:r>
      <w:r w:rsidR="00324C7C" w:rsidRPr="006D3E70">
        <w:rPr>
          <w:lang w:val="fr-FR"/>
        </w:rPr>
        <w:t>'</w:t>
      </w:r>
      <w:r w:rsidRPr="006D3E70">
        <w:rPr>
          <w:lang w:val="fr-FR"/>
        </w:rPr>
        <w:t>obtenir une sensibilité suffisante pour vérifier que l</w:t>
      </w:r>
      <w:r w:rsidR="00324C7C" w:rsidRPr="006D3E70">
        <w:rPr>
          <w:lang w:val="fr-FR"/>
        </w:rPr>
        <w:t>'</w:t>
      </w:r>
      <w:r w:rsidRPr="006D3E70">
        <w:rPr>
          <w:lang w:val="fr-FR"/>
        </w:rPr>
        <w:t>équipement sous test est conforme aux spécifications en présence d</w:t>
      </w:r>
      <w:r w:rsidR="00324C7C" w:rsidRPr="006D3E70">
        <w:rPr>
          <w:lang w:val="fr-FR"/>
        </w:rPr>
        <w:t>'</w:t>
      </w:r>
      <w:r w:rsidRPr="006D3E70">
        <w:rPr>
          <w:lang w:val="fr-FR"/>
        </w:rPr>
        <w:t>une modulation. La mesure des rayonnements dans le domaine des rayonnements non essentiels en ondes entretenues peut être corrigée, pour les émissions modulées, par une quantité égale à l</w:t>
      </w:r>
      <w:r w:rsidR="00324C7C" w:rsidRPr="006D3E70">
        <w:rPr>
          <w:lang w:val="fr-FR"/>
        </w:rPr>
        <w:t>'</w:t>
      </w:r>
      <w:r w:rsidRPr="006D3E70">
        <w:rPr>
          <w:lang w:val="fr-FR"/>
        </w:rPr>
        <w:t>affaiblissement de modulation dans l</w:t>
      </w:r>
      <w:r w:rsidR="00324C7C" w:rsidRPr="006D3E70">
        <w:rPr>
          <w:lang w:val="fr-FR"/>
        </w:rPr>
        <w:t>'</w:t>
      </w:r>
      <w:r w:rsidRPr="006D3E70">
        <w:rPr>
          <w:lang w:val="fr-FR"/>
        </w:rPr>
        <w:t>équipement sous test.</w:t>
      </w:r>
    </w:p>
    <w:p w14:paraId="29F4EFEA" w14:textId="77777777" w:rsidR="00532249" w:rsidRPr="006D3E70" w:rsidRDefault="00532249" w:rsidP="00532249">
      <w:pPr>
        <w:pStyle w:val="Heading2"/>
        <w:rPr>
          <w:rFonts w:eastAsia="Arial Unicode MS"/>
          <w:lang w:val="fr-FR"/>
        </w:rPr>
      </w:pPr>
      <w:r w:rsidRPr="006D3E70">
        <w:rPr>
          <w:lang w:val="fr-FR"/>
        </w:rPr>
        <w:t>2.3</w:t>
      </w:r>
      <w:r w:rsidRPr="006D3E70">
        <w:rPr>
          <w:lang w:val="fr-FR"/>
        </w:rPr>
        <w:tab/>
        <w:t>Limitations temporelles</w:t>
      </w:r>
    </w:p>
    <w:p w14:paraId="34A4A340" w14:textId="1DE5173E" w:rsidR="00532249" w:rsidRPr="006D3E70" w:rsidRDefault="00532249" w:rsidP="00532249">
      <w:pPr>
        <w:rPr>
          <w:lang w:val="fr-FR"/>
        </w:rPr>
      </w:pPr>
      <w:r w:rsidRPr="006D3E70">
        <w:rPr>
          <w:lang w:val="fr-FR"/>
        </w:rPr>
        <w:t>Pour tout signal utile, lorsque l</w:t>
      </w:r>
      <w:r w:rsidR="00324C7C" w:rsidRPr="006D3E70">
        <w:rPr>
          <w:lang w:val="fr-FR"/>
        </w:rPr>
        <w:t>'</w:t>
      </w:r>
      <w:r w:rsidRPr="006D3E70">
        <w:rPr>
          <w:lang w:val="fr-FR"/>
        </w:rPr>
        <w:t>amplitude du signal de sortie varie en fonction du temps (par exemple, en cas de modulation à enveloppe non constante), il peut être nécessaire d</w:t>
      </w:r>
      <w:r w:rsidR="00324C7C" w:rsidRPr="006D3E70">
        <w:rPr>
          <w:lang w:val="fr-FR"/>
        </w:rPr>
        <w:t>'</w:t>
      </w:r>
      <w:r w:rsidRPr="006D3E70">
        <w:rPr>
          <w:lang w:val="fr-FR"/>
        </w:rPr>
        <w:t>effectuer dix mesures ou plus pour obtenir des résultats homogènes.</w:t>
      </w:r>
    </w:p>
    <w:p w14:paraId="2B178D6B" w14:textId="77777777" w:rsidR="00532249" w:rsidRPr="006D3E70" w:rsidRDefault="00532249" w:rsidP="00532249">
      <w:pPr>
        <w:pStyle w:val="Heading1"/>
        <w:rPr>
          <w:rFonts w:eastAsia="Arial Unicode MS"/>
          <w:lang w:val="fr-FR"/>
        </w:rPr>
      </w:pPr>
      <w:r w:rsidRPr="006D3E70">
        <w:rPr>
          <w:lang w:val="fr-FR"/>
        </w:rPr>
        <w:t>3</w:t>
      </w:r>
      <w:r w:rsidRPr="006D3E70">
        <w:rPr>
          <w:lang w:val="fr-FR"/>
        </w:rPr>
        <w:tab/>
        <w:t>Méthodes de mesure</w:t>
      </w:r>
    </w:p>
    <w:p w14:paraId="4198FA11" w14:textId="77777777" w:rsidR="00532249" w:rsidRPr="006D3E70" w:rsidRDefault="00532249" w:rsidP="00532249">
      <w:pPr>
        <w:pStyle w:val="Heading2"/>
        <w:rPr>
          <w:rFonts w:eastAsia="Arial Unicode MS"/>
          <w:lang w:val="fr-FR"/>
        </w:rPr>
      </w:pPr>
      <w:r w:rsidRPr="006D3E70">
        <w:rPr>
          <w:lang w:val="fr-FR"/>
        </w:rPr>
        <w:t>3.1</w:t>
      </w:r>
      <w:r w:rsidRPr="006D3E70">
        <w:rPr>
          <w:lang w:val="fr-FR"/>
        </w:rPr>
        <w:tab/>
        <w:t>Introduction</w:t>
      </w:r>
    </w:p>
    <w:p w14:paraId="24BE40DC" w14:textId="77777777" w:rsidR="00532249" w:rsidRPr="006D3E70" w:rsidRDefault="00532249" w:rsidP="00532249">
      <w:pPr>
        <w:rPr>
          <w:lang w:val="fr-FR"/>
        </w:rPr>
      </w:pPr>
      <w:r w:rsidRPr="006D3E70">
        <w:rPr>
          <w:lang w:val="fr-FR"/>
        </w:rPr>
        <w:t>Il existe deux grandes méthodes de mesure pour les rayonnements dans le domaine des rayonnements non essentiels décrites dans la présente Annexe. La Méthode 2 est décrite dans la Publication N° 16 du CISPR. Il faut veiller avec les Méthodes 1 et 2 que les rayonnements lors des tests ne causent pas de brouillage aux systèmes environnants et il faut également veiller à utiliser une fonction de pondération (voir le § 1.1.1) qui correspond à la puissance spécifiée dans les catégories A, B, C, D et Z.</w:t>
      </w:r>
    </w:p>
    <w:p w14:paraId="31CAF3DE" w14:textId="54A3454E" w:rsidR="00532249" w:rsidRPr="006D3E70" w:rsidRDefault="00532249" w:rsidP="00532249">
      <w:pPr>
        <w:pStyle w:val="enumlev1"/>
        <w:rPr>
          <w:lang w:val="fr-FR"/>
        </w:rPr>
      </w:pPr>
      <w:r w:rsidRPr="006D3E70">
        <w:rPr>
          <w:lang w:val="fr-FR"/>
        </w:rPr>
        <w:t>–</w:t>
      </w:r>
      <w:r w:rsidRPr="006D3E70">
        <w:rPr>
          <w:lang w:val="fr-FR"/>
        </w:rPr>
        <w:tab/>
        <w:t>La Méthode 1a consiste à mesurer la puissance des rayonnements dans le domaine des rayonnements non essentiels présents au niveau de la borne d</w:t>
      </w:r>
      <w:r w:rsidR="00324C7C" w:rsidRPr="006D3E70">
        <w:rPr>
          <w:lang w:val="fr-FR"/>
        </w:rPr>
        <w:t>'</w:t>
      </w:r>
      <w:r w:rsidRPr="006D3E70">
        <w:rPr>
          <w:lang w:val="fr-FR"/>
        </w:rPr>
        <w:t>antenne de l</w:t>
      </w:r>
      <w:r w:rsidR="00324C7C" w:rsidRPr="006D3E70">
        <w:rPr>
          <w:lang w:val="fr-FR"/>
        </w:rPr>
        <w:t>'</w:t>
      </w:r>
      <w:r w:rsidRPr="006D3E70">
        <w:rPr>
          <w:lang w:val="fr-FR"/>
        </w:rPr>
        <w:t>équipement sous test. Cette méthode doit être utilisée chaque fois qu</w:t>
      </w:r>
      <w:r w:rsidR="00324C7C" w:rsidRPr="006D3E70">
        <w:rPr>
          <w:lang w:val="fr-FR"/>
        </w:rPr>
        <w:t>'</w:t>
      </w:r>
      <w:r w:rsidRPr="006D3E70">
        <w:rPr>
          <w:lang w:val="fr-FR"/>
        </w:rPr>
        <w:t>elle s</w:t>
      </w:r>
      <w:r w:rsidR="00324C7C" w:rsidRPr="006D3E70">
        <w:rPr>
          <w:lang w:val="fr-FR"/>
        </w:rPr>
        <w:t>'</w:t>
      </w:r>
      <w:r w:rsidRPr="006D3E70">
        <w:rPr>
          <w:lang w:val="fr-FR"/>
        </w:rPr>
        <w:t>avère être pratique et appropriée.</w:t>
      </w:r>
    </w:p>
    <w:p w14:paraId="51FA4B1D" w14:textId="5C7B0CE0" w:rsidR="00532249" w:rsidRPr="006D3E70" w:rsidRDefault="00532249" w:rsidP="00532249">
      <w:pPr>
        <w:pStyle w:val="enumlev1"/>
        <w:rPr>
          <w:lang w:val="fr-FR"/>
        </w:rPr>
      </w:pPr>
      <w:r w:rsidRPr="006D3E70">
        <w:rPr>
          <w:lang w:val="fr-FR"/>
        </w:rPr>
        <w:t>–</w:t>
      </w:r>
      <w:r w:rsidRPr="006D3E70">
        <w:rPr>
          <w:lang w:val="fr-FR"/>
        </w:rPr>
        <w:tab/>
        <w:t>La Méthode 1b consiste à mesurer la puissance de rayonnements dans le domaine des rayonnements non essentiels présents au niveau de la borne d</w:t>
      </w:r>
      <w:r w:rsidR="00324C7C" w:rsidRPr="006D3E70">
        <w:rPr>
          <w:lang w:val="fr-FR"/>
        </w:rPr>
        <w:t>'</w:t>
      </w:r>
      <w:r w:rsidRPr="006D3E70">
        <w:rPr>
          <w:lang w:val="fr-FR"/>
        </w:rPr>
        <w:t>antenne de l</w:t>
      </w:r>
      <w:r w:rsidR="00324C7C" w:rsidRPr="006D3E70">
        <w:rPr>
          <w:lang w:val="fr-FR"/>
        </w:rPr>
        <w:t>'</w:t>
      </w:r>
      <w:r w:rsidRPr="006D3E70">
        <w:rPr>
          <w:lang w:val="fr-FR"/>
        </w:rPr>
        <w:t>équipement sous test. Cette méthode peut être utilisée lorsque le filtre d</w:t>
      </w:r>
      <w:r w:rsidR="00324C7C" w:rsidRPr="006D3E70">
        <w:rPr>
          <w:lang w:val="fr-FR"/>
        </w:rPr>
        <w:t>'</w:t>
      </w:r>
      <w:r w:rsidRPr="006D3E70">
        <w:rPr>
          <w:lang w:val="fr-FR"/>
        </w:rPr>
        <w:t>élimination de la fréquence fondamentale n</w:t>
      </w:r>
      <w:r w:rsidR="00324C7C" w:rsidRPr="006D3E70">
        <w:rPr>
          <w:lang w:val="fr-FR"/>
        </w:rPr>
        <w:t>'</w:t>
      </w:r>
      <w:r w:rsidRPr="006D3E70">
        <w:rPr>
          <w:lang w:val="fr-FR"/>
        </w:rPr>
        <w:t>est pas disponible et lorsque la gamme dynamique du récepteur de mesure (éventuellement équipé d</w:t>
      </w:r>
      <w:r w:rsidR="00324C7C" w:rsidRPr="006D3E70">
        <w:rPr>
          <w:lang w:val="fr-FR"/>
        </w:rPr>
        <w:t>'</w:t>
      </w:r>
      <w:r w:rsidRPr="006D3E70">
        <w:rPr>
          <w:lang w:val="fr-FR"/>
        </w:rPr>
        <w:t>un présélecteur) est suffisante.</w:t>
      </w:r>
    </w:p>
    <w:p w14:paraId="0A206B9C" w14:textId="77777777" w:rsidR="00532249" w:rsidRPr="006D3E70" w:rsidRDefault="00532249" w:rsidP="00532249">
      <w:pPr>
        <w:pStyle w:val="enumlev1"/>
        <w:rPr>
          <w:lang w:val="fr-FR"/>
        </w:rPr>
      </w:pPr>
      <w:r w:rsidRPr="006D3E70">
        <w:rPr>
          <w:lang w:val="fr-FR"/>
        </w:rPr>
        <w:t>–</w:t>
      </w:r>
      <w:r w:rsidRPr="006D3E70">
        <w:rPr>
          <w:lang w:val="fr-FR"/>
        </w:rPr>
        <w:tab/>
        <w:t>La Méthode 2 consiste à mesurer la p.i.r.e. non essentielle en utilisant un site de test approprié.</w:t>
      </w:r>
    </w:p>
    <w:p w14:paraId="087397AC" w14:textId="47441004" w:rsidR="00532249" w:rsidRPr="006D3E70" w:rsidRDefault="00532249" w:rsidP="00532249">
      <w:pPr>
        <w:rPr>
          <w:lang w:val="fr-FR"/>
        </w:rPr>
      </w:pPr>
      <w:r w:rsidRPr="006D3E70">
        <w:rPr>
          <w:lang w:val="fr-FR"/>
        </w:rPr>
        <w:t>Pour les systèmes avec guides d</w:t>
      </w:r>
      <w:r w:rsidR="00324C7C" w:rsidRPr="006D3E70">
        <w:rPr>
          <w:lang w:val="fr-FR"/>
        </w:rPr>
        <w:t>'</w:t>
      </w:r>
      <w:r w:rsidRPr="006D3E70">
        <w:rPr>
          <w:lang w:val="fr-FR"/>
        </w:rPr>
        <w:t>ondes, il faut utiliser la Méthode 2 étant donné que les guides d</w:t>
      </w:r>
      <w:r w:rsidR="00324C7C" w:rsidRPr="006D3E70">
        <w:rPr>
          <w:lang w:val="fr-FR"/>
        </w:rPr>
        <w:t>'</w:t>
      </w:r>
      <w:r w:rsidRPr="006D3E70">
        <w:rPr>
          <w:lang w:val="fr-FR"/>
        </w:rPr>
        <w:t>ondes de terminaison d</w:t>
      </w:r>
      <w:r w:rsidR="00324C7C" w:rsidRPr="006D3E70">
        <w:rPr>
          <w:lang w:val="fr-FR"/>
        </w:rPr>
        <w:t>'</w:t>
      </w:r>
      <w:r w:rsidRPr="006D3E70">
        <w:rPr>
          <w:lang w:val="fr-FR"/>
        </w:rPr>
        <w:t>un dispositif de transition peuvent être à l</w:t>
      </w:r>
      <w:r w:rsidR="00324C7C" w:rsidRPr="006D3E70">
        <w:rPr>
          <w:lang w:val="fr-FR"/>
        </w:rPr>
        <w:t>'</w:t>
      </w:r>
      <w:r w:rsidRPr="006D3E70">
        <w:rPr>
          <w:lang w:val="fr-FR"/>
        </w:rPr>
        <w:t>origine de nombreux problèmes de test. Si l</w:t>
      </w:r>
      <w:r w:rsidR="00324C7C" w:rsidRPr="006D3E70">
        <w:rPr>
          <w:lang w:val="fr-FR"/>
        </w:rPr>
        <w:t>'</w:t>
      </w:r>
      <w:r w:rsidRPr="006D3E70">
        <w:rPr>
          <w:lang w:val="fr-FR"/>
        </w:rPr>
        <w:t>accès de l</w:t>
      </w:r>
      <w:r w:rsidR="00324C7C" w:rsidRPr="006D3E70">
        <w:rPr>
          <w:lang w:val="fr-FR"/>
        </w:rPr>
        <w:t>'</w:t>
      </w:r>
      <w:r w:rsidRPr="006D3E70">
        <w:rPr>
          <w:lang w:val="fr-FR"/>
        </w:rPr>
        <w:t>antenne est un about de guide d</w:t>
      </w:r>
      <w:r w:rsidR="00324C7C" w:rsidRPr="006D3E70">
        <w:rPr>
          <w:lang w:val="fr-FR"/>
        </w:rPr>
        <w:t>'</w:t>
      </w:r>
      <w:r w:rsidRPr="006D3E70">
        <w:rPr>
          <w:lang w:val="fr-FR"/>
        </w:rPr>
        <w:t>ondes, les rayonnements à distance non essentiels peuvent être fortement atténués par la transition guide d</w:t>
      </w:r>
      <w:r w:rsidR="00324C7C" w:rsidRPr="006D3E70">
        <w:rPr>
          <w:lang w:val="fr-FR"/>
        </w:rPr>
        <w:t>'</w:t>
      </w:r>
      <w:r w:rsidRPr="006D3E70">
        <w:rPr>
          <w:lang w:val="fr-FR"/>
        </w:rPr>
        <w:t>ondes-coaxial, à moins que des sections de guides d</w:t>
      </w:r>
      <w:r w:rsidR="00324C7C" w:rsidRPr="006D3E70">
        <w:rPr>
          <w:lang w:val="fr-FR"/>
        </w:rPr>
        <w:t>'</w:t>
      </w:r>
      <w:r w:rsidRPr="006D3E70">
        <w:rPr>
          <w:lang w:val="fr-FR"/>
        </w:rPr>
        <w:t xml:space="preserve">ondes à transition progressive spécifiques soient placées dans le circuit de mesure de sorte à pouvoir utiliser la Méthode 1. De même, pour les émetteurs à ondes myriamétriques/kilométriques il faut </w:t>
      </w:r>
      <w:r w:rsidRPr="006D3E70">
        <w:rPr>
          <w:lang w:val="fr-FR"/>
        </w:rPr>
        <w:lastRenderedPageBreak/>
        <w:t>utiliser la Méthode 2 car la frontière entre émetteur, câble d</w:t>
      </w:r>
      <w:r w:rsidR="00324C7C" w:rsidRPr="006D3E70">
        <w:rPr>
          <w:lang w:val="fr-FR"/>
        </w:rPr>
        <w:t>'</w:t>
      </w:r>
      <w:r w:rsidRPr="006D3E70">
        <w:rPr>
          <w:lang w:val="fr-FR"/>
        </w:rPr>
        <w:t>alimentation et antenne n</w:t>
      </w:r>
      <w:r w:rsidR="00324C7C" w:rsidRPr="006D3E70">
        <w:rPr>
          <w:lang w:val="fr-FR"/>
        </w:rPr>
        <w:t>'</w:t>
      </w:r>
      <w:r w:rsidRPr="006D3E70">
        <w:rPr>
          <w:lang w:val="fr-FR"/>
        </w:rPr>
        <w:t>est pas toujours clairement définie.</w:t>
      </w:r>
    </w:p>
    <w:p w14:paraId="558E52DC" w14:textId="1008C00C" w:rsidR="00532249" w:rsidRPr="006D3E70" w:rsidRDefault="00532249" w:rsidP="00532249">
      <w:pPr>
        <w:rPr>
          <w:lang w:val="fr-FR"/>
        </w:rPr>
      </w:pPr>
      <w:r w:rsidRPr="006D3E70">
        <w:rPr>
          <w:lang w:val="fr-FR"/>
        </w:rPr>
        <w:t>La méthode de mesure pour les systèmes radars devrait être fondée sur la Recommandation UIT</w:t>
      </w:r>
      <w:r w:rsidRPr="006D3E70">
        <w:rPr>
          <w:lang w:val="fr-FR"/>
        </w:rPr>
        <w:noBreakHyphen/>
        <w:t>R M.1177. Pour les systèmes pour lesquels il n</w:t>
      </w:r>
      <w:r w:rsidR="00324C7C" w:rsidRPr="006D3E70">
        <w:rPr>
          <w:lang w:val="fr-FR"/>
        </w:rPr>
        <w:t>'</w:t>
      </w:r>
      <w:r w:rsidRPr="006D3E70">
        <w:rPr>
          <w:lang w:val="fr-FR"/>
        </w:rPr>
        <w:t>existe pas de méthodes de mesure acceptables, il convient de prendre toutes les mesures concrètes pour respecter les limites de puissance des rayonnements dans le domaine des rayonnements non essentiels.</w:t>
      </w:r>
    </w:p>
    <w:p w14:paraId="500DB6A9" w14:textId="611DDB1B" w:rsidR="00532249" w:rsidRPr="006D3E70" w:rsidRDefault="00532249" w:rsidP="00532249">
      <w:pPr>
        <w:pStyle w:val="Heading2"/>
        <w:rPr>
          <w:rFonts w:eastAsia="Arial Unicode MS"/>
          <w:lang w:val="fr-FR"/>
        </w:rPr>
      </w:pPr>
      <w:r w:rsidRPr="006D3E70">
        <w:rPr>
          <w:lang w:val="fr-FR"/>
        </w:rPr>
        <w:t>3.2</w:t>
      </w:r>
      <w:r w:rsidRPr="006D3E70">
        <w:rPr>
          <w:lang w:val="fr-FR"/>
        </w:rPr>
        <w:tab/>
        <w:t>Méthode 1 – Mesure de la puissance des rayonnements dans le domaine des rayonnements non essentiels à la borne d</w:t>
      </w:r>
      <w:r w:rsidR="00324C7C" w:rsidRPr="006D3E70">
        <w:rPr>
          <w:lang w:val="fr-FR"/>
        </w:rPr>
        <w:t>'</w:t>
      </w:r>
      <w:r w:rsidRPr="006D3E70">
        <w:rPr>
          <w:lang w:val="fr-FR"/>
        </w:rPr>
        <w:t>antenne</w:t>
      </w:r>
    </w:p>
    <w:p w14:paraId="39254B16" w14:textId="54619409" w:rsidR="00532249" w:rsidRPr="006D3E70" w:rsidRDefault="00532249" w:rsidP="00532249">
      <w:pPr>
        <w:rPr>
          <w:lang w:val="fr-FR"/>
        </w:rPr>
      </w:pPr>
      <w:r w:rsidRPr="006D3E70">
        <w:rPr>
          <w:lang w:val="fr-FR"/>
        </w:rPr>
        <w:t>Cette méthode ne requiert pas de site de test particulier ou de chambre anéchoïde et les perturbations électromagnétiques ne doivent pas en principe affecter les résultats des tests. Chaque fois que cela sera possible, il faudra inclure dans la mesure le câble d</w:t>
      </w:r>
      <w:r w:rsidR="00324C7C" w:rsidRPr="006D3E70">
        <w:rPr>
          <w:lang w:val="fr-FR"/>
        </w:rPr>
        <w:t>'</w:t>
      </w:r>
      <w:r w:rsidRPr="006D3E70">
        <w:rPr>
          <w:lang w:val="fr-FR"/>
        </w:rPr>
        <w:t>alimentation. Cette méthode ne prend pas en compte l</w:t>
      </w:r>
      <w:r w:rsidR="00324C7C" w:rsidRPr="006D3E70">
        <w:rPr>
          <w:lang w:val="fr-FR"/>
        </w:rPr>
        <w:t>'</w:t>
      </w:r>
      <w:r w:rsidRPr="006D3E70">
        <w:rPr>
          <w:lang w:val="fr-FR"/>
        </w:rPr>
        <w:t>affaiblissement dû à la désadaptation d</w:t>
      </w:r>
      <w:r w:rsidR="00324C7C" w:rsidRPr="006D3E70">
        <w:rPr>
          <w:lang w:val="fr-FR"/>
        </w:rPr>
        <w:t>'</w:t>
      </w:r>
      <w:r w:rsidRPr="006D3E70">
        <w:rPr>
          <w:lang w:val="fr-FR"/>
        </w:rPr>
        <w:t>antenne et l</w:t>
      </w:r>
      <w:r w:rsidR="00324C7C" w:rsidRPr="006D3E70">
        <w:rPr>
          <w:lang w:val="fr-FR"/>
        </w:rPr>
        <w:t>'</w:t>
      </w:r>
      <w:r w:rsidRPr="006D3E70">
        <w:rPr>
          <w:lang w:val="fr-FR"/>
        </w:rPr>
        <w:t>inefficacité des rayonnements non essentiels ou la production active de rayonnements non essentiels par l</w:t>
      </w:r>
      <w:r w:rsidR="00324C7C" w:rsidRPr="006D3E70">
        <w:rPr>
          <w:lang w:val="fr-FR"/>
        </w:rPr>
        <w:t>'</w:t>
      </w:r>
      <w:r w:rsidRPr="006D3E70">
        <w:rPr>
          <w:lang w:val="fr-FR"/>
        </w:rPr>
        <w:t>antenne proprement dite.</w:t>
      </w:r>
    </w:p>
    <w:p w14:paraId="66BE4EBA" w14:textId="2C94951F" w:rsidR="00532249" w:rsidRPr="006D3E70" w:rsidRDefault="00532249" w:rsidP="00532249">
      <w:pPr>
        <w:pStyle w:val="Heading3"/>
        <w:rPr>
          <w:lang w:val="fr-FR"/>
        </w:rPr>
      </w:pPr>
      <w:r w:rsidRPr="006D3E70">
        <w:rPr>
          <w:lang w:val="fr-FR"/>
        </w:rPr>
        <w:t>3.2.1</w:t>
      </w:r>
      <w:r w:rsidRPr="006D3E70">
        <w:rPr>
          <w:lang w:val="fr-FR"/>
        </w:rPr>
        <w:tab/>
        <w:t>Méthode 1a – Mesure à l</w:t>
      </w:r>
      <w:r w:rsidR="00324C7C" w:rsidRPr="006D3E70">
        <w:rPr>
          <w:lang w:val="fr-FR"/>
        </w:rPr>
        <w:t>'</w:t>
      </w:r>
      <w:r w:rsidRPr="006D3E70">
        <w:rPr>
          <w:lang w:val="fr-FR"/>
        </w:rPr>
        <w:t>aide d</w:t>
      </w:r>
      <w:r w:rsidR="00324C7C" w:rsidRPr="006D3E70">
        <w:rPr>
          <w:lang w:val="fr-FR"/>
        </w:rPr>
        <w:t>'</w:t>
      </w:r>
      <w:r w:rsidRPr="006D3E70">
        <w:rPr>
          <w:lang w:val="fr-FR"/>
        </w:rPr>
        <w:t>un filtre d</w:t>
      </w:r>
      <w:r w:rsidR="00324C7C" w:rsidRPr="006D3E70">
        <w:rPr>
          <w:lang w:val="fr-FR"/>
        </w:rPr>
        <w:t>'</w:t>
      </w:r>
      <w:r w:rsidRPr="006D3E70">
        <w:rPr>
          <w:lang w:val="fr-FR"/>
        </w:rPr>
        <w:t>élimination de la fréquence fondamentale</w:t>
      </w:r>
    </w:p>
    <w:p w14:paraId="2DDF1734" w14:textId="63B11C7E" w:rsidR="00532249" w:rsidRPr="006D3E70" w:rsidRDefault="00532249" w:rsidP="00532249">
      <w:pPr>
        <w:rPr>
          <w:lang w:val="fr-FR"/>
        </w:rPr>
      </w:pPr>
      <w:r w:rsidRPr="006D3E70">
        <w:rPr>
          <w:lang w:val="fr-FR"/>
        </w:rPr>
        <w:t>Le schéma synoptique du montage pour la mesure de la puissance des rayonnements dans le domaine des rayonnements non essentiels à la borne d</w:t>
      </w:r>
      <w:r w:rsidR="00324C7C" w:rsidRPr="006D3E70">
        <w:rPr>
          <w:lang w:val="fr-FR"/>
        </w:rPr>
        <w:t>'</w:t>
      </w:r>
      <w:r w:rsidRPr="006D3E70">
        <w:rPr>
          <w:lang w:val="fr-FR"/>
        </w:rPr>
        <w:t>antenne est représenté à la Fig</w:t>
      </w:r>
      <w:r w:rsidR="00693972" w:rsidRPr="006D3E70">
        <w:rPr>
          <w:lang w:val="fr-FR"/>
        </w:rPr>
        <w:t>.</w:t>
      </w:r>
      <w:r w:rsidRPr="006D3E70">
        <w:rPr>
          <w:lang w:val="fr-FR"/>
        </w:rPr>
        <w:t> 1a.</w:t>
      </w:r>
    </w:p>
    <w:p w14:paraId="6289F35D" w14:textId="77777777" w:rsidR="00532249" w:rsidRPr="006D3E70" w:rsidRDefault="00532249" w:rsidP="00532249">
      <w:pPr>
        <w:pStyle w:val="FigureNo"/>
        <w:rPr>
          <w:lang w:val="fr-FR"/>
        </w:rPr>
      </w:pPr>
      <w:r w:rsidRPr="006D3E70">
        <w:rPr>
          <w:lang w:val="fr-FR"/>
        </w:rPr>
        <w:t>FIGURE 1</w:t>
      </w:r>
      <w:r w:rsidRPr="006D3E70">
        <w:rPr>
          <w:caps w:val="0"/>
          <w:lang w:val="fr-FR"/>
        </w:rPr>
        <w:t>a</w:t>
      </w:r>
    </w:p>
    <w:p w14:paraId="614A2FF1" w14:textId="2BFD1BFB" w:rsidR="00532249" w:rsidRPr="006D3E70" w:rsidRDefault="00532249" w:rsidP="00532249">
      <w:pPr>
        <w:pStyle w:val="Figuretitle"/>
        <w:rPr>
          <w:lang w:val="fr-FR"/>
        </w:rPr>
      </w:pPr>
      <w:r w:rsidRPr="006D3E70">
        <w:rPr>
          <w:lang w:val="fr-FR"/>
        </w:rPr>
        <w:t xml:space="preserve">Méthode 1a: Montage pour la mesure de la puissance des rayonnements </w:t>
      </w:r>
      <w:r w:rsidRPr="006D3E70">
        <w:rPr>
          <w:lang w:val="fr-FR"/>
        </w:rPr>
        <w:br/>
        <w:t>dans le domaine des rayonnements non essentiels à la borne d</w:t>
      </w:r>
      <w:r w:rsidR="00324C7C" w:rsidRPr="006D3E70">
        <w:rPr>
          <w:lang w:val="fr-FR"/>
        </w:rPr>
        <w:t>'</w:t>
      </w:r>
      <w:r w:rsidRPr="006D3E70">
        <w:rPr>
          <w:lang w:val="fr-FR"/>
        </w:rPr>
        <w:t xml:space="preserve">antenne </w:t>
      </w:r>
      <w:r w:rsidRPr="006D3E70">
        <w:rPr>
          <w:lang w:val="fr-FR"/>
        </w:rPr>
        <w:br/>
        <w:t>à l</w:t>
      </w:r>
      <w:r w:rsidR="00324C7C" w:rsidRPr="006D3E70">
        <w:rPr>
          <w:lang w:val="fr-FR"/>
        </w:rPr>
        <w:t>'</w:t>
      </w:r>
      <w:r w:rsidRPr="006D3E70">
        <w:rPr>
          <w:lang w:val="fr-FR"/>
        </w:rPr>
        <w:t>aide d</w:t>
      </w:r>
      <w:r w:rsidR="00324C7C" w:rsidRPr="006D3E70">
        <w:rPr>
          <w:lang w:val="fr-FR"/>
        </w:rPr>
        <w:t>'</w:t>
      </w:r>
      <w:r w:rsidRPr="006D3E70">
        <w:rPr>
          <w:lang w:val="fr-FR"/>
        </w:rPr>
        <w:t>un filtre d</w:t>
      </w:r>
      <w:r w:rsidR="00324C7C" w:rsidRPr="006D3E70">
        <w:rPr>
          <w:lang w:val="fr-FR"/>
        </w:rPr>
        <w:t>'</w:t>
      </w:r>
      <w:r w:rsidRPr="006D3E70">
        <w:rPr>
          <w:lang w:val="fr-FR"/>
        </w:rPr>
        <w:t>élimination de la fréquence fondamentale</w:t>
      </w:r>
    </w:p>
    <w:p w14:paraId="761E25BC" w14:textId="77777777" w:rsidR="00532249" w:rsidRPr="006D3E70" w:rsidRDefault="00532249" w:rsidP="00532249">
      <w:pPr>
        <w:pStyle w:val="Figure"/>
        <w:rPr>
          <w:lang w:val="fr-FR"/>
        </w:rPr>
      </w:pPr>
      <w:r w:rsidRPr="006D3E70">
        <w:rPr>
          <w:lang w:val="fr-FR"/>
        </w:rPr>
        <w:object w:dxaOrig="6287" w:dyaOrig="6257" w14:anchorId="36A70EAB">
          <v:shape id="_x0000_i1026" type="#_x0000_t75" style="width:237.8pt;height:237.8pt" o:ole="">
            <v:imagedata r:id="rId18" o:title=""/>
          </v:shape>
          <o:OLEObject Type="Embed" ProgID="CorelDRAW.Graphic.14" ShapeID="_x0000_i1026" DrawAspect="Content" ObjectID="_1794295331" r:id="rId19"/>
        </w:object>
      </w:r>
    </w:p>
    <w:p w14:paraId="7D9AA0CB" w14:textId="77777777" w:rsidR="00532249" w:rsidRPr="006D3E70" w:rsidRDefault="00532249" w:rsidP="00532249">
      <w:pPr>
        <w:pStyle w:val="Heading4"/>
        <w:rPr>
          <w:rFonts w:eastAsia="Arial Unicode MS"/>
          <w:lang w:val="fr-FR"/>
        </w:rPr>
      </w:pPr>
      <w:r w:rsidRPr="006D3E70">
        <w:rPr>
          <w:lang w:val="fr-FR"/>
        </w:rPr>
        <w:t>3.2.1.1</w:t>
      </w:r>
      <w:r w:rsidRPr="006D3E70">
        <w:rPr>
          <w:lang w:val="fr-FR"/>
        </w:rPr>
        <w:tab/>
        <w:t>Approche directe</w:t>
      </w:r>
    </w:p>
    <w:p w14:paraId="3017838F" w14:textId="6CBFCC5A" w:rsidR="00532249" w:rsidRPr="006D3E70" w:rsidRDefault="00532249" w:rsidP="00532249">
      <w:pPr>
        <w:rPr>
          <w:lang w:val="fr-FR"/>
        </w:rPr>
      </w:pPr>
      <w:r w:rsidRPr="006D3E70">
        <w:rPr>
          <w:lang w:val="fr-FR"/>
        </w:rPr>
        <w:t>Dans cette approche, il faut étalonner chaque composant utilisé pour la mesure (filtres, coupleurs, câbles) ou étalonner ces dispositifs de connexion dans leur ensemble. L</w:t>
      </w:r>
      <w:r w:rsidR="00324C7C" w:rsidRPr="006D3E70">
        <w:rPr>
          <w:lang w:val="fr-FR"/>
        </w:rPr>
        <w:t>'</w:t>
      </w:r>
      <w:r w:rsidRPr="006D3E70">
        <w:rPr>
          <w:lang w:val="fr-FR"/>
        </w:rPr>
        <w:t>étalonnage sera réalisé en utilisant un générateur de niveau réglable étalonné à l</w:t>
      </w:r>
      <w:r w:rsidR="00324C7C" w:rsidRPr="006D3E70">
        <w:rPr>
          <w:lang w:val="fr-FR"/>
        </w:rPr>
        <w:t>'</w:t>
      </w:r>
      <w:r w:rsidRPr="006D3E70">
        <w:rPr>
          <w:lang w:val="fr-FR"/>
        </w:rPr>
        <w:t xml:space="preserve">entrée du récepteur de mesure. À chaque fréquence, </w:t>
      </w:r>
      <w:r w:rsidRPr="006D3E70">
        <w:rPr>
          <w:i/>
          <w:lang w:val="fr-FR"/>
        </w:rPr>
        <w:t>f</w:t>
      </w:r>
      <w:r w:rsidRPr="006D3E70">
        <w:rPr>
          <w:lang w:val="fr-FR"/>
        </w:rPr>
        <w:t>, le facteur d</w:t>
      </w:r>
      <w:r w:rsidR="00324C7C" w:rsidRPr="006D3E70">
        <w:rPr>
          <w:lang w:val="fr-FR"/>
        </w:rPr>
        <w:t>'</w:t>
      </w:r>
      <w:r w:rsidRPr="006D3E70">
        <w:rPr>
          <w:lang w:val="fr-FR"/>
        </w:rPr>
        <w:t xml:space="preserve">étalonnage, </w:t>
      </w:r>
      <w:r w:rsidRPr="006D3E70">
        <w:rPr>
          <w:i/>
          <w:lang w:val="fr-FR"/>
        </w:rPr>
        <w:t>k</w:t>
      </w:r>
      <w:r w:rsidRPr="006D3E70">
        <w:rPr>
          <w:i/>
          <w:iCs/>
          <w:vertAlign w:val="subscript"/>
          <w:lang w:val="fr-FR"/>
        </w:rPr>
        <w:t>f</w:t>
      </w:r>
      <w:r w:rsidRPr="006D3E70">
        <w:rPr>
          <w:lang w:val="fr-FR"/>
        </w:rPr>
        <w:t>, est donné par la formule comme suit:</w:t>
      </w:r>
    </w:p>
    <w:p w14:paraId="111EC983" w14:textId="77777777" w:rsidR="00532249" w:rsidRPr="006D3E70" w:rsidRDefault="00532249" w:rsidP="00532249">
      <w:pPr>
        <w:pStyle w:val="Equation"/>
        <w:rPr>
          <w:lang w:val="fr-FR"/>
        </w:rPr>
      </w:pPr>
      <w:r w:rsidRPr="006D3E70">
        <w:rPr>
          <w:lang w:val="fr-FR"/>
        </w:rPr>
        <w:tab/>
      </w:r>
      <w:r w:rsidRPr="006D3E70">
        <w:rPr>
          <w:lang w:val="fr-FR"/>
        </w:rPr>
        <w:tab/>
      </w:r>
      <w:r w:rsidRPr="006D3E70">
        <w:rPr>
          <w:i/>
          <w:lang w:val="fr-FR"/>
        </w:rPr>
        <w:t>k</w:t>
      </w:r>
      <w:r w:rsidRPr="006D3E70">
        <w:rPr>
          <w:i/>
          <w:iCs/>
          <w:vertAlign w:val="subscript"/>
          <w:lang w:val="fr-FR"/>
        </w:rPr>
        <w:t>f</w:t>
      </w:r>
      <w:r w:rsidRPr="006D3E70">
        <w:rPr>
          <w:lang w:val="fr-FR"/>
        </w:rPr>
        <w:t xml:space="preserve"> = </w:t>
      </w:r>
      <w:r w:rsidRPr="006D3E70">
        <w:rPr>
          <w:i/>
          <w:lang w:val="fr-FR"/>
        </w:rPr>
        <w:t>I</w:t>
      </w:r>
      <w:r w:rsidRPr="006D3E70">
        <w:rPr>
          <w:i/>
          <w:iCs/>
          <w:vertAlign w:val="subscript"/>
          <w:lang w:val="fr-FR"/>
        </w:rPr>
        <w:t>f</w:t>
      </w:r>
      <w:r w:rsidRPr="006D3E70">
        <w:rPr>
          <w:lang w:val="fr-FR"/>
        </w:rPr>
        <w:t xml:space="preserve"> – </w:t>
      </w:r>
      <w:r w:rsidRPr="006D3E70">
        <w:rPr>
          <w:i/>
          <w:lang w:val="fr-FR"/>
        </w:rPr>
        <w:t>O</w:t>
      </w:r>
      <w:r w:rsidRPr="006D3E70">
        <w:rPr>
          <w:i/>
          <w:iCs/>
          <w:vertAlign w:val="subscript"/>
          <w:lang w:val="fr-FR"/>
        </w:rPr>
        <w:t>f</w:t>
      </w:r>
    </w:p>
    <w:p w14:paraId="652561C8" w14:textId="77777777" w:rsidR="00532249" w:rsidRPr="006D3E70" w:rsidRDefault="00532249" w:rsidP="003957B8">
      <w:pPr>
        <w:keepNext/>
        <w:keepLines/>
        <w:rPr>
          <w:lang w:val="fr-FR"/>
        </w:rPr>
      </w:pPr>
      <w:r w:rsidRPr="006D3E70">
        <w:rPr>
          <w:lang w:val="fr-FR"/>
        </w:rPr>
        <w:lastRenderedPageBreak/>
        <w:t>où:</w:t>
      </w:r>
    </w:p>
    <w:p w14:paraId="66252286" w14:textId="106F9811" w:rsidR="00532249" w:rsidRPr="006D3E70" w:rsidRDefault="00532249" w:rsidP="003957B8">
      <w:pPr>
        <w:pStyle w:val="Equationlegend"/>
        <w:keepNext/>
        <w:keepLines/>
        <w:spacing w:before="0"/>
        <w:rPr>
          <w:i/>
          <w:lang w:val="fr-FR"/>
        </w:rPr>
      </w:pPr>
      <w:r w:rsidRPr="006D3E70">
        <w:rPr>
          <w:lang w:val="fr-FR"/>
        </w:rPr>
        <w:tab/>
      </w:r>
      <w:r w:rsidRPr="006D3E70">
        <w:rPr>
          <w:i/>
          <w:lang w:val="fr-FR"/>
        </w:rPr>
        <w:t>k</w:t>
      </w:r>
      <w:r w:rsidRPr="006D3E70">
        <w:rPr>
          <w:i/>
          <w:iCs/>
          <w:vertAlign w:val="subscript"/>
          <w:lang w:val="fr-FR"/>
        </w:rPr>
        <w:t>f</w:t>
      </w:r>
      <w:r w:rsidRPr="006D3E70">
        <w:rPr>
          <w:iCs/>
          <w:lang w:val="fr-FR"/>
        </w:rPr>
        <w:t>:</w:t>
      </w:r>
      <w:r w:rsidRPr="006D3E70">
        <w:rPr>
          <w:lang w:val="fr-FR"/>
        </w:rPr>
        <w:tab/>
        <w:t>facteur d</w:t>
      </w:r>
      <w:r w:rsidR="00324C7C" w:rsidRPr="006D3E70">
        <w:rPr>
          <w:lang w:val="fr-FR"/>
        </w:rPr>
        <w:t>'</w:t>
      </w:r>
      <w:r w:rsidRPr="006D3E70">
        <w:rPr>
          <w:lang w:val="fr-FR"/>
        </w:rPr>
        <w:t xml:space="preserve">étalonnage (dB) à la fréquence </w:t>
      </w:r>
      <w:r w:rsidRPr="006D3E70">
        <w:rPr>
          <w:i/>
          <w:lang w:val="fr-FR"/>
        </w:rPr>
        <w:t>f</w:t>
      </w:r>
    </w:p>
    <w:p w14:paraId="39AA6BF6" w14:textId="66502E4B" w:rsidR="00532249" w:rsidRPr="006D3E70" w:rsidRDefault="00532249" w:rsidP="00532249">
      <w:pPr>
        <w:pStyle w:val="Equationlegend"/>
        <w:rPr>
          <w:i/>
          <w:lang w:val="fr-FR"/>
        </w:rPr>
      </w:pPr>
      <w:r w:rsidRPr="006D3E70">
        <w:rPr>
          <w:lang w:val="fr-FR"/>
        </w:rPr>
        <w:tab/>
      </w:r>
      <w:r w:rsidRPr="006D3E70">
        <w:rPr>
          <w:i/>
          <w:lang w:val="fr-FR"/>
        </w:rPr>
        <w:t>I</w:t>
      </w:r>
      <w:r w:rsidRPr="006D3E70">
        <w:rPr>
          <w:i/>
          <w:iCs/>
          <w:vertAlign w:val="subscript"/>
          <w:lang w:val="fr-FR"/>
        </w:rPr>
        <w:t>f</w:t>
      </w:r>
      <w:r w:rsidRPr="006D3E70">
        <w:rPr>
          <w:lang w:val="fr-FR"/>
        </w:rPr>
        <w:t>:</w:t>
      </w:r>
      <w:r w:rsidRPr="006D3E70">
        <w:rPr>
          <w:lang w:val="fr-FR"/>
        </w:rPr>
        <w:tab/>
        <w:t>puissance d</w:t>
      </w:r>
      <w:r w:rsidR="00324C7C" w:rsidRPr="006D3E70">
        <w:rPr>
          <w:lang w:val="fr-FR"/>
        </w:rPr>
        <w:t>'</w:t>
      </w:r>
      <w:r w:rsidRPr="006D3E70">
        <w:rPr>
          <w:lang w:val="fr-FR"/>
        </w:rPr>
        <w:t>entrée (délivrée par le générateur étalonné) (dBW) ou (dBm) à la fréquence, </w:t>
      </w:r>
      <w:r w:rsidRPr="006D3E70">
        <w:rPr>
          <w:i/>
          <w:lang w:val="fr-FR"/>
        </w:rPr>
        <w:t>f</w:t>
      </w:r>
    </w:p>
    <w:p w14:paraId="59FC8AD1" w14:textId="77777777" w:rsidR="00532249" w:rsidRPr="006D3E70" w:rsidRDefault="00532249" w:rsidP="00532249">
      <w:pPr>
        <w:pStyle w:val="Equationlegend"/>
        <w:rPr>
          <w:i/>
          <w:lang w:val="fr-FR"/>
        </w:rPr>
      </w:pPr>
      <w:r w:rsidRPr="006D3E70">
        <w:rPr>
          <w:lang w:val="fr-FR"/>
        </w:rPr>
        <w:tab/>
      </w:r>
      <w:r w:rsidRPr="006D3E70">
        <w:rPr>
          <w:i/>
          <w:lang w:val="fr-FR"/>
        </w:rPr>
        <w:t>O</w:t>
      </w:r>
      <w:r w:rsidRPr="006D3E70">
        <w:rPr>
          <w:i/>
          <w:iCs/>
          <w:vertAlign w:val="subscript"/>
          <w:lang w:val="fr-FR"/>
        </w:rPr>
        <w:t>f</w:t>
      </w:r>
      <w:r w:rsidRPr="006D3E70">
        <w:rPr>
          <w:lang w:val="fr-FR"/>
        </w:rPr>
        <w:t>:</w:t>
      </w:r>
      <w:r w:rsidRPr="006D3E70">
        <w:rPr>
          <w:lang w:val="fr-FR"/>
        </w:rPr>
        <w:tab/>
        <w:t xml:space="preserve">puissance de sortie (déterminée par le récepteur de mesure) dans la même unité que </w:t>
      </w:r>
      <w:r w:rsidRPr="006D3E70">
        <w:rPr>
          <w:i/>
          <w:lang w:val="fr-FR"/>
        </w:rPr>
        <w:t>I</w:t>
      </w:r>
      <w:r w:rsidRPr="006D3E70">
        <w:rPr>
          <w:i/>
          <w:iCs/>
          <w:vertAlign w:val="subscript"/>
          <w:lang w:val="fr-FR"/>
        </w:rPr>
        <w:t>f</w:t>
      </w:r>
      <w:r w:rsidRPr="006D3E70">
        <w:rPr>
          <w:lang w:val="fr-FR"/>
        </w:rPr>
        <w:t>, à la fréquence, </w:t>
      </w:r>
      <w:r w:rsidRPr="006D3E70">
        <w:rPr>
          <w:i/>
          <w:lang w:val="fr-FR"/>
        </w:rPr>
        <w:t>f</w:t>
      </w:r>
      <w:r w:rsidRPr="006D3E70">
        <w:rPr>
          <w:lang w:val="fr-FR"/>
        </w:rPr>
        <w:t>.</w:t>
      </w:r>
    </w:p>
    <w:p w14:paraId="48665495" w14:textId="1F26DF1C" w:rsidR="00532249" w:rsidRPr="006D3E70" w:rsidRDefault="00532249" w:rsidP="00532249">
      <w:pPr>
        <w:rPr>
          <w:lang w:val="fr-FR"/>
        </w:rPr>
      </w:pPr>
      <w:r w:rsidRPr="006D3E70">
        <w:rPr>
          <w:lang w:val="fr-FR"/>
        </w:rPr>
        <w:t>Ce facteur d</w:t>
      </w:r>
      <w:r w:rsidR="00324C7C" w:rsidRPr="006D3E70">
        <w:rPr>
          <w:lang w:val="fr-FR"/>
        </w:rPr>
        <w:t>'</w:t>
      </w:r>
      <w:r w:rsidRPr="006D3E70">
        <w:rPr>
          <w:lang w:val="fr-FR"/>
        </w:rPr>
        <w:t>étalonnage représente l</w:t>
      </w:r>
      <w:r w:rsidR="00324C7C" w:rsidRPr="006D3E70">
        <w:rPr>
          <w:lang w:val="fr-FR"/>
        </w:rPr>
        <w:t>'</w:t>
      </w:r>
      <w:r w:rsidRPr="006D3E70">
        <w:rPr>
          <w:lang w:val="fr-FR"/>
        </w:rPr>
        <w:t>affaiblissement total d</w:t>
      </w:r>
      <w:r w:rsidR="00324C7C" w:rsidRPr="006D3E70">
        <w:rPr>
          <w:lang w:val="fr-FR"/>
        </w:rPr>
        <w:t>'</w:t>
      </w:r>
      <w:r w:rsidRPr="006D3E70">
        <w:rPr>
          <w:lang w:val="fr-FR"/>
        </w:rPr>
        <w:t>insertion de tous les dispositifs connectés entre le générateur et le récepteur de mesure.</w:t>
      </w:r>
    </w:p>
    <w:p w14:paraId="18C7BE1C" w14:textId="17BF36DD" w:rsidR="00532249" w:rsidRPr="006D3E70" w:rsidRDefault="00532249" w:rsidP="00532249">
      <w:pPr>
        <w:rPr>
          <w:lang w:val="fr-FR"/>
        </w:rPr>
      </w:pPr>
      <w:r w:rsidRPr="006D3E70">
        <w:rPr>
          <w:lang w:val="fr-FR"/>
        </w:rPr>
        <w:t>Si l</w:t>
      </w:r>
      <w:r w:rsidR="00324C7C" w:rsidRPr="006D3E70">
        <w:rPr>
          <w:lang w:val="fr-FR"/>
        </w:rPr>
        <w:t>'</w:t>
      </w:r>
      <w:r w:rsidRPr="006D3E70">
        <w:rPr>
          <w:lang w:val="fr-FR"/>
        </w:rPr>
        <w:t>on fait des mesures avec étalonnage de chaque dispositif, le facteur d</w:t>
      </w:r>
      <w:r w:rsidR="00324C7C" w:rsidRPr="006D3E70">
        <w:rPr>
          <w:lang w:val="fr-FR"/>
        </w:rPr>
        <w:t>'</w:t>
      </w:r>
      <w:r w:rsidRPr="006D3E70">
        <w:rPr>
          <w:lang w:val="fr-FR"/>
        </w:rPr>
        <w:t>étalonnage de tout le montage de mesure est donné par la formule suivante:</w:t>
      </w:r>
    </w:p>
    <w:p w14:paraId="41D4F3D1" w14:textId="77777777" w:rsidR="00532249" w:rsidRPr="006D3E70" w:rsidRDefault="00532249" w:rsidP="00532249">
      <w:pPr>
        <w:pStyle w:val="Equation"/>
        <w:rPr>
          <w:lang w:val="fr-FR"/>
        </w:rPr>
      </w:pPr>
      <w:r w:rsidRPr="006D3E70">
        <w:rPr>
          <w:lang w:val="fr-FR"/>
        </w:rPr>
        <w:tab/>
      </w:r>
      <w:r w:rsidRPr="006D3E70">
        <w:rPr>
          <w:lang w:val="fr-FR"/>
        </w:rPr>
        <w:tab/>
      </w:r>
      <w:r w:rsidRPr="006D3E70">
        <w:rPr>
          <w:position w:val="-40"/>
          <w:lang w:val="fr-FR"/>
        </w:rPr>
        <w:object w:dxaOrig="1700" w:dyaOrig="700" w14:anchorId="41EA79C8">
          <v:shape id="_x0000_i1027" type="#_x0000_t75" style="width:86.2pt;height:36pt" o:ole="">
            <v:imagedata r:id="rId20" o:title=""/>
          </v:shape>
          <o:OLEObject Type="Embed" ProgID="Equation.3" ShapeID="_x0000_i1027" DrawAspect="Content" ObjectID="_1794295332" r:id="rId21"/>
        </w:object>
      </w:r>
    </w:p>
    <w:p w14:paraId="219A62E2" w14:textId="77777777" w:rsidR="00532249" w:rsidRPr="006D3E70" w:rsidRDefault="00532249" w:rsidP="00532249">
      <w:pPr>
        <w:spacing w:before="0"/>
        <w:rPr>
          <w:lang w:val="fr-FR"/>
        </w:rPr>
      </w:pPr>
      <w:r w:rsidRPr="006D3E70">
        <w:rPr>
          <w:lang w:val="fr-FR"/>
        </w:rPr>
        <w:t>où:</w:t>
      </w:r>
    </w:p>
    <w:p w14:paraId="3AD0364B" w14:textId="6407C429" w:rsidR="00532249" w:rsidRPr="006D3E70" w:rsidRDefault="00532249" w:rsidP="00532249">
      <w:pPr>
        <w:pStyle w:val="Equationlegend"/>
        <w:rPr>
          <w:lang w:val="fr-FR"/>
        </w:rPr>
      </w:pPr>
      <w:r w:rsidRPr="006D3E70">
        <w:rPr>
          <w:lang w:val="fr-FR"/>
        </w:rPr>
        <w:tab/>
      </w:r>
      <w:r w:rsidRPr="006D3E70">
        <w:rPr>
          <w:i/>
          <w:iCs/>
          <w:lang w:val="fr-FR"/>
        </w:rPr>
        <w:t>k</w:t>
      </w:r>
      <w:r w:rsidRPr="006D3E70">
        <w:rPr>
          <w:i/>
          <w:iCs/>
          <w:vertAlign w:val="subscript"/>
          <w:lang w:val="fr-FR"/>
        </w:rPr>
        <w:t>ms</w:t>
      </w:r>
      <w:r w:rsidRPr="006D3E70">
        <w:rPr>
          <w:vertAlign w:val="subscript"/>
          <w:lang w:val="fr-FR"/>
        </w:rPr>
        <w:t>,</w:t>
      </w:r>
      <w:r w:rsidRPr="006D3E70">
        <w:rPr>
          <w:i/>
          <w:iCs/>
          <w:vertAlign w:val="subscript"/>
          <w:lang w:val="fr-FR"/>
        </w:rPr>
        <w:t> f</w:t>
      </w:r>
      <w:r w:rsidRPr="006D3E70">
        <w:rPr>
          <w:lang w:val="fr-FR"/>
        </w:rPr>
        <w:t>:</w:t>
      </w:r>
      <w:r w:rsidRPr="006D3E70">
        <w:rPr>
          <w:lang w:val="fr-FR"/>
        </w:rPr>
        <w:tab/>
        <w:t>facteur d</w:t>
      </w:r>
      <w:r w:rsidR="00324C7C" w:rsidRPr="006D3E70">
        <w:rPr>
          <w:lang w:val="fr-FR"/>
        </w:rPr>
        <w:t>'</w:t>
      </w:r>
      <w:r w:rsidRPr="006D3E70">
        <w:rPr>
          <w:lang w:val="fr-FR"/>
        </w:rPr>
        <w:t xml:space="preserve">étalonnage (dB) du montage de mesure, à la fréquence, </w:t>
      </w:r>
      <w:r w:rsidRPr="006D3E70">
        <w:rPr>
          <w:i/>
          <w:lang w:val="fr-FR"/>
        </w:rPr>
        <w:t>f</w:t>
      </w:r>
    </w:p>
    <w:p w14:paraId="60BFABF1" w14:textId="49EE2A27" w:rsidR="00532249" w:rsidRPr="006D3E70" w:rsidRDefault="00532249" w:rsidP="00532249">
      <w:pPr>
        <w:pStyle w:val="Equationlegend"/>
        <w:rPr>
          <w:lang w:val="fr-FR"/>
        </w:rPr>
      </w:pPr>
      <w:r w:rsidRPr="006D3E70">
        <w:rPr>
          <w:lang w:val="fr-FR"/>
        </w:rPr>
        <w:tab/>
      </w:r>
      <w:r w:rsidRPr="006D3E70">
        <w:rPr>
          <w:i/>
          <w:iCs/>
          <w:lang w:val="fr-FR"/>
        </w:rPr>
        <w:t>k</w:t>
      </w:r>
      <w:r w:rsidRPr="006D3E70">
        <w:rPr>
          <w:i/>
          <w:iCs/>
          <w:vertAlign w:val="subscript"/>
          <w:lang w:val="fr-FR"/>
        </w:rPr>
        <w:t>i</w:t>
      </w:r>
      <w:r w:rsidRPr="006D3E70">
        <w:rPr>
          <w:vertAlign w:val="subscript"/>
          <w:lang w:val="fr-FR"/>
        </w:rPr>
        <w:t>,</w:t>
      </w:r>
      <w:r w:rsidRPr="006D3E70">
        <w:rPr>
          <w:i/>
          <w:iCs/>
          <w:vertAlign w:val="subscript"/>
          <w:lang w:val="fr-FR"/>
        </w:rPr>
        <w:t> f</w:t>
      </w:r>
      <w:r w:rsidRPr="006D3E70">
        <w:rPr>
          <w:lang w:val="fr-FR"/>
        </w:rPr>
        <w:t>:</w:t>
      </w:r>
      <w:r w:rsidRPr="006D3E70">
        <w:rPr>
          <w:i/>
          <w:position w:val="-4"/>
          <w:sz w:val="16"/>
          <w:lang w:val="fr-FR"/>
        </w:rPr>
        <w:tab/>
      </w:r>
      <w:r w:rsidRPr="006D3E70">
        <w:rPr>
          <w:lang w:val="fr-FR"/>
        </w:rPr>
        <w:t>facteur d</w:t>
      </w:r>
      <w:r w:rsidR="00324C7C" w:rsidRPr="006D3E70">
        <w:rPr>
          <w:lang w:val="fr-FR"/>
        </w:rPr>
        <w:t>'</w:t>
      </w:r>
      <w:r w:rsidRPr="006D3E70">
        <w:rPr>
          <w:lang w:val="fr-FR"/>
        </w:rPr>
        <w:t>étalonnage (dB) de chaque dispositif de la chaîne de mesure, à la fréquence, </w:t>
      </w:r>
      <w:r w:rsidRPr="006D3E70">
        <w:rPr>
          <w:i/>
          <w:lang w:val="fr-FR"/>
        </w:rPr>
        <w:t>f</w:t>
      </w:r>
      <w:r w:rsidRPr="006D3E70">
        <w:rPr>
          <w:lang w:val="fr-FR"/>
        </w:rPr>
        <w:t>.</w:t>
      </w:r>
    </w:p>
    <w:p w14:paraId="34342E71" w14:textId="6C33DA31" w:rsidR="00532249" w:rsidRPr="006D3E70" w:rsidRDefault="00532249" w:rsidP="00532249">
      <w:pPr>
        <w:rPr>
          <w:lang w:val="fr-FR"/>
        </w:rPr>
      </w:pPr>
      <w:r w:rsidRPr="006D3E70">
        <w:rPr>
          <w:lang w:val="fr-FR"/>
        </w:rPr>
        <w:t xml:space="preserve">Si pour la mesure des niveaux réels des rayonnements non essentiels, </w:t>
      </w:r>
      <w:r w:rsidRPr="006D3E70">
        <w:rPr>
          <w:i/>
          <w:lang w:val="fr-FR"/>
        </w:rPr>
        <w:t>P</w:t>
      </w:r>
      <w:r w:rsidRPr="006D3E70">
        <w:rPr>
          <w:i/>
          <w:iCs/>
          <w:vertAlign w:val="subscript"/>
          <w:lang w:val="fr-FR"/>
        </w:rPr>
        <w:t>r, f</w:t>
      </w:r>
      <w:r w:rsidRPr="006D3E70">
        <w:rPr>
          <w:lang w:val="fr-FR"/>
        </w:rPr>
        <w:t xml:space="preserve"> (dBW) ou (dBm) est la puissance lue sur le récepteur de mesure des rayonnements à la fréquence, </w:t>
      </w:r>
      <w:r w:rsidRPr="006D3E70">
        <w:rPr>
          <w:i/>
          <w:lang w:val="fr-FR"/>
        </w:rPr>
        <w:t>f</w:t>
      </w:r>
      <w:r w:rsidRPr="006D3E70">
        <w:rPr>
          <w:lang w:val="fr-FR"/>
        </w:rPr>
        <w:t xml:space="preserve">, dans le domaine des rayonnements non essentiels, la puissance réelle des rayonnements </w:t>
      </w:r>
      <w:r w:rsidRPr="006D3E70">
        <w:rPr>
          <w:i/>
          <w:lang w:val="fr-FR"/>
        </w:rPr>
        <w:t>P</w:t>
      </w:r>
      <w:r w:rsidRPr="006D3E70">
        <w:rPr>
          <w:i/>
          <w:iCs/>
          <w:vertAlign w:val="subscript"/>
          <w:lang w:val="fr-FR"/>
        </w:rPr>
        <w:t>s</w:t>
      </w:r>
      <w:r w:rsidRPr="006D3E70">
        <w:rPr>
          <w:vertAlign w:val="subscript"/>
          <w:lang w:val="fr-FR"/>
        </w:rPr>
        <w:t>,</w:t>
      </w:r>
      <w:r w:rsidRPr="006D3E70">
        <w:rPr>
          <w:i/>
          <w:iCs/>
          <w:vertAlign w:val="subscript"/>
          <w:lang w:val="fr-FR"/>
        </w:rPr>
        <w:t> f</w:t>
      </w:r>
      <w:r w:rsidRPr="006D3E70">
        <w:rPr>
          <w:lang w:val="fr-FR"/>
        </w:rPr>
        <w:t xml:space="preserve"> (même unité que </w:t>
      </w:r>
      <w:r w:rsidRPr="006D3E70">
        <w:rPr>
          <w:i/>
          <w:lang w:val="fr-FR"/>
        </w:rPr>
        <w:t>P</w:t>
      </w:r>
      <w:r w:rsidRPr="006D3E70">
        <w:rPr>
          <w:i/>
          <w:iCs/>
          <w:vertAlign w:val="subscript"/>
          <w:lang w:val="fr-FR"/>
        </w:rPr>
        <w:t>r</w:t>
      </w:r>
      <w:r w:rsidRPr="006D3E70">
        <w:rPr>
          <w:vertAlign w:val="subscript"/>
          <w:lang w:val="fr-FR"/>
        </w:rPr>
        <w:t>,</w:t>
      </w:r>
      <w:r w:rsidRPr="006D3E70">
        <w:rPr>
          <w:i/>
          <w:iCs/>
          <w:vertAlign w:val="subscript"/>
          <w:lang w:val="fr-FR"/>
        </w:rPr>
        <w:t> f </w:t>
      </w:r>
      <w:r w:rsidRPr="006D3E70">
        <w:rPr>
          <w:lang w:val="fr-FR"/>
        </w:rPr>
        <w:t xml:space="preserve">) à la fréquence, </w:t>
      </w:r>
      <w:r w:rsidRPr="006D3E70">
        <w:rPr>
          <w:i/>
          <w:lang w:val="fr-FR"/>
        </w:rPr>
        <w:t>f</w:t>
      </w:r>
      <w:r w:rsidRPr="006D3E70">
        <w:rPr>
          <w:lang w:val="fr-FR"/>
        </w:rPr>
        <w:t>, dans le domaine des rayonnements non essentiels, est donnée par l</w:t>
      </w:r>
      <w:r w:rsidR="00324C7C" w:rsidRPr="006D3E70">
        <w:rPr>
          <w:lang w:val="fr-FR"/>
        </w:rPr>
        <w:t>'</w:t>
      </w:r>
      <w:r w:rsidRPr="006D3E70">
        <w:rPr>
          <w:lang w:val="fr-FR"/>
        </w:rPr>
        <w:t>équation suivante:</w:t>
      </w:r>
    </w:p>
    <w:p w14:paraId="50E6827C" w14:textId="77777777" w:rsidR="00532249" w:rsidRPr="006D3E70" w:rsidRDefault="00532249" w:rsidP="00532249">
      <w:pPr>
        <w:pStyle w:val="Equation"/>
        <w:rPr>
          <w:lang w:val="fr-FR"/>
        </w:rPr>
      </w:pPr>
      <w:r w:rsidRPr="006D3E70">
        <w:rPr>
          <w:lang w:val="fr-FR"/>
        </w:rPr>
        <w:tab/>
      </w:r>
      <w:r w:rsidRPr="006D3E70">
        <w:rPr>
          <w:lang w:val="fr-FR"/>
        </w:rPr>
        <w:tab/>
      </w:r>
      <w:r w:rsidRPr="006D3E70">
        <w:rPr>
          <w:i/>
          <w:lang w:val="fr-FR"/>
        </w:rPr>
        <w:t>P</w:t>
      </w:r>
      <w:r w:rsidRPr="006D3E70">
        <w:rPr>
          <w:i/>
          <w:iCs/>
          <w:vertAlign w:val="subscript"/>
          <w:lang w:val="fr-FR"/>
        </w:rPr>
        <w:t>s</w:t>
      </w:r>
      <w:r w:rsidRPr="006D3E70">
        <w:rPr>
          <w:vertAlign w:val="subscript"/>
          <w:lang w:val="fr-FR"/>
        </w:rPr>
        <w:t>,</w:t>
      </w:r>
      <w:r w:rsidRPr="006D3E70">
        <w:rPr>
          <w:i/>
          <w:iCs/>
          <w:vertAlign w:val="subscript"/>
          <w:lang w:val="fr-FR"/>
        </w:rPr>
        <w:t> f</w:t>
      </w:r>
      <w:r w:rsidRPr="006D3E70">
        <w:rPr>
          <w:lang w:val="fr-FR"/>
        </w:rPr>
        <w:t> = </w:t>
      </w:r>
      <w:r w:rsidRPr="006D3E70">
        <w:rPr>
          <w:i/>
          <w:lang w:val="fr-FR"/>
        </w:rPr>
        <w:t>P</w:t>
      </w:r>
      <w:r w:rsidRPr="006D3E70">
        <w:rPr>
          <w:i/>
          <w:iCs/>
          <w:vertAlign w:val="subscript"/>
          <w:lang w:val="fr-FR"/>
        </w:rPr>
        <w:t>r</w:t>
      </w:r>
      <w:r w:rsidRPr="006D3E70">
        <w:rPr>
          <w:vertAlign w:val="subscript"/>
          <w:lang w:val="fr-FR"/>
        </w:rPr>
        <w:t>,</w:t>
      </w:r>
      <w:r w:rsidRPr="006D3E70">
        <w:rPr>
          <w:i/>
          <w:iCs/>
          <w:vertAlign w:val="subscript"/>
          <w:lang w:val="fr-FR"/>
        </w:rPr>
        <w:t> f</w:t>
      </w:r>
      <w:r w:rsidRPr="006D3E70">
        <w:rPr>
          <w:lang w:val="fr-FR"/>
        </w:rPr>
        <w:t> + </w:t>
      </w:r>
      <w:r w:rsidRPr="006D3E70">
        <w:rPr>
          <w:i/>
          <w:lang w:val="fr-FR"/>
        </w:rPr>
        <w:t>k</w:t>
      </w:r>
      <w:r w:rsidRPr="006D3E70">
        <w:rPr>
          <w:i/>
          <w:iCs/>
          <w:vertAlign w:val="subscript"/>
          <w:lang w:val="fr-FR"/>
        </w:rPr>
        <w:t>ms</w:t>
      </w:r>
      <w:r w:rsidRPr="006D3E70">
        <w:rPr>
          <w:vertAlign w:val="subscript"/>
          <w:lang w:val="fr-FR"/>
        </w:rPr>
        <w:t>,</w:t>
      </w:r>
      <w:r w:rsidRPr="006D3E70">
        <w:rPr>
          <w:i/>
          <w:iCs/>
          <w:vertAlign w:val="subscript"/>
          <w:lang w:val="fr-FR"/>
        </w:rPr>
        <w:t> f</w:t>
      </w:r>
    </w:p>
    <w:p w14:paraId="3628BC4B" w14:textId="18E8A5F7" w:rsidR="00532249" w:rsidRPr="006D3E70" w:rsidRDefault="00532249" w:rsidP="00532249">
      <w:pPr>
        <w:pStyle w:val="Note"/>
        <w:rPr>
          <w:lang w:val="fr-FR"/>
        </w:rPr>
      </w:pPr>
      <w:r w:rsidRPr="006D3E70">
        <w:rPr>
          <w:lang w:val="fr-FR"/>
        </w:rPr>
        <w:t>NOTE 1 – L</w:t>
      </w:r>
      <w:r w:rsidR="00324C7C" w:rsidRPr="006D3E70">
        <w:rPr>
          <w:lang w:val="fr-FR"/>
        </w:rPr>
        <w:t>'</w:t>
      </w:r>
      <w:r w:rsidRPr="006D3E70">
        <w:rPr>
          <w:lang w:val="fr-FR"/>
        </w:rPr>
        <w:t>étalonnage des différents composants aboutira normalement à une plus grande incertitude dans les mesures en raison de l</w:t>
      </w:r>
      <w:r w:rsidR="00324C7C" w:rsidRPr="006D3E70">
        <w:rPr>
          <w:lang w:val="fr-FR"/>
        </w:rPr>
        <w:t>'</w:t>
      </w:r>
      <w:r w:rsidRPr="006D3E70">
        <w:rPr>
          <w:lang w:val="fr-FR"/>
        </w:rPr>
        <w:t>affaiblissement de désadaptation.</w:t>
      </w:r>
    </w:p>
    <w:p w14:paraId="53CC5CA4" w14:textId="77777777" w:rsidR="00532249" w:rsidRPr="006D3E70" w:rsidRDefault="00532249" w:rsidP="00532249">
      <w:pPr>
        <w:pStyle w:val="Heading4"/>
        <w:rPr>
          <w:rFonts w:eastAsia="Arial Unicode MS"/>
          <w:lang w:val="fr-FR"/>
        </w:rPr>
      </w:pPr>
      <w:r w:rsidRPr="006D3E70">
        <w:rPr>
          <w:lang w:val="fr-FR"/>
        </w:rPr>
        <w:t>3.2.1.2</w:t>
      </w:r>
      <w:r w:rsidRPr="006D3E70">
        <w:rPr>
          <w:lang w:val="fr-FR"/>
        </w:rPr>
        <w:tab/>
        <w:t>Approche par substitution</w:t>
      </w:r>
    </w:p>
    <w:p w14:paraId="620ADFC9" w14:textId="45C91239" w:rsidR="00532249" w:rsidRPr="006D3E70" w:rsidRDefault="00532249" w:rsidP="00532249">
      <w:pPr>
        <w:rPr>
          <w:lang w:val="fr-FR"/>
        </w:rPr>
      </w:pPr>
      <w:r w:rsidRPr="006D3E70">
        <w:rPr>
          <w:lang w:val="fr-FR"/>
        </w:rPr>
        <w:t>Cette méthode ne nécessite pas l</w:t>
      </w:r>
      <w:r w:rsidR="00324C7C" w:rsidRPr="006D3E70">
        <w:rPr>
          <w:lang w:val="fr-FR"/>
        </w:rPr>
        <w:t>'</w:t>
      </w:r>
      <w:r w:rsidRPr="006D3E70">
        <w:rPr>
          <w:lang w:val="fr-FR"/>
        </w:rPr>
        <w:t>étalonnage de tous les composants de mesure. La valeur de puissance de sortie des rayonnements non essentiels est lue sur le dispositif de mesure. Puis, on remplace l</w:t>
      </w:r>
      <w:r w:rsidR="00324C7C" w:rsidRPr="006D3E70">
        <w:rPr>
          <w:lang w:val="fr-FR"/>
        </w:rPr>
        <w:t>'</w:t>
      </w:r>
      <w:r w:rsidRPr="006D3E70">
        <w:rPr>
          <w:lang w:val="fr-FR"/>
        </w:rPr>
        <w:t>équipement sous test par un générateur étalonné dont on règle le niveau de puissance afin d</w:t>
      </w:r>
      <w:r w:rsidR="00324C7C" w:rsidRPr="006D3E70">
        <w:rPr>
          <w:lang w:val="fr-FR"/>
        </w:rPr>
        <w:t>'</w:t>
      </w:r>
      <w:r w:rsidRPr="006D3E70">
        <w:rPr>
          <w:lang w:val="fr-FR"/>
        </w:rPr>
        <w:t>obtenir la même valeur qu</w:t>
      </w:r>
      <w:r w:rsidR="00324C7C" w:rsidRPr="006D3E70">
        <w:rPr>
          <w:lang w:val="fr-FR"/>
        </w:rPr>
        <w:t>'</w:t>
      </w:r>
      <w:r w:rsidRPr="006D3E70">
        <w:rPr>
          <w:lang w:val="fr-FR"/>
        </w:rPr>
        <w:t>avec l</w:t>
      </w:r>
      <w:r w:rsidR="00324C7C" w:rsidRPr="006D3E70">
        <w:rPr>
          <w:lang w:val="fr-FR"/>
        </w:rPr>
        <w:t>'</w:t>
      </w:r>
      <w:r w:rsidRPr="006D3E70">
        <w:rPr>
          <w:lang w:val="fr-FR"/>
        </w:rPr>
        <w:t>équipement sous test. La puissance délivrée par ce générateur est alors égale à la puissance du rayonnement dans le domaine des rayonnements non essentiels.</w:t>
      </w:r>
    </w:p>
    <w:p w14:paraId="5638048D" w14:textId="4713E31F" w:rsidR="00532249" w:rsidRPr="006D3E70" w:rsidRDefault="00532249" w:rsidP="00532249">
      <w:pPr>
        <w:pStyle w:val="Heading3"/>
        <w:rPr>
          <w:lang w:val="fr-FR"/>
        </w:rPr>
      </w:pPr>
      <w:r w:rsidRPr="006D3E70">
        <w:rPr>
          <w:lang w:val="fr-FR"/>
        </w:rPr>
        <w:t>3.2.2</w:t>
      </w:r>
      <w:r w:rsidRPr="006D3E70">
        <w:rPr>
          <w:lang w:val="fr-FR"/>
        </w:rPr>
        <w:tab/>
        <w:t>Méthode 1b – Mesure sans filtre d</w:t>
      </w:r>
      <w:r w:rsidR="00324C7C" w:rsidRPr="006D3E70">
        <w:rPr>
          <w:lang w:val="fr-FR"/>
        </w:rPr>
        <w:t>'</w:t>
      </w:r>
      <w:r w:rsidRPr="006D3E70">
        <w:rPr>
          <w:lang w:val="fr-FR"/>
        </w:rPr>
        <w:t>élimination de la fréquence fondamentale</w:t>
      </w:r>
    </w:p>
    <w:p w14:paraId="3E136998" w14:textId="6178A73B" w:rsidR="00532249" w:rsidRPr="006D3E70" w:rsidRDefault="00532249" w:rsidP="00532249">
      <w:pPr>
        <w:rPr>
          <w:lang w:val="fr-FR"/>
        </w:rPr>
      </w:pPr>
      <w:r w:rsidRPr="006D3E70">
        <w:rPr>
          <w:lang w:val="fr-FR"/>
        </w:rPr>
        <w:t>Cette méthode permet de procéder facilement à une mesure lorsqu</w:t>
      </w:r>
      <w:r w:rsidR="00324C7C" w:rsidRPr="006D3E70">
        <w:rPr>
          <w:lang w:val="fr-FR"/>
        </w:rPr>
        <w:t>'</w:t>
      </w:r>
      <w:r w:rsidRPr="006D3E70">
        <w:rPr>
          <w:lang w:val="fr-FR"/>
        </w:rPr>
        <w:t>il n</w:t>
      </w:r>
      <w:r w:rsidR="00324C7C" w:rsidRPr="006D3E70">
        <w:rPr>
          <w:lang w:val="fr-FR"/>
        </w:rPr>
        <w:t>'</w:t>
      </w:r>
      <w:r w:rsidRPr="006D3E70">
        <w:rPr>
          <w:lang w:val="fr-FR"/>
        </w:rPr>
        <w:t>y a pas de filtre d</w:t>
      </w:r>
      <w:r w:rsidR="00324C7C" w:rsidRPr="006D3E70">
        <w:rPr>
          <w:lang w:val="fr-FR"/>
        </w:rPr>
        <w:t>'</w:t>
      </w:r>
      <w:r w:rsidRPr="006D3E70">
        <w:rPr>
          <w:lang w:val="fr-FR"/>
        </w:rPr>
        <w:t>élimination de la fréquence fondamentale. Le schéma synoptique du montage pour la mesure de la puissance des rayonnements dans le domaine des rayonnements non essentiels à la borne d</w:t>
      </w:r>
      <w:r w:rsidR="00324C7C" w:rsidRPr="006D3E70">
        <w:rPr>
          <w:lang w:val="fr-FR"/>
        </w:rPr>
        <w:t>'</w:t>
      </w:r>
      <w:r w:rsidRPr="006D3E70">
        <w:rPr>
          <w:lang w:val="fr-FR"/>
        </w:rPr>
        <w:t>antenne est représenté à la Fig</w:t>
      </w:r>
      <w:r w:rsidR="00693972" w:rsidRPr="006D3E70">
        <w:rPr>
          <w:lang w:val="fr-FR"/>
        </w:rPr>
        <w:t>.</w:t>
      </w:r>
      <w:r w:rsidRPr="006D3E70">
        <w:rPr>
          <w:lang w:val="fr-FR"/>
        </w:rPr>
        <w:t> 1b.</w:t>
      </w:r>
    </w:p>
    <w:p w14:paraId="09C6B3EE" w14:textId="77777777" w:rsidR="00532249" w:rsidRPr="006D3E70" w:rsidRDefault="00532249" w:rsidP="00532249">
      <w:pPr>
        <w:pStyle w:val="FigureNo"/>
        <w:rPr>
          <w:lang w:val="fr-FR"/>
        </w:rPr>
      </w:pPr>
      <w:r w:rsidRPr="006D3E70">
        <w:rPr>
          <w:lang w:val="fr-FR"/>
        </w:rPr>
        <w:lastRenderedPageBreak/>
        <w:t>FIGURE 1</w:t>
      </w:r>
      <w:r w:rsidRPr="006D3E70">
        <w:rPr>
          <w:caps w:val="0"/>
          <w:lang w:val="fr-FR"/>
        </w:rPr>
        <w:t>b</w:t>
      </w:r>
    </w:p>
    <w:p w14:paraId="26F15E6B" w14:textId="56F7BAA0" w:rsidR="00532249" w:rsidRPr="006D3E70" w:rsidRDefault="00532249" w:rsidP="00532249">
      <w:pPr>
        <w:pStyle w:val="Figuretitle"/>
        <w:rPr>
          <w:lang w:val="fr-FR"/>
        </w:rPr>
      </w:pPr>
      <w:r w:rsidRPr="006D3E70">
        <w:rPr>
          <w:lang w:val="fr-FR"/>
        </w:rPr>
        <w:t xml:space="preserve">Méthode 1b: Montage pour la mesure de la puissance des rayonnements </w:t>
      </w:r>
      <w:r w:rsidRPr="006D3E70">
        <w:rPr>
          <w:lang w:val="fr-FR"/>
        </w:rPr>
        <w:br/>
        <w:t>du domaine des rayonnements non essentiels à la borne d</w:t>
      </w:r>
      <w:r w:rsidR="00324C7C" w:rsidRPr="006D3E70">
        <w:rPr>
          <w:lang w:val="fr-FR"/>
        </w:rPr>
        <w:t>'</w:t>
      </w:r>
      <w:r w:rsidRPr="006D3E70">
        <w:rPr>
          <w:lang w:val="fr-FR"/>
        </w:rPr>
        <w:t xml:space="preserve">antenne </w:t>
      </w:r>
      <w:r w:rsidRPr="006D3E70">
        <w:rPr>
          <w:lang w:val="fr-FR"/>
        </w:rPr>
        <w:br/>
        <w:t>sans filtre d</w:t>
      </w:r>
      <w:r w:rsidR="00324C7C" w:rsidRPr="006D3E70">
        <w:rPr>
          <w:lang w:val="fr-FR"/>
        </w:rPr>
        <w:t>'</w:t>
      </w:r>
      <w:r w:rsidRPr="006D3E70">
        <w:rPr>
          <w:lang w:val="fr-FR"/>
        </w:rPr>
        <w:t>élimination de la fréquence fondamentale</w:t>
      </w:r>
    </w:p>
    <w:p w14:paraId="14C0081D" w14:textId="77777777" w:rsidR="00532249" w:rsidRPr="006D3E70" w:rsidRDefault="00532249" w:rsidP="00532249">
      <w:pPr>
        <w:pStyle w:val="Figure"/>
        <w:rPr>
          <w:lang w:val="fr-FR"/>
        </w:rPr>
      </w:pPr>
      <w:r w:rsidRPr="006D3E70">
        <w:rPr>
          <w:lang w:val="fr-FR"/>
        </w:rPr>
        <w:object w:dxaOrig="6283" w:dyaOrig="6257" w14:anchorId="5B4EC851">
          <v:shape id="_x0000_i1028" type="#_x0000_t75" style="width:237.8pt;height:237.8pt" o:ole="">
            <v:imagedata r:id="rId22" o:title=""/>
          </v:shape>
          <o:OLEObject Type="Embed" ProgID="CorelDRAW.Graphic.14" ShapeID="_x0000_i1028" DrawAspect="Content" ObjectID="_1794295333" r:id="rId23"/>
        </w:object>
      </w:r>
    </w:p>
    <w:p w14:paraId="260400D3" w14:textId="77777777" w:rsidR="00532249" w:rsidRPr="006D3E70" w:rsidRDefault="00532249" w:rsidP="00532249">
      <w:pPr>
        <w:pStyle w:val="Heading4"/>
        <w:rPr>
          <w:lang w:val="fr-FR"/>
        </w:rPr>
      </w:pPr>
      <w:r w:rsidRPr="006D3E70">
        <w:rPr>
          <w:lang w:val="fr-FR"/>
        </w:rPr>
        <w:t>3.2.2.1</w:t>
      </w:r>
      <w:r w:rsidRPr="006D3E70">
        <w:rPr>
          <w:lang w:val="fr-FR"/>
        </w:rPr>
        <w:tab/>
        <w:t>Approche directe</w:t>
      </w:r>
    </w:p>
    <w:p w14:paraId="02A072A7" w14:textId="77777777" w:rsidR="00532249" w:rsidRPr="006D3E70" w:rsidRDefault="00532249" w:rsidP="00532249">
      <w:pPr>
        <w:keepNext/>
        <w:keepLines/>
        <w:rPr>
          <w:lang w:val="fr-FR"/>
        </w:rPr>
      </w:pPr>
      <w:r w:rsidRPr="006D3E70">
        <w:rPr>
          <w:lang w:val="fr-FR"/>
        </w:rPr>
        <w:t>Le résultat des mesures peut être obtenu directement selon la méthode suivante:</w:t>
      </w:r>
    </w:p>
    <w:p w14:paraId="605B1588" w14:textId="63FC2C47" w:rsidR="00532249" w:rsidRPr="006D3E70" w:rsidRDefault="00532249" w:rsidP="00532249">
      <w:pPr>
        <w:pStyle w:val="enumlev1"/>
        <w:keepNext/>
        <w:keepLines/>
        <w:rPr>
          <w:lang w:val="fr-FR"/>
        </w:rPr>
      </w:pPr>
      <w:r w:rsidRPr="006D3E70">
        <w:rPr>
          <w:lang w:val="fr-FR"/>
        </w:rPr>
        <w:t>a)</w:t>
      </w:r>
      <w:r w:rsidRPr="006D3E70">
        <w:rPr>
          <w:lang w:val="fr-FR"/>
        </w:rPr>
        <w:tab/>
        <w:t>Mesure du niveau relatif pour le type d</w:t>
      </w:r>
      <w:r w:rsidR="00324C7C" w:rsidRPr="006D3E70">
        <w:rPr>
          <w:lang w:val="fr-FR"/>
        </w:rPr>
        <w:t>'</w:t>
      </w:r>
      <w:r w:rsidRPr="006D3E70">
        <w:rPr>
          <w:lang w:val="fr-FR"/>
        </w:rPr>
        <w:t>équipement de la catégorie A</w:t>
      </w:r>
    </w:p>
    <w:p w14:paraId="2155EA56" w14:textId="725F7A61" w:rsidR="00532249" w:rsidRPr="006D3E70" w:rsidRDefault="00532249" w:rsidP="00532249">
      <w:pPr>
        <w:pStyle w:val="enumlev2"/>
        <w:rPr>
          <w:lang w:val="fr-FR"/>
        </w:rPr>
      </w:pPr>
      <w:r w:rsidRPr="006D3E70">
        <w:rPr>
          <w:lang w:val="fr-FR"/>
        </w:rPr>
        <w:t>Affaiblissement par rapport à la puissance d</w:t>
      </w:r>
      <w:r w:rsidR="00324C7C" w:rsidRPr="006D3E70">
        <w:rPr>
          <w:lang w:val="fr-FR"/>
        </w:rPr>
        <w:t>'</w:t>
      </w:r>
      <w:r w:rsidRPr="006D3E70">
        <w:rPr>
          <w:lang w:val="fr-FR"/>
        </w:rPr>
        <w:t>enveloppe de crête ou moyenne totale = </w:t>
      </w:r>
      <w:r w:rsidRPr="006D3E70">
        <w:rPr>
          <w:i/>
          <w:iCs/>
          <w:lang w:val="fr-FR"/>
        </w:rPr>
        <w:t>B</w:t>
      </w:r>
      <w:r w:rsidRPr="006D3E70">
        <w:rPr>
          <w:lang w:val="fr-FR"/>
        </w:rPr>
        <w:t> </w:t>
      </w:r>
      <w:r w:rsidRPr="006D3E70">
        <w:rPr>
          <w:lang w:val="fr-FR"/>
        </w:rPr>
        <w:sym w:font="Symbol" w:char="F02D"/>
      </w:r>
      <w:r w:rsidRPr="006D3E70">
        <w:rPr>
          <w:lang w:val="fr-FR"/>
        </w:rPr>
        <w:t> </w:t>
      </w:r>
      <w:r w:rsidRPr="006D3E70">
        <w:rPr>
          <w:i/>
          <w:iCs/>
          <w:lang w:val="fr-FR"/>
        </w:rPr>
        <w:t>D</w:t>
      </w:r>
    </w:p>
    <w:p w14:paraId="780BAD3F" w14:textId="77777777" w:rsidR="00532249" w:rsidRPr="006D3E70" w:rsidRDefault="00532249" w:rsidP="00532249">
      <w:pPr>
        <w:pStyle w:val="enumlev2"/>
        <w:rPr>
          <w:lang w:val="fr-FR"/>
        </w:rPr>
      </w:pPr>
      <w:r w:rsidRPr="006D3E70">
        <w:rPr>
          <w:lang w:val="fr-FR"/>
        </w:rPr>
        <w:t>où:</w:t>
      </w:r>
    </w:p>
    <w:p w14:paraId="73023914" w14:textId="053FA007" w:rsidR="00532249" w:rsidRPr="006D3E70" w:rsidRDefault="00532249" w:rsidP="00532249">
      <w:pPr>
        <w:pStyle w:val="enumlev2"/>
        <w:rPr>
          <w:lang w:val="fr-FR"/>
        </w:rPr>
      </w:pPr>
      <w:r w:rsidRPr="006D3E70">
        <w:rPr>
          <w:i/>
          <w:iCs/>
          <w:lang w:val="fr-FR"/>
        </w:rPr>
        <w:t>B</w:t>
      </w:r>
      <w:r w:rsidRPr="006D3E70">
        <w:rPr>
          <w:lang w:val="fr-FR"/>
        </w:rPr>
        <w:t>:</w:t>
      </w:r>
      <w:r w:rsidRPr="006D3E70">
        <w:rPr>
          <w:lang w:val="fr-FR"/>
        </w:rPr>
        <w:tab/>
        <w:t>puissance d</w:t>
      </w:r>
      <w:r w:rsidR="00324C7C" w:rsidRPr="006D3E70">
        <w:rPr>
          <w:lang w:val="fr-FR"/>
        </w:rPr>
        <w:t>'</w:t>
      </w:r>
      <w:r w:rsidRPr="006D3E70">
        <w:rPr>
          <w:lang w:val="fr-FR"/>
        </w:rPr>
        <w:t>enveloppe de crête ou moyenne de l</w:t>
      </w:r>
      <w:r w:rsidR="00324C7C" w:rsidRPr="006D3E70">
        <w:rPr>
          <w:lang w:val="fr-FR"/>
        </w:rPr>
        <w:t>'</w:t>
      </w:r>
      <w:r w:rsidRPr="006D3E70">
        <w:rPr>
          <w:lang w:val="fr-FR"/>
        </w:rPr>
        <w:t>émission fondamentale relevée sur le récepteur de mesure</w:t>
      </w:r>
    </w:p>
    <w:p w14:paraId="3754A363" w14:textId="77777777" w:rsidR="00532249" w:rsidRPr="006D3E70" w:rsidRDefault="00532249" w:rsidP="00532249">
      <w:pPr>
        <w:pStyle w:val="enumlev2"/>
        <w:rPr>
          <w:lang w:val="fr-FR"/>
        </w:rPr>
      </w:pPr>
      <w:r w:rsidRPr="006D3E70">
        <w:rPr>
          <w:i/>
          <w:iCs/>
          <w:lang w:val="fr-FR"/>
        </w:rPr>
        <w:t>D</w:t>
      </w:r>
      <w:r w:rsidRPr="006D3E70">
        <w:rPr>
          <w:lang w:val="fr-FR"/>
        </w:rPr>
        <w:t>:</w:t>
      </w:r>
      <w:r w:rsidRPr="006D3E70">
        <w:rPr>
          <w:lang w:val="fr-FR"/>
        </w:rPr>
        <w:tab/>
        <w:t>puissance maximale du rayonnement dans le domaine des rayonnements non essentiels relevée sur le récepteur de mesure; la valeur de (</w:t>
      </w:r>
      <w:r w:rsidRPr="006D3E70">
        <w:rPr>
          <w:i/>
          <w:iCs/>
          <w:lang w:val="fr-FR"/>
        </w:rPr>
        <w:t>B</w:t>
      </w:r>
      <w:r w:rsidRPr="006D3E70">
        <w:rPr>
          <w:lang w:val="fr-FR"/>
        </w:rPr>
        <w:t> </w:t>
      </w:r>
      <w:r w:rsidRPr="006D3E70">
        <w:rPr>
          <w:lang w:val="fr-FR"/>
        </w:rPr>
        <w:sym w:font="Symbol" w:char="F02D"/>
      </w:r>
      <w:r w:rsidRPr="006D3E70">
        <w:rPr>
          <w:lang w:val="fr-FR"/>
        </w:rPr>
        <w:t> </w:t>
      </w:r>
      <w:r w:rsidRPr="006D3E70">
        <w:rPr>
          <w:i/>
          <w:iCs/>
          <w:lang w:val="fr-FR"/>
        </w:rPr>
        <w:t>D</w:t>
      </w:r>
      <w:r w:rsidRPr="006D3E70">
        <w:rPr>
          <w:lang w:val="fr-FR"/>
        </w:rPr>
        <w:t>) peut être directement comparée aux limites relatives pour la catégorie A</w:t>
      </w:r>
    </w:p>
    <w:p w14:paraId="450CCED4" w14:textId="740AF5AE" w:rsidR="00532249" w:rsidRPr="006D3E70" w:rsidRDefault="00532249" w:rsidP="00532249">
      <w:pPr>
        <w:pStyle w:val="enumlev1"/>
        <w:rPr>
          <w:lang w:val="fr-FR"/>
        </w:rPr>
      </w:pPr>
      <w:r w:rsidRPr="006D3E70">
        <w:rPr>
          <w:lang w:val="fr-FR"/>
        </w:rPr>
        <w:t>b)</w:t>
      </w:r>
      <w:r w:rsidRPr="006D3E70">
        <w:rPr>
          <w:lang w:val="fr-FR"/>
        </w:rPr>
        <w:tab/>
        <w:t>Mesure du niveau absolu pour les types d</w:t>
      </w:r>
      <w:r w:rsidR="00324C7C" w:rsidRPr="006D3E70">
        <w:rPr>
          <w:lang w:val="fr-FR"/>
        </w:rPr>
        <w:t>'</w:t>
      </w:r>
      <w:r w:rsidRPr="006D3E70">
        <w:rPr>
          <w:lang w:val="fr-FR"/>
        </w:rPr>
        <w:t>équipement de la catégorie A ou B</w:t>
      </w:r>
    </w:p>
    <w:p w14:paraId="176767E5" w14:textId="77777777" w:rsidR="00532249" w:rsidRPr="006D3E70" w:rsidRDefault="00532249" w:rsidP="00532249">
      <w:pPr>
        <w:pStyle w:val="enumlev2"/>
        <w:rPr>
          <w:lang w:val="fr-FR"/>
        </w:rPr>
      </w:pPr>
      <w:r w:rsidRPr="006D3E70">
        <w:rPr>
          <w:lang w:val="fr-FR"/>
        </w:rPr>
        <w:t>Puissance des rayonnements dans le domaine des rayonnements non essentiels = </w:t>
      </w:r>
      <w:r w:rsidRPr="006D3E70">
        <w:rPr>
          <w:i/>
          <w:iCs/>
          <w:lang w:val="fr-FR"/>
        </w:rPr>
        <w:t>D</w:t>
      </w:r>
      <w:r w:rsidRPr="006D3E70">
        <w:rPr>
          <w:lang w:val="fr-FR"/>
        </w:rPr>
        <w:t> + </w:t>
      </w:r>
      <w:r w:rsidRPr="006D3E70">
        <w:rPr>
          <w:i/>
          <w:iCs/>
          <w:lang w:val="fr-FR"/>
        </w:rPr>
        <w:t>C</w:t>
      </w:r>
    </w:p>
    <w:p w14:paraId="75097D9A" w14:textId="77777777" w:rsidR="00532249" w:rsidRPr="006D3E70" w:rsidRDefault="00532249" w:rsidP="00532249">
      <w:pPr>
        <w:pStyle w:val="enumlev2"/>
        <w:rPr>
          <w:lang w:val="fr-FR"/>
        </w:rPr>
      </w:pPr>
      <w:r w:rsidRPr="006D3E70">
        <w:rPr>
          <w:lang w:val="fr-FR"/>
        </w:rPr>
        <w:t>où:</w:t>
      </w:r>
    </w:p>
    <w:p w14:paraId="08246CBE" w14:textId="77777777" w:rsidR="00532249" w:rsidRPr="006D3E70" w:rsidRDefault="00532249" w:rsidP="00532249">
      <w:pPr>
        <w:pStyle w:val="enumlev2"/>
        <w:rPr>
          <w:lang w:val="fr-FR"/>
        </w:rPr>
      </w:pPr>
      <w:r w:rsidRPr="006D3E70">
        <w:rPr>
          <w:i/>
          <w:iCs/>
          <w:lang w:val="fr-FR"/>
        </w:rPr>
        <w:t>C</w:t>
      </w:r>
      <w:r w:rsidRPr="006D3E70">
        <w:rPr>
          <w:lang w:val="fr-FR"/>
        </w:rPr>
        <w:t>:</w:t>
      </w:r>
      <w:r w:rsidRPr="006D3E70">
        <w:rPr>
          <w:lang w:val="fr-FR"/>
        </w:rPr>
        <w:tab/>
        <w:t>facteur de couplage du dispositif de couplage à la fréquence du rayonnement dans le domaine des rayonnements non essentiels.</w:t>
      </w:r>
    </w:p>
    <w:p w14:paraId="786C68CC" w14:textId="77777777" w:rsidR="00532249" w:rsidRPr="006D3E70" w:rsidRDefault="00532249" w:rsidP="00532249">
      <w:pPr>
        <w:pStyle w:val="enumlev2"/>
        <w:rPr>
          <w:lang w:val="fr-FR"/>
        </w:rPr>
      </w:pPr>
      <w:r w:rsidRPr="006D3E70">
        <w:rPr>
          <w:i/>
          <w:iCs/>
          <w:lang w:val="fr-FR"/>
        </w:rPr>
        <w:t>D</w:t>
      </w:r>
      <w:r w:rsidRPr="006D3E70">
        <w:rPr>
          <w:lang w:val="fr-FR"/>
        </w:rPr>
        <w:t>:</w:t>
      </w:r>
      <w:r w:rsidRPr="006D3E70">
        <w:rPr>
          <w:lang w:val="fr-FR"/>
        </w:rPr>
        <w:tab/>
        <w:t>puissance maximale du rayonnement dans le domaine des rayonnements non essentiels relevée sur le récepteur de mesure.</w:t>
      </w:r>
    </w:p>
    <w:p w14:paraId="71FD47A7" w14:textId="77777777" w:rsidR="00532249" w:rsidRPr="006D3E70" w:rsidRDefault="00532249" w:rsidP="00532249">
      <w:pPr>
        <w:pStyle w:val="enumlev2"/>
        <w:rPr>
          <w:lang w:val="fr-FR"/>
        </w:rPr>
      </w:pPr>
      <w:r w:rsidRPr="006D3E70">
        <w:rPr>
          <w:lang w:val="fr-FR"/>
        </w:rPr>
        <w:tab/>
        <w:t>La valeur de (</w:t>
      </w:r>
      <w:r w:rsidRPr="006D3E70">
        <w:rPr>
          <w:i/>
          <w:iCs/>
          <w:lang w:val="fr-FR"/>
        </w:rPr>
        <w:t>D</w:t>
      </w:r>
      <w:r w:rsidRPr="006D3E70">
        <w:rPr>
          <w:lang w:val="fr-FR"/>
        </w:rPr>
        <w:t> + </w:t>
      </w:r>
      <w:r w:rsidRPr="006D3E70">
        <w:rPr>
          <w:i/>
          <w:iCs/>
          <w:lang w:val="fr-FR"/>
        </w:rPr>
        <w:t>C</w:t>
      </w:r>
      <w:r w:rsidRPr="006D3E70">
        <w:rPr>
          <w:lang w:val="fr-FR"/>
        </w:rPr>
        <w:t>) peut être directement comparée aux valeurs absolues pour les catégories A et B.</w:t>
      </w:r>
    </w:p>
    <w:p w14:paraId="1CB2C117" w14:textId="77777777" w:rsidR="00532249" w:rsidRPr="006D3E70" w:rsidRDefault="00532249" w:rsidP="00532249">
      <w:pPr>
        <w:pStyle w:val="Heading4"/>
        <w:rPr>
          <w:lang w:val="fr-FR"/>
        </w:rPr>
      </w:pPr>
      <w:r w:rsidRPr="006D3E70">
        <w:rPr>
          <w:lang w:val="fr-FR"/>
        </w:rPr>
        <w:t>3.2.2.2</w:t>
      </w:r>
      <w:r w:rsidRPr="006D3E70">
        <w:rPr>
          <w:lang w:val="fr-FR"/>
        </w:rPr>
        <w:tab/>
        <w:t>Approche par substitution</w:t>
      </w:r>
    </w:p>
    <w:p w14:paraId="10A646BB" w14:textId="4300BF3D" w:rsidR="00532249" w:rsidRPr="006D3E70" w:rsidRDefault="00532249" w:rsidP="00532249">
      <w:pPr>
        <w:rPr>
          <w:lang w:val="fr-FR"/>
        </w:rPr>
      </w:pPr>
      <w:r w:rsidRPr="006D3E70">
        <w:rPr>
          <w:lang w:val="fr-FR"/>
        </w:rPr>
        <w:t>La Méthode 1b peut aussi utiliser l</w:t>
      </w:r>
      <w:r w:rsidR="00324C7C" w:rsidRPr="006D3E70">
        <w:rPr>
          <w:lang w:val="fr-FR"/>
        </w:rPr>
        <w:t>'</w:t>
      </w:r>
      <w:r w:rsidRPr="006D3E70">
        <w:rPr>
          <w:lang w:val="fr-FR"/>
        </w:rPr>
        <w:t>approche par substitution décrite au § 3.2.1.2 pour les mesures des niveaux absolus.</w:t>
      </w:r>
    </w:p>
    <w:p w14:paraId="55F43053" w14:textId="77777777" w:rsidR="00532249" w:rsidRPr="006D3E70" w:rsidRDefault="00532249" w:rsidP="00532249">
      <w:pPr>
        <w:pStyle w:val="Heading2"/>
        <w:rPr>
          <w:rFonts w:eastAsia="Arial Unicode MS"/>
          <w:lang w:val="fr-FR"/>
        </w:rPr>
      </w:pPr>
      <w:r w:rsidRPr="006D3E70">
        <w:rPr>
          <w:lang w:val="fr-FR"/>
        </w:rPr>
        <w:lastRenderedPageBreak/>
        <w:t>3.3</w:t>
      </w:r>
      <w:r w:rsidRPr="006D3E70">
        <w:rPr>
          <w:lang w:val="fr-FR"/>
        </w:rPr>
        <w:tab/>
        <w:t>Méthode 2 – Mesure de la p.i.r.e. des rayonnements dans le domaine des rayonnements non essentiels</w:t>
      </w:r>
    </w:p>
    <w:p w14:paraId="13EEC96E" w14:textId="30FA259F" w:rsidR="00532249" w:rsidRPr="006D3E70" w:rsidRDefault="00532249" w:rsidP="00532249">
      <w:pPr>
        <w:rPr>
          <w:lang w:val="fr-FR"/>
        </w:rPr>
      </w:pPr>
      <w:r w:rsidRPr="006D3E70">
        <w:rPr>
          <w:lang w:val="fr-FR"/>
        </w:rPr>
        <w:t>Le schéma synoptique du montage pour la mesure de la p.i.r.e. des rayonnements dans le domaine des rayonnements non essentiels est représenté à la Fig</w:t>
      </w:r>
      <w:r w:rsidR="00693972" w:rsidRPr="006D3E70">
        <w:rPr>
          <w:lang w:val="fr-FR"/>
        </w:rPr>
        <w:t>.</w:t>
      </w:r>
      <w:r w:rsidRPr="006D3E70">
        <w:rPr>
          <w:lang w:val="fr-FR"/>
        </w:rPr>
        <w:t> 2.</w:t>
      </w:r>
    </w:p>
    <w:p w14:paraId="4AB23C4E" w14:textId="21D50090" w:rsidR="00532249" w:rsidRPr="006D3E70" w:rsidRDefault="00532249" w:rsidP="00532249">
      <w:pPr>
        <w:rPr>
          <w:lang w:val="fr-FR"/>
        </w:rPr>
      </w:pPr>
      <w:r w:rsidRPr="006D3E70">
        <w:rPr>
          <w:lang w:val="fr-FR"/>
        </w:rPr>
        <w:t>Les mesures doivent être effectuées en champ lointain, ce qui est souvent difficile aux très basses fréquences ou pour certaines combinaisons de fréquences et de tailles d</w:t>
      </w:r>
      <w:r w:rsidR="00324C7C" w:rsidRPr="006D3E70">
        <w:rPr>
          <w:lang w:val="fr-FR"/>
        </w:rPr>
        <w:t>'</w:t>
      </w:r>
      <w:r w:rsidRPr="006D3E70">
        <w:rPr>
          <w:lang w:val="fr-FR"/>
        </w:rPr>
        <w:t>antenne (par exemple: à 14 GHz et avec une parabole de 1,2 m, il faut une distance d</w:t>
      </w:r>
      <w:r w:rsidR="00324C7C" w:rsidRPr="006D3E70">
        <w:rPr>
          <w:lang w:val="fr-FR"/>
        </w:rPr>
        <w:t>'</w:t>
      </w:r>
      <w:r w:rsidRPr="006D3E70">
        <w:rPr>
          <w:lang w:val="fr-FR"/>
        </w:rPr>
        <w:t>environ 140 m pour être en champ lointain). Les mesures de la p.i.r.e. des rayonnements dans le domaine des rayonnements non essentiels dans une direction quelconque, sous plusieurs polarisations et pour toutes les fréquences peuvent être vraiment très longues à effectuer, bien que des techniques permettant de vérifier la conformité peuvent réduire la charge de travail. Pour l</w:t>
      </w:r>
      <w:r w:rsidR="00324C7C" w:rsidRPr="006D3E70">
        <w:rPr>
          <w:lang w:val="fr-FR"/>
        </w:rPr>
        <w:t>'</w:t>
      </w:r>
      <w:r w:rsidRPr="006D3E70">
        <w:rPr>
          <w:lang w:val="fr-FR"/>
        </w:rPr>
        <w:t>application de cette méthode à la mesure sur des radars, on s</w:t>
      </w:r>
      <w:r w:rsidR="00324C7C" w:rsidRPr="006D3E70">
        <w:rPr>
          <w:lang w:val="fr-FR"/>
        </w:rPr>
        <w:t>'</w:t>
      </w:r>
      <w:r w:rsidRPr="006D3E70">
        <w:rPr>
          <w:lang w:val="fr-FR"/>
        </w:rPr>
        <w:t>inspirera de la Recommandation UIT-R M.1177.</w:t>
      </w:r>
    </w:p>
    <w:p w14:paraId="32C050C8" w14:textId="77777777" w:rsidR="00532249" w:rsidRPr="006D3E70" w:rsidRDefault="00532249" w:rsidP="00532249">
      <w:pPr>
        <w:pStyle w:val="FigureNo"/>
        <w:rPr>
          <w:lang w:val="fr-FR"/>
        </w:rPr>
      </w:pPr>
      <w:r w:rsidRPr="006D3E70">
        <w:rPr>
          <w:lang w:val="fr-FR"/>
        </w:rPr>
        <w:t>FIGURE 2</w:t>
      </w:r>
    </w:p>
    <w:p w14:paraId="16E7D755" w14:textId="77777777" w:rsidR="00532249" w:rsidRPr="006D3E70" w:rsidRDefault="00532249" w:rsidP="00532249">
      <w:pPr>
        <w:pStyle w:val="Figuretitle"/>
        <w:rPr>
          <w:lang w:val="fr-FR"/>
        </w:rPr>
      </w:pPr>
      <w:r w:rsidRPr="006D3E70">
        <w:rPr>
          <w:lang w:val="fr-FR"/>
        </w:rPr>
        <w:t>Montage pour la mesure de la p.i.r.e. des rayonnements non essentiels</w:t>
      </w:r>
    </w:p>
    <w:p w14:paraId="573CA714" w14:textId="77777777" w:rsidR="00532249" w:rsidRPr="006D3E70" w:rsidRDefault="00532249" w:rsidP="00532249">
      <w:pPr>
        <w:pStyle w:val="Figure"/>
        <w:rPr>
          <w:lang w:val="fr-FR"/>
        </w:rPr>
      </w:pPr>
      <w:r w:rsidRPr="006D3E70">
        <w:rPr>
          <w:lang w:val="fr-FR"/>
        </w:rPr>
        <w:object w:dxaOrig="8660" w:dyaOrig="5115" w14:anchorId="7867C362">
          <v:shape id="_x0000_i1029" type="#_x0000_t75" style="width:324pt;height:194.2pt" o:ole="">
            <v:imagedata r:id="rId24" o:title=""/>
          </v:shape>
          <o:OLEObject Type="Embed" ProgID="CorelDRAW.Graphic.14" ShapeID="_x0000_i1029" DrawAspect="Content" ObjectID="_1794295334" r:id="rId25"/>
        </w:object>
      </w:r>
    </w:p>
    <w:p w14:paraId="4CE283E1" w14:textId="77777777" w:rsidR="00532249" w:rsidRPr="006D3E70" w:rsidRDefault="00532249" w:rsidP="00532249">
      <w:pPr>
        <w:pStyle w:val="Heading3"/>
        <w:rPr>
          <w:rFonts w:eastAsia="Arial Unicode MS"/>
          <w:lang w:val="fr-FR"/>
        </w:rPr>
      </w:pPr>
      <w:r w:rsidRPr="006D3E70">
        <w:rPr>
          <w:lang w:val="fr-FR"/>
        </w:rPr>
        <w:t>3.3.1</w:t>
      </w:r>
      <w:r w:rsidRPr="006D3E70">
        <w:rPr>
          <w:lang w:val="fr-FR"/>
        </w:rPr>
        <w:tab/>
        <w:t>Site de mesure pour les mesures des rayonnements</w:t>
      </w:r>
    </w:p>
    <w:p w14:paraId="28EA31DF" w14:textId="40D95498" w:rsidR="00532249" w:rsidRPr="006D3E70" w:rsidRDefault="00532249" w:rsidP="00532249">
      <w:pPr>
        <w:rPr>
          <w:lang w:val="fr-FR"/>
        </w:rPr>
      </w:pPr>
      <w:r w:rsidRPr="006D3E70">
        <w:rPr>
          <w:lang w:val="fr-FR"/>
        </w:rPr>
        <w:t>Pour les fréquences comprises entre 30 et 1</w:t>
      </w:r>
      <w:r w:rsidRPr="006D3E70">
        <w:rPr>
          <w:rFonts w:ascii="Tms Rmn" w:hAnsi="Tms Rmn"/>
          <w:sz w:val="12"/>
          <w:lang w:val="fr-FR"/>
        </w:rPr>
        <w:t> </w:t>
      </w:r>
      <w:r w:rsidRPr="006D3E70">
        <w:rPr>
          <w:lang w:val="fr-FR"/>
        </w:rPr>
        <w:t>000 MHz, les sites de mesure devront être validés par des mesures d</w:t>
      </w:r>
      <w:r w:rsidR="00324C7C" w:rsidRPr="006D3E70">
        <w:rPr>
          <w:lang w:val="fr-FR"/>
        </w:rPr>
        <w:t>'</w:t>
      </w:r>
      <w:r w:rsidRPr="006D3E70">
        <w:rPr>
          <w:lang w:val="fr-FR"/>
        </w:rPr>
        <w:t xml:space="preserve">atténuation du site à la fois pour les champs de polarisation horizontaux et verticaux. Un site de mesure sera considéré comme acceptable si les affaiblissements horizontaux et verticaux mesurés du site se trouvent dans les limites de </w:t>
      </w:r>
      <w:r w:rsidRPr="006D3E70">
        <w:rPr>
          <w:lang w:val="fr-FR"/>
        </w:rPr>
        <w:sym w:font="Symbol" w:char="F0B1"/>
      </w:r>
      <w:r w:rsidRPr="006D3E70">
        <w:rPr>
          <w:lang w:val="fr-FR"/>
        </w:rPr>
        <w:t>4 dB de l</w:t>
      </w:r>
      <w:r w:rsidR="00324C7C" w:rsidRPr="006D3E70">
        <w:rPr>
          <w:lang w:val="fr-FR"/>
        </w:rPr>
        <w:t>'</w:t>
      </w:r>
      <w:r w:rsidRPr="006D3E70">
        <w:rPr>
          <w:lang w:val="fr-FR"/>
        </w:rPr>
        <w:t>affaiblissement théorique de site.</w:t>
      </w:r>
    </w:p>
    <w:p w14:paraId="3B87F767" w14:textId="5582AD2E" w:rsidR="00532249" w:rsidRPr="006D3E70" w:rsidRDefault="00532249" w:rsidP="00532249">
      <w:pPr>
        <w:rPr>
          <w:lang w:val="fr-FR"/>
        </w:rPr>
      </w:pPr>
      <w:r w:rsidRPr="006D3E70">
        <w:rPr>
          <w:lang w:val="fr-FR"/>
        </w:rPr>
        <w:t>Le site de mesure doit être plat et ne pas comporter de câbles aériens et de structures réfléchissantes proches; il doit être suffisamment vaste pour permettre l</w:t>
      </w:r>
      <w:r w:rsidR="00324C7C" w:rsidRPr="006D3E70">
        <w:rPr>
          <w:lang w:val="fr-FR"/>
        </w:rPr>
        <w:t>'</w:t>
      </w:r>
      <w:r w:rsidRPr="006D3E70">
        <w:rPr>
          <w:lang w:val="fr-FR"/>
        </w:rPr>
        <w:t>installation de l</w:t>
      </w:r>
      <w:r w:rsidR="00324C7C" w:rsidRPr="006D3E70">
        <w:rPr>
          <w:lang w:val="fr-FR"/>
        </w:rPr>
        <w:t>'</w:t>
      </w:r>
      <w:r w:rsidRPr="006D3E70">
        <w:rPr>
          <w:lang w:val="fr-FR"/>
        </w:rPr>
        <w:t>antenne à la distance spécifiée et avoir un espacement adéquat entre l</w:t>
      </w:r>
      <w:r w:rsidR="00324C7C" w:rsidRPr="006D3E70">
        <w:rPr>
          <w:lang w:val="fr-FR"/>
        </w:rPr>
        <w:t>'</w:t>
      </w:r>
      <w:r w:rsidRPr="006D3E70">
        <w:rPr>
          <w:lang w:val="fr-FR"/>
        </w:rPr>
        <w:t>antenne, l</w:t>
      </w:r>
      <w:r w:rsidR="00324C7C" w:rsidRPr="006D3E70">
        <w:rPr>
          <w:lang w:val="fr-FR"/>
        </w:rPr>
        <w:t>'</w:t>
      </w:r>
      <w:r w:rsidRPr="006D3E70">
        <w:rPr>
          <w:lang w:val="fr-FR"/>
        </w:rPr>
        <w:t>équipement sous test et les structures réfléchissantes. Les structures dont le matériau de construction est essentiellement conducteur sont dites réfléchissantes. Le site de mesure doit être équipé d</w:t>
      </w:r>
      <w:r w:rsidR="00324C7C" w:rsidRPr="006D3E70">
        <w:rPr>
          <w:lang w:val="fr-FR"/>
        </w:rPr>
        <w:t>'</w:t>
      </w:r>
      <w:r w:rsidRPr="006D3E70">
        <w:rPr>
          <w:lang w:val="fr-FR"/>
        </w:rPr>
        <w:t>un plan de sol métallique horizontal. Le site de mesure devra être conforme aux conditions d</w:t>
      </w:r>
      <w:r w:rsidR="00324C7C" w:rsidRPr="006D3E70">
        <w:rPr>
          <w:lang w:val="fr-FR"/>
        </w:rPr>
        <w:t>'</w:t>
      </w:r>
      <w:r w:rsidRPr="006D3E70">
        <w:rPr>
          <w:lang w:val="fr-FR"/>
        </w:rPr>
        <w:t>affaiblissement requises du site spécifiées dans la Publication N° 16-1-4 de la CEI/CISPR pour les sites de mesure ouverts.</w:t>
      </w:r>
    </w:p>
    <w:p w14:paraId="6A2AF784" w14:textId="11DA134B" w:rsidR="00532249" w:rsidRPr="006D3E70" w:rsidRDefault="00532249" w:rsidP="00532249">
      <w:pPr>
        <w:rPr>
          <w:lang w:val="fr-FR"/>
        </w:rPr>
      </w:pPr>
      <w:r w:rsidRPr="006D3E70">
        <w:rPr>
          <w:lang w:val="fr-FR"/>
        </w:rPr>
        <w:t>Les mesures pourront également être effectuées dans une salle semi anéchoïde. Dans ce cas, les murs et le plafond de la salle blindée sont recouverts de matériaux absorbants de sorte qu</w:t>
      </w:r>
      <w:r w:rsidR="00324C7C" w:rsidRPr="006D3E70">
        <w:rPr>
          <w:lang w:val="fr-FR"/>
        </w:rPr>
        <w:t>'</w:t>
      </w:r>
      <w:r w:rsidRPr="006D3E70">
        <w:rPr>
          <w:lang w:val="fr-FR"/>
        </w:rPr>
        <w:t>il y a peu de réflexion des ondes. Il importera d</w:t>
      </w:r>
      <w:r w:rsidR="00324C7C" w:rsidRPr="006D3E70">
        <w:rPr>
          <w:lang w:val="fr-FR"/>
        </w:rPr>
        <w:t>'</w:t>
      </w:r>
      <w:r w:rsidRPr="006D3E70">
        <w:rPr>
          <w:lang w:val="fr-FR"/>
        </w:rPr>
        <w:t>effectuer des mesures de validation de ces chambres anéchoïdes afin de s</w:t>
      </w:r>
      <w:r w:rsidR="00324C7C" w:rsidRPr="006D3E70">
        <w:rPr>
          <w:lang w:val="fr-FR"/>
        </w:rPr>
        <w:t>'</w:t>
      </w:r>
      <w:r w:rsidRPr="006D3E70">
        <w:rPr>
          <w:lang w:val="fr-FR"/>
        </w:rPr>
        <w:t>assurer que les mesures d</w:t>
      </w:r>
      <w:r w:rsidR="00324C7C" w:rsidRPr="006D3E70">
        <w:rPr>
          <w:lang w:val="fr-FR"/>
        </w:rPr>
        <w:t>'</w:t>
      </w:r>
      <w:r w:rsidRPr="006D3E70">
        <w:rPr>
          <w:lang w:val="fr-FR"/>
        </w:rPr>
        <w:t xml:space="preserve">affaiblissement du site peuvent être réalisées dans les limites du critère à </w:t>
      </w:r>
      <w:r w:rsidRPr="006D3E70">
        <w:rPr>
          <w:lang w:val="fr-FR"/>
        </w:rPr>
        <w:sym w:font="Symbol" w:char="F0B1"/>
      </w:r>
      <w:r w:rsidRPr="006D3E70">
        <w:rPr>
          <w:lang w:val="fr-FR"/>
        </w:rPr>
        <w:t>4 dB (voir également la Publication N° 16-1-4 de la CEI/CISPR).</w:t>
      </w:r>
    </w:p>
    <w:p w14:paraId="0D667FA3" w14:textId="26261CEB" w:rsidR="00532249" w:rsidRPr="006D3E70" w:rsidRDefault="00532249" w:rsidP="00532249">
      <w:pPr>
        <w:rPr>
          <w:lang w:val="fr-FR"/>
        </w:rPr>
      </w:pPr>
      <w:r w:rsidRPr="006D3E70">
        <w:rPr>
          <w:lang w:val="fr-FR"/>
        </w:rPr>
        <w:lastRenderedPageBreak/>
        <w:t>Pour les sites de mesure ouverts et les pièces semi anéchoïdes, le plan de sol conducteur devra s</w:t>
      </w:r>
      <w:r w:rsidR="00324C7C" w:rsidRPr="006D3E70">
        <w:rPr>
          <w:lang w:val="fr-FR"/>
        </w:rPr>
        <w:t>'</w:t>
      </w:r>
      <w:r w:rsidRPr="006D3E70">
        <w:rPr>
          <w:lang w:val="fr-FR"/>
        </w:rPr>
        <w:t>étendre au moins à 1 m au-delà de la périphérie de l</w:t>
      </w:r>
      <w:r w:rsidR="00324C7C" w:rsidRPr="006D3E70">
        <w:rPr>
          <w:lang w:val="fr-FR"/>
        </w:rPr>
        <w:t>'</w:t>
      </w:r>
      <w:r w:rsidRPr="006D3E70">
        <w:rPr>
          <w:lang w:val="fr-FR"/>
        </w:rPr>
        <w:t>équipement sous test et de la plus grande antenne de mesure et couvrir la zone entière comprise entre l</w:t>
      </w:r>
      <w:r w:rsidR="00324C7C" w:rsidRPr="006D3E70">
        <w:rPr>
          <w:lang w:val="fr-FR"/>
        </w:rPr>
        <w:t>'</w:t>
      </w:r>
      <w:r w:rsidRPr="006D3E70">
        <w:rPr>
          <w:lang w:val="fr-FR"/>
        </w:rPr>
        <w:t>équipement sous test et l</w:t>
      </w:r>
      <w:r w:rsidR="00324C7C" w:rsidRPr="006D3E70">
        <w:rPr>
          <w:lang w:val="fr-FR"/>
        </w:rPr>
        <w:t>'</w:t>
      </w:r>
      <w:r w:rsidRPr="006D3E70">
        <w:rPr>
          <w:lang w:val="fr-FR"/>
        </w:rPr>
        <w:t>antenne. Il sera en métal sans trous ni intervalles, ses dimensions seront supérieures au dixième de la longueur d</w:t>
      </w:r>
      <w:r w:rsidR="00324C7C" w:rsidRPr="006D3E70">
        <w:rPr>
          <w:lang w:val="fr-FR"/>
        </w:rPr>
        <w:t>'</w:t>
      </w:r>
      <w:r w:rsidRPr="006D3E70">
        <w:rPr>
          <w:lang w:val="fr-FR"/>
        </w:rPr>
        <w:t>onde correspondant à la fréquence de mesure la plus élevée. Un plan de sol de taille plus importante pourra être nécessaire lorsque les conditions en matière d</w:t>
      </w:r>
      <w:r w:rsidR="00324C7C" w:rsidRPr="006D3E70">
        <w:rPr>
          <w:lang w:val="fr-FR"/>
        </w:rPr>
        <w:t>'</w:t>
      </w:r>
      <w:r w:rsidRPr="006D3E70">
        <w:rPr>
          <w:lang w:val="fr-FR"/>
        </w:rPr>
        <w:t>affaiblissement du site de mesure ne sont pas satisfaites. Ces conditions sont également applicables aux chambres semi-anéchoïdes.</w:t>
      </w:r>
    </w:p>
    <w:p w14:paraId="303B4D48" w14:textId="4F932596" w:rsidR="00532249" w:rsidRPr="006D3E70" w:rsidRDefault="00532249" w:rsidP="00532249">
      <w:pPr>
        <w:rPr>
          <w:lang w:val="fr-FR"/>
        </w:rPr>
      </w:pPr>
      <w:r w:rsidRPr="006D3E70">
        <w:rPr>
          <w:lang w:val="fr-FR"/>
        </w:rPr>
        <w:t>On trouve maintenant de nouveaux équipements sur les sites de mesure des rayonnements dans le domaine des rayonnements non essentiels. Il peut s</w:t>
      </w:r>
      <w:r w:rsidR="00324C7C" w:rsidRPr="006D3E70">
        <w:rPr>
          <w:lang w:val="fr-FR"/>
        </w:rPr>
        <w:t>'</w:t>
      </w:r>
      <w:r w:rsidRPr="006D3E70">
        <w:rPr>
          <w:lang w:val="fr-FR"/>
        </w:rPr>
        <w:t xml:space="preserve">agir de diverses chambres telles des chambres totalement anéchoïdes, des chambres à agitateur (SMC, </w:t>
      </w:r>
      <w:r w:rsidRPr="006D3E70">
        <w:rPr>
          <w:i/>
          <w:iCs/>
          <w:lang w:val="fr-FR"/>
        </w:rPr>
        <w:t>stirred mode chambers</w:t>
      </w:r>
      <w:r w:rsidRPr="006D3E70">
        <w:rPr>
          <w:lang w:val="fr-FR"/>
        </w:rPr>
        <w:t>), des systèmes à ondes électromagnétiques transverses (TEM) ou TEM en gigahertz (GTEM). Les chambres à agitateur sont décrites dans la Publication N° 16</w:t>
      </w:r>
      <w:r w:rsidRPr="006D3E70">
        <w:rPr>
          <w:lang w:val="fr-FR"/>
        </w:rPr>
        <w:noBreakHyphen/>
        <w:t>1-4 de la CEI/CISPR. Ces systèmes de mesure relativement nouveaux ne sont pas encore acceptés par tous les organismes de normalisation. Étant donné que la norme CEI 61000-4-20 (TEM) et la norme CEI 61000-4-21 (SMC) ont déjà été publiées, les techniques utilisées avec ces systèmes devraient être réexaminées lors d</w:t>
      </w:r>
      <w:r w:rsidR="00324C7C" w:rsidRPr="006D3E70">
        <w:rPr>
          <w:lang w:val="fr-FR"/>
        </w:rPr>
        <w:t>'</w:t>
      </w:r>
      <w:r w:rsidRPr="006D3E70">
        <w:rPr>
          <w:lang w:val="fr-FR"/>
        </w:rPr>
        <w:t>une prochaine réactualisation de la présente Recommandation, afin d</w:t>
      </w:r>
      <w:r w:rsidR="00324C7C" w:rsidRPr="006D3E70">
        <w:rPr>
          <w:lang w:val="fr-FR"/>
        </w:rPr>
        <w:t>'</w:t>
      </w:r>
      <w:r w:rsidRPr="006D3E70">
        <w:rPr>
          <w:lang w:val="fr-FR"/>
        </w:rPr>
        <w:t>y inclure certains détails relatifs à leur utilisation.</w:t>
      </w:r>
    </w:p>
    <w:p w14:paraId="6E109E6B" w14:textId="77777777" w:rsidR="00532249" w:rsidRPr="006D3E70" w:rsidRDefault="00532249" w:rsidP="00532249">
      <w:pPr>
        <w:pStyle w:val="Heading3"/>
        <w:rPr>
          <w:rFonts w:eastAsia="Arial Unicode MS"/>
          <w:lang w:val="fr-FR"/>
        </w:rPr>
      </w:pPr>
      <w:r w:rsidRPr="006D3E70">
        <w:rPr>
          <w:lang w:val="fr-FR"/>
        </w:rPr>
        <w:t>3.3.2</w:t>
      </w:r>
      <w:r w:rsidRPr="006D3E70">
        <w:rPr>
          <w:lang w:val="fr-FR"/>
        </w:rPr>
        <w:tab/>
        <w:t>Approche directe</w:t>
      </w:r>
    </w:p>
    <w:p w14:paraId="0E9A51DB" w14:textId="6364CCE3" w:rsidR="00532249" w:rsidRPr="006D3E70" w:rsidRDefault="00532249" w:rsidP="00532249">
      <w:pPr>
        <w:rPr>
          <w:lang w:val="fr-FR"/>
        </w:rPr>
      </w:pPr>
      <w:r w:rsidRPr="006D3E70">
        <w:rPr>
          <w:lang w:val="fr-FR"/>
        </w:rPr>
        <w:t>Dans cette approche, il est nécessaire d</w:t>
      </w:r>
      <w:r w:rsidR="00324C7C" w:rsidRPr="006D3E70">
        <w:rPr>
          <w:lang w:val="fr-FR"/>
        </w:rPr>
        <w:t>'</w:t>
      </w:r>
      <w:r w:rsidRPr="006D3E70">
        <w:rPr>
          <w:lang w:val="fr-FR"/>
        </w:rPr>
        <w:t>étalonner tous les composants de mesure individuellement (filtres, câbles) ou d</w:t>
      </w:r>
      <w:r w:rsidR="00324C7C" w:rsidRPr="006D3E70">
        <w:rPr>
          <w:lang w:val="fr-FR"/>
        </w:rPr>
        <w:t>'</w:t>
      </w:r>
      <w:r w:rsidRPr="006D3E70">
        <w:rPr>
          <w:lang w:val="fr-FR"/>
        </w:rPr>
        <w:t>étalonner l</w:t>
      </w:r>
      <w:r w:rsidR="00324C7C" w:rsidRPr="006D3E70">
        <w:rPr>
          <w:lang w:val="fr-FR"/>
        </w:rPr>
        <w:t>'</w:t>
      </w:r>
      <w:r w:rsidRPr="006D3E70">
        <w:rPr>
          <w:lang w:val="fr-FR"/>
        </w:rPr>
        <w:t>ensemble du système de mesure. On se reportera au § 3.2.1 relatif à l</w:t>
      </w:r>
      <w:r w:rsidR="00324C7C" w:rsidRPr="006D3E70">
        <w:rPr>
          <w:lang w:val="fr-FR"/>
        </w:rPr>
        <w:t>'</w:t>
      </w:r>
      <w:r w:rsidRPr="006D3E70">
        <w:rPr>
          <w:lang w:val="fr-FR"/>
        </w:rPr>
        <w:t>approche directe pour la détermination du facteur d</w:t>
      </w:r>
      <w:r w:rsidR="00324C7C" w:rsidRPr="006D3E70">
        <w:rPr>
          <w:lang w:val="fr-FR"/>
        </w:rPr>
        <w:t>'</w:t>
      </w:r>
      <w:r w:rsidRPr="006D3E70">
        <w:rPr>
          <w:lang w:val="fr-FR"/>
        </w:rPr>
        <w:t>étalonnage du système de mesure à la fréquence, </w:t>
      </w:r>
      <w:r w:rsidRPr="006D3E70">
        <w:rPr>
          <w:i/>
          <w:lang w:val="fr-FR"/>
        </w:rPr>
        <w:t>f</w:t>
      </w:r>
      <w:r w:rsidRPr="006D3E70">
        <w:rPr>
          <w:lang w:val="fr-FR"/>
        </w:rPr>
        <w:t>.</w:t>
      </w:r>
    </w:p>
    <w:p w14:paraId="5142F016" w14:textId="65C18BEA" w:rsidR="00532249" w:rsidRPr="006D3E70" w:rsidRDefault="00532249" w:rsidP="00532249">
      <w:pPr>
        <w:rPr>
          <w:lang w:val="fr-FR"/>
        </w:rPr>
      </w:pPr>
      <w:r w:rsidRPr="006D3E70">
        <w:rPr>
          <w:lang w:val="fr-FR"/>
        </w:rPr>
        <w:t xml:space="preserve">La p.i.r.e. des rayonnements, </w:t>
      </w:r>
      <w:r w:rsidRPr="006D3E70">
        <w:rPr>
          <w:i/>
          <w:lang w:val="fr-FR"/>
        </w:rPr>
        <w:t>P</w:t>
      </w:r>
      <w:r w:rsidRPr="006D3E70">
        <w:rPr>
          <w:i/>
          <w:iCs/>
          <w:vertAlign w:val="subscript"/>
          <w:lang w:val="fr-FR"/>
        </w:rPr>
        <w:t>s</w:t>
      </w:r>
      <w:r w:rsidRPr="006D3E70">
        <w:rPr>
          <w:vertAlign w:val="subscript"/>
          <w:lang w:val="fr-FR"/>
        </w:rPr>
        <w:t>,</w:t>
      </w:r>
      <w:r w:rsidRPr="006D3E70">
        <w:rPr>
          <w:i/>
          <w:iCs/>
          <w:vertAlign w:val="subscript"/>
          <w:lang w:val="fr-FR"/>
        </w:rPr>
        <w:t> f</w:t>
      </w:r>
      <w:r w:rsidRPr="006D3E70">
        <w:rPr>
          <w:lang w:val="fr-FR"/>
        </w:rPr>
        <w:t xml:space="preserve">, à la fréquence, </w:t>
      </w:r>
      <w:r w:rsidRPr="006D3E70">
        <w:rPr>
          <w:i/>
          <w:lang w:val="fr-FR"/>
        </w:rPr>
        <w:t>f</w:t>
      </w:r>
      <w:r w:rsidRPr="006D3E70">
        <w:rPr>
          <w:lang w:val="fr-FR"/>
        </w:rPr>
        <w:t>, dans le domaine des rayonnements non essentiels est donnée dans des conditions d</w:t>
      </w:r>
      <w:r w:rsidR="00324C7C" w:rsidRPr="006D3E70">
        <w:rPr>
          <w:lang w:val="fr-FR"/>
        </w:rPr>
        <w:t>'</w:t>
      </w:r>
      <w:r w:rsidRPr="006D3E70">
        <w:rPr>
          <w:lang w:val="fr-FR"/>
        </w:rPr>
        <w:t>espace libre par l</w:t>
      </w:r>
      <w:r w:rsidR="00324C7C" w:rsidRPr="006D3E70">
        <w:rPr>
          <w:lang w:val="fr-FR"/>
        </w:rPr>
        <w:t>'</w:t>
      </w:r>
      <w:r w:rsidRPr="006D3E70">
        <w:rPr>
          <w:lang w:val="fr-FR"/>
        </w:rPr>
        <w:t>équation:</w:t>
      </w:r>
    </w:p>
    <w:p w14:paraId="2724288E" w14:textId="1047A117" w:rsidR="00874853" w:rsidRPr="006D3E70" w:rsidRDefault="00874853" w:rsidP="00874853">
      <w:pPr>
        <w:pStyle w:val="Equation"/>
        <w:rPr>
          <w:lang w:val="fr-FR"/>
        </w:rPr>
      </w:pPr>
      <w:r w:rsidRPr="006D3E70">
        <w:rPr>
          <w:lang w:val="fr-FR"/>
        </w:rPr>
        <w:tab/>
      </w:r>
      <w:r w:rsidRPr="006D3E70">
        <w:rPr>
          <w:lang w:val="fr-FR"/>
        </w:rPr>
        <w:tab/>
      </w:r>
      <m:oMath>
        <m:sSub>
          <m:sSubPr>
            <m:ctrlPr>
              <w:rPr>
                <w:rFonts w:ascii="Cambria Math" w:hAnsi="Cambria Math"/>
                <w:i/>
                <w:lang w:val="fr-FR"/>
              </w:rPr>
            </m:ctrlPr>
          </m:sSubPr>
          <m:e>
            <m:r>
              <w:rPr>
                <w:rFonts w:ascii="Cambria Math" w:hAnsi="Cambria Math"/>
                <w:lang w:val="fr-FR"/>
              </w:rPr>
              <m:t>P</m:t>
            </m:r>
          </m:e>
          <m:sub>
            <m:r>
              <w:rPr>
                <w:rFonts w:ascii="Cambria Math" w:hAnsi="Cambria Math"/>
                <w:lang w:val="fr-FR"/>
              </w:rPr>
              <m:t>s, f</m:t>
            </m:r>
          </m:sub>
        </m:sSub>
        <m:r>
          <w:rPr>
            <w:rFonts w:ascii="Cambria Math" w:hAnsi="Cambria Math"/>
            <w:lang w:val="fr-FR"/>
          </w:rPr>
          <m:t>=</m:t>
        </m:r>
        <m:sSub>
          <m:sSubPr>
            <m:ctrlPr>
              <w:rPr>
                <w:rFonts w:ascii="Cambria Math" w:hAnsi="Cambria Math"/>
                <w:i/>
                <w:lang w:val="fr-FR"/>
              </w:rPr>
            </m:ctrlPr>
          </m:sSubPr>
          <m:e>
            <m:r>
              <w:rPr>
                <w:rFonts w:ascii="Cambria Math" w:hAnsi="Cambria Math"/>
                <w:lang w:val="fr-FR"/>
              </w:rPr>
              <m:t>P</m:t>
            </m:r>
          </m:e>
          <m:sub>
            <m:r>
              <w:rPr>
                <w:rFonts w:ascii="Cambria Math" w:hAnsi="Cambria Math"/>
                <w:lang w:val="fr-FR"/>
              </w:rPr>
              <m:t>r, f</m:t>
            </m:r>
          </m:sub>
        </m:sSub>
        <m:r>
          <w:rPr>
            <w:rFonts w:ascii="Cambria Math" w:hAnsi="Cambria Math"/>
            <w:lang w:val="fr-FR"/>
          </w:rPr>
          <m:t>+</m:t>
        </m:r>
        <m:sSub>
          <m:sSubPr>
            <m:ctrlPr>
              <w:rPr>
                <w:rFonts w:ascii="Cambria Math" w:hAnsi="Cambria Math"/>
                <w:i/>
                <w:lang w:val="fr-FR"/>
              </w:rPr>
            </m:ctrlPr>
          </m:sSubPr>
          <m:e>
            <m:r>
              <w:rPr>
                <w:rFonts w:ascii="Cambria Math" w:hAnsi="Cambria Math"/>
                <w:lang w:val="fr-FR"/>
              </w:rPr>
              <m:t>k</m:t>
            </m:r>
          </m:e>
          <m:sub>
            <m:r>
              <w:rPr>
                <w:rFonts w:ascii="Cambria Math" w:hAnsi="Cambria Math"/>
                <w:lang w:val="fr-FR"/>
              </w:rPr>
              <m:t>ms, f</m:t>
            </m:r>
          </m:sub>
        </m:sSub>
        <m:r>
          <w:rPr>
            <w:rFonts w:ascii="Cambria Math" w:hAnsi="Cambria Math"/>
            <w:lang w:val="fr-FR"/>
          </w:rPr>
          <m:t>-</m:t>
        </m:r>
        <m:sSub>
          <m:sSubPr>
            <m:ctrlPr>
              <w:rPr>
                <w:rFonts w:ascii="Cambria Math" w:hAnsi="Cambria Math"/>
                <w:i/>
                <w:lang w:val="fr-FR"/>
              </w:rPr>
            </m:ctrlPr>
          </m:sSubPr>
          <m:e>
            <m:r>
              <w:rPr>
                <w:rFonts w:ascii="Cambria Math" w:hAnsi="Cambria Math"/>
                <w:lang w:val="fr-FR"/>
              </w:rPr>
              <m:t>G</m:t>
            </m:r>
          </m:e>
          <m:sub>
            <m:r>
              <w:rPr>
                <w:rFonts w:ascii="Cambria Math" w:hAnsi="Cambria Math"/>
                <w:lang w:val="fr-FR"/>
              </w:rPr>
              <m:t>f</m:t>
            </m:r>
          </m:sub>
        </m:sSub>
        <m:r>
          <w:rPr>
            <w:rFonts w:ascii="Cambria Math" w:hAnsi="Cambria Math"/>
            <w:lang w:val="fr-FR"/>
          </w:rPr>
          <m:t>+20</m:t>
        </m:r>
        <m:func>
          <m:funcPr>
            <m:ctrlPr>
              <w:rPr>
                <w:rFonts w:ascii="Cambria Math" w:hAnsi="Cambria Math"/>
                <w:i/>
                <w:lang w:val="fr-FR"/>
              </w:rPr>
            </m:ctrlPr>
          </m:funcPr>
          <m:fName>
            <m:r>
              <m:rPr>
                <m:sty m:val="p"/>
              </m:rPr>
              <w:rPr>
                <w:rFonts w:ascii="Cambria Math" w:hAnsi="Cambria Math"/>
                <w:lang w:val="fr-FR"/>
              </w:rPr>
              <m:t>log</m:t>
            </m:r>
          </m:fName>
          <m:e>
            <m:r>
              <w:rPr>
                <w:rFonts w:ascii="Cambria Math" w:hAnsi="Cambria Math"/>
                <w:lang w:val="fr-FR"/>
              </w:rPr>
              <m:t>f</m:t>
            </m:r>
          </m:e>
        </m:func>
        <m:r>
          <w:rPr>
            <w:rFonts w:ascii="Cambria Math" w:hAnsi="Cambria Math"/>
            <w:lang w:val="fr-FR"/>
          </w:rPr>
          <m:t>+20</m:t>
        </m:r>
        <m:func>
          <m:funcPr>
            <m:ctrlPr>
              <w:rPr>
                <w:rFonts w:ascii="Cambria Math" w:hAnsi="Cambria Math"/>
                <w:i/>
                <w:lang w:val="fr-FR"/>
              </w:rPr>
            </m:ctrlPr>
          </m:funcPr>
          <m:fName>
            <m:r>
              <m:rPr>
                <m:sty m:val="p"/>
              </m:rPr>
              <w:rPr>
                <w:rFonts w:ascii="Cambria Math" w:hAnsi="Cambria Math"/>
                <w:lang w:val="fr-FR"/>
              </w:rPr>
              <m:t>log</m:t>
            </m:r>
          </m:fName>
          <m:e>
            <m:r>
              <w:rPr>
                <w:rFonts w:ascii="Cambria Math" w:hAnsi="Cambria Math"/>
                <w:lang w:val="fr-FR"/>
              </w:rPr>
              <m:t>d</m:t>
            </m:r>
          </m:e>
        </m:func>
        <m:r>
          <w:rPr>
            <w:rFonts w:ascii="Cambria Math" w:hAnsi="Cambria Math"/>
            <w:lang w:val="fr-FR"/>
          </w:rPr>
          <m:t>-27</m:t>
        </m:r>
        <m:r>
          <w:rPr>
            <w:rFonts w:ascii="Cambria Math" w:hAnsi="Cambria Math"/>
            <w:lang w:val="fr-FR"/>
          </w:rPr>
          <m:t>,</m:t>
        </m:r>
        <m:r>
          <w:rPr>
            <w:rFonts w:ascii="Cambria Math" w:hAnsi="Cambria Math"/>
            <w:lang w:val="fr-FR"/>
          </w:rPr>
          <m:t>6</m:t>
        </m:r>
      </m:oMath>
    </w:p>
    <w:p w14:paraId="1EA579C9" w14:textId="77777777" w:rsidR="00532249" w:rsidRPr="006D3E70" w:rsidRDefault="00532249" w:rsidP="00532249">
      <w:pPr>
        <w:rPr>
          <w:lang w:val="fr-FR"/>
        </w:rPr>
      </w:pPr>
      <w:r w:rsidRPr="006D3E70">
        <w:rPr>
          <w:lang w:val="fr-FR"/>
        </w:rPr>
        <w:t>où:</w:t>
      </w:r>
    </w:p>
    <w:p w14:paraId="4D3DD881" w14:textId="77777777" w:rsidR="00532249" w:rsidRPr="006D3E70" w:rsidRDefault="00532249" w:rsidP="00532249">
      <w:pPr>
        <w:pStyle w:val="Equationlegend"/>
        <w:rPr>
          <w:lang w:val="fr-FR"/>
        </w:rPr>
      </w:pPr>
      <w:r w:rsidRPr="006D3E70">
        <w:rPr>
          <w:lang w:val="fr-FR"/>
        </w:rPr>
        <w:tab/>
      </w:r>
      <w:r w:rsidRPr="006D3E70">
        <w:rPr>
          <w:i/>
          <w:lang w:val="fr-FR"/>
        </w:rPr>
        <w:t>P</w:t>
      </w:r>
      <w:r w:rsidRPr="006D3E70">
        <w:rPr>
          <w:i/>
          <w:iCs/>
          <w:vertAlign w:val="subscript"/>
          <w:lang w:val="fr-FR"/>
        </w:rPr>
        <w:t>r</w:t>
      </w:r>
      <w:r w:rsidRPr="006D3E70">
        <w:rPr>
          <w:vertAlign w:val="subscript"/>
          <w:lang w:val="fr-FR"/>
        </w:rPr>
        <w:t>,</w:t>
      </w:r>
      <w:r w:rsidRPr="006D3E70">
        <w:rPr>
          <w:i/>
          <w:iCs/>
          <w:vertAlign w:val="subscript"/>
          <w:lang w:val="fr-FR"/>
        </w:rPr>
        <w:t> f</w:t>
      </w:r>
      <w:r w:rsidRPr="006D3E70">
        <w:rPr>
          <w:lang w:val="fr-FR"/>
        </w:rPr>
        <w:t>:</w:t>
      </w:r>
      <w:r w:rsidRPr="006D3E70">
        <w:rPr>
          <w:lang w:val="fr-FR"/>
        </w:rPr>
        <w:tab/>
        <w:t xml:space="preserve">puissance (dBW ou dBm, même unité que </w:t>
      </w:r>
      <w:r w:rsidRPr="006D3E70">
        <w:rPr>
          <w:i/>
          <w:lang w:val="fr-FR"/>
        </w:rPr>
        <w:t>P</w:t>
      </w:r>
      <w:r w:rsidRPr="006D3E70">
        <w:rPr>
          <w:i/>
          <w:iCs/>
          <w:vertAlign w:val="subscript"/>
          <w:lang w:val="fr-FR"/>
        </w:rPr>
        <w:t>s</w:t>
      </w:r>
      <w:r w:rsidRPr="006D3E70">
        <w:rPr>
          <w:vertAlign w:val="subscript"/>
          <w:lang w:val="fr-FR"/>
        </w:rPr>
        <w:t>,</w:t>
      </w:r>
      <w:r w:rsidRPr="006D3E70">
        <w:rPr>
          <w:i/>
          <w:iCs/>
          <w:vertAlign w:val="subscript"/>
          <w:lang w:val="fr-FR"/>
        </w:rPr>
        <w:t> f</w:t>
      </w:r>
      <w:r w:rsidRPr="006D3E70">
        <w:rPr>
          <w:rFonts w:ascii="Tms Rmn" w:hAnsi="Tms Rmn"/>
          <w:sz w:val="12"/>
          <w:lang w:val="fr-FR"/>
        </w:rPr>
        <w:t> </w:t>
      </w:r>
      <w:r w:rsidRPr="006D3E70">
        <w:rPr>
          <w:lang w:val="fr-FR"/>
        </w:rPr>
        <w:t>) du rayonnement dans le domaine des rayonnements non essentiels lue sur le récepteur de mesure à la fréquence, </w:t>
      </w:r>
      <w:r w:rsidRPr="006D3E70">
        <w:rPr>
          <w:i/>
          <w:lang w:val="fr-FR"/>
        </w:rPr>
        <w:t>f</w:t>
      </w:r>
    </w:p>
    <w:p w14:paraId="58A7A773" w14:textId="195613EF" w:rsidR="00532249" w:rsidRPr="006D3E70" w:rsidRDefault="00532249" w:rsidP="00532249">
      <w:pPr>
        <w:pStyle w:val="Equationlegend"/>
        <w:rPr>
          <w:lang w:val="fr-FR"/>
        </w:rPr>
      </w:pPr>
      <w:r w:rsidRPr="006D3E70">
        <w:rPr>
          <w:lang w:val="fr-FR"/>
        </w:rPr>
        <w:tab/>
      </w:r>
      <w:r w:rsidRPr="006D3E70">
        <w:rPr>
          <w:i/>
          <w:iCs/>
          <w:lang w:val="fr-FR"/>
        </w:rPr>
        <w:t>k</w:t>
      </w:r>
      <w:r w:rsidRPr="006D3E70">
        <w:rPr>
          <w:i/>
          <w:iCs/>
          <w:vertAlign w:val="subscript"/>
          <w:lang w:val="fr-FR"/>
        </w:rPr>
        <w:t>ms</w:t>
      </w:r>
      <w:r w:rsidRPr="006D3E70">
        <w:rPr>
          <w:vertAlign w:val="subscript"/>
          <w:lang w:val="fr-FR"/>
        </w:rPr>
        <w:t>,</w:t>
      </w:r>
      <w:r w:rsidRPr="006D3E70">
        <w:rPr>
          <w:i/>
          <w:iCs/>
          <w:vertAlign w:val="subscript"/>
          <w:lang w:val="fr-FR"/>
        </w:rPr>
        <w:t> f</w:t>
      </w:r>
      <w:r w:rsidRPr="006D3E70">
        <w:rPr>
          <w:lang w:val="fr-FR"/>
        </w:rPr>
        <w:t>:</w:t>
      </w:r>
      <w:r w:rsidRPr="006D3E70">
        <w:rPr>
          <w:lang w:val="fr-FR"/>
        </w:rPr>
        <w:tab/>
        <w:t>facteur d</w:t>
      </w:r>
      <w:r w:rsidR="00324C7C" w:rsidRPr="006D3E70">
        <w:rPr>
          <w:lang w:val="fr-FR"/>
        </w:rPr>
        <w:t>'</w:t>
      </w:r>
      <w:r w:rsidRPr="006D3E70">
        <w:rPr>
          <w:lang w:val="fr-FR"/>
        </w:rPr>
        <w:t xml:space="preserve">étalonnage (dB) du montage de mesure à la fréquence, </w:t>
      </w:r>
      <w:r w:rsidRPr="006D3E70">
        <w:rPr>
          <w:i/>
          <w:lang w:val="fr-FR"/>
        </w:rPr>
        <w:t>f</w:t>
      </w:r>
      <w:r w:rsidRPr="006D3E70">
        <w:rPr>
          <w:iCs/>
          <w:lang w:val="fr-FR"/>
        </w:rPr>
        <w:t xml:space="preserve"> </w:t>
      </w:r>
      <w:r w:rsidRPr="006D3E70">
        <w:rPr>
          <w:lang w:val="fr-FR"/>
        </w:rPr>
        <w:t>(généra</w:t>
      </w:r>
      <w:r w:rsidRPr="006D3E70">
        <w:rPr>
          <w:lang w:val="fr-FR"/>
        </w:rPr>
        <w:softHyphen/>
        <w:t>lement positive)</w:t>
      </w:r>
    </w:p>
    <w:p w14:paraId="32CFD7C5" w14:textId="4D98B2E2" w:rsidR="00532249" w:rsidRPr="006D3E70" w:rsidRDefault="00532249" w:rsidP="00532249">
      <w:pPr>
        <w:pStyle w:val="Equationlegend"/>
        <w:rPr>
          <w:lang w:val="fr-FR"/>
        </w:rPr>
      </w:pPr>
      <w:r w:rsidRPr="006D3E70">
        <w:rPr>
          <w:lang w:val="fr-FR"/>
        </w:rPr>
        <w:tab/>
      </w:r>
      <w:r w:rsidRPr="006D3E70">
        <w:rPr>
          <w:i/>
          <w:lang w:val="fr-FR"/>
        </w:rPr>
        <w:t>G</w:t>
      </w:r>
      <w:r w:rsidRPr="006D3E70">
        <w:rPr>
          <w:i/>
          <w:iCs/>
          <w:position w:val="-4"/>
          <w:sz w:val="20"/>
          <w:lang w:val="fr-FR"/>
        </w:rPr>
        <w:t>f</w:t>
      </w:r>
      <w:r w:rsidRPr="006D3E70">
        <w:rPr>
          <w:lang w:val="fr-FR"/>
        </w:rPr>
        <w:t>:</w:t>
      </w:r>
      <w:r w:rsidRPr="006D3E70">
        <w:rPr>
          <w:lang w:val="fr-FR"/>
        </w:rPr>
        <w:tab/>
        <w:t>gain (dBi) de l</w:t>
      </w:r>
      <w:r w:rsidR="00324C7C" w:rsidRPr="006D3E70">
        <w:rPr>
          <w:lang w:val="fr-FR"/>
        </w:rPr>
        <w:t>'</w:t>
      </w:r>
      <w:r w:rsidRPr="006D3E70">
        <w:rPr>
          <w:lang w:val="fr-FR"/>
        </w:rPr>
        <w:t>antenne de mesure étalonnée à la fréquence, </w:t>
      </w:r>
      <w:r w:rsidRPr="006D3E70">
        <w:rPr>
          <w:i/>
          <w:lang w:val="fr-FR"/>
        </w:rPr>
        <w:t>f</w:t>
      </w:r>
    </w:p>
    <w:p w14:paraId="6A95771B" w14:textId="77777777" w:rsidR="00532249" w:rsidRPr="006D3E70" w:rsidRDefault="00532249" w:rsidP="00532249">
      <w:pPr>
        <w:pStyle w:val="Equationlegend"/>
        <w:rPr>
          <w:lang w:val="fr-FR"/>
        </w:rPr>
      </w:pPr>
      <w:r w:rsidRPr="006D3E70">
        <w:rPr>
          <w:lang w:val="fr-FR"/>
        </w:rPr>
        <w:tab/>
      </w:r>
      <w:r w:rsidRPr="006D3E70">
        <w:rPr>
          <w:i/>
          <w:lang w:val="fr-FR"/>
        </w:rPr>
        <w:t>f</w:t>
      </w:r>
      <w:r w:rsidRPr="006D3E70">
        <w:rPr>
          <w:sz w:val="12"/>
          <w:lang w:val="fr-FR"/>
        </w:rPr>
        <w:t>:</w:t>
      </w:r>
      <w:r w:rsidRPr="006D3E70">
        <w:rPr>
          <w:lang w:val="fr-FR"/>
        </w:rPr>
        <w:tab/>
        <w:t>fréquence (MHz) du rayonnement dans le domaine des rayonnements non essentiels</w:t>
      </w:r>
    </w:p>
    <w:p w14:paraId="03073F26" w14:textId="4B15451C" w:rsidR="00532249" w:rsidRPr="006D3E70" w:rsidRDefault="00532249" w:rsidP="00532249">
      <w:pPr>
        <w:pStyle w:val="Equationlegend"/>
        <w:rPr>
          <w:lang w:val="fr-FR"/>
        </w:rPr>
      </w:pPr>
      <w:r w:rsidRPr="006D3E70">
        <w:rPr>
          <w:lang w:val="fr-FR"/>
        </w:rPr>
        <w:tab/>
      </w:r>
      <w:r w:rsidRPr="006D3E70">
        <w:rPr>
          <w:i/>
          <w:iCs/>
          <w:lang w:val="fr-FR"/>
        </w:rPr>
        <w:t>d</w:t>
      </w:r>
      <w:r w:rsidRPr="006D3E70">
        <w:rPr>
          <w:lang w:val="fr-FR"/>
        </w:rPr>
        <w:t>:</w:t>
      </w:r>
      <w:r w:rsidRPr="006D3E70">
        <w:rPr>
          <w:lang w:val="fr-FR"/>
        </w:rPr>
        <w:tab/>
        <w:t>distance (m) entre l</w:t>
      </w:r>
      <w:r w:rsidR="00324C7C" w:rsidRPr="006D3E70">
        <w:rPr>
          <w:lang w:val="fr-FR"/>
        </w:rPr>
        <w:t>'</w:t>
      </w:r>
      <w:r w:rsidRPr="006D3E70">
        <w:rPr>
          <w:lang w:val="fr-FR"/>
        </w:rPr>
        <w:t>antenne d</w:t>
      </w:r>
      <w:r w:rsidR="00324C7C" w:rsidRPr="006D3E70">
        <w:rPr>
          <w:lang w:val="fr-FR"/>
        </w:rPr>
        <w:t>'</w:t>
      </w:r>
      <w:r w:rsidRPr="006D3E70">
        <w:rPr>
          <w:lang w:val="fr-FR"/>
        </w:rPr>
        <w:t>émission et l</w:t>
      </w:r>
      <w:r w:rsidR="00324C7C" w:rsidRPr="006D3E70">
        <w:rPr>
          <w:lang w:val="fr-FR"/>
        </w:rPr>
        <w:t>'</w:t>
      </w:r>
      <w:r w:rsidRPr="006D3E70">
        <w:rPr>
          <w:lang w:val="fr-FR"/>
        </w:rPr>
        <w:t>antenne de mesure étalonnée.</w:t>
      </w:r>
    </w:p>
    <w:p w14:paraId="480E3D57" w14:textId="19465DCD" w:rsidR="00532249" w:rsidRPr="006D3E70" w:rsidRDefault="00532249" w:rsidP="00532249">
      <w:pPr>
        <w:rPr>
          <w:lang w:val="fr-FR"/>
        </w:rPr>
      </w:pPr>
      <w:r w:rsidRPr="006D3E70">
        <w:rPr>
          <w:lang w:val="fr-FR"/>
        </w:rPr>
        <w:t>De plus, il faut tenir compte du gain dû aux réflexions lorsqu</w:t>
      </w:r>
      <w:r w:rsidR="00324C7C" w:rsidRPr="006D3E70">
        <w:rPr>
          <w:lang w:val="fr-FR"/>
        </w:rPr>
        <w:t>'</w:t>
      </w:r>
      <w:r w:rsidRPr="006D3E70">
        <w:rPr>
          <w:lang w:val="fr-FR"/>
        </w:rPr>
        <w:t>on utilise un site de mesure ouvert.</w:t>
      </w:r>
    </w:p>
    <w:p w14:paraId="655416B6" w14:textId="77777777" w:rsidR="00532249" w:rsidRPr="006D3E70" w:rsidRDefault="00532249" w:rsidP="00532249">
      <w:pPr>
        <w:pStyle w:val="Heading3"/>
        <w:rPr>
          <w:rFonts w:eastAsia="Arial Unicode MS"/>
          <w:lang w:val="fr-FR"/>
        </w:rPr>
      </w:pPr>
      <w:r w:rsidRPr="006D3E70">
        <w:rPr>
          <w:lang w:val="fr-FR"/>
        </w:rPr>
        <w:t>3.3.3</w:t>
      </w:r>
      <w:r w:rsidRPr="006D3E70">
        <w:rPr>
          <w:lang w:val="fr-FR"/>
        </w:rPr>
        <w:tab/>
        <w:t>Approche par substitution</w:t>
      </w:r>
    </w:p>
    <w:p w14:paraId="65F8285F" w14:textId="77777777" w:rsidR="00532249" w:rsidRPr="006D3E70" w:rsidRDefault="00532249" w:rsidP="00532249">
      <w:pPr>
        <w:rPr>
          <w:lang w:val="fr-FR"/>
        </w:rPr>
      </w:pPr>
      <w:r w:rsidRPr="006D3E70">
        <w:rPr>
          <w:lang w:val="fr-FR"/>
        </w:rPr>
        <w:t>Dans cette approche, on utilise une antenne de substitution étalonnée et un générateur étalonné, la source de test étant réglée pour obtenir le même signal non essentiel reçu.</w:t>
      </w:r>
    </w:p>
    <w:p w14:paraId="7C319FB2" w14:textId="77777777" w:rsidR="00532249" w:rsidRPr="006D3E70" w:rsidRDefault="00532249" w:rsidP="00532249">
      <w:pPr>
        <w:pStyle w:val="Heading2"/>
        <w:rPr>
          <w:rFonts w:eastAsia="Arial Unicode MS"/>
          <w:lang w:val="fr-FR"/>
        </w:rPr>
      </w:pPr>
      <w:r w:rsidRPr="006D3E70">
        <w:rPr>
          <w:lang w:val="fr-FR"/>
        </w:rPr>
        <w:t>3.4</w:t>
      </w:r>
      <w:r w:rsidRPr="006D3E70">
        <w:rPr>
          <w:lang w:val="fr-FR"/>
        </w:rPr>
        <w:tab/>
        <w:t>Mesure spéciale des rayonnements par le coffret</w:t>
      </w:r>
    </w:p>
    <w:p w14:paraId="22CBC592" w14:textId="70E6AA71" w:rsidR="00532249" w:rsidRPr="006D3E70" w:rsidRDefault="00532249" w:rsidP="00532249">
      <w:pPr>
        <w:rPr>
          <w:lang w:val="fr-FR"/>
        </w:rPr>
      </w:pPr>
      <w:r w:rsidRPr="006D3E70">
        <w:rPr>
          <w:lang w:val="fr-FR"/>
        </w:rPr>
        <w:t>Pour pouvoir mesurer les rayonnements non essentiels provenant du coffret, on peut utiliser la Méthode 2. Dans cette méthode, il faut remplacer l</w:t>
      </w:r>
      <w:r w:rsidR="00324C7C" w:rsidRPr="006D3E70">
        <w:rPr>
          <w:lang w:val="fr-FR"/>
        </w:rPr>
        <w:t>'</w:t>
      </w:r>
      <w:r w:rsidRPr="006D3E70">
        <w:rPr>
          <w:lang w:val="fr-FR"/>
        </w:rPr>
        <w:t>antenne de l</w:t>
      </w:r>
      <w:r w:rsidR="00324C7C" w:rsidRPr="006D3E70">
        <w:rPr>
          <w:lang w:val="fr-FR"/>
        </w:rPr>
        <w:t>'</w:t>
      </w:r>
      <w:r w:rsidRPr="006D3E70">
        <w:rPr>
          <w:lang w:val="fr-FR"/>
        </w:rPr>
        <w:t>équipement sous test par une charge terminale étalonnée et d</w:t>
      </w:r>
      <w:r w:rsidR="00324C7C" w:rsidRPr="006D3E70">
        <w:rPr>
          <w:lang w:val="fr-FR"/>
        </w:rPr>
        <w:t>'</w:t>
      </w:r>
      <w:r w:rsidRPr="006D3E70">
        <w:rPr>
          <w:lang w:val="fr-FR"/>
        </w:rPr>
        <w:t>utiliser les approches indiquées ci-dessus pour la Méthode 2 afin d</w:t>
      </w:r>
      <w:r w:rsidR="00324C7C" w:rsidRPr="006D3E70">
        <w:rPr>
          <w:lang w:val="fr-FR"/>
        </w:rPr>
        <w:t>'</w:t>
      </w:r>
      <w:r w:rsidRPr="006D3E70">
        <w:rPr>
          <w:lang w:val="fr-FR"/>
        </w:rPr>
        <w:t xml:space="preserve">obtenir la p.i.r.e. La charge fictive de terminaison doit être placée dans une petite enceinte blindée distincte </w:t>
      </w:r>
      <w:r w:rsidRPr="006D3E70">
        <w:rPr>
          <w:lang w:val="fr-FR"/>
        </w:rPr>
        <w:lastRenderedPageBreak/>
        <w:t>afin que les rayonnements provenant de la charge ne perturbent pas la mesure des rayonnements provenant du coffret étudié. De plus, les câbles et les connexions peuvent être à l</w:t>
      </w:r>
      <w:r w:rsidR="00324C7C" w:rsidRPr="006D3E70">
        <w:rPr>
          <w:lang w:val="fr-FR"/>
        </w:rPr>
        <w:t>'</w:t>
      </w:r>
      <w:r w:rsidRPr="006D3E70">
        <w:rPr>
          <w:lang w:val="fr-FR"/>
        </w:rPr>
        <w:t>origine de rayonnement et perturber les mesures, il faut donc utiliser des câbles à double blindage ou placer les câbles dans des enceintes blindées.</w:t>
      </w:r>
    </w:p>
    <w:p w14:paraId="0EFBD0F7" w14:textId="77777777" w:rsidR="00874853" w:rsidRPr="006D3E70" w:rsidRDefault="00874853" w:rsidP="00532249">
      <w:pPr>
        <w:rPr>
          <w:lang w:val="fr-FR"/>
        </w:rPr>
      </w:pPr>
    </w:p>
    <w:p w14:paraId="6D058407" w14:textId="77777777" w:rsidR="00874853" w:rsidRPr="006D3E70" w:rsidRDefault="00874853" w:rsidP="00532249">
      <w:pPr>
        <w:rPr>
          <w:lang w:val="fr-FR"/>
        </w:rPr>
      </w:pPr>
    </w:p>
    <w:p w14:paraId="7E674701" w14:textId="77777777" w:rsidR="00532249" w:rsidRPr="006D3E70" w:rsidRDefault="00532249" w:rsidP="00F44007">
      <w:pPr>
        <w:pStyle w:val="AnnexNoTitle"/>
        <w:outlineLvl w:val="0"/>
        <w:rPr>
          <w:lang w:val="fr-FR"/>
        </w:rPr>
      </w:pPr>
      <w:r w:rsidRPr="006D3E70">
        <w:rPr>
          <w:lang w:val="fr-FR"/>
        </w:rPr>
        <w:t>Annexe 3</w:t>
      </w:r>
      <w:r w:rsidRPr="006D3E70">
        <w:rPr>
          <w:lang w:val="fr-FR"/>
        </w:rPr>
        <w:br/>
      </w:r>
      <w:r w:rsidRPr="006D3E70">
        <w:rPr>
          <w:lang w:val="fr-FR"/>
        </w:rPr>
        <w:br/>
        <w:t>Niveaux seuil de brouillage pour le service de radioastronomie</w:t>
      </w:r>
      <w:r w:rsidRPr="006D3E70">
        <w:rPr>
          <w:lang w:val="fr-FR"/>
        </w:rPr>
        <w:br/>
        <w:t>et les services utilisant des détecteurs passifs</w:t>
      </w:r>
    </w:p>
    <w:p w14:paraId="5B1BF0D1" w14:textId="77777777" w:rsidR="00532249" w:rsidRPr="006D3E70" w:rsidRDefault="00532249" w:rsidP="00532249">
      <w:pPr>
        <w:pStyle w:val="Heading1"/>
        <w:rPr>
          <w:rFonts w:eastAsia="Arial Unicode MS"/>
          <w:lang w:val="fr-FR"/>
        </w:rPr>
      </w:pPr>
      <w:r w:rsidRPr="006D3E70">
        <w:rPr>
          <w:lang w:val="fr-FR"/>
        </w:rPr>
        <w:t>1</w:t>
      </w:r>
      <w:r w:rsidRPr="006D3E70">
        <w:rPr>
          <w:lang w:val="fr-FR"/>
        </w:rPr>
        <w:tab/>
        <w:t>Introduction</w:t>
      </w:r>
    </w:p>
    <w:p w14:paraId="59F25AB7" w14:textId="29A41A9B" w:rsidR="00532249" w:rsidRPr="006D3E70" w:rsidRDefault="00532249" w:rsidP="00532249">
      <w:pPr>
        <w:rPr>
          <w:lang w:val="fr-FR"/>
        </w:rPr>
      </w:pPr>
      <w:r w:rsidRPr="006D3E70">
        <w:rPr>
          <w:lang w:val="fr-FR"/>
        </w:rPr>
        <w:t>Les niveaux seuil de brouillage pour le service de radioastronomie, le service d</w:t>
      </w:r>
      <w:r w:rsidR="00324C7C" w:rsidRPr="006D3E70">
        <w:rPr>
          <w:lang w:val="fr-FR"/>
        </w:rPr>
        <w:t>'</w:t>
      </w:r>
      <w:r w:rsidRPr="006D3E70">
        <w:rPr>
          <w:lang w:val="fr-FR"/>
        </w:rPr>
        <w:t>exploration de la Terre par satellite et le service de météorologie par satellite utilisant des détecteurs passifs sont spécifiés dans les Recommandations UIT-R RA.769 et UIT-R RS.2017. La présente Annexe donne un récapitulatif des niveaux spécifiés dans ces Recommandations.</w:t>
      </w:r>
    </w:p>
    <w:p w14:paraId="418F01B0" w14:textId="77777777" w:rsidR="00532249" w:rsidRPr="006D3E70" w:rsidRDefault="00532249" w:rsidP="00532249">
      <w:pPr>
        <w:pStyle w:val="Heading1"/>
        <w:rPr>
          <w:rFonts w:eastAsia="Arial Unicode MS"/>
          <w:lang w:val="fr-FR"/>
        </w:rPr>
      </w:pPr>
      <w:r w:rsidRPr="006D3E70">
        <w:rPr>
          <w:lang w:val="fr-FR"/>
        </w:rPr>
        <w:t>2</w:t>
      </w:r>
      <w:r w:rsidRPr="006D3E70">
        <w:rPr>
          <w:lang w:val="fr-FR"/>
        </w:rPr>
        <w:tab/>
        <w:t>Service de radioastronomie (Recommandation UIT-R RA.769)</w:t>
      </w:r>
    </w:p>
    <w:p w14:paraId="2640834C" w14:textId="0B82BD68" w:rsidR="00532249" w:rsidRPr="006D3E70" w:rsidRDefault="00532249" w:rsidP="00532249">
      <w:pPr>
        <w:rPr>
          <w:lang w:val="fr-FR"/>
        </w:rPr>
      </w:pPr>
      <w:r w:rsidRPr="006D3E70">
        <w:rPr>
          <w:lang w:val="fr-FR"/>
        </w:rPr>
        <w:t>Les Tableaux 1 à 3 de la Recommandation UIT-R RA.769 donnent les niveaux seuil de brouillage préjudiciable au service de radioastronomie en termes de puissance surfacique. Ces valeurs sont calculées à partir d</w:t>
      </w:r>
      <w:r w:rsidR="00324C7C" w:rsidRPr="006D3E70">
        <w:rPr>
          <w:lang w:val="fr-FR"/>
        </w:rPr>
        <w:t>'</w:t>
      </w:r>
      <w:r w:rsidRPr="006D3E70">
        <w:rPr>
          <w:lang w:val="fr-FR"/>
        </w:rPr>
        <w:t>observations avec une seule antenne et réception dans les lobes latéraux de gain 0 dBi avec un temps d</w:t>
      </w:r>
      <w:r w:rsidR="00324C7C" w:rsidRPr="006D3E70">
        <w:rPr>
          <w:lang w:val="fr-FR"/>
        </w:rPr>
        <w:t>'</w:t>
      </w:r>
      <w:r w:rsidRPr="006D3E70">
        <w:rPr>
          <w:lang w:val="fr-FR"/>
        </w:rPr>
        <w:t>intégration de 2</w:t>
      </w:r>
      <w:r w:rsidRPr="006D3E70">
        <w:rPr>
          <w:sz w:val="12"/>
          <w:lang w:val="fr-FR"/>
        </w:rPr>
        <w:t> </w:t>
      </w:r>
      <w:r w:rsidRPr="006D3E70">
        <w:rPr>
          <w:lang w:val="fr-FR"/>
        </w:rPr>
        <w:t>000 s. Les valeurs de la puissance surfacique données dans les Tableaux 1 à 3 de la Recommandation UIT-R RA.769 sont applicables en général, sauf pour les satellites OSG pour lesquels la puissance surfacique est plus stricte de 15 dB qu</w:t>
      </w:r>
      <w:r w:rsidR="00324C7C" w:rsidRPr="006D3E70">
        <w:rPr>
          <w:lang w:val="fr-FR"/>
        </w:rPr>
        <w:t>'</w:t>
      </w:r>
      <w:r w:rsidRPr="006D3E70">
        <w:rPr>
          <w:lang w:val="fr-FR"/>
        </w:rPr>
        <w:t>indiqué.</w:t>
      </w:r>
    </w:p>
    <w:p w14:paraId="13F9C398" w14:textId="3B008D07" w:rsidR="00532249" w:rsidRPr="006D3E70" w:rsidRDefault="00532249" w:rsidP="00532249">
      <w:pPr>
        <w:rPr>
          <w:lang w:val="fr-FR"/>
        </w:rPr>
      </w:pPr>
      <w:r w:rsidRPr="006D3E70">
        <w:rPr>
          <w:lang w:val="fr-FR"/>
        </w:rPr>
        <w:t>L</w:t>
      </w:r>
      <w:r w:rsidR="00324C7C" w:rsidRPr="006D3E70">
        <w:rPr>
          <w:lang w:val="fr-FR"/>
        </w:rPr>
        <w:t>'</w:t>
      </w:r>
      <w:r w:rsidRPr="006D3E70">
        <w:rPr>
          <w:lang w:val="fr-FR"/>
        </w:rPr>
        <w:t>Annexe 1 à la Recommandation UIT-R RA.769 décrit la méthode de calcul de la sensibilité de divers systèmes de radioastronomie actuellement utilisés. Elle indique également, pour les valeurs supposées de paramètres de systèmes, les niveaux sous forme de tableaux des brouillages cumulés préjudiciables aux mesures du continuum et des raies spectrales pour différentes bandes attribuées au service de radioastronomie.</w:t>
      </w:r>
    </w:p>
    <w:p w14:paraId="6FD14E8B" w14:textId="69A8F982" w:rsidR="00532249" w:rsidRPr="006D3E70" w:rsidRDefault="00532249" w:rsidP="00532249">
      <w:pPr>
        <w:rPr>
          <w:lang w:val="fr-FR"/>
        </w:rPr>
      </w:pPr>
      <w:r w:rsidRPr="006D3E70">
        <w:rPr>
          <w:lang w:val="fr-FR"/>
        </w:rPr>
        <w:t>Les paramètres choisis pour obtenir ces niveaux sont représentatifs de nombreux types de systèmes et de mesures en radioastronomie et constituent une norme acceptable admise dans le service de radioastronomie. Cependant, il peut exister des circonstances propres à certains systèmes de radioastronomie, fonctionnant à un moment donné et en un emplacement donné dans une bande particulière où d</w:t>
      </w:r>
      <w:r w:rsidR="00324C7C" w:rsidRPr="006D3E70">
        <w:rPr>
          <w:lang w:val="fr-FR"/>
        </w:rPr>
        <w:t>'</w:t>
      </w:r>
      <w:r w:rsidRPr="006D3E70">
        <w:rPr>
          <w:lang w:val="fr-FR"/>
        </w:rPr>
        <w:t>autres valeurs de ces paramètres peuvent être utilisées dans le cadre de la même méthodologie pour obtenir un niveau de brouillage préjudiciable plus approprié. En outre, pour l</w:t>
      </w:r>
      <w:r w:rsidR="00324C7C" w:rsidRPr="006D3E70">
        <w:rPr>
          <w:lang w:val="fr-FR"/>
        </w:rPr>
        <w:t>'</w:t>
      </w:r>
      <w:r w:rsidRPr="006D3E70">
        <w:rPr>
          <w:lang w:val="fr-FR"/>
        </w:rPr>
        <w:t>analyse des brouillages causés par certains types de systèmes (par exemple, des satellites OSG ou des systèmes à plusieurs satellites), il peut être nécessaire de procéder à un ajustement systématique des niveaux spécifiés dans la Recommandation UIT-R RA.769. De même, lorsque les niveaux indiqués dans les Tableaux 1 à 3 de la Recommandation UIT-R RA.769 sont appliqués ou qu</w:t>
      </w:r>
      <w:r w:rsidR="00324C7C" w:rsidRPr="006D3E70">
        <w:rPr>
          <w:lang w:val="fr-FR"/>
        </w:rPr>
        <w:t>'</w:t>
      </w:r>
      <w:r w:rsidRPr="006D3E70">
        <w:rPr>
          <w:lang w:val="fr-FR"/>
        </w:rPr>
        <w:t>il est fait référence à ces valeurs, il convient de tenir compte des hypothèses utilisées pour les obtenir. On consultera ces mêmes tableaux pour de plus amples informations concernant les valeurs des niveaux de seuil de brouillage préjudiciable au service de radioastronomie.</w:t>
      </w:r>
    </w:p>
    <w:p w14:paraId="4BBF30C4" w14:textId="3F5FBAAD" w:rsidR="00532249" w:rsidRPr="006D3E70" w:rsidRDefault="00532249" w:rsidP="00874853">
      <w:pPr>
        <w:pStyle w:val="Heading1"/>
        <w:keepNext w:val="0"/>
        <w:keepLines w:val="0"/>
        <w:rPr>
          <w:rFonts w:eastAsia="Arial Unicode MS"/>
          <w:lang w:val="fr-FR"/>
        </w:rPr>
      </w:pPr>
      <w:r w:rsidRPr="006D3E70">
        <w:rPr>
          <w:lang w:val="fr-FR"/>
        </w:rPr>
        <w:lastRenderedPageBreak/>
        <w:t>3</w:t>
      </w:r>
      <w:r w:rsidRPr="006D3E70">
        <w:rPr>
          <w:lang w:val="fr-FR"/>
        </w:rPr>
        <w:tab/>
        <w:t>Télédétection passive du service d</w:t>
      </w:r>
      <w:r w:rsidR="00324C7C" w:rsidRPr="006D3E70">
        <w:rPr>
          <w:lang w:val="fr-FR"/>
        </w:rPr>
        <w:t>'</w:t>
      </w:r>
      <w:r w:rsidRPr="006D3E70">
        <w:rPr>
          <w:lang w:val="fr-FR"/>
        </w:rPr>
        <w:t>exploration de la Terre par satellite et du service de météorologie par satellite (Recommandation UIT-R RS.2017)</w:t>
      </w:r>
    </w:p>
    <w:p w14:paraId="00BEBC3A" w14:textId="241BF714" w:rsidR="00532249" w:rsidRPr="006D3E70" w:rsidRDefault="00532249" w:rsidP="00874853">
      <w:pPr>
        <w:rPr>
          <w:lang w:val="fr-FR"/>
        </w:rPr>
      </w:pPr>
      <w:r w:rsidRPr="006D3E70">
        <w:rPr>
          <w:szCs w:val="24"/>
          <w:lang w:val="fr-FR"/>
        </w:rPr>
        <w:t>La Recommandation UIT</w:t>
      </w:r>
      <w:r w:rsidRPr="006D3E70">
        <w:rPr>
          <w:szCs w:val="24"/>
          <w:lang w:val="fr-FR"/>
        </w:rPr>
        <w:noBreakHyphen/>
        <w:t>R RS.2017 présente les niveaux de brouillage admissibles causés aux systèmes de télédétection passive par satellite. Les données de gain et d</w:t>
      </w:r>
      <w:r w:rsidR="00324C7C" w:rsidRPr="006D3E70">
        <w:rPr>
          <w:szCs w:val="24"/>
          <w:lang w:val="fr-FR"/>
        </w:rPr>
        <w:t>'</w:t>
      </w:r>
      <w:r w:rsidRPr="006D3E70">
        <w:rPr>
          <w:szCs w:val="24"/>
          <w:lang w:val="fr-FR"/>
        </w:rPr>
        <w:t>altitude des systèmes SETS (passive) figurent dans la Recommandation UIT-R RS.1861 pour les systèmes fonctionnant entre</w:t>
      </w:r>
      <w:r w:rsidR="00874853" w:rsidRPr="006D3E70">
        <w:rPr>
          <w:szCs w:val="24"/>
          <w:lang w:val="fr-FR"/>
        </w:rPr>
        <w:t> </w:t>
      </w:r>
      <w:r w:rsidRPr="006D3E70">
        <w:rPr>
          <w:szCs w:val="24"/>
          <w:lang w:val="fr-FR"/>
        </w:rPr>
        <w:t>1,4 et 275 GHz, et dans le Rapport UIT-R RS.2431 pour les systèmes fonctionnant entre 275 et</w:t>
      </w:r>
      <w:r w:rsidR="00F44007" w:rsidRPr="006D3E70">
        <w:rPr>
          <w:szCs w:val="24"/>
          <w:lang w:val="fr-FR"/>
        </w:rPr>
        <w:t xml:space="preserve"> </w:t>
      </w:r>
      <w:r w:rsidRPr="006D3E70">
        <w:rPr>
          <w:szCs w:val="24"/>
          <w:lang w:val="fr-FR"/>
        </w:rPr>
        <w:t>450 GHz. Il faut noter que pour les télédétecteurs spatiaux, l</w:t>
      </w:r>
      <w:r w:rsidR="00324C7C" w:rsidRPr="006D3E70">
        <w:rPr>
          <w:szCs w:val="24"/>
          <w:lang w:val="fr-FR"/>
        </w:rPr>
        <w:t>'</w:t>
      </w:r>
      <w:r w:rsidRPr="006D3E70">
        <w:rPr>
          <w:szCs w:val="24"/>
          <w:lang w:val="fr-FR"/>
        </w:rPr>
        <w:t>antenne du détecteur est normalement dirigée vers la surface de la Terre</w:t>
      </w:r>
      <w:r w:rsidRPr="006D3E70">
        <w:rPr>
          <w:lang w:val="fr-FR"/>
        </w:rPr>
        <w:t>.</w:t>
      </w:r>
    </w:p>
    <w:p w14:paraId="606A6F88" w14:textId="77777777" w:rsidR="00874853" w:rsidRPr="006D3E70" w:rsidRDefault="00874853" w:rsidP="00874853">
      <w:pPr>
        <w:rPr>
          <w:lang w:val="fr-FR"/>
        </w:rPr>
      </w:pPr>
    </w:p>
    <w:p w14:paraId="0E522277" w14:textId="77777777" w:rsidR="00874853" w:rsidRPr="006D3E70" w:rsidRDefault="00874853" w:rsidP="00874853">
      <w:pPr>
        <w:rPr>
          <w:lang w:val="fr-FR"/>
        </w:rPr>
      </w:pPr>
    </w:p>
    <w:p w14:paraId="3047BB90" w14:textId="1086E15D" w:rsidR="00532249" w:rsidRPr="006D3E70" w:rsidRDefault="00532249" w:rsidP="00F44007">
      <w:pPr>
        <w:pStyle w:val="AnnexNoTitle"/>
        <w:outlineLvl w:val="0"/>
        <w:rPr>
          <w:lang w:val="fr-FR"/>
        </w:rPr>
      </w:pPr>
      <w:r w:rsidRPr="006D3E70">
        <w:rPr>
          <w:lang w:val="fr-FR"/>
        </w:rPr>
        <w:t>Annexe 4</w:t>
      </w:r>
      <w:r w:rsidRPr="006D3E70">
        <w:rPr>
          <w:lang w:val="fr-FR"/>
        </w:rPr>
        <w:br/>
      </w:r>
      <w:r w:rsidRPr="006D3E70">
        <w:rPr>
          <w:lang w:val="fr-FR"/>
        </w:rPr>
        <w:br/>
        <w:t>Exemples d</w:t>
      </w:r>
      <w:r w:rsidR="00324C7C" w:rsidRPr="006D3E70">
        <w:rPr>
          <w:lang w:val="fr-FR"/>
        </w:rPr>
        <w:t>'</w:t>
      </w:r>
      <w:r w:rsidRPr="006D3E70">
        <w:rPr>
          <w:lang w:val="fr-FR"/>
        </w:rPr>
        <w:t xml:space="preserve">application de la relation 43 + 10 log </w:t>
      </w:r>
      <w:r w:rsidRPr="006D3E70">
        <w:rPr>
          <w:i/>
          <w:lang w:val="fr-FR"/>
        </w:rPr>
        <w:t>P</w:t>
      </w:r>
      <w:r w:rsidRPr="006D3E70">
        <w:rPr>
          <w:iCs/>
          <w:lang w:val="fr-FR"/>
        </w:rPr>
        <w:br/>
      </w:r>
      <w:r w:rsidRPr="006D3E70">
        <w:rPr>
          <w:lang w:val="fr-FR"/>
        </w:rPr>
        <w:t>pour le calcul des conditions d</w:t>
      </w:r>
      <w:r w:rsidR="00324C7C" w:rsidRPr="006D3E70">
        <w:rPr>
          <w:lang w:val="fr-FR"/>
        </w:rPr>
        <w:t>'</w:t>
      </w:r>
      <w:r w:rsidRPr="006D3E70">
        <w:rPr>
          <w:lang w:val="fr-FR"/>
        </w:rPr>
        <w:t>affaiblissement</w:t>
      </w:r>
    </w:p>
    <w:p w14:paraId="4AF34985" w14:textId="25B05066" w:rsidR="00532249" w:rsidRPr="006D3E70" w:rsidRDefault="00532249" w:rsidP="00532249">
      <w:pPr>
        <w:pStyle w:val="Normalaftertitle"/>
        <w:rPr>
          <w:lang w:val="fr-FR"/>
        </w:rPr>
      </w:pPr>
      <w:r w:rsidRPr="006D3E70">
        <w:rPr>
          <w:lang w:val="fr-FR"/>
        </w:rPr>
        <w:t xml:space="preserve">Tous les rayonnements non désirés sont au moins à </w:t>
      </w:r>
      <w:r w:rsidRPr="006D3E70">
        <w:rPr>
          <w:i/>
          <w:lang w:val="fr-FR"/>
        </w:rPr>
        <w:t xml:space="preserve">x </w:t>
      </w:r>
      <w:r w:rsidRPr="006D3E70">
        <w:rPr>
          <w:lang w:val="fr-FR"/>
        </w:rPr>
        <w:t>dB en dessous de la puissance moyenne totale </w:t>
      </w:r>
      <w:r w:rsidRPr="006D3E70">
        <w:rPr>
          <w:i/>
          <w:iCs/>
          <w:lang w:val="fr-FR"/>
        </w:rPr>
        <w:t>P</w:t>
      </w:r>
      <w:r w:rsidRPr="006D3E70">
        <w:rPr>
          <w:lang w:val="fr-FR"/>
        </w:rPr>
        <w:t>, c</w:t>
      </w:r>
      <w:r w:rsidR="00324C7C" w:rsidRPr="006D3E70">
        <w:rPr>
          <w:lang w:val="fr-FR"/>
        </w:rPr>
        <w:t>'</w:t>
      </w:r>
      <w:r w:rsidRPr="006D3E70">
        <w:rPr>
          <w:lang w:val="fr-FR"/>
        </w:rPr>
        <w:t>est-à-dire à –</w:t>
      </w:r>
      <w:r w:rsidRPr="006D3E70">
        <w:rPr>
          <w:i/>
          <w:lang w:val="fr-FR"/>
        </w:rPr>
        <w:t xml:space="preserve">x </w:t>
      </w:r>
      <w:r w:rsidRPr="006D3E70">
        <w:rPr>
          <w:lang w:val="fr-FR"/>
        </w:rPr>
        <w:t xml:space="preserve">dBc. La puissance </w:t>
      </w:r>
      <w:r w:rsidRPr="006D3E70">
        <w:rPr>
          <w:i/>
          <w:lang w:val="fr-FR"/>
        </w:rPr>
        <w:t>P</w:t>
      </w:r>
      <w:r w:rsidRPr="006D3E70">
        <w:rPr>
          <w:lang w:val="fr-FR"/>
        </w:rPr>
        <w:t xml:space="preserve"> (W) doit être mesurée dans une bande suffisamment large pour inclure la puissance moyenne totale. Les rayonnements dans le domaine des rayonnements non essentiels doivent être mesurés dans les largeurs de bande de référence spécifiées dans la présente Recommandation. La mesure de la puissance des rayonnements dans le domaine des rayonnements non essentiels est indépendante de la valeur de la largeur de bande nécessaire. Il convient de noter que l</w:t>
      </w:r>
      <w:r w:rsidR="00324C7C" w:rsidRPr="006D3E70">
        <w:rPr>
          <w:lang w:val="fr-FR"/>
        </w:rPr>
        <w:t>'</w:t>
      </w:r>
      <w:r w:rsidRPr="006D3E70">
        <w:rPr>
          <w:lang w:val="fr-FR"/>
        </w:rPr>
        <w:t>affaiblissement de 43 + 10 log </w:t>
      </w:r>
      <w:r w:rsidRPr="006D3E70">
        <w:rPr>
          <w:i/>
          <w:lang w:val="fr-FR"/>
        </w:rPr>
        <w:t>P</w:t>
      </w:r>
      <w:r w:rsidRPr="006D3E70">
        <w:rPr>
          <w:lang w:val="fr-FR"/>
        </w:rPr>
        <w:t xml:space="preserve"> donne toujours un niveau absolu de puissance des rayonnements dans le domaine des rayonnements non essentiels de –43 dBW ou –13 dBm. Étant donné que cette limite absolue de puissance d</w:t>
      </w:r>
      <w:r w:rsidR="00324C7C" w:rsidRPr="006D3E70">
        <w:rPr>
          <w:lang w:val="fr-FR"/>
        </w:rPr>
        <w:t>'</w:t>
      </w:r>
      <w:r w:rsidRPr="006D3E70">
        <w:rPr>
          <w:lang w:val="fr-FR"/>
        </w:rPr>
        <w:t>émission peut devenir trop stricte pour les émetteurs de forte puissance, d</w:t>
      </w:r>
      <w:r w:rsidR="00324C7C" w:rsidRPr="006D3E70">
        <w:rPr>
          <w:lang w:val="fr-FR"/>
        </w:rPr>
        <w:t>'</w:t>
      </w:r>
      <w:r w:rsidRPr="006D3E70">
        <w:rPr>
          <w:lang w:val="fr-FR"/>
        </w:rPr>
        <w:t>autres puissances relatives sont également indiquées dans le Tableau 2.</w:t>
      </w:r>
    </w:p>
    <w:p w14:paraId="72586039" w14:textId="77777777" w:rsidR="00532249" w:rsidRPr="006D3E70" w:rsidRDefault="00532249" w:rsidP="00532249">
      <w:pPr>
        <w:pStyle w:val="Headingi"/>
        <w:rPr>
          <w:lang w:val="fr-FR"/>
        </w:rPr>
      </w:pPr>
      <w:r w:rsidRPr="006D3E70">
        <w:rPr>
          <w:lang w:val="fr-FR"/>
        </w:rPr>
        <w:t>Exemple 1</w:t>
      </w:r>
    </w:p>
    <w:p w14:paraId="43705841" w14:textId="466E413A" w:rsidR="00532249" w:rsidRPr="006D3E70" w:rsidRDefault="00532249" w:rsidP="00532249">
      <w:pPr>
        <w:rPr>
          <w:lang w:val="fr-FR"/>
        </w:rPr>
      </w:pPr>
      <w:r w:rsidRPr="006D3E70">
        <w:rPr>
          <w:lang w:val="fr-FR"/>
        </w:rPr>
        <w:t>Pour un émetteur mobile terrestre de largeur de bande nécessaire quelconque, l</w:t>
      </w:r>
      <w:r w:rsidR="00324C7C" w:rsidRPr="006D3E70">
        <w:rPr>
          <w:lang w:val="fr-FR"/>
        </w:rPr>
        <w:t>'</w:t>
      </w:r>
      <w:r w:rsidRPr="006D3E70">
        <w:rPr>
          <w:lang w:val="fr-FR"/>
        </w:rPr>
        <w:t xml:space="preserve">affaiblissement des rayonnements dans le domaine des rayonnements non essentiels doit être de 43 + 10 log </w:t>
      </w:r>
      <w:r w:rsidRPr="006D3E70">
        <w:rPr>
          <w:i/>
          <w:lang w:val="fr-FR"/>
        </w:rPr>
        <w:t>P</w:t>
      </w:r>
      <w:r w:rsidRPr="006D3E70">
        <w:rPr>
          <w:lang w:val="fr-FR"/>
        </w:rPr>
        <w:t xml:space="preserve"> ou de 70 dBc, en retenant la valeur la moins stricte. Pour mesurer les rayonnements du domaine des rayonnements non essentiels entre 30 et 1</w:t>
      </w:r>
      <w:r w:rsidRPr="006D3E70">
        <w:rPr>
          <w:sz w:val="12"/>
          <w:lang w:val="fr-FR"/>
        </w:rPr>
        <w:t> </w:t>
      </w:r>
      <w:r w:rsidRPr="006D3E70">
        <w:rPr>
          <w:lang w:val="fr-FR"/>
        </w:rPr>
        <w:t xml:space="preserve">000 MHz, la présente Recommandation dans son § 4.1 du </w:t>
      </w:r>
      <w:r w:rsidRPr="006D3E70">
        <w:rPr>
          <w:i/>
          <w:lang w:val="fr-FR"/>
        </w:rPr>
        <w:t>recommande</w:t>
      </w:r>
      <w:r w:rsidRPr="006D3E70">
        <w:rPr>
          <w:lang w:val="fr-FR"/>
        </w:rPr>
        <w:t xml:space="preserve"> préconise l</w:t>
      </w:r>
      <w:r w:rsidR="00324C7C" w:rsidRPr="006D3E70">
        <w:rPr>
          <w:lang w:val="fr-FR"/>
        </w:rPr>
        <w:t>'</w:t>
      </w:r>
      <w:r w:rsidRPr="006D3E70">
        <w:rPr>
          <w:lang w:val="fr-FR"/>
        </w:rPr>
        <w:t>utilisation d</w:t>
      </w:r>
      <w:r w:rsidR="00324C7C" w:rsidRPr="006D3E70">
        <w:rPr>
          <w:lang w:val="fr-FR"/>
        </w:rPr>
        <w:t>'</w:t>
      </w:r>
      <w:r w:rsidRPr="006D3E70">
        <w:rPr>
          <w:lang w:val="fr-FR"/>
        </w:rPr>
        <w:t>une largeur de bande de référence de 100 kHz. Pour d</w:t>
      </w:r>
      <w:r w:rsidR="00324C7C" w:rsidRPr="006D3E70">
        <w:rPr>
          <w:lang w:val="fr-FR"/>
        </w:rPr>
        <w:t>'</w:t>
      </w:r>
      <w:r w:rsidRPr="006D3E70">
        <w:rPr>
          <w:lang w:val="fr-FR"/>
        </w:rPr>
        <w:t xml:space="preserve">autres gammes de fréquences, on doit utiliser pour les mesures des largeurs de bande de référence appropriées données au § 4.1 du </w:t>
      </w:r>
      <w:r w:rsidRPr="006D3E70">
        <w:rPr>
          <w:i/>
          <w:lang w:val="fr-FR"/>
        </w:rPr>
        <w:t>recommande</w:t>
      </w:r>
      <w:r w:rsidRPr="006D3E70">
        <w:rPr>
          <w:lang w:val="fr-FR"/>
        </w:rPr>
        <w:t>.</w:t>
      </w:r>
    </w:p>
    <w:p w14:paraId="47F67EAB" w14:textId="77777777" w:rsidR="00532249" w:rsidRPr="006D3E70" w:rsidRDefault="00532249" w:rsidP="00532249">
      <w:pPr>
        <w:pStyle w:val="Headingi"/>
        <w:rPr>
          <w:lang w:val="fr-FR"/>
        </w:rPr>
      </w:pPr>
      <w:r w:rsidRPr="006D3E70">
        <w:rPr>
          <w:lang w:val="fr-FR"/>
        </w:rPr>
        <w:t>Avec une puissance moyenne totale mesurée de 10 W:</w:t>
      </w:r>
    </w:p>
    <w:p w14:paraId="566643C8" w14:textId="77777777" w:rsidR="00532249" w:rsidRPr="006D3E70" w:rsidRDefault="00532249" w:rsidP="00532249">
      <w:pPr>
        <w:pStyle w:val="enumlev1"/>
        <w:rPr>
          <w:lang w:val="fr-FR"/>
        </w:rPr>
      </w:pPr>
      <w:r w:rsidRPr="006D3E70">
        <w:rPr>
          <w:lang w:val="fr-FR"/>
        </w:rPr>
        <w:tab/>
        <w:t>affaiblissement par rapport à la puissance moyenne totale = 43 + 10 log 10 = 53 dB;</w:t>
      </w:r>
    </w:p>
    <w:p w14:paraId="2C432B72" w14:textId="77777777" w:rsidR="00532249" w:rsidRPr="006D3E70" w:rsidRDefault="00532249" w:rsidP="00532249">
      <w:pPr>
        <w:pStyle w:val="enumlev1"/>
        <w:rPr>
          <w:lang w:val="fr-FR"/>
        </w:rPr>
      </w:pPr>
      <w:r w:rsidRPr="006D3E70">
        <w:rPr>
          <w:lang w:val="fr-FR"/>
        </w:rPr>
        <w:tab/>
        <w:t>la valeur de 53 dBc est moins stricte que la valeur de 70 dBc, on retient donc la valeur de 53 dBc.</w:t>
      </w:r>
    </w:p>
    <w:p w14:paraId="27E67B73" w14:textId="77777777" w:rsidR="00532249" w:rsidRPr="006D3E70" w:rsidRDefault="00532249" w:rsidP="00532249">
      <w:pPr>
        <w:rPr>
          <w:lang w:val="fr-FR"/>
        </w:rPr>
      </w:pPr>
      <w:r w:rsidRPr="006D3E70">
        <w:rPr>
          <w:lang w:val="fr-FR"/>
        </w:rPr>
        <w:t>Par conséquent:</w:t>
      </w:r>
    </w:p>
    <w:p w14:paraId="501AA5BF" w14:textId="77777777" w:rsidR="00532249" w:rsidRPr="006D3E70" w:rsidRDefault="00532249" w:rsidP="00532249">
      <w:pPr>
        <w:pStyle w:val="enumlev1"/>
        <w:rPr>
          <w:lang w:val="fr-FR"/>
        </w:rPr>
      </w:pPr>
      <w:r w:rsidRPr="006D3E70">
        <w:rPr>
          <w:lang w:val="fr-FR"/>
        </w:rPr>
        <w:tab/>
        <w:t>les rayonnements dans le domaine des rayonnements non essentiels ne doivent pas être supérieurs à 53 dBc dans une largeur de bande de référence de 100 kHz, ou à son équivalent en valeur absolue;</w:t>
      </w:r>
    </w:p>
    <w:p w14:paraId="2955685B" w14:textId="77777777" w:rsidR="00532249" w:rsidRPr="006D3E70" w:rsidRDefault="00532249" w:rsidP="00532249">
      <w:pPr>
        <w:pStyle w:val="enumlev1"/>
        <w:rPr>
          <w:lang w:val="fr-FR"/>
        </w:rPr>
      </w:pPr>
      <w:r w:rsidRPr="006D3E70">
        <w:rPr>
          <w:lang w:val="fr-FR"/>
        </w:rPr>
        <w:tab/>
        <w:t>les rayonnements dans le domaine des rayonnements non essentiels ne doivent pas être supérieurs à 10 dBW – 53 dBc = –</w:t>
      </w:r>
      <w:r w:rsidRPr="006D3E70">
        <w:rPr>
          <w:sz w:val="4"/>
          <w:lang w:val="fr-FR"/>
        </w:rPr>
        <w:t> </w:t>
      </w:r>
      <w:r w:rsidRPr="006D3E70">
        <w:rPr>
          <w:lang w:val="fr-FR"/>
        </w:rPr>
        <w:t>43 dBW dans une largeur de bande de référence de 100 kHz.</w:t>
      </w:r>
    </w:p>
    <w:p w14:paraId="4C9127FA" w14:textId="77777777" w:rsidR="00532249" w:rsidRPr="006D3E70" w:rsidRDefault="00532249" w:rsidP="00532249">
      <w:pPr>
        <w:pStyle w:val="Headingi"/>
        <w:rPr>
          <w:lang w:val="fr-FR"/>
        </w:rPr>
      </w:pPr>
      <w:r w:rsidRPr="006D3E70">
        <w:rPr>
          <w:lang w:val="fr-FR"/>
        </w:rPr>
        <w:lastRenderedPageBreak/>
        <w:t>Avec une puissance moyenne totale mesurée de 1</w:t>
      </w:r>
      <w:r w:rsidRPr="006D3E70">
        <w:rPr>
          <w:rFonts w:ascii="Tms Rmn" w:hAnsi="Tms Rmn"/>
          <w:sz w:val="12"/>
          <w:lang w:val="fr-FR"/>
        </w:rPr>
        <w:t> </w:t>
      </w:r>
      <w:r w:rsidRPr="006D3E70">
        <w:rPr>
          <w:lang w:val="fr-FR"/>
        </w:rPr>
        <w:t>000 W:</w:t>
      </w:r>
    </w:p>
    <w:p w14:paraId="77B76F25" w14:textId="77777777" w:rsidR="00532249" w:rsidRPr="006D3E70" w:rsidRDefault="00532249" w:rsidP="00532249">
      <w:pPr>
        <w:pStyle w:val="enumlev1"/>
        <w:keepNext/>
        <w:keepLines/>
        <w:rPr>
          <w:lang w:val="fr-FR"/>
        </w:rPr>
      </w:pPr>
      <w:r w:rsidRPr="006D3E70">
        <w:rPr>
          <w:lang w:val="fr-FR"/>
        </w:rPr>
        <w:tab/>
        <w:t>affaiblissement par rapport à la puissance moyenne totale = 43 + 10 log 1</w:t>
      </w:r>
      <w:r w:rsidRPr="006D3E70">
        <w:rPr>
          <w:sz w:val="12"/>
          <w:lang w:val="fr-FR"/>
        </w:rPr>
        <w:t> </w:t>
      </w:r>
      <w:r w:rsidRPr="006D3E70">
        <w:rPr>
          <w:lang w:val="fr-FR"/>
        </w:rPr>
        <w:t>000 = 73 dB;</w:t>
      </w:r>
    </w:p>
    <w:p w14:paraId="532FC9AA" w14:textId="77777777" w:rsidR="00532249" w:rsidRPr="006D3E70" w:rsidRDefault="00532249" w:rsidP="00532249">
      <w:pPr>
        <w:pStyle w:val="enumlev1"/>
        <w:rPr>
          <w:lang w:val="fr-FR"/>
        </w:rPr>
      </w:pPr>
      <w:r w:rsidRPr="006D3E70">
        <w:rPr>
          <w:lang w:val="fr-FR"/>
        </w:rPr>
        <w:tab/>
        <w:t>la valeur de 73 dBc est plus stricte que la limite de 70 dBc, on retient donc la valeur de 70 dBc.</w:t>
      </w:r>
    </w:p>
    <w:p w14:paraId="6B5855E6" w14:textId="77777777" w:rsidR="00532249" w:rsidRPr="006D3E70" w:rsidRDefault="00532249" w:rsidP="00532249">
      <w:pPr>
        <w:rPr>
          <w:lang w:val="fr-FR"/>
        </w:rPr>
      </w:pPr>
      <w:r w:rsidRPr="006D3E70">
        <w:rPr>
          <w:lang w:val="fr-FR"/>
        </w:rPr>
        <w:t>Par conséquent:</w:t>
      </w:r>
    </w:p>
    <w:p w14:paraId="36E43BE9" w14:textId="77777777" w:rsidR="00532249" w:rsidRPr="006D3E70" w:rsidRDefault="00532249" w:rsidP="00532249">
      <w:pPr>
        <w:pStyle w:val="enumlev1"/>
        <w:rPr>
          <w:lang w:val="fr-FR"/>
        </w:rPr>
      </w:pPr>
      <w:r w:rsidRPr="006D3E70">
        <w:rPr>
          <w:lang w:val="fr-FR"/>
        </w:rPr>
        <w:tab/>
        <w:t>les rayonnements dans le domaine des rayonnements non essentiels ne doivent pas être supérieurs à 70 dBc dans une largeur de bande de référence de 100 kHz, ou à son équivalent en valeur absolue;</w:t>
      </w:r>
    </w:p>
    <w:p w14:paraId="6CDB2E16" w14:textId="77777777" w:rsidR="00532249" w:rsidRPr="006D3E70" w:rsidRDefault="00532249" w:rsidP="00532249">
      <w:pPr>
        <w:pStyle w:val="enumlev1"/>
        <w:rPr>
          <w:lang w:val="fr-FR"/>
        </w:rPr>
      </w:pPr>
      <w:r w:rsidRPr="006D3E70">
        <w:rPr>
          <w:lang w:val="fr-FR"/>
        </w:rPr>
        <w:tab/>
        <w:t>les rayonnements dans le domaine des rayonnements non essentiels ne doivent pas être supérieurs à 30 dBW – 70 dBc = –40 dBW dans une largeur de bande de référence de 100 kHz.</w:t>
      </w:r>
    </w:p>
    <w:p w14:paraId="2F83F708" w14:textId="77777777" w:rsidR="00532249" w:rsidRPr="006D3E70" w:rsidRDefault="00532249" w:rsidP="00532249">
      <w:pPr>
        <w:pStyle w:val="Headingi"/>
        <w:rPr>
          <w:lang w:val="fr-FR"/>
        </w:rPr>
      </w:pPr>
      <w:r w:rsidRPr="006D3E70">
        <w:rPr>
          <w:lang w:val="fr-FR"/>
        </w:rPr>
        <w:t>Exemple 2</w:t>
      </w:r>
    </w:p>
    <w:p w14:paraId="74A8BD41" w14:textId="24B9DB65" w:rsidR="00532249" w:rsidRPr="006D3E70" w:rsidRDefault="00532249" w:rsidP="00532249">
      <w:pPr>
        <w:rPr>
          <w:lang w:val="fr-FR"/>
        </w:rPr>
      </w:pPr>
      <w:r w:rsidRPr="006D3E70">
        <w:rPr>
          <w:lang w:val="fr-FR"/>
        </w:rPr>
        <w:t>Pour un émetteur des services spatiaux de largeur de bande nécessaire quelconque, l</w:t>
      </w:r>
      <w:r w:rsidR="00324C7C" w:rsidRPr="006D3E70">
        <w:rPr>
          <w:lang w:val="fr-FR"/>
        </w:rPr>
        <w:t>'</w:t>
      </w:r>
      <w:r w:rsidRPr="006D3E70">
        <w:rPr>
          <w:lang w:val="fr-FR"/>
        </w:rPr>
        <w:t xml:space="preserve">affaiblissement des rayonnements du domaine des rayonnements non essentiels doit être égal à 43 + 10 log </w:t>
      </w:r>
      <w:r w:rsidRPr="006D3E70">
        <w:rPr>
          <w:i/>
          <w:lang w:val="fr-FR"/>
        </w:rPr>
        <w:t>P</w:t>
      </w:r>
      <w:r w:rsidRPr="006D3E70">
        <w:rPr>
          <w:lang w:val="fr-FR"/>
        </w:rPr>
        <w:t>, ou à 60 dBc, en retenant la valeur la moins contraignante. Pour la mesure des rayonnements dans le domaine des rayonnements non essentiels à une fréquence quelconque, la Note</w:t>
      </w:r>
      <w:r w:rsidRPr="006D3E70">
        <w:rPr>
          <w:vertAlign w:val="superscript"/>
          <w:lang w:val="fr-FR"/>
        </w:rPr>
        <w:t>(3)</w:t>
      </w:r>
      <w:r w:rsidRPr="006D3E70">
        <w:rPr>
          <w:lang w:val="fr-FR"/>
        </w:rPr>
        <w:t xml:space="preserve"> du Tableau 2 indique qu</w:t>
      </w:r>
      <w:r w:rsidR="00324C7C" w:rsidRPr="006D3E70">
        <w:rPr>
          <w:lang w:val="fr-FR"/>
        </w:rPr>
        <w:t>'</w:t>
      </w:r>
      <w:r w:rsidRPr="006D3E70">
        <w:rPr>
          <w:lang w:val="fr-FR"/>
        </w:rPr>
        <w:t>il faut utiliser une largeur de bande de référence de 4 kHz.</w:t>
      </w:r>
    </w:p>
    <w:p w14:paraId="08714E2B" w14:textId="77777777" w:rsidR="00532249" w:rsidRPr="006D3E70" w:rsidRDefault="00532249" w:rsidP="00532249">
      <w:pPr>
        <w:pStyle w:val="Headingi"/>
        <w:rPr>
          <w:lang w:val="fr-FR"/>
        </w:rPr>
      </w:pPr>
      <w:r w:rsidRPr="006D3E70">
        <w:rPr>
          <w:lang w:val="fr-FR"/>
        </w:rPr>
        <w:t>Avec une puissance moyenne totale mesurée de 20 W:</w:t>
      </w:r>
    </w:p>
    <w:p w14:paraId="7DD07C4B" w14:textId="77777777" w:rsidR="00532249" w:rsidRPr="006D3E70" w:rsidRDefault="00532249" w:rsidP="00532249">
      <w:pPr>
        <w:pStyle w:val="enumlev1"/>
        <w:rPr>
          <w:lang w:val="fr-FR"/>
        </w:rPr>
      </w:pPr>
      <w:r w:rsidRPr="006D3E70">
        <w:rPr>
          <w:lang w:val="fr-FR"/>
        </w:rPr>
        <w:tab/>
        <w:t>affaiblissement par rapport à la puissance moyenne totale = 43 + 10 log 20 = 56 dB;</w:t>
      </w:r>
    </w:p>
    <w:p w14:paraId="423D3DAF" w14:textId="77777777" w:rsidR="00532249" w:rsidRPr="006D3E70" w:rsidRDefault="00532249" w:rsidP="00532249">
      <w:pPr>
        <w:pStyle w:val="enumlev1"/>
        <w:rPr>
          <w:lang w:val="fr-FR"/>
        </w:rPr>
      </w:pPr>
      <w:r w:rsidRPr="006D3E70">
        <w:rPr>
          <w:lang w:val="fr-FR"/>
        </w:rPr>
        <w:tab/>
        <w:t>la valeur de 56 dBc est moins stricte que la limite de 60 dBc, on retient donc la valeur de 56 dBc.</w:t>
      </w:r>
    </w:p>
    <w:p w14:paraId="427446E7" w14:textId="77777777" w:rsidR="00532249" w:rsidRPr="006D3E70" w:rsidRDefault="00532249" w:rsidP="00532249">
      <w:pPr>
        <w:rPr>
          <w:lang w:val="fr-FR"/>
        </w:rPr>
      </w:pPr>
      <w:r w:rsidRPr="006D3E70">
        <w:rPr>
          <w:lang w:val="fr-FR"/>
        </w:rPr>
        <w:t>Par conséquent:</w:t>
      </w:r>
    </w:p>
    <w:p w14:paraId="01D0EE14" w14:textId="77777777" w:rsidR="00532249" w:rsidRPr="006D3E70" w:rsidRDefault="00532249" w:rsidP="00532249">
      <w:pPr>
        <w:pStyle w:val="enumlev1"/>
        <w:rPr>
          <w:lang w:val="fr-FR"/>
        </w:rPr>
      </w:pPr>
      <w:r w:rsidRPr="006D3E70">
        <w:rPr>
          <w:lang w:val="fr-FR"/>
        </w:rPr>
        <w:tab/>
        <w:t>les rayonnements dans le domaine des rayonnements non essentiels ne doivent pas être supérieurs à 56 dBc dans une largeur de bande de référence de 4 kHz, ou à son équivalent en valeur absolue;</w:t>
      </w:r>
    </w:p>
    <w:p w14:paraId="474A26CB" w14:textId="77777777" w:rsidR="00532249" w:rsidRPr="006D3E70" w:rsidRDefault="00532249" w:rsidP="00532249">
      <w:pPr>
        <w:pStyle w:val="enumlev1"/>
        <w:rPr>
          <w:lang w:val="fr-FR"/>
        </w:rPr>
      </w:pPr>
      <w:r w:rsidRPr="006D3E70">
        <w:rPr>
          <w:lang w:val="fr-FR"/>
        </w:rPr>
        <w:tab/>
        <w:t>les rayonnements dans le domaine des rayonnements non essentiels ne doivent pas être supérieurs à 13 dBW – 56 dBc = –</w:t>
      </w:r>
      <w:r w:rsidRPr="006D3E70">
        <w:rPr>
          <w:sz w:val="4"/>
          <w:lang w:val="fr-FR"/>
        </w:rPr>
        <w:t> </w:t>
      </w:r>
      <w:r w:rsidRPr="006D3E70">
        <w:rPr>
          <w:lang w:val="fr-FR"/>
        </w:rPr>
        <w:t>43 dBW dans une largeur de bande de référence de 4 kHz.</w:t>
      </w:r>
    </w:p>
    <w:p w14:paraId="02BF1610" w14:textId="77777777" w:rsidR="00532249" w:rsidRPr="006D3E70" w:rsidRDefault="00532249" w:rsidP="00F44007">
      <w:pPr>
        <w:pStyle w:val="TableNo"/>
        <w:keepNext w:val="0"/>
        <w:rPr>
          <w:lang w:val="fr-FR"/>
        </w:rPr>
      </w:pPr>
      <w:r w:rsidRPr="006D3E70">
        <w:rPr>
          <w:lang w:val="fr-FR"/>
        </w:rPr>
        <w:t>TABLEAU 8</w:t>
      </w:r>
    </w:p>
    <w:p w14:paraId="77BE25E5" w14:textId="77777777" w:rsidR="00532249" w:rsidRPr="006D3E70" w:rsidRDefault="00532249" w:rsidP="00F44007">
      <w:pPr>
        <w:pStyle w:val="Tabletitle"/>
        <w:keepNext w:val="0"/>
        <w:rPr>
          <w:lang w:val="fr-FR"/>
        </w:rPr>
      </w:pPr>
      <w:r w:rsidRPr="006D3E70">
        <w:rPr>
          <w:lang w:val="fr-FR"/>
        </w:rPr>
        <w:t>Niveaux absolus de la catégorie A des rayonnements</w:t>
      </w:r>
      <w:r w:rsidRPr="006D3E70">
        <w:rPr>
          <w:lang w:val="fr-FR"/>
        </w:rPr>
        <w:br/>
        <w:t>dans le domaine des rayonnements non essentiels</w:t>
      </w:r>
    </w:p>
    <w:tbl>
      <w:tblPr>
        <w:tblW w:w="9640"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4218"/>
        <w:gridCol w:w="5422"/>
      </w:tblGrid>
      <w:tr w:rsidR="00532249" w:rsidRPr="006D3E70" w14:paraId="5FA70FE1" w14:textId="77777777" w:rsidTr="00F44007">
        <w:trPr>
          <w:tblHeader/>
          <w:jc w:val="center"/>
        </w:trPr>
        <w:tc>
          <w:tcPr>
            <w:tcW w:w="4218" w:type="dxa"/>
            <w:tcBorders>
              <w:top w:val="single" w:sz="6" w:space="0" w:color="auto"/>
              <w:left w:val="single" w:sz="6" w:space="0" w:color="auto"/>
              <w:bottom w:val="single" w:sz="6" w:space="0" w:color="auto"/>
              <w:right w:val="single" w:sz="6" w:space="0" w:color="auto"/>
            </w:tcBorders>
            <w:vAlign w:val="center"/>
          </w:tcPr>
          <w:p w14:paraId="54C0CA56" w14:textId="07FDC14C" w:rsidR="00532249" w:rsidRPr="006D3E70" w:rsidRDefault="00532249" w:rsidP="00F44007">
            <w:pPr>
              <w:pStyle w:val="Tablehead"/>
              <w:keepNext w:val="0"/>
              <w:rPr>
                <w:lang w:val="fr-FR"/>
              </w:rPr>
            </w:pPr>
            <w:r w:rsidRPr="006D3E70">
              <w:rPr>
                <w:lang w:val="fr-FR"/>
              </w:rPr>
              <w:t xml:space="preserve">Catégorie de service conformément </w:t>
            </w:r>
            <w:r w:rsidRPr="006D3E70">
              <w:rPr>
                <w:lang w:val="fr-FR"/>
              </w:rPr>
              <w:br/>
              <w:t>à l</w:t>
            </w:r>
            <w:r w:rsidR="00324C7C" w:rsidRPr="006D3E70">
              <w:rPr>
                <w:lang w:val="fr-FR"/>
              </w:rPr>
              <w:t>'</w:t>
            </w:r>
            <w:r w:rsidRPr="006D3E70">
              <w:rPr>
                <w:lang w:val="fr-FR"/>
              </w:rPr>
              <w:t>Article 1 du RR</w:t>
            </w:r>
            <w:r w:rsidRPr="006D3E70">
              <w:rPr>
                <w:lang w:val="fr-FR"/>
              </w:rPr>
              <w:br/>
              <w:t>ou type d</w:t>
            </w:r>
            <w:r w:rsidR="00324C7C" w:rsidRPr="006D3E70">
              <w:rPr>
                <w:lang w:val="fr-FR"/>
              </w:rPr>
              <w:t>'</w:t>
            </w:r>
            <w:r w:rsidRPr="006D3E70">
              <w:rPr>
                <w:lang w:val="fr-FR"/>
              </w:rPr>
              <w:t>équipement</w:t>
            </w:r>
            <w:r w:rsidRPr="006D3E70">
              <w:rPr>
                <w:vertAlign w:val="superscript"/>
                <w:lang w:val="fr-FR"/>
              </w:rPr>
              <w:t>(1), (2)</w:t>
            </w:r>
          </w:p>
        </w:tc>
        <w:tc>
          <w:tcPr>
            <w:tcW w:w="5422" w:type="dxa"/>
            <w:tcBorders>
              <w:top w:val="single" w:sz="6" w:space="0" w:color="auto"/>
              <w:left w:val="single" w:sz="6" w:space="0" w:color="auto"/>
              <w:bottom w:val="single" w:sz="6" w:space="0" w:color="auto"/>
              <w:right w:val="single" w:sz="6" w:space="0" w:color="auto"/>
            </w:tcBorders>
            <w:vAlign w:val="center"/>
          </w:tcPr>
          <w:p w14:paraId="031F37A9" w14:textId="2250290A" w:rsidR="00532249" w:rsidRPr="006D3E70" w:rsidRDefault="00532249" w:rsidP="00F44007">
            <w:pPr>
              <w:pStyle w:val="Tablehead"/>
              <w:keepNext w:val="0"/>
              <w:rPr>
                <w:lang w:val="fr-FR"/>
              </w:rPr>
            </w:pPr>
            <w:r w:rsidRPr="006D3E70">
              <w:rPr>
                <w:lang w:val="fr-FR"/>
              </w:rPr>
              <w:t>Puissance maximale (dBm) autorisée des rayonnements dans le domaine des rayonnements non essentiels</w:t>
            </w:r>
            <w:r w:rsidRPr="006D3E70">
              <w:rPr>
                <w:lang w:val="fr-FR"/>
              </w:rPr>
              <w:br/>
              <w:t xml:space="preserve">dans les largeurs de bande de référence applicables </w:t>
            </w:r>
            <w:r w:rsidRPr="006D3E70">
              <w:rPr>
                <w:lang w:val="fr-FR"/>
              </w:rPr>
              <w:br/>
              <w:t xml:space="preserve">(voir le § 4.1 du </w:t>
            </w:r>
            <w:r w:rsidRPr="006D3E70">
              <w:rPr>
                <w:i/>
                <w:iCs/>
                <w:lang w:val="fr-FR"/>
              </w:rPr>
              <w:t>recommande</w:t>
            </w:r>
            <w:r w:rsidRPr="006D3E70">
              <w:rPr>
                <w:lang w:val="fr-FR"/>
              </w:rPr>
              <w:t xml:space="preserve">) et les puissances </w:t>
            </w:r>
            <w:r w:rsidRPr="006D3E70">
              <w:rPr>
                <w:i/>
                <w:iCs/>
                <w:lang w:val="fr-FR"/>
              </w:rPr>
              <w:t>P</w:t>
            </w:r>
            <w:r w:rsidRPr="006D3E70">
              <w:rPr>
                <w:lang w:val="fr-FR"/>
              </w:rPr>
              <w:t>, puissance d</w:t>
            </w:r>
            <w:r w:rsidR="00324C7C" w:rsidRPr="006D3E70">
              <w:rPr>
                <w:lang w:val="fr-FR"/>
              </w:rPr>
              <w:t>'</w:t>
            </w:r>
            <w:r w:rsidRPr="006D3E70">
              <w:rPr>
                <w:lang w:val="fr-FR"/>
              </w:rPr>
              <w:t>enveloppe de crête (</w:t>
            </w:r>
            <w:r w:rsidRPr="006D3E70">
              <w:rPr>
                <w:i/>
                <w:iCs/>
                <w:lang w:val="fr-FR"/>
              </w:rPr>
              <w:t>PEP</w:t>
            </w:r>
            <w:r w:rsidRPr="006D3E70">
              <w:rPr>
                <w:lang w:val="fr-FR"/>
              </w:rPr>
              <w:t xml:space="preserve">) et </w:t>
            </w:r>
            <w:r w:rsidRPr="006D3E70">
              <w:rPr>
                <w:i/>
                <w:iCs/>
                <w:lang w:val="fr-FR"/>
              </w:rPr>
              <w:t>X</w:t>
            </w:r>
            <w:r w:rsidRPr="006D3E70">
              <w:rPr>
                <w:lang w:val="fr-FR"/>
              </w:rPr>
              <w:t> (W)</w:t>
            </w:r>
          </w:p>
        </w:tc>
      </w:tr>
      <w:tr w:rsidR="00532249" w:rsidRPr="006D3E70" w14:paraId="18E48B2C" w14:textId="77777777" w:rsidTr="009B33DD">
        <w:trPr>
          <w:jc w:val="center"/>
        </w:trPr>
        <w:tc>
          <w:tcPr>
            <w:tcW w:w="4218" w:type="dxa"/>
            <w:tcBorders>
              <w:top w:val="single" w:sz="6" w:space="0" w:color="auto"/>
              <w:left w:val="single" w:sz="6" w:space="0" w:color="auto"/>
              <w:bottom w:val="single" w:sz="6" w:space="0" w:color="auto"/>
              <w:right w:val="single" w:sz="6" w:space="0" w:color="auto"/>
            </w:tcBorders>
          </w:tcPr>
          <w:p w14:paraId="27192181" w14:textId="41A49479" w:rsidR="00532249" w:rsidRPr="006D3E70" w:rsidRDefault="00532249" w:rsidP="00F44007">
            <w:pPr>
              <w:pStyle w:val="Tabletext"/>
              <w:jc w:val="left"/>
              <w:rPr>
                <w:lang w:val="fr-FR"/>
              </w:rPr>
            </w:pPr>
            <w:r w:rsidRPr="006D3E70">
              <w:rPr>
                <w:lang w:val="fr-FR"/>
              </w:rPr>
              <w:t>Tous les services à l</w:t>
            </w:r>
            <w:r w:rsidR="00324C7C" w:rsidRPr="006D3E70">
              <w:rPr>
                <w:lang w:val="fr-FR"/>
              </w:rPr>
              <w:t>'</w:t>
            </w:r>
            <w:r w:rsidRPr="006D3E70">
              <w:rPr>
                <w:lang w:val="fr-FR"/>
              </w:rPr>
              <w:t>exception des services énumérés ci-dessous</w:t>
            </w:r>
          </w:p>
        </w:tc>
        <w:tc>
          <w:tcPr>
            <w:tcW w:w="5422" w:type="dxa"/>
            <w:tcBorders>
              <w:top w:val="single" w:sz="6" w:space="0" w:color="auto"/>
              <w:left w:val="single" w:sz="6" w:space="0" w:color="auto"/>
              <w:bottom w:val="single" w:sz="6" w:space="0" w:color="auto"/>
              <w:right w:val="single" w:sz="6" w:space="0" w:color="auto"/>
            </w:tcBorders>
          </w:tcPr>
          <w:p w14:paraId="0A271886" w14:textId="77777777" w:rsidR="00532249" w:rsidRPr="006D3E70" w:rsidRDefault="00532249" w:rsidP="00F44007">
            <w:pPr>
              <w:pStyle w:val="Tabletext"/>
              <w:framePr w:hSpace="181" w:wrap="notBeside" w:vAnchor="text" w:hAnchor="text" w:xAlign="center" w:y="1"/>
              <w:spacing w:before="60" w:after="60"/>
              <w:jc w:val="left"/>
              <w:rPr>
                <w:lang w:val="fr-FR"/>
              </w:rPr>
            </w:pPr>
            <w:r w:rsidRPr="006D3E70">
              <w:rPr>
                <w:lang w:val="fr-FR"/>
              </w:rPr>
              <w:t>–13 dBm</w:t>
            </w:r>
            <w:r w:rsidRPr="006D3E70">
              <w:rPr>
                <w:lang w:val="fr-FR"/>
              </w:rPr>
              <w:tab/>
            </w:r>
            <w:r w:rsidRPr="006D3E70">
              <w:rPr>
                <w:lang w:val="fr-FR"/>
              </w:rPr>
              <w:tab/>
            </w:r>
            <w:r w:rsidRPr="006D3E70">
              <w:rPr>
                <w:lang w:val="fr-FR"/>
              </w:rPr>
              <w:tab/>
            </w:r>
            <w:r w:rsidRPr="006D3E70">
              <w:rPr>
                <w:lang w:val="fr-FR"/>
              </w:rPr>
              <w:tab/>
              <w:t xml:space="preserve">pour </w:t>
            </w:r>
            <w:r w:rsidRPr="006D3E70">
              <w:rPr>
                <w:i/>
                <w:iCs/>
                <w:lang w:val="fr-FR"/>
              </w:rPr>
              <w:t>P</w:t>
            </w:r>
            <w:r w:rsidRPr="006D3E70">
              <w:rPr>
                <w:lang w:val="fr-FR"/>
              </w:rPr>
              <w:t xml:space="preserve"> </w:t>
            </w:r>
            <w:r w:rsidRPr="006D3E70">
              <w:rPr>
                <w:szCs w:val="18"/>
                <w:lang w:val="fr-FR"/>
              </w:rPr>
              <w:sym w:font="Symbol" w:char="F0A3"/>
            </w:r>
            <w:r w:rsidRPr="006D3E70">
              <w:rPr>
                <w:lang w:val="fr-FR"/>
              </w:rPr>
              <w:t xml:space="preserve"> 500 W</w:t>
            </w:r>
            <w:r w:rsidRPr="006D3E70">
              <w:rPr>
                <w:lang w:val="fr-FR"/>
              </w:rPr>
              <w:br/>
              <w:t xml:space="preserve">10 log </w:t>
            </w:r>
            <w:r w:rsidRPr="006D3E70">
              <w:rPr>
                <w:i/>
                <w:iCs/>
                <w:lang w:val="fr-FR"/>
              </w:rPr>
              <w:t>P</w:t>
            </w:r>
            <w:r w:rsidRPr="006D3E70">
              <w:rPr>
                <w:lang w:val="fr-FR"/>
              </w:rPr>
              <w:t> – 40</w:t>
            </w:r>
            <w:r w:rsidRPr="006D3E70">
              <w:rPr>
                <w:lang w:val="fr-FR"/>
              </w:rPr>
              <w:tab/>
            </w:r>
            <w:r w:rsidRPr="006D3E70">
              <w:rPr>
                <w:lang w:val="fr-FR"/>
              </w:rPr>
              <w:tab/>
              <w:t xml:space="preserve">pour </w:t>
            </w:r>
            <w:r w:rsidRPr="006D3E70">
              <w:rPr>
                <w:i/>
                <w:iCs/>
                <w:lang w:val="fr-FR"/>
              </w:rPr>
              <w:t>P</w:t>
            </w:r>
            <w:r w:rsidRPr="006D3E70">
              <w:rPr>
                <w:lang w:val="fr-FR"/>
              </w:rPr>
              <w:t xml:space="preserve"> </w:t>
            </w:r>
            <w:r w:rsidRPr="006D3E70">
              <w:rPr>
                <w:szCs w:val="18"/>
                <w:lang w:val="fr-FR"/>
              </w:rPr>
              <w:sym w:font="Symbol" w:char="F03E"/>
            </w:r>
            <w:r w:rsidRPr="006D3E70">
              <w:rPr>
                <w:lang w:val="fr-FR"/>
              </w:rPr>
              <w:t xml:space="preserve"> 500 W</w:t>
            </w:r>
          </w:p>
        </w:tc>
      </w:tr>
      <w:tr w:rsidR="00532249" w:rsidRPr="006D3E70" w14:paraId="3C8D0A30" w14:textId="77777777" w:rsidTr="009B33DD">
        <w:trPr>
          <w:jc w:val="center"/>
        </w:trPr>
        <w:tc>
          <w:tcPr>
            <w:tcW w:w="4218" w:type="dxa"/>
            <w:tcBorders>
              <w:top w:val="single" w:sz="6" w:space="0" w:color="auto"/>
              <w:left w:val="single" w:sz="6" w:space="0" w:color="auto"/>
              <w:bottom w:val="single" w:sz="6" w:space="0" w:color="auto"/>
              <w:right w:val="single" w:sz="6" w:space="0" w:color="auto"/>
            </w:tcBorders>
          </w:tcPr>
          <w:p w14:paraId="12BBDD32" w14:textId="77777777" w:rsidR="00532249" w:rsidRPr="006D3E70" w:rsidRDefault="00532249" w:rsidP="00F44007">
            <w:pPr>
              <w:pStyle w:val="Tabletext"/>
              <w:jc w:val="left"/>
              <w:rPr>
                <w:lang w:val="fr-FR"/>
              </w:rPr>
            </w:pPr>
            <w:r w:rsidRPr="006D3E70">
              <w:rPr>
                <w:lang w:val="fr-FR"/>
              </w:rPr>
              <w:t>Services spatiaux</w:t>
            </w:r>
            <w:r w:rsidRPr="006D3E70">
              <w:rPr>
                <w:lang w:val="fr-FR"/>
              </w:rPr>
              <w:br/>
              <w:t>(stations terriennes mobiles)</w:t>
            </w:r>
            <w:r w:rsidRPr="006D3E70">
              <w:rPr>
                <w:vertAlign w:val="superscript"/>
                <w:lang w:val="fr-FR"/>
              </w:rPr>
              <w:t>(3), (4)</w:t>
            </w:r>
          </w:p>
        </w:tc>
        <w:tc>
          <w:tcPr>
            <w:tcW w:w="5422" w:type="dxa"/>
            <w:tcBorders>
              <w:top w:val="single" w:sz="6" w:space="0" w:color="auto"/>
              <w:left w:val="single" w:sz="6" w:space="0" w:color="auto"/>
              <w:bottom w:val="single" w:sz="6" w:space="0" w:color="auto"/>
              <w:right w:val="single" w:sz="6" w:space="0" w:color="auto"/>
            </w:tcBorders>
          </w:tcPr>
          <w:p w14:paraId="4C218235" w14:textId="77777777" w:rsidR="00532249" w:rsidRPr="006D3E70" w:rsidRDefault="00532249" w:rsidP="00F44007">
            <w:pPr>
              <w:pStyle w:val="Tabletext"/>
              <w:framePr w:hSpace="181" w:wrap="notBeside" w:vAnchor="text" w:hAnchor="text" w:xAlign="center" w:y="1"/>
              <w:spacing w:before="60" w:after="60"/>
              <w:jc w:val="left"/>
              <w:rPr>
                <w:lang w:val="fr-FR"/>
              </w:rPr>
            </w:pPr>
            <w:r w:rsidRPr="006D3E70">
              <w:rPr>
                <w:lang w:val="fr-FR"/>
              </w:rPr>
              <w:t>–13 dBm</w:t>
            </w:r>
            <w:r w:rsidRPr="006D3E70">
              <w:rPr>
                <w:lang w:val="fr-FR"/>
              </w:rPr>
              <w:tab/>
            </w:r>
            <w:r w:rsidRPr="006D3E70">
              <w:rPr>
                <w:lang w:val="fr-FR"/>
              </w:rPr>
              <w:tab/>
            </w:r>
            <w:r w:rsidRPr="006D3E70">
              <w:rPr>
                <w:lang w:val="fr-FR"/>
              </w:rPr>
              <w:tab/>
            </w:r>
            <w:r w:rsidRPr="006D3E70">
              <w:rPr>
                <w:lang w:val="fr-FR"/>
              </w:rPr>
              <w:tab/>
              <w:t xml:space="preserve">pour </w:t>
            </w:r>
            <w:r w:rsidRPr="006D3E70">
              <w:rPr>
                <w:i/>
                <w:iCs/>
                <w:lang w:val="fr-FR"/>
              </w:rPr>
              <w:t>P</w:t>
            </w:r>
            <w:r w:rsidRPr="006D3E70">
              <w:rPr>
                <w:lang w:val="fr-FR"/>
              </w:rPr>
              <w:t xml:space="preserve"> </w:t>
            </w:r>
            <w:r w:rsidRPr="006D3E70">
              <w:rPr>
                <w:szCs w:val="18"/>
                <w:lang w:val="fr-FR"/>
              </w:rPr>
              <w:sym w:font="Symbol" w:char="F0A3"/>
            </w:r>
            <w:r w:rsidRPr="006D3E70">
              <w:rPr>
                <w:lang w:val="fr-FR"/>
              </w:rPr>
              <w:t xml:space="preserve"> 50 W</w:t>
            </w:r>
            <w:r w:rsidRPr="006D3E70">
              <w:rPr>
                <w:lang w:val="fr-FR"/>
              </w:rPr>
              <w:br/>
              <w:t xml:space="preserve">10 log </w:t>
            </w:r>
            <w:r w:rsidRPr="006D3E70">
              <w:rPr>
                <w:i/>
                <w:iCs/>
                <w:lang w:val="fr-FR"/>
              </w:rPr>
              <w:t>P</w:t>
            </w:r>
            <w:r w:rsidRPr="006D3E70">
              <w:rPr>
                <w:lang w:val="fr-FR"/>
              </w:rPr>
              <w:t> – 30</w:t>
            </w:r>
            <w:r w:rsidRPr="006D3E70">
              <w:rPr>
                <w:lang w:val="fr-FR"/>
              </w:rPr>
              <w:tab/>
            </w:r>
            <w:r w:rsidRPr="006D3E70">
              <w:rPr>
                <w:lang w:val="fr-FR"/>
              </w:rPr>
              <w:tab/>
              <w:t xml:space="preserve">pour </w:t>
            </w:r>
            <w:r w:rsidRPr="006D3E70">
              <w:rPr>
                <w:i/>
                <w:iCs/>
                <w:lang w:val="fr-FR"/>
              </w:rPr>
              <w:t>P</w:t>
            </w:r>
            <w:r w:rsidRPr="006D3E70">
              <w:rPr>
                <w:lang w:val="fr-FR"/>
              </w:rPr>
              <w:t xml:space="preserve"> </w:t>
            </w:r>
            <w:r w:rsidRPr="006D3E70">
              <w:rPr>
                <w:szCs w:val="18"/>
                <w:lang w:val="fr-FR"/>
              </w:rPr>
              <w:sym w:font="Symbol" w:char="F03E"/>
            </w:r>
            <w:r w:rsidRPr="006D3E70">
              <w:rPr>
                <w:lang w:val="fr-FR"/>
              </w:rPr>
              <w:t xml:space="preserve"> 50 W</w:t>
            </w:r>
          </w:p>
        </w:tc>
      </w:tr>
      <w:tr w:rsidR="00F44007" w:rsidRPr="006D3E70" w14:paraId="38ED063C" w14:textId="77777777" w:rsidTr="009B33DD">
        <w:trPr>
          <w:jc w:val="center"/>
        </w:trPr>
        <w:tc>
          <w:tcPr>
            <w:tcW w:w="4218" w:type="dxa"/>
            <w:tcBorders>
              <w:top w:val="single" w:sz="6" w:space="0" w:color="auto"/>
              <w:left w:val="single" w:sz="6" w:space="0" w:color="auto"/>
              <w:bottom w:val="single" w:sz="6" w:space="0" w:color="auto"/>
              <w:right w:val="single" w:sz="6" w:space="0" w:color="auto"/>
            </w:tcBorders>
          </w:tcPr>
          <w:p w14:paraId="521EBDA5" w14:textId="56752E2E" w:rsidR="00F44007" w:rsidRPr="006D3E70" w:rsidRDefault="00F44007" w:rsidP="00F44007">
            <w:pPr>
              <w:pStyle w:val="Tabletext"/>
              <w:jc w:val="left"/>
              <w:rPr>
                <w:lang w:val="fr-FR"/>
              </w:rPr>
            </w:pPr>
            <w:r w:rsidRPr="006D3E70">
              <w:rPr>
                <w:lang w:val="fr-FR"/>
              </w:rPr>
              <w:t>Services spatiaux</w:t>
            </w:r>
            <w:r w:rsidRPr="006D3E70">
              <w:rPr>
                <w:lang w:val="fr-FR"/>
              </w:rPr>
              <w:br/>
              <w:t>(stations terriennes fixes)</w:t>
            </w:r>
            <w:r w:rsidRPr="006D3E70">
              <w:rPr>
                <w:vertAlign w:val="superscript"/>
                <w:lang w:val="fr-FR"/>
              </w:rPr>
              <w:t>(3), (4)</w:t>
            </w:r>
          </w:p>
        </w:tc>
        <w:tc>
          <w:tcPr>
            <w:tcW w:w="5422" w:type="dxa"/>
            <w:tcBorders>
              <w:top w:val="single" w:sz="6" w:space="0" w:color="auto"/>
              <w:left w:val="single" w:sz="6" w:space="0" w:color="auto"/>
              <w:bottom w:val="single" w:sz="6" w:space="0" w:color="auto"/>
              <w:right w:val="single" w:sz="6" w:space="0" w:color="auto"/>
            </w:tcBorders>
          </w:tcPr>
          <w:p w14:paraId="005E3392" w14:textId="68797898" w:rsidR="00F44007" w:rsidRPr="006D3E70" w:rsidRDefault="00F44007" w:rsidP="00F44007">
            <w:pPr>
              <w:pStyle w:val="Tabletext"/>
              <w:framePr w:hSpace="181" w:wrap="notBeside" w:vAnchor="text" w:hAnchor="text" w:xAlign="center" w:y="1"/>
              <w:spacing w:before="60" w:after="60"/>
              <w:jc w:val="left"/>
              <w:rPr>
                <w:lang w:val="fr-FR"/>
              </w:rPr>
            </w:pPr>
            <w:r w:rsidRPr="006D3E70">
              <w:rPr>
                <w:lang w:val="fr-FR"/>
              </w:rPr>
              <w:t>–13 dBm</w:t>
            </w:r>
            <w:r w:rsidRPr="006D3E70">
              <w:rPr>
                <w:lang w:val="fr-FR"/>
              </w:rPr>
              <w:tab/>
            </w:r>
            <w:r w:rsidRPr="006D3E70">
              <w:rPr>
                <w:lang w:val="fr-FR"/>
              </w:rPr>
              <w:tab/>
            </w:r>
            <w:r w:rsidRPr="006D3E70">
              <w:rPr>
                <w:lang w:val="fr-FR"/>
              </w:rPr>
              <w:tab/>
            </w:r>
            <w:r w:rsidRPr="006D3E70">
              <w:rPr>
                <w:lang w:val="fr-FR"/>
              </w:rPr>
              <w:tab/>
              <w:t xml:space="preserve">pour </w:t>
            </w:r>
            <w:r w:rsidRPr="006D3E70">
              <w:rPr>
                <w:i/>
                <w:iCs/>
                <w:lang w:val="fr-FR"/>
              </w:rPr>
              <w:t>P</w:t>
            </w:r>
            <w:r w:rsidRPr="006D3E70">
              <w:rPr>
                <w:lang w:val="fr-FR"/>
              </w:rPr>
              <w:t xml:space="preserve"> </w:t>
            </w:r>
            <w:r w:rsidRPr="006D3E70">
              <w:rPr>
                <w:szCs w:val="18"/>
                <w:lang w:val="fr-FR"/>
              </w:rPr>
              <w:sym w:font="Symbol" w:char="F0A3"/>
            </w:r>
            <w:r w:rsidRPr="006D3E70">
              <w:rPr>
                <w:lang w:val="fr-FR"/>
              </w:rPr>
              <w:t xml:space="preserve"> 50 W</w:t>
            </w:r>
            <w:r w:rsidRPr="006D3E70">
              <w:rPr>
                <w:lang w:val="fr-FR"/>
              </w:rPr>
              <w:br/>
              <w:t xml:space="preserve">10 log </w:t>
            </w:r>
            <w:r w:rsidRPr="006D3E70">
              <w:rPr>
                <w:i/>
                <w:iCs/>
                <w:lang w:val="fr-FR"/>
              </w:rPr>
              <w:t>P</w:t>
            </w:r>
            <w:r w:rsidRPr="006D3E70">
              <w:rPr>
                <w:lang w:val="fr-FR"/>
              </w:rPr>
              <w:t> – 30</w:t>
            </w:r>
            <w:r w:rsidRPr="006D3E70">
              <w:rPr>
                <w:lang w:val="fr-FR"/>
              </w:rPr>
              <w:tab/>
            </w:r>
            <w:r w:rsidRPr="006D3E70">
              <w:rPr>
                <w:lang w:val="fr-FR"/>
              </w:rPr>
              <w:tab/>
              <w:t xml:space="preserve">pour </w:t>
            </w:r>
            <w:r w:rsidRPr="006D3E70">
              <w:rPr>
                <w:i/>
                <w:iCs/>
                <w:lang w:val="fr-FR"/>
              </w:rPr>
              <w:t>P</w:t>
            </w:r>
            <w:r w:rsidRPr="006D3E70">
              <w:rPr>
                <w:lang w:val="fr-FR"/>
              </w:rPr>
              <w:t xml:space="preserve"> </w:t>
            </w:r>
            <w:r w:rsidRPr="006D3E70">
              <w:rPr>
                <w:szCs w:val="18"/>
                <w:lang w:val="fr-FR"/>
              </w:rPr>
              <w:sym w:font="Symbol" w:char="F03E"/>
            </w:r>
            <w:r w:rsidRPr="006D3E70">
              <w:rPr>
                <w:lang w:val="fr-FR"/>
              </w:rPr>
              <w:t xml:space="preserve"> 50 W</w:t>
            </w:r>
          </w:p>
        </w:tc>
      </w:tr>
    </w:tbl>
    <w:p w14:paraId="37F304F2" w14:textId="6BD5BE48" w:rsidR="00F44007" w:rsidRPr="006D3E70" w:rsidRDefault="00F44007" w:rsidP="00F44007">
      <w:pPr>
        <w:pStyle w:val="TableNo"/>
        <w:keepNext w:val="0"/>
        <w:rPr>
          <w:lang w:val="fr-FR"/>
        </w:rPr>
      </w:pPr>
      <w:r w:rsidRPr="006D3E70">
        <w:rPr>
          <w:lang w:val="fr-FR"/>
        </w:rPr>
        <w:lastRenderedPageBreak/>
        <w:t>TABLEAU 8</w:t>
      </w:r>
      <w:r w:rsidRPr="006D3E70">
        <w:rPr>
          <w:lang w:val="fr-FR"/>
        </w:rPr>
        <w:t xml:space="preserve"> (</w:t>
      </w:r>
      <w:r w:rsidRPr="006D3E70">
        <w:rPr>
          <w:i/>
          <w:iCs/>
          <w:lang w:val="fr-FR"/>
        </w:rPr>
        <w:t>fin</w:t>
      </w:r>
      <w:r w:rsidRPr="006D3E70">
        <w:rPr>
          <w:lang w:val="fr-FR"/>
        </w:rPr>
        <w:t>)</w:t>
      </w:r>
    </w:p>
    <w:tbl>
      <w:tblPr>
        <w:tblW w:w="9640" w:type="dxa"/>
        <w:jc w:val="center"/>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4215"/>
        <w:gridCol w:w="5417"/>
        <w:gridCol w:w="8"/>
      </w:tblGrid>
      <w:tr w:rsidR="00F44007" w:rsidRPr="006D3E70" w14:paraId="73D58007" w14:textId="77777777" w:rsidTr="00F44007">
        <w:trPr>
          <w:jc w:val="center"/>
        </w:trPr>
        <w:tc>
          <w:tcPr>
            <w:tcW w:w="4218" w:type="dxa"/>
            <w:tcBorders>
              <w:top w:val="single" w:sz="6" w:space="0" w:color="auto"/>
              <w:left w:val="single" w:sz="6" w:space="0" w:color="auto"/>
              <w:bottom w:val="single" w:sz="6" w:space="0" w:color="auto"/>
              <w:right w:val="single" w:sz="6" w:space="0" w:color="auto"/>
            </w:tcBorders>
            <w:vAlign w:val="center"/>
          </w:tcPr>
          <w:p w14:paraId="26100D4B" w14:textId="1A470CCD" w:rsidR="00F44007" w:rsidRPr="006D3E70" w:rsidRDefault="00F44007" w:rsidP="00F44007">
            <w:pPr>
              <w:pStyle w:val="Tablehead"/>
              <w:keepNext w:val="0"/>
              <w:rPr>
                <w:lang w:val="fr-FR"/>
              </w:rPr>
            </w:pPr>
            <w:r w:rsidRPr="006D3E70">
              <w:rPr>
                <w:lang w:val="fr-FR"/>
              </w:rPr>
              <w:t xml:space="preserve">Catégorie de service conformément </w:t>
            </w:r>
            <w:r w:rsidRPr="006D3E70">
              <w:rPr>
                <w:lang w:val="fr-FR"/>
              </w:rPr>
              <w:br/>
              <w:t>à l</w:t>
            </w:r>
            <w:r w:rsidR="00324C7C" w:rsidRPr="006D3E70">
              <w:rPr>
                <w:lang w:val="fr-FR"/>
              </w:rPr>
              <w:t>'</w:t>
            </w:r>
            <w:r w:rsidRPr="006D3E70">
              <w:rPr>
                <w:lang w:val="fr-FR"/>
              </w:rPr>
              <w:t>Article 1 du RR</w:t>
            </w:r>
            <w:r w:rsidRPr="006D3E70">
              <w:rPr>
                <w:lang w:val="fr-FR"/>
              </w:rPr>
              <w:br/>
              <w:t>ou type d</w:t>
            </w:r>
            <w:r w:rsidR="00324C7C" w:rsidRPr="006D3E70">
              <w:rPr>
                <w:lang w:val="fr-FR"/>
              </w:rPr>
              <w:t>'</w:t>
            </w:r>
            <w:r w:rsidRPr="006D3E70">
              <w:rPr>
                <w:lang w:val="fr-FR"/>
              </w:rPr>
              <w:t>équipement</w:t>
            </w:r>
            <w:r w:rsidRPr="006D3E70">
              <w:rPr>
                <w:vertAlign w:val="superscript"/>
                <w:lang w:val="fr-FR"/>
              </w:rPr>
              <w:t>(1), (2)</w:t>
            </w:r>
          </w:p>
        </w:tc>
        <w:tc>
          <w:tcPr>
            <w:tcW w:w="5422" w:type="dxa"/>
            <w:gridSpan w:val="2"/>
            <w:tcBorders>
              <w:top w:val="single" w:sz="6" w:space="0" w:color="auto"/>
              <w:left w:val="single" w:sz="6" w:space="0" w:color="auto"/>
              <w:bottom w:val="single" w:sz="6" w:space="0" w:color="auto"/>
              <w:right w:val="single" w:sz="6" w:space="0" w:color="auto"/>
            </w:tcBorders>
            <w:vAlign w:val="center"/>
          </w:tcPr>
          <w:p w14:paraId="50DAC572" w14:textId="74C58F39" w:rsidR="00F44007" w:rsidRPr="006D3E70" w:rsidRDefault="00F44007" w:rsidP="00F44007">
            <w:pPr>
              <w:pStyle w:val="Tablehead"/>
              <w:keepNext w:val="0"/>
              <w:rPr>
                <w:lang w:val="fr-FR"/>
              </w:rPr>
            </w:pPr>
            <w:r w:rsidRPr="006D3E70">
              <w:rPr>
                <w:lang w:val="fr-FR"/>
              </w:rPr>
              <w:t>Puissance maximale (dBm) autorisée des rayonnements dans le domaine des rayonnements non essentiels</w:t>
            </w:r>
            <w:r w:rsidRPr="006D3E70">
              <w:rPr>
                <w:lang w:val="fr-FR"/>
              </w:rPr>
              <w:br/>
              <w:t xml:space="preserve">dans les largeurs de bande de référence applicables </w:t>
            </w:r>
            <w:r w:rsidRPr="006D3E70">
              <w:rPr>
                <w:lang w:val="fr-FR"/>
              </w:rPr>
              <w:br/>
              <w:t xml:space="preserve">(voir le § 4.1 du </w:t>
            </w:r>
            <w:r w:rsidRPr="006D3E70">
              <w:rPr>
                <w:i/>
                <w:iCs/>
                <w:lang w:val="fr-FR"/>
              </w:rPr>
              <w:t>recommande</w:t>
            </w:r>
            <w:r w:rsidRPr="006D3E70">
              <w:rPr>
                <w:lang w:val="fr-FR"/>
              </w:rPr>
              <w:t xml:space="preserve">) et les puissances </w:t>
            </w:r>
            <w:r w:rsidRPr="006D3E70">
              <w:rPr>
                <w:i/>
                <w:iCs/>
                <w:lang w:val="fr-FR"/>
              </w:rPr>
              <w:t>P</w:t>
            </w:r>
            <w:r w:rsidRPr="006D3E70">
              <w:rPr>
                <w:lang w:val="fr-FR"/>
              </w:rPr>
              <w:t>, puissance d</w:t>
            </w:r>
            <w:r w:rsidR="00324C7C" w:rsidRPr="006D3E70">
              <w:rPr>
                <w:lang w:val="fr-FR"/>
              </w:rPr>
              <w:t>'</w:t>
            </w:r>
            <w:r w:rsidRPr="006D3E70">
              <w:rPr>
                <w:lang w:val="fr-FR"/>
              </w:rPr>
              <w:t>enveloppe de crête (</w:t>
            </w:r>
            <w:r w:rsidRPr="006D3E70">
              <w:rPr>
                <w:i/>
                <w:iCs/>
                <w:lang w:val="fr-FR"/>
              </w:rPr>
              <w:t>PEP</w:t>
            </w:r>
            <w:r w:rsidRPr="006D3E70">
              <w:rPr>
                <w:lang w:val="fr-FR"/>
              </w:rPr>
              <w:t xml:space="preserve">) et </w:t>
            </w:r>
            <w:r w:rsidRPr="006D3E70">
              <w:rPr>
                <w:i/>
                <w:iCs/>
                <w:lang w:val="fr-FR"/>
              </w:rPr>
              <w:t>X</w:t>
            </w:r>
            <w:r w:rsidRPr="006D3E70">
              <w:rPr>
                <w:lang w:val="fr-FR"/>
              </w:rPr>
              <w:t> (W)</w:t>
            </w:r>
          </w:p>
        </w:tc>
      </w:tr>
      <w:tr w:rsidR="00532249" w:rsidRPr="006D3E70" w14:paraId="20B7123F" w14:textId="77777777" w:rsidTr="00F44007">
        <w:trPr>
          <w:jc w:val="center"/>
        </w:trPr>
        <w:tc>
          <w:tcPr>
            <w:tcW w:w="4218" w:type="dxa"/>
            <w:tcBorders>
              <w:top w:val="single" w:sz="6" w:space="0" w:color="auto"/>
              <w:left w:val="single" w:sz="6" w:space="0" w:color="auto"/>
              <w:bottom w:val="single" w:sz="6" w:space="0" w:color="auto"/>
              <w:right w:val="single" w:sz="6" w:space="0" w:color="auto"/>
            </w:tcBorders>
          </w:tcPr>
          <w:p w14:paraId="7E3B5461" w14:textId="77777777" w:rsidR="00532249" w:rsidRPr="006D3E70" w:rsidRDefault="00532249" w:rsidP="00F44007">
            <w:pPr>
              <w:pStyle w:val="Tabletext"/>
              <w:jc w:val="left"/>
              <w:rPr>
                <w:vertAlign w:val="superscript"/>
                <w:lang w:val="fr-FR"/>
              </w:rPr>
            </w:pPr>
            <w:r w:rsidRPr="006D3E70">
              <w:rPr>
                <w:lang w:val="fr-FR"/>
              </w:rPr>
              <w:t>Services spatiaux</w:t>
            </w:r>
            <w:r w:rsidRPr="006D3E70">
              <w:rPr>
                <w:lang w:val="fr-FR"/>
              </w:rPr>
              <w:br/>
              <w:t>(stations spatiales)</w:t>
            </w:r>
            <w:r w:rsidRPr="006D3E70">
              <w:rPr>
                <w:vertAlign w:val="superscript"/>
                <w:lang w:val="fr-FR"/>
              </w:rPr>
              <w:t>(3), (5), (6)</w:t>
            </w:r>
          </w:p>
        </w:tc>
        <w:tc>
          <w:tcPr>
            <w:tcW w:w="5422" w:type="dxa"/>
            <w:gridSpan w:val="2"/>
            <w:tcBorders>
              <w:top w:val="single" w:sz="6" w:space="0" w:color="auto"/>
              <w:left w:val="single" w:sz="6" w:space="0" w:color="auto"/>
              <w:bottom w:val="single" w:sz="6" w:space="0" w:color="auto"/>
              <w:right w:val="single" w:sz="6" w:space="0" w:color="auto"/>
            </w:tcBorders>
          </w:tcPr>
          <w:p w14:paraId="452111DD" w14:textId="77777777" w:rsidR="00532249" w:rsidRPr="006D3E70" w:rsidRDefault="00532249" w:rsidP="00F44007">
            <w:pPr>
              <w:pStyle w:val="Tabletext"/>
              <w:framePr w:hSpace="181" w:wrap="notBeside" w:vAnchor="text" w:hAnchor="text" w:xAlign="center" w:y="1"/>
              <w:spacing w:before="60" w:after="60"/>
              <w:jc w:val="left"/>
              <w:rPr>
                <w:lang w:val="fr-FR"/>
              </w:rPr>
            </w:pPr>
            <w:r w:rsidRPr="006D3E70">
              <w:rPr>
                <w:lang w:val="fr-FR"/>
              </w:rPr>
              <w:t>–13 dBm</w:t>
            </w:r>
            <w:r w:rsidRPr="006D3E70">
              <w:rPr>
                <w:lang w:val="fr-FR"/>
              </w:rPr>
              <w:tab/>
            </w:r>
            <w:r w:rsidRPr="006D3E70">
              <w:rPr>
                <w:lang w:val="fr-FR"/>
              </w:rPr>
              <w:tab/>
            </w:r>
            <w:r w:rsidRPr="006D3E70">
              <w:rPr>
                <w:lang w:val="fr-FR"/>
              </w:rPr>
              <w:tab/>
            </w:r>
            <w:r w:rsidRPr="006D3E70">
              <w:rPr>
                <w:lang w:val="fr-FR"/>
              </w:rPr>
              <w:tab/>
              <w:t xml:space="preserve">pour </w:t>
            </w:r>
            <w:r w:rsidRPr="006D3E70">
              <w:rPr>
                <w:i/>
                <w:iCs/>
                <w:lang w:val="fr-FR"/>
              </w:rPr>
              <w:t>P</w:t>
            </w:r>
            <w:r w:rsidRPr="006D3E70">
              <w:rPr>
                <w:lang w:val="fr-FR"/>
              </w:rPr>
              <w:t xml:space="preserve"> </w:t>
            </w:r>
            <w:r w:rsidRPr="006D3E70">
              <w:rPr>
                <w:szCs w:val="18"/>
                <w:lang w:val="fr-FR"/>
              </w:rPr>
              <w:sym w:font="Symbol" w:char="F0A3"/>
            </w:r>
            <w:r w:rsidRPr="006D3E70">
              <w:rPr>
                <w:lang w:val="fr-FR"/>
              </w:rPr>
              <w:t xml:space="preserve"> 50 W</w:t>
            </w:r>
            <w:r w:rsidRPr="006D3E70">
              <w:rPr>
                <w:lang w:val="fr-FR"/>
              </w:rPr>
              <w:br/>
              <w:t xml:space="preserve">10 log </w:t>
            </w:r>
            <w:r w:rsidRPr="006D3E70">
              <w:rPr>
                <w:i/>
                <w:iCs/>
                <w:lang w:val="fr-FR"/>
              </w:rPr>
              <w:t>P</w:t>
            </w:r>
            <w:r w:rsidRPr="006D3E70">
              <w:rPr>
                <w:lang w:val="fr-FR"/>
              </w:rPr>
              <w:t> – 30</w:t>
            </w:r>
            <w:r w:rsidRPr="006D3E70">
              <w:rPr>
                <w:lang w:val="fr-FR"/>
              </w:rPr>
              <w:tab/>
            </w:r>
            <w:r w:rsidRPr="006D3E70">
              <w:rPr>
                <w:lang w:val="fr-FR"/>
              </w:rPr>
              <w:tab/>
              <w:t xml:space="preserve">pour </w:t>
            </w:r>
            <w:r w:rsidRPr="006D3E70">
              <w:rPr>
                <w:i/>
                <w:iCs/>
                <w:lang w:val="fr-FR"/>
              </w:rPr>
              <w:t>P</w:t>
            </w:r>
            <w:r w:rsidRPr="006D3E70">
              <w:rPr>
                <w:lang w:val="fr-FR"/>
              </w:rPr>
              <w:t xml:space="preserve"> </w:t>
            </w:r>
            <w:r w:rsidRPr="006D3E70">
              <w:rPr>
                <w:szCs w:val="18"/>
                <w:lang w:val="fr-FR"/>
              </w:rPr>
              <w:sym w:font="Symbol" w:char="F0B3"/>
            </w:r>
            <w:r w:rsidRPr="006D3E70">
              <w:rPr>
                <w:lang w:val="fr-FR"/>
              </w:rPr>
              <w:t xml:space="preserve"> 50 W</w:t>
            </w:r>
          </w:p>
        </w:tc>
      </w:tr>
      <w:tr w:rsidR="00532249" w:rsidRPr="006D3E70" w14:paraId="69030220" w14:textId="77777777" w:rsidTr="00F44007">
        <w:trPr>
          <w:jc w:val="center"/>
        </w:trPr>
        <w:tc>
          <w:tcPr>
            <w:tcW w:w="4218" w:type="dxa"/>
            <w:tcBorders>
              <w:top w:val="single" w:sz="6" w:space="0" w:color="auto"/>
              <w:left w:val="single" w:sz="6" w:space="0" w:color="auto"/>
              <w:bottom w:val="single" w:sz="6" w:space="0" w:color="auto"/>
              <w:right w:val="single" w:sz="6" w:space="0" w:color="auto"/>
            </w:tcBorders>
          </w:tcPr>
          <w:p w14:paraId="2A43AEE3" w14:textId="77777777" w:rsidR="00532249" w:rsidRPr="006D3E70" w:rsidRDefault="00532249" w:rsidP="00F44007">
            <w:pPr>
              <w:pStyle w:val="Tabletext"/>
              <w:jc w:val="left"/>
              <w:rPr>
                <w:vertAlign w:val="superscript"/>
                <w:lang w:val="fr-FR"/>
              </w:rPr>
            </w:pPr>
            <w:r w:rsidRPr="006D3E70">
              <w:rPr>
                <w:lang w:val="fr-FR"/>
              </w:rPr>
              <w:t>Radiolocalisation</w:t>
            </w:r>
            <w:r w:rsidRPr="006D3E70">
              <w:rPr>
                <w:vertAlign w:val="superscript"/>
                <w:lang w:val="fr-FR"/>
              </w:rPr>
              <w:t>(7)</w:t>
            </w:r>
          </w:p>
        </w:tc>
        <w:tc>
          <w:tcPr>
            <w:tcW w:w="5422" w:type="dxa"/>
            <w:gridSpan w:val="2"/>
            <w:tcBorders>
              <w:top w:val="single" w:sz="6" w:space="0" w:color="auto"/>
              <w:left w:val="single" w:sz="6" w:space="0" w:color="auto"/>
              <w:bottom w:val="single" w:sz="6" w:space="0" w:color="auto"/>
              <w:right w:val="single" w:sz="6" w:space="0" w:color="auto"/>
            </w:tcBorders>
          </w:tcPr>
          <w:p w14:paraId="0199168E" w14:textId="77777777" w:rsidR="00532249" w:rsidRPr="006D3E70" w:rsidRDefault="00532249" w:rsidP="00F44007">
            <w:pPr>
              <w:pStyle w:val="Tabletext"/>
              <w:framePr w:hSpace="181" w:wrap="notBeside" w:vAnchor="text" w:hAnchor="text" w:xAlign="center" w:y="1"/>
              <w:spacing w:before="60" w:after="60"/>
              <w:jc w:val="left"/>
              <w:rPr>
                <w:lang w:val="fr-FR"/>
              </w:rPr>
            </w:pPr>
            <w:r w:rsidRPr="006D3E70">
              <w:rPr>
                <w:lang w:val="fr-FR"/>
              </w:rPr>
              <w:t>–13 dBm</w:t>
            </w:r>
            <w:r w:rsidRPr="006D3E70">
              <w:rPr>
                <w:lang w:val="fr-FR"/>
              </w:rPr>
              <w:tab/>
            </w:r>
            <w:r w:rsidRPr="006D3E70">
              <w:rPr>
                <w:lang w:val="fr-FR"/>
              </w:rPr>
              <w:tab/>
            </w:r>
            <w:r w:rsidRPr="006D3E70">
              <w:rPr>
                <w:lang w:val="fr-FR"/>
              </w:rPr>
              <w:tab/>
            </w:r>
            <w:r w:rsidRPr="006D3E70">
              <w:rPr>
                <w:lang w:val="fr-FR"/>
              </w:rPr>
              <w:tab/>
              <w:t xml:space="preserve">pour </w:t>
            </w:r>
            <w:r w:rsidRPr="006D3E70">
              <w:rPr>
                <w:i/>
                <w:iCs/>
                <w:lang w:val="fr-FR"/>
              </w:rPr>
              <w:t>PEP</w:t>
            </w:r>
            <w:r w:rsidRPr="006D3E70">
              <w:rPr>
                <w:lang w:val="fr-FR"/>
              </w:rPr>
              <w:t xml:space="preserve"> </w:t>
            </w:r>
            <w:r w:rsidRPr="006D3E70">
              <w:rPr>
                <w:szCs w:val="18"/>
                <w:lang w:val="fr-FR"/>
              </w:rPr>
              <w:sym w:font="Symbol" w:char="F0A3"/>
            </w:r>
            <w:r w:rsidRPr="006D3E70">
              <w:rPr>
                <w:lang w:val="fr-FR"/>
              </w:rPr>
              <w:t xml:space="preserve"> 50 W</w:t>
            </w:r>
            <w:r w:rsidRPr="006D3E70">
              <w:rPr>
                <w:lang w:val="fr-FR"/>
              </w:rPr>
              <w:br/>
              <w:t xml:space="preserve">10 log </w:t>
            </w:r>
            <w:r w:rsidRPr="006D3E70">
              <w:rPr>
                <w:i/>
                <w:iCs/>
                <w:lang w:val="fr-FR"/>
              </w:rPr>
              <w:t>PEP</w:t>
            </w:r>
            <w:r w:rsidRPr="006D3E70">
              <w:rPr>
                <w:lang w:val="fr-FR"/>
              </w:rPr>
              <w:t> – 30</w:t>
            </w:r>
            <w:r w:rsidRPr="006D3E70">
              <w:rPr>
                <w:lang w:val="fr-FR"/>
              </w:rPr>
              <w:tab/>
              <w:t xml:space="preserve">pour </w:t>
            </w:r>
            <w:r w:rsidRPr="006D3E70">
              <w:rPr>
                <w:i/>
                <w:iCs/>
                <w:lang w:val="fr-FR"/>
              </w:rPr>
              <w:t>PEP</w:t>
            </w:r>
            <w:r w:rsidRPr="006D3E70">
              <w:rPr>
                <w:lang w:val="fr-FR"/>
              </w:rPr>
              <w:t xml:space="preserve"> </w:t>
            </w:r>
            <w:r w:rsidRPr="006D3E70">
              <w:rPr>
                <w:szCs w:val="18"/>
                <w:lang w:val="fr-FR"/>
              </w:rPr>
              <w:sym w:font="Symbol" w:char="F03E"/>
            </w:r>
            <w:r w:rsidRPr="006D3E70">
              <w:rPr>
                <w:lang w:val="fr-FR"/>
              </w:rPr>
              <w:t xml:space="preserve"> 50 W</w:t>
            </w:r>
          </w:p>
        </w:tc>
      </w:tr>
      <w:tr w:rsidR="00532249" w:rsidRPr="006D3E70" w14:paraId="4ECA4DA9" w14:textId="77777777" w:rsidTr="00F44007">
        <w:trPr>
          <w:jc w:val="center"/>
        </w:trPr>
        <w:tc>
          <w:tcPr>
            <w:tcW w:w="4218" w:type="dxa"/>
            <w:tcBorders>
              <w:top w:val="single" w:sz="6" w:space="0" w:color="auto"/>
              <w:left w:val="single" w:sz="6" w:space="0" w:color="auto"/>
              <w:bottom w:val="single" w:sz="6" w:space="0" w:color="auto"/>
              <w:right w:val="single" w:sz="6" w:space="0" w:color="auto"/>
            </w:tcBorders>
          </w:tcPr>
          <w:p w14:paraId="33757CD7" w14:textId="77777777" w:rsidR="00532249" w:rsidRPr="006D3E70" w:rsidRDefault="00532249" w:rsidP="00F44007">
            <w:pPr>
              <w:pStyle w:val="Tabletext"/>
              <w:jc w:val="left"/>
              <w:rPr>
                <w:lang w:val="fr-FR"/>
              </w:rPr>
            </w:pPr>
            <w:r w:rsidRPr="006D3E70">
              <w:rPr>
                <w:lang w:val="fr-FR"/>
              </w:rPr>
              <w:t>Radiodiffusion télévisuelle</w:t>
            </w:r>
            <w:r w:rsidRPr="006D3E70">
              <w:rPr>
                <w:vertAlign w:val="superscript"/>
                <w:lang w:val="fr-FR"/>
              </w:rPr>
              <w:t>(8)</w:t>
            </w:r>
            <w:r w:rsidRPr="006D3E70">
              <w:rPr>
                <w:lang w:val="fr-FR"/>
              </w:rPr>
              <w:br/>
              <w:t>Émetteurs en ondes métriques</w:t>
            </w:r>
          </w:p>
        </w:tc>
        <w:tc>
          <w:tcPr>
            <w:tcW w:w="5422" w:type="dxa"/>
            <w:gridSpan w:val="2"/>
            <w:tcBorders>
              <w:top w:val="single" w:sz="6" w:space="0" w:color="auto"/>
              <w:left w:val="single" w:sz="6" w:space="0" w:color="auto"/>
              <w:bottom w:val="single" w:sz="6" w:space="0" w:color="auto"/>
              <w:right w:val="single" w:sz="6" w:space="0" w:color="auto"/>
            </w:tcBorders>
          </w:tcPr>
          <w:p w14:paraId="3D4302AC" w14:textId="77777777" w:rsidR="00532249" w:rsidRPr="006D3E70" w:rsidRDefault="00532249" w:rsidP="00F44007">
            <w:pPr>
              <w:pStyle w:val="Tabletext"/>
              <w:framePr w:hSpace="181" w:wrap="notBeside" w:vAnchor="text" w:hAnchor="text" w:xAlign="center" w:y="1"/>
              <w:spacing w:before="60" w:after="60"/>
              <w:jc w:val="left"/>
              <w:rPr>
                <w:lang w:val="fr-FR"/>
              </w:rPr>
            </w:pPr>
            <w:r w:rsidRPr="006D3E70">
              <w:rPr>
                <w:lang w:val="fr-FR"/>
              </w:rPr>
              <w:t>–16 dBm</w:t>
            </w:r>
            <w:r w:rsidRPr="006D3E70">
              <w:rPr>
                <w:lang w:val="fr-FR"/>
              </w:rPr>
              <w:tab/>
            </w:r>
            <w:r w:rsidRPr="006D3E70">
              <w:rPr>
                <w:lang w:val="fr-FR"/>
              </w:rPr>
              <w:tab/>
            </w:r>
            <w:r w:rsidRPr="006D3E70">
              <w:rPr>
                <w:lang w:val="fr-FR"/>
              </w:rPr>
              <w:tab/>
            </w:r>
            <w:r w:rsidRPr="006D3E70">
              <w:rPr>
                <w:lang w:val="fr-FR"/>
              </w:rPr>
              <w:tab/>
              <w:t xml:space="preserve">pour </w:t>
            </w:r>
            <w:r w:rsidRPr="006D3E70">
              <w:rPr>
                <w:i/>
                <w:iCs/>
                <w:lang w:val="fr-FR"/>
              </w:rPr>
              <w:t>P</w:t>
            </w:r>
            <w:r w:rsidRPr="006D3E70">
              <w:rPr>
                <w:lang w:val="fr-FR"/>
              </w:rPr>
              <w:t xml:space="preserve"> </w:t>
            </w:r>
            <w:r w:rsidRPr="006D3E70">
              <w:rPr>
                <w:lang w:val="fr-FR"/>
              </w:rPr>
              <w:sym w:font="Symbol" w:char="F0A3"/>
            </w:r>
            <w:r w:rsidRPr="006D3E70">
              <w:rPr>
                <w:lang w:val="fr-FR"/>
              </w:rPr>
              <w:t xml:space="preserve"> 25 W </w:t>
            </w:r>
            <w:r w:rsidRPr="006D3E70">
              <w:rPr>
                <w:lang w:val="fr-FR"/>
              </w:rPr>
              <w:br/>
              <w:t xml:space="preserve">10 log </w:t>
            </w:r>
            <w:r w:rsidRPr="006D3E70">
              <w:rPr>
                <w:i/>
                <w:iCs/>
                <w:lang w:val="fr-FR"/>
              </w:rPr>
              <w:t>P</w:t>
            </w:r>
            <w:r w:rsidRPr="006D3E70">
              <w:rPr>
                <w:lang w:val="fr-FR"/>
              </w:rPr>
              <w:t> – 30</w:t>
            </w:r>
            <w:r w:rsidRPr="006D3E70">
              <w:rPr>
                <w:lang w:val="fr-FR"/>
              </w:rPr>
              <w:tab/>
            </w:r>
            <w:r w:rsidRPr="006D3E70">
              <w:rPr>
                <w:lang w:val="fr-FR"/>
              </w:rPr>
              <w:tab/>
              <w:t xml:space="preserve">pour 25 W &lt; </w:t>
            </w:r>
            <w:r w:rsidRPr="006D3E70">
              <w:rPr>
                <w:i/>
                <w:iCs/>
                <w:lang w:val="fr-FR"/>
              </w:rPr>
              <w:t>P</w:t>
            </w:r>
            <w:r w:rsidRPr="006D3E70">
              <w:rPr>
                <w:lang w:val="fr-FR"/>
              </w:rPr>
              <w:t xml:space="preserve"> </w:t>
            </w:r>
            <w:r w:rsidRPr="006D3E70">
              <w:rPr>
                <w:lang w:val="fr-FR"/>
              </w:rPr>
              <w:sym w:font="Symbol" w:char="F0A3"/>
            </w:r>
            <w:r w:rsidRPr="006D3E70">
              <w:rPr>
                <w:lang w:val="fr-FR"/>
              </w:rPr>
              <w:t xml:space="preserve"> 1</w:t>
            </w:r>
            <w:r w:rsidRPr="006D3E70">
              <w:rPr>
                <w:rFonts w:ascii="Tms Rmn" w:hAnsi="Tms Rmn"/>
                <w:sz w:val="12"/>
                <w:lang w:val="fr-FR"/>
              </w:rPr>
              <w:t> </w:t>
            </w:r>
            <w:r w:rsidRPr="006D3E70">
              <w:rPr>
                <w:lang w:val="fr-FR"/>
              </w:rPr>
              <w:t>000 W</w:t>
            </w:r>
            <w:r w:rsidRPr="006D3E70">
              <w:rPr>
                <w:lang w:val="fr-FR"/>
              </w:rPr>
              <w:br/>
              <w:t>0 dBm</w:t>
            </w:r>
            <w:r w:rsidRPr="006D3E70">
              <w:rPr>
                <w:lang w:val="fr-FR"/>
              </w:rPr>
              <w:tab/>
            </w:r>
            <w:r w:rsidRPr="006D3E70">
              <w:rPr>
                <w:lang w:val="fr-FR"/>
              </w:rPr>
              <w:tab/>
            </w:r>
            <w:r w:rsidRPr="006D3E70">
              <w:rPr>
                <w:lang w:val="fr-FR"/>
              </w:rPr>
              <w:tab/>
            </w:r>
            <w:r w:rsidRPr="006D3E70">
              <w:rPr>
                <w:lang w:val="fr-FR"/>
              </w:rPr>
              <w:tab/>
              <w:t xml:space="preserve">pour </w:t>
            </w:r>
            <w:r w:rsidRPr="006D3E70">
              <w:rPr>
                <w:i/>
                <w:iCs/>
                <w:lang w:val="fr-FR"/>
              </w:rPr>
              <w:t>P</w:t>
            </w:r>
            <w:r w:rsidRPr="006D3E70">
              <w:rPr>
                <w:lang w:val="fr-FR"/>
              </w:rPr>
              <w:t xml:space="preserve"> &gt; 1</w:t>
            </w:r>
            <w:r w:rsidRPr="006D3E70">
              <w:rPr>
                <w:rFonts w:ascii="Tms Rmn" w:hAnsi="Tms Rmn"/>
                <w:sz w:val="12"/>
                <w:lang w:val="fr-FR"/>
              </w:rPr>
              <w:t> </w:t>
            </w:r>
            <w:r w:rsidRPr="006D3E70">
              <w:rPr>
                <w:lang w:val="fr-FR"/>
              </w:rPr>
              <w:t>000 W</w:t>
            </w:r>
          </w:p>
        </w:tc>
      </w:tr>
      <w:tr w:rsidR="00532249" w:rsidRPr="006D3E70" w14:paraId="1FB9E4F5" w14:textId="77777777" w:rsidTr="00F44007">
        <w:trPr>
          <w:jc w:val="center"/>
        </w:trPr>
        <w:tc>
          <w:tcPr>
            <w:tcW w:w="4218" w:type="dxa"/>
            <w:tcBorders>
              <w:top w:val="single" w:sz="6" w:space="0" w:color="auto"/>
              <w:left w:val="single" w:sz="6" w:space="0" w:color="auto"/>
              <w:bottom w:val="single" w:sz="6" w:space="0" w:color="auto"/>
              <w:right w:val="single" w:sz="6" w:space="0" w:color="auto"/>
            </w:tcBorders>
          </w:tcPr>
          <w:p w14:paraId="421229AE" w14:textId="77777777" w:rsidR="00532249" w:rsidRPr="006D3E70" w:rsidRDefault="00532249" w:rsidP="00F44007">
            <w:pPr>
              <w:pStyle w:val="Tabletext"/>
              <w:jc w:val="left"/>
              <w:rPr>
                <w:lang w:val="fr-FR"/>
              </w:rPr>
            </w:pPr>
            <w:r w:rsidRPr="006D3E70">
              <w:rPr>
                <w:lang w:val="fr-FR"/>
              </w:rPr>
              <w:t>Radiodiffusion télévisuelle</w:t>
            </w:r>
            <w:r w:rsidRPr="006D3E70">
              <w:rPr>
                <w:vertAlign w:val="superscript"/>
                <w:lang w:val="fr-FR"/>
              </w:rPr>
              <w:t>(8)</w:t>
            </w:r>
            <w:r w:rsidRPr="006D3E70">
              <w:rPr>
                <w:lang w:val="fr-FR"/>
              </w:rPr>
              <w:br/>
              <w:t>Émetteurs en ondes décimétriques</w:t>
            </w:r>
          </w:p>
        </w:tc>
        <w:tc>
          <w:tcPr>
            <w:tcW w:w="5422" w:type="dxa"/>
            <w:gridSpan w:val="2"/>
            <w:tcBorders>
              <w:top w:val="single" w:sz="6" w:space="0" w:color="auto"/>
              <w:left w:val="single" w:sz="6" w:space="0" w:color="auto"/>
              <w:bottom w:val="single" w:sz="6" w:space="0" w:color="auto"/>
              <w:right w:val="single" w:sz="6" w:space="0" w:color="auto"/>
            </w:tcBorders>
          </w:tcPr>
          <w:p w14:paraId="4DD5D785" w14:textId="77777777" w:rsidR="00532249" w:rsidRPr="006D3E70" w:rsidRDefault="00532249" w:rsidP="00F44007">
            <w:pPr>
              <w:pStyle w:val="Tabletext"/>
              <w:framePr w:hSpace="181" w:wrap="notBeside" w:vAnchor="text" w:hAnchor="text" w:xAlign="center" w:y="1"/>
              <w:spacing w:before="60" w:after="60"/>
              <w:jc w:val="left"/>
              <w:rPr>
                <w:lang w:val="fr-FR"/>
              </w:rPr>
            </w:pPr>
            <w:r w:rsidRPr="006D3E70">
              <w:rPr>
                <w:lang w:val="fr-FR"/>
              </w:rPr>
              <w:t>–16 dBm</w:t>
            </w:r>
            <w:r w:rsidRPr="006D3E70">
              <w:rPr>
                <w:lang w:val="fr-FR"/>
              </w:rPr>
              <w:tab/>
            </w:r>
            <w:r w:rsidRPr="006D3E70">
              <w:rPr>
                <w:lang w:val="fr-FR"/>
              </w:rPr>
              <w:tab/>
            </w:r>
            <w:r w:rsidRPr="006D3E70">
              <w:rPr>
                <w:lang w:val="fr-FR"/>
              </w:rPr>
              <w:tab/>
            </w:r>
            <w:r w:rsidRPr="006D3E70">
              <w:rPr>
                <w:lang w:val="fr-FR"/>
              </w:rPr>
              <w:tab/>
              <w:t xml:space="preserve">pour </w:t>
            </w:r>
            <w:r w:rsidRPr="006D3E70">
              <w:rPr>
                <w:i/>
                <w:iCs/>
                <w:lang w:val="fr-FR"/>
              </w:rPr>
              <w:t>P</w:t>
            </w:r>
            <w:r w:rsidRPr="006D3E70">
              <w:rPr>
                <w:lang w:val="fr-FR"/>
              </w:rPr>
              <w:t xml:space="preserve"> </w:t>
            </w:r>
            <w:r w:rsidRPr="006D3E70">
              <w:rPr>
                <w:lang w:val="fr-FR"/>
              </w:rPr>
              <w:sym w:font="Symbol" w:char="F0A3"/>
            </w:r>
            <w:r w:rsidRPr="006D3E70">
              <w:rPr>
                <w:lang w:val="fr-FR"/>
              </w:rPr>
              <w:t xml:space="preserve"> 25 W</w:t>
            </w:r>
            <w:r w:rsidRPr="006D3E70">
              <w:rPr>
                <w:lang w:val="fr-FR"/>
              </w:rPr>
              <w:br/>
              <w:t xml:space="preserve">10 log </w:t>
            </w:r>
            <w:r w:rsidRPr="006D3E70">
              <w:rPr>
                <w:i/>
                <w:iCs/>
                <w:lang w:val="fr-FR"/>
              </w:rPr>
              <w:t>P</w:t>
            </w:r>
            <w:r w:rsidRPr="006D3E70">
              <w:rPr>
                <w:lang w:val="fr-FR"/>
              </w:rPr>
              <w:t> – 30</w:t>
            </w:r>
            <w:r w:rsidRPr="006D3E70">
              <w:rPr>
                <w:lang w:val="fr-FR"/>
              </w:rPr>
              <w:tab/>
            </w:r>
            <w:r w:rsidRPr="006D3E70">
              <w:rPr>
                <w:lang w:val="fr-FR"/>
              </w:rPr>
              <w:tab/>
              <w:t xml:space="preserve">pour 25 W &lt; </w:t>
            </w:r>
            <w:r w:rsidRPr="006D3E70">
              <w:rPr>
                <w:i/>
                <w:iCs/>
                <w:lang w:val="fr-FR"/>
              </w:rPr>
              <w:t>P</w:t>
            </w:r>
            <w:r w:rsidRPr="006D3E70">
              <w:rPr>
                <w:lang w:val="fr-FR"/>
              </w:rPr>
              <w:t xml:space="preserve"> </w:t>
            </w:r>
            <w:r w:rsidRPr="006D3E70">
              <w:rPr>
                <w:lang w:val="fr-FR"/>
              </w:rPr>
              <w:sym w:font="Symbol" w:char="F0A3"/>
            </w:r>
            <w:r w:rsidRPr="006D3E70">
              <w:rPr>
                <w:lang w:val="fr-FR"/>
              </w:rPr>
              <w:t xml:space="preserve"> 12</w:t>
            </w:r>
            <w:r w:rsidRPr="006D3E70">
              <w:rPr>
                <w:rFonts w:ascii="Tms Rmn" w:hAnsi="Tms Rmn"/>
                <w:sz w:val="12"/>
                <w:lang w:val="fr-FR"/>
              </w:rPr>
              <w:t> </w:t>
            </w:r>
            <w:r w:rsidRPr="006D3E70">
              <w:rPr>
                <w:lang w:val="fr-FR"/>
              </w:rPr>
              <w:t>000 W</w:t>
            </w:r>
            <w:r w:rsidRPr="006D3E70">
              <w:rPr>
                <w:lang w:val="fr-FR"/>
              </w:rPr>
              <w:br/>
              <w:t>10,8 dBm</w:t>
            </w:r>
            <w:r w:rsidRPr="006D3E70">
              <w:rPr>
                <w:lang w:val="fr-FR"/>
              </w:rPr>
              <w:tab/>
            </w:r>
            <w:r w:rsidRPr="006D3E70">
              <w:rPr>
                <w:lang w:val="fr-FR"/>
              </w:rPr>
              <w:tab/>
            </w:r>
            <w:r w:rsidRPr="006D3E70">
              <w:rPr>
                <w:lang w:val="fr-FR"/>
              </w:rPr>
              <w:tab/>
              <w:t xml:space="preserve">pour </w:t>
            </w:r>
            <w:r w:rsidRPr="006D3E70">
              <w:rPr>
                <w:i/>
                <w:iCs/>
                <w:lang w:val="fr-FR"/>
              </w:rPr>
              <w:t>P</w:t>
            </w:r>
            <w:r w:rsidRPr="006D3E70">
              <w:rPr>
                <w:lang w:val="fr-FR"/>
              </w:rPr>
              <w:t xml:space="preserve"> &gt; 12</w:t>
            </w:r>
            <w:r w:rsidRPr="006D3E70">
              <w:rPr>
                <w:rFonts w:ascii="Tms Rmn" w:hAnsi="Tms Rmn"/>
                <w:sz w:val="12"/>
                <w:lang w:val="fr-FR"/>
              </w:rPr>
              <w:t> </w:t>
            </w:r>
            <w:r w:rsidRPr="006D3E70">
              <w:rPr>
                <w:lang w:val="fr-FR"/>
              </w:rPr>
              <w:t>000 W</w:t>
            </w:r>
          </w:p>
        </w:tc>
      </w:tr>
      <w:tr w:rsidR="00532249" w:rsidRPr="006D3E70" w14:paraId="17657040" w14:textId="77777777" w:rsidTr="00F44007">
        <w:trPr>
          <w:jc w:val="center"/>
        </w:trPr>
        <w:tc>
          <w:tcPr>
            <w:tcW w:w="4218" w:type="dxa"/>
            <w:tcBorders>
              <w:top w:val="single" w:sz="6" w:space="0" w:color="auto"/>
              <w:left w:val="single" w:sz="6" w:space="0" w:color="auto"/>
              <w:bottom w:val="single" w:sz="6" w:space="0" w:color="auto"/>
              <w:right w:val="single" w:sz="6" w:space="0" w:color="auto"/>
            </w:tcBorders>
          </w:tcPr>
          <w:p w14:paraId="3991441A" w14:textId="77777777" w:rsidR="00532249" w:rsidRPr="006D3E70" w:rsidRDefault="00532249" w:rsidP="00F44007">
            <w:pPr>
              <w:pStyle w:val="Tabletext"/>
              <w:jc w:val="left"/>
              <w:rPr>
                <w:lang w:val="fr-FR"/>
              </w:rPr>
            </w:pPr>
            <w:r w:rsidRPr="006D3E70">
              <w:rPr>
                <w:lang w:val="fr-FR"/>
              </w:rPr>
              <w:t>Radiodiffusion MF</w:t>
            </w:r>
          </w:p>
        </w:tc>
        <w:tc>
          <w:tcPr>
            <w:tcW w:w="5422" w:type="dxa"/>
            <w:gridSpan w:val="2"/>
            <w:tcBorders>
              <w:top w:val="single" w:sz="6" w:space="0" w:color="auto"/>
              <w:left w:val="single" w:sz="6" w:space="0" w:color="auto"/>
              <w:bottom w:val="single" w:sz="6" w:space="0" w:color="auto"/>
              <w:right w:val="single" w:sz="6" w:space="0" w:color="auto"/>
            </w:tcBorders>
          </w:tcPr>
          <w:p w14:paraId="14EE5CA9" w14:textId="77777777" w:rsidR="00532249" w:rsidRPr="006D3E70" w:rsidRDefault="00532249" w:rsidP="00F44007">
            <w:pPr>
              <w:pStyle w:val="Tabletext"/>
              <w:framePr w:hSpace="181" w:wrap="notBeside" w:vAnchor="text" w:hAnchor="text" w:xAlign="center" w:y="1"/>
              <w:spacing w:before="60" w:after="60"/>
              <w:jc w:val="left"/>
              <w:rPr>
                <w:lang w:val="fr-FR"/>
              </w:rPr>
            </w:pPr>
            <w:r w:rsidRPr="006D3E70">
              <w:rPr>
                <w:lang w:val="fr-FR"/>
              </w:rPr>
              <w:t>–16 dBm</w:t>
            </w:r>
            <w:r w:rsidRPr="006D3E70">
              <w:rPr>
                <w:lang w:val="fr-FR"/>
              </w:rPr>
              <w:tab/>
            </w:r>
            <w:r w:rsidRPr="006D3E70">
              <w:rPr>
                <w:lang w:val="fr-FR"/>
              </w:rPr>
              <w:tab/>
            </w:r>
            <w:r w:rsidRPr="006D3E70">
              <w:rPr>
                <w:lang w:val="fr-FR"/>
              </w:rPr>
              <w:tab/>
            </w:r>
            <w:r w:rsidRPr="006D3E70">
              <w:rPr>
                <w:lang w:val="fr-FR"/>
              </w:rPr>
              <w:tab/>
              <w:t xml:space="preserve">pour </w:t>
            </w:r>
            <w:r w:rsidRPr="006D3E70">
              <w:rPr>
                <w:i/>
                <w:iCs/>
                <w:lang w:val="fr-FR"/>
              </w:rPr>
              <w:t>P</w:t>
            </w:r>
            <w:r w:rsidRPr="006D3E70">
              <w:rPr>
                <w:lang w:val="fr-FR"/>
              </w:rPr>
              <w:t xml:space="preserve"> </w:t>
            </w:r>
            <w:r w:rsidRPr="006D3E70">
              <w:rPr>
                <w:lang w:val="fr-FR"/>
              </w:rPr>
              <w:sym w:font="Symbol" w:char="F0A3"/>
            </w:r>
            <w:r w:rsidRPr="006D3E70">
              <w:rPr>
                <w:lang w:val="fr-FR"/>
              </w:rPr>
              <w:t xml:space="preserve"> 250 W</w:t>
            </w:r>
            <w:r w:rsidRPr="006D3E70">
              <w:rPr>
                <w:lang w:val="fr-FR"/>
              </w:rPr>
              <w:br/>
              <w:t xml:space="preserve">10 log </w:t>
            </w:r>
            <w:r w:rsidRPr="006D3E70">
              <w:rPr>
                <w:i/>
                <w:iCs/>
                <w:lang w:val="fr-FR"/>
              </w:rPr>
              <w:t>P</w:t>
            </w:r>
            <w:r w:rsidRPr="006D3E70">
              <w:rPr>
                <w:lang w:val="fr-FR"/>
              </w:rPr>
              <w:t> – 40</w:t>
            </w:r>
            <w:r w:rsidRPr="006D3E70">
              <w:rPr>
                <w:lang w:val="fr-FR"/>
              </w:rPr>
              <w:tab/>
            </w:r>
            <w:r w:rsidRPr="006D3E70">
              <w:rPr>
                <w:lang w:val="fr-FR"/>
              </w:rPr>
              <w:tab/>
              <w:t xml:space="preserve">pour 250 W &lt; </w:t>
            </w:r>
            <w:r w:rsidRPr="006D3E70">
              <w:rPr>
                <w:i/>
                <w:iCs/>
                <w:lang w:val="fr-FR"/>
              </w:rPr>
              <w:t>P</w:t>
            </w:r>
            <w:r w:rsidRPr="006D3E70">
              <w:rPr>
                <w:lang w:val="fr-FR"/>
              </w:rPr>
              <w:t xml:space="preserve"> </w:t>
            </w:r>
            <w:r w:rsidRPr="006D3E70">
              <w:rPr>
                <w:lang w:val="fr-FR"/>
              </w:rPr>
              <w:sym w:font="Symbol" w:char="F0A3"/>
            </w:r>
            <w:r w:rsidRPr="006D3E70">
              <w:rPr>
                <w:lang w:val="fr-FR"/>
              </w:rPr>
              <w:t xml:space="preserve"> 10</w:t>
            </w:r>
            <w:r w:rsidRPr="006D3E70">
              <w:rPr>
                <w:rFonts w:ascii="Tms Rmn" w:hAnsi="Tms Rmn"/>
                <w:sz w:val="12"/>
                <w:lang w:val="fr-FR"/>
              </w:rPr>
              <w:t> </w:t>
            </w:r>
            <w:r w:rsidRPr="006D3E70">
              <w:rPr>
                <w:lang w:val="fr-FR"/>
              </w:rPr>
              <w:t>000 W</w:t>
            </w:r>
            <w:r w:rsidRPr="006D3E70">
              <w:rPr>
                <w:lang w:val="fr-FR"/>
              </w:rPr>
              <w:br/>
              <w:t>0 dBm</w:t>
            </w:r>
            <w:r w:rsidRPr="006D3E70">
              <w:rPr>
                <w:lang w:val="fr-FR"/>
              </w:rPr>
              <w:tab/>
            </w:r>
            <w:r w:rsidRPr="006D3E70">
              <w:rPr>
                <w:lang w:val="fr-FR"/>
              </w:rPr>
              <w:tab/>
            </w:r>
            <w:r w:rsidRPr="006D3E70">
              <w:rPr>
                <w:lang w:val="fr-FR"/>
              </w:rPr>
              <w:tab/>
            </w:r>
            <w:r w:rsidRPr="006D3E70">
              <w:rPr>
                <w:lang w:val="fr-FR"/>
              </w:rPr>
              <w:tab/>
              <w:t xml:space="preserve">pour </w:t>
            </w:r>
            <w:r w:rsidRPr="006D3E70">
              <w:rPr>
                <w:i/>
                <w:iCs/>
                <w:lang w:val="fr-FR"/>
              </w:rPr>
              <w:t>P</w:t>
            </w:r>
            <w:r w:rsidRPr="006D3E70">
              <w:rPr>
                <w:lang w:val="fr-FR"/>
              </w:rPr>
              <w:t xml:space="preserve"> &gt; 10</w:t>
            </w:r>
            <w:r w:rsidRPr="006D3E70">
              <w:rPr>
                <w:rFonts w:ascii="Tms Rmn" w:hAnsi="Tms Rmn"/>
                <w:sz w:val="12"/>
                <w:lang w:val="fr-FR"/>
              </w:rPr>
              <w:t> </w:t>
            </w:r>
            <w:r w:rsidRPr="006D3E70">
              <w:rPr>
                <w:lang w:val="fr-FR"/>
              </w:rPr>
              <w:t>000 W</w:t>
            </w:r>
          </w:p>
        </w:tc>
      </w:tr>
      <w:tr w:rsidR="00532249" w:rsidRPr="006D3E70" w14:paraId="3B44BADC" w14:textId="77777777" w:rsidTr="00F44007">
        <w:trPr>
          <w:jc w:val="center"/>
        </w:trPr>
        <w:tc>
          <w:tcPr>
            <w:tcW w:w="4218" w:type="dxa"/>
            <w:tcBorders>
              <w:top w:val="single" w:sz="6" w:space="0" w:color="auto"/>
              <w:left w:val="single" w:sz="6" w:space="0" w:color="auto"/>
              <w:bottom w:val="single" w:sz="6" w:space="0" w:color="auto"/>
              <w:right w:val="single" w:sz="6" w:space="0" w:color="auto"/>
            </w:tcBorders>
          </w:tcPr>
          <w:p w14:paraId="29900B36" w14:textId="77777777" w:rsidR="00532249" w:rsidRPr="006D3E70" w:rsidRDefault="00532249" w:rsidP="00F44007">
            <w:pPr>
              <w:pStyle w:val="Tabletext"/>
              <w:jc w:val="left"/>
              <w:rPr>
                <w:lang w:val="fr-FR"/>
              </w:rPr>
            </w:pPr>
            <w:r w:rsidRPr="006D3E70">
              <w:rPr>
                <w:lang w:val="fr-FR"/>
              </w:rPr>
              <w:t>Radiodiffusion MF/ondes décamétriques</w:t>
            </w:r>
          </w:p>
        </w:tc>
        <w:tc>
          <w:tcPr>
            <w:tcW w:w="5422" w:type="dxa"/>
            <w:gridSpan w:val="2"/>
            <w:tcBorders>
              <w:top w:val="single" w:sz="6" w:space="0" w:color="auto"/>
              <w:left w:val="single" w:sz="6" w:space="0" w:color="auto"/>
              <w:bottom w:val="single" w:sz="6" w:space="0" w:color="auto"/>
              <w:right w:val="single" w:sz="6" w:space="0" w:color="auto"/>
            </w:tcBorders>
          </w:tcPr>
          <w:p w14:paraId="160AE6CB" w14:textId="77777777" w:rsidR="00532249" w:rsidRPr="006D3E70" w:rsidRDefault="00532249" w:rsidP="00F44007">
            <w:pPr>
              <w:pStyle w:val="Tabletext"/>
              <w:framePr w:hSpace="181" w:wrap="notBeside" w:vAnchor="text" w:hAnchor="text" w:xAlign="center" w:y="1"/>
              <w:spacing w:before="60" w:after="60"/>
              <w:jc w:val="left"/>
              <w:rPr>
                <w:lang w:val="fr-FR"/>
              </w:rPr>
            </w:pPr>
            <w:r w:rsidRPr="006D3E70">
              <w:rPr>
                <w:lang w:val="fr-FR"/>
              </w:rPr>
              <w:t xml:space="preserve">10 log </w:t>
            </w:r>
            <w:r w:rsidRPr="006D3E70">
              <w:rPr>
                <w:i/>
                <w:iCs/>
                <w:lang w:val="fr-FR"/>
              </w:rPr>
              <w:t>P</w:t>
            </w:r>
            <w:r w:rsidRPr="006D3E70">
              <w:rPr>
                <w:lang w:val="fr-FR"/>
              </w:rPr>
              <w:t> – 20</w:t>
            </w:r>
            <w:r w:rsidRPr="006D3E70">
              <w:rPr>
                <w:lang w:val="fr-FR"/>
              </w:rPr>
              <w:tab/>
            </w:r>
            <w:r w:rsidRPr="006D3E70">
              <w:rPr>
                <w:lang w:val="fr-FR"/>
              </w:rPr>
              <w:tab/>
              <w:t xml:space="preserve">pour </w:t>
            </w:r>
            <w:r w:rsidRPr="006D3E70">
              <w:rPr>
                <w:i/>
                <w:iCs/>
                <w:lang w:val="fr-FR"/>
              </w:rPr>
              <w:t>P</w:t>
            </w:r>
            <w:r w:rsidRPr="006D3E70">
              <w:rPr>
                <w:lang w:val="fr-FR"/>
              </w:rPr>
              <w:t xml:space="preserve"> </w:t>
            </w:r>
            <w:r w:rsidRPr="006D3E70">
              <w:rPr>
                <w:lang w:val="fr-FR"/>
              </w:rPr>
              <w:sym w:font="Symbol" w:char="F0A3"/>
            </w:r>
            <w:r w:rsidRPr="006D3E70">
              <w:rPr>
                <w:lang w:val="fr-FR"/>
              </w:rPr>
              <w:t xml:space="preserve"> 5</w:t>
            </w:r>
            <w:r w:rsidRPr="006D3E70">
              <w:rPr>
                <w:rFonts w:ascii="Tms Rmn" w:hAnsi="Tms Rmn"/>
                <w:sz w:val="12"/>
                <w:lang w:val="fr-FR"/>
              </w:rPr>
              <w:t> </w:t>
            </w:r>
            <w:r w:rsidRPr="006D3E70">
              <w:rPr>
                <w:lang w:val="fr-FR"/>
              </w:rPr>
              <w:t>000 W</w:t>
            </w:r>
            <w:r w:rsidRPr="006D3E70">
              <w:rPr>
                <w:lang w:val="fr-FR"/>
              </w:rPr>
              <w:br/>
              <w:t>17 dBm</w:t>
            </w:r>
            <w:r w:rsidRPr="006D3E70">
              <w:rPr>
                <w:lang w:val="fr-FR"/>
              </w:rPr>
              <w:tab/>
            </w:r>
            <w:r w:rsidRPr="006D3E70">
              <w:rPr>
                <w:lang w:val="fr-FR"/>
              </w:rPr>
              <w:tab/>
            </w:r>
            <w:r w:rsidRPr="006D3E70">
              <w:rPr>
                <w:lang w:val="fr-FR"/>
              </w:rPr>
              <w:tab/>
            </w:r>
            <w:r w:rsidRPr="006D3E70">
              <w:rPr>
                <w:lang w:val="fr-FR"/>
              </w:rPr>
              <w:tab/>
              <w:t xml:space="preserve">pour </w:t>
            </w:r>
            <w:r w:rsidRPr="006D3E70">
              <w:rPr>
                <w:i/>
                <w:iCs/>
                <w:lang w:val="fr-FR"/>
              </w:rPr>
              <w:t>P</w:t>
            </w:r>
            <w:r w:rsidRPr="006D3E70">
              <w:rPr>
                <w:lang w:val="fr-FR"/>
              </w:rPr>
              <w:t xml:space="preserve"> &gt; 5</w:t>
            </w:r>
            <w:r w:rsidRPr="006D3E70">
              <w:rPr>
                <w:rFonts w:ascii="Tms Rmn" w:hAnsi="Tms Rmn"/>
                <w:sz w:val="12"/>
                <w:lang w:val="fr-FR"/>
              </w:rPr>
              <w:t> </w:t>
            </w:r>
            <w:r w:rsidRPr="006D3E70">
              <w:rPr>
                <w:lang w:val="fr-FR"/>
              </w:rPr>
              <w:t>000 W</w:t>
            </w:r>
          </w:p>
        </w:tc>
      </w:tr>
      <w:tr w:rsidR="00532249" w:rsidRPr="006D3E70" w14:paraId="70152A9D" w14:textId="77777777" w:rsidTr="00F44007">
        <w:trPr>
          <w:jc w:val="center"/>
        </w:trPr>
        <w:tc>
          <w:tcPr>
            <w:tcW w:w="4218" w:type="dxa"/>
            <w:tcBorders>
              <w:top w:val="single" w:sz="6" w:space="0" w:color="auto"/>
              <w:left w:val="single" w:sz="6" w:space="0" w:color="auto"/>
              <w:bottom w:val="single" w:sz="6" w:space="0" w:color="auto"/>
              <w:right w:val="single" w:sz="6" w:space="0" w:color="auto"/>
            </w:tcBorders>
          </w:tcPr>
          <w:p w14:paraId="56C15DD7" w14:textId="77777777" w:rsidR="00532249" w:rsidRPr="006D3E70" w:rsidRDefault="00532249" w:rsidP="00F44007">
            <w:pPr>
              <w:pStyle w:val="Tabletext"/>
              <w:jc w:val="left"/>
              <w:rPr>
                <w:lang w:val="fr-FR"/>
              </w:rPr>
            </w:pPr>
            <w:r w:rsidRPr="006D3E70">
              <w:rPr>
                <w:lang w:val="fr-FR"/>
              </w:rPr>
              <w:t>BLU à partir de stations mobiles</w:t>
            </w:r>
            <w:r w:rsidRPr="006D3E70">
              <w:rPr>
                <w:vertAlign w:val="superscript"/>
                <w:lang w:val="fr-FR"/>
              </w:rPr>
              <w:t>(9)</w:t>
            </w:r>
          </w:p>
        </w:tc>
        <w:tc>
          <w:tcPr>
            <w:tcW w:w="5422" w:type="dxa"/>
            <w:gridSpan w:val="2"/>
            <w:tcBorders>
              <w:top w:val="single" w:sz="6" w:space="0" w:color="auto"/>
              <w:left w:val="single" w:sz="6" w:space="0" w:color="auto"/>
              <w:bottom w:val="single" w:sz="6" w:space="0" w:color="auto"/>
              <w:right w:val="single" w:sz="6" w:space="0" w:color="auto"/>
            </w:tcBorders>
          </w:tcPr>
          <w:p w14:paraId="5339EBBA" w14:textId="77777777" w:rsidR="00532249" w:rsidRPr="006D3E70" w:rsidRDefault="00532249" w:rsidP="00F44007">
            <w:pPr>
              <w:pStyle w:val="Tabletext"/>
              <w:framePr w:hSpace="181" w:wrap="notBeside" w:vAnchor="text" w:hAnchor="text" w:xAlign="center" w:y="1"/>
              <w:spacing w:before="60" w:after="60"/>
              <w:jc w:val="left"/>
              <w:rPr>
                <w:lang w:val="fr-FR"/>
              </w:rPr>
            </w:pPr>
            <w:r w:rsidRPr="006D3E70">
              <w:rPr>
                <w:lang w:val="fr-FR"/>
              </w:rPr>
              <w:t xml:space="preserve">10 log </w:t>
            </w:r>
            <w:r w:rsidRPr="006D3E70">
              <w:rPr>
                <w:i/>
                <w:iCs/>
                <w:lang w:val="fr-FR"/>
              </w:rPr>
              <w:t>PEP</w:t>
            </w:r>
            <w:r w:rsidRPr="006D3E70">
              <w:rPr>
                <w:lang w:val="fr-FR"/>
              </w:rPr>
              <w:t> – 13</w:t>
            </w:r>
          </w:p>
        </w:tc>
      </w:tr>
      <w:tr w:rsidR="00532249" w:rsidRPr="006D3E70" w14:paraId="2DA6BEDF" w14:textId="77777777" w:rsidTr="00F44007">
        <w:trPr>
          <w:jc w:val="center"/>
        </w:trPr>
        <w:tc>
          <w:tcPr>
            <w:tcW w:w="4218" w:type="dxa"/>
            <w:tcBorders>
              <w:top w:val="single" w:sz="6" w:space="0" w:color="auto"/>
              <w:left w:val="single" w:sz="6" w:space="0" w:color="auto"/>
              <w:bottom w:val="single" w:sz="6" w:space="0" w:color="auto"/>
              <w:right w:val="single" w:sz="6" w:space="0" w:color="auto"/>
            </w:tcBorders>
          </w:tcPr>
          <w:p w14:paraId="7710C663" w14:textId="5E65EE71" w:rsidR="00532249" w:rsidRPr="006D3E70" w:rsidRDefault="00532249" w:rsidP="00F44007">
            <w:pPr>
              <w:pStyle w:val="Tabletext"/>
              <w:jc w:val="left"/>
              <w:rPr>
                <w:lang w:val="fr-FR"/>
              </w:rPr>
            </w:pPr>
            <w:r w:rsidRPr="006D3E70">
              <w:rPr>
                <w:lang w:val="fr-FR"/>
              </w:rPr>
              <w:t>Services d</w:t>
            </w:r>
            <w:r w:rsidR="00324C7C" w:rsidRPr="006D3E70">
              <w:rPr>
                <w:lang w:val="fr-FR"/>
              </w:rPr>
              <w:t>'</w:t>
            </w:r>
            <w:r w:rsidRPr="006D3E70">
              <w:rPr>
                <w:lang w:val="fr-FR"/>
              </w:rPr>
              <w:t>amateur fonctionnant en dessous de 30 MHz (y compris la BLU amateur)</w:t>
            </w:r>
            <w:r w:rsidRPr="006D3E70">
              <w:rPr>
                <w:vertAlign w:val="superscript"/>
                <w:lang w:val="fr-FR"/>
              </w:rPr>
              <w:t>(9)</w:t>
            </w:r>
          </w:p>
        </w:tc>
        <w:tc>
          <w:tcPr>
            <w:tcW w:w="5422" w:type="dxa"/>
            <w:gridSpan w:val="2"/>
            <w:tcBorders>
              <w:top w:val="single" w:sz="6" w:space="0" w:color="auto"/>
              <w:left w:val="single" w:sz="6" w:space="0" w:color="auto"/>
              <w:bottom w:val="single" w:sz="6" w:space="0" w:color="auto"/>
              <w:right w:val="single" w:sz="6" w:space="0" w:color="auto"/>
            </w:tcBorders>
          </w:tcPr>
          <w:p w14:paraId="5997BFD2" w14:textId="77777777" w:rsidR="00532249" w:rsidRPr="006D3E70" w:rsidRDefault="00532249" w:rsidP="00F44007">
            <w:pPr>
              <w:pStyle w:val="Tabletext"/>
              <w:framePr w:hSpace="181" w:wrap="notBeside" w:vAnchor="text" w:hAnchor="text" w:xAlign="center" w:y="1"/>
              <w:spacing w:before="60" w:after="60"/>
              <w:jc w:val="left"/>
              <w:rPr>
                <w:lang w:val="fr-FR"/>
              </w:rPr>
            </w:pPr>
            <w:r w:rsidRPr="006D3E70">
              <w:rPr>
                <w:lang w:val="fr-FR"/>
              </w:rPr>
              <w:t>–13 dBm</w:t>
            </w:r>
            <w:r w:rsidRPr="006D3E70">
              <w:rPr>
                <w:lang w:val="fr-FR"/>
              </w:rPr>
              <w:tab/>
            </w:r>
            <w:r w:rsidRPr="006D3E70">
              <w:rPr>
                <w:lang w:val="fr-FR"/>
              </w:rPr>
              <w:tab/>
            </w:r>
            <w:r w:rsidRPr="006D3E70">
              <w:rPr>
                <w:lang w:val="fr-FR"/>
              </w:rPr>
              <w:tab/>
            </w:r>
            <w:r w:rsidRPr="006D3E70">
              <w:rPr>
                <w:lang w:val="fr-FR"/>
              </w:rPr>
              <w:tab/>
              <w:t xml:space="preserve">pour </w:t>
            </w:r>
            <w:r w:rsidRPr="006D3E70">
              <w:rPr>
                <w:i/>
                <w:iCs/>
                <w:lang w:val="fr-FR"/>
              </w:rPr>
              <w:t>PEP</w:t>
            </w:r>
            <w:r w:rsidRPr="006D3E70">
              <w:rPr>
                <w:lang w:val="fr-FR"/>
              </w:rPr>
              <w:t xml:space="preserve"> </w:t>
            </w:r>
            <w:r w:rsidRPr="006D3E70">
              <w:rPr>
                <w:lang w:val="fr-FR"/>
              </w:rPr>
              <w:sym w:font="Symbol" w:char="F0A3"/>
            </w:r>
            <w:r w:rsidRPr="006D3E70">
              <w:rPr>
                <w:lang w:val="fr-FR"/>
              </w:rPr>
              <w:t xml:space="preserve"> 5 W</w:t>
            </w:r>
            <w:r w:rsidRPr="006D3E70">
              <w:rPr>
                <w:lang w:val="fr-FR"/>
              </w:rPr>
              <w:br/>
              <w:t xml:space="preserve">10 log </w:t>
            </w:r>
            <w:r w:rsidRPr="006D3E70">
              <w:rPr>
                <w:i/>
                <w:iCs/>
                <w:lang w:val="fr-FR"/>
              </w:rPr>
              <w:t>PEP</w:t>
            </w:r>
            <w:r w:rsidRPr="006D3E70">
              <w:rPr>
                <w:lang w:val="fr-FR"/>
              </w:rPr>
              <w:t> – 20</w:t>
            </w:r>
            <w:r w:rsidRPr="006D3E70">
              <w:rPr>
                <w:lang w:val="fr-FR"/>
              </w:rPr>
              <w:tab/>
              <w:t xml:space="preserve">pour </w:t>
            </w:r>
            <w:r w:rsidRPr="006D3E70">
              <w:rPr>
                <w:i/>
                <w:iCs/>
                <w:lang w:val="fr-FR"/>
              </w:rPr>
              <w:t>PEP</w:t>
            </w:r>
            <w:r w:rsidRPr="006D3E70">
              <w:rPr>
                <w:lang w:val="fr-FR"/>
              </w:rPr>
              <w:t xml:space="preserve"> &gt; 5 W</w:t>
            </w:r>
          </w:p>
        </w:tc>
      </w:tr>
      <w:tr w:rsidR="00532249" w:rsidRPr="006D3E70" w14:paraId="229EB37B" w14:textId="77777777" w:rsidTr="00F44007">
        <w:trPr>
          <w:jc w:val="center"/>
        </w:trPr>
        <w:tc>
          <w:tcPr>
            <w:tcW w:w="4218" w:type="dxa"/>
            <w:tcBorders>
              <w:top w:val="single" w:sz="6" w:space="0" w:color="auto"/>
              <w:left w:val="single" w:sz="6" w:space="0" w:color="auto"/>
              <w:bottom w:val="single" w:sz="6" w:space="0" w:color="auto"/>
              <w:right w:val="single" w:sz="6" w:space="0" w:color="auto"/>
            </w:tcBorders>
          </w:tcPr>
          <w:p w14:paraId="70F533D8" w14:textId="556534D9" w:rsidR="00532249" w:rsidRPr="006D3E70" w:rsidRDefault="00532249" w:rsidP="00F44007">
            <w:pPr>
              <w:pStyle w:val="Tabletext"/>
              <w:jc w:val="left"/>
              <w:rPr>
                <w:lang w:val="fr-FR"/>
              </w:rPr>
            </w:pPr>
            <w:r w:rsidRPr="006D3E70">
              <w:rPr>
                <w:lang w:val="fr-FR"/>
              </w:rPr>
              <w:t>Services exploités en dessous de 30 MHz sauf les services spatiaux de radio</w:t>
            </w:r>
            <w:r w:rsidRPr="006D3E70">
              <w:rPr>
                <w:lang w:val="fr-FR"/>
              </w:rPr>
              <w:softHyphen/>
              <w:t>localisation, de radiodiffusion, ceux utilisant la BLU à partir de stations mobiles et d</w:t>
            </w:r>
            <w:r w:rsidR="00324C7C" w:rsidRPr="006D3E70">
              <w:rPr>
                <w:lang w:val="fr-FR"/>
              </w:rPr>
              <w:t>'</w:t>
            </w:r>
            <w:r w:rsidRPr="006D3E70">
              <w:rPr>
                <w:lang w:val="fr-FR"/>
              </w:rPr>
              <w:t>amateur</w:t>
            </w:r>
            <w:r w:rsidRPr="006D3E70">
              <w:rPr>
                <w:vertAlign w:val="superscript"/>
                <w:lang w:val="fr-FR"/>
              </w:rPr>
              <w:t>(9)</w:t>
            </w:r>
          </w:p>
        </w:tc>
        <w:tc>
          <w:tcPr>
            <w:tcW w:w="5422" w:type="dxa"/>
            <w:gridSpan w:val="2"/>
            <w:tcBorders>
              <w:top w:val="single" w:sz="6" w:space="0" w:color="auto"/>
              <w:left w:val="single" w:sz="6" w:space="0" w:color="auto"/>
              <w:bottom w:val="single" w:sz="6" w:space="0" w:color="auto"/>
              <w:right w:val="single" w:sz="6" w:space="0" w:color="auto"/>
            </w:tcBorders>
          </w:tcPr>
          <w:p w14:paraId="09D2E693" w14:textId="77777777" w:rsidR="00532249" w:rsidRPr="006D3E70" w:rsidRDefault="00532249" w:rsidP="00F44007">
            <w:pPr>
              <w:pStyle w:val="Tabletext"/>
              <w:framePr w:hSpace="181" w:wrap="notBeside" w:vAnchor="text" w:hAnchor="text" w:xAlign="center" w:y="1"/>
              <w:spacing w:before="60" w:after="60"/>
              <w:jc w:val="left"/>
              <w:rPr>
                <w:lang w:val="fr-FR"/>
              </w:rPr>
            </w:pPr>
            <w:r w:rsidRPr="006D3E70">
              <w:rPr>
                <w:lang w:val="fr-FR"/>
              </w:rPr>
              <w:t>–13 dBm</w:t>
            </w:r>
            <w:r w:rsidRPr="006D3E70">
              <w:rPr>
                <w:lang w:val="fr-FR"/>
              </w:rPr>
              <w:tab/>
            </w:r>
            <w:r w:rsidRPr="006D3E70">
              <w:rPr>
                <w:lang w:val="fr-FR"/>
              </w:rPr>
              <w:tab/>
            </w:r>
            <w:r w:rsidRPr="006D3E70">
              <w:rPr>
                <w:lang w:val="fr-FR"/>
              </w:rPr>
              <w:tab/>
            </w:r>
            <w:r w:rsidRPr="006D3E70">
              <w:rPr>
                <w:lang w:val="fr-FR"/>
              </w:rPr>
              <w:tab/>
              <w:t xml:space="preserve">pour </w:t>
            </w:r>
            <w:r w:rsidRPr="006D3E70">
              <w:rPr>
                <w:i/>
                <w:iCs/>
                <w:lang w:val="fr-FR"/>
              </w:rPr>
              <w:t>X</w:t>
            </w:r>
            <w:r w:rsidRPr="006D3E70">
              <w:rPr>
                <w:lang w:val="fr-FR"/>
              </w:rPr>
              <w:t xml:space="preserve"> </w:t>
            </w:r>
            <w:r w:rsidRPr="006D3E70">
              <w:rPr>
                <w:lang w:val="fr-FR"/>
              </w:rPr>
              <w:sym w:font="Symbol" w:char="F0A3"/>
            </w:r>
            <w:r w:rsidRPr="006D3E70">
              <w:rPr>
                <w:lang w:val="fr-FR"/>
              </w:rPr>
              <w:t xml:space="preserve"> 50 W</w:t>
            </w:r>
            <w:r w:rsidRPr="006D3E70">
              <w:rPr>
                <w:lang w:val="fr-FR"/>
              </w:rPr>
              <w:br/>
              <w:t xml:space="preserve">10 log </w:t>
            </w:r>
            <w:r w:rsidRPr="006D3E70">
              <w:rPr>
                <w:i/>
                <w:iCs/>
                <w:lang w:val="fr-FR"/>
              </w:rPr>
              <w:t>X</w:t>
            </w:r>
            <w:r w:rsidRPr="006D3E70">
              <w:rPr>
                <w:lang w:val="fr-FR"/>
              </w:rPr>
              <w:t> – 30</w:t>
            </w:r>
            <w:r w:rsidRPr="006D3E70">
              <w:rPr>
                <w:lang w:val="fr-FR"/>
              </w:rPr>
              <w:tab/>
            </w:r>
            <w:r w:rsidRPr="006D3E70">
              <w:rPr>
                <w:lang w:val="fr-FR"/>
              </w:rPr>
              <w:tab/>
              <w:t xml:space="preserve">pour </w:t>
            </w:r>
            <w:r w:rsidRPr="006D3E70">
              <w:rPr>
                <w:i/>
                <w:iCs/>
                <w:lang w:val="fr-FR"/>
              </w:rPr>
              <w:t>X</w:t>
            </w:r>
            <w:r w:rsidRPr="006D3E70">
              <w:rPr>
                <w:lang w:val="fr-FR"/>
              </w:rPr>
              <w:t xml:space="preserve"> &gt; 50 W</w:t>
            </w:r>
            <w:r w:rsidRPr="006D3E70">
              <w:rPr>
                <w:lang w:val="fr-FR"/>
              </w:rPr>
              <w:br/>
              <w:t>où:</w:t>
            </w:r>
          </w:p>
          <w:p w14:paraId="7AE447AD" w14:textId="77777777" w:rsidR="00532249" w:rsidRPr="006D3E70" w:rsidRDefault="00532249" w:rsidP="00F44007">
            <w:pPr>
              <w:pStyle w:val="Tabletext"/>
              <w:framePr w:hSpace="181" w:wrap="notBeside" w:vAnchor="text" w:hAnchor="text" w:xAlign="center" w:y="1"/>
              <w:tabs>
                <w:tab w:val="clear" w:pos="284"/>
                <w:tab w:val="clear" w:pos="567"/>
                <w:tab w:val="clear" w:pos="851"/>
                <w:tab w:val="clear" w:pos="1134"/>
                <w:tab w:val="clear" w:pos="1418"/>
                <w:tab w:val="clear" w:pos="1985"/>
                <w:tab w:val="clear" w:pos="2268"/>
                <w:tab w:val="clear" w:pos="2552"/>
                <w:tab w:val="left" w:pos="2347"/>
              </w:tabs>
              <w:spacing w:before="60" w:after="60"/>
              <w:jc w:val="left"/>
              <w:rPr>
                <w:lang w:val="fr-FR"/>
              </w:rPr>
            </w:pPr>
            <w:r w:rsidRPr="006D3E70">
              <w:rPr>
                <w:i/>
                <w:lang w:val="fr-FR"/>
              </w:rPr>
              <w:tab/>
              <w:t>X</w:t>
            </w:r>
            <w:r w:rsidRPr="006D3E70">
              <w:rPr>
                <w:lang w:val="fr-FR"/>
              </w:rPr>
              <w:t xml:space="preserve"> = </w:t>
            </w:r>
            <w:r w:rsidRPr="006D3E70">
              <w:rPr>
                <w:i/>
                <w:lang w:val="fr-FR"/>
              </w:rPr>
              <w:t>PEP</w:t>
            </w:r>
            <w:r w:rsidRPr="006D3E70">
              <w:rPr>
                <w:lang w:val="fr-FR"/>
              </w:rPr>
              <w:t xml:space="preserve"> pour la modulation BLU</w:t>
            </w:r>
            <w:r w:rsidRPr="006D3E70">
              <w:rPr>
                <w:lang w:val="fr-FR"/>
              </w:rPr>
              <w:br/>
            </w:r>
            <w:r w:rsidRPr="006D3E70">
              <w:rPr>
                <w:lang w:val="fr-FR"/>
              </w:rPr>
              <w:tab/>
            </w:r>
            <w:r w:rsidRPr="006D3E70">
              <w:rPr>
                <w:i/>
                <w:lang w:val="fr-FR"/>
              </w:rPr>
              <w:t>X</w:t>
            </w:r>
            <w:r w:rsidRPr="006D3E70">
              <w:rPr>
                <w:lang w:val="fr-FR"/>
              </w:rPr>
              <w:t xml:space="preserve"> = </w:t>
            </w:r>
            <w:r w:rsidRPr="006D3E70">
              <w:rPr>
                <w:i/>
                <w:lang w:val="fr-FR"/>
              </w:rPr>
              <w:t xml:space="preserve">P </w:t>
            </w:r>
            <w:r w:rsidRPr="006D3E70">
              <w:rPr>
                <w:lang w:val="fr-FR"/>
              </w:rPr>
              <w:t xml:space="preserve">pour les autres types de </w:t>
            </w:r>
            <w:r w:rsidRPr="006D3E70">
              <w:rPr>
                <w:lang w:val="fr-FR"/>
              </w:rPr>
              <w:tab/>
            </w:r>
            <w:r w:rsidRPr="006D3E70">
              <w:rPr>
                <w:lang w:val="fr-FR"/>
              </w:rPr>
              <w:tab/>
            </w:r>
            <w:r w:rsidRPr="006D3E70">
              <w:rPr>
                <w:lang w:val="fr-FR"/>
              </w:rPr>
              <w:tab/>
              <w:t>modulation</w:t>
            </w:r>
          </w:p>
        </w:tc>
      </w:tr>
      <w:tr w:rsidR="00532249" w:rsidRPr="006D3E70" w14:paraId="7D49EC25" w14:textId="77777777" w:rsidTr="00F44007">
        <w:trPr>
          <w:jc w:val="center"/>
        </w:trPr>
        <w:tc>
          <w:tcPr>
            <w:tcW w:w="4218" w:type="dxa"/>
            <w:tcBorders>
              <w:top w:val="single" w:sz="6" w:space="0" w:color="auto"/>
              <w:left w:val="single" w:sz="6" w:space="0" w:color="auto"/>
              <w:bottom w:val="single" w:sz="6" w:space="0" w:color="auto"/>
              <w:right w:val="single" w:sz="6" w:space="0" w:color="auto"/>
            </w:tcBorders>
          </w:tcPr>
          <w:p w14:paraId="28BFB7CC" w14:textId="77777777" w:rsidR="00532249" w:rsidRPr="006D3E70" w:rsidRDefault="00532249" w:rsidP="00F44007">
            <w:pPr>
              <w:pStyle w:val="Tabletext"/>
              <w:jc w:val="left"/>
              <w:rPr>
                <w:lang w:val="fr-FR"/>
              </w:rPr>
            </w:pPr>
            <w:r w:rsidRPr="006D3E70">
              <w:rPr>
                <w:lang w:val="fr-FR"/>
              </w:rPr>
              <w:t>Équipement radio avec dispositif de faible puissance</w:t>
            </w:r>
            <w:r w:rsidRPr="006D3E70">
              <w:rPr>
                <w:vertAlign w:val="superscript"/>
                <w:lang w:val="fr-FR"/>
              </w:rPr>
              <w:t>(10)</w:t>
            </w:r>
          </w:p>
        </w:tc>
        <w:tc>
          <w:tcPr>
            <w:tcW w:w="5422" w:type="dxa"/>
            <w:gridSpan w:val="2"/>
            <w:tcBorders>
              <w:top w:val="single" w:sz="6" w:space="0" w:color="auto"/>
              <w:left w:val="single" w:sz="6" w:space="0" w:color="auto"/>
              <w:bottom w:val="single" w:sz="6" w:space="0" w:color="auto"/>
              <w:right w:val="single" w:sz="6" w:space="0" w:color="auto"/>
            </w:tcBorders>
          </w:tcPr>
          <w:p w14:paraId="5DFAE5AC" w14:textId="77777777" w:rsidR="00532249" w:rsidRPr="006D3E70" w:rsidRDefault="00532249" w:rsidP="00F44007">
            <w:pPr>
              <w:pStyle w:val="Tabletext"/>
              <w:framePr w:hSpace="181" w:wrap="notBeside" w:vAnchor="text" w:hAnchor="text" w:xAlign="center" w:y="1"/>
              <w:spacing w:before="60" w:after="60"/>
              <w:jc w:val="left"/>
              <w:rPr>
                <w:lang w:val="fr-FR"/>
              </w:rPr>
            </w:pPr>
            <w:r w:rsidRPr="006D3E70">
              <w:rPr>
                <w:lang w:val="fr-FR"/>
              </w:rPr>
              <w:t>–26 dBm</w:t>
            </w:r>
            <w:r w:rsidRPr="006D3E70">
              <w:rPr>
                <w:lang w:val="fr-FR"/>
              </w:rPr>
              <w:tab/>
            </w:r>
            <w:r w:rsidRPr="006D3E70">
              <w:rPr>
                <w:lang w:val="fr-FR"/>
              </w:rPr>
              <w:tab/>
            </w:r>
            <w:r w:rsidRPr="006D3E70">
              <w:rPr>
                <w:lang w:val="fr-FR"/>
              </w:rPr>
              <w:tab/>
            </w:r>
            <w:r w:rsidRPr="006D3E70">
              <w:rPr>
                <w:lang w:val="fr-FR"/>
              </w:rPr>
              <w:tab/>
              <w:t xml:space="preserve">pour </w:t>
            </w:r>
            <w:r w:rsidRPr="006D3E70">
              <w:rPr>
                <w:i/>
                <w:lang w:val="fr-FR"/>
              </w:rPr>
              <w:t>P</w:t>
            </w:r>
            <w:r w:rsidRPr="006D3E70">
              <w:rPr>
                <w:lang w:val="fr-FR"/>
              </w:rPr>
              <w:t xml:space="preserve"> </w:t>
            </w:r>
            <w:r w:rsidRPr="006D3E70">
              <w:rPr>
                <w:lang w:val="fr-FR"/>
              </w:rPr>
              <w:sym w:font="Symbol" w:char="F0A3"/>
            </w:r>
            <w:r w:rsidRPr="006D3E70">
              <w:rPr>
                <w:lang w:val="fr-FR"/>
              </w:rPr>
              <w:t xml:space="preserve"> 0,025 W</w:t>
            </w:r>
            <w:r w:rsidRPr="006D3E70">
              <w:rPr>
                <w:lang w:val="fr-FR"/>
              </w:rPr>
              <w:br/>
              <w:t xml:space="preserve">10 log </w:t>
            </w:r>
            <w:r w:rsidRPr="006D3E70">
              <w:rPr>
                <w:i/>
                <w:iCs/>
                <w:lang w:val="fr-FR"/>
              </w:rPr>
              <w:t>P</w:t>
            </w:r>
            <w:r w:rsidRPr="006D3E70">
              <w:rPr>
                <w:lang w:val="fr-FR"/>
              </w:rPr>
              <w:t> – 10</w:t>
            </w:r>
            <w:r w:rsidRPr="006D3E70">
              <w:rPr>
                <w:lang w:val="fr-FR"/>
              </w:rPr>
              <w:tab/>
            </w:r>
            <w:r w:rsidRPr="006D3E70">
              <w:rPr>
                <w:lang w:val="fr-FR"/>
              </w:rPr>
              <w:tab/>
              <w:t xml:space="preserve">pour 0,025 W &lt; </w:t>
            </w:r>
            <w:r w:rsidRPr="006D3E70">
              <w:rPr>
                <w:i/>
                <w:lang w:val="fr-FR"/>
              </w:rPr>
              <w:t>P</w:t>
            </w:r>
            <w:r w:rsidRPr="006D3E70">
              <w:rPr>
                <w:lang w:val="fr-FR"/>
              </w:rPr>
              <w:t xml:space="preserve"> &lt; 0,100 W</w:t>
            </w:r>
          </w:p>
        </w:tc>
      </w:tr>
      <w:tr w:rsidR="00532249" w:rsidRPr="006D3E70" w14:paraId="7C4852CF" w14:textId="77777777" w:rsidTr="00F44007">
        <w:trPr>
          <w:jc w:val="center"/>
        </w:trPr>
        <w:tc>
          <w:tcPr>
            <w:tcW w:w="4218" w:type="dxa"/>
            <w:tcBorders>
              <w:top w:val="single" w:sz="6" w:space="0" w:color="auto"/>
              <w:left w:val="single" w:sz="6" w:space="0" w:color="auto"/>
              <w:bottom w:val="single" w:sz="6" w:space="0" w:color="auto"/>
              <w:right w:val="single" w:sz="6" w:space="0" w:color="auto"/>
            </w:tcBorders>
          </w:tcPr>
          <w:p w14:paraId="17F54087" w14:textId="668D3DB1" w:rsidR="00532249" w:rsidRPr="006D3E70" w:rsidRDefault="00532249" w:rsidP="00F44007">
            <w:pPr>
              <w:pStyle w:val="Tabletext"/>
              <w:jc w:val="left"/>
              <w:rPr>
                <w:lang w:val="fr-FR"/>
              </w:rPr>
            </w:pPr>
            <w:r w:rsidRPr="006D3E70">
              <w:rPr>
                <w:lang w:val="fr-FR"/>
              </w:rPr>
              <w:t>RLS, émetteur de localisation d</w:t>
            </w:r>
            <w:r w:rsidR="00324C7C" w:rsidRPr="006D3E70">
              <w:rPr>
                <w:lang w:val="fr-FR"/>
              </w:rPr>
              <w:t>'</w:t>
            </w:r>
            <w:r w:rsidRPr="006D3E70">
              <w:rPr>
                <w:lang w:val="fr-FR"/>
              </w:rPr>
              <w:t>urgence, balise de localisation personnelle et répéteur de recherche et de sauvetage, émetteurs de secours de navires, d</w:t>
            </w:r>
            <w:r w:rsidR="00324C7C" w:rsidRPr="006D3E70">
              <w:rPr>
                <w:lang w:val="fr-FR"/>
              </w:rPr>
              <w:t>'</w:t>
            </w:r>
            <w:r w:rsidRPr="006D3E70">
              <w:rPr>
                <w:lang w:val="fr-FR"/>
              </w:rPr>
              <w:t>embarcations de sauv</w:t>
            </w:r>
            <w:r w:rsidR="00F44007" w:rsidRPr="006D3E70">
              <w:rPr>
                <w:lang w:val="fr-FR"/>
              </w:rPr>
              <w:t>e</w:t>
            </w:r>
            <w:r w:rsidRPr="006D3E70">
              <w:rPr>
                <w:lang w:val="fr-FR"/>
              </w:rPr>
              <w:t>tage et d</w:t>
            </w:r>
            <w:r w:rsidR="00324C7C" w:rsidRPr="006D3E70">
              <w:rPr>
                <w:lang w:val="fr-FR"/>
              </w:rPr>
              <w:t>'</w:t>
            </w:r>
            <w:r w:rsidRPr="006D3E70">
              <w:rPr>
                <w:lang w:val="fr-FR"/>
              </w:rPr>
              <w:t>engins de sauvetage, émetteurs terrestres, aéronautiques ou maritimes lorsqu</w:t>
            </w:r>
            <w:r w:rsidR="00324C7C" w:rsidRPr="006D3E70">
              <w:rPr>
                <w:lang w:val="fr-FR"/>
              </w:rPr>
              <w:t>'</w:t>
            </w:r>
            <w:r w:rsidRPr="006D3E70">
              <w:rPr>
                <w:lang w:val="fr-FR"/>
              </w:rPr>
              <w:t>ils sont utilisés en cas de sinistre</w:t>
            </w:r>
          </w:p>
        </w:tc>
        <w:tc>
          <w:tcPr>
            <w:tcW w:w="5422" w:type="dxa"/>
            <w:gridSpan w:val="2"/>
            <w:tcBorders>
              <w:top w:val="single" w:sz="6" w:space="0" w:color="auto"/>
              <w:left w:val="single" w:sz="6" w:space="0" w:color="auto"/>
              <w:bottom w:val="single" w:sz="6" w:space="0" w:color="auto"/>
              <w:right w:val="single" w:sz="6" w:space="0" w:color="auto"/>
            </w:tcBorders>
          </w:tcPr>
          <w:p w14:paraId="36B942E6" w14:textId="77777777" w:rsidR="00532249" w:rsidRPr="006D3E70" w:rsidRDefault="00532249" w:rsidP="00F44007">
            <w:pPr>
              <w:pStyle w:val="Tabletext"/>
              <w:framePr w:hSpace="181" w:wrap="notBeside" w:vAnchor="text" w:hAnchor="text" w:xAlign="center" w:y="1"/>
              <w:spacing w:before="60" w:after="60"/>
              <w:jc w:val="left"/>
              <w:rPr>
                <w:lang w:val="fr-FR"/>
              </w:rPr>
            </w:pPr>
            <w:r w:rsidRPr="006D3E70">
              <w:rPr>
                <w:lang w:val="fr-FR"/>
              </w:rPr>
              <w:t>Pas de limite</w:t>
            </w:r>
          </w:p>
        </w:tc>
      </w:tr>
      <w:tr w:rsidR="00532249" w:rsidRPr="006D3E70" w14:paraId="346A9D23" w14:textId="77777777" w:rsidTr="00F44007">
        <w:tblPrEx>
          <w:tblBorders>
            <w:top w:val="none" w:sz="0" w:space="0" w:color="auto"/>
            <w:left w:val="none" w:sz="0" w:space="0" w:color="auto"/>
            <w:bottom w:val="none" w:sz="0" w:space="0" w:color="auto"/>
            <w:right w:val="none" w:sz="0" w:space="0" w:color="auto"/>
          </w:tblBorders>
        </w:tblPrEx>
        <w:trPr>
          <w:gridAfter w:val="1"/>
          <w:wAfter w:w="8" w:type="dxa"/>
          <w:jc w:val="center"/>
        </w:trPr>
        <w:tc>
          <w:tcPr>
            <w:tcW w:w="9640" w:type="dxa"/>
            <w:gridSpan w:val="2"/>
          </w:tcPr>
          <w:p w14:paraId="7D9DC68E" w14:textId="23174781" w:rsidR="00532249" w:rsidRDefault="00532249" w:rsidP="00934940">
            <w:pPr>
              <w:pStyle w:val="Tablelegend"/>
              <w:tabs>
                <w:tab w:val="clear" w:pos="284"/>
                <w:tab w:val="clear" w:pos="567"/>
                <w:tab w:val="left" w:pos="589"/>
              </w:tabs>
              <w:ind w:left="567" w:hanging="567"/>
              <w:rPr>
                <w:lang w:val="fr-FR"/>
              </w:rPr>
            </w:pPr>
            <w:r w:rsidRPr="006D3E70">
              <w:rPr>
                <w:i/>
                <w:iCs/>
                <w:lang w:val="fr-FR"/>
              </w:rPr>
              <w:t>P</w:t>
            </w:r>
            <w:r w:rsidRPr="006D3E70">
              <w:rPr>
                <w:lang w:val="fr-FR"/>
              </w:rPr>
              <w:t>:</w:t>
            </w:r>
            <w:r w:rsidRPr="006D3E70">
              <w:rPr>
                <w:lang w:val="fr-FR"/>
              </w:rPr>
              <w:tab/>
              <w:t>puissance moyenne (W) fournie à la ligne de transmission de l</w:t>
            </w:r>
            <w:r w:rsidR="00324C7C" w:rsidRPr="006D3E70">
              <w:rPr>
                <w:lang w:val="fr-FR"/>
              </w:rPr>
              <w:t>'</w:t>
            </w:r>
            <w:r w:rsidRPr="006D3E70">
              <w:rPr>
                <w:lang w:val="fr-FR"/>
              </w:rPr>
              <w:t>antenne conformément au numéro </w:t>
            </w:r>
            <w:r w:rsidRPr="006D3E70">
              <w:rPr>
                <w:b/>
                <w:bCs/>
                <w:lang w:val="fr-FR"/>
              </w:rPr>
              <w:t>1.158</w:t>
            </w:r>
            <w:r w:rsidRPr="006D3E70">
              <w:rPr>
                <w:lang w:val="fr-FR"/>
              </w:rPr>
              <w:t xml:space="preserve"> du RR. Dans le cas de transmission par salves, on mesure la puissance moyenne </w:t>
            </w:r>
            <w:r w:rsidRPr="006D3E70">
              <w:rPr>
                <w:i/>
                <w:iCs/>
                <w:lang w:val="fr-FR"/>
              </w:rPr>
              <w:t>P</w:t>
            </w:r>
            <w:r w:rsidRPr="006D3E70">
              <w:rPr>
                <w:lang w:val="fr-FR"/>
              </w:rPr>
              <w:t xml:space="preserve"> et la puissance moyenne des rayonnements dans le domaine des rayonnements non essentiels en calculant la puissance dont on a établi une moyenne sur la durée de la salve.</w:t>
            </w:r>
          </w:p>
          <w:p w14:paraId="79EF842B" w14:textId="2BA5F575" w:rsidR="00934940" w:rsidRPr="006D3E70" w:rsidRDefault="00934940" w:rsidP="00934940">
            <w:pPr>
              <w:pStyle w:val="Tablelegend"/>
              <w:tabs>
                <w:tab w:val="clear" w:pos="284"/>
                <w:tab w:val="clear" w:pos="567"/>
                <w:tab w:val="left" w:pos="589"/>
              </w:tabs>
              <w:ind w:left="567" w:hanging="567"/>
              <w:rPr>
                <w:lang w:val="fr-FR"/>
              </w:rPr>
            </w:pPr>
            <w:r w:rsidRPr="006D3E70">
              <w:rPr>
                <w:i/>
                <w:iCs/>
                <w:lang w:val="fr-FR"/>
              </w:rPr>
              <w:t>PEP</w:t>
            </w:r>
            <w:r w:rsidRPr="006D3E70">
              <w:rPr>
                <w:lang w:val="fr-FR"/>
              </w:rPr>
              <w:t>:</w:t>
            </w:r>
            <w:r w:rsidRPr="006D3E70">
              <w:rPr>
                <w:lang w:val="fr-FR"/>
              </w:rPr>
              <w:tab/>
              <w:t xml:space="preserve">puissance d'enveloppe de crête (W) fournie à la ligne d'alimentation de l'antenne, conformément au numéro </w:t>
            </w:r>
            <w:r w:rsidRPr="006D3E70">
              <w:rPr>
                <w:b/>
                <w:bCs/>
                <w:lang w:val="fr-FR"/>
              </w:rPr>
              <w:t>1.157</w:t>
            </w:r>
            <w:r w:rsidRPr="006D3E70">
              <w:rPr>
                <w:lang w:val="fr-FR"/>
              </w:rPr>
              <w:t xml:space="preserve"> du RR.</w:t>
            </w:r>
          </w:p>
          <w:p w14:paraId="7935106A" w14:textId="6F3C2C36" w:rsidR="003957B8" w:rsidRPr="006D3E70" w:rsidRDefault="003957B8" w:rsidP="003957B8">
            <w:pPr>
              <w:pStyle w:val="Tablelegend"/>
              <w:keepNext/>
              <w:keepLines/>
              <w:rPr>
                <w:lang w:val="fr-FR"/>
              </w:rPr>
            </w:pPr>
            <w:r w:rsidRPr="006D3E70">
              <w:rPr>
                <w:i/>
                <w:iCs/>
                <w:lang w:val="fr-FR"/>
              </w:rPr>
              <w:lastRenderedPageBreak/>
              <w:t xml:space="preserve">Notes relatives au Tableau </w:t>
            </w:r>
            <w:r>
              <w:rPr>
                <w:i/>
                <w:iCs/>
                <w:lang w:val="fr-FR"/>
              </w:rPr>
              <w:t>8 (fin)</w:t>
            </w:r>
            <w:r w:rsidRPr="006D3E70">
              <w:rPr>
                <w:i/>
                <w:iCs/>
                <w:lang w:val="fr-FR"/>
              </w:rPr>
              <w:t>:</w:t>
            </w:r>
          </w:p>
          <w:p w14:paraId="65428097" w14:textId="3E474C94" w:rsidR="00532249" w:rsidRPr="006D3E70" w:rsidRDefault="003957B8" w:rsidP="003957B8">
            <w:pPr>
              <w:pStyle w:val="Tablelegend"/>
              <w:tabs>
                <w:tab w:val="clear" w:pos="284"/>
                <w:tab w:val="clear" w:pos="567"/>
                <w:tab w:val="left" w:pos="589"/>
              </w:tabs>
              <w:ind w:left="567" w:hanging="567"/>
              <w:rPr>
                <w:lang w:val="fr-FR"/>
              </w:rPr>
            </w:pPr>
            <w:r>
              <w:rPr>
                <w:lang w:val="fr-FR"/>
              </w:rPr>
              <w:tab/>
            </w:r>
            <w:r w:rsidR="00532249" w:rsidRPr="006D3E70">
              <w:rPr>
                <w:lang w:val="fr-FR"/>
              </w:rPr>
              <w:t>Lorsque le terme P est utilisé, il convient d</w:t>
            </w:r>
            <w:r w:rsidR="00324C7C" w:rsidRPr="006D3E70">
              <w:rPr>
                <w:lang w:val="fr-FR"/>
              </w:rPr>
              <w:t>'</w:t>
            </w:r>
            <w:r w:rsidR="00532249" w:rsidRPr="006D3E70">
              <w:rPr>
                <w:lang w:val="fr-FR"/>
              </w:rPr>
              <w:t>évaluer la puissance fournie à la ligne de transmission de l</w:t>
            </w:r>
            <w:r w:rsidR="00324C7C" w:rsidRPr="006D3E70">
              <w:rPr>
                <w:lang w:val="fr-FR"/>
              </w:rPr>
              <w:t>'</w:t>
            </w:r>
            <w:r w:rsidR="00532249" w:rsidRPr="006D3E70">
              <w:rPr>
                <w:lang w:val="fr-FR"/>
              </w:rPr>
              <w:t>antenne et les rayonnements dans le domaine des rayonnements non essentiels respectivement en termes de puissance moyenne et de puissance moyenne dans la largeur de bande de référence. Lorsque le terme PEP est utilisé, il convient d</w:t>
            </w:r>
            <w:r w:rsidR="00324C7C" w:rsidRPr="006D3E70">
              <w:rPr>
                <w:lang w:val="fr-FR"/>
              </w:rPr>
              <w:t>'</w:t>
            </w:r>
            <w:r w:rsidR="00532249" w:rsidRPr="006D3E70">
              <w:rPr>
                <w:lang w:val="fr-FR"/>
              </w:rPr>
              <w:t>évaluer la puissance fournie à la ligne de transmission de l</w:t>
            </w:r>
            <w:r w:rsidR="00324C7C" w:rsidRPr="006D3E70">
              <w:rPr>
                <w:lang w:val="fr-FR"/>
              </w:rPr>
              <w:t>'</w:t>
            </w:r>
            <w:r w:rsidR="00532249" w:rsidRPr="006D3E70">
              <w:rPr>
                <w:lang w:val="fr-FR"/>
              </w:rPr>
              <w:t>antenne et les rayonnements non essentiels respectivement en termes de puissance d</w:t>
            </w:r>
            <w:r w:rsidR="00324C7C" w:rsidRPr="006D3E70">
              <w:rPr>
                <w:lang w:val="fr-FR"/>
              </w:rPr>
              <w:t>'</w:t>
            </w:r>
            <w:r w:rsidR="00532249" w:rsidRPr="006D3E70">
              <w:rPr>
                <w:lang w:val="fr-FR"/>
              </w:rPr>
              <w:t>enveloppe de crête et de puissance d</w:t>
            </w:r>
            <w:r w:rsidR="00324C7C" w:rsidRPr="006D3E70">
              <w:rPr>
                <w:lang w:val="fr-FR"/>
              </w:rPr>
              <w:t>'</w:t>
            </w:r>
            <w:r w:rsidR="00532249" w:rsidRPr="006D3E70">
              <w:rPr>
                <w:lang w:val="fr-FR"/>
              </w:rPr>
              <w:t>enveloppe de crête dans la largeur de bande de référence. Cependant, lorsqu</w:t>
            </w:r>
            <w:r w:rsidR="00324C7C" w:rsidRPr="006D3E70">
              <w:rPr>
                <w:lang w:val="fr-FR"/>
              </w:rPr>
              <w:t>'</w:t>
            </w:r>
            <w:r w:rsidR="00532249" w:rsidRPr="006D3E70">
              <w:rPr>
                <w:lang w:val="fr-FR"/>
              </w:rPr>
              <w:t>il est difficile de mesurer les rayonnements dans le domaine des rayonnements non essentiels en termes de PEP en raison de la nature même de ces rayonnements (bruit gaussien par exemple) on peut évaluer la puissance fournie à la ligne de transmission de l</w:t>
            </w:r>
            <w:r w:rsidR="00324C7C" w:rsidRPr="006D3E70">
              <w:rPr>
                <w:lang w:val="fr-FR"/>
              </w:rPr>
              <w:t>'</w:t>
            </w:r>
            <w:r w:rsidR="00532249" w:rsidRPr="006D3E70">
              <w:rPr>
                <w:lang w:val="fr-FR"/>
              </w:rPr>
              <w:t>antenne et les rayonnements dans le domaine des rayonnements non essentiels en termes de puissance moyenne (voir l</w:t>
            </w:r>
            <w:r w:rsidR="00324C7C" w:rsidRPr="006D3E70">
              <w:rPr>
                <w:lang w:val="fr-FR"/>
              </w:rPr>
              <w:t>'</w:t>
            </w:r>
            <w:r w:rsidR="00532249" w:rsidRPr="006D3E70">
              <w:rPr>
                <w:lang w:val="fr-FR"/>
              </w:rPr>
              <w:t>Annexe 2).</w:t>
            </w:r>
          </w:p>
          <w:p w14:paraId="434C1272" w14:textId="58837B96" w:rsidR="00532249" w:rsidRPr="006D3E70" w:rsidRDefault="00532249" w:rsidP="00F44007">
            <w:pPr>
              <w:pStyle w:val="Tablelegend"/>
              <w:tabs>
                <w:tab w:val="clear" w:pos="284"/>
                <w:tab w:val="clear" w:pos="567"/>
                <w:tab w:val="left" w:pos="589"/>
              </w:tabs>
              <w:ind w:left="567" w:hanging="567"/>
              <w:rPr>
                <w:vertAlign w:val="superscript"/>
                <w:lang w:val="fr-FR"/>
              </w:rPr>
            </w:pPr>
            <w:r w:rsidRPr="006D3E70">
              <w:rPr>
                <w:lang w:val="fr-FR"/>
              </w:rPr>
              <w:t>dBc:</w:t>
            </w:r>
            <w:r w:rsidRPr="006D3E70">
              <w:rPr>
                <w:lang w:val="fr-FR"/>
              </w:rPr>
              <w:tab/>
              <w:t>décibels par rapport à la puissance de la porteuse non modulée de l</w:t>
            </w:r>
            <w:r w:rsidR="00324C7C" w:rsidRPr="006D3E70">
              <w:rPr>
                <w:lang w:val="fr-FR"/>
              </w:rPr>
              <w:t>'</w:t>
            </w:r>
            <w:r w:rsidRPr="006D3E70">
              <w:rPr>
                <w:lang w:val="fr-FR"/>
              </w:rPr>
              <w:t>émission. En l</w:t>
            </w:r>
            <w:r w:rsidR="00324C7C" w:rsidRPr="006D3E70">
              <w:rPr>
                <w:lang w:val="fr-FR"/>
              </w:rPr>
              <w:t>'</w:t>
            </w:r>
            <w:r w:rsidRPr="006D3E70">
              <w:rPr>
                <w:lang w:val="fr-FR"/>
              </w:rPr>
              <w:t>absence de porteuse, par exemple pour certains schémas de modulation numérique dans lesquels la porteuse est inaccessible aux mesures, le niveau de référence équivalent aux dBc s</w:t>
            </w:r>
            <w:r w:rsidR="00324C7C" w:rsidRPr="006D3E70">
              <w:rPr>
                <w:lang w:val="fr-FR"/>
              </w:rPr>
              <w:t>'</w:t>
            </w:r>
            <w:r w:rsidRPr="006D3E70">
              <w:rPr>
                <w:lang w:val="fr-FR"/>
              </w:rPr>
              <w:t xml:space="preserve">exprime en décibels par rapport à la puissance moyenne, </w:t>
            </w:r>
            <w:r w:rsidRPr="006D3E70">
              <w:rPr>
                <w:i/>
                <w:iCs/>
                <w:lang w:val="fr-FR"/>
              </w:rPr>
              <w:t>P</w:t>
            </w:r>
            <w:r w:rsidRPr="006D3E70">
              <w:rPr>
                <w:lang w:val="fr-FR"/>
              </w:rPr>
              <w:t>.</w:t>
            </w:r>
          </w:p>
          <w:p w14:paraId="586C8757" w14:textId="0D321161" w:rsidR="00532249" w:rsidRPr="006D3E70" w:rsidRDefault="00532249" w:rsidP="00F44007">
            <w:pPr>
              <w:pStyle w:val="Tablelegend"/>
              <w:tabs>
                <w:tab w:val="clear" w:pos="284"/>
                <w:tab w:val="clear" w:pos="567"/>
                <w:tab w:val="left" w:pos="589"/>
              </w:tabs>
              <w:ind w:left="567" w:hanging="567"/>
              <w:rPr>
                <w:lang w:val="fr-FR"/>
              </w:rPr>
            </w:pPr>
            <w:r w:rsidRPr="006D3E70">
              <w:rPr>
                <w:vertAlign w:val="superscript"/>
                <w:lang w:val="fr-FR"/>
              </w:rPr>
              <w:t>(1)</w:t>
            </w:r>
            <w:r w:rsidRPr="006D3E70">
              <w:rPr>
                <w:lang w:val="fr-FR"/>
              </w:rPr>
              <w:tab/>
              <w:t>Dans certains cas de modulation numérique et d</w:t>
            </w:r>
            <w:r w:rsidR="00324C7C" w:rsidRPr="006D3E70">
              <w:rPr>
                <w:lang w:val="fr-FR"/>
              </w:rPr>
              <w:t>'</w:t>
            </w:r>
            <w:r w:rsidRPr="006D3E70">
              <w:rPr>
                <w:lang w:val="fr-FR"/>
              </w:rPr>
              <w:t>émetteurs à bande étroite et à grande puissance pour toutes les catégories de service, il peut être difficile de respecter les limites fixées à 250% de la largeur de bande nécessaire.</w:t>
            </w:r>
          </w:p>
          <w:p w14:paraId="5690EBF9" w14:textId="73279AA1" w:rsidR="00532249" w:rsidRPr="006D3E70" w:rsidRDefault="00532249" w:rsidP="00F44007">
            <w:pPr>
              <w:pStyle w:val="Tablelegend"/>
              <w:tabs>
                <w:tab w:val="clear" w:pos="284"/>
                <w:tab w:val="clear" w:pos="567"/>
                <w:tab w:val="left" w:pos="589"/>
              </w:tabs>
              <w:ind w:left="567" w:hanging="567"/>
              <w:rPr>
                <w:lang w:val="fr-FR"/>
              </w:rPr>
            </w:pPr>
            <w:r w:rsidRPr="006D3E70">
              <w:rPr>
                <w:vertAlign w:val="superscript"/>
                <w:lang w:val="fr-FR"/>
              </w:rPr>
              <w:t>(2)</w:t>
            </w:r>
            <w:r w:rsidRPr="006D3E70">
              <w:rPr>
                <w:lang w:val="fr-FR"/>
              </w:rPr>
              <w:tab/>
              <w:t>On utilisera la méthode de la p.i.r.e. présentée au § 3.3 de l</w:t>
            </w:r>
            <w:r w:rsidR="00324C7C" w:rsidRPr="006D3E70">
              <w:rPr>
                <w:lang w:val="fr-FR"/>
              </w:rPr>
              <w:t>'</w:t>
            </w:r>
            <w:r w:rsidRPr="006D3E70">
              <w:rPr>
                <w:lang w:val="fr-FR"/>
              </w:rPr>
              <w:t>Annexe 2 lorsqu</w:t>
            </w:r>
            <w:r w:rsidR="00324C7C" w:rsidRPr="006D3E70">
              <w:rPr>
                <w:lang w:val="fr-FR"/>
              </w:rPr>
              <w:t>'</w:t>
            </w:r>
            <w:r w:rsidRPr="006D3E70">
              <w:rPr>
                <w:lang w:val="fr-FR"/>
              </w:rPr>
              <w:t>il n</w:t>
            </w:r>
            <w:r w:rsidR="00324C7C" w:rsidRPr="006D3E70">
              <w:rPr>
                <w:lang w:val="fr-FR"/>
              </w:rPr>
              <w:t>'</w:t>
            </w:r>
            <w:r w:rsidRPr="006D3E70">
              <w:rPr>
                <w:lang w:val="fr-FR"/>
              </w:rPr>
              <w:t>est pas facile d</w:t>
            </w:r>
            <w:r w:rsidR="00324C7C" w:rsidRPr="006D3E70">
              <w:rPr>
                <w:lang w:val="fr-FR"/>
              </w:rPr>
              <w:t>'</w:t>
            </w:r>
            <w:r w:rsidRPr="006D3E70">
              <w:rPr>
                <w:lang w:val="fr-FR"/>
              </w:rPr>
              <w:t>avoir accès au connecteur reliant l</w:t>
            </w:r>
            <w:r w:rsidR="00324C7C" w:rsidRPr="006D3E70">
              <w:rPr>
                <w:lang w:val="fr-FR"/>
              </w:rPr>
              <w:t>'</w:t>
            </w:r>
            <w:r w:rsidRPr="006D3E70">
              <w:rPr>
                <w:lang w:val="fr-FR"/>
              </w:rPr>
              <w:t>émetteur à la ligne de transmission de l</w:t>
            </w:r>
            <w:r w:rsidR="00324C7C" w:rsidRPr="006D3E70">
              <w:rPr>
                <w:lang w:val="fr-FR"/>
              </w:rPr>
              <w:t>'</w:t>
            </w:r>
            <w:r w:rsidRPr="006D3E70">
              <w:rPr>
                <w:lang w:val="fr-FR"/>
              </w:rPr>
              <w:t>antenne.</w:t>
            </w:r>
          </w:p>
          <w:p w14:paraId="10B9815B" w14:textId="77777777" w:rsidR="00532249" w:rsidRPr="006D3E70" w:rsidRDefault="00532249" w:rsidP="00F44007">
            <w:pPr>
              <w:pStyle w:val="Tablelegend"/>
              <w:tabs>
                <w:tab w:val="clear" w:pos="284"/>
                <w:tab w:val="clear" w:pos="567"/>
                <w:tab w:val="left" w:pos="589"/>
              </w:tabs>
              <w:ind w:left="567" w:hanging="567"/>
              <w:rPr>
                <w:lang w:val="fr-FR"/>
              </w:rPr>
            </w:pPr>
            <w:r w:rsidRPr="006D3E70">
              <w:rPr>
                <w:vertAlign w:val="superscript"/>
                <w:lang w:val="fr-FR"/>
              </w:rPr>
              <w:t>(3)</w:t>
            </w:r>
            <w:r w:rsidRPr="006D3E70">
              <w:rPr>
                <w:lang w:val="fr-FR"/>
              </w:rPr>
              <w:tab/>
              <w:t>Les limites des rayonnements dans le domaine des rayonnements non essentiels pour tous les services spatiaux sont indiquées dans une largeur de bande de référence de 4 kHz.</w:t>
            </w:r>
          </w:p>
          <w:p w14:paraId="23124F66" w14:textId="0BF32DF2" w:rsidR="00532249" w:rsidRPr="006D3E70" w:rsidRDefault="00532249" w:rsidP="00F44007">
            <w:pPr>
              <w:pStyle w:val="Tablelegend"/>
              <w:tabs>
                <w:tab w:val="clear" w:pos="284"/>
              </w:tabs>
              <w:ind w:left="567" w:hanging="567"/>
              <w:rPr>
                <w:lang w:val="fr-FR"/>
              </w:rPr>
            </w:pPr>
            <w:r w:rsidRPr="006D3E70">
              <w:rPr>
                <w:vertAlign w:val="superscript"/>
                <w:lang w:val="fr-FR"/>
              </w:rPr>
              <w:t>(4)</w:t>
            </w:r>
            <w:r w:rsidRPr="006D3E70">
              <w:rPr>
                <w:lang w:val="fr-FR"/>
              </w:rPr>
              <w:tab/>
              <w:t>Les stations terriennes du service d</w:t>
            </w:r>
            <w:r w:rsidR="00324C7C" w:rsidRPr="006D3E70">
              <w:rPr>
                <w:lang w:val="fr-FR"/>
              </w:rPr>
              <w:t>'</w:t>
            </w:r>
            <w:r w:rsidRPr="006D3E70">
              <w:rPr>
                <w:lang w:val="fr-FR"/>
              </w:rPr>
              <w:t>amateur par satellite fonctionnant au-dessous de 30 MHz sont de la catégorie de service «services d</w:t>
            </w:r>
            <w:r w:rsidR="00324C7C" w:rsidRPr="006D3E70">
              <w:rPr>
                <w:lang w:val="fr-FR"/>
              </w:rPr>
              <w:t>'</w:t>
            </w:r>
            <w:r w:rsidRPr="006D3E70">
              <w:rPr>
                <w:lang w:val="fr-FR"/>
              </w:rPr>
              <w:t>amateur exploités au-dessous de 30 MHz (y compris avec BLU)».</w:t>
            </w:r>
          </w:p>
          <w:p w14:paraId="63DFD7C1" w14:textId="0429B551" w:rsidR="00F44007" w:rsidRPr="006D3E70" w:rsidRDefault="00F44007" w:rsidP="00F44007">
            <w:pPr>
              <w:pStyle w:val="Tablelegend"/>
              <w:tabs>
                <w:tab w:val="clear" w:pos="284"/>
              </w:tabs>
              <w:ind w:left="567" w:hanging="567"/>
              <w:rPr>
                <w:lang w:val="fr-FR"/>
              </w:rPr>
            </w:pPr>
            <w:r w:rsidRPr="006D3E70">
              <w:rPr>
                <w:vertAlign w:val="superscript"/>
                <w:lang w:val="fr-FR"/>
              </w:rPr>
              <w:t>(5)</w:t>
            </w:r>
            <w:r w:rsidRPr="006D3E70">
              <w:rPr>
                <w:lang w:val="fr-FR"/>
              </w:rPr>
              <w:tab/>
              <w:t>Dans le cas d</w:t>
            </w:r>
            <w:r w:rsidR="00324C7C" w:rsidRPr="006D3E70">
              <w:rPr>
                <w:lang w:val="fr-FR"/>
              </w:rPr>
              <w:t>'</w:t>
            </w:r>
            <w:r w:rsidRPr="006D3E70">
              <w:rPr>
                <w:lang w:val="fr-FR"/>
              </w:rPr>
              <w:t xml:space="preserve">un </w:t>
            </w:r>
            <w:r w:rsidRPr="006D3E70">
              <w:rPr>
                <w:sz w:val="24"/>
                <w:lang w:val="fr-FR"/>
              </w:rPr>
              <w:t>satellite</w:t>
            </w:r>
            <w:r w:rsidRPr="006D3E70">
              <w:rPr>
                <w:lang w:val="fr-FR"/>
              </w:rPr>
              <w:t xml:space="preserve"> fonctionnant avec plus d</w:t>
            </w:r>
            <w:r w:rsidR="00324C7C" w:rsidRPr="006D3E70">
              <w:rPr>
                <w:lang w:val="fr-FR"/>
              </w:rPr>
              <w:t>'</w:t>
            </w:r>
            <w:r w:rsidRPr="006D3E70">
              <w:rPr>
                <w:lang w:val="fr-FR"/>
              </w:rPr>
              <w:t>un répéteur dans la même zone de service, et si l</w:t>
            </w:r>
            <w:r w:rsidR="00324C7C" w:rsidRPr="006D3E70">
              <w:rPr>
                <w:lang w:val="fr-FR"/>
              </w:rPr>
              <w:t>'</w:t>
            </w:r>
            <w:r w:rsidRPr="006D3E70">
              <w:rPr>
                <w:lang w:val="fr-FR"/>
              </w:rPr>
              <w:t>on considère les limites des rayonnements dans le domaine des rayonnements non essentiels indiquées dans le Tableau 10, les rayonnements dans le domaine des rayonnements non essentiels d</w:t>
            </w:r>
            <w:r w:rsidR="00324C7C" w:rsidRPr="006D3E70">
              <w:rPr>
                <w:lang w:val="fr-FR"/>
              </w:rPr>
              <w:t>'</w:t>
            </w:r>
            <w:r w:rsidRPr="006D3E70">
              <w:rPr>
                <w:lang w:val="fr-FR"/>
              </w:rPr>
              <w:t>un répéteur peuvent tomber sur une fréquence à laquelle émet un deuxième répéteur, associé. Dans ces cas, le niveau des rayonnements dans le domaine des rayonnements non essentiels provenant du premier répéteur est largement dépassé par les émissions fondamentales ou par les émissions du domaine des émissions hors bande du deuxième répéteur. Par conséquent, les limites ne devraient pas s</w:t>
            </w:r>
            <w:r w:rsidR="00324C7C" w:rsidRPr="006D3E70">
              <w:rPr>
                <w:lang w:val="fr-FR"/>
              </w:rPr>
              <w:t>'</w:t>
            </w:r>
            <w:r w:rsidRPr="006D3E70">
              <w:rPr>
                <w:lang w:val="fr-FR"/>
              </w:rPr>
              <w:t>appliquer aux rayonnements dans le domaine des rayonnements non essentiels d</w:t>
            </w:r>
            <w:r w:rsidR="00324C7C" w:rsidRPr="006D3E70">
              <w:rPr>
                <w:lang w:val="fr-FR"/>
              </w:rPr>
              <w:t>'</w:t>
            </w:r>
            <w:r w:rsidRPr="006D3E70">
              <w:rPr>
                <w:lang w:val="fr-FR"/>
              </w:rPr>
              <w:t>un satellite qui tombent soit dans la largeur de bande nécessaire soit dans le domaine des émissions hors bande d</w:t>
            </w:r>
            <w:r w:rsidR="00324C7C" w:rsidRPr="006D3E70">
              <w:rPr>
                <w:lang w:val="fr-FR"/>
              </w:rPr>
              <w:t>'</w:t>
            </w:r>
            <w:r w:rsidRPr="006D3E70">
              <w:rPr>
                <w:lang w:val="fr-FR"/>
              </w:rPr>
              <w:t>un autre répéteur sur le même satellite, dans la même zone de service (voir l</w:t>
            </w:r>
            <w:r w:rsidR="00324C7C" w:rsidRPr="006D3E70">
              <w:rPr>
                <w:lang w:val="fr-FR"/>
              </w:rPr>
              <w:t>'</w:t>
            </w:r>
            <w:r w:rsidRPr="006D3E70">
              <w:rPr>
                <w:lang w:val="fr-FR"/>
              </w:rPr>
              <w:t>Appendice </w:t>
            </w:r>
            <w:r w:rsidRPr="006D3E70">
              <w:rPr>
                <w:b/>
                <w:bCs/>
                <w:lang w:val="fr-FR"/>
              </w:rPr>
              <w:t>3</w:t>
            </w:r>
            <w:r w:rsidRPr="006D3E70">
              <w:rPr>
                <w:lang w:val="fr-FR"/>
              </w:rPr>
              <w:t xml:space="preserve"> du RR).</w:t>
            </w:r>
          </w:p>
          <w:p w14:paraId="1D64FC74" w14:textId="3C67D574" w:rsidR="00F44007" w:rsidRPr="006D3E70" w:rsidRDefault="00F44007" w:rsidP="00F44007">
            <w:pPr>
              <w:pStyle w:val="Tablelegend"/>
              <w:tabs>
                <w:tab w:val="clear" w:pos="284"/>
              </w:tabs>
              <w:ind w:left="567" w:hanging="567"/>
              <w:rPr>
                <w:lang w:val="fr-FR"/>
              </w:rPr>
            </w:pPr>
            <w:r w:rsidRPr="006D3E70">
              <w:rPr>
                <w:vertAlign w:val="superscript"/>
                <w:lang w:val="fr-FR"/>
              </w:rPr>
              <w:t>(6)</w:t>
            </w:r>
            <w:r w:rsidRPr="006D3E70">
              <w:rPr>
                <w:lang w:val="fr-FR"/>
              </w:rPr>
              <w:tab/>
              <w:t>Les stations spatiales du service de recherche spatiale destinées à fonctionner dans l</w:t>
            </w:r>
            <w:r w:rsidR="00324C7C" w:rsidRPr="006D3E70">
              <w:rPr>
                <w:lang w:val="fr-FR"/>
              </w:rPr>
              <w:t>'</w:t>
            </w:r>
            <w:r w:rsidRPr="006D3E70">
              <w:rPr>
                <w:lang w:val="fr-FR"/>
              </w:rPr>
              <w:t xml:space="preserve">espace lointain (au sens du numéro </w:t>
            </w:r>
            <w:r w:rsidRPr="006D3E70">
              <w:rPr>
                <w:b/>
                <w:bCs/>
                <w:lang w:val="fr-FR"/>
              </w:rPr>
              <w:t>1.177</w:t>
            </w:r>
            <w:r w:rsidRPr="006D3E70">
              <w:rPr>
                <w:lang w:val="fr-FR"/>
              </w:rPr>
              <w:t xml:space="preserve"> du RR) ne sont pas assujetties aux limites des rayonnements dans le domaine des rayonnements non essentiels.</w:t>
            </w:r>
          </w:p>
          <w:p w14:paraId="4635B2DA" w14:textId="7FCD1CD9" w:rsidR="00F44007" w:rsidRPr="006D3E70" w:rsidRDefault="00F44007" w:rsidP="00F44007">
            <w:pPr>
              <w:pStyle w:val="Tablelegend"/>
              <w:tabs>
                <w:tab w:val="clear" w:pos="284"/>
              </w:tabs>
              <w:ind w:left="567" w:hanging="567"/>
              <w:rPr>
                <w:lang w:val="fr-FR"/>
              </w:rPr>
            </w:pPr>
            <w:r w:rsidRPr="006D3E70">
              <w:rPr>
                <w:vertAlign w:val="superscript"/>
                <w:lang w:val="fr-FR"/>
              </w:rPr>
              <w:t>(7)</w:t>
            </w:r>
            <w:r w:rsidRPr="006D3E70">
              <w:rPr>
                <w:lang w:val="fr-FR"/>
              </w:rPr>
              <w:tab/>
              <w:t>L</w:t>
            </w:r>
            <w:r w:rsidR="00324C7C" w:rsidRPr="006D3E70">
              <w:rPr>
                <w:lang w:val="fr-FR"/>
              </w:rPr>
              <w:t>'</w:t>
            </w:r>
            <w:r w:rsidRPr="006D3E70">
              <w:rPr>
                <w:lang w:val="fr-FR"/>
              </w:rPr>
              <w:t xml:space="preserve">affaiblissement (dB) des rayonnements dans le domaine des rayonnements non essentiels des systèmes de radiorepérage (radars au sens du numéro </w:t>
            </w:r>
            <w:r w:rsidRPr="006D3E70">
              <w:rPr>
                <w:b/>
                <w:bCs/>
                <w:lang w:val="fr-FR"/>
              </w:rPr>
              <w:t>1.100</w:t>
            </w:r>
            <w:r w:rsidRPr="006D3E70">
              <w:rPr>
                <w:lang w:val="fr-FR"/>
              </w:rPr>
              <w:t xml:space="preserve"> du RR) doit être déterminé pour des niveaux d</w:t>
            </w:r>
            <w:r w:rsidR="00324C7C" w:rsidRPr="006D3E70">
              <w:rPr>
                <w:lang w:val="fr-FR"/>
              </w:rPr>
              <w:t>'</w:t>
            </w:r>
            <w:r w:rsidRPr="006D3E70">
              <w:rPr>
                <w:lang w:val="fr-FR"/>
              </w:rPr>
              <w:t>émission rayonnés et non à la ligne d</w:t>
            </w:r>
            <w:r w:rsidR="00324C7C" w:rsidRPr="006D3E70">
              <w:rPr>
                <w:lang w:val="fr-FR"/>
              </w:rPr>
              <w:t>'</w:t>
            </w:r>
            <w:r w:rsidRPr="006D3E70">
              <w:rPr>
                <w:lang w:val="fr-FR"/>
              </w:rPr>
              <w:t>alimentation de l</w:t>
            </w:r>
            <w:r w:rsidR="00324C7C" w:rsidRPr="006D3E70">
              <w:rPr>
                <w:lang w:val="fr-FR"/>
              </w:rPr>
              <w:t>'</w:t>
            </w:r>
            <w:r w:rsidRPr="006D3E70">
              <w:rPr>
                <w:lang w:val="fr-FR"/>
              </w:rPr>
              <w:t>antenne. La méthode de mesure des niveaux des rayonnements dans le domaine des rayonnements non essentiels des radars devrait s</w:t>
            </w:r>
            <w:r w:rsidR="00324C7C" w:rsidRPr="006D3E70">
              <w:rPr>
                <w:lang w:val="fr-FR"/>
              </w:rPr>
              <w:t>'</w:t>
            </w:r>
            <w:r w:rsidRPr="006D3E70">
              <w:rPr>
                <w:lang w:val="fr-FR"/>
              </w:rPr>
              <w:t>inspirer de la Recommandation UIT</w:t>
            </w:r>
            <w:r w:rsidRPr="006D3E70">
              <w:rPr>
                <w:lang w:val="fr-FR"/>
              </w:rPr>
              <w:noBreakHyphen/>
              <w:t>R M.1177.</w:t>
            </w:r>
          </w:p>
          <w:p w14:paraId="151B1E54" w14:textId="63B692EA" w:rsidR="00F44007" w:rsidRPr="006D3E70" w:rsidRDefault="00F44007" w:rsidP="00F44007">
            <w:pPr>
              <w:pStyle w:val="Tablelegend"/>
              <w:tabs>
                <w:tab w:val="clear" w:pos="284"/>
              </w:tabs>
              <w:ind w:left="567" w:hanging="567"/>
              <w:rPr>
                <w:lang w:val="fr-FR"/>
              </w:rPr>
            </w:pPr>
            <w:r w:rsidRPr="006D3E70">
              <w:rPr>
                <w:vertAlign w:val="superscript"/>
                <w:lang w:val="fr-FR"/>
              </w:rPr>
              <w:t>(8)</w:t>
            </w:r>
            <w:r w:rsidRPr="006D3E70">
              <w:rPr>
                <w:lang w:val="fr-FR"/>
              </w:rPr>
              <w:tab/>
              <w:t>Pour les émissions de télévision analogique, le niveau de la puissance moyenne est défini avec une modulation du signal vidéo particulière, ce signal doit être choisi de façon à ce que le niveau maximal de la puissance moyenne (par exemple, au niveau de suppression du signal vidéo pour les systèmes de télévision à modulation négative) soit appliquée sur la ligne de transmission de l</w:t>
            </w:r>
            <w:r w:rsidR="00324C7C" w:rsidRPr="006D3E70">
              <w:rPr>
                <w:lang w:val="fr-FR"/>
              </w:rPr>
              <w:t>'</w:t>
            </w:r>
            <w:r w:rsidRPr="006D3E70">
              <w:rPr>
                <w:lang w:val="fr-FR"/>
              </w:rPr>
              <w:t>antenne.</w:t>
            </w:r>
          </w:p>
          <w:p w14:paraId="4C673AC8" w14:textId="1D6AD85D" w:rsidR="00F44007" w:rsidRPr="006D3E70" w:rsidRDefault="00F44007" w:rsidP="00F44007">
            <w:pPr>
              <w:pStyle w:val="Tablelegend"/>
              <w:tabs>
                <w:tab w:val="clear" w:pos="284"/>
              </w:tabs>
              <w:ind w:left="567" w:hanging="567"/>
              <w:rPr>
                <w:lang w:val="fr-FR"/>
              </w:rPr>
            </w:pPr>
            <w:r w:rsidRPr="006D3E70">
              <w:rPr>
                <w:vertAlign w:val="superscript"/>
                <w:lang w:val="fr-FR"/>
              </w:rPr>
              <w:t>(9)</w:t>
            </w:r>
            <w:r w:rsidRPr="006D3E70">
              <w:rPr>
                <w:lang w:val="fr-FR"/>
              </w:rPr>
              <w:tab/>
              <w:t>Toutes les classes d</w:t>
            </w:r>
            <w:r w:rsidR="00324C7C" w:rsidRPr="006D3E70">
              <w:rPr>
                <w:lang w:val="fr-FR"/>
              </w:rPr>
              <w:t>'</w:t>
            </w:r>
            <w:r w:rsidRPr="006D3E70">
              <w:rPr>
                <w:lang w:val="fr-FR"/>
              </w:rPr>
              <w:t>émission utilisant la BLU sont incluses dans la catégorie BLU.</w:t>
            </w:r>
          </w:p>
          <w:p w14:paraId="37A447FE" w14:textId="2F46E253" w:rsidR="00F44007" w:rsidRPr="006D3E70" w:rsidRDefault="00F44007" w:rsidP="00F44007">
            <w:pPr>
              <w:pStyle w:val="Tablelegend"/>
              <w:tabs>
                <w:tab w:val="clear" w:pos="284"/>
              </w:tabs>
              <w:ind w:left="567" w:hanging="567"/>
              <w:rPr>
                <w:lang w:val="fr-FR"/>
              </w:rPr>
            </w:pPr>
            <w:r w:rsidRPr="006D3E70">
              <w:rPr>
                <w:vertAlign w:val="superscript"/>
                <w:lang w:val="fr-FR"/>
              </w:rPr>
              <w:t>(10)</w:t>
            </w:r>
            <w:r w:rsidRPr="006D3E70">
              <w:rPr>
                <w:lang w:val="fr-FR"/>
              </w:rPr>
              <w:tab/>
              <w:t>Dispositif radioélectrique de faible puissance ayant une puissance maximale en sortie inférieure à 100 mW et destiné aux communications sur de courtes distances ou à des fins de commande. (Ces dispositifs ne sont en général pas soumis à des licences individuelles.)</w:t>
            </w:r>
          </w:p>
        </w:tc>
      </w:tr>
    </w:tbl>
    <w:p w14:paraId="7B208BA1" w14:textId="661D6319" w:rsidR="00532249" w:rsidRPr="006D3E70" w:rsidRDefault="00532249" w:rsidP="00F44007">
      <w:pPr>
        <w:pStyle w:val="AnnexNoTitle"/>
        <w:outlineLvl w:val="0"/>
        <w:rPr>
          <w:lang w:val="fr-FR"/>
        </w:rPr>
      </w:pPr>
      <w:r w:rsidRPr="006D3E70">
        <w:rPr>
          <w:lang w:val="fr-FR"/>
        </w:rPr>
        <w:lastRenderedPageBreak/>
        <w:t>Annexe 5</w:t>
      </w:r>
      <w:r w:rsidRPr="006D3E70">
        <w:rPr>
          <w:lang w:val="fr-FR"/>
        </w:rPr>
        <w:br/>
      </w:r>
      <w:r w:rsidRPr="006D3E70">
        <w:rPr>
          <w:lang w:val="fr-FR"/>
        </w:rPr>
        <w:br/>
        <w:t>Largeur de bande de référence pour les limites de la catégorie B</w:t>
      </w:r>
      <w:r w:rsidRPr="006D3E70">
        <w:rPr>
          <w:lang w:val="fr-FR"/>
        </w:rPr>
        <w:br/>
        <w:t>Cas du service fixe</w:t>
      </w:r>
    </w:p>
    <w:p w14:paraId="2A999128" w14:textId="0F2F9D9C" w:rsidR="00532249" w:rsidRPr="006D3E70" w:rsidRDefault="00532249" w:rsidP="00532249">
      <w:pPr>
        <w:pStyle w:val="Normalaftertitle"/>
        <w:rPr>
          <w:lang w:val="fr-FR"/>
        </w:rPr>
      </w:pPr>
      <w:r w:rsidRPr="006D3E70">
        <w:rPr>
          <w:lang w:val="fr-FR"/>
        </w:rPr>
        <w:t>Les faisceaux hertziens à modulation analogique ou numérique qui présentent généralement un bon rendement spectral ne peuvent pas respecter les limites de la catégorie B pour des fréquences très voisines en raison du bruit large bande qu</w:t>
      </w:r>
      <w:r w:rsidR="00324C7C" w:rsidRPr="006D3E70">
        <w:rPr>
          <w:lang w:val="fr-FR"/>
        </w:rPr>
        <w:t>'</w:t>
      </w:r>
      <w:r w:rsidRPr="006D3E70">
        <w:rPr>
          <w:lang w:val="fr-FR"/>
        </w:rPr>
        <w:t>ils génèrent. Il est donc nécessaire d</w:t>
      </w:r>
      <w:r w:rsidR="00324C7C" w:rsidRPr="006D3E70">
        <w:rPr>
          <w:lang w:val="fr-FR"/>
        </w:rPr>
        <w:t>'</w:t>
      </w:r>
      <w:r w:rsidRPr="006D3E70">
        <w:rPr>
          <w:lang w:val="fr-FR"/>
        </w:rPr>
        <w:t>établir des crans génériques de largeur de bande de référence pour produire une zone de transition correspondant à la densité spectrale.</w:t>
      </w:r>
    </w:p>
    <w:p w14:paraId="60627423" w14:textId="07D013B9" w:rsidR="00532249" w:rsidRPr="006D3E70" w:rsidRDefault="00532249" w:rsidP="00532249">
      <w:pPr>
        <w:rPr>
          <w:lang w:val="fr-FR"/>
        </w:rPr>
      </w:pPr>
      <w:r w:rsidRPr="006D3E70">
        <w:rPr>
          <w:lang w:val="fr-FR"/>
        </w:rPr>
        <w:t>Le gabarit générique de référence est présenté à la Fig</w:t>
      </w:r>
      <w:r w:rsidR="00693972" w:rsidRPr="006D3E70">
        <w:rPr>
          <w:lang w:val="fr-FR"/>
        </w:rPr>
        <w:t>.</w:t>
      </w:r>
      <w:r w:rsidRPr="006D3E70">
        <w:rPr>
          <w:lang w:val="fr-FR"/>
        </w:rPr>
        <w:t> 3; le Tableau 9 indique les séparations entre crans qui sont fonction de l</w:t>
      </w:r>
      <w:r w:rsidR="00324C7C" w:rsidRPr="006D3E70">
        <w:rPr>
          <w:lang w:val="fr-FR"/>
        </w:rPr>
        <w:t>'</w:t>
      </w:r>
      <w:r w:rsidRPr="006D3E70">
        <w:rPr>
          <w:lang w:val="fr-FR"/>
        </w:rPr>
        <w:t xml:space="preserve">espacement entre les canaux (CS, </w:t>
      </w:r>
      <w:r w:rsidRPr="006D3E70">
        <w:rPr>
          <w:i/>
          <w:iCs/>
          <w:lang w:val="fr-FR"/>
        </w:rPr>
        <w:t>channel separation</w:t>
      </w:r>
      <w:r w:rsidRPr="006D3E70">
        <w:rPr>
          <w:lang w:val="fr-FR"/>
        </w:rPr>
        <w:t xml:space="preserve">) ou de la largeur de bande nécessaire (NB, </w:t>
      </w:r>
      <w:r w:rsidRPr="006D3E70">
        <w:rPr>
          <w:i/>
          <w:iCs/>
          <w:lang w:val="fr-FR"/>
        </w:rPr>
        <w:t>necessary bandwidth</w:t>
      </w:r>
      <w:r w:rsidRPr="006D3E70">
        <w:rPr>
          <w:lang w:val="fr-FR"/>
        </w:rPr>
        <w:t>).</w:t>
      </w:r>
    </w:p>
    <w:p w14:paraId="3C0E3CEE" w14:textId="77777777" w:rsidR="00532249" w:rsidRPr="006D3E70" w:rsidRDefault="00532249" w:rsidP="00532249">
      <w:pPr>
        <w:pStyle w:val="FigureNo"/>
        <w:rPr>
          <w:lang w:val="fr-FR"/>
        </w:rPr>
      </w:pPr>
      <w:r w:rsidRPr="006D3E70">
        <w:rPr>
          <w:lang w:val="fr-FR"/>
        </w:rPr>
        <w:t>FIGURE 3</w:t>
      </w:r>
    </w:p>
    <w:p w14:paraId="0944449D" w14:textId="77777777" w:rsidR="00532249" w:rsidRPr="006D3E70" w:rsidRDefault="00532249" w:rsidP="00F44007">
      <w:pPr>
        <w:pStyle w:val="Figuretitle"/>
        <w:rPr>
          <w:lang w:val="fr-FR"/>
        </w:rPr>
      </w:pPr>
      <w:r w:rsidRPr="006D3E70">
        <w:rPr>
          <w:lang w:val="fr-FR"/>
        </w:rPr>
        <w:t>Gabarit générique des rayonnements non désirés dans le domaine des rayonnements</w:t>
      </w:r>
      <w:r w:rsidRPr="006D3E70">
        <w:rPr>
          <w:lang w:val="fr-FR"/>
        </w:rPr>
        <w:br/>
        <w:t>non essentiels pour des stations du service fixe relevant de la catégorie B</w:t>
      </w:r>
    </w:p>
    <w:p w14:paraId="1B08FFD2" w14:textId="77777777" w:rsidR="00532249" w:rsidRPr="006D3E70" w:rsidRDefault="00532249" w:rsidP="00532249">
      <w:pPr>
        <w:pStyle w:val="Figuretitle"/>
        <w:rPr>
          <w:rFonts w:ascii="Times New Roman" w:hAnsi="Times New Roman"/>
          <w:b w:val="0"/>
          <w:bCs/>
          <w:color w:val="000000"/>
          <w:szCs w:val="18"/>
          <w:lang w:val="fr-FR"/>
        </w:rPr>
      </w:pPr>
      <w:r w:rsidRPr="006D3E70">
        <w:rPr>
          <w:rFonts w:ascii="Times New Roman" w:hAnsi="Times New Roman"/>
          <w:b w:val="0"/>
          <w:bCs/>
          <w:color w:val="000000"/>
          <w:szCs w:val="18"/>
          <w:lang w:val="fr-FR"/>
        </w:rPr>
        <w:t>(voir le Tableau 9)</w:t>
      </w:r>
    </w:p>
    <w:p w14:paraId="434AEB63" w14:textId="77777777" w:rsidR="00532249" w:rsidRPr="006D3E70" w:rsidRDefault="00532249" w:rsidP="00532249">
      <w:pPr>
        <w:pStyle w:val="Figure"/>
        <w:rPr>
          <w:lang w:val="fr-FR"/>
        </w:rPr>
      </w:pPr>
      <w:r w:rsidRPr="006D3E70">
        <w:rPr>
          <w:lang w:val="fr-FR"/>
        </w:rPr>
        <w:object w:dxaOrig="9743" w:dyaOrig="7075" w14:anchorId="3FBF7F63">
          <v:shape id="_x0000_i1030" type="#_x0000_t75" style="width:367.65pt;height:266.2pt" o:ole="">
            <v:imagedata r:id="rId26" o:title=""/>
          </v:shape>
          <o:OLEObject Type="Embed" ProgID="CorelDRAW.Graphic.14" ShapeID="_x0000_i1030" DrawAspect="Content" ObjectID="_1794295335" r:id="rId27"/>
        </w:object>
      </w:r>
    </w:p>
    <w:p w14:paraId="2C351579" w14:textId="77777777" w:rsidR="00532249" w:rsidRPr="006D3E70" w:rsidRDefault="00532249" w:rsidP="00532249">
      <w:pPr>
        <w:pStyle w:val="TableNo"/>
        <w:keepLines/>
        <w:spacing w:before="320"/>
        <w:rPr>
          <w:lang w:val="fr-FR"/>
        </w:rPr>
      </w:pPr>
      <w:r w:rsidRPr="006D3E70">
        <w:rPr>
          <w:lang w:val="fr-FR"/>
        </w:rPr>
        <w:lastRenderedPageBreak/>
        <w:t>TABLEAU 9</w:t>
      </w:r>
    </w:p>
    <w:p w14:paraId="0B859B00" w14:textId="77777777" w:rsidR="00532249" w:rsidRPr="006D3E70" w:rsidRDefault="00532249" w:rsidP="00F44007">
      <w:pPr>
        <w:pStyle w:val="Tabletitle"/>
        <w:rPr>
          <w:lang w:val="fr-FR"/>
        </w:rPr>
      </w:pPr>
      <w:r w:rsidRPr="006D3E70">
        <w:rPr>
          <w:lang w:val="fr-FR"/>
        </w:rPr>
        <w:t>Gabarit générique des rayonnements non désirés dans le domaine des rayonnements</w:t>
      </w:r>
      <w:r w:rsidRPr="006D3E70">
        <w:rPr>
          <w:lang w:val="fr-FR"/>
        </w:rPr>
        <w:br/>
        <w:t>non essentiels pour des stations de service fixe relevant de la catégorie B</w:t>
      </w:r>
    </w:p>
    <w:p w14:paraId="1F9812E3" w14:textId="30D58069" w:rsidR="00532249" w:rsidRPr="006D3E70" w:rsidRDefault="00532249" w:rsidP="00F44007">
      <w:pPr>
        <w:pStyle w:val="Tabletitle"/>
        <w:rPr>
          <w:b w:val="0"/>
          <w:bCs/>
          <w:lang w:val="fr-FR"/>
        </w:rPr>
      </w:pPr>
      <w:r w:rsidRPr="006D3E70">
        <w:rPr>
          <w:b w:val="0"/>
          <w:bCs/>
          <w:lang w:val="fr-FR"/>
        </w:rPr>
        <w:t>(voir la Fig</w:t>
      </w:r>
      <w:r w:rsidR="00693972" w:rsidRPr="006D3E70">
        <w:rPr>
          <w:b w:val="0"/>
          <w:bCs/>
          <w:lang w:val="fr-FR"/>
        </w:rPr>
        <w:t>.</w:t>
      </w:r>
      <w:r w:rsidRPr="006D3E70">
        <w:rPr>
          <w:b w:val="0"/>
          <w:bCs/>
          <w:lang w:val="fr-FR"/>
        </w:rPr>
        <w:t> 3)</w:t>
      </w:r>
    </w:p>
    <w:tbl>
      <w:tblPr>
        <w:tblW w:w="9639" w:type="dxa"/>
        <w:jc w:val="center"/>
        <w:tblBorders>
          <w:top w:val="single" w:sz="4"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495"/>
        <w:gridCol w:w="1340"/>
        <w:gridCol w:w="1613"/>
        <w:gridCol w:w="1304"/>
        <w:gridCol w:w="1278"/>
        <w:gridCol w:w="1296"/>
        <w:gridCol w:w="1313"/>
      </w:tblGrid>
      <w:tr w:rsidR="00532249" w:rsidRPr="006D3E70" w14:paraId="0F3EB03F" w14:textId="77777777" w:rsidTr="009B33DD">
        <w:trPr>
          <w:cantSplit/>
          <w:jc w:val="center"/>
        </w:trPr>
        <w:tc>
          <w:tcPr>
            <w:tcW w:w="1495" w:type="dxa"/>
            <w:vMerge w:val="restart"/>
            <w:vAlign w:val="center"/>
          </w:tcPr>
          <w:p w14:paraId="281957AC" w14:textId="6649F1FC" w:rsidR="00532249" w:rsidRPr="006D3E70" w:rsidRDefault="00532249" w:rsidP="00F44007">
            <w:pPr>
              <w:pStyle w:val="Tablehead"/>
              <w:rPr>
                <w:sz w:val="20"/>
                <w:lang w:val="fr-FR"/>
              </w:rPr>
            </w:pPr>
            <w:r w:rsidRPr="006D3E70">
              <w:rPr>
                <w:sz w:val="20"/>
                <w:lang w:val="fr-FR"/>
              </w:rPr>
              <w:t>Fréquence</w:t>
            </w:r>
            <w:r w:rsidRPr="006D3E70">
              <w:rPr>
                <w:sz w:val="20"/>
                <w:lang w:val="fr-FR"/>
              </w:rPr>
              <w:br/>
              <w:t>d</w:t>
            </w:r>
            <w:r w:rsidR="00324C7C" w:rsidRPr="006D3E70">
              <w:rPr>
                <w:sz w:val="20"/>
                <w:lang w:val="fr-FR"/>
              </w:rPr>
              <w:t>'</w:t>
            </w:r>
            <w:r w:rsidRPr="006D3E70">
              <w:rPr>
                <w:sz w:val="20"/>
                <w:lang w:val="fr-FR"/>
              </w:rPr>
              <w:t>émission</w:t>
            </w:r>
            <w:r w:rsidRPr="006D3E70">
              <w:rPr>
                <w:sz w:val="20"/>
                <w:lang w:val="fr-FR"/>
              </w:rPr>
              <w:br/>
              <w:t>fondamentale</w:t>
            </w:r>
          </w:p>
        </w:tc>
        <w:tc>
          <w:tcPr>
            <w:tcW w:w="1340" w:type="dxa"/>
            <w:vMerge w:val="restart"/>
            <w:vAlign w:val="center"/>
          </w:tcPr>
          <w:p w14:paraId="6F4526B7" w14:textId="77777777" w:rsidR="00532249" w:rsidRPr="006D3E70" w:rsidRDefault="00532249" w:rsidP="00F44007">
            <w:pPr>
              <w:pStyle w:val="Tablehead"/>
              <w:rPr>
                <w:sz w:val="20"/>
                <w:lang w:val="fr-FR"/>
              </w:rPr>
            </w:pPr>
            <w:r w:rsidRPr="006D3E70">
              <w:rPr>
                <w:sz w:val="20"/>
                <w:lang w:val="fr-FR"/>
              </w:rPr>
              <w:t>CS</w:t>
            </w:r>
            <w:r w:rsidRPr="006D3E70">
              <w:rPr>
                <w:sz w:val="20"/>
                <w:lang w:val="fr-FR"/>
              </w:rPr>
              <w:br/>
              <w:t>(MHz)</w:t>
            </w:r>
          </w:p>
        </w:tc>
        <w:tc>
          <w:tcPr>
            <w:tcW w:w="1613" w:type="dxa"/>
            <w:vMerge w:val="restart"/>
            <w:vAlign w:val="center"/>
          </w:tcPr>
          <w:p w14:paraId="4AEB3463" w14:textId="77777777" w:rsidR="00532249" w:rsidRPr="006D3E70" w:rsidRDefault="00532249" w:rsidP="00F44007">
            <w:pPr>
              <w:pStyle w:val="Tablehead"/>
              <w:rPr>
                <w:sz w:val="20"/>
                <w:lang w:val="fr-FR"/>
              </w:rPr>
            </w:pPr>
            <w:r w:rsidRPr="006D3E70">
              <w:rPr>
                <w:sz w:val="20"/>
                <w:lang w:val="fr-FR"/>
              </w:rPr>
              <w:t>Fréquence symbolique type</w:t>
            </w:r>
            <w:r w:rsidRPr="006D3E70">
              <w:rPr>
                <w:sz w:val="20"/>
                <w:lang w:val="fr-FR"/>
              </w:rPr>
              <w:br/>
              <w:t>(</w:t>
            </w:r>
            <w:r w:rsidRPr="006D3E70">
              <w:rPr>
                <w:sz w:val="20"/>
                <w:lang w:val="fr-FR"/>
              </w:rPr>
              <w:sym w:font="Symbol" w:char="F07E"/>
            </w:r>
            <w:r w:rsidRPr="006D3E70">
              <w:rPr>
                <w:sz w:val="20"/>
                <w:lang w:val="fr-FR"/>
              </w:rPr>
              <w:t>Mbit/s)</w:t>
            </w:r>
          </w:p>
        </w:tc>
        <w:tc>
          <w:tcPr>
            <w:tcW w:w="1304" w:type="dxa"/>
          </w:tcPr>
          <w:p w14:paraId="3C45A82F" w14:textId="77777777" w:rsidR="00532249" w:rsidRPr="006D3E70" w:rsidRDefault="00532249" w:rsidP="00F44007">
            <w:pPr>
              <w:pStyle w:val="Tablehead"/>
              <w:rPr>
                <w:sz w:val="20"/>
                <w:lang w:val="fr-FR"/>
              </w:rPr>
            </w:pPr>
            <w:r w:rsidRPr="006D3E70">
              <w:rPr>
                <w:sz w:val="20"/>
                <w:lang w:val="fr-FR"/>
              </w:rPr>
              <w:t>Largeur de</w:t>
            </w:r>
            <w:r w:rsidRPr="006D3E70">
              <w:rPr>
                <w:sz w:val="20"/>
                <w:lang w:val="fr-FR"/>
              </w:rPr>
              <w:br/>
              <w:t>bande de référence de 0,3 kHz</w:t>
            </w:r>
          </w:p>
        </w:tc>
        <w:tc>
          <w:tcPr>
            <w:tcW w:w="1278" w:type="dxa"/>
          </w:tcPr>
          <w:p w14:paraId="5751F454" w14:textId="77777777" w:rsidR="00532249" w:rsidRPr="006D3E70" w:rsidRDefault="00532249" w:rsidP="00F44007">
            <w:pPr>
              <w:pStyle w:val="Tablehead"/>
              <w:rPr>
                <w:sz w:val="20"/>
                <w:lang w:val="fr-FR"/>
              </w:rPr>
            </w:pPr>
            <w:r w:rsidRPr="006D3E70">
              <w:rPr>
                <w:sz w:val="20"/>
                <w:lang w:val="fr-FR"/>
              </w:rPr>
              <w:t>Largeur de</w:t>
            </w:r>
            <w:r w:rsidRPr="006D3E70">
              <w:rPr>
                <w:sz w:val="20"/>
                <w:lang w:val="fr-FR"/>
              </w:rPr>
              <w:br/>
              <w:t>bande de référence de 1 kHz</w:t>
            </w:r>
          </w:p>
        </w:tc>
        <w:tc>
          <w:tcPr>
            <w:tcW w:w="1296" w:type="dxa"/>
          </w:tcPr>
          <w:p w14:paraId="7E1731DF" w14:textId="77777777" w:rsidR="00532249" w:rsidRPr="006D3E70" w:rsidRDefault="00532249" w:rsidP="00F44007">
            <w:pPr>
              <w:pStyle w:val="Tablehead"/>
              <w:rPr>
                <w:sz w:val="20"/>
                <w:lang w:val="fr-FR"/>
              </w:rPr>
            </w:pPr>
            <w:r w:rsidRPr="006D3E70">
              <w:rPr>
                <w:sz w:val="20"/>
                <w:lang w:val="fr-FR"/>
              </w:rPr>
              <w:t>Largeur de</w:t>
            </w:r>
            <w:r w:rsidRPr="006D3E70">
              <w:rPr>
                <w:sz w:val="20"/>
                <w:lang w:val="fr-FR"/>
              </w:rPr>
              <w:br/>
              <w:t>bande de référence de 10 kHz</w:t>
            </w:r>
          </w:p>
        </w:tc>
        <w:tc>
          <w:tcPr>
            <w:tcW w:w="1313" w:type="dxa"/>
          </w:tcPr>
          <w:p w14:paraId="5AE145C6" w14:textId="77777777" w:rsidR="00532249" w:rsidRPr="006D3E70" w:rsidRDefault="00532249" w:rsidP="00F44007">
            <w:pPr>
              <w:pStyle w:val="Tablehead"/>
              <w:rPr>
                <w:sz w:val="20"/>
                <w:lang w:val="fr-FR"/>
              </w:rPr>
            </w:pPr>
            <w:r w:rsidRPr="006D3E70">
              <w:rPr>
                <w:sz w:val="20"/>
                <w:lang w:val="fr-FR"/>
              </w:rPr>
              <w:t>Largeur de</w:t>
            </w:r>
            <w:r w:rsidRPr="006D3E70">
              <w:rPr>
                <w:sz w:val="20"/>
                <w:lang w:val="fr-FR"/>
              </w:rPr>
              <w:br/>
              <w:t>bande de référence de 100 kHz</w:t>
            </w:r>
          </w:p>
        </w:tc>
      </w:tr>
      <w:tr w:rsidR="00532249" w:rsidRPr="006D3E70" w14:paraId="3CE2447D" w14:textId="77777777" w:rsidTr="009B33DD">
        <w:trPr>
          <w:cantSplit/>
          <w:jc w:val="center"/>
        </w:trPr>
        <w:tc>
          <w:tcPr>
            <w:tcW w:w="1495" w:type="dxa"/>
            <w:vMerge/>
            <w:tcBorders>
              <w:bottom w:val="single" w:sz="6" w:space="0" w:color="auto"/>
            </w:tcBorders>
            <w:vAlign w:val="center"/>
          </w:tcPr>
          <w:p w14:paraId="72FC2944" w14:textId="77777777" w:rsidR="00532249" w:rsidRPr="006D3E70" w:rsidRDefault="00532249" w:rsidP="00F44007">
            <w:pPr>
              <w:pStyle w:val="Tablehead"/>
              <w:rPr>
                <w:sz w:val="20"/>
                <w:lang w:val="fr-FR"/>
              </w:rPr>
            </w:pPr>
          </w:p>
        </w:tc>
        <w:tc>
          <w:tcPr>
            <w:tcW w:w="1340" w:type="dxa"/>
            <w:vMerge/>
            <w:vAlign w:val="center"/>
          </w:tcPr>
          <w:p w14:paraId="4EC80160" w14:textId="77777777" w:rsidR="00532249" w:rsidRPr="006D3E70" w:rsidRDefault="00532249" w:rsidP="00F44007">
            <w:pPr>
              <w:pStyle w:val="Tablehead"/>
              <w:rPr>
                <w:sz w:val="20"/>
                <w:lang w:val="fr-FR"/>
              </w:rPr>
            </w:pPr>
          </w:p>
        </w:tc>
        <w:tc>
          <w:tcPr>
            <w:tcW w:w="1613" w:type="dxa"/>
            <w:vMerge/>
            <w:vAlign w:val="center"/>
          </w:tcPr>
          <w:p w14:paraId="69E99A76" w14:textId="77777777" w:rsidR="00532249" w:rsidRPr="006D3E70" w:rsidRDefault="00532249" w:rsidP="00F44007">
            <w:pPr>
              <w:pStyle w:val="Tablehead"/>
              <w:rPr>
                <w:sz w:val="20"/>
                <w:lang w:val="fr-FR"/>
              </w:rPr>
            </w:pPr>
          </w:p>
        </w:tc>
        <w:tc>
          <w:tcPr>
            <w:tcW w:w="1304" w:type="dxa"/>
            <w:vAlign w:val="center"/>
          </w:tcPr>
          <w:p w14:paraId="41D791DC" w14:textId="77777777" w:rsidR="00532249" w:rsidRPr="006D3E70" w:rsidRDefault="00532249" w:rsidP="00F44007">
            <w:pPr>
              <w:pStyle w:val="Tablehead"/>
              <w:rPr>
                <w:sz w:val="20"/>
                <w:lang w:val="fr-FR"/>
              </w:rPr>
            </w:pPr>
            <w:r w:rsidRPr="006D3E70">
              <w:rPr>
                <w:sz w:val="20"/>
                <w:lang w:val="fr-FR"/>
              </w:rPr>
              <w:t>Fa</w:t>
            </w:r>
            <w:r w:rsidRPr="006D3E70">
              <w:rPr>
                <w:sz w:val="20"/>
                <w:lang w:val="fr-FR"/>
              </w:rPr>
              <w:br/>
              <w:t>(MHz)</w:t>
            </w:r>
          </w:p>
        </w:tc>
        <w:tc>
          <w:tcPr>
            <w:tcW w:w="1278" w:type="dxa"/>
            <w:vAlign w:val="center"/>
          </w:tcPr>
          <w:p w14:paraId="06037B78" w14:textId="77777777" w:rsidR="00532249" w:rsidRPr="006D3E70" w:rsidRDefault="00532249" w:rsidP="00F44007">
            <w:pPr>
              <w:pStyle w:val="Tablehead"/>
              <w:rPr>
                <w:sz w:val="20"/>
                <w:lang w:val="fr-FR"/>
              </w:rPr>
            </w:pPr>
            <w:r w:rsidRPr="006D3E70">
              <w:rPr>
                <w:sz w:val="20"/>
                <w:lang w:val="fr-FR"/>
              </w:rPr>
              <w:t>Fb</w:t>
            </w:r>
            <w:r w:rsidRPr="006D3E70">
              <w:rPr>
                <w:sz w:val="20"/>
                <w:lang w:val="fr-FR"/>
              </w:rPr>
              <w:br/>
              <w:t>(MHz)</w:t>
            </w:r>
          </w:p>
        </w:tc>
        <w:tc>
          <w:tcPr>
            <w:tcW w:w="1296" w:type="dxa"/>
            <w:vAlign w:val="center"/>
          </w:tcPr>
          <w:p w14:paraId="4EA45634" w14:textId="77777777" w:rsidR="00532249" w:rsidRPr="006D3E70" w:rsidRDefault="00532249" w:rsidP="00F44007">
            <w:pPr>
              <w:pStyle w:val="Tablehead"/>
              <w:rPr>
                <w:sz w:val="20"/>
                <w:lang w:val="fr-FR"/>
              </w:rPr>
            </w:pPr>
            <w:r w:rsidRPr="006D3E70">
              <w:rPr>
                <w:sz w:val="20"/>
                <w:lang w:val="fr-FR"/>
              </w:rPr>
              <w:t>Fc</w:t>
            </w:r>
            <w:r w:rsidRPr="006D3E70">
              <w:rPr>
                <w:sz w:val="20"/>
                <w:lang w:val="fr-FR"/>
              </w:rPr>
              <w:br/>
              <w:t>(MHz)</w:t>
            </w:r>
          </w:p>
        </w:tc>
        <w:tc>
          <w:tcPr>
            <w:tcW w:w="1313" w:type="dxa"/>
            <w:vAlign w:val="center"/>
          </w:tcPr>
          <w:p w14:paraId="118BD7CB" w14:textId="77777777" w:rsidR="00532249" w:rsidRPr="006D3E70" w:rsidRDefault="00532249" w:rsidP="00F44007">
            <w:pPr>
              <w:pStyle w:val="Tablehead"/>
              <w:rPr>
                <w:sz w:val="20"/>
                <w:lang w:val="fr-FR"/>
              </w:rPr>
            </w:pPr>
            <w:r w:rsidRPr="006D3E70">
              <w:rPr>
                <w:sz w:val="20"/>
                <w:lang w:val="fr-FR"/>
              </w:rPr>
              <w:t>Fd</w:t>
            </w:r>
            <w:r w:rsidRPr="006D3E70">
              <w:rPr>
                <w:sz w:val="20"/>
                <w:lang w:val="fr-FR"/>
              </w:rPr>
              <w:br/>
              <w:t>(MHz)</w:t>
            </w:r>
          </w:p>
        </w:tc>
      </w:tr>
      <w:tr w:rsidR="00532249" w:rsidRPr="006D3E70" w14:paraId="47F974A6" w14:textId="77777777" w:rsidTr="009B33DD">
        <w:trPr>
          <w:cantSplit/>
          <w:jc w:val="center"/>
        </w:trPr>
        <w:tc>
          <w:tcPr>
            <w:tcW w:w="1495" w:type="dxa"/>
            <w:tcBorders>
              <w:top w:val="single" w:sz="6" w:space="0" w:color="auto"/>
              <w:bottom w:val="nil"/>
            </w:tcBorders>
          </w:tcPr>
          <w:p w14:paraId="4F6A3CA9" w14:textId="77777777" w:rsidR="00532249" w:rsidRPr="006D3E70" w:rsidRDefault="00532249" w:rsidP="009B33DD">
            <w:pPr>
              <w:pStyle w:val="Tabletext"/>
              <w:keepNext/>
              <w:keepLines/>
              <w:spacing w:before="20" w:after="20"/>
              <w:jc w:val="center"/>
              <w:rPr>
                <w:lang w:val="fr-FR"/>
              </w:rPr>
            </w:pPr>
            <w:r w:rsidRPr="006D3E70">
              <w:rPr>
                <w:sz w:val="20"/>
                <w:lang w:val="fr-FR"/>
              </w:rPr>
              <w:t>Au-dessous de 21,2 GHz</w:t>
            </w:r>
          </w:p>
        </w:tc>
        <w:tc>
          <w:tcPr>
            <w:tcW w:w="1340" w:type="dxa"/>
          </w:tcPr>
          <w:p w14:paraId="39A603A6" w14:textId="77777777" w:rsidR="00532249" w:rsidRPr="006D3E70" w:rsidRDefault="00532249" w:rsidP="009B33DD">
            <w:pPr>
              <w:pStyle w:val="Tabletext"/>
              <w:keepNext/>
              <w:keepLines/>
              <w:spacing w:before="20" w:after="20"/>
              <w:ind w:left="-57" w:right="-57"/>
              <w:jc w:val="center"/>
              <w:rPr>
                <w:lang w:val="fr-FR"/>
              </w:rPr>
            </w:pPr>
            <w:r w:rsidRPr="006D3E70">
              <w:rPr>
                <w:sz w:val="20"/>
                <w:lang w:val="fr-FR"/>
              </w:rPr>
              <w:t>0,01 </w:t>
            </w:r>
            <w:r w:rsidRPr="006D3E70">
              <w:rPr>
                <w:lang w:val="fr-FR"/>
              </w:rPr>
              <w:sym w:font="Symbol" w:char="F0A3"/>
            </w:r>
            <w:r w:rsidRPr="006D3E70">
              <w:rPr>
                <w:sz w:val="20"/>
                <w:lang w:val="fr-FR"/>
              </w:rPr>
              <w:t> CS </w:t>
            </w:r>
            <w:r w:rsidRPr="006D3E70">
              <w:rPr>
                <w:lang w:val="fr-FR"/>
              </w:rPr>
              <w:t>&lt;</w:t>
            </w:r>
            <w:r w:rsidRPr="006D3E70">
              <w:rPr>
                <w:sz w:val="20"/>
                <w:lang w:val="fr-FR"/>
              </w:rPr>
              <w:t> 1</w:t>
            </w:r>
          </w:p>
        </w:tc>
        <w:tc>
          <w:tcPr>
            <w:tcW w:w="1613" w:type="dxa"/>
          </w:tcPr>
          <w:p w14:paraId="30E6D27E" w14:textId="77777777" w:rsidR="00532249" w:rsidRPr="006D3E70" w:rsidRDefault="00532249" w:rsidP="009B33DD">
            <w:pPr>
              <w:pStyle w:val="Tabletext"/>
              <w:keepNext/>
              <w:keepLines/>
              <w:spacing w:before="20" w:after="20"/>
              <w:ind w:left="-57" w:right="-57"/>
              <w:jc w:val="center"/>
              <w:rPr>
                <w:lang w:val="fr-FR"/>
              </w:rPr>
            </w:pPr>
            <w:r w:rsidRPr="006D3E70">
              <w:rPr>
                <w:sz w:val="20"/>
                <w:lang w:val="fr-FR"/>
              </w:rPr>
              <w:t xml:space="preserve">Fs </w:t>
            </w:r>
            <w:r w:rsidRPr="006D3E70">
              <w:rPr>
                <w:lang w:val="fr-FR"/>
              </w:rPr>
              <w:sym w:font="Symbol" w:char="F040"/>
            </w:r>
            <w:r w:rsidRPr="006D3E70">
              <w:rPr>
                <w:sz w:val="20"/>
                <w:lang w:val="fr-FR"/>
              </w:rPr>
              <w:t xml:space="preserve"> 0,006 </w:t>
            </w:r>
            <w:r w:rsidRPr="006D3E70">
              <w:rPr>
                <w:sz w:val="20"/>
                <w:szCs w:val="18"/>
                <w:lang w:val="fr-FR"/>
              </w:rPr>
              <w:sym w:font="Symbol" w:char="F02D"/>
            </w:r>
            <w:r w:rsidRPr="006D3E70">
              <w:rPr>
                <w:sz w:val="20"/>
                <w:lang w:val="fr-FR"/>
              </w:rPr>
              <w:t xml:space="preserve"> 0,8</w:t>
            </w:r>
          </w:p>
        </w:tc>
        <w:tc>
          <w:tcPr>
            <w:tcW w:w="1304" w:type="dxa"/>
          </w:tcPr>
          <w:p w14:paraId="222607CA" w14:textId="77777777" w:rsidR="00532249" w:rsidRPr="006D3E70" w:rsidRDefault="00532249" w:rsidP="009B33DD">
            <w:pPr>
              <w:pStyle w:val="Tabletext"/>
              <w:keepNext/>
              <w:keepLines/>
              <w:spacing w:before="20" w:after="20"/>
              <w:jc w:val="center"/>
              <w:rPr>
                <w:lang w:val="fr-FR"/>
              </w:rPr>
            </w:pPr>
            <w:r w:rsidRPr="006D3E70">
              <w:rPr>
                <w:sz w:val="20"/>
                <w:lang w:val="fr-FR"/>
              </w:rPr>
              <w:t>–</w:t>
            </w:r>
          </w:p>
        </w:tc>
        <w:tc>
          <w:tcPr>
            <w:tcW w:w="1278" w:type="dxa"/>
          </w:tcPr>
          <w:p w14:paraId="280585F5" w14:textId="77777777" w:rsidR="00532249" w:rsidRPr="006D3E70" w:rsidRDefault="00532249" w:rsidP="009B33DD">
            <w:pPr>
              <w:pStyle w:val="Tabletext"/>
              <w:keepNext/>
              <w:keepLines/>
              <w:spacing w:before="20" w:after="20"/>
              <w:jc w:val="center"/>
              <w:rPr>
                <w:lang w:val="fr-FR"/>
              </w:rPr>
            </w:pPr>
            <w:r w:rsidRPr="006D3E70">
              <w:rPr>
                <w:sz w:val="20"/>
                <w:lang w:val="fr-FR"/>
              </w:rPr>
              <w:t>–</w:t>
            </w:r>
          </w:p>
        </w:tc>
        <w:tc>
          <w:tcPr>
            <w:tcW w:w="1296" w:type="dxa"/>
          </w:tcPr>
          <w:p w14:paraId="76F0DCF8" w14:textId="77777777" w:rsidR="00532249" w:rsidRPr="006D3E70" w:rsidRDefault="00532249" w:rsidP="009B33DD">
            <w:pPr>
              <w:pStyle w:val="Tabletext"/>
              <w:keepNext/>
              <w:keepLines/>
              <w:spacing w:before="20" w:after="20"/>
              <w:jc w:val="center"/>
              <w:rPr>
                <w:lang w:val="fr-FR"/>
              </w:rPr>
            </w:pPr>
            <w:r w:rsidRPr="006D3E70">
              <w:rPr>
                <w:sz w:val="20"/>
                <w:lang w:val="fr-FR"/>
              </w:rPr>
              <w:t>14</w:t>
            </w:r>
          </w:p>
        </w:tc>
        <w:tc>
          <w:tcPr>
            <w:tcW w:w="1313" w:type="dxa"/>
          </w:tcPr>
          <w:p w14:paraId="115A158D" w14:textId="77777777" w:rsidR="00532249" w:rsidRPr="006D3E70" w:rsidRDefault="00532249" w:rsidP="009B33DD">
            <w:pPr>
              <w:pStyle w:val="Tabletext"/>
              <w:keepNext/>
              <w:keepLines/>
              <w:spacing w:before="20" w:after="20"/>
              <w:jc w:val="center"/>
              <w:rPr>
                <w:lang w:val="fr-FR"/>
              </w:rPr>
            </w:pPr>
            <w:r w:rsidRPr="006D3E70">
              <w:rPr>
                <w:sz w:val="20"/>
                <w:lang w:val="fr-FR"/>
              </w:rPr>
              <w:t>70</w:t>
            </w:r>
          </w:p>
        </w:tc>
      </w:tr>
      <w:tr w:rsidR="00532249" w:rsidRPr="006D3E70" w14:paraId="706340FA" w14:textId="77777777" w:rsidTr="009B33DD">
        <w:trPr>
          <w:cantSplit/>
          <w:jc w:val="center"/>
        </w:trPr>
        <w:tc>
          <w:tcPr>
            <w:tcW w:w="1495" w:type="dxa"/>
            <w:tcBorders>
              <w:top w:val="nil"/>
              <w:bottom w:val="nil"/>
            </w:tcBorders>
          </w:tcPr>
          <w:p w14:paraId="47FCE782" w14:textId="77777777" w:rsidR="00532249" w:rsidRPr="006D3E70" w:rsidRDefault="00532249" w:rsidP="009B33DD">
            <w:pPr>
              <w:pStyle w:val="Tabletext"/>
              <w:keepNext/>
              <w:keepLines/>
              <w:spacing w:before="20" w:after="20"/>
              <w:ind w:left="-57" w:right="-57"/>
              <w:jc w:val="center"/>
              <w:rPr>
                <w:lang w:val="fr-FR"/>
              </w:rPr>
            </w:pPr>
            <w:r w:rsidRPr="006D3E70">
              <w:rPr>
                <w:sz w:val="20"/>
                <w:lang w:val="fr-FR"/>
              </w:rPr>
              <w:t>(stations terminales)</w:t>
            </w:r>
          </w:p>
        </w:tc>
        <w:tc>
          <w:tcPr>
            <w:tcW w:w="1340" w:type="dxa"/>
          </w:tcPr>
          <w:p w14:paraId="4C4A52F2" w14:textId="77777777" w:rsidR="00532249" w:rsidRPr="006D3E70" w:rsidRDefault="00532249" w:rsidP="009B33DD">
            <w:pPr>
              <w:pStyle w:val="Tabletext"/>
              <w:keepNext/>
              <w:keepLines/>
              <w:spacing w:before="20" w:after="20"/>
              <w:ind w:left="-57" w:right="-57"/>
              <w:jc w:val="center"/>
              <w:rPr>
                <w:lang w:val="fr-FR"/>
              </w:rPr>
            </w:pPr>
            <w:r w:rsidRPr="006D3E70">
              <w:rPr>
                <w:sz w:val="20"/>
                <w:lang w:val="fr-FR"/>
              </w:rPr>
              <w:t xml:space="preserve">1 </w:t>
            </w:r>
            <w:r w:rsidRPr="006D3E70">
              <w:rPr>
                <w:lang w:val="fr-FR"/>
              </w:rPr>
              <w:sym w:font="Symbol" w:char="F0A3"/>
            </w:r>
            <w:r w:rsidRPr="006D3E70">
              <w:rPr>
                <w:sz w:val="20"/>
                <w:lang w:val="fr-FR"/>
              </w:rPr>
              <w:t xml:space="preserve"> CS </w:t>
            </w:r>
            <w:r w:rsidRPr="006D3E70">
              <w:rPr>
                <w:lang w:val="fr-FR"/>
              </w:rPr>
              <w:t>&lt;</w:t>
            </w:r>
            <w:r w:rsidRPr="006D3E70">
              <w:rPr>
                <w:sz w:val="20"/>
                <w:lang w:val="fr-FR"/>
              </w:rPr>
              <w:t xml:space="preserve"> 10</w:t>
            </w:r>
          </w:p>
        </w:tc>
        <w:tc>
          <w:tcPr>
            <w:tcW w:w="1613" w:type="dxa"/>
          </w:tcPr>
          <w:p w14:paraId="5A5CFD42" w14:textId="77777777" w:rsidR="00532249" w:rsidRPr="006D3E70" w:rsidRDefault="00532249" w:rsidP="009B33DD">
            <w:pPr>
              <w:pStyle w:val="Tabletext"/>
              <w:keepNext/>
              <w:keepLines/>
              <w:spacing w:before="20" w:after="20"/>
              <w:ind w:left="-57" w:right="-57"/>
              <w:jc w:val="center"/>
              <w:rPr>
                <w:lang w:val="fr-FR"/>
              </w:rPr>
            </w:pPr>
            <w:r w:rsidRPr="006D3E70">
              <w:rPr>
                <w:sz w:val="20"/>
                <w:lang w:val="fr-FR"/>
              </w:rPr>
              <w:t xml:space="preserve">Fs </w:t>
            </w:r>
            <w:r w:rsidRPr="006D3E70">
              <w:rPr>
                <w:lang w:val="fr-FR"/>
              </w:rPr>
              <w:sym w:font="Symbol" w:char="F040"/>
            </w:r>
            <w:r w:rsidRPr="006D3E70">
              <w:rPr>
                <w:sz w:val="20"/>
                <w:lang w:val="fr-FR"/>
              </w:rPr>
              <w:t xml:space="preserve"> 0,6 </w:t>
            </w:r>
            <w:r w:rsidRPr="006D3E70">
              <w:rPr>
                <w:sz w:val="20"/>
                <w:szCs w:val="18"/>
                <w:lang w:val="fr-FR"/>
              </w:rPr>
              <w:sym w:font="Symbol" w:char="F02D"/>
            </w:r>
            <w:r w:rsidRPr="006D3E70">
              <w:rPr>
                <w:sz w:val="20"/>
                <w:lang w:val="fr-FR"/>
              </w:rPr>
              <w:t xml:space="preserve"> 8</w:t>
            </w:r>
          </w:p>
        </w:tc>
        <w:tc>
          <w:tcPr>
            <w:tcW w:w="1304" w:type="dxa"/>
          </w:tcPr>
          <w:p w14:paraId="3C6CA3AB" w14:textId="77777777" w:rsidR="00532249" w:rsidRPr="006D3E70" w:rsidRDefault="00532249" w:rsidP="009B33DD">
            <w:pPr>
              <w:pStyle w:val="Tabletext"/>
              <w:keepNext/>
              <w:keepLines/>
              <w:spacing w:before="20" w:after="20"/>
              <w:jc w:val="center"/>
              <w:rPr>
                <w:lang w:val="fr-FR"/>
              </w:rPr>
            </w:pPr>
            <w:r w:rsidRPr="006D3E70">
              <w:rPr>
                <w:sz w:val="20"/>
                <w:lang w:val="fr-FR"/>
              </w:rPr>
              <w:t>–</w:t>
            </w:r>
          </w:p>
        </w:tc>
        <w:tc>
          <w:tcPr>
            <w:tcW w:w="1278" w:type="dxa"/>
          </w:tcPr>
          <w:p w14:paraId="2ECFB708" w14:textId="77777777" w:rsidR="00532249" w:rsidRPr="006D3E70" w:rsidRDefault="00532249" w:rsidP="009B33DD">
            <w:pPr>
              <w:pStyle w:val="Tabletext"/>
              <w:keepNext/>
              <w:keepLines/>
              <w:spacing w:before="20" w:after="20"/>
              <w:jc w:val="center"/>
              <w:rPr>
                <w:lang w:val="fr-FR"/>
              </w:rPr>
            </w:pPr>
            <w:r w:rsidRPr="006D3E70">
              <w:rPr>
                <w:sz w:val="20"/>
                <w:lang w:val="fr-FR"/>
              </w:rPr>
              <w:t>–</w:t>
            </w:r>
          </w:p>
        </w:tc>
        <w:tc>
          <w:tcPr>
            <w:tcW w:w="1296" w:type="dxa"/>
          </w:tcPr>
          <w:p w14:paraId="71AD7490" w14:textId="77777777" w:rsidR="00532249" w:rsidRPr="006D3E70" w:rsidRDefault="00532249" w:rsidP="009B33DD">
            <w:pPr>
              <w:pStyle w:val="Tabletext"/>
              <w:keepNext/>
              <w:keepLines/>
              <w:spacing w:before="20" w:after="20"/>
              <w:jc w:val="center"/>
              <w:rPr>
                <w:lang w:val="fr-FR"/>
              </w:rPr>
            </w:pPr>
            <w:r w:rsidRPr="006D3E70">
              <w:rPr>
                <w:sz w:val="20"/>
                <w:lang w:val="fr-FR"/>
              </w:rPr>
              <w:t>28</w:t>
            </w:r>
          </w:p>
        </w:tc>
        <w:tc>
          <w:tcPr>
            <w:tcW w:w="1313" w:type="dxa"/>
          </w:tcPr>
          <w:p w14:paraId="265D9D2B" w14:textId="77777777" w:rsidR="00532249" w:rsidRPr="006D3E70" w:rsidRDefault="00532249" w:rsidP="009B33DD">
            <w:pPr>
              <w:pStyle w:val="Tabletext"/>
              <w:keepNext/>
              <w:keepLines/>
              <w:spacing w:before="20" w:after="20"/>
              <w:jc w:val="center"/>
              <w:rPr>
                <w:lang w:val="fr-FR"/>
              </w:rPr>
            </w:pPr>
            <w:r w:rsidRPr="006D3E70">
              <w:rPr>
                <w:sz w:val="20"/>
                <w:lang w:val="fr-FR"/>
              </w:rPr>
              <w:t>70</w:t>
            </w:r>
          </w:p>
        </w:tc>
      </w:tr>
      <w:tr w:rsidR="00532249" w:rsidRPr="006D3E70" w14:paraId="4DE8DFB6" w14:textId="77777777" w:rsidTr="009B33DD">
        <w:trPr>
          <w:cantSplit/>
          <w:jc w:val="center"/>
        </w:trPr>
        <w:tc>
          <w:tcPr>
            <w:tcW w:w="1495" w:type="dxa"/>
            <w:tcBorders>
              <w:top w:val="nil"/>
              <w:bottom w:val="single" w:sz="6" w:space="0" w:color="auto"/>
            </w:tcBorders>
          </w:tcPr>
          <w:p w14:paraId="2AC0A62A" w14:textId="77777777" w:rsidR="00532249" w:rsidRPr="006D3E70" w:rsidRDefault="00532249" w:rsidP="009B33DD">
            <w:pPr>
              <w:pStyle w:val="Tabletext"/>
              <w:keepNext/>
              <w:keepLines/>
              <w:spacing w:before="20" w:after="20"/>
              <w:rPr>
                <w:lang w:val="fr-FR"/>
              </w:rPr>
            </w:pPr>
          </w:p>
        </w:tc>
        <w:tc>
          <w:tcPr>
            <w:tcW w:w="1340" w:type="dxa"/>
          </w:tcPr>
          <w:p w14:paraId="3BB3701A" w14:textId="77777777" w:rsidR="00532249" w:rsidRPr="006D3E70" w:rsidRDefault="00532249" w:rsidP="009B33DD">
            <w:pPr>
              <w:pStyle w:val="Tabletext"/>
              <w:keepNext/>
              <w:keepLines/>
              <w:framePr w:hSpace="181" w:wrap="notBeside" w:vAnchor="text" w:hAnchor="text" w:xAlign="center" w:y="1"/>
              <w:spacing w:before="20" w:after="20"/>
              <w:ind w:left="-57" w:right="-57"/>
              <w:jc w:val="center"/>
              <w:rPr>
                <w:lang w:val="fr-FR"/>
              </w:rPr>
            </w:pPr>
            <w:r w:rsidRPr="006D3E70">
              <w:rPr>
                <w:sz w:val="20"/>
                <w:lang w:val="fr-FR"/>
              </w:rPr>
              <w:t xml:space="preserve">CS </w:t>
            </w:r>
            <w:r w:rsidRPr="006D3E70">
              <w:rPr>
                <w:lang w:val="fr-FR"/>
              </w:rPr>
              <w:sym w:font="Symbol" w:char="F0B3"/>
            </w:r>
            <w:r w:rsidRPr="006D3E70">
              <w:rPr>
                <w:sz w:val="20"/>
                <w:lang w:val="fr-FR"/>
              </w:rPr>
              <w:t xml:space="preserve"> 10</w:t>
            </w:r>
          </w:p>
        </w:tc>
        <w:tc>
          <w:tcPr>
            <w:tcW w:w="1613" w:type="dxa"/>
          </w:tcPr>
          <w:p w14:paraId="6DE05CED" w14:textId="77777777" w:rsidR="00532249" w:rsidRPr="006D3E70" w:rsidRDefault="00532249" w:rsidP="009B33DD">
            <w:pPr>
              <w:pStyle w:val="Tabletext"/>
              <w:keepNext/>
              <w:keepLines/>
              <w:framePr w:hSpace="181" w:wrap="notBeside" w:vAnchor="text" w:hAnchor="text" w:xAlign="center" w:y="1"/>
              <w:spacing w:before="20" w:after="20"/>
              <w:ind w:left="-57" w:right="-57"/>
              <w:jc w:val="center"/>
              <w:rPr>
                <w:lang w:val="fr-FR"/>
              </w:rPr>
            </w:pPr>
            <w:r w:rsidRPr="006D3E70">
              <w:rPr>
                <w:sz w:val="20"/>
                <w:lang w:val="fr-FR"/>
              </w:rPr>
              <w:t xml:space="preserve">Fs </w:t>
            </w:r>
            <w:r w:rsidRPr="006D3E70">
              <w:rPr>
                <w:lang w:val="fr-FR"/>
              </w:rPr>
              <w:sym w:font="Symbol" w:char="F07E"/>
            </w:r>
            <w:r w:rsidRPr="006D3E70">
              <w:rPr>
                <w:sz w:val="20"/>
                <w:lang w:val="fr-FR"/>
              </w:rPr>
              <w:t xml:space="preserve"> </w:t>
            </w:r>
            <w:r w:rsidRPr="006D3E70">
              <w:rPr>
                <w:lang w:val="fr-FR"/>
              </w:rPr>
              <w:t>&gt;</w:t>
            </w:r>
            <w:r w:rsidRPr="006D3E70">
              <w:rPr>
                <w:sz w:val="20"/>
                <w:lang w:val="fr-FR"/>
              </w:rPr>
              <w:t xml:space="preserve"> 6</w:t>
            </w:r>
          </w:p>
        </w:tc>
        <w:tc>
          <w:tcPr>
            <w:tcW w:w="1304" w:type="dxa"/>
          </w:tcPr>
          <w:p w14:paraId="5359D4E0" w14:textId="77777777" w:rsidR="00532249" w:rsidRPr="006D3E70" w:rsidRDefault="00532249" w:rsidP="009B33DD">
            <w:pPr>
              <w:pStyle w:val="Tabletext"/>
              <w:keepNext/>
              <w:keepLines/>
              <w:framePr w:hSpace="181" w:wrap="notBeside" w:vAnchor="text" w:hAnchor="text" w:xAlign="center" w:y="1"/>
              <w:spacing w:before="20" w:after="20"/>
              <w:jc w:val="center"/>
              <w:rPr>
                <w:lang w:val="fr-FR"/>
              </w:rPr>
            </w:pPr>
            <w:r w:rsidRPr="006D3E70">
              <w:rPr>
                <w:sz w:val="20"/>
                <w:lang w:val="fr-FR"/>
              </w:rPr>
              <w:t>–</w:t>
            </w:r>
          </w:p>
        </w:tc>
        <w:tc>
          <w:tcPr>
            <w:tcW w:w="1278" w:type="dxa"/>
          </w:tcPr>
          <w:p w14:paraId="38487B0E" w14:textId="77777777" w:rsidR="00532249" w:rsidRPr="006D3E70" w:rsidRDefault="00532249" w:rsidP="009B33DD">
            <w:pPr>
              <w:pStyle w:val="Tabletext"/>
              <w:keepNext/>
              <w:keepLines/>
              <w:framePr w:hSpace="181" w:wrap="notBeside" w:vAnchor="text" w:hAnchor="text" w:xAlign="center" w:y="1"/>
              <w:spacing w:before="20" w:after="20"/>
              <w:jc w:val="center"/>
              <w:rPr>
                <w:lang w:val="fr-FR"/>
              </w:rPr>
            </w:pPr>
            <w:r w:rsidRPr="006D3E70">
              <w:rPr>
                <w:sz w:val="20"/>
                <w:lang w:val="fr-FR"/>
              </w:rPr>
              <w:t>–</w:t>
            </w:r>
          </w:p>
        </w:tc>
        <w:tc>
          <w:tcPr>
            <w:tcW w:w="1296" w:type="dxa"/>
          </w:tcPr>
          <w:p w14:paraId="4FA58E38" w14:textId="77777777" w:rsidR="00532249" w:rsidRPr="006D3E70" w:rsidRDefault="00532249" w:rsidP="009B33DD">
            <w:pPr>
              <w:pStyle w:val="Tabletext"/>
              <w:keepNext/>
              <w:keepLines/>
              <w:framePr w:hSpace="181" w:wrap="notBeside" w:vAnchor="text" w:hAnchor="text" w:xAlign="center" w:y="1"/>
              <w:spacing w:before="20" w:after="20"/>
              <w:jc w:val="center"/>
              <w:rPr>
                <w:lang w:val="fr-FR"/>
              </w:rPr>
            </w:pPr>
            <w:r w:rsidRPr="006D3E70">
              <w:rPr>
                <w:sz w:val="20"/>
                <w:lang w:val="fr-FR"/>
              </w:rPr>
              <w:t>49</w:t>
            </w:r>
            <w:r w:rsidRPr="006D3E70">
              <w:rPr>
                <w:vertAlign w:val="superscript"/>
                <w:lang w:val="fr-FR"/>
              </w:rPr>
              <w:t>(1)</w:t>
            </w:r>
          </w:p>
        </w:tc>
        <w:tc>
          <w:tcPr>
            <w:tcW w:w="1313" w:type="dxa"/>
          </w:tcPr>
          <w:p w14:paraId="1D4DD4C9" w14:textId="77777777" w:rsidR="00532249" w:rsidRPr="006D3E70" w:rsidRDefault="00532249" w:rsidP="009B33DD">
            <w:pPr>
              <w:pStyle w:val="Tabletext"/>
              <w:keepNext/>
              <w:keepLines/>
              <w:framePr w:hSpace="181" w:wrap="notBeside" w:vAnchor="text" w:hAnchor="text" w:xAlign="center" w:y="1"/>
              <w:spacing w:before="20" w:after="20"/>
              <w:jc w:val="center"/>
              <w:rPr>
                <w:lang w:val="fr-FR"/>
              </w:rPr>
            </w:pPr>
            <w:r w:rsidRPr="006D3E70">
              <w:rPr>
                <w:sz w:val="20"/>
                <w:lang w:val="fr-FR"/>
              </w:rPr>
              <w:t>70</w:t>
            </w:r>
            <w:r w:rsidRPr="006D3E70">
              <w:rPr>
                <w:vertAlign w:val="superscript"/>
                <w:lang w:val="fr-FR"/>
              </w:rPr>
              <w:t>(1)</w:t>
            </w:r>
          </w:p>
        </w:tc>
      </w:tr>
      <w:tr w:rsidR="00532249" w:rsidRPr="006D3E70" w14:paraId="0A3E3B6F" w14:textId="77777777" w:rsidTr="009B33DD">
        <w:trPr>
          <w:cantSplit/>
          <w:jc w:val="center"/>
        </w:trPr>
        <w:tc>
          <w:tcPr>
            <w:tcW w:w="1495" w:type="dxa"/>
            <w:tcBorders>
              <w:top w:val="single" w:sz="6" w:space="0" w:color="auto"/>
              <w:bottom w:val="nil"/>
            </w:tcBorders>
          </w:tcPr>
          <w:p w14:paraId="79DB27E6" w14:textId="77777777" w:rsidR="00532249" w:rsidRPr="006D3E70" w:rsidRDefault="00532249" w:rsidP="009B33DD">
            <w:pPr>
              <w:pStyle w:val="Tabletext"/>
              <w:keepNext/>
              <w:keepLines/>
              <w:spacing w:before="20" w:after="20"/>
              <w:jc w:val="center"/>
              <w:rPr>
                <w:lang w:val="fr-FR"/>
              </w:rPr>
            </w:pPr>
            <w:r w:rsidRPr="006D3E70">
              <w:rPr>
                <w:sz w:val="20"/>
                <w:lang w:val="fr-FR"/>
              </w:rPr>
              <w:t>Au-dessous de 21,2 GHz</w:t>
            </w:r>
          </w:p>
        </w:tc>
        <w:tc>
          <w:tcPr>
            <w:tcW w:w="1340" w:type="dxa"/>
          </w:tcPr>
          <w:p w14:paraId="67969A23" w14:textId="77777777" w:rsidR="00532249" w:rsidRPr="006D3E70" w:rsidRDefault="00532249" w:rsidP="009B33DD">
            <w:pPr>
              <w:pStyle w:val="Tabletext"/>
              <w:keepNext/>
              <w:keepLines/>
              <w:spacing w:before="20" w:after="20"/>
              <w:ind w:left="-57" w:right="-57"/>
              <w:jc w:val="center"/>
              <w:rPr>
                <w:lang w:val="fr-FR"/>
              </w:rPr>
            </w:pPr>
            <w:r w:rsidRPr="006D3E70">
              <w:rPr>
                <w:sz w:val="20"/>
                <w:lang w:val="fr-FR"/>
              </w:rPr>
              <w:t xml:space="preserve">0,01 </w:t>
            </w:r>
            <w:r w:rsidRPr="006D3E70">
              <w:rPr>
                <w:lang w:val="fr-FR"/>
              </w:rPr>
              <w:sym w:font="Symbol" w:char="F0A3"/>
            </w:r>
            <w:r w:rsidRPr="006D3E70">
              <w:rPr>
                <w:sz w:val="20"/>
                <w:lang w:val="fr-FR"/>
              </w:rPr>
              <w:t xml:space="preserve"> CS </w:t>
            </w:r>
            <w:r w:rsidRPr="006D3E70">
              <w:rPr>
                <w:lang w:val="fr-FR"/>
              </w:rPr>
              <w:t>&lt;</w:t>
            </w:r>
            <w:r w:rsidRPr="006D3E70">
              <w:rPr>
                <w:sz w:val="20"/>
                <w:lang w:val="fr-FR"/>
              </w:rPr>
              <w:t xml:space="preserve"> 1</w:t>
            </w:r>
          </w:p>
        </w:tc>
        <w:tc>
          <w:tcPr>
            <w:tcW w:w="1613" w:type="dxa"/>
          </w:tcPr>
          <w:p w14:paraId="17A42D06" w14:textId="77777777" w:rsidR="00532249" w:rsidRPr="006D3E70" w:rsidRDefault="00532249" w:rsidP="009B33DD">
            <w:pPr>
              <w:pStyle w:val="Tabletext"/>
              <w:keepNext/>
              <w:keepLines/>
              <w:spacing w:before="20" w:after="20"/>
              <w:ind w:left="-57" w:right="-57"/>
              <w:jc w:val="center"/>
              <w:rPr>
                <w:lang w:val="fr-FR"/>
              </w:rPr>
            </w:pPr>
            <w:r w:rsidRPr="006D3E70">
              <w:rPr>
                <w:sz w:val="20"/>
                <w:lang w:val="fr-FR"/>
              </w:rPr>
              <w:t xml:space="preserve">Fs </w:t>
            </w:r>
            <w:r w:rsidRPr="006D3E70">
              <w:rPr>
                <w:lang w:val="fr-FR"/>
              </w:rPr>
              <w:sym w:font="Symbol" w:char="F040"/>
            </w:r>
            <w:r w:rsidRPr="006D3E70">
              <w:rPr>
                <w:sz w:val="20"/>
                <w:lang w:val="fr-FR"/>
              </w:rPr>
              <w:t xml:space="preserve"> 0,006 </w:t>
            </w:r>
            <w:r w:rsidRPr="006D3E70">
              <w:rPr>
                <w:sz w:val="20"/>
                <w:szCs w:val="18"/>
                <w:lang w:val="fr-FR"/>
              </w:rPr>
              <w:sym w:font="Symbol" w:char="F02D"/>
            </w:r>
            <w:r w:rsidRPr="006D3E70">
              <w:rPr>
                <w:sz w:val="20"/>
                <w:lang w:val="fr-FR"/>
              </w:rPr>
              <w:t xml:space="preserve"> 0,8</w:t>
            </w:r>
          </w:p>
        </w:tc>
        <w:tc>
          <w:tcPr>
            <w:tcW w:w="1304" w:type="dxa"/>
          </w:tcPr>
          <w:p w14:paraId="105FFFC5" w14:textId="77777777" w:rsidR="00532249" w:rsidRPr="006D3E70" w:rsidRDefault="00532249" w:rsidP="009B33DD">
            <w:pPr>
              <w:pStyle w:val="Tabletext"/>
              <w:keepNext/>
              <w:keepLines/>
              <w:spacing w:before="20" w:after="20"/>
              <w:jc w:val="center"/>
              <w:rPr>
                <w:lang w:val="fr-FR"/>
              </w:rPr>
            </w:pPr>
            <w:r w:rsidRPr="006D3E70">
              <w:rPr>
                <w:sz w:val="20"/>
                <w:lang w:val="fr-FR"/>
              </w:rPr>
              <w:t>3,5</w:t>
            </w:r>
          </w:p>
        </w:tc>
        <w:tc>
          <w:tcPr>
            <w:tcW w:w="1278" w:type="dxa"/>
          </w:tcPr>
          <w:p w14:paraId="4DE3F212" w14:textId="77777777" w:rsidR="00532249" w:rsidRPr="006D3E70" w:rsidRDefault="00532249" w:rsidP="009B33DD">
            <w:pPr>
              <w:pStyle w:val="Tabletext"/>
              <w:keepNext/>
              <w:keepLines/>
              <w:spacing w:before="20" w:after="20"/>
              <w:jc w:val="center"/>
              <w:rPr>
                <w:lang w:val="fr-FR"/>
              </w:rPr>
            </w:pPr>
            <w:r w:rsidRPr="006D3E70">
              <w:rPr>
                <w:sz w:val="20"/>
                <w:lang w:val="fr-FR"/>
              </w:rPr>
              <w:t>7</w:t>
            </w:r>
          </w:p>
        </w:tc>
        <w:tc>
          <w:tcPr>
            <w:tcW w:w="1296" w:type="dxa"/>
          </w:tcPr>
          <w:p w14:paraId="3CCA7DA6" w14:textId="77777777" w:rsidR="00532249" w:rsidRPr="006D3E70" w:rsidRDefault="00532249" w:rsidP="009B33DD">
            <w:pPr>
              <w:pStyle w:val="Tabletext"/>
              <w:keepNext/>
              <w:keepLines/>
              <w:spacing w:before="20" w:after="20"/>
              <w:jc w:val="center"/>
              <w:rPr>
                <w:lang w:val="fr-FR"/>
              </w:rPr>
            </w:pPr>
            <w:r w:rsidRPr="006D3E70">
              <w:rPr>
                <w:sz w:val="20"/>
                <w:lang w:val="fr-FR"/>
              </w:rPr>
              <w:t>14</w:t>
            </w:r>
          </w:p>
        </w:tc>
        <w:tc>
          <w:tcPr>
            <w:tcW w:w="1313" w:type="dxa"/>
          </w:tcPr>
          <w:p w14:paraId="3F430C5E" w14:textId="77777777" w:rsidR="00532249" w:rsidRPr="006D3E70" w:rsidRDefault="00532249" w:rsidP="009B33DD">
            <w:pPr>
              <w:pStyle w:val="Tabletext"/>
              <w:keepNext/>
              <w:keepLines/>
              <w:spacing w:before="20" w:after="20"/>
              <w:jc w:val="center"/>
              <w:rPr>
                <w:lang w:val="fr-FR"/>
              </w:rPr>
            </w:pPr>
            <w:r w:rsidRPr="006D3E70">
              <w:rPr>
                <w:sz w:val="20"/>
                <w:lang w:val="fr-FR"/>
              </w:rPr>
              <w:t>70</w:t>
            </w:r>
          </w:p>
        </w:tc>
      </w:tr>
      <w:tr w:rsidR="00532249" w:rsidRPr="006D3E70" w14:paraId="7518A537" w14:textId="77777777" w:rsidTr="009B33DD">
        <w:trPr>
          <w:cantSplit/>
          <w:jc w:val="center"/>
        </w:trPr>
        <w:tc>
          <w:tcPr>
            <w:tcW w:w="1495" w:type="dxa"/>
            <w:tcBorders>
              <w:top w:val="nil"/>
              <w:bottom w:val="nil"/>
            </w:tcBorders>
          </w:tcPr>
          <w:p w14:paraId="107AB72B" w14:textId="77777777" w:rsidR="00532249" w:rsidRPr="006D3E70" w:rsidRDefault="00532249" w:rsidP="009B33DD">
            <w:pPr>
              <w:pStyle w:val="Tabletext"/>
              <w:keepNext/>
              <w:keepLines/>
              <w:spacing w:before="20" w:after="20"/>
              <w:ind w:left="-57" w:right="-57"/>
              <w:jc w:val="center"/>
              <w:rPr>
                <w:lang w:val="fr-FR"/>
              </w:rPr>
            </w:pPr>
            <w:r w:rsidRPr="006D3E70">
              <w:rPr>
                <w:sz w:val="20"/>
                <w:lang w:val="fr-FR"/>
              </w:rPr>
              <w:t>(autres stations)</w:t>
            </w:r>
          </w:p>
        </w:tc>
        <w:tc>
          <w:tcPr>
            <w:tcW w:w="1340" w:type="dxa"/>
          </w:tcPr>
          <w:p w14:paraId="4ED195AE" w14:textId="77777777" w:rsidR="00532249" w:rsidRPr="006D3E70" w:rsidRDefault="00532249" w:rsidP="009B33DD">
            <w:pPr>
              <w:pStyle w:val="Tabletext"/>
              <w:keepNext/>
              <w:keepLines/>
              <w:spacing w:before="20" w:after="20"/>
              <w:ind w:left="-57" w:right="-57"/>
              <w:jc w:val="center"/>
              <w:rPr>
                <w:lang w:val="fr-FR"/>
              </w:rPr>
            </w:pPr>
            <w:r w:rsidRPr="006D3E70">
              <w:rPr>
                <w:sz w:val="20"/>
                <w:lang w:val="fr-FR"/>
              </w:rPr>
              <w:t xml:space="preserve">1 </w:t>
            </w:r>
            <w:r w:rsidRPr="006D3E70">
              <w:rPr>
                <w:lang w:val="fr-FR"/>
              </w:rPr>
              <w:sym w:font="Symbol" w:char="F0A3"/>
            </w:r>
            <w:r w:rsidRPr="006D3E70">
              <w:rPr>
                <w:sz w:val="20"/>
                <w:lang w:val="fr-FR"/>
              </w:rPr>
              <w:t xml:space="preserve"> CS </w:t>
            </w:r>
            <w:r w:rsidRPr="006D3E70">
              <w:rPr>
                <w:lang w:val="fr-FR"/>
              </w:rPr>
              <w:t>&lt;</w:t>
            </w:r>
            <w:r w:rsidRPr="006D3E70">
              <w:rPr>
                <w:sz w:val="20"/>
                <w:lang w:val="fr-FR"/>
              </w:rPr>
              <w:t xml:space="preserve"> 10</w:t>
            </w:r>
          </w:p>
        </w:tc>
        <w:tc>
          <w:tcPr>
            <w:tcW w:w="1613" w:type="dxa"/>
          </w:tcPr>
          <w:p w14:paraId="596822BB" w14:textId="77777777" w:rsidR="00532249" w:rsidRPr="006D3E70" w:rsidRDefault="00532249" w:rsidP="009B33DD">
            <w:pPr>
              <w:pStyle w:val="Tabletext"/>
              <w:keepNext/>
              <w:keepLines/>
              <w:spacing w:before="20" w:after="20"/>
              <w:ind w:left="-57" w:right="-57"/>
              <w:jc w:val="center"/>
              <w:rPr>
                <w:lang w:val="fr-FR"/>
              </w:rPr>
            </w:pPr>
            <w:r w:rsidRPr="006D3E70">
              <w:rPr>
                <w:sz w:val="20"/>
                <w:lang w:val="fr-FR"/>
              </w:rPr>
              <w:t xml:space="preserve">Fs </w:t>
            </w:r>
            <w:r w:rsidRPr="006D3E70">
              <w:rPr>
                <w:lang w:val="fr-FR"/>
              </w:rPr>
              <w:sym w:font="Symbol" w:char="F040"/>
            </w:r>
            <w:r w:rsidRPr="006D3E70">
              <w:rPr>
                <w:sz w:val="20"/>
                <w:lang w:val="fr-FR"/>
              </w:rPr>
              <w:t xml:space="preserve"> 0,6 </w:t>
            </w:r>
            <w:r w:rsidRPr="006D3E70">
              <w:rPr>
                <w:sz w:val="20"/>
                <w:szCs w:val="18"/>
                <w:lang w:val="fr-FR"/>
              </w:rPr>
              <w:sym w:font="Symbol" w:char="F02D"/>
            </w:r>
            <w:r w:rsidRPr="006D3E70">
              <w:rPr>
                <w:sz w:val="20"/>
                <w:lang w:val="fr-FR"/>
              </w:rPr>
              <w:t xml:space="preserve"> 8</w:t>
            </w:r>
          </w:p>
        </w:tc>
        <w:tc>
          <w:tcPr>
            <w:tcW w:w="1304" w:type="dxa"/>
          </w:tcPr>
          <w:p w14:paraId="0B0936B4" w14:textId="77777777" w:rsidR="00532249" w:rsidRPr="006D3E70" w:rsidRDefault="00532249" w:rsidP="009B33DD">
            <w:pPr>
              <w:pStyle w:val="Tabletext"/>
              <w:keepNext/>
              <w:keepLines/>
              <w:spacing w:before="20" w:after="20"/>
              <w:jc w:val="center"/>
              <w:rPr>
                <w:lang w:val="fr-FR"/>
              </w:rPr>
            </w:pPr>
            <w:r w:rsidRPr="006D3E70">
              <w:rPr>
                <w:sz w:val="20"/>
                <w:lang w:val="fr-FR"/>
              </w:rPr>
              <w:t>–</w:t>
            </w:r>
          </w:p>
        </w:tc>
        <w:tc>
          <w:tcPr>
            <w:tcW w:w="1278" w:type="dxa"/>
          </w:tcPr>
          <w:p w14:paraId="7B8457E7" w14:textId="77777777" w:rsidR="00532249" w:rsidRPr="006D3E70" w:rsidRDefault="00532249" w:rsidP="009B33DD">
            <w:pPr>
              <w:pStyle w:val="Tabletext"/>
              <w:keepNext/>
              <w:keepLines/>
              <w:spacing w:before="20" w:after="20"/>
              <w:jc w:val="center"/>
              <w:rPr>
                <w:lang w:val="fr-FR"/>
              </w:rPr>
            </w:pPr>
            <w:r w:rsidRPr="006D3E70">
              <w:rPr>
                <w:sz w:val="20"/>
                <w:lang w:val="fr-FR"/>
              </w:rPr>
              <w:t>14</w:t>
            </w:r>
            <w:r w:rsidRPr="006D3E70">
              <w:rPr>
                <w:vertAlign w:val="superscript"/>
                <w:lang w:val="fr-FR"/>
              </w:rPr>
              <w:t>(1)</w:t>
            </w:r>
          </w:p>
        </w:tc>
        <w:tc>
          <w:tcPr>
            <w:tcW w:w="1296" w:type="dxa"/>
          </w:tcPr>
          <w:p w14:paraId="1F2D21D2" w14:textId="77777777" w:rsidR="00532249" w:rsidRPr="006D3E70" w:rsidRDefault="00532249" w:rsidP="009B33DD">
            <w:pPr>
              <w:pStyle w:val="Tabletext"/>
              <w:keepNext/>
              <w:keepLines/>
              <w:spacing w:before="20" w:after="20"/>
              <w:jc w:val="center"/>
              <w:rPr>
                <w:lang w:val="fr-FR"/>
              </w:rPr>
            </w:pPr>
            <w:r w:rsidRPr="006D3E70">
              <w:rPr>
                <w:sz w:val="20"/>
                <w:lang w:val="fr-FR"/>
              </w:rPr>
              <w:t>28</w:t>
            </w:r>
          </w:p>
        </w:tc>
        <w:tc>
          <w:tcPr>
            <w:tcW w:w="1313" w:type="dxa"/>
          </w:tcPr>
          <w:p w14:paraId="21773428" w14:textId="77777777" w:rsidR="00532249" w:rsidRPr="006D3E70" w:rsidRDefault="00532249" w:rsidP="009B33DD">
            <w:pPr>
              <w:pStyle w:val="Tabletext"/>
              <w:keepNext/>
              <w:keepLines/>
              <w:spacing w:before="20" w:after="20"/>
              <w:jc w:val="center"/>
              <w:rPr>
                <w:lang w:val="fr-FR"/>
              </w:rPr>
            </w:pPr>
            <w:r w:rsidRPr="006D3E70">
              <w:rPr>
                <w:sz w:val="20"/>
                <w:lang w:val="fr-FR"/>
              </w:rPr>
              <w:t>70</w:t>
            </w:r>
          </w:p>
        </w:tc>
      </w:tr>
      <w:tr w:rsidR="00532249" w:rsidRPr="006D3E70" w14:paraId="0283C4CD" w14:textId="77777777" w:rsidTr="009B33DD">
        <w:trPr>
          <w:cantSplit/>
          <w:jc w:val="center"/>
        </w:trPr>
        <w:tc>
          <w:tcPr>
            <w:tcW w:w="1495" w:type="dxa"/>
            <w:tcBorders>
              <w:top w:val="nil"/>
              <w:bottom w:val="single" w:sz="6" w:space="0" w:color="auto"/>
            </w:tcBorders>
          </w:tcPr>
          <w:p w14:paraId="4D872225" w14:textId="77777777" w:rsidR="00532249" w:rsidRPr="006D3E70" w:rsidRDefault="00532249" w:rsidP="009B33DD">
            <w:pPr>
              <w:pStyle w:val="Tabletext"/>
              <w:keepNext/>
              <w:keepLines/>
              <w:spacing w:before="20" w:after="20"/>
              <w:rPr>
                <w:lang w:val="fr-FR"/>
              </w:rPr>
            </w:pPr>
          </w:p>
        </w:tc>
        <w:tc>
          <w:tcPr>
            <w:tcW w:w="1340" w:type="dxa"/>
          </w:tcPr>
          <w:p w14:paraId="5435C653" w14:textId="77777777" w:rsidR="00532249" w:rsidRPr="006D3E70" w:rsidRDefault="00532249" w:rsidP="009B33DD">
            <w:pPr>
              <w:pStyle w:val="Tabletext"/>
              <w:keepNext/>
              <w:keepLines/>
              <w:framePr w:hSpace="181" w:wrap="notBeside" w:vAnchor="text" w:hAnchor="text" w:xAlign="center" w:y="1"/>
              <w:spacing w:before="20" w:after="20"/>
              <w:ind w:left="-57" w:right="-57"/>
              <w:jc w:val="center"/>
              <w:rPr>
                <w:lang w:val="fr-FR"/>
              </w:rPr>
            </w:pPr>
            <w:r w:rsidRPr="006D3E70">
              <w:rPr>
                <w:sz w:val="20"/>
                <w:lang w:val="fr-FR"/>
              </w:rPr>
              <w:t xml:space="preserve">CS </w:t>
            </w:r>
            <w:r w:rsidRPr="006D3E70">
              <w:rPr>
                <w:lang w:val="fr-FR"/>
              </w:rPr>
              <w:sym w:font="Symbol" w:char="F0B3"/>
            </w:r>
            <w:r w:rsidRPr="006D3E70">
              <w:rPr>
                <w:sz w:val="20"/>
                <w:lang w:val="fr-FR"/>
              </w:rPr>
              <w:t xml:space="preserve"> 10</w:t>
            </w:r>
          </w:p>
        </w:tc>
        <w:tc>
          <w:tcPr>
            <w:tcW w:w="1613" w:type="dxa"/>
          </w:tcPr>
          <w:p w14:paraId="2E0632AC" w14:textId="77777777" w:rsidR="00532249" w:rsidRPr="006D3E70" w:rsidRDefault="00532249" w:rsidP="009B33DD">
            <w:pPr>
              <w:pStyle w:val="Tabletext"/>
              <w:keepNext/>
              <w:keepLines/>
              <w:framePr w:hSpace="181" w:wrap="notBeside" w:vAnchor="text" w:hAnchor="text" w:xAlign="center" w:y="1"/>
              <w:spacing w:before="20" w:after="20"/>
              <w:ind w:left="-57" w:right="-57"/>
              <w:jc w:val="center"/>
              <w:rPr>
                <w:lang w:val="fr-FR"/>
              </w:rPr>
            </w:pPr>
            <w:r w:rsidRPr="006D3E70">
              <w:rPr>
                <w:sz w:val="20"/>
                <w:lang w:val="fr-FR"/>
              </w:rPr>
              <w:t xml:space="preserve">Fs </w:t>
            </w:r>
            <w:r w:rsidRPr="006D3E70">
              <w:rPr>
                <w:lang w:val="fr-FR"/>
              </w:rPr>
              <w:sym w:font="Symbol" w:char="F07E"/>
            </w:r>
            <w:r w:rsidRPr="006D3E70">
              <w:rPr>
                <w:sz w:val="20"/>
                <w:lang w:val="fr-FR"/>
              </w:rPr>
              <w:t xml:space="preserve"> </w:t>
            </w:r>
            <w:r w:rsidRPr="006D3E70">
              <w:rPr>
                <w:lang w:val="fr-FR"/>
              </w:rPr>
              <w:t>&gt;</w:t>
            </w:r>
            <w:r w:rsidRPr="006D3E70">
              <w:rPr>
                <w:sz w:val="20"/>
                <w:lang w:val="fr-FR"/>
              </w:rPr>
              <w:t xml:space="preserve"> 6</w:t>
            </w:r>
          </w:p>
        </w:tc>
        <w:tc>
          <w:tcPr>
            <w:tcW w:w="1304" w:type="dxa"/>
          </w:tcPr>
          <w:p w14:paraId="3ED2C621" w14:textId="77777777" w:rsidR="00532249" w:rsidRPr="006D3E70" w:rsidRDefault="00532249" w:rsidP="009B33DD">
            <w:pPr>
              <w:pStyle w:val="Tabletext"/>
              <w:keepNext/>
              <w:keepLines/>
              <w:framePr w:hSpace="181" w:wrap="notBeside" w:vAnchor="text" w:hAnchor="text" w:xAlign="center" w:y="1"/>
              <w:spacing w:before="20" w:after="20"/>
              <w:jc w:val="center"/>
              <w:rPr>
                <w:lang w:val="fr-FR"/>
              </w:rPr>
            </w:pPr>
            <w:r w:rsidRPr="006D3E70">
              <w:rPr>
                <w:sz w:val="20"/>
                <w:lang w:val="fr-FR"/>
              </w:rPr>
              <w:t>–</w:t>
            </w:r>
          </w:p>
        </w:tc>
        <w:tc>
          <w:tcPr>
            <w:tcW w:w="1278" w:type="dxa"/>
          </w:tcPr>
          <w:p w14:paraId="3707AB11" w14:textId="77777777" w:rsidR="00532249" w:rsidRPr="006D3E70" w:rsidRDefault="00532249" w:rsidP="009B33DD">
            <w:pPr>
              <w:pStyle w:val="Tabletext"/>
              <w:keepNext/>
              <w:keepLines/>
              <w:framePr w:hSpace="181" w:wrap="notBeside" w:vAnchor="text" w:hAnchor="text" w:xAlign="center" w:y="1"/>
              <w:spacing w:before="20" w:after="20"/>
              <w:jc w:val="center"/>
              <w:rPr>
                <w:lang w:val="fr-FR"/>
              </w:rPr>
            </w:pPr>
            <w:r w:rsidRPr="006D3E70">
              <w:rPr>
                <w:sz w:val="20"/>
                <w:lang w:val="fr-FR"/>
              </w:rPr>
              <w:t>–</w:t>
            </w:r>
          </w:p>
        </w:tc>
        <w:tc>
          <w:tcPr>
            <w:tcW w:w="1296" w:type="dxa"/>
          </w:tcPr>
          <w:p w14:paraId="3C3A852A" w14:textId="77777777" w:rsidR="00532249" w:rsidRPr="006D3E70" w:rsidRDefault="00532249" w:rsidP="009B33DD">
            <w:pPr>
              <w:pStyle w:val="Tabletext"/>
              <w:keepNext/>
              <w:keepLines/>
              <w:framePr w:hSpace="181" w:wrap="notBeside" w:vAnchor="text" w:hAnchor="text" w:xAlign="center" w:y="1"/>
              <w:spacing w:before="20" w:after="20"/>
              <w:jc w:val="center"/>
              <w:rPr>
                <w:lang w:val="fr-FR"/>
              </w:rPr>
            </w:pPr>
            <w:r w:rsidRPr="006D3E70">
              <w:rPr>
                <w:sz w:val="20"/>
                <w:lang w:val="fr-FR"/>
              </w:rPr>
              <w:t>49</w:t>
            </w:r>
            <w:r w:rsidRPr="006D3E70">
              <w:rPr>
                <w:vertAlign w:val="superscript"/>
                <w:lang w:val="fr-FR"/>
              </w:rPr>
              <w:t>(1)</w:t>
            </w:r>
          </w:p>
        </w:tc>
        <w:tc>
          <w:tcPr>
            <w:tcW w:w="1313" w:type="dxa"/>
          </w:tcPr>
          <w:p w14:paraId="2C137BDE" w14:textId="77777777" w:rsidR="00532249" w:rsidRPr="006D3E70" w:rsidRDefault="00532249" w:rsidP="009B33DD">
            <w:pPr>
              <w:pStyle w:val="Tabletext"/>
              <w:keepNext/>
              <w:keepLines/>
              <w:framePr w:hSpace="181" w:wrap="notBeside" w:vAnchor="text" w:hAnchor="text" w:xAlign="center" w:y="1"/>
              <w:spacing w:before="20" w:after="20"/>
              <w:jc w:val="center"/>
              <w:rPr>
                <w:lang w:val="fr-FR"/>
              </w:rPr>
            </w:pPr>
            <w:r w:rsidRPr="006D3E70">
              <w:rPr>
                <w:sz w:val="20"/>
                <w:lang w:val="fr-FR"/>
              </w:rPr>
              <w:t>70</w:t>
            </w:r>
            <w:r w:rsidRPr="006D3E70">
              <w:rPr>
                <w:vertAlign w:val="superscript"/>
                <w:lang w:val="fr-FR"/>
              </w:rPr>
              <w:t>(1)</w:t>
            </w:r>
          </w:p>
        </w:tc>
      </w:tr>
      <w:tr w:rsidR="00532249" w:rsidRPr="006D3E70" w14:paraId="144F93C5" w14:textId="77777777" w:rsidTr="009B33DD">
        <w:trPr>
          <w:cantSplit/>
          <w:jc w:val="center"/>
        </w:trPr>
        <w:tc>
          <w:tcPr>
            <w:tcW w:w="1495" w:type="dxa"/>
            <w:tcBorders>
              <w:top w:val="single" w:sz="6" w:space="0" w:color="auto"/>
              <w:bottom w:val="nil"/>
            </w:tcBorders>
          </w:tcPr>
          <w:p w14:paraId="14219516" w14:textId="77777777" w:rsidR="00532249" w:rsidRPr="006D3E70" w:rsidRDefault="00532249" w:rsidP="009B33DD">
            <w:pPr>
              <w:pStyle w:val="Tabletext"/>
              <w:spacing w:before="20" w:after="20"/>
              <w:jc w:val="center"/>
              <w:rPr>
                <w:lang w:val="fr-FR"/>
              </w:rPr>
            </w:pPr>
            <w:r w:rsidRPr="006D3E70">
              <w:rPr>
                <w:sz w:val="20"/>
                <w:lang w:val="fr-FR"/>
              </w:rPr>
              <w:t>Au-dessus de 21,2 GHz</w:t>
            </w:r>
          </w:p>
        </w:tc>
        <w:tc>
          <w:tcPr>
            <w:tcW w:w="1340" w:type="dxa"/>
          </w:tcPr>
          <w:p w14:paraId="676131B4" w14:textId="77777777" w:rsidR="00532249" w:rsidRPr="006D3E70" w:rsidRDefault="00532249" w:rsidP="009B33DD">
            <w:pPr>
              <w:pStyle w:val="Tabletext"/>
              <w:spacing w:before="20" w:after="20"/>
              <w:ind w:left="-57" w:right="-57"/>
              <w:jc w:val="center"/>
              <w:rPr>
                <w:lang w:val="fr-FR"/>
              </w:rPr>
            </w:pPr>
            <w:r w:rsidRPr="006D3E70">
              <w:rPr>
                <w:sz w:val="20"/>
                <w:lang w:val="fr-FR"/>
              </w:rPr>
              <w:t xml:space="preserve">1 </w:t>
            </w:r>
            <w:r w:rsidRPr="006D3E70">
              <w:rPr>
                <w:lang w:val="fr-FR"/>
              </w:rPr>
              <w:sym w:font="Symbol" w:char="F0A3"/>
            </w:r>
            <w:r w:rsidRPr="006D3E70">
              <w:rPr>
                <w:sz w:val="20"/>
                <w:lang w:val="fr-FR"/>
              </w:rPr>
              <w:t xml:space="preserve"> CS </w:t>
            </w:r>
            <w:r w:rsidRPr="006D3E70">
              <w:rPr>
                <w:lang w:val="fr-FR"/>
              </w:rPr>
              <w:t>&lt;</w:t>
            </w:r>
            <w:r w:rsidRPr="006D3E70">
              <w:rPr>
                <w:sz w:val="20"/>
                <w:lang w:val="fr-FR"/>
              </w:rPr>
              <w:t xml:space="preserve"> 10</w:t>
            </w:r>
          </w:p>
        </w:tc>
        <w:tc>
          <w:tcPr>
            <w:tcW w:w="1613" w:type="dxa"/>
          </w:tcPr>
          <w:p w14:paraId="16BCA687" w14:textId="77777777" w:rsidR="00532249" w:rsidRPr="006D3E70" w:rsidRDefault="00532249" w:rsidP="009B33DD">
            <w:pPr>
              <w:pStyle w:val="Tabletext"/>
              <w:spacing w:before="20" w:after="20"/>
              <w:ind w:left="-57" w:right="-57"/>
              <w:jc w:val="center"/>
              <w:rPr>
                <w:lang w:val="fr-FR"/>
              </w:rPr>
            </w:pPr>
            <w:r w:rsidRPr="006D3E70">
              <w:rPr>
                <w:sz w:val="20"/>
                <w:lang w:val="fr-FR"/>
              </w:rPr>
              <w:t xml:space="preserve">Fs </w:t>
            </w:r>
            <w:r w:rsidRPr="006D3E70">
              <w:rPr>
                <w:lang w:val="fr-FR"/>
              </w:rPr>
              <w:sym w:font="Symbol" w:char="F040"/>
            </w:r>
            <w:r w:rsidRPr="006D3E70">
              <w:rPr>
                <w:sz w:val="20"/>
                <w:lang w:val="fr-FR"/>
              </w:rPr>
              <w:t xml:space="preserve"> 0,6 </w:t>
            </w:r>
            <w:r w:rsidRPr="006D3E70">
              <w:rPr>
                <w:sz w:val="20"/>
                <w:szCs w:val="18"/>
                <w:lang w:val="fr-FR"/>
              </w:rPr>
              <w:sym w:font="Symbol" w:char="F02D"/>
            </w:r>
            <w:r w:rsidRPr="006D3E70">
              <w:rPr>
                <w:sz w:val="20"/>
                <w:lang w:val="fr-FR"/>
              </w:rPr>
              <w:t xml:space="preserve"> 8</w:t>
            </w:r>
          </w:p>
        </w:tc>
        <w:tc>
          <w:tcPr>
            <w:tcW w:w="1304" w:type="dxa"/>
          </w:tcPr>
          <w:p w14:paraId="5E4D3E3E" w14:textId="77777777" w:rsidR="00532249" w:rsidRPr="006D3E70" w:rsidRDefault="00532249" w:rsidP="009B33DD">
            <w:pPr>
              <w:pStyle w:val="Tabletext"/>
              <w:spacing w:before="20" w:after="20"/>
              <w:jc w:val="center"/>
              <w:rPr>
                <w:lang w:val="fr-FR"/>
              </w:rPr>
            </w:pPr>
            <w:r w:rsidRPr="006D3E70">
              <w:rPr>
                <w:sz w:val="20"/>
                <w:lang w:val="fr-FR"/>
              </w:rPr>
              <w:t>–</w:t>
            </w:r>
          </w:p>
        </w:tc>
        <w:tc>
          <w:tcPr>
            <w:tcW w:w="1278" w:type="dxa"/>
          </w:tcPr>
          <w:p w14:paraId="5459A903" w14:textId="77777777" w:rsidR="00532249" w:rsidRPr="006D3E70" w:rsidRDefault="00532249" w:rsidP="009B33DD">
            <w:pPr>
              <w:pStyle w:val="Tabletext"/>
              <w:spacing w:before="20" w:after="20"/>
              <w:jc w:val="center"/>
              <w:rPr>
                <w:lang w:val="fr-FR"/>
              </w:rPr>
            </w:pPr>
            <w:r w:rsidRPr="006D3E70">
              <w:rPr>
                <w:sz w:val="20"/>
                <w:lang w:val="fr-FR"/>
              </w:rPr>
              <w:t>–</w:t>
            </w:r>
          </w:p>
        </w:tc>
        <w:tc>
          <w:tcPr>
            <w:tcW w:w="1296" w:type="dxa"/>
          </w:tcPr>
          <w:p w14:paraId="0EB5C5CA" w14:textId="77777777" w:rsidR="00532249" w:rsidRPr="006D3E70" w:rsidRDefault="00532249" w:rsidP="009B33DD">
            <w:pPr>
              <w:pStyle w:val="Tabletext"/>
              <w:spacing w:before="20" w:after="20"/>
              <w:jc w:val="center"/>
              <w:rPr>
                <w:lang w:val="fr-FR"/>
              </w:rPr>
            </w:pPr>
            <w:r w:rsidRPr="006D3E70">
              <w:rPr>
                <w:sz w:val="20"/>
                <w:lang w:val="fr-FR"/>
              </w:rPr>
              <w:t>–</w:t>
            </w:r>
          </w:p>
        </w:tc>
        <w:tc>
          <w:tcPr>
            <w:tcW w:w="1313" w:type="dxa"/>
          </w:tcPr>
          <w:p w14:paraId="6E7186DC" w14:textId="77777777" w:rsidR="00532249" w:rsidRPr="006D3E70" w:rsidRDefault="00532249" w:rsidP="009B33DD">
            <w:pPr>
              <w:pStyle w:val="Tabletext"/>
              <w:spacing w:before="20" w:after="20"/>
              <w:jc w:val="center"/>
              <w:rPr>
                <w:lang w:val="fr-FR"/>
              </w:rPr>
            </w:pPr>
            <w:r w:rsidRPr="006D3E70">
              <w:rPr>
                <w:sz w:val="20"/>
                <w:lang w:val="fr-FR"/>
              </w:rPr>
              <w:t>70</w:t>
            </w:r>
          </w:p>
        </w:tc>
      </w:tr>
      <w:tr w:rsidR="00532249" w:rsidRPr="006D3E70" w14:paraId="4EAA6BBE" w14:textId="77777777" w:rsidTr="009B33DD">
        <w:trPr>
          <w:cantSplit/>
          <w:jc w:val="center"/>
        </w:trPr>
        <w:tc>
          <w:tcPr>
            <w:tcW w:w="1495" w:type="dxa"/>
            <w:tcBorders>
              <w:top w:val="nil"/>
              <w:bottom w:val="single" w:sz="4" w:space="0" w:color="auto"/>
            </w:tcBorders>
          </w:tcPr>
          <w:p w14:paraId="4BE4AB22" w14:textId="77777777" w:rsidR="00532249" w:rsidRPr="006D3E70" w:rsidRDefault="00532249" w:rsidP="009B33DD">
            <w:pPr>
              <w:pStyle w:val="Tabletext"/>
              <w:spacing w:before="20" w:after="20"/>
              <w:jc w:val="center"/>
              <w:rPr>
                <w:lang w:val="fr-FR"/>
              </w:rPr>
            </w:pPr>
            <w:r w:rsidRPr="006D3E70">
              <w:rPr>
                <w:sz w:val="20"/>
                <w:lang w:val="fr-FR"/>
              </w:rPr>
              <w:t>(toutes les stations)</w:t>
            </w:r>
          </w:p>
        </w:tc>
        <w:tc>
          <w:tcPr>
            <w:tcW w:w="1340" w:type="dxa"/>
            <w:tcBorders>
              <w:bottom w:val="single" w:sz="4" w:space="0" w:color="auto"/>
            </w:tcBorders>
          </w:tcPr>
          <w:p w14:paraId="1E860488" w14:textId="77777777" w:rsidR="00532249" w:rsidRPr="006D3E70" w:rsidRDefault="00532249" w:rsidP="009B33DD">
            <w:pPr>
              <w:pStyle w:val="Tabletext"/>
              <w:spacing w:before="20" w:after="20"/>
              <w:ind w:left="-57" w:right="-57"/>
              <w:jc w:val="center"/>
              <w:rPr>
                <w:lang w:val="fr-FR"/>
              </w:rPr>
            </w:pPr>
            <w:r w:rsidRPr="006D3E70">
              <w:rPr>
                <w:sz w:val="20"/>
                <w:lang w:val="fr-FR"/>
              </w:rPr>
              <w:t xml:space="preserve">CS </w:t>
            </w:r>
            <w:r w:rsidRPr="006D3E70">
              <w:rPr>
                <w:lang w:val="fr-FR"/>
              </w:rPr>
              <w:sym w:font="Symbol" w:char="F0B3"/>
            </w:r>
            <w:r w:rsidRPr="006D3E70">
              <w:rPr>
                <w:sz w:val="20"/>
                <w:lang w:val="fr-FR"/>
              </w:rPr>
              <w:t xml:space="preserve"> 10</w:t>
            </w:r>
          </w:p>
        </w:tc>
        <w:tc>
          <w:tcPr>
            <w:tcW w:w="1613" w:type="dxa"/>
            <w:tcBorders>
              <w:bottom w:val="single" w:sz="4" w:space="0" w:color="auto"/>
            </w:tcBorders>
          </w:tcPr>
          <w:p w14:paraId="16688C55" w14:textId="77777777" w:rsidR="00532249" w:rsidRPr="006D3E70" w:rsidRDefault="00532249" w:rsidP="009B33DD">
            <w:pPr>
              <w:pStyle w:val="Tabletext"/>
              <w:spacing w:before="20" w:after="20"/>
              <w:ind w:left="-57" w:right="-57"/>
              <w:jc w:val="center"/>
              <w:rPr>
                <w:lang w:val="fr-FR"/>
              </w:rPr>
            </w:pPr>
            <w:r w:rsidRPr="006D3E70">
              <w:rPr>
                <w:sz w:val="20"/>
                <w:lang w:val="fr-FR"/>
              </w:rPr>
              <w:t xml:space="preserve">Fs </w:t>
            </w:r>
            <w:r w:rsidRPr="006D3E70">
              <w:rPr>
                <w:lang w:val="fr-FR"/>
              </w:rPr>
              <w:t>&gt;</w:t>
            </w:r>
            <w:r w:rsidRPr="006D3E70">
              <w:rPr>
                <w:sz w:val="20"/>
                <w:lang w:val="fr-FR"/>
              </w:rPr>
              <w:t xml:space="preserve"> </w:t>
            </w:r>
            <w:r w:rsidRPr="006D3E70">
              <w:rPr>
                <w:lang w:val="fr-FR"/>
              </w:rPr>
              <w:sym w:font="Symbol" w:char="F07E"/>
            </w:r>
            <w:r w:rsidRPr="006D3E70">
              <w:rPr>
                <w:sz w:val="20"/>
                <w:lang w:val="fr-FR"/>
              </w:rPr>
              <w:t xml:space="preserve"> 6</w:t>
            </w:r>
          </w:p>
        </w:tc>
        <w:tc>
          <w:tcPr>
            <w:tcW w:w="1304" w:type="dxa"/>
            <w:tcBorders>
              <w:bottom w:val="single" w:sz="4" w:space="0" w:color="auto"/>
            </w:tcBorders>
          </w:tcPr>
          <w:p w14:paraId="43DC51D3" w14:textId="77777777" w:rsidR="00532249" w:rsidRPr="006D3E70" w:rsidRDefault="00532249" w:rsidP="009B33DD">
            <w:pPr>
              <w:pStyle w:val="Tabletext"/>
              <w:spacing w:before="20" w:after="20"/>
              <w:jc w:val="center"/>
              <w:rPr>
                <w:lang w:val="fr-FR"/>
              </w:rPr>
            </w:pPr>
            <w:r w:rsidRPr="006D3E70">
              <w:rPr>
                <w:sz w:val="20"/>
                <w:lang w:val="fr-FR"/>
              </w:rPr>
              <w:t>–</w:t>
            </w:r>
          </w:p>
        </w:tc>
        <w:tc>
          <w:tcPr>
            <w:tcW w:w="1278" w:type="dxa"/>
            <w:tcBorders>
              <w:bottom w:val="single" w:sz="4" w:space="0" w:color="auto"/>
            </w:tcBorders>
          </w:tcPr>
          <w:p w14:paraId="763BE749" w14:textId="77777777" w:rsidR="00532249" w:rsidRPr="006D3E70" w:rsidRDefault="00532249" w:rsidP="009B33DD">
            <w:pPr>
              <w:pStyle w:val="Tabletext"/>
              <w:spacing w:before="20" w:after="20"/>
              <w:jc w:val="center"/>
              <w:rPr>
                <w:lang w:val="fr-FR"/>
              </w:rPr>
            </w:pPr>
            <w:r w:rsidRPr="006D3E70">
              <w:rPr>
                <w:sz w:val="20"/>
                <w:lang w:val="fr-FR"/>
              </w:rPr>
              <w:t>–</w:t>
            </w:r>
          </w:p>
        </w:tc>
        <w:tc>
          <w:tcPr>
            <w:tcW w:w="1296" w:type="dxa"/>
            <w:tcBorders>
              <w:bottom w:val="single" w:sz="4" w:space="0" w:color="auto"/>
            </w:tcBorders>
          </w:tcPr>
          <w:p w14:paraId="7324E157" w14:textId="77777777" w:rsidR="00532249" w:rsidRPr="006D3E70" w:rsidRDefault="00532249" w:rsidP="009B33DD">
            <w:pPr>
              <w:pStyle w:val="Tabletext"/>
              <w:spacing w:before="20" w:after="20"/>
              <w:jc w:val="center"/>
              <w:rPr>
                <w:lang w:val="fr-FR"/>
              </w:rPr>
            </w:pPr>
            <w:r w:rsidRPr="006D3E70">
              <w:rPr>
                <w:sz w:val="20"/>
                <w:lang w:val="fr-FR"/>
              </w:rPr>
              <w:t>–</w:t>
            </w:r>
          </w:p>
        </w:tc>
        <w:tc>
          <w:tcPr>
            <w:tcW w:w="1313" w:type="dxa"/>
            <w:tcBorders>
              <w:bottom w:val="single" w:sz="4" w:space="0" w:color="auto"/>
            </w:tcBorders>
          </w:tcPr>
          <w:p w14:paraId="68E5B054" w14:textId="77777777" w:rsidR="00532249" w:rsidRPr="006D3E70" w:rsidRDefault="00532249" w:rsidP="009B33DD">
            <w:pPr>
              <w:pStyle w:val="Tabletext"/>
              <w:spacing w:before="20" w:after="20"/>
              <w:jc w:val="center"/>
              <w:rPr>
                <w:lang w:val="fr-FR"/>
              </w:rPr>
            </w:pPr>
            <w:r w:rsidRPr="006D3E70">
              <w:rPr>
                <w:sz w:val="20"/>
                <w:lang w:val="fr-FR"/>
              </w:rPr>
              <w:t>–</w:t>
            </w:r>
          </w:p>
        </w:tc>
      </w:tr>
      <w:tr w:rsidR="00532249" w:rsidRPr="006D3E70" w14:paraId="077142B5" w14:textId="77777777" w:rsidTr="009B33DD">
        <w:trPr>
          <w:cantSplit/>
          <w:jc w:val="center"/>
        </w:trPr>
        <w:tc>
          <w:tcPr>
            <w:tcW w:w="9639" w:type="dxa"/>
            <w:gridSpan w:val="7"/>
            <w:tcBorders>
              <w:top w:val="single" w:sz="4" w:space="0" w:color="auto"/>
              <w:left w:val="nil"/>
              <w:bottom w:val="nil"/>
              <w:right w:val="nil"/>
            </w:tcBorders>
          </w:tcPr>
          <w:p w14:paraId="7AF44112" w14:textId="77777777" w:rsidR="00532249" w:rsidRPr="006D3E70" w:rsidRDefault="00532249" w:rsidP="009B33DD">
            <w:pPr>
              <w:pStyle w:val="Tablelegend"/>
              <w:spacing w:before="60"/>
              <w:rPr>
                <w:lang w:val="fr-FR"/>
              </w:rPr>
            </w:pPr>
            <w:r w:rsidRPr="006D3E70">
              <w:rPr>
                <w:vertAlign w:val="superscript"/>
                <w:lang w:val="fr-FR"/>
              </w:rPr>
              <w:t>(1)</w:t>
            </w:r>
            <w:r w:rsidRPr="006D3E70">
              <w:rPr>
                <w:sz w:val="20"/>
                <w:lang w:val="fr-FR"/>
              </w:rPr>
              <w:tab/>
              <w:t>Pas applicable si le CS dépasse de plus de 250% ces valeurs.</w:t>
            </w:r>
          </w:p>
        </w:tc>
      </w:tr>
    </w:tbl>
    <w:p w14:paraId="58640F83" w14:textId="77777777" w:rsidR="00F44007" w:rsidRPr="006D3E70" w:rsidRDefault="00F44007" w:rsidP="00F44007">
      <w:pPr>
        <w:pStyle w:val="Tablefin"/>
        <w:rPr>
          <w:lang w:val="fr-FR"/>
        </w:rPr>
      </w:pPr>
    </w:p>
    <w:p w14:paraId="023DB0DE" w14:textId="77777777" w:rsidR="00F44007" w:rsidRPr="006D3E70" w:rsidRDefault="00F44007" w:rsidP="00F44007">
      <w:pPr>
        <w:rPr>
          <w:lang w:val="fr-FR"/>
        </w:rPr>
      </w:pPr>
    </w:p>
    <w:p w14:paraId="5B49230B" w14:textId="77777777" w:rsidR="00F44007" w:rsidRPr="006D3E70" w:rsidRDefault="00F44007" w:rsidP="00F44007">
      <w:pPr>
        <w:rPr>
          <w:lang w:val="fr-FR"/>
        </w:rPr>
      </w:pPr>
    </w:p>
    <w:p w14:paraId="1F18D446" w14:textId="253E1F72" w:rsidR="00532249" w:rsidRPr="006D3E70" w:rsidRDefault="00532249" w:rsidP="00F44007">
      <w:pPr>
        <w:pStyle w:val="AnnexNoTitle"/>
        <w:outlineLvl w:val="0"/>
        <w:rPr>
          <w:lang w:val="fr-FR"/>
        </w:rPr>
      </w:pPr>
      <w:r w:rsidRPr="006D3E70">
        <w:rPr>
          <w:lang w:val="fr-FR"/>
        </w:rPr>
        <w:t>Annexe 6</w:t>
      </w:r>
      <w:r w:rsidRPr="006D3E70">
        <w:rPr>
          <w:lang w:val="fr-FR"/>
        </w:rPr>
        <w:br/>
      </w:r>
      <w:r w:rsidRPr="006D3E70">
        <w:rPr>
          <w:lang w:val="fr-FR"/>
        </w:rPr>
        <w:br/>
        <w:t>Largeur de bande de référence pour les limites de la catégorie B</w:t>
      </w:r>
      <w:r w:rsidRPr="006D3E70">
        <w:rPr>
          <w:lang w:val="fr-FR"/>
        </w:rPr>
        <w:br/>
        <w:t>Cas du service mobile terrestre</w:t>
      </w:r>
    </w:p>
    <w:p w14:paraId="169455F4" w14:textId="174E659C" w:rsidR="00532249" w:rsidRPr="006D3E70" w:rsidRDefault="00532249" w:rsidP="00532249">
      <w:pPr>
        <w:pStyle w:val="Normalaftertitle"/>
        <w:rPr>
          <w:lang w:val="fr-FR"/>
        </w:rPr>
      </w:pPr>
      <w:r w:rsidRPr="006D3E70">
        <w:rPr>
          <w:lang w:val="fr-FR"/>
        </w:rPr>
        <w:t>Les systèmes à modulation analogique à bande étroite du service mobile terrestre, présentant des puissances en sortie de plus de 1 W et fonctionnant au-dessus de 30 MHz ainsi que les systèmes à modulation numérique du service mobile terrestre, même s</w:t>
      </w:r>
      <w:r w:rsidR="00324C7C" w:rsidRPr="006D3E70">
        <w:rPr>
          <w:lang w:val="fr-FR"/>
        </w:rPr>
        <w:t>'</w:t>
      </w:r>
      <w:r w:rsidRPr="006D3E70">
        <w:rPr>
          <w:lang w:val="fr-FR"/>
        </w:rPr>
        <w:t>ils présentent un bon rendement spectral, ne peuvent pas respecter les limites de la catégorie B pour des fréquences très proches en raison du bruit large bande qu</w:t>
      </w:r>
      <w:r w:rsidR="00324C7C" w:rsidRPr="006D3E70">
        <w:rPr>
          <w:lang w:val="fr-FR"/>
        </w:rPr>
        <w:t>'</w:t>
      </w:r>
      <w:r w:rsidRPr="006D3E70">
        <w:rPr>
          <w:lang w:val="fr-FR"/>
        </w:rPr>
        <w:t>ils génèrent. Il est donc nécessaire d</w:t>
      </w:r>
      <w:r w:rsidR="00324C7C" w:rsidRPr="006D3E70">
        <w:rPr>
          <w:lang w:val="fr-FR"/>
        </w:rPr>
        <w:t>'</w:t>
      </w:r>
      <w:r w:rsidRPr="006D3E70">
        <w:rPr>
          <w:lang w:val="fr-FR"/>
        </w:rPr>
        <w:t>établir des crans génériques de largeur de bande de référence pour produire une zone de transition correspondant à la densité spectrale.</w:t>
      </w:r>
    </w:p>
    <w:p w14:paraId="53B220EB" w14:textId="7179C085" w:rsidR="00532249" w:rsidRPr="006D3E70" w:rsidRDefault="00532249" w:rsidP="00532249">
      <w:pPr>
        <w:rPr>
          <w:lang w:val="fr-FR"/>
        </w:rPr>
      </w:pPr>
      <w:r w:rsidRPr="006D3E70">
        <w:rPr>
          <w:lang w:val="fr-FR"/>
        </w:rPr>
        <w:t>Les gabarits ainsi obtenus sont présentés aux Figs 4 et 5: les séparations entre crans qui sont fonction du CS ou de la NB étant indiqués dans les Tableaux 10 et 11 respectivement pour les fréquences au-dessous de 1 GHz et les fréquences au</w:t>
      </w:r>
      <w:r w:rsidRPr="006D3E70">
        <w:rPr>
          <w:lang w:val="fr-FR"/>
        </w:rPr>
        <w:noBreakHyphen/>
        <w:t>dessus de 1 GHz.</w:t>
      </w:r>
    </w:p>
    <w:p w14:paraId="73A5C8CF" w14:textId="5D40B213" w:rsidR="00532249" w:rsidRPr="006D3E70" w:rsidRDefault="00532249" w:rsidP="00532249">
      <w:pPr>
        <w:rPr>
          <w:lang w:val="fr-FR"/>
        </w:rPr>
      </w:pPr>
      <w:r w:rsidRPr="006D3E70">
        <w:rPr>
          <w:lang w:val="fr-FR"/>
        </w:rPr>
        <w:t>Ces gabarits s</w:t>
      </w:r>
      <w:r w:rsidR="00324C7C" w:rsidRPr="006D3E70">
        <w:rPr>
          <w:lang w:val="fr-FR"/>
        </w:rPr>
        <w:t>'</w:t>
      </w:r>
      <w:r w:rsidRPr="006D3E70">
        <w:rPr>
          <w:lang w:val="fr-FR"/>
        </w:rPr>
        <w:t>appliquent à la fois aux terminaux mobiles et aux stations de base.</w:t>
      </w:r>
    </w:p>
    <w:p w14:paraId="3A15AD8D" w14:textId="77777777" w:rsidR="00532249" w:rsidRPr="006D3E70" w:rsidRDefault="00532249" w:rsidP="00532249">
      <w:pPr>
        <w:pStyle w:val="FigureNo"/>
        <w:rPr>
          <w:lang w:val="fr-FR"/>
        </w:rPr>
      </w:pPr>
      <w:r w:rsidRPr="006D3E70">
        <w:rPr>
          <w:lang w:val="fr-FR"/>
        </w:rPr>
        <w:lastRenderedPageBreak/>
        <w:t>FIGURE 4</w:t>
      </w:r>
    </w:p>
    <w:p w14:paraId="6CAFD9E7" w14:textId="77777777" w:rsidR="00532249" w:rsidRPr="006D3E70" w:rsidRDefault="00532249" w:rsidP="00F44007">
      <w:pPr>
        <w:pStyle w:val="Figuretitle"/>
        <w:rPr>
          <w:lang w:val="fr-FR"/>
        </w:rPr>
      </w:pPr>
      <w:r w:rsidRPr="006D3E70">
        <w:rPr>
          <w:lang w:val="fr-FR"/>
        </w:rPr>
        <w:t>Gabarit générique des rayonnements non désirés dans le domaine des rayonnements non essentiels,</w:t>
      </w:r>
      <w:r w:rsidRPr="006D3E70">
        <w:rPr>
          <w:lang w:val="fr-FR"/>
        </w:rPr>
        <w:br/>
        <w:t>au-dessous de 1 GHz, pour les stations du service mobile terrestre relevant de la catégorie B</w:t>
      </w:r>
    </w:p>
    <w:p w14:paraId="31477166" w14:textId="77777777" w:rsidR="00532249" w:rsidRPr="006D3E70" w:rsidRDefault="00532249" w:rsidP="00532249">
      <w:pPr>
        <w:pStyle w:val="Figuretitle"/>
        <w:rPr>
          <w:rFonts w:ascii="Times New Roman" w:hAnsi="Times New Roman"/>
          <w:b w:val="0"/>
          <w:bCs/>
          <w:color w:val="000000"/>
          <w:szCs w:val="18"/>
          <w:lang w:val="fr-FR"/>
        </w:rPr>
      </w:pPr>
      <w:r w:rsidRPr="006D3E70">
        <w:rPr>
          <w:rFonts w:ascii="Times New Roman" w:hAnsi="Times New Roman"/>
          <w:b w:val="0"/>
          <w:bCs/>
          <w:color w:val="000000"/>
          <w:szCs w:val="18"/>
          <w:lang w:val="fr-FR"/>
        </w:rPr>
        <w:t>(voir le Tableau 10)</w:t>
      </w:r>
    </w:p>
    <w:p w14:paraId="1CD620E9" w14:textId="77777777" w:rsidR="00532249" w:rsidRPr="006D3E70" w:rsidRDefault="00532249" w:rsidP="00532249">
      <w:pPr>
        <w:pStyle w:val="Figure"/>
        <w:rPr>
          <w:lang w:val="fr-FR"/>
        </w:rPr>
      </w:pPr>
      <w:r w:rsidRPr="006D3E70">
        <w:rPr>
          <w:lang w:val="fr-FR"/>
        </w:rPr>
        <w:object w:dxaOrig="9217" w:dyaOrig="5092" w14:anchorId="3086CB50">
          <v:shape id="_x0000_i1031" type="#_x0000_t75" style="width:345.8pt;height:194.2pt" o:ole="">
            <v:imagedata r:id="rId28" o:title=""/>
          </v:shape>
          <o:OLEObject Type="Embed" ProgID="CorelDRAW.Graphic.14" ShapeID="_x0000_i1031" DrawAspect="Content" ObjectID="_1794295336" r:id="rId29"/>
        </w:object>
      </w:r>
    </w:p>
    <w:p w14:paraId="5DB94FBA" w14:textId="77777777" w:rsidR="00532249" w:rsidRPr="006D3E70" w:rsidRDefault="00532249" w:rsidP="00532249">
      <w:pPr>
        <w:pStyle w:val="TableNo"/>
        <w:rPr>
          <w:lang w:val="fr-FR"/>
        </w:rPr>
      </w:pPr>
      <w:r w:rsidRPr="006D3E70">
        <w:rPr>
          <w:lang w:val="fr-FR"/>
        </w:rPr>
        <w:t>TABLEAU 10</w:t>
      </w:r>
    </w:p>
    <w:p w14:paraId="29347E8B" w14:textId="77777777" w:rsidR="00532249" w:rsidRPr="006D3E70" w:rsidRDefault="00532249" w:rsidP="00F44007">
      <w:pPr>
        <w:pStyle w:val="Tabletitle"/>
        <w:rPr>
          <w:lang w:val="fr-FR"/>
        </w:rPr>
      </w:pPr>
      <w:r w:rsidRPr="006D3E70">
        <w:rPr>
          <w:lang w:val="fr-FR"/>
        </w:rPr>
        <w:t>Gabarit générique des rayonnements non désirés dans le domaine</w:t>
      </w:r>
      <w:r w:rsidRPr="006D3E70">
        <w:rPr>
          <w:lang w:val="fr-FR"/>
        </w:rPr>
        <w:br/>
        <w:t>des rayonnements non essentiels, au-dessous de 1 GHz, pour les</w:t>
      </w:r>
      <w:r w:rsidRPr="006D3E70">
        <w:rPr>
          <w:lang w:val="fr-FR"/>
        </w:rPr>
        <w:br/>
        <w:t>stations du service mobile terrestre relevant de la catégorie B</w:t>
      </w:r>
    </w:p>
    <w:p w14:paraId="5DE76A85" w14:textId="1F2E6E6F" w:rsidR="00532249" w:rsidRPr="006D3E70" w:rsidRDefault="00532249" w:rsidP="00F44007">
      <w:pPr>
        <w:pStyle w:val="Tabletitle"/>
        <w:rPr>
          <w:b w:val="0"/>
          <w:bCs/>
          <w:lang w:val="fr-FR"/>
        </w:rPr>
      </w:pPr>
      <w:r w:rsidRPr="006D3E70">
        <w:rPr>
          <w:b w:val="0"/>
          <w:bCs/>
          <w:lang w:val="fr-FR"/>
        </w:rPr>
        <w:t>(voir la Fig</w:t>
      </w:r>
      <w:r w:rsidR="00693972" w:rsidRPr="006D3E70">
        <w:rPr>
          <w:b w:val="0"/>
          <w:bCs/>
          <w:lang w:val="fr-FR"/>
        </w:rPr>
        <w:t>.</w:t>
      </w:r>
      <w:r w:rsidRPr="006D3E70">
        <w:rPr>
          <w:b w:val="0"/>
          <w:bCs/>
          <w:lang w:val="fr-FR"/>
        </w:rPr>
        <w:t> 4)</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5670"/>
      </w:tblGrid>
      <w:tr w:rsidR="00532249" w:rsidRPr="006D3E70" w14:paraId="396AA6B8" w14:textId="77777777" w:rsidTr="009B33DD">
        <w:trPr>
          <w:jc w:val="center"/>
        </w:trPr>
        <w:tc>
          <w:tcPr>
            <w:tcW w:w="1701" w:type="dxa"/>
          </w:tcPr>
          <w:p w14:paraId="11EE49DC" w14:textId="77777777" w:rsidR="00532249" w:rsidRPr="006D3E70" w:rsidRDefault="00532249" w:rsidP="009B33DD">
            <w:pPr>
              <w:pStyle w:val="Tabletext"/>
              <w:jc w:val="center"/>
              <w:rPr>
                <w:lang w:val="fr-FR"/>
              </w:rPr>
            </w:pPr>
            <w:r w:rsidRPr="006D3E70">
              <w:rPr>
                <w:lang w:val="fr-FR"/>
              </w:rPr>
              <w:t>Fa</w:t>
            </w:r>
          </w:p>
        </w:tc>
        <w:tc>
          <w:tcPr>
            <w:tcW w:w="5670" w:type="dxa"/>
          </w:tcPr>
          <w:p w14:paraId="7D9432B8" w14:textId="77777777" w:rsidR="00532249" w:rsidRPr="006D3E70" w:rsidRDefault="00532249" w:rsidP="009B33DD">
            <w:pPr>
              <w:pStyle w:val="Tabletext"/>
              <w:rPr>
                <w:lang w:val="fr-FR"/>
              </w:rPr>
            </w:pPr>
            <w:r w:rsidRPr="006D3E70">
              <w:rPr>
                <w:lang w:val="fr-FR"/>
              </w:rPr>
              <w:t>100 kHz ou 4 fois NB, selon la valeur qui est la plus élevée</w:t>
            </w:r>
          </w:p>
        </w:tc>
      </w:tr>
      <w:tr w:rsidR="00532249" w:rsidRPr="006D3E70" w14:paraId="51495A4D" w14:textId="77777777" w:rsidTr="009B33DD">
        <w:trPr>
          <w:jc w:val="center"/>
        </w:trPr>
        <w:tc>
          <w:tcPr>
            <w:tcW w:w="1701" w:type="dxa"/>
          </w:tcPr>
          <w:p w14:paraId="4B8AADA5" w14:textId="77777777" w:rsidR="00532249" w:rsidRPr="006D3E70" w:rsidRDefault="00532249" w:rsidP="009B33DD">
            <w:pPr>
              <w:pStyle w:val="Tabletext"/>
              <w:jc w:val="center"/>
              <w:rPr>
                <w:lang w:val="fr-FR"/>
              </w:rPr>
            </w:pPr>
            <w:r w:rsidRPr="006D3E70">
              <w:rPr>
                <w:lang w:val="fr-FR"/>
              </w:rPr>
              <w:t>Fb</w:t>
            </w:r>
          </w:p>
        </w:tc>
        <w:tc>
          <w:tcPr>
            <w:tcW w:w="5670" w:type="dxa"/>
          </w:tcPr>
          <w:p w14:paraId="223473C0" w14:textId="77777777" w:rsidR="00532249" w:rsidRPr="006D3E70" w:rsidRDefault="00532249" w:rsidP="009B33DD">
            <w:pPr>
              <w:pStyle w:val="Tabletext"/>
              <w:rPr>
                <w:lang w:val="fr-FR"/>
              </w:rPr>
            </w:pPr>
            <w:r w:rsidRPr="006D3E70">
              <w:rPr>
                <w:lang w:val="fr-FR"/>
              </w:rPr>
              <w:t>500 kHz ou 10 fois NB, selon la valeur qui est la plus élevée</w:t>
            </w:r>
          </w:p>
        </w:tc>
      </w:tr>
    </w:tbl>
    <w:p w14:paraId="061A15BE" w14:textId="77777777" w:rsidR="00532249" w:rsidRPr="006D3E70" w:rsidRDefault="00532249" w:rsidP="00532249">
      <w:pPr>
        <w:pStyle w:val="Tablefin"/>
        <w:rPr>
          <w:lang w:val="fr-FR"/>
        </w:rPr>
      </w:pPr>
    </w:p>
    <w:p w14:paraId="31C0BE5D" w14:textId="77777777" w:rsidR="00532249" w:rsidRPr="006D3E70" w:rsidRDefault="00532249" w:rsidP="00532249">
      <w:pPr>
        <w:pStyle w:val="FigureNo"/>
        <w:rPr>
          <w:lang w:val="fr-FR"/>
        </w:rPr>
      </w:pPr>
      <w:r w:rsidRPr="006D3E70">
        <w:rPr>
          <w:lang w:val="fr-FR"/>
        </w:rPr>
        <w:t>FIGURE 5</w:t>
      </w:r>
    </w:p>
    <w:p w14:paraId="4A53D34C" w14:textId="77777777" w:rsidR="00532249" w:rsidRPr="006D3E70" w:rsidRDefault="00532249" w:rsidP="00F44007">
      <w:pPr>
        <w:pStyle w:val="Figuretitle"/>
        <w:rPr>
          <w:lang w:val="fr-FR"/>
        </w:rPr>
      </w:pPr>
      <w:r w:rsidRPr="006D3E70">
        <w:rPr>
          <w:lang w:val="fr-FR"/>
        </w:rPr>
        <w:t>Gabarit générique des rayonnements non désirés dans le domaine des rayonnements non essentiels,</w:t>
      </w:r>
      <w:r w:rsidRPr="006D3E70">
        <w:rPr>
          <w:lang w:val="fr-FR"/>
        </w:rPr>
        <w:br/>
        <w:t>au-dessus de 1 GHz, pour les stations du service mobile terrestre relevant de la catégorie B</w:t>
      </w:r>
    </w:p>
    <w:p w14:paraId="0CDDD877" w14:textId="77777777" w:rsidR="00532249" w:rsidRPr="006D3E70" w:rsidRDefault="00532249" w:rsidP="00F44007">
      <w:pPr>
        <w:pStyle w:val="Figuretitle"/>
        <w:rPr>
          <w:rFonts w:ascii="Times New Roman" w:hAnsi="Times New Roman"/>
          <w:b w:val="0"/>
          <w:bCs/>
          <w:color w:val="000000"/>
          <w:szCs w:val="18"/>
          <w:lang w:val="fr-FR"/>
        </w:rPr>
      </w:pPr>
      <w:r w:rsidRPr="006D3E70">
        <w:rPr>
          <w:rFonts w:ascii="Times New Roman" w:hAnsi="Times New Roman"/>
          <w:b w:val="0"/>
          <w:bCs/>
          <w:color w:val="000000"/>
          <w:szCs w:val="18"/>
          <w:lang w:val="fr-FR"/>
        </w:rPr>
        <w:t>(voir le Tableau 11)</w:t>
      </w:r>
    </w:p>
    <w:p w14:paraId="35C5F624" w14:textId="77777777" w:rsidR="00532249" w:rsidRPr="006D3E70" w:rsidRDefault="00532249" w:rsidP="00532249">
      <w:pPr>
        <w:pStyle w:val="Figure"/>
        <w:rPr>
          <w:lang w:val="fr-FR"/>
        </w:rPr>
      </w:pPr>
      <w:r w:rsidRPr="006D3E70">
        <w:rPr>
          <w:lang w:val="fr-FR"/>
        </w:rPr>
        <w:object w:dxaOrig="9361" w:dyaOrig="5095" w14:anchorId="3E328771">
          <v:shape id="_x0000_i1032" type="#_x0000_t75" style="width:353.45pt;height:194.2pt" o:ole="">
            <v:imagedata r:id="rId30" o:title=""/>
          </v:shape>
          <o:OLEObject Type="Embed" ProgID="CorelDRAW.Graphic.14" ShapeID="_x0000_i1032" DrawAspect="Content" ObjectID="_1794295337" r:id="rId31"/>
        </w:object>
      </w:r>
    </w:p>
    <w:p w14:paraId="0680A3AA" w14:textId="77777777" w:rsidR="00532249" w:rsidRPr="006D3E70" w:rsidRDefault="00532249" w:rsidP="00532249">
      <w:pPr>
        <w:pStyle w:val="TableNo"/>
        <w:rPr>
          <w:lang w:val="fr-FR"/>
        </w:rPr>
      </w:pPr>
      <w:r w:rsidRPr="006D3E70">
        <w:rPr>
          <w:lang w:val="fr-FR"/>
        </w:rPr>
        <w:lastRenderedPageBreak/>
        <w:t>TABLEAU 11</w:t>
      </w:r>
    </w:p>
    <w:p w14:paraId="10136968" w14:textId="77777777" w:rsidR="00532249" w:rsidRPr="006D3E70" w:rsidRDefault="00532249" w:rsidP="00F44007">
      <w:pPr>
        <w:pStyle w:val="Tabletitle"/>
        <w:rPr>
          <w:lang w:val="fr-FR"/>
        </w:rPr>
      </w:pPr>
      <w:r w:rsidRPr="006D3E70">
        <w:rPr>
          <w:lang w:val="fr-FR"/>
        </w:rPr>
        <w:t>Gabarit générique des rayonnements non désirés dans le domaine</w:t>
      </w:r>
      <w:r w:rsidRPr="006D3E70">
        <w:rPr>
          <w:lang w:val="fr-FR"/>
        </w:rPr>
        <w:br/>
        <w:t>des rayonnements non essentiels, au-dessous de 1 GHz, pour les</w:t>
      </w:r>
      <w:r w:rsidRPr="006D3E70">
        <w:rPr>
          <w:lang w:val="fr-FR"/>
        </w:rPr>
        <w:br/>
        <w:t>stations du service mobile terrestre relevant de la catégorie B</w:t>
      </w:r>
    </w:p>
    <w:p w14:paraId="53BF7A8B" w14:textId="17E11AAC" w:rsidR="00532249" w:rsidRPr="006D3E70" w:rsidRDefault="00532249" w:rsidP="00F44007">
      <w:pPr>
        <w:pStyle w:val="Tabletitle"/>
        <w:rPr>
          <w:b w:val="0"/>
          <w:bCs/>
          <w:lang w:val="fr-FR"/>
        </w:rPr>
      </w:pPr>
      <w:r w:rsidRPr="006D3E70">
        <w:rPr>
          <w:b w:val="0"/>
          <w:bCs/>
          <w:lang w:val="fr-FR"/>
        </w:rPr>
        <w:t>(voir la Fig</w:t>
      </w:r>
      <w:r w:rsidR="00693972" w:rsidRPr="006D3E70">
        <w:rPr>
          <w:b w:val="0"/>
          <w:bCs/>
          <w:lang w:val="fr-FR"/>
        </w:rPr>
        <w:t>.</w:t>
      </w:r>
      <w:r w:rsidRPr="006D3E70">
        <w:rPr>
          <w:b w:val="0"/>
          <w:bCs/>
          <w:lang w:val="fr-FR"/>
        </w:rPr>
        <w:t> 5)</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5670"/>
      </w:tblGrid>
      <w:tr w:rsidR="00532249" w:rsidRPr="006D3E70" w14:paraId="1C575438" w14:textId="77777777" w:rsidTr="009B33DD">
        <w:trPr>
          <w:jc w:val="center"/>
        </w:trPr>
        <w:tc>
          <w:tcPr>
            <w:tcW w:w="1701" w:type="dxa"/>
          </w:tcPr>
          <w:p w14:paraId="73CD1670" w14:textId="77777777" w:rsidR="00532249" w:rsidRPr="006D3E70" w:rsidRDefault="00532249" w:rsidP="009B33DD">
            <w:pPr>
              <w:pStyle w:val="Tabletext"/>
              <w:jc w:val="center"/>
              <w:rPr>
                <w:lang w:val="fr-FR"/>
              </w:rPr>
            </w:pPr>
            <w:r w:rsidRPr="006D3E70">
              <w:rPr>
                <w:lang w:val="fr-FR"/>
              </w:rPr>
              <w:t>Fa</w:t>
            </w:r>
          </w:p>
        </w:tc>
        <w:tc>
          <w:tcPr>
            <w:tcW w:w="5670" w:type="dxa"/>
          </w:tcPr>
          <w:p w14:paraId="1DE2AEC4" w14:textId="77777777" w:rsidR="00532249" w:rsidRPr="006D3E70" w:rsidRDefault="00532249" w:rsidP="009B33DD">
            <w:pPr>
              <w:pStyle w:val="Tabletext"/>
              <w:rPr>
                <w:lang w:val="fr-FR"/>
              </w:rPr>
            </w:pPr>
            <w:r w:rsidRPr="006D3E70">
              <w:rPr>
                <w:lang w:val="fr-FR"/>
              </w:rPr>
              <w:t xml:space="preserve">500 kHz ou 10 fois NB, selon la valeur qui est la plus élevée </w:t>
            </w:r>
          </w:p>
        </w:tc>
      </w:tr>
      <w:tr w:rsidR="00532249" w:rsidRPr="006D3E70" w14:paraId="1FFBD63A" w14:textId="77777777" w:rsidTr="009B33DD">
        <w:trPr>
          <w:jc w:val="center"/>
        </w:trPr>
        <w:tc>
          <w:tcPr>
            <w:tcW w:w="1701" w:type="dxa"/>
          </w:tcPr>
          <w:p w14:paraId="5D46B8F7" w14:textId="77777777" w:rsidR="00532249" w:rsidRPr="006D3E70" w:rsidRDefault="00532249" w:rsidP="009B33DD">
            <w:pPr>
              <w:pStyle w:val="Tabletext"/>
              <w:jc w:val="center"/>
              <w:rPr>
                <w:lang w:val="fr-FR"/>
              </w:rPr>
            </w:pPr>
            <w:r w:rsidRPr="006D3E70">
              <w:rPr>
                <w:lang w:val="fr-FR"/>
              </w:rPr>
              <w:t>Fb</w:t>
            </w:r>
          </w:p>
        </w:tc>
        <w:tc>
          <w:tcPr>
            <w:tcW w:w="5670" w:type="dxa"/>
          </w:tcPr>
          <w:p w14:paraId="7D32C6A6" w14:textId="77777777" w:rsidR="00532249" w:rsidRPr="006D3E70" w:rsidRDefault="00532249" w:rsidP="009B33DD">
            <w:pPr>
              <w:pStyle w:val="Tabletext"/>
              <w:rPr>
                <w:lang w:val="fr-FR"/>
              </w:rPr>
            </w:pPr>
            <w:r w:rsidRPr="006D3E70">
              <w:rPr>
                <w:lang w:val="fr-FR"/>
              </w:rPr>
              <w:t xml:space="preserve">1 MHz ou 12 fois NB, selon la valeur qui est la plus élevée </w:t>
            </w:r>
          </w:p>
        </w:tc>
      </w:tr>
    </w:tbl>
    <w:p w14:paraId="724647AE" w14:textId="77777777" w:rsidR="00FD396C" w:rsidRPr="006D3E70" w:rsidRDefault="00FD396C" w:rsidP="00FD396C">
      <w:pPr>
        <w:pStyle w:val="Line"/>
        <w:rPr>
          <w:lang w:val="fr-FR"/>
        </w:rPr>
      </w:pPr>
    </w:p>
    <w:sectPr w:rsidR="00FD396C" w:rsidRPr="006D3E70" w:rsidSect="00532249">
      <w:headerReference w:type="even" r:id="rId32"/>
      <w:headerReference w:type="default" r:id="rId33"/>
      <w:footerReference w:type="default" r:id="rId34"/>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D2DCA" w14:textId="77777777" w:rsidR="00FD396C" w:rsidRDefault="00FD396C">
      <w:r>
        <w:separator/>
      </w:r>
    </w:p>
  </w:endnote>
  <w:endnote w:type="continuationSeparator" w:id="0">
    <w:p w14:paraId="6B534772" w14:textId="77777777" w:rsidR="00FD396C" w:rsidRDefault="00FD3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E00002FF" w:usb1="7AC7FFFF" w:usb2="00000012" w:usb3="00000000" w:csb0="0002000D" w:csb1="00000000"/>
  </w:font>
  <w:font w:name="Helvetica">
    <w:panose1 w:val="020B0604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475EB" w14:textId="77777777" w:rsidR="00FD396C" w:rsidRDefault="00FD396C">
    <w:pPr>
      <w:pStyle w:val="Footer"/>
    </w:pPr>
    <w:r>
      <w:drawing>
        <wp:anchor distT="0" distB="0" distL="0" distR="0" simplePos="0" relativeHeight="251659264" behindDoc="0" locked="0" layoutInCell="1" allowOverlap="1" wp14:anchorId="3B020C9E" wp14:editId="58AAE389">
          <wp:simplePos x="0" y="0"/>
          <wp:positionH relativeFrom="page">
            <wp:posOffset>6346209</wp:posOffset>
          </wp:positionH>
          <wp:positionV relativeFrom="page">
            <wp:posOffset>9501505</wp:posOffset>
          </wp:positionV>
          <wp:extent cx="738000" cy="813600"/>
          <wp:effectExtent l="0" t="0" r="0" b="0"/>
          <wp:wrapNone/>
          <wp:docPr id="1"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84364" w14:textId="275FBBEA" w:rsidR="00532249" w:rsidRDefault="00532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BEE6D" w14:textId="77777777" w:rsidR="00FD396C" w:rsidRDefault="00FD396C">
      <w:r>
        <w:separator/>
      </w:r>
    </w:p>
  </w:footnote>
  <w:footnote w:type="continuationSeparator" w:id="0">
    <w:p w14:paraId="69FAB9EA" w14:textId="77777777" w:rsidR="00FD396C" w:rsidRDefault="00FD396C">
      <w:r>
        <w:continuationSeparator/>
      </w:r>
    </w:p>
  </w:footnote>
  <w:footnote w:id="1">
    <w:p w14:paraId="2CD4ECCF" w14:textId="005BE64D" w:rsidR="00532249" w:rsidRPr="00F2273A" w:rsidRDefault="00532249" w:rsidP="00532249">
      <w:pPr>
        <w:pStyle w:val="FootnoteText"/>
        <w:rPr>
          <w:lang w:val="fr-FR"/>
        </w:rPr>
      </w:pPr>
      <w:r w:rsidRPr="00F2273A">
        <w:rPr>
          <w:rStyle w:val="FootnoteReference"/>
          <w:lang w:val="fr-FR"/>
        </w:rPr>
        <w:t>*</w:t>
      </w:r>
      <w:r w:rsidRPr="00F2273A">
        <w:rPr>
          <w:lang w:val="fr-FR"/>
        </w:rPr>
        <w:tab/>
        <w:t>Les limites visées dans la présente Recommandation s</w:t>
      </w:r>
      <w:r w:rsidR="00324C7C">
        <w:rPr>
          <w:lang w:val="fr-FR"/>
        </w:rPr>
        <w:t>'</w:t>
      </w:r>
      <w:r w:rsidRPr="00F2273A">
        <w:rPr>
          <w:lang w:val="fr-FR"/>
        </w:rPr>
        <w:t>appliquent à toute émission hors bande ou à tout rayonnement non essentiel dans le domaine des rayonnements non essentiels. En général, les rayonnements non essentiels prédominent dans le domaine des rayonnements non essentiels.</w:t>
      </w:r>
    </w:p>
  </w:footnote>
  <w:footnote w:id="2">
    <w:p w14:paraId="7F8D7C3D" w14:textId="77777777" w:rsidR="00532249" w:rsidRPr="00F2273A" w:rsidRDefault="00532249" w:rsidP="00532249">
      <w:pPr>
        <w:pStyle w:val="FootnoteText"/>
        <w:rPr>
          <w:lang w:val="fr-FR"/>
        </w:rPr>
      </w:pPr>
      <w:r w:rsidRPr="00F2273A">
        <w:rPr>
          <w:rStyle w:val="FootnoteReference"/>
          <w:lang w:val="fr-FR"/>
        </w:rPr>
        <w:t>1</w:t>
      </w:r>
      <w:r w:rsidRPr="00F2273A">
        <w:rPr>
          <w:lang w:val="fr-FR"/>
        </w:rPr>
        <w:tab/>
        <w:t>Les rayonnements dans le domaine des rayonnements non essentiels sont des rayonnements non désirés observés à des fréquences situées dans le domaine des rayonnements non essentiels.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8DB92" w14:textId="77777777" w:rsidR="00FD396C" w:rsidRDefault="00FD396C">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FD396C" w:rsidRPr="00A239D1" w14:paraId="46EAE16B" w14:textId="77777777" w:rsidTr="0019307B">
      <w:tc>
        <w:tcPr>
          <w:tcW w:w="4634" w:type="dxa"/>
          <w:vAlign w:val="center"/>
        </w:tcPr>
        <w:p w14:paraId="58549820" w14:textId="77777777" w:rsidR="00FD396C" w:rsidRPr="005B0371" w:rsidRDefault="00FD396C"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405CE5DB" w14:textId="77777777" w:rsidR="00FD396C" w:rsidRPr="00260B24" w:rsidRDefault="00FD396C" w:rsidP="00744F8B">
          <w:pPr>
            <w:pStyle w:val="Header"/>
            <w:jc w:val="right"/>
            <w:rPr>
              <w:rFonts w:asciiTheme="minorBidi" w:hAnsiTheme="minorBidi"/>
              <w:b/>
              <w:spacing w:val="4"/>
              <w:szCs w:val="24"/>
            </w:rPr>
          </w:pPr>
          <w:r w:rsidRPr="00260B24">
            <w:rPr>
              <w:rFonts w:asciiTheme="minorBidi" w:hAnsiTheme="minorBidi"/>
              <w:b/>
              <w:spacing w:val="4"/>
              <w:szCs w:val="24"/>
            </w:rPr>
            <w:t>Union</w:t>
          </w:r>
          <w:r>
            <w:rPr>
              <w:rFonts w:asciiTheme="minorBidi" w:hAnsiTheme="minorBidi"/>
              <w:b/>
              <w:spacing w:val="4"/>
              <w:szCs w:val="24"/>
            </w:rPr>
            <w:t xml:space="preserve"> i</w:t>
          </w:r>
          <w:r w:rsidRPr="00260B24">
            <w:rPr>
              <w:rFonts w:asciiTheme="minorBidi" w:hAnsiTheme="minorBidi"/>
              <w:b/>
              <w:spacing w:val="4"/>
              <w:szCs w:val="24"/>
            </w:rPr>
            <w:t>nternational</w:t>
          </w:r>
          <w:r>
            <w:rPr>
              <w:rFonts w:asciiTheme="minorBidi" w:hAnsiTheme="minorBidi"/>
              <w:b/>
              <w:spacing w:val="4"/>
              <w:szCs w:val="24"/>
            </w:rPr>
            <w:t>e</w:t>
          </w:r>
          <w:r w:rsidRPr="00260B24">
            <w:rPr>
              <w:rFonts w:asciiTheme="minorBidi" w:hAnsiTheme="minorBidi"/>
              <w:b/>
              <w:spacing w:val="4"/>
              <w:szCs w:val="24"/>
            </w:rPr>
            <w:t xml:space="preserve"> </w:t>
          </w:r>
          <w:r>
            <w:rPr>
              <w:rFonts w:asciiTheme="minorBidi" w:hAnsiTheme="minorBidi"/>
              <w:b/>
              <w:spacing w:val="4"/>
              <w:szCs w:val="24"/>
            </w:rPr>
            <w:t>des té</w:t>
          </w:r>
          <w:r w:rsidRPr="00260B24">
            <w:rPr>
              <w:rFonts w:asciiTheme="minorBidi" w:hAnsiTheme="minorBidi"/>
              <w:b/>
              <w:spacing w:val="4"/>
              <w:szCs w:val="24"/>
            </w:rPr>
            <w:t>l</w:t>
          </w:r>
          <w:r>
            <w:rPr>
              <w:rFonts w:asciiTheme="minorBidi" w:hAnsiTheme="minorBidi"/>
              <w:b/>
              <w:spacing w:val="4"/>
              <w:szCs w:val="24"/>
            </w:rPr>
            <w:t>é</w:t>
          </w:r>
          <w:r w:rsidRPr="00260B24">
            <w:rPr>
              <w:rFonts w:asciiTheme="minorBidi" w:hAnsiTheme="minorBidi"/>
              <w:b/>
              <w:spacing w:val="4"/>
              <w:szCs w:val="24"/>
            </w:rPr>
            <w:t>communication</w:t>
          </w:r>
          <w:r>
            <w:rPr>
              <w:rFonts w:asciiTheme="minorBidi" w:hAnsiTheme="minorBidi"/>
              <w:b/>
              <w:spacing w:val="4"/>
              <w:szCs w:val="24"/>
            </w:rPr>
            <w:t>s</w:t>
          </w:r>
        </w:p>
      </w:tc>
    </w:tr>
    <w:tr w:rsidR="00FD396C" w:rsidRPr="00A239D1" w14:paraId="01FE372F" w14:textId="77777777" w:rsidTr="0019307B">
      <w:tc>
        <w:tcPr>
          <w:tcW w:w="4634" w:type="dxa"/>
          <w:vAlign w:val="center"/>
        </w:tcPr>
        <w:p w14:paraId="3BD69E10" w14:textId="77777777" w:rsidR="00FD396C" w:rsidRPr="00260B24" w:rsidRDefault="00FD396C" w:rsidP="00744F8B">
          <w:pPr>
            <w:pStyle w:val="Header"/>
            <w:jc w:val="left"/>
            <w:rPr>
              <w:rFonts w:asciiTheme="minorBidi" w:hAnsiTheme="minorBidi"/>
              <w:spacing w:val="4"/>
              <w:sz w:val="21"/>
              <w:szCs w:val="21"/>
            </w:rPr>
          </w:pPr>
          <w:r w:rsidRPr="00260B24">
            <w:rPr>
              <w:rFonts w:asciiTheme="minorBidi" w:hAnsiTheme="minorBidi"/>
              <w:spacing w:val="4"/>
              <w:szCs w:val="24"/>
            </w:rPr>
            <w:t>Recomm</w:t>
          </w:r>
          <w:r>
            <w:rPr>
              <w:rFonts w:asciiTheme="minorBidi" w:hAnsiTheme="minorBidi"/>
              <w:spacing w:val="4"/>
              <w:szCs w:val="24"/>
            </w:rPr>
            <w:t>a</w:t>
          </w:r>
          <w:r w:rsidRPr="00260B24">
            <w:rPr>
              <w:rFonts w:asciiTheme="minorBidi" w:hAnsiTheme="minorBidi"/>
              <w:spacing w:val="4"/>
              <w:szCs w:val="24"/>
            </w:rPr>
            <w:t>ndations</w:t>
          </w:r>
        </w:p>
      </w:tc>
      <w:tc>
        <w:tcPr>
          <w:tcW w:w="5998" w:type="dxa"/>
          <w:vAlign w:val="center"/>
        </w:tcPr>
        <w:p w14:paraId="337A9DA3" w14:textId="515E1635" w:rsidR="00FD396C" w:rsidRPr="00260B24" w:rsidRDefault="00FD396C" w:rsidP="00744F8B">
          <w:pPr>
            <w:pStyle w:val="Header"/>
            <w:jc w:val="right"/>
            <w:rPr>
              <w:rFonts w:asciiTheme="minorBidi" w:hAnsiTheme="minorBidi"/>
              <w:spacing w:val="4"/>
              <w:szCs w:val="24"/>
            </w:rPr>
          </w:pPr>
          <w:r>
            <w:rPr>
              <w:rFonts w:asciiTheme="minorBidi" w:hAnsiTheme="minorBidi"/>
              <w:spacing w:val="4"/>
              <w:szCs w:val="24"/>
            </w:rPr>
            <w:t xml:space="preserve">Secteur des </w:t>
          </w:r>
          <w:r w:rsidR="00532249">
            <w:rPr>
              <w:rFonts w:asciiTheme="minorBidi" w:hAnsiTheme="minorBidi"/>
              <w:spacing w:val="4"/>
              <w:szCs w:val="24"/>
            </w:rPr>
            <w:t>r</w:t>
          </w:r>
          <w:r w:rsidRPr="00260B24">
            <w:rPr>
              <w:rFonts w:asciiTheme="minorBidi" w:hAnsiTheme="minorBidi"/>
              <w:spacing w:val="4"/>
              <w:szCs w:val="24"/>
            </w:rPr>
            <w:t>adiocommunication</w:t>
          </w:r>
          <w:r>
            <w:rPr>
              <w:rFonts w:asciiTheme="minorBidi" w:hAnsiTheme="minorBidi"/>
              <w:spacing w:val="4"/>
              <w:szCs w:val="24"/>
            </w:rPr>
            <w:t>s</w:t>
          </w:r>
        </w:p>
      </w:tc>
    </w:tr>
  </w:tbl>
  <w:p w14:paraId="1097A5B2" w14:textId="77777777" w:rsidR="00FD396C" w:rsidRDefault="00FD396C" w:rsidP="004A6FEB">
    <w:pPr>
      <w:pStyle w:val="Header"/>
    </w:pPr>
    <w:r>
      <w:rPr>
        <w:rFonts w:ascii="Arial Black" w:hAnsi="Arial Black" w:cs="Arial"/>
        <w:noProof/>
        <w:sz w:val="32"/>
        <w:szCs w:val="32"/>
      </w:rPr>
      <w:drawing>
        <wp:anchor distT="0" distB="0" distL="114300" distR="114300" simplePos="0" relativeHeight="251660288" behindDoc="0" locked="0" layoutInCell="1" allowOverlap="1" wp14:anchorId="5C40E1BE" wp14:editId="40212E49">
          <wp:simplePos x="0" y="0"/>
          <wp:positionH relativeFrom="column">
            <wp:posOffset>-358302</wp:posOffset>
          </wp:positionH>
          <wp:positionV relativeFrom="paragraph">
            <wp:posOffset>-534670</wp:posOffset>
          </wp:positionV>
          <wp:extent cx="1945758" cy="414616"/>
          <wp:effectExtent l="0" t="0" r="0" b="0"/>
          <wp:wrapNone/>
          <wp:docPr id="5" name="Picture 5"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Publicati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758" cy="4146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rPr>
      <mc:AlternateContent>
        <mc:Choice Requires="wps">
          <w:drawing>
            <wp:anchor distT="0" distB="0" distL="114300" distR="114300" simplePos="0" relativeHeight="251661312" behindDoc="0" locked="0" layoutInCell="1" allowOverlap="1" wp14:anchorId="53F96E73" wp14:editId="230F1A01">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53F6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24BC6A2C" w14:textId="77777777" w:rsidR="00FD396C" w:rsidRDefault="00FD396C" w:rsidP="004A6FEB">
    <w:pPr>
      <w:pStyle w:val="Header"/>
      <w:ind w:right="360"/>
      <w:jc w:val="both"/>
    </w:pPr>
    <w:r>
      <w:rPr>
        <w:noProof/>
      </w:rPr>
      <mc:AlternateContent>
        <mc:Choice Requires="wpg">
          <w:drawing>
            <wp:anchor distT="0" distB="0" distL="114300" distR="114300" simplePos="0" relativeHeight="251662336" behindDoc="0" locked="0" layoutInCell="1" allowOverlap="1" wp14:anchorId="1565653E" wp14:editId="6DE9BCEF">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AA211F" id="docshapegroup6" o:spid="_x0000_s1026" alt="Header separator line" style="position:absolute;margin-left:0;margin-top:94.2pt;width:595.3pt;height:18.6pt;z-index:251662336;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AF454" w14:textId="1389CF45" w:rsidR="00FD396C" w:rsidRPr="00D72623" w:rsidRDefault="00FD396C"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Pr="004F3F6F">
      <w:rPr>
        <w:rStyle w:val="PageNumber"/>
        <w:b/>
        <w:bCs/>
      </w:rPr>
      <w:t>ii</w:t>
    </w:r>
    <w:r>
      <w:rPr>
        <w:rStyle w:val="PageNumber"/>
        <w:b/>
        <w:bCs/>
      </w:rPr>
      <w:fldChar w:fldCharType="end"/>
    </w:r>
    <w:r>
      <w:rPr>
        <w:lang w:val="en-US"/>
      </w:rPr>
      <w:tab/>
    </w:r>
    <w:r>
      <w:rPr>
        <w:b/>
        <w:bCs/>
        <w:lang w:val="en-US"/>
      </w:rPr>
      <w:fldChar w:fldCharType="begin"/>
    </w:r>
    <w:r>
      <w:rPr>
        <w:b/>
        <w:bCs/>
        <w:lang w:val="en-US"/>
      </w:rPr>
      <w:instrText xml:space="preserve"> DOCPROPERTY "Header" \* MERGEFORMAT </w:instrText>
    </w:r>
    <w:r>
      <w:rPr>
        <w:b/>
        <w:bCs/>
        <w:lang w:val="en-US"/>
      </w:rPr>
      <w:fldChar w:fldCharType="separate"/>
    </w:r>
    <w:r w:rsidR="002066D0">
      <w:rPr>
        <w:b/>
        <w:bCs/>
        <w:lang w:val="en-US"/>
      </w:rPr>
      <w:t xml:space="preserve">Rec. </w:t>
    </w:r>
    <w:r>
      <w:rPr>
        <w:b/>
        <w:bCs/>
        <w:lang w:val="en-US"/>
      </w:rPr>
      <w:fldChar w:fldCharType="end"/>
    </w:r>
    <w:r w:rsidRPr="004F3F6F">
      <w:rPr>
        <w:b/>
        <w:bCs/>
      </w:rPr>
      <w:t xml:space="preserve"> </w:t>
    </w:r>
    <w:r>
      <w:rPr>
        <w:b/>
        <w:bCs/>
      </w:rPr>
      <w:fldChar w:fldCharType="begin"/>
    </w:r>
    <w:r>
      <w:rPr>
        <w:b/>
        <w:bCs/>
        <w:lang w:val="en-US"/>
      </w:rPr>
      <w:instrText>styleref href</w:instrText>
    </w:r>
    <w:r>
      <w:rPr>
        <w:b/>
        <w:bCs/>
      </w:rPr>
      <w:fldChar w:fldCharType="separate"/>
    </w:r>
    <w:r w:rsidR="002066D0">
      <w:rPr>
        <w:b/>
        <w:bCs/>
        <w:noProof/>
        <w:lang w:val="en-US"/>
      </w:rPr>
      <w:t>UIT-R  SM.329-13</w:t>
    </w:r>
    <w:r>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5C509" w14:textId="51D603AD" w:rsidR="00FD396C" w:rsidRDefault="00FD396C">
    <w:pPr>
      <w:pStyle w:val="Header"/>
    </w:pPr>
    <w:r>
      <w:tab/>
    </w:r>
    <w:r>
      <w:rPr>
        <w:b/>
        <w:bCs/>
      </w:rPr>
      <w:fldChar w:fldCharType="begin"/>
    </w:r>
    <w:r>
      <w:rPr>
        <w:b/>
        <w:bCs/>
      </w:rPr>
      <w:instrText xml:space="preserve"> DOCPROPERTY "Header" \* MERGEFORMAT </w:instrText>
    </w:r>
    <w:r>
      <w:rPr>
        <w:b/>
        <w:bCs/>
      </w:rPr>
      <w:fldChar w:fldCharType="separate"/>
    </w:r>
    <w:r w:rsidR="002066D0">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2066D0">
      <w:rPr>
        <w:b/>
        <w:bCs/>
        <w:noProof/>
      </w:rPr>
      <w:t>UIT-R  SM.329-13</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48D52" w14:textId="39C9B9A3" w:rsidR="00607D68" w:rsidRDefault="00607D68">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009E00A8">
      <w:rPr>
        <w:lang w:val="fr-FR"/>
      </w:rPr>
      <w:fldChar w:fldCharType="begin"/>
    </w:r>
    <w:r w:rsidR="009E00A8" w:rsidRPr="009E00A8">
      <w:rPr>
        <w:lang w:val="en-US"/>
      </w:rPr>
      <w:instrText xml:space="preserve"> DOCPROPERTY "Header" \* MERGEFORMAT </w:instrText>
    </w:r>
    <w:r w:rsidR="009E00A8">
      <w:rPr>
        <w:lang w:val="fr-FR"/>
      </w:rPr>
      <w:fldChar w:fldCharType="separate"/>
    </w:r>
    <w:r w:rsidR="002066D0" w:rsidRPr="002066D0">
      <w:rPr>
        <w:b/>
        <w:bCs/>
        <w:lang w:val="en-US"/>
      </w:rPr>
      <w:t xml:space="preserve">Rec. </w:t>
    </w:r>
    <w:r w:rsidR="009E00A8">
      <w:rPr>
        <w:b/>
        <w:bCs/>
        <w:lang w:val="en-US"/>
      </w:rPr>
      <w:fldChar w:fldCharType="end"/>
    </w:r>
    <w:r w:rsidRPr="009E00A8">
      <w:rPr>
        <w:b/>
        <w:bCs/>
        <w:lang w:val="en-US"/>
      </w:rPr>
      <w:t xml:space="preserve"> </w:t>
    </w:r>
    <w:r>
      <w:rPr>
        <w:b/>
        <w:bCs/>
      </w:rPr>
      <w:fldChar w:fldCharType="begin"/>
    </w:r>
    <w:r>
      <w:rPr>
        <w:b/>
        <w:bCs/>
        <w:lang w:val="en-US"/>
      </w:rPr>
      <w:instrText>styleref href</w:instrText>
    </w:r>
    <w:r>
      <w:rPr>
        <w:b/>
        <w:bCs/>
      </w:rPr>
      <w:fldChar w:fldCharType="separate"/>
    </w:r>
    <w:r w:rsidR="002066D0">
      <w:rPr>
        <w:b/>
        <w:bCs/>
        <w:noProof/>
        <w:lang w:val="en-US"/>
      </w:rPr>
      <w:t>UIT-R  SM.329-13</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09C3D" w14:textId="3FC97A87" w:rsidR="00607D68" w:rsidRDefault="00607D68">
    <w:pPr>
      <w:pStyle w:val="Header"/>
    </w:pPr>
    <w:r>
      <w:tab/>
    </w:r>
    <w:fldSimple w:instr=" DOCPROPERTY &quot;Header&quot; \* MERGEFORMAT ">
      <w:r w:rsidR="002066D0" w:rsidRPr="002066D0">
        <w:rPr>
          <w:b/>
          <w:bCs/>
        </w:rPr>
        <w:t xml:space="preserve">Rec. </w:t>
      </w:r>
    </w:fldSimple>
    <w:r>
      <w:rPr>
        <w:b/>
        <w:bCs/>
      </w:rPr>
      <w:t xml:space="preserve"> </w:t>
    </w:r>
    <w:r>
      <w:rPr>
        <w:b/>
        <w:bCs/>
      </w:rPr>
      <w:fldChar w:fldCharType="begin"/>
    </w:r>
    <w:r>
      <w:rPr>
        <w:b/>
        <w:bCs/>
      </w:rPr>
      <w:instrText>styleref href</w:instrText>
    </w:r>
    <w:r>
      <w:rPr>
        <w:b/>
        <w:bCs/>
      </w:rPr>
      <w:fldChar w:fldCharType="separate"/>
    </w:r>
    <w:r w:rsidR="002066D0">
      <w:rPr>
        <w:b/>
        <w:bCs/>
        <w:noProof/>
      </w:rPr>
      <w:t>UIT-R  SM.329-13</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242AEE">
      <w:rPr>
        <w:rStyle w:val="PageNumber"/>
        <w:b/>
        <w:bCs/>
        <w:noProof/>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AEA2E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787B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B236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0466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B871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D6D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3E29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1ACA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066BA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9438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E3A97"/>
    <w:multiLevelType w:val="hybridMultilevel"/>
    <w:tmpl w:val="F59C28AA"/>
    <w:lvl w:ilvl="0" w:tplc="EE9A462A">
      <w:start w:val="1"/>
      <w:numFmt w:val="lowerRoman"/>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7283E1A"/>
    <w:multiLevelType w:val="hybridMultilevel"/>
    <w:tmpl w:val="99421B0E"/>
    <w:lvl w:ilvl="0" w:tplc="FFFFFFFF">
      <w:start w:val="1"/>
      <w:numFmt w:val="lowerLetter"/>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07BA2C2C"/>
    <w:multiLevelType w:val="hybridMultilevel"/>
    <w:tmpl w:val="995855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AEA576F"/>
    <w:multiLevelType w:val="hybridMultilevel"/>
    <w:tmpl w:val="955081F4"/>
    <w:lvl w:ilvl="0" w:tplc="5AC8412E">
      <w:start w:val="8"/>
      <w:numFmt w:val="bullet"/>
      <w:lvlText w:val="-"/>
      <w:lvlJc w:val="left"/>
      <w:pPr>
        <w:ind w:left="720" w:hanging="360"/>
      </w:pPr>
      <w:rPr>
        <w:rFonts w:ascii="Times New Roman" w:eastAsia="Times New Roman" w:hAnsi="Times New Roman" w:cs="Times New Roman" w:hint="default"/>
      </w:rPr>
    </w:lvl>
    <w:lvl w:ilvl="1" w:tplc="E9D2A062" w:tentative="1">
      <w:start w:val="1"/>
      <w:numFmt w:val="bullet"/>
      <w:lvlText w:val="o"/>
      <w:lvlJc w:val="left"/>
      <w:pPr>
        <w:ind w:left="1440" w:hanging="360"/>
      </w:pPr>
      <w:rPr>
        <w:rFonts w:ascii="Courier New" w:hAnsi="Courier New" w:cs="Courier New" w:hint="default"/>
      </w:rPr>
    </w:lvl>
    <w:lvl w:ilvl="2" w:tplc="5EAE901E" w:tentative="1">
      <w:start w:val="1"/>
      <w:numFmt w:val="bullet"/>
      <w:lvlText w:val=""/>
      <w:lvlJc w:val="left"/>
      <w:pPr>
        <w:ind w:left="2160" w:hanging="360"/>
      </w:pPr>
      <w:rPr>
        <w:rFonts w:ascii="Wingdings" w:hAnsi="Wingdings" w:hint="default"/>
      </w:rPr>
    </w:lvl>
    <w:lvl w:ilvl="3" w:tplc="7928836C" w:tentative="1">
      <w:start w:val="1"/>
      <w:numFmt w:val="bullet"/>
      <w:lvlText w:val=""/>
      <w:lvlJc w:val="left"/>
      <w:pPr>
        <w:ind w:left="2880" w:hanging="360"/>
      </w:pPr>
      <w:rPr>
        <w:rFonts w:ascii="Symbol" w:hAnsi="Symbol" w:hint="default"/>
      </w:rPr>
    </w:lvl>
    <w:lvl w:ilvl="4" w:tplc="5BD0BB86" w:tentative="1">
      <w:start w:val="1"/>
      <w:numFmt w:val="bullet"/>
      <w:lvlText w:val="o"/>
      <w:lvlJc w:val="left"/>
      <w:pPr>
        <w:ind w:left="3600" w:hanging="360"/>
      </w:pPr>
      <w:rPr>
        <w:rFonts w:ascii="Courier New" w:hAnsi="Courier New" w:cs="Courier New" w:hint="default"/>
      </w:rPr>
    </w:lvl>
    <w:lvl w:ilvl="5" w:tplc="8990FF1A" w:tentative="1">
      <w:start w:val="1"/>
      <w:numFmt w:val="bullet"/>
      <w:lvlText w:val=""/>
      <w:lvlJc w:val="left"/>
      <w:pPr>
        <w:ind w:left="4320" w:hanging="360"/>
      </w:pPr>
      <w:rPr>
        <w:rFonts w:ascii="Wingdings" w:hAnsi="Wingdings" w:hint="default"/>
      </w:rPr>
    </w:lvl>
    <w:lvl w:ilvl="6" w:tplc="308E41A0" w:tentative="1">
      <w:start w:val="1"/>
      <w:numFmt w:val="bullet"/>
      <w:lvlText w:val=""/>
      <w:lvlJc w:val="left"/>
      <w:pPr>
        <w:ind w:left="5040" w:hanging="360"/>
      </w:pPr>
      <w:rPr>
        <w:rFonts w:ascii="Symbol" w:hAnsi="Symbol" w:hint="default"/>
      </w:rPr>
    </w:lvl>
    <w:lvl w:ilvl="7" w:tplc="E256A9CE" w:tentative="1">
      <w:start w:val="1"/>
      <w:numFmt w:val="bullet"/>
      <w:lvlText w:val="o"/>
      <w:lvlJc w:val="left"/>
      <w:pPr>
        <w:ind w:left="5760" w:hanging="360"/>
      </w:pPr>
      <w:rPr>
        <w:rFonts w:ascii="Courier New" w:hAnsi="Courier New" w:cs="Courier New" w:hint="default"/>
      </w:rPr>
    </w:lvl>
    <w:lvl w:ilvl="8" w:tplc="E7EA8832" w:tentative="1">
      <w:start w:val="1"/>
      <w:numFmt w:val="bullet"/>
      <w:lvlText w:val=""/>
      <w:lvlJc w:val="left"/>
      <w:pPr>
        <w:ind w:left="6480" w:hanging="360"/>
      </w:pPr>
      <w:rPr>
        <w:rFonts w:ascii="Wingdings" w:hAnsi="Wingdings" w:hint="default"/>
      </w:rPr>
    </w:lvl>
  </w:abstractNum>
  <w:abstractNum w:abstractNumId="14" w15:restartNumberingAfterBreak="0">
    <w:nsid w:val="0D495346"/>
    <w:multiLevelType w:val="hybridMultilevel"/>
    <w:tmpl w:val="D918F792"/>
    <w:lvl w:ilvl="0" w:tplc="F3EC4E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1D55A9B"/>
    <w:multiLevelType w:val="hybridMultilevel"/>
    <w:tmpl w:val="FFAC1B8E"/>
    <w:lvl w:ilvl="0" w:tplc="C14AB46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3A3048D"/>
    <w:multiLevelType w:val="multilevel"/>
    <w:tmpl w:val="8DE4CB5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14617F81"/>
    <w:multiLevelType w:val="hybridMultilevel"/>
    <w:tmpl w:val="ECB8E7AA"/>
    <w:lvl w:ilvl="0" w:tplc="6486F86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918590F"/>
    <w:multiLevelType w:val="hybridMultilevel"/>
    <w:tmpl w:val="E1B2FA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D5602D"/>
    <w:multiLevelType w:val="hybridMultilevel"/>
    <w:tmpl w:val="3EDE1774"/>
    <w:lvl w:ilvl="0" w:tplc="2C88BD14">
      <w:start w:val="1"/>
      <w:numFmt w:val="lowerLetter"/>
      <w:lvlText w:val="(%1)"/>
      <w:lvlJc w:val="left"/>
      <w:pPr>
        <w:ind w:left="2940" w:hanging="360"/>
      </w:pPr>
      <w:rPr>
        <w:rFonts w:hint="default"/>
      </w:rPr>
    </w:lvl>
    <w:lvl w:ilvl="1" w:tplc="04090017" w:tentative="1">
      <w:start w:val="1"/>
      <w:numFmt w:val="aiueoFullWidth"/>
      <w:lvlText w:val="(%2)"/>
      <w:lvlJc w:val="left"/>
      <w:pPr>
        <w:ind w:left="3420" w:hanging="420"/>
      </w:pPr>
    </w:lvl>
    <w:lvl w:ilvl="2" w:tplc="04090011" w:tentative="1">
      <w:start w:val="1"/>
      <w:numFmt w:val="decimalEnclosedCircle"/>
      <w:lvlText w:val="%3"/>
      <w:lvlJc w:val="left"/>
      <w:pPr>
        <w:ind w:left="3840" w:hanging="420"/>
      </w:pPr>
    </w:lvl>
    <w:lvl w:ilvl="3" w:tplc="0409000F" w:tentative="1">
      <w:start w:val="1"/>
      <w:numFmt w:val="decimal"/>
      <w:lvlText w:val="%4."/>
      <w:lvlJc w:val="left"/>
      <w:pPr>
        <w:ind w:left="4260" w:hanging="420"/>
      </w:pPr>
    </w:lvl>
    <w:lvl w:ilvl="4" w:tplc="04090017" w:tentative="1">
      <w:start w:val="1"/>
      <w:numFmt w:val="aiueoFullWidth"/>
      <w:lvlText w:val="(%5)"/>
      <w:lvlJc w:val="left"/>
      <w:pPr>
        <w:ind w:left="4680" w:hanging="420"/>
      </w:pPr>
    </w:lvl>
    <w:lvl w:ilvl="5" w:tplc="04090011" w:tentative="1">
      <w:start w:val="1"/>
      <w:numFmt w:val="decimalEnclosedCircle"/>
      <w:lvlText w:val="%6"/>
      <w:lvlJc w:val="left"/>
      <w:pPr>
        <w:ind w:left="5100" w:hanging="420"/>
      </w:pPr>
    </w:lvl>
    <w:lvl w:ilvl="6" w:tplc="0409000F" w:tentative="1">
      <w:start w:val="1"/>
      <w:numFmt w:val="decimal"/>
      <w:lvlText w:val="%7."/>
      <w:lvlJc w:val="left"/>
      <w:pPr>
        <w:ind w:left="5520" w:hanging="420"/>
      </w:pPr>
    </w:lvl>
    <w:lvl w:ilvl="7" w:tplc="04090017" w:tentative="1">
      <w:start w:val="1"/>
      <w:numFmt w:val="aiueoFullWidth"/>
      <w:lvlText w:val="(%8)"/>
      <w:lvlJc w:val="left"/>
      <w:pPr>
        <w:ind w:left="5940" w:hanging="420"/>
      </w:pPr>
    </w:lvl>
    <w:lvl w:ilvl="8" w:tplc="04090011" w:tentative="1">
      <w:start w:val="1"/>
      <w:numFmt w:val="decimalEnclosedCircle"/>
      <w:lvlText w:val="%9"/>
      <w:lvlJc w:val="left"/>
      <w:pPr>
        <w:ind w:left="6360" w:hanging="420"/>
      </w:pPr>
    </w:lvl>
  </w:abstractNum>
  <w:abstractNum w:abstractNumId="21" w15:restartNumberingAfterBreak="0">
    <w:nsid w:val="22EC712A"/>
    <w:multiLevelType w:val="hybridMultilevel"/>
    <w:tmpl w:val="3D7663C2"/>
    <w:lvl w:ilvl="0" w:tplc="60EA4E0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5B71F66"/>
    <w:multiLevelType w:val="hybridMultilevel"/>
    <w:tmpl w:val="12F46ACA"/>
    <w:lvl w:ilvl="0" w:tplc="934EB19A">
      <w:start w:val="1"/>
      <w:numFmt w:val="lowerLetter"/>
      <w:lvlText w:val="(%1)"/>
      <w:lvlJc w:val="left"/>
      <w:pPr>
        <w:ind w:left="3060" w:hanging="360"/>
      </w:pPr>
      <w:rPr>
        <w:rFonts w:hint="default"/>
      </w:rPr>
    </w:lvl>
    <w:lvl w:ilvl="1" w:tplc="04090017" w:tentative="1">
      <w:start w:val="1"/>
      <w:numFmt w:val="aiueoFullWidth"/>
      <w:lvlText w:val="(%2)"/>
      <w:lvlJc w:val="left"/>
      <w:pPr>
        <w:ind w:left="3540" w:hanging="420"/>
      </w:pPr>
    </w:lvl>
    <w:lvl w:ilvl="2" w:tplc="04090011" w:tentative="1">
      <w:start w:val="1"/>
      <w:numFmt w:val="decimalEnclosedCircle"/>
      <w:lvlText w:val="%3"/>
      <w:lvlJc w:val="left"/>
      <w:pPr>
        <w:ind w:left="3960" w:hanging="420"/>
      </w:pPr>
    </w:lvl>
    <w:lvl w:ilvl="3" w:tplc="0409000F" w:tentative="1">
      <w:start w:val="1"/>
      <w:numFmt w:val="decimal"/>
      <w:lvlText w:val="%4."/>
      <w:lvlJc w:val="left"/>
      <w:pPr>
        <w:ind w:left="4380" w:hanging="420"/>
      </w:pPr>
    </w:lvl>
    <w:lvl w:ilvl="4" w:tplc="04090017" w:tentative="1">
      <w:start w:val="1"/>
      <w:numFmt w:val="aiueoFullWidth"/>
      <w:lvlText w:val="(%5)"/>
      <w:lvlJc w:val="left"/>
      <w:pPr>
        <w:ind w:left="4800" w:hanging="420"/>
      </w:pPr>
    </w:lvl>
    <w:lvl w:ilvl="5" w:tplc="04090011" w:tentative="1">
      <w:start w:val="1"/>
      <w:numFmt w:val="decimalEnclosedCircle"/>
      <w:lvlText w:val="%6"/>
      <w:lvlJc w:val="left"/>
      <w:pPr>
        <w:ind w:left="5220" w:hanging="420"/>
      </w:pPr>
    </w:lvl>
    <w:lvl w:ilvl="6" w:tplc="0409000F" w:tentative="1">
      <w:start w:val="1"/>
      <w:numFmt w:val="decimal"/>
      <w:lvlText w:val="%7."/>
      <w:lvlJc w:val="left"/>
      <w:pPr>
        <w:ind w:left="5640" w:hanging="420"/>
      </w:pPr>
    </w:lvl>
    <w:lvl w:ilvl="7" w:tplc="04090017" w:tentative="1">
      <w:start w:val="1"/>
      <w:numFmt w:val="aiueoFullWidth"/>
      <w:lvlText w:val="(%8)"/>
      <w:lvlJc w:val="left"/>
      <w:pPr>
        <w:ind w:left="6060" w:hanging="420"/>
      </w:pPr>
    </w:lvl>
    <w:lvl w:ilvl="8" w:tplc="04090011" w:tentative="1">
      <w:start w:val="1"/>
      <w:numFmt w:val="decimalEnclosedCircle"/>
      <w:lvlText w:val="%9"/>
      <w:lvlJc w:val="left"/>
      <w:pPr>
        <w:ind w:left="6480" w:hanging="420"/>
      </w:pPr>
    </w:lvl>
  </w:abstractNum>
  <w:abstractNum w:abstractNumId="23" w15:restartNumberingAfterBreak="0">
    <w:nsid w:val="25FE3EC3"/>
    <w:multiLevelType w:val="hybridMultilevel"/>
    <w:tmpl w:val="99421B0E"/>
    <w:lvl w:ilvl="0" w:tplc="FFFFFFFF">
      <w:start w:val="1"/>
      <w:numFmt w:val="lowerLetter"/>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4" w15:restartNumberingAfterBreak="0">
    <w:nsid w:val="2A0A7DC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15:restartNumberingAfterBreak="0">
    <w:nsid w:val="2EB059F0"/>
    <w:multiLevelType w:val="hybridMultilevel"/>
    <w:tmpl w:val="99421B0E"/>
    <w:lvl w:ilvl="0" w:tplc="037E4BE8">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2EE95961"/>
    <w:multiLevelType w:val="hybridMultilevel"/>
    <w:tmpl w:val="31561EAA"/>
    <w:lvl w:ilvl="0" w:tplc="A42CCFD2">
      <w:start w:val="1"/>
      <w:numFmt w:val="lowerLetter"/>
      <w:lvlText w:val="(%1)"/>
      <w:lvlJc w:val="left"/>
      <w:pPr>
        <w:ind w:left="3360" w:hanging="360"/>
      </w:pPr>
      <w:rPr>
        <w:rFonts w:hint="default"/>
      </w:rPr>
    </w:lvl>
    <w:lvl w:ilvl="1" w:tplc="04090017" w:tentative="1">
      <w:start w:val="1"/>
      <w:numFmt w:val="aiueoFullWidth"/>
      <w:lvlText w:val="(%2)"/>
      <w:lvlJc w:val="left"/>
      <w:pPr>
        <w:ind w:left="3840" w:hanging="420"/>
      </w:pPr>
    </w:lvl>
    <w:lvl w:ilvl="2" w:tplc="04090011" w:tentative="1">
      <w:start w:val="1"/>
      <w:numFmt w:val="decimalEnclosedCircle"/>
      <w:lvlText w:val="%3"/>
      <w:lvlJc w:val="left"/>
      <w:pPr>
        <w:ind w:left="4260" w:hanging="420"/>
      </w:pPr>
    </w:lvl>
    <w:lvl w:ilvl="3" w:tplc="0409000F" w:tentative="1">
      <w:start w:val="1"/>
      <w:numFmt w:val="decimal"/>
      <w:lvlText w:val="%4."/>
      <w:lvlJc w:val="left"/>
      <w:pPr>
        <w:ind w:left="4680" w:hanging="420"/>
      </w:pPr>
    </w:lvl>
    <w:lvl w:ilvl="4" w:tplc="04090017" w:tentative="1">
      <w:start w:val="1"/>
      <w:numFmt w:val="aiueoFullWidth"/>
      <w:lvlText w:val="(%5)"/>
      <w:lvlJc w:val="left"/>
      <w:pPr>
        <w:ind w:left="5100" w:hanging="420"/>
      </w:pPr>
    </w:lvl>
    <w:lvl w:ilvl="5" w:tplc="04090011" w:tentative="1">
      <w:start w:val="1"/>
      <w:numFmt w:val="decimalEnclosedCircle"/>
      <w:lvlText w:val="%6"/>
      <w:lvlJc w:val="left"/>
      <w:pPr>
        <w:ind w:left="5520" w:hanging="420"/>
      </w:pPr>
    </w:lvl>
    <w:lvl w:ilvl="6" w:tplc="0409000F" w:tentative="1">
      <w:start w:val="1"/>
      <w:numFmt w:val="decimal"/>
      <w:lvlText w:val="%7."/>
      <w:lvlJc w:val="left"/>
      <w:pPr>
        <w:ind w:left="5940" w:hanging="420"/>
      </w:pPr>
    </w:lvl>
    <w:lvl w:ilvl="7" w:tplc="04090017" w:tentative="1">
      <w:start w:val="1"/>
      <w:numFmt w:val="aiueoFullWidth"/>
      <w:lvlText w:val="(%8)"/>
      <w:lvlJc w:val="left"/>
      <w:pPr>
        <w:ind w:left="6360" w:hanging="420"/>
      </w:pPr>
    </w:lvl>
    <w:lvl w:ilvl="8" w:tplc="04090011" w:tentative="1">
      <w:start w:val="1"/>
      <w:numFmt w:val="decimalEnclosedCircle"/>
      <w:lvlText w:val="%9"/>
      <w:lvlJc w:val="left"/>
      <w:pPr>
        <w:ind w:left="6780" w:hanging="420"/>
      </w:pPr>
    </w:lvl>
  </w:abstractNum>
  <w:abstractNum w:abstractNumId="27" w15:restartNumberingAfterBreak="0">
    <w:nsid w:val="37502D8C"/>
    <w:multiLevelType w:val="hybridMultilevel"/>
    <w:tmpl w:val="BCF2150E"/>
    <w:lvl w:ilvl="0" w:tplc="9514C964">
      <w:start w:val="1"/>
      <w:numFmt w:val="lowerLetter"/>
      <w:lvlText w:val="(%1)"/>
      <w:lvlJc w:val="left"/>
      <w:pPr>
        <w:ind w:left="2240" w:hanging="360"/>
      </w:pPr>
      <w:rPr>
        <w:rFonts w:hint="default"/>
      </w:rPr>
    </w:lvl>
    <w:lvl w:ilvl="1" w:tplc="04090017" w:tentative="1">
      <w:start w:val="1"/>
      <w:numFmt w:val="aiueoFullWidth"/>
      <w:lvlText w:val="(%2)"/>
      <w:lvlJc w:val="left"/>
      <w:pPr>
        <w:ind w:left="2720" w:hanging="420"/>
      </w:pPr>
    </w:lvl>
    <w:lvl w:ilvl="2" w:tplc="04090011" w:tentative="1">
      <w:start w:val="1"/>
      <w:numFmt w:val="decimalEnclosedCircle"/>
      <w:lvlText w:val="%3"/>
      <w:lvlJc w:val="left"/>
      <w:pPr>
        <w:ind w:left="3140" w:hanging="420"/>
      </w:pPr>
    </w:lvl>
    <w:lvl w:ilvl="3" w:tplc="0409000F" w:tentative="1">
      <w:start w:val="1"/>
      <w:numFmt w:val="decimal"/>
      <w:lvlText w:val="%4."/>
      <w:lvlJc w:val="left"/>
      <w:pPr>
        <w:ind w:left="3560" w:hanging="420"/>
      </w:pPr>
    </w:lvl>
    <w:lvl w:ilvl="4" w:tplc="04090017" w:tentative="1">
      <w:start w:val="1"/>
      <w:numFmt w:val="aiueoFullWidth"/>
      <w:lvlText w:val="(%5)"/>
      <w:lvlJc w:val="left"/>
      <w:pPr>
        <w:ind w:left="3980" w:hanging="420"/>
      </w:pPr>
    </w:lvl>
    <w:lvl w:ilvl="5" w:tplc="04090011" w:tentative="1">
      <w:start w:val="1"/>
      <w:numFmt w:val="decimalEnclosedCircle"/>
      <w:lvlText w:val="%6"/>
      <w:lvlJc w:val="left"/>
      <w:pPr>
        <w:ind w:left="4400" w:hanging="420"/>
      </w:pPr>
    </w:lvl>
    <w:lvl w:ilvl="6" w:tplc="0409000F" w:tentative="1">
      <w:start w:val="1"/>
      <w:numFmt w:val="decimal"/>
      <w:lvlText w:val="%7."/>
      <w:lvlJc w:val="left"/>
      <w:pPr>
        <w:ind w:left="4820" w:hanging="420"/>
      </w:pPr>
    </w:lvl>
    <w:lvl w:ilvl="7" w:tplc="04090017" w:tentative="1">
      <w:start w:val="1"/>
      <w:numFmt w:val="aiueoFullWidth"/>
      <w:lvlText w:val="(%8)"/>
      <w:lvlJc w:val="left"/>
      <w:pPr>
        <w:ind w:left="5240" w:hanging="420"/>
      </w:pPr>
    </w:lvl>
    <w:lvl w:ilvl="8" w:tplc="04090011" w:tentative="1">
      <w:start w:val="1"/>
      <w:numFmt w:val="decimalEnclosedCircle"/>
      <w:lvlText w:val="%9"/>
      <w:lvlJc w:val="left"/>
      <w:pPr>
        <w:ind w:left="5660" w:hanging="420"/>
      </w:pPr>
    </w:lvl>
  </w:abstractNum>
  <w:abstractNum w:abstractNumId="28" w15:restartNumberingAfterBreak="0">
    <w:nsid w:val="39DF4FB9"/>
    <w:multiLevelType w:val="hybridMultilevel"/>
    <w:tmpl w:val="09B26DD0"/>
    <w:lvl w:ilvl="0" w:tplc="59B60D1A">
      <w:start w:val="1"/>
      <w:numFmt w:val="lowerLetter"/>
      <w:lvlText w:val="(%1)"/>
      <w:lvlJc w:val="left"/>
      <w:pPr>
        <w:ind w:left="3360" w:hanging="360"/>
      </w:pPr>
      <w:rPr>
        <w:rFonts w:hint="default"/>
      </w:rPr>
    </w:lvl>
    <w:lvl w:ilvl="1" w:tplc="04090017" w:tentative="1">
      <w:start w:val="1"/>
      <w:numFmt w:val="aiueoFullWidth"/>
      <w:lvlText w:val="(%2)"/>
      <w:lvlJc w:val="left"/>
      <w:pPr>
        <w:ind w:left="3840" w:hanging="420"/>
      </w:pPr>
    </w:lvl>
    <w:lvl w:ilvl="2" w:tplc="04090011" w:tentative="1">
      <w:start w:val="1"/>
      <w:numFmt w:val="decimalEnclosedCircle"/>
      <w:lvlText w:val="%3"/>
      <w:lvlJc w:val="left"/>
      <w:pPr>
        <w:ind w:left="4260" w:hanging="420"/>
      </w:pPr>
    </w:lvl>
    <w:lvl w:ilvl="3" w:tplc="0409000F" w:tentative="1">
      <w:start w:val="1"/>
      <w:numFmt w:val="decimal"/>
      <w:lvlText w:val="%4."/>
      <w:lvlJc w:val="left"/>
      <w:pPr>
        <w:ind w:left="4680" w:hanging="420"/>
      </w:pPr>
    </w:lvl>
    <w:lvl w:ilvl="4" w:tplc="04090017" w:tentative="1">
      <w:start w:val="1"/>
      <w:numFmt w:val="aiueoFullWidth"/>
      <w:lvlText w:val="(%5)"/>
      <w:lvlJc w:val="left"/>
      <w:pPr>
        <w:ind w:left="5100" w:hanging="420"/>
      </w:pPr>
    </w:lvl>
    <w:lvl w:ilvl="5" w:tplc="04090011" w:tentative="1">
      <w:start w:val="1"/>
      <w:numFmt w:val="decimalEnclosedCircle"/>
      <w:lvlText w:val="%6"/>
      <w:lvlJc w:val="left"/>
      <w:pPr>
        <w:ind w:left="5520" w:hanging="420"/>
      </w:pPr>
    </w:lvl>
    <w:lvl w:ilvl="6" w:tplc="0409000F" w:tentative="1">
      <w:start w:val="1"/>
      <w:numFmt w:val="decimal"/>
      <w:lvlText w:val="%7."/>
      <w:lvlJc w:val="left"/>
      <w:pPr>
        <w:ind w:left="5940" w:hanging="420"/>
      </w:pPr>
    </w:lvl>
    <w:lvl w:ilvl="7" w:tplc="04090017" w:tentative="1">
      <w:start w:val="1"/>
      <w:numFmt w:val="aiueoFullWidth"/>
      <w:lvlText w:val="(%8)"/>
      <w:lvlJc w:val="left"/>
      <w:pPr>
        <w:ind w:left="6360" w:hanging="420"/>
      </w:pPr>
    </w:lvl>
    <w:lvl w:ilvl="8" w:tplc="04090011" w:tentative="1">
      <w:start w:val="1"/>
      <w:numFmt w:val="decimalEnclosedCircle"/>
      <w:lvlText w:val="%9"/>
      <w:lvlJc w:val="left"/>
      <w:pPr>
        <w:ind w:left="6780" w:hanging="420"/>
      </w:pPr>
    </w:lvl>
  </w:abstractNum>
  <w:abstractNum w:abstractNumId="2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0" w15:restartNumberingAfterBreak="0">
    <w:nsid w:val="3F9621DE"/>
    <w:multiLevelType w:val="hybridMultilevel"/>
    <w:tmpl w:val="3E6E940A"/>
    <w:lvl w:ilvl="0" w:tplc="A23C84F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045463E"/>
    <w:multiLevelType w:val="hybridMultilevel"/>
    <w:tmpl w:val="1AE294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96F7896"/>
    <w:multiLevelType w:val="multilevel"/>
    <w:tmpl w:val="0409001D"/>
    <w:styleLink w:val="Style1"/>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540B6B6E"/>
    <w:multiLevelType w:val="hybridMultilevel"/>
    <w:tmpl w:val="99421B0E"/>
    <w:lvl w:ilvl="0" w:tplc="FFFFFFFF">
      <w:start w:val="1"/>
      <w:numFmt w:val="lowerLetter"/>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59AB30FA"/>
    <w:multiLevelType w:val="hybridMultilevel"/>
    <w:tmpl w:val="7376E5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DA75A9"/>
    <w:multiLevelType w:val="hybridMultilevel"/>
    <w:tmpl w:val="8166A322"/>
    <w:lvl w:ilvl="0" w:tplc="162285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96D47AC"/>
    <w:multiLevelType w:val="hybridMultilevel"/>
    <w:tmpl w:val="85C2F4B2"/>
    <w:lvl w:ilvl="0" w:tplc="C70000D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411EB1"/>
    <w:multiLevelType w:val="hybridMultilevel"/>
    <w:tmpl w:val="488816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1441DDF"/>
    <w:multiLevelType w:val="hybridMultilevel"/>
    <w:tmpl w:val="6FA44C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2AA39B7"/>
    <w:multiLevelType w:val="hybridMultilevel"/>
    <w:tmpl w:val="B792CE2C"/>
    <w:lvl w:ilvl="0" w:tplc="5FDAAF62">
      <w:start w:val="1"/>
      <w:numFmt w:val="lowerLetter"/>
      <w:lvlText w:val="(%1)"/>
      <w:lvlJc w:val="left"/>
      <w:pPr>
        <w:ind w:left="360" w:hanging="360"/>
      </w:pPr>
      <w:rPr>
        <w:rFonts w:ascii="Times New Roman Bold" w:hAnsi="Times New Roman Bold" w:hint="default"/>
        <w:b/>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DE92A45"/>
    <w:multiLevelType w:val="hybridMultilevel"/>
    <w:tmpl w:val="00EA8EE2"/>
    <w:lvl w:ilvl="0" w:tplc="B18A674A">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FF35097"/>
    <w:multiLevelType w:val="hybridMultilevel"/>
    <w:tmpl w:val="8CB46BA4"/>
    <w:lvl w:ilvl="0" w:tplc="4CA4C05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6993419">
    <w:abstractNumId w:val="9"/>
  </w:num>
  <w:num w:numId="2" w16cid:durableId="1833446731">
    <w:abstractNumId w:val="7"/>
  </w:num>
  <w:num w:numId="3" w16cid:durableId="1060136255">
    <w:abstractNumId w:val="6"/>
  </w:num>
  <w:num w:numId="4" w16cid:durableId="1604993772">
    <w:abstractNumId w:val="5"/>
  </w:num>
  <w:num w:numId="5" w16cid:durableId="1201943188">
    <w:abstractNumId w:val="4"/>
  </w:num>
  <w:num w:numId="6" w16cid:durableId="1866481429">
    <w:abstractNumId w:val="8"/>
  </w:num>
  <w:num w:numId="7" w16cid:durableId="1375420599">
    <w:abstractNumId w:val="3"/>
  </w:num>
  <w:num w:numId="8" w16cid:durableId="171263312">
    <w:abstractNumId w:val="2"/>
  </w:num>
  <w:num w:numId="9" w16cid:durableId="1557429515">
    <w:abstractNumId w:val="1"/>
  </w:num>
  <w:num w:numId="10" w16cid:durableId="1566597930">
    <w:abstractNumId w:val="0"/>
  </w:num>
  <w:num w:numId="11" w16cid:durableId="1549342545">
    <w:abstractNumId w:val="13"/>
  </w:num>
  <w:num w:numId="12" w16cid:durableId="1449083564">
    <w:abstractNumId w:val="24"/>
  </w:num>
  <w:num w:numId="13" w16cid:durableId="622493095">
    <w:abstractNumId w:val="38"/>
  </w:num>
  <w:num w:numId="14" w16cid:durableId="1145507503">
    <w:abstractNumId w:val="31"/>
  </w:num>
  <w:num w:numId="15" w16cid:durableId="2075154205">
    <w:abstractNumId w:val="12"/>
  </w:num>
  <w:num w:numId="16" w16cid:durableId="1248617674">
    <w:abstractNumId w:val="10"/>
  </w:num>
  <w:num w:numId="17" w16cid:durableId="1538860130">
    <w:abstractNumId w:val="39"/>
  </w:num>
  <w:num w:numId="18" w16cid:durableId="162480201">
    <w:abstractNumId w:val="32"/>
  </w:num>
  <w:num w:numId="19" w16cid:durableId="1627619027">
    <w:abstractNumId w:val="41"/>
  </w:num>
  <w:num w:numId="20" w16cid:durableId="831071148">
    <w:abstractNumId w:val="37"/>
  </w:num>
  <w:num w:numId="21" w16cid:durableId="738525695">
    <w:abstractNumId w:val="14"/>
  </w:num>
  <w:num w:numId="22" w16cid:durableId="965240720">
    <w:abstractNumId w:val="21"/>
  </w:num>
  <w:num w:numId="23" w16cid:durableId="1369334705">
    <w:abstractNumId w:val="30"/>
  </w:num>
  <w:num w:numId="24" w16cid:durableId="1263562395">
    <w:abstractNumId w:val="27"/>
  </w:num>
  <w:num w:numId="25" w16cid:durableId="1889143839">
    <w:abstractNumId w:val="36"/>
  </w:num>
  <w:num w:numId="26" w16cid:durableId="760418383">
    <w:abstractNumId w:val="40"/>
  </w:num>
  <w:num w:numId="27" w16cid:durableId="1372682427">
    <w:abstractNumId w:val="26"/>
  </w:num>
  <w:num w:numId="28" w16cid:durableId="1895847508">
    <w:abstractNumId w:val="17"/>
  </w:num>
  <w:num w:numId="29" w16cid:durableId="212237142">
    <w:abstractNumId w:val="28"/>
  </w:num>
  <w:num w:numId="30" w16cid:durableId="2020428395">
    <w:abstractNumId w:val="15"/>
  </w:num>
  <w:num w:numId="31" w16cid:durableId="491995973">
    <w:abstractNumId w:val="20"/>
  </w:num>
  <w:num w:numId="32" w16cid:durableId="1746219518">
    <w:abstractNumId w:val="22"/>
  </w:num>
  <w:num w:numId="33" w16cid:durableId="700932394">
    <w:abstractNumId w:val="35"/>
  </w:num>
  <w:num w:numId="34" w16cid:durableId="1297222342">
    <w:abstractNumId w:val="29"/>
  </w:num>
  <w:num w:numId="35" w16cid:durableId="2090494517">
    <w:abstractNumId w:val="16"/>
  </w:num>
  <w:num w:numId="36" w16cid:durableId="1246646336">
    <w:abstractNumId w:val="25"/>
  </w:num>
  <w:num w:numId="37" w16cid:durableId="1920746195">
    <w:abstractNumId w:val="33"/>
  </w:num>
  <w:num w:numId="38" w16cid:durableId="1432622325">
    <w:abstractNumId w:val="11"/>
  </w:num>
  <w:num w:numId="39" w16cid:durableId="591016853">
    <w:abstractNumId w:val="23"/>
  </w:num>
  <w:num w:numId="40" w16cid:durableId="1367026353">
    <w:abstractNumId w:val="34"/>
  </w:num>
  <w:num w:numId="41" w16cid:durableId="94911475">
    <w:abstractNumId w:val="19"/>
  </w:num>
  <w:num w:numId="42" w16cid:durableId="5241717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embedSystemFonts/>
  <w:mirrorMargins/>
  <w:activeWritingStyle w:appName="MSWord" w:lang="en-US" w:vendorID="64" w:dllVersion="5" w:nlCheck="1" w:checkStyle="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96C"/>
    <w:rsid w:val="000C4A7D"/>
    <w:rsid w:val="000D6B0F"/>
    <w:rsid w:val="001112DF"/>
    <w:rsid w:val="00197BDC"/>
    <w:rsid w:val="001E6B88"/>
    <w:rsid w:val="002066D0"/>
    <w:rsid w:val="00217EBF"/>
    <w:rsid w:val="00242AEE"/>
    <w:rsid w:val="002B5CCE"/>
    <w:rsid w:val="002D76C4"/>
    <w:rsid w:val="00324C7C"/>
    <w:rsid w:val="003957B8"/>
    <w:rsid w:val="003D38DD"/>
    <w:rsid w:val="004E79C2"/>
    <w:rsid w:val="0052529D"/>
    <w:rsid w:val="00532249"/>
    <w:rsid w:val="005F5377"/>
    <w:rsid w:val="00602772"/>
    <w:rsid w:val="00607D68"/>
    <w:rsid w:val="006370C3"/>
    <w:rsid w:val="00664C04"/>
    <w:rsid w:val="00693972"/>
    <w:rsid w:val="006D3E70"/>
    <w:rsid w:val="007010FC"/>
    <w:rsid w:val="00714EB9"/>
    <w:rsid w:val="007468DA"/>
    <w:rsid w:val="007645A5"/>
    <w:rsid w:val="007B234F"/>
    <w:rsid w:val="007F1088"/>
    <w:rsid w:val="00834B0C"/>
    <w:rsid w:val="00870DBD"/>
    <w:rsid w:val="00874853"/>
    <w:rsid w:val="00934940"/>
    <w:rsid w:val="009522C2"/>
    <w:rsid w:val="0097214F"/>
    <w:rsid w:val="00977AEC"/>
    <w:rsid w:val="009D745B"/>
    <w:rsid w:val="009E00A8"/>
    <w:rsid w:val="00A41790"/>
    <w:rsid w:val="00A430F2"/>
    <w:rsid w:val="00A6617B"/>
    <w:rsid w:val="00A710C4"/>
    <w:rsid w:val="00AB0DC8"/>
    <w:rsid w:val="00B12327"/>
    <w:rsid w:val="00B44E24"/>
    <w:rsid w:val="00BD2C55"/>
    <w:rsid w:val="00C37E1E"/>
    <w:rsid w:val="00CD0816"/>
    <w:rsid w:val="00D00A57"/>
    <w:rsid w:val="00D0260C"/>
    <w:rsid w:val="00DC2B47"/>
    <w:rsid w:val="00DF4176"/>
    <w:rsid w:val="00E504AE"/>
    <w:rsid w:val="00F04DF2"/>
    <w:rsid w:val="00F11E11"/>
    <w:rsid w:val="00F42717"/>
    <w:rsid w:val="00F44007"/>
    <w:rsid w:val="00F47B55"/>
    <w:rsid w:val="00FD396C"/>
    <w:rsid w:val="00FE56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3E7EF7"/>
  <w15:docId w15:val="{C7F5581C-FEDC-45AF-995A-33244548A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9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2249"/>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en-GB" w:eastAsia="en-US"/>
    </w:rPr>
  </w:style>
  <w:style w:type="paragraph" w:styleId="Heading1">
    <w:name w:val="heading 1"/>
    <w:basedOn w:val="Normal"/>
    <w:next w:val="Normal"/>
    <w:link w:val="Heading1Char"/>
    <w:qFormat/>
    <w:rsid w:val="00532249"/>
    <w:pPr>
      <w:keepNext/>
      <w:keepLines/>
      <w:spacing w:before="480"/>
      <w:ind w:left="794" w:hanging="794"/>
      <w:outlineLvl w:val="0"/>
    </w:pPr>
    <w:rPr>
      <w:b/>
    </w:rPr>
  </w:style>
  <w:style w:type="paragraph" w:styleId="Heading2">
    <w:name w:val="heading 2"/>
    <w:basedOn w:val="Heading1"/>
    <w:next w:val="Normal"/>
    <w:link w:val="Heading2Char"/>
    <w:qFormat/>
    <w:rsid w:val="00532249"/>
    <w:pPr>
      <w:spacing w:before="320"/>
      <w:outlineLvl w:val="1"/>
    </w:pPr>
  </w:style>
  <w:style w:type="paragraph" w:styleId="Heading3">
    <w:name w:val="heading 3"/>
    <w:basedOn w:val="Heading1"/>
    <w:next w:val="Normal"/>
    <w:link w:val="Heading3Char"/>
    <w:qFormat/>
    <w:rsid w:val="00532249"/>
    <w:pPr>
      <w:spacing w:before="200"/>
      <w:outlineLvl w:val="2"/>
    </w:pPr>
  </w:style>
  <w:style w:type="paragraph" w:styleId="Heading4">
    <w:name w:val="heading 4"/>
    <w:basedOn w:val="Heading3"/>
    <w:next w:val="Normal"/>
    <w:link w:val="Heading4Char"/>
    <w:qFormat/>
    <w:rsid w:val="00532249"/>
    <w:pPr>
      <w:tabs>
        <w:tab w:val="clear" w:pos="794"/>
        <w:tab w:val="left" w:pos="992"/>
      </w:tabs>
      <w:ind w:left="992" w:hanging="992"/>
      <w:outlineLvl w:val="3"/>
    </w:pPr>
  </w:style>
  <w:style w:type="paragraph" w:styleId="Heading5">
    <w:name w:val="heading 5"/>
    <w:basedOn w:val="Heading4"/>
    <w:next w:val="Normal"/>
    <w:link w:val="Heading5Char"/>
    <w:qFormat/>
    <w:rsid w:val="00532249"/>
    <w:pPr>
      <w:outlineLvl w:val="4"/>
    </w:pPr>
  </w:style>
  <w:style w:type="paragraph" w:styleId="Heading6">
    <w:name w:val="heading 6"/>
    <w:basedOn w:val="Heading4"/>
    <w:next w:val="Normal"/>
    <w:link w:val="Heading6Char"/>
    <w:qFormat/>
    <w:rsid w:val="00532249"/>
    <w:pPr>
      <w:tabs>
        <w:tab w:val="clear" w:pos="992"/>
        <w:tab w:val="clear" w:pos="1191"/>
      </w:tabs>
      <w:ind w:left="1588" w:hanging="1588"/>
      <w:outlineLvl w:val="5"/>
    </w:pPr>
  </w:style>
  <w:style w:type="paragraph" w:styleId="Heading7">
    <w:name w:val="heading 7"/>
    <w:basedOn w:val="Heading6"/>
    <w:next w:val="Normal"/>
    <w:link w:val="Heading7Char"/>
    <w:qFormat/>
    <w:rsid w:val="00532249"/>
    <w:pPr>
      <w:outlineLvl w:val="6"/>
    </w:pPr>
  </w:style>
  <w:style w:type="paragraph" w:styleId="Heading8">
    <w:name w:val="heading 8"/>
    <w:basedOn w:val="Heading6"/>
    <w:next w:val="Normal"/>
    <w:link w:val="Heading8Char"/>
    <w:qFormat/>
    <w:rsid w:val="00532249"/>
    <w:pPr>
      <w:outlineLvl w:val="7"/>
    </w:pPr>
  </w:style>
  <w:style w:type="paragraph" w:styleId="Heading9">
    <w:name w:val="heading 9"/>
    <w:basedOn w:val="Heading6"/>
    <w:next w:val="Normal"/>
    <w:link w:val="Heading9Char"/>
    <w:qFormat/>
    <w:rsid w:val="00532249"/>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rsid w:val="00532249"/>
    <w:pPr>
      <w:tabs>
        <w:tab w:val="clear" w:pos="794"/>
        <w:tab w:val="clear" w:pos="1191"/>
        <w:tab w:val="clear" w:pos="1588"/>
        <w:tab w:val="clear" w:pos="1985"/>
        <w:tab w:val="center" w:pos="4848"/>
        <w:tab w:val="right" w:pos="9696"/>
      </w:tabs>
      <w:spacing w:before="0"/>
      <w:jc w:val="center"/>
    </w:pPr>
  </w:style>
  <w:style w:type="paragraph" w:styleId="Footer">
    <w:name w:val="footer"/>
    <w:aliases w:val="footer odd,pie de página,footer1,footer odd1,footer5,footer odd4,footer odd2,footer2,footer odd3,footer11,footer odd11,footer51,footer odd41,footer odd21,footer21,footer12,footer odd12,footer52,footer odd42,footer odd22,footer22,footer4,fo"/>
    <w:basedOn w:val="Normal"/>
    <w:link w:val="FooterChar"/>
    <w:uiPriority w:val="99"/>
    <w:qFormat/>
    <w:rsid w:val="00532249"/>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532249"/>
  </w:style>
  <w:style w:type="paragraph" w:customStyle="1" w:styleId="Headingb">
    <w:name w:val="Heading_b"/>
    <w:basedOn w:val="Heading3"/>
    <w:next w:val="Normal"/>
    <w:link w:val="HeadingbChar"/>
    <w:qFormat/>
    <w:rsid w:val="00532249"/>
    <w:pPr>
      <w:spacing w:before="160"/>
      <w:ind w:left="0" w:firstLine="0"/>
      <w:outlineLvl w:val="9"/>
    </w:pPr>
  </w:style>
  <w:style w:type="paragraph" w:customStyle="1" w:styleId="Headingi">
    <w:name w:val="Heading_i"/>
    <w:basedOn w:val="Heading3"/>
    <w:next w:val="Normal"/>
    <w:link w:val="HeadingiChar"/>
    <w:qFormat/>
    <w:rsid w:val="00532249"/>
    <w:pPr>
      <w:spacing w:before="160"/>
      <w:ind w:left="0" w:firstLine="0"/>
    </w:pPr>
    <w:rPr>
      <w:b w:val="0"/>
      <w:i/>
    </w:rPr>
  </w:style>
  <w:style w:type="character" w:customStyle="1" w:styleId="href">
    <w:name w:val="href"/>
    <w:basedOn w:val="DefaultParagraphFont"/>
    <w:rsid w:val="00532249"/>
  </w:style>
  <w:style w:type="paragraph" w:customStyle="1" w:styleId="enumlev1">
    <w:name w:val="enumlev1"/>
    <w:basedOn w:val="Normal"/>
    <w:link w:val="enumlev1Char"/>
    <w:rsid w:val="00532249"/>
    <w:pPr>
      <w:spacing w:before="80"/>
      <w:ind w:left="794" w:hanging="794"/>
    </w:pPr>
  </w:style>
  <w:style w:type="paragraph" w:customStyle="1" w:styleId="enumlev2">
    <w:name w:val="enumlev2"/>
    <w:basedOn w:val="enumlev1"/>
    <w:link w:val="enumlev2Char"/>
    <w:rsid w:val="00532249"/>
    <w:pPr>
      <w:ind w:left="1191" w:hanging="397"/>
    </w:pPr>
  </w:style>
  <w:style w:type="paragraph" w:customStyle="1" w:styleId="enumlev3">
    <w:name w:val="enumlev3"/>
    <w:basedOn w:val="enumlev2"/>
    <w:rsid w:val="00532249"/>
    <w:pPr>
      <w:ind w:left="1588"/>
    </w:pPr>
  </w:style>
  <w:style w:type="paragraph" w:customStyle="1" w:styleId="Normalaftertitle">
    <w:name w:val="Normal_after_title"/>
    <w:basedOn w:val="Normal"/>
    <w:next w:val="Normal"/>
    <w:link w:val="NormalaftertitleChar"/>
    <w:rsid w:val="00532249"/>
    <w:pPr>
      <w:spacing w:before="320"/>
    </w:pPr>
  </w:style>
  <w:style w:type="paragraph" w:customStyle="1" w:styleId="Note">
    <w:name w:val="Note"/>
    <w:basedOn w:val="Normal"/>
    <w:link w:val="NoteChar"/>
    <w:rsid w:val="00532249"/>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rsid w:val="00532249"/>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532249"/>
    <w:pPr>
      <w:spacing w:before="240"/>
    </w:pPr>
    <w:rPr>
      <w:sz w:val="22"/>
      <w:lang w:val="es-ES_tradnl"/>
    </w:rPr>
  </w:style>
  <w:style w:type="paragraph" w:customStyle="1" w:styleId="Recref">
    <w:name w:val="Rec_ref"/>
    <w:basedOn w:val="Normal"/>
    <w:next w:val="Recdate"/>
    <w:rsid w:val="00532249"/>
    <w:pPr>
      <w:jc w:val="center"/>
    </w:pPr>
  </w:style>
  <w:style w:type="paragraph" w:customStyle="1" w:styleId="Recdate">
    <w:name w:val="Rec_date"/>
    <w:basedOn w:val="Recref"/>
    <w:next w:val="Normalaftertitle"/>
    <w:rsid w:val="00532249"/>
    <w:pPr>
      <w:jc w:val="right"/>
    </w:pPr>
  </w:style>
  <w:style w:type="paragraph" w:customStyle="1" w:styleId="AnnexNoTitle">
    <w:name w:val="Annex_NoTitle"/>
    <w:basedOn w:val="Normal"/>
    <w:next w:val="Normalaftertitle"/>
    <w:link w:val="AnnexNoTitleChar"/>
    <w:rsid w:val="00532249"/>
    <w:pPr>
      <w:keepNext/>
      <w:keepLines/>
      <w:spacing w:before="480" w:after="80"/>
      <w:jc w:val="center"/>
    </w:pPr>
    <w:rPr>
      <w:b/>
      <w:sz w:val="28"/>
    </w:rPr>
  </w:style>
  <w:style w:type="paragraph" w:customStyle="1" w:styleId="AppendixNoTitle">
    <w:name w:val="Appendix_NoTitle"/>
    <w:basedOn w:val="AnnexNoTitle"/>
    <w:next w:val="Normal"/>
    <w:rsid w:val="00532249"/>
  </w:style>
  <w:style w:type="paragraph" w:customStyle="1" w:styleId="Tablefin">
    <w:name w:val="Table_fin"/>
    <w:basedOn w:val="Normal"/>
    <w:next w:val="Normal"/>
    <w:rsid w:val="00532249"/>
    <w:pPr>
      <w:spacing w:before="0"/>
    </w:pPr>
    <w:rPr>
      <w:sz w:val="20"/>
    </w:rPr>
  </w:style>
  <w:style w:type="paragraph" w:customStyle="1" w:styleId="Tablehead">
    <w:name w:val="Table_head"/>
    <w:basedOn w:val="Normal"/>
    <w:next w:val="Normal"/>
    <w:link w:val="TableheadChar"/>
    <w:rsid w:val="0053224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53224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532249"/>
    <w:pPr>
      <w:keepNext/>
      <w:spacing w:before="360" w:after="120"/>
      <w:jc w:val="center"/>
    </w:pPr>
  </w:style>
  <w:style w:type="paragraph" w:customStyle="1" w:styleId="Tabletext">
    <w:name w:val="Table_text"/>
    <w:basedOn w:val="Normal"/>
    <w:link w:val="TabletextChar"/>
    <w:rsid w:val="0053224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aliases w:val="eq"/>
    <w:basedOn w:val="Normal"/>
    <w:link w:val="EquationChar"/>
    <w:rsid w:val="00532249"/>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532249"/>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link w:val="NormalIndentChar"/>
    <w:rsid w:val="00532249"/>
    <w:pPr>
      <w:ind w:left="794"/>
    </w:pPr>
  </w:style>
  <w:style w:type="paragraph" w:customStyle="1" w:styleId="Figurelegend">
    <w:name w:val="Figure_legend"/>
    <w:basedOn w:val="Normal"/>
    <w:rsid w:val="00532249"/>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532249"/>
    <w:pPr>
      <w:keepNext/>
      <w:keepLines/>
      <w:spacing w:before="480" w:after="80"/>
      <w:jc w:val="center"/>
    </w:pPr>
    <w:rPr>
      <w:caps/>
      <w:sz w:val="18"/>
    </w:rPr>
  </w:style>
  <w:style w:type="paragraph" w:customStyle="1" w:styleId="tocpart">
    <w:name w:val="tocpart"/>
    <w:basedOn w:val="Normal"/>
    <w:rsid w:val="00532249"/>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532249"/>
    <w:pPr>
      <w:keepNext/>
      <w:keepLines/>
      <w:spacing w:before="480"/>
      <w:jc w:val="center"/>
    </w:pPr>
    <w:rPr>
      <w:sz w:val="28"/>
    </w:rPr>
  </w:style>
  <w:style w:type="paragraph" w:customStyle="1" w:styleId="Arttitle">
    <w:name w:val="Art_title"/>
    <w:basedOn w:val="Normal"/>
    <w:next w:val="Normalaftertitle"/>
    <w:link w:val="ArttitleChar"/>
    <w:rsid w:val="00532249"/>
    <w:pPr>
      <w:keepNext/>
      <w:keepLines/>
      <w:spacing w:before="240"/>
      <w:jc w:val="center"/>
    </w:pPr>
    <w:rPr>
      <w:b/>
      <w:sz w:val="28"/>
    </w:rPr>
  </w:style>
  <w:style w:type="paragraph" w:customStyle="1" w:styleId="Blanc">
    <w:name w:val="Blanc"/>
    <w:basedOn w:val="Normal"/>
    <w:next w:val="Tabletext"/>
    <w:link w:val="BlancChar"/>
    <w:rsid w:val="00532249"/>
    <w:pPr>
      <w:keepNext/>
      <w:keepLines/>
      <w:tabs>
        <w:tab w:val="clear" w:pos="794"/>
        <w:tab w:val="clear" w:pos="1191"/>
        <w:tab w:val="clear" w:pos="1588"/>
        <w:tab w:val="clear" w:pos="1985"/>
      </w:tabs>
      <w:spacing w:before="0"/>
    </w:pPr>
    <w:rPr>
      <w:sz w:val="16"/>
    </w:rPr>
  </w:style>
  <w:style w:type="paragraph" w:customStyle="1" w:styleId="ASN1">
    <w:name w:val="ASN.1"/>
    <w:basedOn w:val="Normal"/>
    <w:next w:val="Normal"/>
    <w:rsid w:val="0053224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532249"/>
    <w:pPr>
      <w:keepNext/>
      <w:keepLines/>
      <w:spacing w:before="160"/>
      <w:ind w:left="794"/>
    </w:pPr>
    <w:rPr>
      <w:i/>
    </w:rPr>
  </w:style>
  <w:style w:type="paragraph" w:customStyle="1" w:styleId="ChapNo">
    <w:name w:val="Chap_No"/>
    <w:basedOn w:val="ArtNo"/>
    <w:next w:val="Chaptitle"/>
    <w:rsid w:val="00532249"/>
    <w:rPr>
      <w:b/>
    </w:rPr>
  </w:style>
  <w:style w:type="paragraph" w:customStyle="1" w:styleId="Chaptitle">
    <w:name w:val="Chap_title"/>
    <w:basedOn w:val="Arttitle"/>
    <w:next w:val="Normalaftertitle"/>
    <w:rsid w:val="00532249"/>
  </w:style>
  <w:style w:type="character" w:styleId="FootnoteReference">
    <w:name w:val="footnote reference"/>
    <w:aliases w:val="Footnote Reference/,Appel note de bas de p,Style 12,(NECG) Footnote Reference,Style 124"/>
    <w:basedOn w:val="DefaultParagraphFont"/>
    <w:qFormat/>
    <w:rsid w:val="00532249"/>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
    <w:basedOn w:val="Normal"/>
    <w:link w:val="FootnoteTextChar"/>
    <w:qFormat/>
    <w:rsid w:val="00532249"/>
    <w:pPr>
      <w:keepLines/>
      <w:tabs>
        <w:tab w:val="left" w:pos="255"/>
      </w:tabs>
      <w:ind w:left="255" w:hanging="255"/>
    </w:pPr>
    <w:rPr>
      <w:sz w:val="22"/>
    </w:rPr>
  </w:style>
  <w:style w:type="paragraph" w:styleId="Index1">
    <w:name w:val="index 1"/>
    <w:basedOn w:val="Normal"/>
    <w:next w:val="Normal"/>
    <w:rsid w:val="00532249"/>
  </w:style>
  <w:style w:type="paragraph" w:styleId="Index2">
    <w:name w:val="index 2"/>
    <w:basedOn w:val="Normal"/>
    <w:next w:val="Normal"/>
    <w:rsid w:val="00532249"/>
    <w:pPr>
      <w:ind w:left="283"/>
    </w:pPr>
  </w:style>
  <w:style w:type="paragraph" w:styleId="Index3">
    <w:name w:val="index 3"/>
    <w:basedOn w:val="Normal"/>
    <w:next w:val="Normal"/>
    <w:rsid w:val="00532249"/>
    <w:pPr>
      <w:ind w:left="566"/>
    </w:pPr>
  </w:style>
  <w:style w:type="paragraph" w:styleId="IndexHeading">
    <w:name w:val="index heading"/>
    <w:basedOn w:val="Normal"/>
    <w:next w:val="Index1"/>
    <w:rsid w:val="00532249"/>
  </w:style>
  <w:style w:type="paragraph" w:customStyle="1" w:styleId="Line">
    <w:name w:val="Line"/>
    <w:basedOn w:val="Normal"/>
    <w:next w:val="Normal"/>
    <w:rsid w:val="00532249"/>
    <w:pPr>
      <w:pBdr>
        <w:top w:val="single" w:sz="6" w:space="1" w:color="auto"/>
      </w:pBdr>
      <w:tabs>
        <w:tab w:val="clear" w:pos="794"/>
        <w:tab w:val="clear" w:pos="1191"/>
        <w:tab w:val="clear" w:pos="1588"/>
        <w:tab w:val="clear" w:pos="1985"/>
      </w:tabs>
      <w:spacing w:before="240"/>
      <w:ind w:left="3997" w:right="3997"/>
      <w:jc w:val="center"/>
    </w:pPr>
    <w:rPr>
      <w:sz w:val="20"/>
    </w:rPr>
  </w:style>
  <w:style w:type="paragraph" w:customStyle="1" w:styleId="toctemp">
    <w:name w:val="toctemp"/>
    <w:basedOn w:val="Normal"/>
    <w:rsid w:val="00532249"/>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532249"/>
  </w:style>
  <w:style w:type="paragraph" w:customStyle="1" w:styleId="Partref">
    <w:name w:val="Part_ref"/>
    <w:basedOn w:val="Normal"/>
    <w:next w:val="Normal"/>
    <w:rsid w:val="00532249"/>
    <w:pPr>
      <w:keepNext/>
      <w:keepLines/>
      <w:spacing w:after="280"/>
      <w:jc w:val="center"/>
    </w:pPr>
  </w:style>
  <w:style w:type="paragraph" w:customStyle="1" w:styleId="Parttitle">
    <w:name w:val="Part_title"/>
    <w:basedOn w:val="Normal"/>
    <w:next w:val="Normalaftertitle"/>
    <w:rsid w:val="00532249"/>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532249"/>
  </w:style>
  <w:style w:type="paragraph" w:customStyle="1" w:styleId="QuestionNo">
    <w:name w:val="Question_No"/>
    <w:basedOn w:val="RecNo"/>
    <w:next w:val="Normal"/>
    <w:rsid w:val="00532249"/>
  </w:style>
  <w:style w:type="paragraph" w:customStyle="1" w:styleId="Questionref">
    <w:name w:val="Question_ref"/>
    <w:basedOn w:val="Recref"/>
    <w:next w:val="Questiondate"/>
    <w:rsid w:val="00532249"/>
  </w:style>
  <w:style w:type="paragraph" w:customStyle="1" w:styleId="Questiontitle">
    <w:name w:val="Question_title"/>
    <w:basedOn w:val="Normal"/>
    <w:next w:val="Questionref"/>
    <w:rsid w:val="00532249"/>
  </w:style>
  <w:style w:type="paragraph" w:customStyle="1" w:styleId="Reftext">
    <w:name w:val="Ref_text"/>
    <w:basedOn w:val="Normal"/>
    <w:rsid w:val="00532249"/>
    <w:pPr>
      <w:ind w:left="794" w:hanging="794"/>
    </w:pPr>
    <w:rPr>
      <w:sz w:val="22"/>
    </w:rPr>
  </w:style>
  <w:style w:type="paragraph" w:customStyle="1" w:styleId="Reftitle">
    <w:name w:val="Ref_title"/>
    <w:basedOn w:val="Normal"/>
    <w:next w:val="Reftext"/>
    <w:rsid w:val="00532249"/>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532249"/>
  </w:style>
  <w:style w:type="paragraph" w:customStyle="1" w:styleId="RepNo">
    <w:name w:val="Rep_No"/>
    <w:basedOn w:val="RecNo"/>
    <w:next w:val="Reptitle"/>
    <w:rsid w:val="00532249"/>
  </w:style>
  <w:style w:type="paragraph" w:customStyle="1" w:styleId="Repref">
    <w:name w:val="Rep_ref"/>
    <w:basedOn w:val="Recref"/>
    <w:next w:val="Repdate"/>
    <w:rsid w:val="00532249"/>
  </w:style>
  <w:style w:type="paragraph" w:customStyle="1" w:styleId="Reptitle">
    <w:name w:val="Rep_title"/>
    <w:basedOn w:val="Rectitle"/>
    <w:next w:val="Repref"/>
    <w:rsid w:val="00532249"/>
  </w:style>
  <w:style w:type="paragraph" w:customStyle="1" w:styleId="Resdate">
    <w:name w:val="Res_date"/>
    <w:basedOn w:val="Recdate"/>
    <w:next w:val="Normalaftertitle"/>
    <w:rsid w:val="00532249"/>
  </w:style>
  <w:style w:type="paragraph" w:customStyle="1" w:styleId="ResNo">
    <w:name w:val="Res_No"/>
    <w:basedOn w:val="RecNo"/>
    <w:next w:val="Restitle"/>
    <w:rsid w:val="00532249"/>
  </w:style>
  <w:style w:type="paragraph" w:customStyle="1" w:styleId="Resref">
    <w:name w:val="Res_ref"/>
    <w:basedOn w:val="Recref"/>
    <w:next w:val="Resdate"/>
    <w:rsid w:val="00532249"/>
  </w:style>
  <w:style w:type="paragraph" w:customStyle="1" w:styleId="Restitle">
    <w:name w:val="Res_title"/>
    <w:basedOn w:val="Normal"/>
    <w:next w:val="Resref"/>
    <w:link w:val="RestitleChar"/>
    <w:rsid w:val="00532249"/>
    <w:pPr>
      <w:spacing w:before="240"/>
      <w:jc w:val="center"/>
    </w:pPr>
    <w:rPr>
      <w:b/>
      <w:sz w:val="28"/>
    </w:rPr>
  </w:style>
  <w:style w:type="paragraph" w:customStyle="1" w:styleId="SectionNo">
    <w:name w:val="Section_No"/>
    <w:basedOn w:val="Normal"/>
    <w:next w:val="Normal"/>
    <w:rsid w:val="00532249"/>
  </w:style>
  <w:style w:type="paragraph" w:customStyle="1" w:styleId="Sectiontitle">
    <w:name w:val="Section_title"/>
    <w:basedOn w:val="Normal"/>
    <w:next w:val="Normalaftertitle"/>
    <w:rsid w:val="00532249"/>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532249"/>
    <w:pPr>
      <w:tabs>
        <w:tab w:val="clear" w:pos="794"/>
        <w:tab w:val="clear" w:pos="1191"/>
        <w:tab w:val="clear" w:pos="1588"/>
        <w:tab w:val="clear" w:pos="1985"/>
        <w:tab w:val="right" w:pos="9611"/>
      </w:tabs>
    </w:pPr>
    <w:rPr>
      <w:i/>
    </w:rPr>
  </w:style>
  <w:style w:type="paragraph" w:styleId="TOC1">
    <w:name w:val="toc 1"/>
    <w:basedOn w:val="Normal"/>
    <w:rsid w:val="00532249"/>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532249"/>
    <w:pPr>
      <w:tabs>
        <w:tab w:val="clear" w:pos="567"/>
        <w:tab w:val="left" w:pos="1276"/>
      </w:tabs>
      <w:spacing w:before="160"/>
      <w:ind w:left="1276" w:hanging="709"/>
    </w:pPr>
  </w:style>
  <w:style w:type="paragraph" w:styleId="TOC3">
    <w:name w:val="toc 3"/>
    <w:basedOn w:val="TOC2"/>
    <w:rsid w:val="00532249"/>
    <w:pPr>
      <w:tabs>
        <w:tab w:val="clear" w:pos="1276"/>
        <w:tab w:val="left" w:pos="2155"/>
      </w:tabs>
      <w:ind w:left="2155" w:hanging="879"/>
    </w:pPr>
  </w:style>
  <w:style w:type="paragraph" w:styleId="TOC4">
    <w:name w:val="toc 4"/>
    <w:basedOn w:val="TOC3"/>
    <w:rsid w:val="00532249"/>
    <w:pPr>
      <w:tabs>
        <w:tab w:val="left" w:pos="3261"/>
      </w:tabs>
      <w:spacing w:before="80"/>
      <w:ind w:left="3261" w:hanging="993"/>
    </w:pPr>
  </w:style>
  <w:style w:type="paragraph" w:styleId="TOC5">
    <w:name w:val="toc 5"/>
    <w:basedOn w:val="TOC4"/>
    <w:rsid w:val="00532249"/>
  </w:style>
  <w:style w:type="paragraph" w:styleId="TOC6">
    <w:name w:val="toc 6"/>
    <w:basedOn w:val="TOC4"/>
    <w:rsid w:val="00532249"/>
  </w:style>
  <w:style w:type="paragraph" w:styleId="TOC7">
    <w:name w:val="toc 7"/>
    <w:basedOn w:val="TOC4"/>
    <w:rsid w:val="00532249"/>
  </w:style>
  <w:style w:type="paragraph" w:styleId="TOC8">
    <w:name w:val="toc 8"/>
    <w:basedOn w:val="TOC4"/>
    <w:rsid w:val="00532249"/>
  </w:style>
  <w:style w:type="paragraph" w:customStyle="1" w:styleId="Rectitle">
    <w:name w:val="Rec_title"/>
    <w:basedOn w:val="Normal"/>
    <w:next w:val="Recref"/>
    <w:link w:val="RectitleChar"/>
    <w:rsid w:val="00532249"/>
    <w:pPr>
      <w:keepNext/>
      <w:keepLines/>
      <w:spacing w:before="240"/>
      <w:jc w:val="center"/>
    </w:pPr>
    <w:rPr>
      <w:b/>
      <w:sz w:val="28"/>
    </w:rPr>
  </w:style>
  <w:style w:type="paragraph" w:customStyle="1" w:styleId="Annexref">
    <w:name w:val="Annex_ref"/>
    <w:basedOn w:val="Normal"/>
    <w:next w:val="Normalaftertitle"/>
    <w:rsid w:val="00532249"/>
    <w:pPr>
      <w:keepNext/>
      <w:keepLines/>
      <w:spacing w:after="280"/>
      <w:jc w:val="center"/>
    </w:pPr>
  </w:style>
  <w:style w:type="paragraph" w:customStyle="1" w:styleId="Appendixref">
    <w:name w:val="Appendix_ref"/>
    <w:basedOn w:val="Annexref"/>
    <w:next w:val="Normalaftertitle"/>
    <w:rsid w:val="00532249"/>
  </w:style>
  <w:style w:type="paragraph" w:customStyle="1" w:styleId="Figuretitle">
    <w:name w:val="Figure_title"/>
    <w:basedOn w:val="Normal"/>
    <w:next w:val="Figure"/>
    <w:link w:val="FiguretitleChar"/>
    <w:rsid w:val="00532249"/>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Char"/>
    <w:rsid w:val="00532249"/>
    <w:pPr>
      <w:keepNext/>
      <w:spacing w:before="0" w:after="120"/>
      <w:jc w:val="center"/>
    </w:pPr>
    <w:rPr>
      <w:b/>
    </w:rPr>
  </w:style>
  <w:style w:type="paragraph" w:customStyle="1" w:styleId="Summary">
    <w:name w:val="Summary"/>
    <w:basedOn w:val="Normal"/>
    <w:next w:val="Normalaftertitle"/>
    <w:autoRedefine/>
    <w:rsid w:val="00532249"/>
    <w:pPr>
      <w:spacing w:after="480"/>
    </w:pPr>
    <w:rPr>
      <w:sz w:val="22"/>
      <w:lang w:val="es-ES_tradnl"/>
    </w:rPr>
  </w:style>
  <w:style w:type="paragraph" w:customStyle="1" w:styleId="TableLegendNote">
    <w:name w:val="Table_Legend_Note"/>
    <w:basedOn w:val="Tablelegend"/>
    <w:next w:val="Tablelegend"/>
    <w:rsid w:val="00532249"/>
    <w:pPr>
      <w:ind w:left="-85" w:firstLine="0"/>
    </w:pPr>
    <w:rPr>
      <w:lang w:val="en-US"/>
    </w:rPr>
  </w:style>
  <w:style w:type="paragraph" w:customStyle="1" w:styleId="Figure">
    <w:name w:val="Figure"/>
    <w:basedOn w:val="FigureNo"/>
    <w:next w:val="Normal"/>
    <w:link w:val="FigureChar"/>
    <w:rsid w:val="00532249"/>
    <w:pPr>
      <w:keepNext w:val="0"/>
      <w:spacing w:before="0" w:after="240"/>
    </w:pPr>
  </w:style>
  <w:style w:type="character" w:styleId="Hyperlink">
    <w:name w:val="Hyperlink"/>
    <w:basedOn w:val="DefaultParagraphFont"/>
    <w:uiPriority w:val="99"/>
    <w:rsid w:val="00FD396C"/>
    <w:rPr>
      <w:color w:val="0000FF"/>
      <w:u w:val="single"/>
    </w:rPr>
  </w:style>
  <w:style w:type="character" w:customStyle="1" w:styleId="HeaderChar">
    <w:name w:val="Header Char"/>
    <w:aliases w:val="encabezado Char"/>
    <w:basedOn w:val="DefaultParagraphFont"/>
    <w:link w:val="Header"/>
    <w:rsid w:val="00FD396C"/>
    <w:rPr>
      <w:sz w:val="24"/>
      <w:lang w:val="en-GB" w:eastAsia="en-US"/>
    </w:rPr>
  </w:style>
  <w:style w:type="table" w:styleId="TableGrid">
    <w:name w:val="Table Grid"/>
    <w:basedOn w:val="TableNormal"/>
    <w:qFormat/>
    <w:rsid w:val="00FD396C"/>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Number">
    <w:name w:val="Cover Number"/>
    <w:basedOn w:val="Normal"/>
    <w:qFormat/>
    <w:rsid w:val="00FD396C"/>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FD396C"/>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FD396C"/>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FD396C"/>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Heading3Char">
    <w:name w:val="Heading 3 Char"/>
    <w:basedOn w:val="DefaultParagraphFont"/>
    <w:link w:val="Heading3"/>
    <w:locked/>
    <w:rsid w:val="00532249"/>
    <w:rPr>
      <w:b/>
      <w:sz w:val="24"/>
      <w:lang w:val="en-GB" w:eastAsia="en-US"/>
    </w:rPr>
  </w:style>
  <w:style w:type="character" w:customStyle="1" w:styleId="Heading1Char">
    <w:name w:val="Heading 1 Char"/>
    <w:basedOn w:val="DefaultParagraphFont"/>
    <w:link w:val="Heading1"/>
    <w:rsid w:val="00532249"/>
    <w:rPr>
      <w:b/>
      <w:sz w:val="24"/>
      <w:lang w:val="en-GB" w:eastAsia="en-US"/>
    </w:rPr>
  </w:style>
  <w:style w:type="character" w:customStyle="1" w:styleId="FooterChar">
    <w:name w:val="Footer Char"/>
    <w:aliases w:val="footer odd Char,pie de página Char,footer1 Char,footer odd1 Char,footer5 Char,footer odd4 Char,footer odd2 Char,footer2 Char,footer odd3 Char,footer11 Char,footer odd11 Char,footer51 Char,footer odd41 Char,footer odd21 Char,footer21 Char"/>
    <w:basedOn w:val="DefaultParagraphFont"/>
    <w:link w:val="Footer"/>
    <w:uiPriority w:val="99"/>
    <w:qFormat/>
    <w:rsid w:val="00532249"/>
    <w:rPr>
      <w:noProof/>
      <w:sz w:val="18"/>
      <w:lang w:val="en-GB" w:eastAsia="en-US"/>
    </w:rPr>
  </w:style>
  <w:style w:type="paragraph" w:customStyle="1" w:styleId="DateCover">
    <w:name w:val="Date Cover"/>
    <w:basedOn w:val="Normal"/>
    <w:qFormat/>
    <w:rsid w:val="00532249"/>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TitleCover">
    <w:name w:val="Title Cover"/>
    <w:basedOn w:val="Normal"/>
    <w:qFormat/>
    <w:rsid w:val="00532249"/>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Artheading">
    <w:name w:val="Art_heading"/>
    <w:basedOn w:val="Normal"/>
    <w:next w:val="Normal"/>
    <w:rsid w:val="00532249"/>
    <w:pPr>
      <w:keepNext/>
      <w:keepLines/>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rPr>
  </w:style>
  <w:style w:type="character" w:styleId="EndnoteReference">
    <w:name w:val="endnote reference"/>
    <w:basedOn w:val="DefaultParagraphFont"/>
    <w:rsid w:val="00532249"/>
    <w:rPr>
      <w:vertAlign w:val="superscript"/>
    </w:rPr>
  </w:style>
  <w:style w:type="paragraph" w:customStyle="1" w:styleId="Figurewithouttitle">
    <w:name w:val="Figure_without_title"/>
    <w:basedOn w:val="FigureNo"/>
    <w:next w:val="Normal"/>
    <w:rsid w:val="00532249"/>
    <w:pPr>
      <w:keepNext w:val="0"/>
      <w:tabs>
        <w:tab w:val="clear" w:pos="794"/>
        <w:tab w:val="clear" w:pos="1191"/>
        <w:tab w:val="clear" w:pos="1588"/>
        <w:tab w:val="clear" w:pos="1985"/>
        <w:tab w:val="left" w:pos="1134"/>
        <w:tab w:val="left" w:pos="1871"/>
        <w:tab w:val="left" w:pos="2268"/>
      </w:tabs>
      <w:spacing w:after="120"/>
    </w:pPr>
    <w:rPr>
      <w:sz w:val="20"/>
    </w:rPr>
  </w:style>
  <w:style w:type="paragraph" w:customStyle="1" w:styleId="FirstFooter">
    <w:name w:val="FirstFooter"/>
    <w:basedOn w:val="Footer"/>
    <w:rsid w:val="00532249"/>
    <w:pPr>
      <w:overflowPunct/>
      <w:autoSpaceDE/>
      <w:autoSpaceDN/>
      <w:adjustRightInd/>
      <w:spacing w:before="40"/>
      <w:jc w:val="left"/>
      <w:textAlignment w:val="auto"/>
    </w:pPr>
    <w:rPr>
      <w:noProof w:val="0"/>
      <w:sz w:val="16"/>
    </w:rPr>
  </w:style>
  <w:style w:type="paragraph" w:customStyle="1" w:styleId="Source">
    <w:name w:val="Source"/>
    <w:basedOn w:val="Normal"/>
    <w:next w:val="Normal"/>
    <w:link w:val="SourceChar"/>
    <w:rsid w:val="00532249"/>
    <w:pPr>
      <w:tabs>
        <w:tab w:val="clear" w:pos="794"/>
        <w:tab w:val="clear" w:pos="1191"/>
        <w:tab w:val="clear" w:pos="1588"/>
        <w:tab w:val="clear" w:pos="1985"/>
        <w:tab w:val="left" w:pos="1134"/>
        <w:tab w:val="left" w:pos="1871"/>
        <w:tab w:val="left" w:pos="2268"/>
      </w:tabs>
      <w:spacing w:before="840"/>
      <w:jc w:val="center"/>
    </w:pPr>
    <w:rPr>
      <w:b/>
      <w:sz w:val="28"/>
    </w:rPr>
  </w:style>
  <w:style w:type="paragraph" w:customStyle="1" w:styleId="FooterSpecial">
    <w:name w:val="Footer Special"/>
    <w:basedOn w:val="Footer"/>
    <w:rsid w:val="00532249"/>
    <w:pPr>
      <w:tabs>
        <w:tab w:val="left" w:pos="567"/>
        <w:tab w:val="left" w:pos="1134"/>
        <w:tab w:val="left" w:pos="1701"/>
        <w:tab w:val="left" w:pos="2268"/>
        <w:tab w:val="left" w:pos="2835"/>
        <w:tab w:val="left" w:pos="5954"/>
        <w:tab w:val="right" w:pos="9639"/>
      </w:tabs>
    </w:pPr>
    <w:rPr>
      <w:noProof w:val="0"/>
      <w:sz w:val="16"/>
    </w:rPr>
  </w:style>
  <w:style w:type="paragraph" w:customStyle="1" w:styleId="Tableref">
    <w:name w:val="Table_ref"/>
    <w:basedOn w:val="Normal"/>
    <w:next w:val="Normal"/>
    <w:rsid w:val="00532249"/>
    <w:pPr>
      <w:keepNext/>
      <w:tabs>
        <w:tab w:val="clear" w:pos="794"/>
        <w:tab w:val="clear" w:pos="1191"/>
        <w:tab w:val="clear" w:pos="1588"/>
        <w:tab w:val="clear" w:pos="1985"/>
        <w:tab w:val="left" w:pos="1134"/>
        <w:tab w:val="left" w:pos="1871"/>
        <w:tab w:val="left" w:pos="2268"/>
      </w:tabs>
      <w:spacing w:before="560"/>
      <w:jc w:val="center"/>
    </w:pPr>
    <w:rPr>
      <w:sz w:val="20"/>
    </w:rPr>
  </w:style>
  <w:style w:type="paragraph" w:customStyle="1" w:styleId="Title1">
    <w:name w:val="Title 1"/>
    <w:basedOn w:val="Source"/>
    <w:next w:val="Normal"/>
    <w:link w:val="Title1Char"/>
    <w:rsid w:val="00532249"/>
    <w:pPr>
      <w:tabs>
        <w:tab w:val="left" w:pos="567"/>
        <w:tab w:val="left" w:pos="1701"/>
        <w:tab w:val="left" w:pos="2835"/>
      </w:tabs>
      <w:spacing w:before="240"/>
    </w:pPr>
    <w:rPr>
      <w:b w:val="0"/>
      <w:caps/>
    </w:rPr>
  </w:style>
  <w:style w:type="paragraph" w:customStyle="1" w:styleId="Title2">
    <w:name w:val="Title 2"/>
    <w:basedOn w:val="Source"/>
    <w:next w:val="Normal"/>
    <w:rsid w:val="00532249"/>
    <w:pPr>
      <w:overflowPunct/>
      <w:autoSpaceDE/>
      <w:autoSpaceDN/>
      <w:adjustRightInd/>
      <w:spacing w:before="480"/>
      <w:textAlignment w:val="auto"/>
    </w:pPr>
    <w:rPr>
      <w:b w:val="0"/>
      <w:caps/>
    </w:rPr>
  </w:style>
  <w:style w:type="paragraph" w:customStyle="1" w:styleId="Title3">
    <w:name w:val="Title 3"/>
    <w:basedOn w:val="Title2"/>
    <w:next w:val="Normal"/>
    <w:rsid w:val="00532249"/>
    <w:pPr>
      <w:spacing w:before="240"/>
    </w:pPr>
    <w:rPr>
      <w:caps w:val="0"/>
    </w:rPr>
  </w:style>
  <w:style w:type="paragraph" w:customStyle="1" w:styleId="Title4">
    <w:name w:val="Title 4"/>
    <w:basedOn w:val="Title3"/>
    <w:next w:val="Heading1"/>
    <w:rsid w:val="00532249"/>
    <w:rPr>
      <w:b/>
    </w:rPr>
  </w:style>
  <w:style w:type="character" w:customStyle="1" w:styleId="Appdef">
    <w:name w:val="App_def"/>
    <w:basedOn w:val="DefaultParagraphFont"/>
    <w:rsid w:val="00532249"/>
    <w:rPr>
      <w:rFonts w:ascii="Times New Roman" w:hAnsi="Times New Roman"/>
      <w:b/>
    </w:rPr>
  </w:style>
  <w:style w:type="character" w:customStyle="1" w:styleId="Appref">
    <w:name w:val="App_ref"/>
    <w:basedOn w:val="DefaultParagraphFont"/>
    <w:rsid w:val="00532249"/>
  </w:style>
  <w:style w:type="character" w:customStyle="1" w:styleId="Artdef">
    <w:name w:val="Art_def"/>
    <w:basedOn w:val="DefaultParagraphFont"/>
    <w:rsid w:val="00532249"/>
    <w:rPr>
      <w:rFonts w:ascii="Times New Roman" w:hAnsi="Times New Roman"/>
      <w:b/>
    </w:rPr>
  </w:style>
  <w:style w:type="character" w:customStyle="1" w:styleId="Artref">
    <w:name w:val="Art_ref"/>
    <w:basedOn w:val="DefaultParagraphFont"/>
    <w:rsid w:val="00532249"/>
  </w:style>
  <w:style w:type="character" w:customStyle="1" w:styleId="Tablefreq">
    <w:name w:val="Table_freq"/>
    <w:basedOn w:val="DefaultParagraphFont"/>
    <w:rsid w:val="00532249"/>
    <w:rPr>
      <w:b/>
      <w:color w:val="auto"/>
      <w:sz w:val="20"/>
    </w:rPr>
  </w:style>
  <w:style w:type="paragraph" w:customStyle="1" w:styleId="Formal">
    <w:name w:val="Formal"/>
    <w:basedOn w:val="ASN1"/>
    <w:rsid w:val="00532249"/>
    <w:pPr>
      <w:tabs>
        <w:tab w:val="left" w:pos="1871"/>
      </w:tabs>
      <w:jc w:val="left"/>
    </w:pPr>
    <w:rPr>
      <w:rFonts w:ascii="Times New Roman Bold" w:hAnsi="Times New Roman Bold"/>
      <w:b w:val="0"/>
    </w:rPr>
  </w:style>
  <w:style w:type="paragraph" w:customStyle="1" w:styleId="Section1">
    <w:name w:val="Section_1"/>
    <w:basedOn w:val="Normal"/>
    <w:rsid w:val="00532249"/>
    <w:pPr>
      <w:tabs>
        <w:tab w:val="clear" w:pos="794"/>
        <w:tab w:val="clear" w:pos="1191"/>
        <w:tab w:val="clear" w:pos="1588"/>
        <w:tab w:val="clear" w:pos="1985"/>
        <w:tab w:val="center" w:pos="4820"/>
      </w:tabs>
      <w:spacing w:before="360"/>
      <w:jc w:val="center"/>
    </w:pPr>
    <w:rPr>
      <w:b/>
    </w:rPr>
  </w:style>
  <w:style w:type="paragraph" w:customStyle="1" w:styleId="Section2">
    <w:name w:val="Section_2"/>
    <w:basedOn w:val="Section1"/>
    <w:rsid w:val="00532249"/>
    <w:rPr>
      <w:b w:val="0"/>
      <w:i/>
    </w:rPr>
  </w:style>
  <w:style w:type="paragraph" w:customStyle="1" w:styleId="AnnexNo">
    <w:name w:val="Annex_No"/>
    <w:basedOn w:val="Normal"/>
    <w:next w:val="Normal"/>
    <w:link w:val="AnnexNoChar"/>
    <w:rsid w:val="00532249"/>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532249"/>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AppendixNo">
    <w:name w:val="Appendix_No"/>
    <w:basedOn w:val="AnnexNo"/>
    <w:next w:val="Annexref"/>
    <w:rsid w:val="00532249"/>
  </w:style>
  <w:style w:type="paragraph" w:customStyle="1" w:styleId="Appendixtitle">
    <w:name w:val="Appendix_title"/>
    <w:basedOn w:val="Annextitle"/>
    <w:next w:val="Normal"/>
    <w:rsid w:val="00532249"/>
  </w:style>
  <w:style w:type="paragraph" w:customStyle="1" w:styleId="Border">
    <w:name w:val="Border"/>
    <w:basedOn w:val="Normal"/>
    <w:rsid w:val="00532249"/>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532249"/>
    <w:pPr>
      <w:tabs>
        <w:tab w:val="clear" w:pos="794"/>
        <w:tab w:val="clear" w:pos="1191"/>
        <w:tab w:val="clear" w:pos="1588"/>
        <w:tab w:val="clear" w:pos="1985"/>
        <w:tab w:val="left" w:pos="1134"/>
        <w:tab w:val="left" w:pos="1871"/>
        <w:tab w:val="left" w:pos="2268"/>
      </w:tabs>
      <w:ind w:left="849"/>
      <w:jc w:val="left"/>
    </w:pPr>
  </w:style>
  <w:style w:type="paragraph" w:styleId="Index5">
    <w:name w:val="index 5"/>
    <w:basedOn w:val="Normal"/>
    <w:next w:val="Normal"/>
    <w:rsid w:val="00532249"/>
    <w:pPr>
      <w:tabs>
        <w:tab w:val="clear" w:pos="794"/>
        <w:tab w:val="clear" w:pos="1191"/>
        <w:tab w:val="clear" w:pos="1588"/>
        <w:tab w:val="clear" w:pos="1985"/>
        <w:tab w:val="left" w:pos="1134"/>
        <w:tab w:val="left" w:pos="1871"/>
        <w:tab w:val="left" w:pos="2268"/>
      </w:tabs>
      <w:ind w:left="1132"/>
      <w:jc w:val="left"/>
    </w:pPr>
  </w:style>
  <w:style w:type="paragraph" w:styleId="Index6">
    <w:name w:val="index 6"/>
    <w:basedOn w:val="Normal"/>
    <w:next w:val="Normal"/>
    <w:rsid w:val="00532249"/>
    <w:pPr>
      <w:tabs>
        <w:tab w:val="clear" w:pos="794"/>
        <w:tab w:val="clear" w:pos="1191"/>
        <w:tab w:val="clear" w:pos="1588"/>
        <w:tab w:val="clear" w:pos="1985"/>
        <w:tab w:val="left" w:pos="1134"/>
        <w:tab w:val="left" w:pos="1871"/>
        <w:tab w:val="left" w:pos="2268"/>
      </w:tabs>
      <w:ind w:left="1415"/>
      <w:jc w:val="left"/>
    </w:pPr>
  </w:style>
  <w:style w:type="paragraph" w:styleId="Index7">
    <w:name w:val="index 7"/>
    <w:basedOn w:val="Normal"/>
    <w:next w:val="Normal"/>
    <w:rsid w:val="00532249"/>
    <w:pPr>
      <w:tabs>
        <w:tab w:val="clear" w:pos="794"/>
        <w:tab w:val="clear" w:pos="1191"/>
        <w:tab w:val="clear" w:pos="1588"/>
        <w:tab w:val="clear" w:pos="1985"/>
        <w:tab w:val="left" w:pos="1134"/>
        <w:tab w:val="left" w:pos="1871"/>
        <w:tab w:val="left" w:pos="2268"/>
      </w:tabs>
      <w:ind w:left="1698"/>
      <w:jc w:val="left"/>
    </w:pPr>
  </w:style>
  <w:style w:type="character" w:styleId="LineNumber">
    <w:name w:val="line number"/>
    <w:basedOn w:val="DefaultParagraphFont"/>
    <w:rsid w:val="00532249"/>
  </w:style>
  <w:style w:type="paragraph" w:customStyle="1" w:styleId="Normalaftertitle0">
    <w:name w:val="Normal after title"/>
    <w:basedOn w:val="Normal"/>
    <w:next w:val="Normal"/>
    <w:rsid w:val="00532249"/>
    <w:pPr>
      <w:tabs>
        <w:tab w:val="clear" w:pos="794"/>
        <w:tab w:val="clear" w:pos="1191"/>
        <w:tab w:val="clear" w:pos="1588"/>
        <w:tab w:val="clear" w:pos="1985"/>
        <w:tab w:val="left" w:pos="1134"/>
        <w:tab w:val="left" w:pos="1871"/>
        <w:tab w:val="left" w:pos="2268"/>
      </w:tabs>
      <w:spacing w:before="280"/>
      <w:jc w:val="left"/>
    </w:pPr>
  </w:style>
  <w:style w:type="paragraph" w:customStyle="1" w:styleId="Proposal">
    <w:name w:val="Proposal"/>
    <w:basedOn w:val="Normal"/>
    <w:next w:val="Normal"/>
    <w:rsid w:val="00532249"/>
    <w:pPr>
      <w:keepNext/>
      <w:tabs>
        <w:tab w:val="clear" w:pos="794"/>
        <w:tab w:val="clear" w:pos="1191"/>
        <w:tab w:val="clear" w:pos="1588"/>
        <w:tab w:val="clear" w:pos="1985"/>
        <w:tab w:val="left" w:pos="1134"/>
        <w:tab w:val="left" w:pos="1871"/>
        <w:tab w:val="left" w:pos="2268"/>
      </w:tabs>
      <w:spacing w:before="240"/>
      <w:jc w:val="left"/>
    </w:pPr>
    <w:rPr>
      <w:rFonts w:hAnsi="Times New Roman Bold"/>
      <w:b/>
    </w:rPr>
  </w:style>
  <w:style w:type="paragraph" w:customStyle="1" w:styleId="Reasons">
    <w:name w:val="Reasons"/>
    <w:basedOn w:val="Normal"/>
    <w:qFormat/>
    <w:rsid w:val="00532249"/>
    <w:pPr>
      <w:tabs>
        <w:tab w:val="clear" w:pos="794"/>
        <w:tab w:val="clear" w:pos="1191"/>
        <w:tab w:val="left" w:pos="1134"/>
      </w:tabs>
      <w:jc w:val="left"/>
    </w:pPr>
  </w:style>
  <w:style w:type="paragraph" w:customStyle="1" w:styleId="Section3">
    <w:name w:val="Section_3"/>
    <w:basedOn w:val="Section1"/>
    <w:rsid w:val="00532249"/>
    <w:rPr>
      <w:b w:val="0"/>
    </w:rPr>
  </w:style>
  <w:style w:type="paragraph" w:customStyle="1" w:styleId="TableTextS5">
    <w:name w:val="Table_TextS5"/>
    <w:basedOn w:val="Normal"/>
    <w:rsid w:val="00532249"/>
    <w:pPr>
      <w:tabs>
        <w:tab w:val="clear" w:pos="794"/>
        <w:tab w:val="clear" w:pos="1191"/>
        <w:tab w:val="clear" w:pos="1588"/>
        <w:tab w:val="clear" w:pos="1985"/>
        <w:tab w:val="left" w:pos="170"/>
        <w:tab w:val="left" w:pos="567"/>
        <w:tab w:val="left" w:pos="737"/>
        <w:tab w:val="left" w:pos="2977"/>
        <w:tab w:val="left" w:pos="3266"/>
      </w:tabs>
      <w:spacing w:before="40" w:after="40"/>
      <w:ind w:left="170" w:hanging="170"/>
      <w:jc w:val="left"/>
    </w:pPr>
    <w:rPr>
      <w:sz w:val="20"/>
    </w:rPr>
  </w:style>
  <w:style w:type="paragraph" w:customStyle="1" w:styleId="Agendaitem">
    <w:name w:val="Agenda_item"/>
    <w:basedOn w:val="Normal"/>
    <w:next w:val="Normal"/>
    <w:qFormat/>
    <w:rsid w:val="00532249"/>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rPr>
  </w:style>
  <w:style w:type="paragraph" w:customStyle="1" w:styleId="AppArtNo">
    <w:name w:val="App_Art_No"/>
    <w:basedOn w:val="ArtNo"/>
    <w:qFormat/>
    <w:rsid w:val="00532249"/>
    <w:pPr>
      <w:tabs>
        <w:tab w:val="clear" w:pos="794"/>
        <w:tab w:val="clear" w:pos="1191"/>
        <w:tab w:val="clear" w:pos="1588"/>
        <w:tab w:val="clear" w:pos="1985"/>
        <w:tab w:val="left" w:pos="1134"/>
        <w:tab w:val="left" w:pos="1871"/>
        <w:tab w:val="left" w:pos="2268"/>
      </w:tabs>
    </w:pPr>
    <w:rPr>
      <w:caps/>
    </w:rPr>
  </w:style>
  <w:style w:type="paragraph" w:customStyle="1" w:styleId="AppArttitle">
    <w:name w:val="App_Art_title"/>
    <w:basedOn w:val="Arttitle"/>
    <w:qFormat/>
    <w:rsid w:val="00532249"/>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532249"/>
  </w:style>
  <w:style w:type="paragraph" w:customStyle="1" w:styleId="Committee">
    <w:name w:val="Committee"/>
    <w:basedOn w:val="Normal"/>
    <w:qFormat/>
    <w:rsid w:val="00532249"/>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heme="minorHAnsi" w:hAnsiTheme="minorHAnsi" w:cstheme="minorHAnsi"/>
      <w:b/>
      <w:szCs w:val="24"/>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
    <w:basedOn w:val="DefaultParagraphFont"/>
    <w:link w:val="FootnoteText"/>
    <w:qFormat/>
    <w:rsid w:val="00532249"/>
    <w:rPr>
      <w:sz w:val="22"/>
      <w:lang w:val="en-GB" w:eastAsia="en-US"/>
    </w:rPr>
  </w:style>
  <w:style w:type="paragraph" w:customStyle="1" w:styleId="Normalend">
    <w:name w:val="Normal_end"/>
    <w:basedOn w:val="Normal"/>
    <w:next w:val="Normal"/>
    <w:qFormat/>
    <w:rsid w:val="00532249"/>
    <w:pPr>
      <w:tabs>
        <w:tab w:val="clear" w:pos="794"/>
        <w:tab w:val="clear" w:pos="1191"/>
        <w:tab w:val="clear" w:pos="1588"/>
        <w:tab w:val="clear" w:pos="1985"/>
        <w:tab w:val="left" w:pos="1134"/>
        <w:tab w:val="left" w:pos="1871"/>
        <w:tab w:val="left" w:pos="2268"/>
      </w:tabs>
      <w:jc w:val="left"/>
    </w:pPr>
    <w:rPr>
      <w:lang w:val="en-US"/>
    </w:rPr>
  </w:style>
  <w:style w:type="paragraph" w:customStyle="1" w:styleId="Part1">
    <w:name w:val="Part_1"/>
    <w:basedOn w:val="Section1"/>
    <w:next w:val="Section1"/>
    <w:qFormat/>
    <w:rsid w:val="00532249"/>
    <w:pPr>
      <w:keepNext/>
      <w:keepLines/>
    </w:pPr>
  </w:style>
  <w:style w:type="paragraph" w:customStyle="1" w:styleId="Subsection1">
    <w:name w:val="Subsection_1"/>
    <w:basedOn w:val="Section1"/>
    <w:next w:val="Normalaftertitle0"/>
    <w:qFormat/>
    <w:rsid w:val="00532249"/>
  </w:style>
  <w:style w:type="paragraph" w:customStyle="1" w:styleId="Volumetitle">
    <w:name w:val="Volume_title"/>
    <w:basedOn w:val="Normal"/>
    <w:qFormat/>
    <w:rsid w:val="00532249"/>
    <w:pPr>
      <w:tabs>
        <w:tab w:val="clear" w:pos="794"/>
        <w:tab w:val="clear" w:pos="1191"/>
        <w:tab w:val="clear" w:pos="1588"/>
        <w:tab w:val="clear" w:pos="1985"/>
        <w:tab w:val="left" w:pos="1134"/>
        <w:tab w:val="left" w:pos="1871"/>
        <w:tab w:val="left" w:pos="2268"/>
      </w:tabs>
      <w:jc w:val="center"/>
    </w:pPr>
    <w:rPr>
      <w:b/>
      <w:bCs/>
      <w:sz w:val="28"/>
      <w:szCs w:val="28"/>
    </w:rPr>
  </w:style>
  <w:style w:type="paragraph" w:customStyle="1" w:styleId="Headingsplit">
    <w:name w:val="Heading_split"/>
    <w:basedOn w:val="Headingi"/>
    <w:qFormat/>
    <w:rsid w:val="00532249"/>
    <w:pPr>
      <w:tabs>
        <w:tab w:val="clear" w:pos="794"/>
        <w:tab w:val="clear" w:pos="1191"/>
        <w:tab w:val="clear" w:pos="1588"/>
        <w:tab w:val="clear" w:pos="1985"/>
        <w:tab w:val="left" w:pos="1134"/>
        <w:tab w:val="left" w:pos="1871"/>
        <w:tab w:val="left" w:pos="2268"/>
      </w:tabs>
      <w:jc w:val="left"/>
      <w:outlineLvl w:val="9"/>
    </w:pPr>
    <w:rPr>
      <w:lang w:val="en-US"/>
    </w:rPr>
  </w:style>
  <w:style w:type="paragraph" w:customStyle="1" w:styleId="Normalsplit">
    <w:name w:val="Normal_split"/>
    <w:basedOn w:val="Normal"/>
    <w:qFormat/>
    <w:rsid w:val="00532249"/>
    <w:pPr>
      <w:tabs>
        <w:tab w:val="clear" w:pos="794"/>
        <w:tab w:val="clear" w:pos="1191"/>
        <w:tab w:val="clear" w:pos="1588"/>
        <w:tab w:val="clear" w:pos="1985"/>
        <w:tab w:val="left" w:pos="1134"/>
        <w:tab w:val="left" w:pos="1871"/>
        <w:tab w:val="left" w:pos="2268"/>
      </w:tabs>
      <w:jc w:val="left"/>
    </w:pPr>
  </w:style>
  <w:style w:type="character" w:customStyle="1" w:styleId="Provsplit">
    <w:name w:val="Prov_split"/>
    <w:basedOn w:val="DefaultParagraphFont"/>
    <w:qFormat/>
    <w:rsid w:val="00532249"/>
    <w:rPr>
      <w:rFonts w:ascii="Times New Roman" w:hAnsi="Times New Roman"/>
      <w:b w:val="0"/>
    </w:rPr>
  </w:style>
  <w:style w:type="paragraph" w:customStyle="1" w:styleId="Tablesplit">
    <w:name w:val="Table_split"/>
    <w:basedOn w:val="Tabletext"/>
    <w:qFormat/>
    <w:rsid w:val="00532249"/>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sz w:val="20"/>
    </w:rPr>
  </w:style>
  <w:style w:type="paragraph" w:customStyle="1" w:styleId="Methodheading1">
    <w:name w:val="Method_heading1"/>
    <w:basedOn w:val="Heading1"/>
    <w:next w:val="Normal"/>
    <w:qFormat/>
    <w:rsid w:val="00532249"/>
    <w:pPr>
      <w:tabs>
        <w:tab w:val="clear" w:pos="794"/>
        <w:tab w:val="clear" w:pos="1191"/>
        <w:tab w:val="clear" w:pos="1588"/>
        <w:tab w:val="clear" w:pos="1985"/>
        <w:tab w:val="left" w:pos="1134"/>
        <w:tab w:val="left" w:pos="1871"/>
        <w:tab w:val="left" w:pos="2268"/>
      </w:tabs>
      <w:spacing w:before="280"/>
      <w:ind w:left="1134" w:hanging="1134"/>
      <w:jc w:val="left"/>
    </w:pPr>
    <w:rPr>
      <w:sz w:val="28"/>
    </w:rPr>
  </w:style>
  <w:style w:type="paragraph" w:customStyle="1" w:styleId="Methodheading2">
    <w:name w:val="Method_heading2"/>
    <w:basedOn w:val="Heading2"/>
    <w:next w:val="Normal"/>
    <w:qFormat/>
    <w:rsid w:val="00532249"/>
    <w:pPr>
      <w:tabs>
        <w:tab w:val="clear" w:pos="794"/>
        <w:tab w:val="clear" w:pos="1191"/>
        <w:tab w:val="clear" w:pos="1588"/>
        <w:tab w:val="clear" w:pos="1985"/>
        <w:tab w:val="left" w:pos="1134"/>
        <w:tab w:val="left" w:pos="1871"/>
        <w:tab w:val="left" w:pos="2268"/>
      </w:tabs>
      <w:spacing w:before="200"/>
      <w:ind w:left="1134" w:hanging="1134"/>
      <w:jc w:val="left"/>
    </w:pPr>
  </w:style>
  <w:style w:type="paragraph" w:customStyle="1" w:styleId="Methodheading3">
    <w:name w:val="Method_heading3"/>
    <w:basedOn w:val="Heading3"/>
    <w:next w:val="Normal"/>
    <w:qFormat/>
    <w:rsid w:val="00532249"/>
    <w:pPr>
      <w:tabs>
        <w:tab w:val="clear" w:pos="794"/>
        <w:tab w:val="clear" w:pos="1191"/>
        <w:tab w:val="clear" w:pos="1588"/>
        <w:tab w:val="clear" w:pos="1985"/>
        <w:tab w:val="left" w:pos="1871"/>
        <w:tab w:val="left" w:pos="2268"/>
      </w:tabs>
      <w:ind w:left="1134" w:hanging="1134"/>
      <w:jc w:val="left"/>
    </w:pPr>
  </w:style>
  <w:style w:type="paragraph" w:customStyle="1" w:styleId="Methodheading4">
    <w:name w:val="Method_heading4"/>
    <w:basedOn w:val="Heading4"/>
    <w:next w:val="Normal"/>
    <w:qFormat/>
    <w:rsid w:val="00532249"/>
    <w:pPr>
      <w:tabs>
        <w:tab w:val="clear" w:pos="992"/>
        <w:tab w:val="clear" w:pos="1191"/>
        <w:tab w:val="clear" w:pos="1588"/>
        <w:tab w:val="clear" w:pos="1985"/>
        <w:tab w:val="left" w:pos="1871"/>
        <w:tab w:val="left" w:pos="2268"/>
      </w:tabs>
      <w:ind w:left="1134" w:hanging="1134"/>
      <w:jc w:val="left"/>
    </w:pPr>
  </w:style>
  <w:style w:type="paragraph" w:customStyle="1" w:styleId="MethodHeadingb">
    <w:name w:val="Method_Headingb"/>
    <w:basedOn w:val="Headingb"/>
    <w:next w:val="Normal"/>
    <w:qFormat/>
    <w:rsid w:val="00532249"/>
    <w:pPr>
      <w:tabs>
        <w:tab w:val="clear" w:pos="794"/>
        <w:tab w:val="clear" w:pos="1191"/>
        <w:tab w:val="clear" w:pos="1588"/>
        <w:tab w:val="clear" w:pos="1985"/>
      </w:tabs>
      <w:overflowPunct/>
      <w:autoSpaceDE/>
      <w:autoSpaceDN/>
      <w:adjustRightInd/>
      <w:jc w:val="left"/>
      <w:textAlignment w:val="auto"/>
    </w:pPr>
    <w:rPr>
      <w:rFonts w:ascii="Times New Roman Bold" w:hAnsi="Times New Roman Bold" w:cs="Times New Roman Bold"/>
      <w:lang w:eastAsia="zh-CN"/>
    </w:rPr>
  </w:style>
  <w:style w:type="paragraph" w:customStyle="1" w:styleId="EditorsNote">
    <w:name w:val="EditorsNote"/>
    <w:basedOn w:val="Normal"/>
    <w:rsid w:val="00532249"/>
    <w:pPr>
      <w:tabs>
        <w:tab w:val="clear" w:pos="794"/>
        <w:tab w:val="clear" w:pos="1191"/>
        <w:tab w:val="clear" w:pos="1588"/>
        <w:tab w:val="clear" w:pos="1985"/>
        <w:tab w:val="left" w:pos="1134"/>
        <w:tab w:val="left" w:pos="1871"/>
        <w:tab w:val="left" w:pos="2268"/>
      </w:tabs>
      <w:spacing w:before="240" w:after="240"/>
      <w:jc w:val="left"/>
    </w:pPr>
    <w:rPr>
      <w:i/>
      <w:iCs/>
    </w:rPr>
  </w:style>
  <w:style w:type="character" w:customStyle="1" w:styleId="FiguretitleChar">
    <w:name w:val="Figure_title Char"/>
    <w:basedOn w:val="DefaultParagraphFont"/>
    <w:link w:val="Figuretitle"/>
    <w:rsid w:val="00532249"/>
    <w:rPr>
      <w:rFonts w:ascii="Times New Roman Bold" w:hAnsi="Times New Roman Bold"/>
      <w:b/>
      <w:sz w:val="18"/>
      <w:lang w:val="en-GB" w:eastAsia="en-US"/>
    </w:rPr>
  </w:style>
  <w:style w:type="paragraph" w:customStyle="1" w:styleId="Figurewithlegend">
    <w:name w:val="Figure_with_legend"/>
    <w:basedOn w:val="Figure"/>
    <w:rsid w:val="00532249"/>
    <w:pPr>
      <w:keepLines w:val="0"/>
      <w:tabs>
        <w:tab w:val="clear" w:pos="794"/>
        <w:tab w:val="clear" w:pos="1191"/>
        <w:tab w:val="clear" w:pos="1588"/>
        <w:tab w:val="clear" w:pos="1985"/>
        <w:tab w:val="left" w:pos="1134"/>
        <w:tab w:val="left" w:pos="1871"/>
        <w:tab w:val="left" w:pos="2268"/>
      </w:tabs>
      <w:spacing w:before="120"/>
    </w:pPr>
    <w:rPr>
      <w:caps w:val="0"/>
      <w:noProof/>
      <w:sz w:val="24"/>
      <w:lang w:eastAsia="zh-CN"/>
    </w:rPr>
  </w:style>
  <w:style w:type="paragraph" w:styleId="Signature">
    <w:name w:val="Signature"/>
    <w:basedOn w:val="Normal"/>
    <w:link w:val="SignatureChar"/>
    <w:unhideWhenUsed/>
    <w:rsid w:val="00532249"/>
    <w:pPr>
      <w:tabs>
        <w:tab w:val="clear" w:pos="794"/>
        <w:tab w:val="clear" w:pos="1191"/>
        <w:tab w:val="clear" w:pos="1588"/>
        <w:tab w:val="clear" w:pos="1985"/>
        <w:tab w:val="center" w:pos="7371"/>
      </w:tabs>
      <w:spacing w:before="600"/>
      <w:jc w:val="left"/>
    </w:pPr>
  </w:style>
  <w:style w:type="character" w:customStyle="1" w:styleId="SignatureChar">
    <w:name w:val="Signature Char"/>
    <w:basedOn w:val="DefaultParagraphFont"/>
    <w:link w:val="Signature"/>
    <w:rsid w:val="00532249"/>
    <w:rPr>
      <w:sz w:val="24"/>
      <w:lang w:val="en-GB" w:eastAsia="en-US"/>
    </w:rPr>
  </w:style>
  <w:style w:type="character" w:customStyle="1" w:styleId="Heading4Char">
    <w:name w:val="Heading 4 Char"/>
    <w:basedOn w:val="DefaultParagraphFont"/>
    <w:link w:val="Heading4"/>
    <w:locked/>
    <w:rsid w:val="00532249"/>
    <w:rPr>
      <w:b/>
      <w:sz w:val="24"/>
      <w:lang w:val="en-GB" w:eastAsia="en-US"/>
    </w:rPr>
  </w:style>
  <w:style w:type="paragraph" w:customStyle="1" w:styleId="FooterSpecial0">
    <w:name w:val="Footer Special_0"/>
    <w:basedOn w:val="Footer"/>
    <w:rsid w:val="00532249"/>
    <w:pPr>
      <w:tabs>
        <w:tab w:val="left" w:pos="567"/>
        <w:tab w:val="left" w:pos="1134"/>
        <w:tab w:val="left" w:pos="1701"/>
        <w:tab w:val="left" w:pos="2268"/>
        <w:tab w:val="left" w:pos="2835"/>
        <w:tab w:val="left" w:pos="5954"/>
        <w:tab w:val="right" w:pos="9639"/>
      </w:tabs>
    </w:pPr>
    <w:rPr>
      <w:noProof w:val="0"/>
      <w:sz w:val="16"/>
    </w:rPr>
  </w:style>
  <w:style w:type="character" w:customStyle="1" w:styleId="SourceChar">
    <w:name w:val="Source Char"/>
    <w:basedOn w:val="DefaultParagraphFont"/>
    <w:link w:val="Source"/>
    <w:locked/>
    <w:rsid w:val="00532249"/>
    <w:rPr>
      <w:b/>
      <w:sz w:val="28"/>
      <w:lang w:val="en-GB" w:eastAsia="en-US"/>
    </w:rPr>
  </w:style>
  <w:style w:type="character" w:customStyle="1" w:styleId="Title1Char">
    <w:name w:val="Title 1 Char"/>
    <w:basedOn w:val="SourceChar"/>
    <w:link w:val="Title1"/>
    <w:locked/>
    <w:rsid w:val="00532249"/>
    <w:rPr>
      <w:b w:val="0"/>
      <w:caps/>
      <w:sz w:val="28"/>
      <w:lang w:val="en-GB" w:eastAsia="en-US"/>
    </w:rPr>
  </w:style>
  <w:style w:type="character" w:customStyle="1" w:styleId="HeadingbChar">
    <w:name w:val="Heading_b Char"/>
    <w:basedOn w:val="DefaultParagraphFont"/>
    <w:link w:val="Headingb"/>
    <w:qFormat/>
    <w:locked/>
    <w:rsid w:val="00532249"/>
    <w:rPr>
      <w:b/>
      <w:sz w:val="24"/>
      <w:lang w:val="en-GB" w:eastAsia="en-US"/>
    </w:rPr>
  </w:style>
  <w:style w:type="character" w:customStyle="1" w:styleId="enumlev1Char">
    <w:name w:val="enumlev1 Char"/>
    <w:basedOn w:val="DefaultParagraphFont"/>
    <w:link w:val="enumlev1"/>
    <w:locked/>
    <w:rsid w:val="00532249"/>
    <w:rPr>
      <w:sz w:val="24"/>
      <w:lang w:val="en-GB" w:eastAsia="en-US"/>
    </w:rPr>
  </w:style>
  <w:style w:type="character" w:customStyle="1" w:styleId="NormalaftertitleChar">
    <w:name w:val="Normal_after_title Char"/>
    <w:basedOn w:val="DefaultParagraphFont"/>
    <w:link w:val="Normalaftertitle"/>
    <w:locked/>
    <w:rsid w:val="00532249"/>
    <w:rPr>
      <w:sz w:val="24"/>
      <w:lang w:val="en-GB" w:eastAsia="en-US"/>
    </w:rPr>
  </w:style>
  <w:style w:type="character" w:customStyle="1" w:styleId="MentionUnresolved">
    <w:name w:val="Mention Unresolved"/>
    <w:basedOn w:val="DefaultParagraphFont"/>
    <w:uiPriority w:val="99"/>
    <w:semiHidden/>
    <w:unhideWhenUsed/>
    <w:rsid w:val="00532249"/>
    <w:rPr>
      <w:color w:val="605E5C"/>
      <w:shd w:val="clear" w:color="auto" w:fill="E1DFDD"/>
    </w:rPr>
  </w:style>
  <w:style w:type="character" w:customStyle="1" w:styleId="RectitleChar">
    <w:name w:val="Rec_title Char"/>
    <w:link w:val="Rectitle"/>
    <w:locked/>
    <w:rsid w:val="00532249"/>
    <w:rPr>
      <w:b/>
      <w:sz w:val="28"/>
      <w:lang w:val="en-GB" w:eastAsia="en-US"/>
    </w:rPr>
  </w:style>
  <w:style w:type="character" w:customStyle="1" w:styleId="Heading2Char">
    <w:name w:val="Heading 2 Char"/>
    <w:basedOn w:val="DefaultParagraphFont"/>
    <w:link w:val="Heading2"/>
    <w:rsid w:val="00532249"/>
    <w:rPr>
      <w:b/>
      <w:sz w:val="24"/>
      <w:lang w:val="en-GB" w:eastAsia="en-US"/>
    </w:rPr>
  </w:style>
  <w:style w:type="character" w:customStyle="1" w:styleId="UnresolvedMention1">
    <w:name w:val="Unresolved Mention1"/>
    <w:basedOn w:val="DefaultParagraphFont"/>
    <w:uiPriority w:val="99"/>
    <w:semiHidden/>
    <w:unhideWhenUsed/>
    <w:rsid w:val="00532249"/>
    <w:rPr>
      <w:color w:val="605E5C"/>
      <w:shd w:val="clear" w:color="auto" w:fill="E1DFDD"/>
    </w:rPr>
  </w:style>
  <w:style w:type="character" w:customStyle="1" w:styleId="Recdef">
    <w:name w:val="Rec_def"/>
    <w:basedOn w:val="DefaultParagraphFont"/>
    <w:rsid w:val="00532249"/>
    <w:rPr>
      <w:b/>
    </w:rPr>
  </w:style>
  <w:style w:type="character" w:customStyle="1" w:styleId="Resdef">
    <w:name w:val="Res_def"/>
    <w:basedOn w:val="DefaultParagraphFont"/>
    <w:rsid w:val="00532249"/>
    <w:rPr>
      <w:rFonts w:ascii="Times New Roman" w:hAnsi="Times New Roman"/>
      <w:b/>
    </w:rPr>
  </w:style>
  <w:style w:type="paragraph" w:styleId="Caption">
    <w:name w:val="caption"/>
    <w:aliases w:val="cap,cap1,cap2,cap11,Caption Char,Caption Char1 Char,cap Char Char1,Caption Char Char1 Char,cap Char2"/>
    <w:basedOn w:val="Normal"/>
    <w:next w:val="Normal"/>
    <w:link w:val="CaptionChar1"/>
    <w:unhideWhenUsed/>
    <w:qFormat/>
    <w:rsid w:val="00532249"/>
    <w:pPr>
      <w:tabs>
        <w:tab w:val="clear" w:pos="794"/>
        <w:tab w:val="clear" w:pos="1191"/>
        <w:tab w:val="clear" w:pos="1588"/>
        <w:tab w:val="clear" w:pos="1985"/>
        <w:tab w:val="left" w:pos="1134"/>
        <w:tab w:val="left" w:pos="1871"/>
        <w:tab w:val="left" w:pos="2268"/>
      </w:tabs>
      <w:spacing w:before="0" w:after="200"/>
      <w:jc w:val="left"/>
    </w:pPr>
    <w:rPr>
      <w:i/>
      <w:iCs/>
      <w:color w:val="1F497D" w:themeColor="text2"/>
      <w:sz w:val="18"/>
      <w:szCs w:val="18"/>
    </w:rPr>
  </w:style>
  <w:style w:type="character" w:customStyle="1" w:styleId="BalloonTextChar">
    <w:name w:val="Balloon Text Char"/>
    <w:basedOn w:val="DefaultParagraphFont"/>
    <w:link w:val="BalloonText"/>
    <w:uiPriority w:val="99"/>
    <w:rsid w:val="00532249"/>
    <w:rPr>
      <w:rFonts w:ascii="Segoe UI" w:hAnsi="Segoe UI" w:cs="Segoe UI"/>
      <w:sz w:val="18"/>
      <w:szCs w:val="18"/>
      <w:lang w:val="en-GB" w:eastAsia="en-US"/>
    </w:rPr>
  </w:style>
  <w:style w:type="paragraph" w:styleId="BalloonText">
    <w:name w:val="Balloon Text"/>
    <w:basedOn w:val="Normal"/>
    <w:link w:val="BalloonTextChar"/>
    <w:uiPriority w:val="99"/>
    <w:unhideWhenUsed/>
    <w:rsid w:val="00532249"/>
    <w:pPr>
      <w:tabs>
        <w:tab w:val="clear" w:pos="794"/>
        <w:tab w:val="clear" w:pos="1191"/>
        <w:tab w:val="clear" w:pos="1588"/>
        <w:tab w:val="clear" w:pos="1985"/>
        <w:tab w:val="left" w:pos="1134"/>
        <w:tab w:val="left" w:pos="1871"/>
        <w:tab w:val="left" w:pos="2268"/>
      </w:tabs>
      <w:spacing w:before="0"/>
      <w:jc w:val="left"/>
    </w:pPr>
    <w:rPr>
      <w:rFonts w:ascii="Segoe UI" w:hAnsi="Segoe UI" w:cs="Segoe UI"/>
      <w:sz w:val="18"/>
      <w:szCs w:val="18"/>
    </w:rPr>
  </w:style>
  <w:style w:type="character" w:customStyle="1" w:styleId="BalloonTextChar1">
    <w:name w:val="Balloon Text Char1"/>
    <w:basedOn w:val="DefaultParagraphFont"/>
    <w:rsid w:val="00532249"/>
    <w:rPr>
      <w:rFonts w:ascii="Segoe UI" w:hAnsi="Segoe UI" w:cs="Segoe UI"/>
      <w:sz w:val="18"/>
      <w:szCs w:val="18"/>
      <w:lang w:val="en-GB" w:eastAsia="en-US"/>
    </w:rPr>
  </w:style>
  <w:style w:type="paragraph" w:styleId="NormalWeb">
    <w:name w:val="Normal (Web)"/>
    <w:basedOn w:val="Normal"/>
    <w:uiPriority w:val="99"/>
    <w:unhideWhenUsed/>
    <w:qFormat/>
    <w:rsid w:val="00532249"/>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Theme="minorEastAsia"/>
      <w:szCs w:val="24"/>
      <w:lang w:eastAsia="en-GB"/>
    </w:rPr>
  </w:style>
  <w:style w:type="character" w:customStyle="1" w:styleId="normal0020tablechar">
    <w:name w:val="normal_0020table__char"/>
    <w:basedOn w:val="DefaultParagraphFont"/>
    <w:rsid w:val="00532249"/>
  </w:style>
  <w:style w:type="paragraph" w:customStyle="1" w:styleId="at">
    <w:name w:val="at"/>
    <w:rsid w:val="00532249"/>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eastAsia="en-US"/>
    </w:rPr>
  </w:style>
  <w:style w:type="paragraph" w:styleId="Revision">
    <w:name w:val="Revision"/>
    <w:hidden/>
    <w:uiPriority w:val="99"/>
    <w:rsid w:val="00532249"/>
    <w:rPr>
      <w:sz w:val="24"/>
      <w:lang w:val="en-GB" w:eastAsia="en-US"/>
    </w:rPr>
  </w:style>
  <w:style w:type="character" w:styleId="FollowedHyperlink">
    <w:name w:val="FollowedHyperlink"/>
    <w:basedOn w:val="DefaultParagraphFont"/>
    <w:unhideWhenUsed/>
    <w:rsid w:val="00532249"/>
    <w:rPr>
      <w:color w:val="800080" w:themeColor="followedHyperlink"/>
      <w:u w:val="single"/>
    </w:rPr>
  </w:style>
  <w:style w:type="character" w:styleId="PlaceholderText">
    <w:name w:val="Placeholder Text"/>
    <w:basedOn w:val="DefaultParagraphFont"/>
    <w:uiPriority w:val="99"/>
    <w:rsid w:val="00532249"/>
    <w:rPr>
      <w:color w:val="808080"/>
    </w:rPr>
  </w:style>
  <w:style w:type="character" w:styleId="CommentReference">
    <w:name w:val="annotation reference"/>
    <w:basedOn w:val="DefaultParagraphFont"/>
    <w:unhideWhenUsed/>
    <w:rsid w:val="00532249"/>
    <w:rPr>
      <w:sz w:val="16"/>
      <w:szCs w:val="16"/>
    </w:rPr>
  </w:style>
  <w:style w:type="paragraph" w:styleId="CommentText">
    <w:name w:val="annotation text"/>
    <w:basedOn w:val="Normal"/>
    <w:link w:val="CommentTextChar"/>
    <w:unhideWhenUsed/>
    <w:rsid w:val="00532249"/>
    <w:pPr>
      <w:tabs>
        <w:tab w:val="clear" w:pos="794"/>
        <w:tab w:val="clear" w:pos="1191"/>
        <w:tab w:val="clear" w:pos="1588"/>
        <w:tab w:val="clear" w:pos="1985"/>
        <w:tab w:val="left" w:pos="1134"/>
        <w:tab w:val="left" w:pos="1871"/>
        <w:tab w:val="left" w:pos="2268"/>
      </w:tabs>
      <w:jc w:val="left"/>
    </w:pPr>
    <w:rPr>
      <w:sz w:val="20"/>
    </w:rPr>
  </w:style>
  <w:style w:type="character" w:customStyle="1" w:styleId="CommentTextChar">
    <w:name w:val="Comment Text Char"/>
    <w:basedOn w:val="DefaultParagraphFont"/>
    <w:link w:val="CommentText"/>
    <w:rsid w:val="00532249"/>
    <w:rPr>
      <w:lang w:val="en-GB" w:eastAsia="en-US"/>
    </w:rPr>
  </w:style>
  <w:style w:type="paragraph" w:styleId="CommentSubject">
    <w:name w:val="annotation subject"/>
    <w:basedOn w:val="CommentText"/>
    <w:next w:val="CommentText"/>
    <w:link w:val="CommentSubjectChar"/>
    <w:unhideWhenUsed/>
    <w:rsid w:val="00532249"/>
    <w:rPr>
      <w:b/>
      <w:bCs/>
    </w:rPr>
  </w:style>
  <w:style w:type="character" w:customStyle="1" w:styleId="CommentSubjectChar">
    <w:name w:val="Comment Subject Char"/>
    <w:basedOn w:val="CommentTextChar"/>
    <w:link w:val="CommentSubject"/>
    <w:rsid w:val="00532249"/>
    <w:rPr>
      <w:b/>
      <w:bCs/>
      <w:lang w:val="en-GB" w:eastAsia="en-US"/>
    </w:rPr>
  </w:style>
  <w:style w:type="character" w:customStyle="1" w:styleId="MentionUnresolved0">
    <w:name w:val="Mention Unresolved_0"/>
    <w:basedOn w:val="DefaultParagraphFont"/>
    <w:uiPriority w:val="99"/>
    <w:semiHidden/>
    <w:unhideWhenUsed/>
    <w:rsid w:val="00532249"/>
    <w:rPr>
      <w:color w:val="605E5C"/>
      <w:shd w:val="clear" w:color="auto" w:fill="E1DFDD"/>
    </w:rPr>
  </w:style>
  <w:style w:type="character" w:styleId="Emphasis">
    <w:name w:val="Emphasis"/>
    <w:basedOn w:val="DefaultParagraphFont"/>
    <w:qFormat/>
    <w:rsid w:val="00532249"/>
    <w:rPr>
      <w:i/>
      <w:iCs/>
    </w:rPr>
  </w:style>
  <w:style w:type="paragraph" w:styleId="ListParagraph">
    <w:name w:val="List Paragraph"/>
    <w:basedOn w:val="Normal"/>
    <w:link w:val="ListParagraphChar"/>
    <w:uiPriority w:val="34"/>
    <w:qFormat/>
    <w:rsid w:val="00532249"/>
    <w:pPr>
      <w:tabs>
        <w:tab w:val="clear" w:pos="794"/>
        <w:tab w:val="clear" w:pos="1191"/>
        <w:tab w:val="clear" w:pos="1588"/>
        <w:tab w:val="clear" w:pos="1985"/>
        <w:tab w:val="left" w:pos="1134"/>
        <w:tab w:val="left" w:pos="1871"/>
        <w:tab w:val="left" w:pos="2268"/>
      </w:tabs>
      <w:ind w:left="720"/>
      <w:contextualSpacing/>
      <w:jc w:val="left"/>
    </w:pPr>
  </w:style>
  <w:style w:type="character" w:customStyle="1" w:styleId="Mentionnonrsolue1">
    <w:name w:val="Mention non résolue1"/>
    <w:basedOn w:val="DefaultParagraphFont"/>
    <w:uiPriority w:val="99"/>
    <w:semiHidden/>
    <w:unhideWhenUsed/>
    <w:rsid w:val="00532249"/>
    <w:rPr>
      <w:color w:val="605E5C"/>
      <w:shd w:val="clear" w:color="auto" w:fill="E1DFDD"/>
    </w:rPr>
  </w:style>
  <w:style w:type="character" w:customStyle="1" w:styleId="Heading5Char">
    <w:name w:val="Heading 5 Char"/>
    <w:basedOn w:val="DefaultParagraphFont"/>
    <w:link w:val="Heading5"/>
    <w:locked/>
    <w:rsid w:val="00532249"/>
    <w:rPr>
      <w:b/>
      <w:sz w:val="24"/>
      <w:lang w:val="en-GB" w:eastAsia="en-US"/>
    </w:rPr>
  </w:style>
  <w:style w:type="character" w:customStyle="1" w:styleId="Heading6Char">
    <w:name w:val="Heading 6 Char"/>
    <w:basedOn w:val="DefaultParagraphFont"/>
    <w:link w:val="Heading6"/>
    <w:locked/>
    <w:rsid w:val="00532249"/>
    <w:rPr>
      <w:b/>
      <w:sz w:val="24"/>
      <w:lang w:val="en-GB" w:eastAsia="en-US"/>
    </w:rPr>
  </w:style>
  <w:style w:type="character" w:customStyle="1" w:styleId="Heading7Char">
    <w:name w:val="Heading 7 Char"/>
    <w:basedOn w:val="DefaultParagraphFont"/>
    <w:link w:val="Heading7"/>
    <w:locked/>
    <w:rsid w:val="00532249"/>
    <w:rPr>
      <w:b/>
      <w:sz w:val="24"/>
      <w:lang w:val="en-GB" w:eastAsia="en-US"/>
    </w:rPr>
  </w:style>
  <w:style w:type="character" w:customStyle="1" w:styleId="Heading8Char">
    <w:name w:val="Heading 8 Char"/>
    <w:basedOn w:val="DefaultParagraphFont"/>
    <w:link w:val="Heading8"/>
    <w:locked/>
    <w:rsid w:val="00532249"/>
    <w:rPr>
      <w:b/>
      <w:sz w:val="24"/>
      <w:lang w:val="en-GB" w:eastAsia="en-US"/>
    </w:rPr>
  </w:style>
  <w:style w:type="character" w:customStyle="1" w:styleId="Heading9Char">
    <w:name w:val="Heading 9 Char"/>
    <w:basedOn w:val="DefaultParagraphFont"/>
    <w:link w:val="Heading9"/>
    <w:locked/>
    <w:rsid w:val="00532249"/>
    <w:rPr>
      <w:b/>
      <w:sz w:val="24"/>
      <w:lang w:val="en-GB" w:eastAsia="en-US"/>
    </w:rPr>
  </w:style>
  <w:style w:type="character" w:customStyle="1" w:styleId="BalloonTextChar11">
    <w:name w:val="Balloon Text Char11"/>
    <w:basedOn w:val="DefaultParagraphFont"/>
    <w:rsid w:val="00532249"/>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532249"/>
    <w:rPr>
      <w:rFonts w:cs="Times New Roman"/>
      <w:color w:val="605E5C"/>
      <w:shd w:val="clear" w:color="auto" w:fill="E1DFDD"/>
    </w:rPr>
  </w:style>
  <w:style w:type="character" w:customStyle="1" w:styleId="NoteChar">
    <w:name w:val="Note Char"/>
    <w:basedOn w:val="DefaultParagraphFont"/>
    <w:link w:val="Note"/>
    <w:locked/>
    <w:rsid w:val="00532249"/>
    <w:rPr>
      <w:sz w:val="22"/>
      <w:lang w:val="en-GB" w:eastAsia="en-US"/>
    </w:rPr>
  </w:style>
  <w:style w:type="character" w:customStyle="1" w:styleId="CallChar">
    <w:name w:val="Call Char"/>
    <w:link w:val="Call"/>
    <w:locked/>
    <w:rsid w:val="00532249"/>
    <w:rPr>
      <w:i/>
      <w:sz w:val="24"/>
      <w:lang w:val="en-GB" w:eastAsia="en-US"/>
    </w:rPr>
  </w:style>
  <w:style w:type="character" w:customStyle="1" w:styleId="RecNoChar">
    <w:name w:val="Rec_No Char"/>
    <w:link w:val="RecNo"/>
    <w:locked/>
    <w:rsid w:val="00532249"/>
    <w:rPr>
      <w:sz w:val="28"/>
      <w:lang w:val="en-GB" w:eastAsia="en-US"/>
    </w:rPr>
  </w:style>
  <w:style w:type="paragraph" w:customStyle="1" w:styleId="Before">
    <w:name w:val="Before"/>
    <w:basedOn w:val="RecNo"/>
    <w:rsid w:val="00532249"/>
    <w:pPr>
      <w:spacing w:before="0"/>
    </w:pPr>
    <w:rPr>
      <w:lang w:val="fr-FR"/>
    </w:rPr>
  </w:style>
  <w:style w:type="paragraph" w:customStyle="1" w:styleId="SpecialFooter">
    <w:name w:val="Special Footer"/>
    <w:basedOn w:val="Footer"/>
    <w:rsid w:val="00532249"/>
    <w:pPr>
      <w:tabs>
        <w:tab w:val="left" w:pos="567"/>
        <w:tab w:val="left" w:pos="1134"/>
        <w:tab w:val="left" w:pos="1701"/>
        <w:tab w:val="left" w:pos="2268"/>
        <w:tab w:val="left" w:pos="2835"/>
        <w:tab w:val="left" w:pos="5954"/>
        <w:tab w:val="right" w:pos="9639"/>
      </w:tabs>
    </w:pPr>
    <w:rPr>
      <w:rFonts w:eastAsia="MS Mincho"/>
      <w:noProof w:val="0"/>
      <w:sz w:val="16"/>
    </w:rPr>
  </w:style>
  <w:style w:type="character" w:customStyle="1" w:styleId="TableheadChar">
    <w:name w:val="Table_head Char"/>
    <w:link w:val="Tablehead"/>
    <w:locked/>
    <w:rsid w:val="00532249"/>
    <w:rPr>
      <w:b/>
      <w:sz w:val="22"/>
      <w:lang w:val="en-GB" w:eastAsia="en-US"/>
    </w:rPr>
  </w:style>
  <w:style w:type="character" w:customStyle="1" w:styleId="TableNoChar">
    <w:name w:val="Table_No Char"/>
    <w:link w:val="TableNo"/>
    <w:rsid w:val="00532249"/>
    <w:rPr>
      <w:sz w:val="24"/>
      <w:lang w:val="en-GB" w:eastAsia="en-US"/>
    </w:rPr>
  </w:style>
  <w:style w:type="character" w:customStyle="1" w:styleId="TabletextChar">
    <w:name w:val="Table_text Char"/>
    <w:link w:val="Tabletext"/>
    <w:locked/>
    <w:rsid w:val="00532249"/>
    <w:rPr>
      <w:sz w:val="22"/>
      <w:lang w:val="en-GB" w:eastAsia="en-US"/>
    </w:rPr>
  </w:style>
  <w:style w:type="character" w:customStyle="1" w:styleId="TabletitleChar">
    <w:name w:val="Table_title Char"/>
    <w:link w:val="Tabletitle"/>
    <w:qFormat/>
    <w:rsid w:val="00532249"/>
    <w:rPr>
      <w:b/>
      <w:sz w:val="24"/>
      <w:lang w:val="en-GB" w:eastAsia="en-US"/>
    </w:rPr>
  </w:style>
  <w:style w:type="character" w:customStyle="1" w:styleId="FigureChar">
    <w:name w:val="Figure Char"/>
    <w:aliases w:val="fig Char"/>
    <w:link w:val="Figure"/>
    <w:rsid w:val="00532249"/>
    <w:rPr>
      <w:caps/>
      <w:sz w:val="18"/>
      <w:lang w:val="en-GB" w:eastAsia="en-US"/>
    </w:rPr>
  </w:style>
  <w:style w:type="character" w:customStyle="1" w:styleId="FigureNo0">
    <w:name w:val="Figure_No (文字)"/>
    <w:link w:val="FigureNo"/>
    <w:rsid w:val="00532249"/>
    <w:rPr>
      <w:caps/>
      <w:sz w:val="18"/>
      <w:lang w:val="en-GB" w:eastAsia="en-US"/>
    </w:rPr>
  </w:style>
  <w:style w:type="character" w:customStyle="1" w:styleId="TablelegendChar">
    <w:name w:val="Table_legend Char"/>
    <w:link w:val="Tablelegend"/>
    <w:locked/>
    <w:rsid w:val="00532249"/>
    <w:rPr>
      <w:sz w:val="22"/>
      <w:lang w:val="en-GB" w:eastAsia="en-US"/>
    </w:rPr>
  </w:style>
  <w:style w:type="paragraph" w:styleId="Title">
    <w:name w:val="Title"/>
    <w:basedOn w:val="Normal"/>
    <w:link w:val="TitleChar"/>
    <w:uiPriority w:val="99"/>
    <w:qFormat/>
    <w:rsid w:val="00532249"/>
    <w:pPr>
      <w:tabs>
        <w:tab w:val="clear" w:pos="794"/>
        <w:tab w:val="clear" w:pos="1191"/>
        <w:tab w:val="clear" w:pos="1588"/>
        <w:tab w:val="clear" w:pos="1985"/>
      </w:tabs>
      <w:overflowPunct/>
      <w:autoSpaceDE/>
      <w:autoSpaceDN/>
      <w:adjustRightInd/>
      <w:spacing w:before="0"/>
      <w:jc w:val="center"/>
      <w:textAlignment w:val="auto"/>
    </w:pPr>
    <w:rPr>
      <w:rFonts w:eastAsia="MS Mincho"/>
      <w:b/>
      <w:bCs/>
      <w:szCs w:val="24"/>
      <w:lang w:val="en-US"/>
    </w:rPr>
  </w:style>
  <w:style w:type="character" w:customStyle="1" w:styleId="TitleChar">
    <w:name w:val="Title Char"/>
    <w:basedOn w:val="DefaultParagraphFont"/>
    <w:link w:val="Title"/>
    <w:uiPriority w:val="99"/>
    <w:rsid w:val="00532249"/>
    <w:rPr>
      <w:rFonts w:eastAsia="MS Mincho"/>
      <w:b/>
      <w:bCs/>
      <w:sz w:val="24"/>
      <w:szCs w:val="24"/>
      <w:lang w:eastAsia="en-US"/>
    </w:rPr>
  </w:style>
  <w:style w:type="paragraph" w:styleId="BodyText">
    <w:name w:val="Body Text"/>
    <w:basedOn w:val="Normal"/>
    <w:link w:val="BodyTextChar"/>
    <w:qFormat/>
    <w:rsid w:val="00532249"/>
    <w:pPr>
      <w:tabs>
        <w:tab w:val="clear" w:pos="794"/>
        <w:tab w:val="clear" w:pos="1191"/>
        <w:tab w:val="clear" w:pos="1588"/>
        <w:tab w:val="clear" w:pos="1985"/>
      </w:tabs>
      <w:overflowPunct/>
      <w:autoSpaceDE/>
      <w:autoSpaceDN/>
      <w:adjustRightInd/>
      <w:spacing w:before="0"/>
      <w:jc w:val="left"/>
      <w:textAlignment w:val="auto"/>
    </w:pPr>
    <w:rPr>
      <w:rFonts w:eastAsia="MS Mincho"/>
      <w:b/>
      <w:bCs/>
      <w:szCs w:val="24"/>
      <w:lang w:val="en-US"/>
    </w:rPr>
  </w:style>
  <w:style w:type="character" w:customStyle="1" w:styleId="BodyTextChar">
    <w:name w:val="Body Text Char"/>
    <w:basedOn w:val="DefaultParagraphFont"/>
    <w:link w:val="BodyText"/>
    <w:rsid w:val="00532249"/>
    <w:rPr>
      <w:rFonts w:eastAsia="MS Mincho"/>
      <w:b/>
      <w:bCs/>
      <w:sz w:val="24"/>
      <w:szCs w:val="24"/>
      <w:lang w:eastAsia="en-US"/>
    </w:rPr>
  </w:style>
  <w:style w:type="paragraph" w:styleId="Subtitle">
    <w:name w:val="Subtitle"/>
    <w:basedOn w:val="Normal"/>
    <w:link w:val="SubtitleChar"/>
    <w:uiPriority w:val="99"/>
    <w:qFormat/>
    <w:rsid w:val="00532249"/>
    <w:pPr>
      <w:tabs>
        <w:tab w:val="clear" w:pos="794"/>
        <w:tab w:val="clear" w:pos="1191"/>
        <w:tab w:val="clear" w:pos="1588"/>
        <w:tab w:val="clear" w:pos="1985"/>
      </w:tabs>
      <w:overflowPunct/>
      <w:autoSpaceDE/>
      <w:autoSpaceDN/>
      <w:adjustRightInd/>
      <w:spacing w:before="0"/>
      <w:jc w:val="left"/>
      <w:textAlignment w:val="auto"/>
    </w:pPr>
    <w:rPr>
      <w:rFonts w:eastAsia="MS Mincho"/>
      <w:szCs w:val="24"/>
      <w:u w:val="single"/>
      <w:lang w:val="en-US"/>
    </w:rPr>
  </w:style>
  <w:style w:type="character" w:customStyle="1" w:styleId="SubtitleChar">
    <w:name w:val="Subtitle Char"/>
    <w:basedOn w:val="DefaultParagraphFont"/>
    <w:link w:val="Subtitle"/>
    <w:uiPriority w:val="99"/>
    <w:rsid w:val="00532249"/>
    <w:rPr>
      <w:rFonts w:eastAsia="MS Mincho"/>
      <w:sz w:val="24"/>
      <w:szCs w:val="24"/>
      <w:u w:val="single"/>
      <w:lang w:eastAsia="en-US"/>
    </w:rPr>
  </w:style>
  <w:style w:type="paragraph" w:styleId="BlockText">
    <w:name w:val="Block Text"/>
    <w:basedOn w:val="Normal"/>
    <w:uiPriority w:val="99"/>
    <w:rsid w:val="00532249"/>
    <w:pPr>
      <w:tabs>
        <w:tab w:val="clear" w:pos="794"/>
        <w:tab w:val="clear" w:pos="1191"/>
        <w:tab w:val="clear" w:pos="1588"/>
        <w:tab w:val="clear" w:pos="1985"/>
        <w:tab w:val="left" w:pos="1170"/>
      </w:tabs>
      <w:overflowPunct/>
      <w:autoSpaceDE/>
      <w:autoSpaceDN/>
      <w:adjustRightInd/>
      <w:spacing w:before="0"/>
      <w:ind w:left="720" w:right="720"/>
      <w:jc w:val="left"/>
      <w:textAlignment w:val="auto"/>
    </w:pPr>
    <w:rPr>
      <w:rFonts w:ascii="Arial" w:eastAsia="MS Mincho" w:hAnsi="Arial" w:cs="Arial"/>
      <w:sz w:val="22"/>
      <w:szCs w:val="24"/>
      <w:lang w:val="en-US"/>
    </w:rPr>
  </w:style>
  <w:style w:type="paragraph" w:styleId="BodyText2">
    <w:name w:val="Body Text 2"/>
    <w:basedOn w:val="Normal"/>
    <w:link w:val="BodyText2Char"/>
    <w:rsid w:val="00532249"/>
    <w:pPr>
      <w:tabs>
        <w:tab w:val="clear" w:pos="794"/>
        <w:tab w:val="clear" w:pos="1191"/>
        <w:tab w:val="clear" w:pos="1588"/>
        <w:tab w:val="clear" w:pos="1985"/>
        <w:tab w:val="left" w:pos="1080"/>
      </w:tabs>
      <w:overflowPunct/>
      <w:autoSpaceDE/>
      <w:autoSpaceDN/>
      <w:adjustRightInd/>
      <w:spacing w:before="0"/>
      <w:jc w:val="left"/>
      <w:textAlignment w:val="auto"/>
    </w:pPr>
    <w:rPr>
      <w:rFonts w:ascii="Arial" w:eastAsia="MS Mincho" w:hAnsi="Arial" w:cs="Arial"/>
      <w:sz w:val="22"/>
      <w:szCs w:val="24"/>
      <w:lang w:val="en-US"/>
    </w:rPr>
  </w:style>
  <w:style w:type="character" w:customStyle="1" w:styleId="BodyText2Char">
    <w:name w:val="Body Text 2 Char"/>
    <w:basedOn w:val="DefaultParagraphFont"/>
    <w:link w:val="BodyText2"/>
    <w:rsid w:val="00532249"/>
    <w:rPr>
      <w:rFonts w:ascii="Arial" w:eastAsia="MS Mincho" w:hAnsi="Arial" w:cs="Arial"/>
      <w:sz w:val="22"/>
      <w:szCs w:val="24"/>
      <w:lang w:eastAsia="en-US"/>
    </w:rPr>
  </w:style>
  <w:style w:type="paragraph" w:styleId="BodyText3">
    <w:name w:val="Body Text 3"/>
    <w:basedOn w:val="Normal"/>
    <w:link w:val="BodyText3Char"/>
    <w:rsid w:val="00532249"/>
    <w:pPr>
      <w:tabs>
        <w:tab w:val="clear" w:pos="794"/>
        <w:tab w:val="clear" w:pos="1191"/>
        <w:tab w:val="clear" w:pos="1588"/>
        <w:tab w:val="clear" w:pos="1985"/>
      </w:tabs>
      <w:overflowPunct/>
      <w:autoSpaceDE/>
      <w:autoSpaceDN/>
      <w:adjustRightInd/>
      <w:spacing w:before="0"/>
      <w:jc w:val="left"/>
      <w:textAlignment w:val="auto"/>
    </w:pPr>
    <w:rPr>
      <w:rFonts w:ascii="Arial" w:eastAsia="MS Mincho" w:hAnsi="Arial" w:cs="Arial"/>
      <w:color w:val="00FF00"/>
      <w:sz w:val="22"/>
      <w:szCs w:val="24"/>
      <w:lang w:val="en-US"/>
    </w:rPr>
  </w:style>
  <w:style w:type="character" w:customStyle="1" w:styleId="BodyText3Char">
    <w:name w:val="Body Text 3 Char"/>
    <w:basedOn w:val="DefaultParagraphFont"/>
    <w:link w:val="BodyText3"/>
    <w:rsid w:val="00532249"/>
    <w:rPr>
      <w:rFonts w:ascii="Arial" w:eastAsia="MS Mincho" w:hAnsi="Arial" w:cs="Arial"/>
      <w:color w:val="00FF00"/>
      <w:sz w:val="22"/>
      <w:szCs w:val="24"/>
      <w:lang w:eastAsia="en-US"/>
    </w:rPr>
  </w:style>
  <w:style w:type="paragraph" w:styleId="BodyTextIndent">
    <w:name w:val="Body Text Indent"/>
    <w:basedOn w:val="Normal"/>
    <w:link w:val="BodyTextIndentChar"/>
    <w:uiPriority w:val="99"/>
    <w:rsid w:val="00532249"/>
    <w:pPr>
      <w:tabs>
        <w:tab w:val="clear" w:pos="794"/>
        <w:tab w:val="clear" w:pos="1191"/>
        <w:tab w:val="clear" w:pos="1588"/>
        <w:tab w:val="clear" w:pos="1985"/>
      </w:tabs>
      <w:overflowPunct/>
      <w:autoSpaceDE/>
      <w:autoSpaceDN/>
      <w:adjustRightInd/>
      <w:spacing w:before="0"/>
      <w:ind w:firstLine="720"/>
      <w:jc w:val="left"/>
      <w:textAlignment w:val="auto"/>
    </w:pPr>
    <w:rPr>
      <w:rFonts w:ascii="Arial" w:eastAsia="MS Mincho" w:hAnsi="Arial" w:cs="Arial"/>
      <w:sz w:val="22"/>
      <w:szCs w:val="24"/>
      <w:lang w:val="en-US"/>
    </w:rPr>
  </w:style>
  <w:style w:type="character" w:customStyle="1" w:styleId="BodyTextIndentChar">
    <w:name w:val="Body Text Indent Char"/>
    <w:basedOn w:val="DefaultParagraphFont"/>
    <w:link w:val="BodyTextIndent"/>
    <w:uiPriority w:val="99"/>
    <w:rsid w:val="00532249"/>
    <w:rPr>
      <w:rFonts w:ascii="Arial" w:eastAsia="MS Mincho" w:hAnsi="Arial" w:cs="Arial"/>
      <w:sz w:val="22"/>
      <w:szCs w:val="24"/>
      <w:lang w:eastAsia="en-US"/>
    </w:rPr>
  </w:style>
  <w:style w:type="paragraph" w:styleId="BodyTextIndent2">
    <w:name w:val="Body Text Indent 2"/>
    <w:basedOn w:val="Normal"/>
    <w:link w:val="BodyTextIndent2Char"/>
    <w:uiPriority w:val="99"/>
    <w:rsid w:val="00532249"/>
    <w:pPr>
      <w:tabs>
        <w:tab w:val="clear" w:pos="794"/>
        <w:tab w:val="clear" w:pos="1191"/>
        <w:tab w:val="clear" w:pos="1588"/>
        <w:tab w:val="clear" w:pos="1985"/>
      </w:tabs>
      <w:overflowPunct/>
      <w:spacing w:before="0"/>
      <w:ind w:left="180"/>
      <w:jc w:val="left"/>
      <w:textAlignment w:val="auto"/>
    </w:pPr>
    <w:rPr>
      <w:rFonts w:eastAsia="MS Mincho"/>
      <w:szCs w:val="24"/>
      <w:lang w:val="en-US"/>
    </w:rPr>
  </w:style>
  <w:style w:type="character" w:customStyle="1" w:styleId="BodyTextIndent2Char">
    <w:name w:val="Body Text Indent 2 Char"/>
    <w:basedOn w:val="DefaultParagraphFont"/>
    <w:link w:val="BodyTextIndent2"/>
    <w:uiPriority w:val="99"/>
    <w:rsid w:val="00532249"/>
    <w:rPr>
      <w:rFonts w:eastAsia="MS Mincho"/>
      <w:sz w:val="24"/>
      <w:szCs w:val="24"/>
      <w:lang w:eastAsia="en-US"/>
    </w:rPr>
  </w:style>
  <w:style w:type="paragraph" w:customStyle="1" w:styleId="TableTitle0">
    <w:name w:val="Table_Title"/>
    <w:basedOn w:val="Normal"/>
    <w:next w:val="Normal"/>
    <w:uiPriority w:val="99"/>
    <w:rsid w:val="00532249"/>
    <w:pPr>
      <w:keepNext/>
      <w:tabs>
        <w:tab w:val="clear" w:pos="794"/>
        <w:tab w:val="clear" w:pos="1191"/>
        <w:tab w:val="clear" w:pos="1588"/>
        <w:tab w:val="clear" w:pos="1985"/>
      </w:tabs>
      <w:spacing w:before="0" w:after="113"/>
      <w:jc w:val="center"/>
    </w:pPr>
    <w:rPr>
      <w:rFonts w:eastAsia="MS Mincho"/>
      <w:b/>
      <w:sz w:val="18"/>
    </w:rPr>
  </w:style>
  <w:style w:type="paragraph" w:styleId="BodyTextIndent3">
    <w:name w:val="Body Text Indent 3"/>
    <w:basedOn w:val="Normal"/>
    <w:link w:val="BodyTextIndent3Char"/>
    <w:uiPriority w:val="99"/>
    <w:rsid w:val="00532249"/>
    <w:pPr>
      <w:widowControl w:val="0"/>
      <w:tabs>
        <w:tab w:val="clear" w:pos="794"/>
        <w:tab w:val="clear" w:pos="1191"/>
        <w:tab w:val="clear" w:pos="1588"/>
        <w:tab w:val="clear" w:pos="1985"/>
      </w:tabs>
      <w:overflowPunct/>
      <w:autoSpaceDE/>
      <w:autoSpaceDN/>
      <w:adjustRightInd/>
      <w:spacing w:before="0"/>
      <w:ind w:left="525" w:hangingChars="250" w:hanging="525"/>
      <w:textAlignment w:val="auto"/>
    </w:pPr>
    <w:rPr>
      <w:rFonts w:ascii="Century" w:eastAsia="MS Mincho" w:hAnsi="Century"/>
      <w:kern w:val="2"/>
      <w:sz w:val="21"/>
      <w:szCs w:val="24"/>
      <w:lang w:val="en-US" w:eastAsia="ja-JP"/>
    </w:rPr>
  </w:style>
  <w:style w:type="character" w:customStyle="1" w:styleId="BodyTextIndent3Char">
    <w:name w:val="Body Text Indent 3 Char"/>
    <w:basedOn w:val="DefaultParagraphFont"/>
    <w:link w:val="BodyTextIndent3"/>
    <w:uiPriority w:val="99"/>
    <w:rsid w:val="00532249"/>
    <w:rPr>
      <w:rFonts w:ascii="Century" w:eastAsia="MS Mincho" w:hAnsi="Century"/>
      <w:kern w:val="2"/>
      <w:sz w:val="21"/>
      <w:szCs w:val="24"/>
      <w:lang w:eastAsia="ja-JP"/>
    </w:rPr>
  </w:style>
  <w:style w:type="paragraph" w:styleId="PlainText">
    <w:name w:val="Plain Text"/>
    <w:basedOn w:val="Normal"/>
    <w:link w:val="PlainTextChar"/>
    <w:uiPriority w:val="99"/>
    <w:rsid w:val="00532249"/>
    <w:pPr>
      <w:tabs>
        <w:tab w:val="clear" w:pos="794"/>
        <w:tab w:val="clear" w:pos="1191"/>
        <w:tab w:val="clear" w:pos="1588"/>
        <w:tab w:val="clear" w:pos="1985"/>
      </w:tabs>
      <w:spacing w:before="0"/>
      <w:jc w:val="left"/>
    </w:pPr>
    <w:rPr>
      <w:rFonts w:ascii="Courier New" w:eastAsia="MS Mincho" w:hAnsi="Courier New"/>
      <w:sz w:val="20"/>
      <w:lang w:val="en-US"/>
    </w:rPr>
  </w:style>
  <w:style w:type="character" w:customStyle="1" w:styleId="PlainTextChar">
    <w:name w:val="Plain Text Char"/>
    <w:basedOn w:val="DefaultParagraphFont"/>
    <w:link w:val="PlainText"/>
    <w:uiPriority w:val="99"/>
    <w:rsid w:val="00532249"/>
    <w:rPr>
      <w:rFonts w:ascii="Courier New" w:eastAsia="MS Mincho" w:hAnsi="Courier New"/>
      <w:lang w:eastAsia="en-US"/>
    </w:rPr>
  </w:style>
  <w:style w:type="character" w:styleId="Strong">
    <w:name w:val="Strong"/>
    <w:qFormat/>
    <w:rsid w:val="00532249"/>
    <w:rPr>
      <w:rFonts w:cs="Times New Roman"/>
      <w:b/>
      <w:bCs/>
    </w:rPr>
  </w:style>
  <w:style w:type="paragraph" w:styleId="Date">
    <w:name w:val="Date"/>
    <w:basedOn w:val="Normal"/>
    <w:next w:val="Normal"/>
    <w:link w:val="DateChar"/>
    <w:uiPriority w:val="99"/>
    <w:rsid w:val="00532249"/>
    <w:pPr>
      <w:jc w:val="left"/>
    </w:pPr>
    <w:rPr>
      <w:rFonts w:eastAsia="MS Mincho"/>
    </w:rPr>
  </w:style>
  <w:style w:type="character" w:customStyle="1" w:styleId="DateChar">
    <w:name w:val="Date Char"/>
    <w:basedOn w:val="DefaultParagraphFont"/>
    <w:link w:val="Date"/>
    <w:uiPriority w:val="99"/>
    <w:rsid w:val="00532249"/>
    <w:rPr>
      <w:rFonts w:eastAsia="MS Mincho"/>
      <w:sz w:val="24"/>
      <w:lang w:val="en-GB" w:eastAsia="en-US"/>
    </w:rPr>
  </w:style>
  <w:style w:type="paragraph" w:styleId="HTMLPreformatted">
    <w:name w:val="HTML Preformatted"/>
    <w:basedOn w:val="Normal"/>
    <w:link w:val="HTMLPreformattedChar"/>
    <w:uiPriority w:val="99"/>
    <w:rsid w:val="005322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MS Gothic" w:eastAsia="MS Gothic" w:hAnsi="MS Gothic" w:cs="MS Gothic"/>
      <w:szCs w:val="24"/>
      <w:lang w:val="en-US" w:eastAsia="ja-JP"/>
    </w:rPr>
  </w:style>
  <w:style w:type="character" w:customStyle="1" w:styleId="HTMLPreformattedChar">
    <w:name w:val="HTML Preformatted Char"/>
    <w:basedOn w:val="DefaultParagraphFont"/>
    <w:link w:val="HTMLPreformatted"/>
    <w:uiPriority w:val="99"/>
    <w:rsid w:val="00532249"/>
    <w:rPr>
      <w:rFonts w:ascii="MS Gothic" w:eastAsia="MS Gothic" w:hAnsi="MS Gothic" w:cs="MS Gothic"/>
      <w:sz w:val="24"/>
      <w:szCs w:val="24"/>
      <w:lang w:eastAsia="ja-JP"/>
    </w:rPr>
  </w:style>
  <w:style w:type="paragraph" w:styleId="TOC9">
    <w:name w:val="toc 9"/>
    <w:basedOn w:val="Normal"/>
    <w:next w:val="Normal"/>
    <w:uiPriority w:val="99"/>
    <w:rsid w:val="00532249"/>
    <w:pPr>
      <w:tabs>
        <w:tab w:val="clear" w:pos="794"/>
        <w:tab w:val="clear" w:pos="1191"/>
        <w:tab w:val="clear" w:pos="1588"/>
        <w:tab w:val="clear" w:pos="1985"/>
        <w:tab w:val="right" w:leader="dot" w:pos="8640"/>
      </w:tabs>
      <w:overflowPunct/>
      <w:autoSpaceDE/>
      <w:autoSpaceDN/>
      <w:adjustRightInd/>
      <w:spacing w:before="240"/>
      <w:ind w:left="1600"/>
      <w:textAlignment w:val="auto"/>
    </w:pPr>
    <w:rPr>
      <w:rFonts w:ascii="Times" w:eastAsia="MS Mincho" w:hAnsi="Times"/>
      <w:sz w:val="20"/>
      <w:lang w:val="en-US"/>
    </w:rPr>
  </w:style>
  <w:style w:type="paragraph" w:styleId="DocumentMap">
    <w:name w:val="Document Map"/>
    <w:basedOn w:val="Normal"/>
    <w:link w:val="DocumentMapChar"/>
    <w:uiPriority w:val="99"/>
    <w:rsid w:val="00532249"/>
    <w:pPr>
      <w:shd w:val="clear" w:color="auto" w:fill="000080"/>
      <w:tabs>
        <w:tab w:val="clear" w:pos="794"/>
        <w:tab w:val="clear" w:pos="1191"/>
        <w:tab w:val="clear" w:pos="1588"/>
        <w:tab w:val="clear" w:pos="1985"/>
      </w:tabs>
      <w:overflowPunct/>
      <w:autoSpaceDE/>
      <w:autoSpaceDN/>
      <w:adjustRightInd/>
      <w:spacing w:before="240"/>
      <w:textAlignment w:val="auto"/>
    </w:pPr>
    <w:rPr>
      <w:rFonts w:ascii="Tahoma" w:eastAsia="MS Mincho" w:hAnsi="Tahoma" w:cs="Tahoma"/>
      <w:sz w:val="20"/>
      <w:lang w:val="en-US"/>
    </w:rPr>
  </w:style>
  <w:style w:type="character" w:customStyle="1" w:styleId="DocumentMapChar">
    <w:name w:val="Document Map Char"/>
    <w:basedOn w:val="DefaultParagraphFont"/>
    <w:link w:val="DocumentMap"/>
    <w:uiPriority w:val="99"/>
    <w:rsid w:val="00532249"/>
    <w:rPr>
      <w:rFonts w:ascii="Tahoma" w:eastAsia="MS Mincho" w:hAnsi="Tahoma" w:cs="Tahoma"/>
      <w:shd w:val="clear" w:color="auto" w:fill="000080"/>
      <w:lang w:eastAsia="en-US"/>
    </w:rPr>
  </w:style>
  <w:style w:type="paragraph" w:customStyle="1" w:styleId="Revision1">
    <w:name w:val="Revision1"/>
    <w:hidden/>
    <w:uiPriority w:val="99"/>
    <w:semiHidden/>
    <w:rsid w:val="00532249"/>
    <w:rPr>
      <w:rFonts w:ascii="Times" w:eastAsia="MS Mincho" w:hAnsi="Times"/>
      <w:lang w:eastAsia="en-US"/>
    </w:rPr>
  </w:style>
  <w:style w:type="paragraph" w:styleId="EndnoteText">
    <w:name w:val="endnote text"/>
    <w:basedOn w:val="Normal"/>
    <w:link w:val="EndnoteTextChar"/>
    <w:rsid w:val="00532249"/>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character" w:customStyle="1" w:styleId="EndnoteTextChar">
    <w:name w:val="Endnote Text Char"/>
    <w:basedOn w:val="DefaultParagraphFont"/>
    <w:link w:val="EndnoteText"/>
    <w:rsid w:val="00532249"/>
    <w:rPr>
      <w:rFonts w:ascii="Times" w:eastAsia="MS Mincho" w:hAnsi="Times"/>
      <w:lang w:eastAsia="en-US"/>
    </w:rPr>
  </w:style>
  <w:style w:type="paragraph" w:styleId="List">
    <w:name w:val="List"/>
    <w:basedOn w:val="Normal"/>
    <w:rsid w:val="00532249"/>
    <w:pPr>
      <w:ind w:left="283" w:hanging="283"/>
      <w:jc w:val="left"/>
    </w:pPr>
    <w:rPr>
      <w:rFonts w:eastAsia="MS Mincho"/>
    </w:rPr>
  </w:style>
  <w:style w:type="character" w:customStyle="1" w:styleId="AnnexNoChar">
    <w:name w:val="Annex_No Char"/>
    <w:link w:val="AnnexNo"/>
    <w:locked/>
    <w:rsid w:val="00532249"/>
    <w:rPr>
      <w:caps/>
      <w:sz w:val="28"/>
      <w:lang w:val="en-GB" w:eastAsia="en-US"/>
    </w:rPr>
  </w:style>
  <w:style w:type="numbering" w:styleId="111111">
    <w:name w:val="Outline List 2"/>
    <w:basedOn w:val="NoList"/>
    <w:uiPriority w:val="99"/>
    <w:unhideWhenUsed/>
    <w:rsid w:val="00532249"/>
    <w:pPr>
      <w:numPr>
        <w:numId w:val="12"/>
      </w:numPr>
    </w:pPr>
  </w:style>
  <w:style w:type="character" w:customStyle="1" w:styleId="CaptionChar1">
    <w:name w:val="Caption Char1"/>
    <w:aliases w:val="cap Char,cap1 Char,cap2 Char,cap11 Char,Caption Char Char,Caption Char1 Char Char,cap Char Char1 Char,Caption Char Char1 Char Char,cap Char2 Char"/>
    <w:link w:val="Caption"/>
    <w:rsid w:val="00532249"/>
    <w:rPr>
      <w:i/>
      <w:iCs/>
      <w:color w:val="1F497D" w:themeColor="text2"/>
      <w:sz w:val="18"/>
      <w:szCs w:val="18"/>
      <w:lang w:val="en-GB" w:eastAsia="en-US"/>
    </w:rPr>
  </w:style>
  <w:style w:type="character" w:customStyle="1" w:styleId="HeadingiChar">
    <w:name w:val="Heading_i Char"/>
    <w:basedOn w:val="DefaultParagraphFont"/>
    <w:link w:val="Headingi"/>
    <w:locked/>
    <w:rsid w:val="00532249"/>
    <w:rPr>
      <w:i/>
      <w:sz w:val="24"/>
      <w:lang w:val="en-GB" w:eastAsia="en-US"/>
    </w:rPr>
  </w:style>
  <w:style w:type="character" w:customStyle="1" w:styleId="ArttitleChar">
    <w:name w:val="Art_title Char"/>
    <w:basedOn w:val="DefaultParagraphFont"/>
    <w:link w:val="Arttitle"/>
    <w:locked/>
    <w:rsid w:val="00532249"/>
    <w:rPr>
      <w:b/>
      <w:sz w:val="28"/>
      <w:lang w:val="en-GB" w:eastAsia="en-US"/>
    </w:rPr>
  </w:style>
  <w:style w:type="character" w:customStyle="1" w:styleId="RestitleChar">
    <w:name w:val="Res_title Char"/>
    <w:basedOn w:val="DefaultParagraphFont"/>
    <w:link w:val="Restitle"/>
    <w:locked/>
    <w:rsid w:val="00532249"/>
    <w:rPr>
      <w:b/>
      <w:sz w:val="28"/>
      <w:lang w:val="en-GB" w:eastAsia="en-US"/>
    </w:rPr>
  </w:style>
  <w:style w:type="paragraph" w:customStyle="1" w:styleId="1">
    <w:name w:val="変更箇所1"/>
    <w:hidden/>
    <w:semiHidden/>
    <w:rsid w:val="00532249"/>
    <w:rPr>
      <w:rFonts w:eastAsia="SimSun"/>
      <w:sz w:val="24"/>
      <w:lang w:val="en-GB" w:eastAsia="en-US"/>
    </w:rPr>
  </w:style>
  <w:style w:type="character" w:customStyle="1" w:styleId="NormalIndentChar">
    <w:name w:val="Normal Indent Char"/>
    <w:basedOn w:val="DefaultParagraphFont"/>
    <w:link w:val="NormalIndent"/>
    <w:rsid w:val="00532249"/>
    <w:rPr>
      <w:sz w:val="24"/>
      <w:lang w:val="en-GB" w:eastAsia="en-US"/>
    </w:rPr>
  </w:style>
  <w:style w:type="character" w:customStyle="1" w:styleId="ListParagraphChar">
    <w:name w:val="List Paragraph Char"/>
    <w:basedOn w:val="DefaultParagraphFont"/>
    <w:link w:val="ListParagraph"/>
    <w:uiPriority w:val="34"/>
    <w:rsid w:val="00532249"/>
    <w:rPr>
      <w:sz w:val="24"/>
      <w:lang w:val="en-GB" w:eastAsia="en-US"/>
    </w:rPr>
  </w:style>
  <w:style w:type="paragraph" w:styleId="BodyTextFirstIndent">
    <w:name w:val="Body Text First Indent"/>
    <w:basedOn w:val="BodyText"/>
    <w:link w:val="BodyTextFirstIndentChar"/>
    <w:rsid w:val="00532249"/>
    <w:pPr>
      <w:tabs>
        <w:tab w:val="left" w:pos="1134"/>
        <w:tab w:val="left" w:pos="1871"/>
        <w:tab w:val="left" w:pos="2268"/>
      </w:tabs>
      <w:overflowPunct w:val="0"/>
      <w:autoSpaceDE w:val="0"/>
      <w:autoSpaceDN w:val="0"/>
      <w:adjustRightInd w:val="0"/>
      <w:spacing w:before="120" w:after="120"/>
      <w:ind w:firstLineChars="100" w:firstLine="420"/>
      <w:textAlignment w:val="baseline"/>
    </w:pPr>
    <w:rPr>
      <w:rFonts w:eastAsiaTheme="minorEastAsia"/>
      <w:b w:val="0"/>
      <w:bCs w:val="0"/>
      <w:szCs w:val="20"/>
      <w:lang w:val="en-GB"/>
    </w:rPr>
  </w:style>
  <w:style w:type="character" w:customStyle="1" w:styleId="BodyTextFirstIndentChar">
    <w:name w:val="Body Text First Indent Char"/>
    <w:basedOn w:val="BodyTextChar"/>
    <w:link w:val="BodyTextFirstIndent"/>
    <w:rsid w:val="00532249"/>
    <w:rPr>
      <w:rFonts w:eastAsiaTheme="minorEastAsia"/>
      <w:b w:val="0"/>
      <w:bCs w:val="0"/>
      <w:sz w:val="24"/>
      <w:szCs w:val="24"/>
      <w:lang w:val="en-GB" w:eastAsia="en-US"/>
    </w:rPr>
  </w:style>
  <w:style w:type="paragraph" w:styleId="TOCHeading">
    <w:name w:val="TOC Heading"/>
    <w:basedOn w:val="Heading1"/>
    <w:next w:val="Normal"/>
    <w:uiPriority w:val="39"/>
    <w:semiHidden/>
    <w:unhideWhenUsed/>
    <w:qFormat/>
    <w:rsid w:val="00532249"/>
    <w:pPr>
      <w:tabs>
        <w:tab w:val="clear" w:pos="794"/>
        <w:tab w:val="clear" w:pos="1191"/>
        <w:tab w:val="clear" w:pos="1588"/>
        <w:tab w:val="clear" w:pos="1985"/>
      </w:tabs>
      <w:overflowPunct/>
      <w:autoSpaceDE/>
      <w:autoSpaceDN/>
      <w:adjustRightInd/>
      <w:spacing w:before="240" w:line="256" w:lineRule="auto"/>
      <w:ind w:left="0" w:firstLine="0"/>
      <w:jc w:val="left"/>
      <w:textAlignment w:val="auto"/>
      <w:outlineLvl w:val="9"/>
    </w:pPr>
    <w:rPr>
      <w:rFonts w:asciiTheme="majorHAnsi" w:eastAsiaTheme="majorEastAsia" w:hAnsiTheme="majorHAnsi" w:cstheme="majorBidi"/>
      <w:b w:val="0"/>
      <w:color w:val="365F91" w:themeColor="accent1" w:themeShade="BF"/>
      <w:sz w:val="32"/>
      <w:szCs w:val="32"/>
      <w:lang w:val="en-US"/>
    </w:rPr>
  </w:style>
  <w:style w:type="character" w:customStyle="1" w:styleId="enumlev2Char">
    <w:name w:val="enumlev2 Char"/>
    <w:basedOn w:val="DefaultParagraphFont"/>
    <w:link w:val="enumlev2"/>
    <w:locked/>
    <w:rsid w:val="00532249"/>
    <w:rPr>
      <w:sz w:val="24"/>
      <w:lang w:val="en-GB" w:eastAsia="en-US"/>
    </w:rPr>
  </w:style>
  <w:style w:type="character" w:customStyle="1" w:styleId="EquationlegendChar">
    <w:name w:val="Equation_legend Char"/>
    <w:basedOn w:val="DefaultParagraphFont"/>
    <w:link w:val="Equationlegend"/>
    <w:locked/>
    <w:rsid w:val="00532249"/>
    <w:rPr>
      <w:sz w:val="24"/>
      <w:lang w:eastAsia="en-US"/>
    </w:rPr>
  </w:style>
  <w:style w:type="character" w:customStyle="1" w:styleId="EquationChar">
    <w:name w:val="Equation Char"/>
    <w:link w:val="Equation"/>
    <w:locked/>
    <w:rsid w:val="00532249"/>
    <w:rPr>
      <w:sz w:val="24"/>
      <w:lang w:val="en-GB" w:eastAsia="en-US"/>
    </w:rPr>
  </w:style>
  <w:style w:type="character" w:customStyle="1" w:styleId="BlancChar">
    <w:name w:val="Blanc Char"/>
    <w:basedOn w:val="DefaultParagraphFont"/>
    <w:link w:val="Blanc"/>
    <w:rsid w:val="00532249"/>
    <w:rPr>
      <w:sz w:val="16"/>
      <w:lang w:val="en-GB" w:eastAsia="en-US"/>
    </w:rPr>
  </w:style>
  <w:style w:type="character" w:customStyle="1" w:styleId="FigureNoChar">
    <w:name w:val="Figure_No Char"/>
    <w:locked/>
    <w:rsid w:val="00532249"/>
    <w:rPr>
      <w:caps/>
      <w:sz w:val="18"/>
      <w:lang w:val="fr-FR" w:eastAsia="en-US"/>
    </w:rPr>
  </w:style>
  <w:style w:type="character" w:customStyle="1" w:styleId="CommentSubjectChar1">
    <w:name w:val="Comment Subject Char1"/>
    <w:basedOn w:val="CommentTextChar"/>
    <w:rsid w:val="00532249"/>
    <w:rPr>
      <w:rFonts w:ascii="Times New Roman" w:eastAsia="MS Mincho" w:hAnsi="Times New Roman"/>
      <w:b/>
      <w:bCs/>
      <w:lang w:val="en-GB" w:eastAsia="en-US"/>
    </w:rPr>
  </w:style>
  <w:style w:type="character" w:customStyle="1" w:styleId="PlainTextChar1">
    <w:name w:val="Plain Text Char1"/>
    <w:basedOn w:val="DefaultParagraphFont"/>
    <w:uiPriority w:val="99"/>
    <w:rsid w:val="00532249"/>
    <w:rPr>
      <w:rFonts w:ascii="Courier New" w:eastAsia="MS Mincho" w:hAnsi="Courier New"/>
      <w:lang w:eastAsia="en-US"/>
    </w:rPr>
  </w:style>
  <w:style w:type="table" w:customStyle="1" w:styleId="TableGrid1">
    <w:name w:val="Table Grid1"/>
    <w:basedOn w:val="TableNormal"/>
    <w:next w:val="TableGrid"/>
    <w:uiPriority w:val="99"/>
    <w:rsid w:val="0053224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Char1">
    <w:name w:val="Date Char1"/>
    <w:basedOn w:val="DefaultParagraphFont"/>
    <w:uiPriority w:val="99"/>
    <w:rsid w:val="00532249"/>
    <w:rPr>
      <w:rFonts w:ascii="Times New Roman" w:eastAsia="MS Mincho" w:hAnsi="Times New Roman"/>
      <w:sz w:val="24"/>
      <w:lang w:val="en-GB" w:eastAsia="en-US"/>
    </w:rPr>
  </w:style>
  <w:style w:type="character" w:customStyle="1" w:styleId="HTMLPreformattedChar1">
    <w:name w:val="HTML Preformatted Char1"/>
    <w:basedOn w:val="DefaultParagraphFont"/>
    <w:uiPriority w:val="99"/>
    <w:rsid w:val="00532249"/>
    <w:rPr>
      <w:rFonts w:ascii="MS Gothic" w:eastAsia="MS Gothic" w:hAnsi="MS Gothic" w:cs="MS Gothic"/>
      <w:sz w:val="24"/>
      <w:szCs w:val="24"/>
      <w:lang w:eastAsia="ja-JP"/>
    </w:rPr>
  </w:style>
  <w:style w:type="character" w:customStyle="1" w:styleId="DocumentMapChar1">
    <w:name w:val="Document Map Char1"/>
    <w:basedOn w:val="DefaultParagraphFont"/>
    <w:uiPriority w:val="99"/>
    <w:rsid w:val="00532249"/>
    <w:rPr>
      <w:rFonts w:ascii="Tahoma" w:eastAsia="MS Mincho" w:hAnsi="Tahoma" w:cs="Tahoma"/>
      <w:shd w:val="clear" w:color="auto" w:fill="000080"/>
      <w:lang w:eastAsia="en-US"/>
    </w:rPr>
  </w:style>
  <w:style w:type="paragraph" w:styleId="TableofFigures">
    <w:name w:val="table of figures"/>
    <w:basedOn w:val="Normal"/>
    <w:next w:val="Normal"/>
    <w:uiPriority w:val="99"/>
    <w:rsid w:val="00532249"/>
    <w:pPr>
      <w:tabs>
        <w:tab w:val="clear" w:pos="794"/>
        <w:tab w:val="clear" w:pos="1191"/>
        <w:tab w:val="clear" w:pos="1588"/>
        <w:tab w:val="clear" w:pos="1985"/>
      </w:tabs>
      <w:overflowPunct/>
      <w:autoSpaceDE/>
      <w:autoSpaceDN/>
      <w:adjustRightInd/>
      <w:spacing w:before="240"/>
      <w:ind w:left="400" w:hanging="400"/>
      <w:textAlignment w:val="auto"/>
    </w:pPr>
    <w:rPr>
      <w:rFonts w:ascii="Times" w:eastAsia="MS Mincho" w:hAnsi="Times"/>
      <w:sz w:val="20"/>
      <w:lang w:val="en-US"/>
    </w:rPr>
  </w:style>
  <w:style w:type="character" w:customStyle="1" w:styleId="EndnoteTextChar2">
    <w:name w:val="Endnote Text Char2"/>
    <w:basedOn w:val="DefaultParagraphFont"/>
    <w:uiPriority w:val="99"/>
    <w:rsid w:val="00532249"/>
    <w:rPr>
      <w:rFonts w:ascii="Times" w:eastAsia="MS Mincho" w:hAnsi="Times"/>
      <w:lang w:eastAsia="en-US"/>
    </w:rPr>
  </w:style>
  <w:style w:type="table" w:styleId="LightShading-Accent1">
    <w:name w:val="Light Shading Accent 1"/>
    <w:basedOn w:val="TableNormal"/>
    <w:uiPriority w:val="60"/>
    <w:rsid w:val="00532249"/>
    <w:rPr>
      <w:rFonts w:eastAsia="SimSu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10">
    <w:name w:val="未解決のメンション1"/>
    <w:basedOn w:val="DefaultParagraphFont"/>
    <w:uiPriority w:val="99"/>
    <w:semiHidden/>
    <w:unhideWhenUsed/>
    <w:rsid w:val="00532249"/>
    <w:rPr>
      <w:color w:val="605E5C"/>
      <w:shd w:val="clear" w:color="auto" w:fill="E1DFDD"/>
    </w:rPr>
  </w:style>
  <w:style w:type="character" w:customStyle="1" w:styleId="AnnexNoTitleChar">
    <w:name w:val="Annex_NoTitle Char"/>
    <w:basedOn w:val="DefaultParagraphFont"/>
    <w:link w:val="AnnexNoTitle"/>
    <w:locked/>
    <w:rsid w:val="00532249"/>
    <w:rPr>
      <w:b/>
      <w:sz w:val="28"/>
      <w:lang w:val="en-GB" w:eastAsia="en-US"/>
    </w:rPr>
  </w:style>
  <w:style w:type="character" w:customStyle="1" w:styleId="TableNo0">
    <w:name w:val="Table_No Знак"/>
    <w:locked/>
    <w:rsid w:val="00532249"/>
    <w:rPr>
      <w:rFonts w:ascii="Times New Roman" w:hAnsi="Times New Roman"/>
      <w:caps/>
      <w:lang w:val="en-GB" w:eastAsia="en-US"/>
    </w:rPr>
  </w:style>
  <w:style w:type="character" w:customStyle="1" w:styleId="Tabletitle1">
    <w:name w:val="Table_title Знак"/>
    <w:locked/>
    <w:rsid w:val="00532249"/>
    <w:rPr>
      <w:rFonts w:ascii="Times New Roman Bold" w:hAnsi="Times New Roman Bold"/>
      <w:b/>
      <w:lang w:val="en-GB" w:eastAsia="en-US"/>
    </w:rPr>
  </w:style>
  <w:style w:type="paragraph" w:customStyle="1" w:styleId="text">
    <w:name w:val="text"/>
    <w:basedOn w:val="Normal"/>
    <w:rsid w:val="00532249"/>
    <w:pPr>
      <w:tabs>
        <w:tab w:val="clear" w:pos="794"/>
        <w:tab w:val="clear" w:pos="1191"/>
        <w:tab w:val="clear" w:pos="1588"/>
        <w:tab w:val="clear" w:pos="1985"/>
      </w:tabs>
      <w:overflowPunct/>
      <w:autoSpaceDE/>
      <w:autoSpaceDN/>
      <w:adjustRightInd/>
      <w:spacing w:before="0" w:line="240" w:lineRule="exact"/>
      <w:ind w:firstLine="187"/>
      <w:textAlignment w:val="auto"/>
    </w:pPr>
    <w:rPr>
      <w:rFonts w:eastAsia="PMingLiU"/>
      <w:sz w:val="20"/>
      <w:lang w:val="en-US" w:eastAsia="zh-CN"/>
    </w:rPr>
  </w:style>
  <w:style w:type="character" w:customStyle="1" w:styleId="MTDisplayEquationChar">
    <w:name w:val="MTDisplayEquation Char"/>
    <w:basedOn w:val="DefaultParagraphFont"/>
    <w:link w:val="MTDisplayEquation"/>
    <w:locked/>
    <w:rsid w:val="00532249"/>
    <w:rPr>
      <w:sz w:val="24"/>
      <w:lang w:val="en-GB" w:eastAsia="en-US"/>
    </w:rPr>
  </w:style>
  <w:style w:type="paragraph" w:customStyle="1" w:styleId="MTDisplayEquation">
    <w:name w:val="MTDisplayEquation"/>
    <w:basedOn w:val="Normal"/>
    <w:next w:val="Normal"/>
    <w:link w:val="MTDisplayEquationChar"/>
    <w:rsid w:val="00532249"/>
    <w:pPr>
      <w:tabs>
        <w:tab w:val="clear" w:pos="794"/>
        <w:tab w:val="clear" w:pos="1191"/>
        <w:tab w:val="clear" w:pos="1588"/>
        <w:tab w:val="clear" w:pos="1985"/>
        <w:tab w:val="center" w:pos="4820"/>
        <w:tab w:val="right" w:pos="9640"/>
      </w:tabs>
      <w:jc w:val="left"/>
      <w:textAlignment w:val="auto"/>
    </w:pPr>
  </w:style>
  <w:style w:type="paragraph" w:customStyle="1" w:styleId="Text0">
    <w:name w:val="Text"/>
    <w:basedOn w:val="Normal"/>
    <w:uiPriority w:val="99"/>
    <w:rsid w:val="00532249"/>
    <w:pPr>
      <w:widowControl w:val="0"/>
      <w:suppressAutoHyphens/>
      <w:overflowPunct/>
      <w:autoSpaceDN/>
      <w:adjustRightInd/>
      <w:spacing w:before="0" w:line="252" w:lineRule="auto"/>
      <w:ind w:firstLine="202"/>
      <w:textAlignment w:val="auto"/>
    </w:pPr>
    <w:rPr>
      <w:rFonts w:eastAsia="MS Mincho" w:cs="CG Times"/>
      <w:sz w:val="20"/>
      <w:lang w:val="en-US" w:eastAsia="ar-SA"/>
    </w:rPr>
  </w:style>
  <w:style w:type="paragraph" w:customStyle="1" w:styleId="sectionhead1">
    <w:name w:val="section head (1)"/>
    <w:basedOn w:val="Normal"/>
    <w:rsid w:val="00532249"/>
    <w:pPr>
      <w:tabs>
        <w:tab w:val="clear" w:pos="794"/>
        <w:tab w:val="clear" w:pos="1191"/>
        <w:tab w:val="clear" w:pos="1588"/>
        <w:tab w:val="clear" w:pos="1985"/>
        <w:tab w:val="num" w:pos="720"/>
      </w:tabs>
      <w:overflowPunct/>
      <w:autoSpaceDE/>
      <w:autoSpaceDN/>
      <w:adjustRightInd/>
      <w:spacing w:after="120" w:line="216" w:lineRule="auto"/>
      <w:ind w:left="720" w:hanging="720"/>
      <w:jc w:val="center"/>
      <w:textAlignment w:val="auto"/>
    </w:pPr>
    <w:rPr>
      <w:rFonts w:eastAsia="SimSun"/>
      <w:smallCaps/>
      <w:sz w:val="20"/>
      <w:lang w:val="en-US" w:eastAsia="zh-CN"/>
    </w:rPr>
  </w:style>
  <w:style w:type="table" w:customStyle="1" w:styleId="11">
    <w:name w:val="表 (格子)1"/>
    <w:basedOn w:val="TableNormal"/>
    <w:next w:val="TableGrid"/>
    <w:rsid w:val="00532249"/>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Carattere">
    <w:name w:val="Source Carattere"/>
    <w:basedOn w:val="DefaultParagraphFont"/>
    <w:locked/>
    <w:rsid w:val="00532249"/>
    <w:rPr>
      <w:rFonts w:ascii="Times New Roman" w:hAnsi="Times New Roman"/>
      <w:b/>
      <w:sz w:val="28"/>
      <w:lang w:val="en-GB" w:eastAsia="en-US"/>
    </w:rPr>
  </w:style>
  <w:style w:type="paragraph" w:customStyle="1" w:styleId="xl24">
    <w:name w:val="xl24"/>
    <w:basedOn w:val="Normal"/>
    <w:uiPriority w:val="99"/>
    <w:rsid w:val="00532249"/>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25">
    <w:name w:val="xl25"/>
    <w:basedOn w:val="Normal"/>
    <w:uiPriority w:val="99"/>
    <w:rsid w:val="00532249"/>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MS Mincho"/>
      <w:szCs w:val="24"/>
      <w:lang w:val="en-US"/>
    </w:rPr>
  </w:style>
  <w:style w:type="paragraph" w:customStyle="1" w:styleId="xl26">
    <w:name w:val="xl26"/>
    <w:basedOn w:val="Normal"/>
    <w:uiPriority w:val="99"/>
    <w:rsid w:val="00532249"/>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7">
    <w:name w:val="xl27"/>
    <w:basedOn w:val="Normal"/>
    <w:uiPriority w:val="99"/>
    <w:rsid w:val="00532249"/>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8">
    <w:name w:val="xl28"/>
    <w:basedOn w:val="Normal"/>
    <w:uiPriority w:val="99"/>
    <w:rsid w:val="00532249"/>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9">
    <w:name w:val="xl29"/>
    <w:basedOn w:val="Normal"/>
    <w:uiPriority w:val="99"/>
    <w:rsid w:val="00532249"/>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30">
    <w:name w:val="xl30"/>
    <w:basedOn w:val="Normal"/>
    <w:uiPriority w:val="99"/>
    <w:rsid w:val="00532249"/>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1">
    <w:name w:val="xl31"/>
    <w:basedOn w:val="Normal"/>
    <w:uiPriority w:val="99"/>
    <w:rsid w:val="00532249"/>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2">
    <w:name w:val="xl32"/>
    <w:basedOn w:val="Normal"/>
    <w:uiPriority w:val="99"/>
    <w:rsid w:val="00532249"/>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3">
    <w:name w:val="xl33"/>
    <w:basedOn w:val="Normal"/>
    <w:uiPriority w:val="99"/>
    <w:rsid w:val="00532249"/>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4">
    <w:name w:val="xl34"/>
    <w:basedOn w:val="Normal"/>
    <w:uiPriority w:val="99"/>
    <w:rsid w:val="00532249"/>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5">
    <w:name w:val="xl35"/>
    <w:basedOn w:val="Normal"/>
    <w:uiPriority w:val="99"/>
    <w:rsid w:val="00532249"/>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6">
    <w:name w:val="xl36"/>
    <w:basedOn w:val="Normal"/>
    <w:uiPriority w:val="99"/>
    <w:rsid w:val="00532249"/>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7">
    <w:name w:val="xl37"/>
    <w:basedOn w:val="Normal"/>
    <w:uiPriority w:val="99"/>
    <w:rsid w:val="00532249"/>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8">
    <w:name w:val="xl38"/>
    <w:basedOn w:val="Normal"/>
    <w:uiPriority w:val="99"/>
    <w:rsid w:val="00532249"/>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39">
    <w:name w:val="xl39"/>
    <w:basedOn w:val="Normal"/>
    <w:uiPriority w:val="99"/>
    <w:rsid w:val="00532249"/>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40">
    <w:name w:val="xl40"/>
    <w:basedOn w:val="Normal"/>
    <w:uiPriority w:val="99"/>
    <w:rsid w:val="00532249"/>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41">
    <w:name w:val="xl41"/>
    <w:basedOn w:val="Normal"/>
    <w:uiPriority w:val="99"/>
    <w:rsid w:val="00532249"/>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42">
    <w:name w:val="xl42"/>
    <w:basedOn w:val="Normal"/>
    <w:uiPriority w:val="99"/>
    <w:rsid w:val="00532249"/>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MS Mincho"/>
      <w:szCs w:val="24"/>
      <w:lang w:val="en-US"/>
    </w:rPr>
  </w:style>
  <w:style w:type="paragraph" w:customStyle="1" w:styleId="xl43">
    <w:name w:val="xl43"/>
    <w:basedOn w:val="Normal"/>
    <w:uiPriority w:val="99"/>
    <w:rsid w:val="00532249"/>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MS Mincho"/>
      <w:szCs w:val="24"/>
      <w:lang w:val="en-US"/>
    </w:rPr>
  </w:style>
  <w:style w:type="paragraph" w:customStyle="1" w:styleId="xl44">
    <w:name w:val="xl44"/>
    <w:basedOn w:val="Normal"/>
    <w:uiPriority w:val="99"/>
    <w:rsid w:val="00532249"/>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MS Mincho"/>
      <w:szCs w:val="24"/>
      <w:lang w:val="en-US"/>
    </w:rPr>
  </w:style>
  <w:style w:type="paragraph" w:customStyle="1" w:styleId="xl45">
    <w:name w:val="xl45"/>
    <w:basedOn w:val="Normal"/>
    <w:uiPriority w:val="99"/>
    <w:rsid w:val="00532249"/>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46">
    <w:name w:val="xl46"/>
    <w:basedOn w:val="Normal"/>
    <w:uiPriority w:val="99"/>
    <w:rsid w:val="00532249"/>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47">
    <w:name w:val="xl47"/>
    <w:basedOn w:val="Normal"/>
    <w:uiPriority w:val="99"/>
    <w:rsid w:val="00532249"/>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character" w:customStyle="1" w:styleId="FootnoteTextChar2">
    <w:name w:val="Footnote Text Char2"/>
    <w:aliases w:val="DNV-FT Char1,ALTS FOOTNOTE Char1,Footnote Text Char1 Char1,Footnote Text Char Char1 Char1,Footnote Text Char4 Char Char Char1,Footnote Text Char1 Char1 Char1 Char Char1,Footnote Text Char Char1 Char1 Char Char Char1"/>
    <w:basedOn w:val="DefaultParagraphFont"/>
    <w:uiPriority w:val="99"/>
    <w:locked/>
    <w:rsid w:val="00532249"/>
    <w:rPr>
      <w:rFonts w:cs="Times New Roman"/>
      <w:lang w:val="en-US" w:eastAsia="en-US" w:bidi="ar-SA"/>
    </w:rPr>
  </w:style>
  <w:style w:type="paragraph" w:customStyle="1" w:styleId="Style0">
    <w:name w:val="Style0"/>
    <w:uiPriority w:val="99"/>
    <w:rsid w:val="00532249"/>
    <w:pPr>
      <w:autoSpaceDE w:val="0"/>
      <w:autoSpaceDN w:val="0"/>
      <w:adjustRightInd w:val="0"/>
    </w:pPr>
    <w:rPr>
      <w:rFonts w:ascii="Arial" w:eastAsia="MS Mincho" w:hAnsi="Arial"/>
      <w:sz w:val="24"/>
      <w:szCs w:val="24"/>
      <w:lang w:eastAsia="en-US"/>
    </w:rPr>
  </w:style>
  <w:style w:type="paragraph" w:customStyle="1" w:styleId="Char1CharChar1Char">
    <w:name w:val="Char1 Char Char1 Char"/>
    <w:basedOn w:val="Normal"/>
    <w:uiPriority w:val="99"/>
    <w:rsid w:val="00532249"/>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Table">
    <w:name w:val="Table_#"/>
    <w:basedOn w:val="Normal"/>
    <w:next w:val="TableTitle0"/>
    <w:uiPriority w:val="99"/>
    <w:rsid w:val="00532249"/>
    <w:pPr>
      <w:keepNext/>
      <w:tabs>
        <w:tab w:val="clear" w:pos="794"/>
        <w:tab w:val="clear" w:pos="1191"/>
        <w:tab w:val="clear" w:pos="1588"/>
        <w:tab w:val="clear" w:pos="1985"/>
      </w:tabs>
      <w:spacing w:before="567" w:after="113"/>
      <w:jc w:val="center"/>
    </w:pPr>
    <w:rPr>
      <w:rFonts w:eastAsia="MS Mincho"/>
      <w:sz w:val="18"/>
    </w:rPr>
  </w:style>
  <w:style w:type="paragraph" w:customStyle="1" w:styleId="TableText0">
    <w:name w:val="Table_Text"/>
    <w:basedOn w:val="TableLegend0"/>
    <w:rsid w:val="00532249"/>
    <w:pPr>
      <w:spacing w:before="100" w:after="100" w:line="190" w:lineRule="exact"/>
      <w:ind w:left="0" w:right="0"/>
    </w:pPr>
  </w:style>
  <w:style w:type="paragraph" w:customStyle="1" w:styleId="TableLegend0">
    <w:name w:val="Table_Legend"/>
    <w:basedOn w:val="Normal"/>
    <w:next w:val="Normal"/>
    <w:uiPriority w:val="99"/>
    <w:rsid w:val="00532249"/>
    <w:pPr>
      <w:keepNext/>
      <w:spacing w:before="86" w:line="199" w:lineRule="exact"/>
      <w:ind w:left="-85" w:right="-85"/>
    </w:pPr>
    <w:rPr>
      <w:rFonts w:eastAsia="MS Mincho"/>
      <w:sz w:val="18"/>
    </w:rPr>
  </w:style>
  <w:style w:type="paragraph" w:customStyle="1" w:styleId="headingb0">
    <w:name w:val="heading_b"/>
    <w:basedOn w:val="Heading3"/>
    <w:next w:val="Normal"/>
    <w:uiPriority w:val="99"/>
    <w:rsid w:val="00532249"/>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bCs/>
      <w:sz w:val="28"/>
      <w:szCs w:val="24"/>
    </w:rPr>
  </w:style>
  <w:style w:type="paragraph" w:customStyle="1" w:styleId="RecNoBR">
    <w:name w:val="Rec_No_BR"/>
    <w:basedOn w:val="Normal"/>
    <w:next w:val="Normal"/>
    <w:rsid w:val="00532249"/>
    <w:pPr>
      <w:keepNext/>
      <w:keepLines/>
      <w:spacing w:before="480"/>
      <w:jc w:val="center"/>
    </w:pPr>
    <w:rPr>
      <w:rFonts w:eastAsia="MS Mincho"/>
      <w:caps/>
      <w:sz w:val="28"/>
    </w:rPr>
  </w:style>
  <w:style w:type="character" w:customStyle="1" w:styleId="Title1Carattere">
    <w:name w:val="Title 1 Carattere"/>
    <w:basedOn w:val="SourceCarattere"/>
    <w:locked/>
    <w:rsid w:val="00532249"/>
    <w:rPr>
      <w:rFonts w:ascii="Times New Roman" w:hAnsi="Times New Roman"/>
      <w:b w:val="0"/>
      <w:caps/>
      <w:sz w:val="28"/>
      <w:lang w:val="en-GB" w:eastAsia="en-US"/>
    </w:rPr>
  </w:style>
  <w:style w:type="character" w:customStyle="1" w:styleId="Heading4Char1">
    <w:name w:val="Heading 4 Char1"/>
    <w:aliases w:val="h4 Char1,Heading 14 Char1,Heading 141 Char1,Heading 142 Char1,4 Char1,H4 Char1,h41 Char1,H41 Char1,H42 Char1,h42 Char1,H43 Char1,h43 Char1,H411 Char1,h411 Char1,H421 Char1,h421 Char1,H44 Char1,h44 Char1,H412 Char1,h412 Char1,H422 Char1"/>
    <w:uiPriority w:val="99"/>
    <w:locked/>
    <w:rsid w:val="00532249"/>
    <w:rPr>
      <w:rFonts w:ascii="Times New Roman" w:hAnsi="Times New Roman" w:cs="Times New Roman"/>
      <w:b/>
      <w:sz w:val="24"/>
      <w:lang w:val="en-GB" w:eastAsia="en-US"/>
    </w:rPr>
  </w:style>
  <w:style w:type="character" w:customStyle="1" w:styleId="Heading5Char1">
    <w:name w:val="Heading 5 Char1"/>
    <w:aliases w:val="T5 Char1,TITRE 5 Char1,Überschrift 51 Char1,†berschrift 51 Char1,Überschrift 5 Char1,h5 Char1"/>
    <w:uiPriority w:val="99"/>
    <w:locked/>
    <w:rsid w:val="00532249"/>
    <w:rPr>
      <w:rFonts w:ascii="Times New Roman" w:hAnsi="Times New Roman" w:cs="Times New Roman"/>
      <w:b/>
      <w:sz w:val="24"/>
      <w:lang w:val="en-GB" w:eastAsia="en-US"/>
    </w:rPr>
  </w:style>
  <w:style w:type="character" w:customStyle="1" w:styleId="Heading6Char1">
    <w:name w:val="Heading 6 Char1"/>
    <w:aliases w:val="第五层条 Char1,H6 Char1,第六层条目 Char1,Legal Level 1. Char1,BOD 4 Char1,Bullet list Char1,h6 Char1,Third Subheading Char1,PIM 6 Char1,Bullet (Single Lines) Char1,h61 Char1,heading 61 Char1,L6 Char1,标题6 Char Char2,标题6 Char2,标题6 Char Char Char1"/>
    <w:uiPriority w:val="99"/>
    <w:locked/>
    <w:rsid w:val="00532249"/>
    <w:rPr>
      <w:rFonts w:ascii="Times New Roman" w:hAnsi="Times New Roman" w:cs="Times New Roman"/>
      <w:b/>
      <w:sz w:val="24"/>
      <w:lang w:val="en-GB" w:eastAsia="en-US"/>
    </w:rPr>
  </w:style>
  <w:style w:type="character" w:customStyle="1" w:styleId="Heading7Char1">
    <w:name w:val="Heading 7 Char1"/>
    <w:uiPriority w:val="99"/>
    <w:locked/>
    <w:rsid w:val="00532249"/>
    <w:rPr>
      <w:rFonts w:ascii="Times New Roman" w:hAnsi="Times New Roman" w:cs="Times New Roman"/>
      <w:b/>
      <w:sz w:val="24"/>
      <w:lang w:val="en-GB" w:eastAsia="en-US"/>
    </w:rPr>
  </w:style>
  <w:style w:type="character" w:customStyle="1" w:styleId="Heading8Char1">
    <w:name w:val="Heading 8 Char1"/>
    <w:uiPriority w:val="99"/>
    <w:locked/>
    <w:rsid w:val="00532249"/>
    <w:rPr>
      <w:rFonts w:ascii="Times New Roman" w:hAnsi="Times New Roman" w:cs="Times New Roman"/>
      <w:b/>
      <w:sz w:val="24"/>
      <w:lang w:val="en-GB" w:eastAsia="en-US"/>
    </w:rPr>
  </w:style>
  <w:style w:type="character" w:customStyle="1" w:styleId="Heading9Char1">
    <w:name w:val="Heading 9 Char1"/>
    <w:uiPriority w:val="99"/>
    <w:locked/>
    <w:rsid w:val="00532249"/>
    <w:rPr>
      <w:rFonts w:ascii="Times New Roman" w:hAnsi="Times New Roman" w:cs="Times New Roman"/>
      <w:b/>
      <w:sz w:val="24"/>
      <w:lang w:val="en-GB" w:eastAsia="en-US"/>
    </w:rPr>
  </w:style>
  <w:style w:type="character" w:customStyle="1" w:styleId="HeaderChar1">
    <w:name w:val="Header Char1"/>
    <w:aliases w:val="encabezado Char1"/>
    <w:uiPriority w:val="99"/>
    <w:locked/>
    <w:rsid w:val="00532249"/>
    <w:rPr>
      <w:rFonts w:ascii="Times New Roman" w:hAnsi="Times New Roman" w:cs="Times New Roman"/>
      <w:sz w:val="18"/>
      <w:lang w:val="en-GB" w:eastAsia="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uiPriority w:val="99"/>
    <w:locked/>
    <w:rsid w:val="00532249"/>
    <w:rPr>
      <w:rFonts w:ascii="Times New Roman" w:hAnsi="Times New Roman" w:cs="Times New Roman"/>
      <w:b/>
      <w:sz w:val="28"/>
      <w:lang w:val="en-GB" w:eastAsia="en-US"/>
    </w:rPr>
  </w:style>
  <w:style w:type="character" w:customStyle="1" w:styleId="Heading2Char1">
    <w:name w:val="Heading 2 Char1"/>
    <w:aliases w:val="título 2 Char1,h2 Char1,UNDERRUBRIK 1-2 Char1,H2 Char1,h21 Char1,Heading Two Char1,R2 Char1,l2 Char1,2 Char1,level 2 Char1,Titre 2P Char1,Titre2P Char1,Sub-section Char1,Head 2 Char1,List level 2 Char1,Sub-Heading Char1,A Char1,h:2 Char"/>
    <w:uiPriority w:val="99"/>
    <w:locked/>
    <w:rsid w:val="00532249"/>
    <w:rPr>
      <w:rFonts w:ascii="Times New Roman" w:hAnsi="Times New Roman" w:cs="Times New Roman"/>
      <w:b/>
      <w:sz w:val="24"/>
      <w:lang w:val="en-GB" w:eastAsia="en-US"/>
    </w:rPr>
  </w:style>
  <w:style w:type="character" w:customStyle="1" w:styleId="Heading3Char1">
    <w:name w:val="Heading 3 Char1"/>
    <w:aliases w:val="3 Char1,h3 Char1,Memo Heading 3 Char1,H3 Char1,h31 Char1,título 3 Char1,Titre 3 Char1,l3 Char1,list 3 Char1,Head 3 Char1,h32 Char1,h33 Char1,h34 Char1,h35 Char1,h36 Char1,h37 Char1,h38 Char1,h311 Char1,h321 Char1,h331 Char1,h341 Char2"/>
    <w:uiPriority w:val="99"/>
    <w:locked/>
    <w:rsid w:val="00532249"/>
    <w:rPr>
      <w:rFonts w:ascii="Times New Roman" w:hAnsi="Times New Roman" w:cs="Times New Roman"/>
      <w:b/>
      <w:sz w:val="24"/>
      <w:lang w:val="en-GB" w:eastAsia="en-US"/>
    </w:rPr>
  </w:style>
  <w:style w:type="character" w:customStyle="1" w:styleId="FooterChar1">
    <w:name w:val="Footer Char1"/>
    <w:aliases w:val="footer odd Char1,pie de página Char1,footer1 Char1,footer odd1 Char1,footer5 Char1,footer odd4 Char1,footer odd2 Char1,footer2 Char1,footer odd3 Char1,footer11 Char1,footer odd11 Char1,footer51 Char1,footer odd41 Char1,footer odd21 Char1"/>
    <w:uiPriority w:val="99"/>
    <w:locked/>
    <w:rsid w:val="00532249"/>
    <w:rPr>
      <w:rFonts w:ascii="Times New Roman" w:hAnsi="Times New Roman" w:cs="Times New Roman"/>
      <w:caps/>
      <w:noProof/>
      <w:sz w:val="16"/>
      <w:lang w:val="en-GB" w:eastAsia="en-US"/>
    </w:rPr>
  </w:style>
  <w:style w:type="paragraph" w:customStyle="1" w:styleId="FigureLegend0">
    <w:name w:val="Figure_Legend"/>
    <w:basedOn w:val="TableLegend0"/>
    <w:next w:val="FigureRemark"/>
    <w:uiPriority w:val="99"/>
    <w:rsid w:val="00532249"/>
    <w:pPr>
      <w:jc w:val="left"/>
    </w:pPr>
  </w:style>
  <w:style w:type="paragraph" w:customStyle="1" w:styleId="FigureRemark">
    <w:name w:val="Figure_Remark"/>
    <w:basedOn w:val="TableLegend0"/>
    <w:uiPriority w:val="99"/>
    <w:rsid w:val="00532249"/>
    <w:pPr>
      <w:tabs>
        <w:tab w:val="clear" w:pos="794"/>
        <w:tab w:val="clear" w:pos="1191"/>
        <w:tab w:val="clear" w:pos="1588"/>
        <w:tab w:val="clear" w:pos="1985"/>
        <w:tab w:val="center" w:pos="284"/>
      </w:tabs>
      <w:spacing w:before="142"/>
    </w:pPr>
  </w:style>
  <w:style w:type="paragraph" w:customStyle="1" w:styleId="Figure0">
    <w:name w:val="Figure_#"/>
    <w:basedOn w:val="Table"/>
    <w:next w:val="FigureTitle0"/>
    <w:uiPriority w:val="99"/>
    <w:rsid w:val="00532249"/>
  </w:style>
  <w:style w:type="paragraph" w:customStyle="1" w:styleId="FigureTitle0">
    <w:name w:val="Figure_Title"/>
    <w:basedOn w:val="TableTitle0"/>
    <w:next w:val="FigureLegend0"/>
    <w:uiPriority w:val="99"/>
    <w:rsid w:val="00532249"/>
    <w:pPr>
      <w:spacing w:after="240"/>
    </w:pPr>
  </w:style>
  <w:style w:type="paragraph" w:customStyle="1" w:styleId="Annex">
    <w:name w:val="Annex_#"/>
    <w:basedOn w:val="Normal"/>
    <w:next w:val="AnnexRef0"/>
    <w:uiPriority w:val="99"/>
    <w:rsid w:val="00532249"/>
    <w:pPr>
      <w:tabs>
        <w:tab w:val="clear" w:pos="794"/>
        <w:tab w:val="clear" w:pos="1191"/>
        <w:tab w:val="clear" w:pos="1588"/>
        <w:tab w:val="clear" w:pos="1985"/>
        <w:tab w:val="center" w:pos="4849"/>
        <w:tab w:val="right" w:pos="9696"/>
      </w:tabs>
      <w:spacing w:before="720" w:after="68"/>
      <w:jc w:val="center"/>
    </w:pPr>
    <w:rPr>
      <w:rFonts w:eastAsia="MS Mincho"/>
      <w:sz w:val="20"/>
    </w:rPr>
  </w:style>
  <w:style w:type="paragraph" w:customStyle="1" w:styleId="AnnexRef0">
    <w:name w:val="Annex_Ref"/>
    <w:basedOn w:val="Normal"/>
    <w:next w:val="AnnexTitle0"/>
    <w:uiPriority w:val="99"/>
    <w:rsid w:val="00532249"/>
    <w:pPr>
      <w:tabs>
        <w:tab w:val="clear" w:pos="794"/>
        <w:tab w:val="clear" w:pos="1191"/>
        <w:tab w:val="clear" w:pos="1588"/>
        <w:tab w:val="clear" w:pos="1985"/>
        <w:tab w:val="center" w:pos="4849"/>
        <w:tab w:val="right" w:pos="9696"/>
      </w:tabs>
      <w:spacing w:before="0"/>
      <w:jc w:val="center"/>
    </w:pPr>
    <w:rPr>
      <w:rFonts w:eastAsia="MS Mincho"/>
      <w:sz w:val="20"/>
    </w:rPr>
  </w:style>
  <w:style w:type="paragraph" w:customStyle="1" w:styleId="AnnexTitle0">
    <w:name w:val="Annex_Title"/>
    <w:basedOn w:val="Normal"/>
    <w:next w:val="Normalaftertitle0"/>
    <w:uiPriority w:val="99"/>
    <w:rsid w:val="00532249"/>
    <w:pPr>
      <w:tabs>
        <w:tab w:val="clear" w:pos="794"/>
        <w:tab w:val="clear" w:pos="1191"/>
        <w:tab w:val="clear" w:pos="1588"/>
        <w:tab w:val="clear" w:pos="1985"/>
        <w:tab w:val="left" w:pos="4849"/>
        <w:tab w:val="right" w:pos="9696"/>
      </w:tabs>
      <w:spacing w:before="136" w:after="200"/>
      <w:jc w:val="center"/>
    </w:pPr>
    <w:rPr>
      <w:rFonts w:eastAsia="MS Mincho"/>
      <w:b/>
    </w:rPr>
  </w:style>
  <w:style w:type="paragraph" w:customStyle="1" w:styleId="Appendix">
    <w:name w:val="Appendix_#"/>
    <w:basedOn w:val="Annex"/>
    <w:next w:val="AppendixRef0"/>
    <w:uiPriority w:val="99"/>
    <w:rsid w:val="00532249"/>
  </w:style>
  <w:style w:type="paragraph" w:customStyle="1" w:styleId="AppendixRef0">
    <w:name w:val="Appendix_Ref"/>
    <w:basedOn w:val="AnnexRef0"/>
    <w:next w:val="AppendixTitle0"/>
    <w:uiPriority w:val="99"/>
    <w:rsid w:val="00532249"/>
  </w:style>
  <w:style w:type="paragraph" w:customStyle="1" w:styleId="AppendixTitle0">
    <w:name w:val="Appendix_Title"/>
    <w:basedOn w:val="AnnexTitle0"/>
    <w:next w:val="Normal"/>
    <w:uiPriority w:val="99"/>
    <w:rsid w:val="00532249"/>
  </w:style>
  <w:style w:type="paragraph" w:customStyle="1" w:styleId="RefTitle0">
    <w:name w:val="Ref_Title"/>
    <w:basedOn w:val="Normal"/>
    <w:next w:val="RefText0"/>
    <w:uiPriority w:val="99"/>
    <w:rsid w:val="00532249"/>
    <w:pPr>
      <w:keepNext/>
      <w:keepLines/>
      <w:tabs>
        <w:tab w:val="clear" w:pos="794"/>
        <w:tab w:val="clear" w:pos="1191"/>
        <w:tab w:val="clear" w:pos="1588"/>
        <w:tab w:val="clear" w:pos="1985"/>
      </w:tabs>
      <w:spacing w:before="600"/>
      <w:jc w:val="center"/>
    </w:pPr>
    <w:rPr>
      <w:rFonts w:eastAsia="MS Mincho"/>
      <w:sz w:val="18"/>
    </w:rPr>
  </w:style>
  <w:style w:type="paragraph" w:customStyle="1" w:styleId="RefText0">
    <w:name w:val="Ref_Text"/>
    <w:basedOn w:val="Normal"/>
    <w:uiPriority w:val="99"/>
    <w:rsid w:val="00532249"/>
    <w:pPr>
      <w:spacing w:before="136"/>
      <w:ind w:left="567" w:hanging="567"/>
    </w:pPr>
    <w:rPr>
      <w:rFonts w:eastAsia="MS Mincho"/>
      <w:sz w:val="18"/>
    </w:rPr>
  </w:style>
  <w:style w:type="paragraph" w:customStyle="1" w:styleId="listitem">
    <w:name w:val="listitem"/>
    <w:basedOn w:val="Normal"/>
    <w:uiPriority w:val="99"/>
    <w:rsid w:val="00532249"/>
    <w:pPr>
      <w:keepLines/>
      <w:spacing w:before="0"/>
      <w:jc w:val="left"/>
    </w:pPr>
    <w:rPr>
      <w:rFonts w:eastAsia="MS Mincho"/>
      <w:sz w:val="20"/>
    </w:rPr>
  </w:style>
  <w:style w:type="paragraph" w:customStyle="1" w:styleId="Rec">
    <w:name w:val="Rec_#"/>
    <w:basedOn w:val="Normal"/>
    <w:next w:val="RecTitle0"/>
    <w:uiPriority w:val="99"/>
    <w:rsid w:val="00532249"/>
    <w:pPr>
      <w:keepNext/>
      <w:keepLines/>
      <w:tabs>
        <w:tab w:val="clear" w:pos="794"/>
        <w:tab w:val="clear" w:pos="1191"/>
        <w:tab w:val="clear" w:pos="1588"/>
        <w:tab w:val="clear" w:pos="1985"/>
        <w:tab w:val="center" w:pos="4849"/>
        <w:tab w:val="right" w:pos="9696"/>
      </w:tabs>
      <w:spacing w:before="720"/>
      <w:jc w:val="center"/>
    </w:pPr>
    <w:rPr>
      <w:rFonts w:eastAsia="MS Mincho"/>
      <w:sz w:val="20"/>
    </w:rPr>
  </w:style>
  <w:style w:type="paragraph" w:customStyle="1" w:styleId="RecTitle0">
    <w:name w:val="Rec_Title"/>
    <w:basedOn w:val="Rec"/>
    <w:next w:val="RecTitleRef"/>
    <w:rsid w:val="00532249"/>
    <w:pPr>
      <w:keepNext w:val="0"/>
      <w:keepLines w:val="0"/>
      <w:widowControl w:val="0"/>
      <w:tabs>
        <w:tab w:val="clear" w:pos="4849"/>
        <w:tab w:val="clear" w:pos="9696"/>
      </w:tabs>
      <w:overflowPunct/>
      <w:autoSpaceDE/>
      <w:autoSpaceDN/>
      <w:adjustRightInd/>
      <w:spacing w:before="0"/>
      <w:ind w:left="525" w:hangingChars="250" w:hanging="525"/>
      <w:jc w:val="both"/>
      <w:textAlignment w:val="auto"/>
    </w:pPr>
    <w:rPr>
      <w:rFonts w:ascii="Century" w:hAnsi="Century"/>
      <w:kern w:val="2"/>
      <w:sz w:val="21"/>
      <w:szCs w:val="24"/>
      <w:lang w:val="en-US" w:eastAsia="ja-JP"/>
    </w:rPr>
  </w:style>
  <w:style w:type="paragraph" w:customStyle="1" w:styleId="RecTitleRef">
    <w:name w:val="Rec_Title/Ref"/>
    <w:basedOn w:val="RecTitle0"/>
    <w:next w:val="RecTitleDate"/>
    <w:uiPriority w:val="99"/>
    <w:rsid w:val="00532249"/>
    <w:pPr>
      <w:widowControl/>
      <w:ind w:left="0" w:firstLineChars="0" w:firstLine="0"/>
      <w:jc w:val="left"/>
    </w:pPr>
    <w:rPr>
      <w:rFonts w:ascii="Times New Roman" w:eastAsia="Times New Roman" w:hAnsi="Times New Roman"/>
      <w:kern w:val="0"/>
      <w:sz w:val="24"/>
      <w:lang w:eastAsia="en-US"/>
    </w:rPr>
  </w:style>
  <w:style w:type="paragraph" w:customStyle="1" w:styleId="RecTitleDate">
    <w:name w:val="Rec_Title/Date"/>
    <w:basedOn w:val="RecTitleRef"/>
    <w:next w:val="headfoot"/>
    <w:rsid w:val="00532249"/>
    <w:pPr>
      <w:keepNext/>
      <w:keepLines/>
      <w:tabs>
        <w:tab w:val="right" w:pos="9696"/>
      </w:tabs>
      <w:overflowPunct w:val="0"/>
      <w:autoSpaceDE w:val="0"/>
      <w:autoSpaceDN w:val="0"/>
      <w:adjustRightInd w:val="0"/>
      <w:spacing w:before="136"/>
      <w:jc w:val="right"/>
      <w:textAlignment w:val="baseline"/>
    </w:pPr>
    <w:rPr>
      <w:rFonts w:eastAsia="MS Mincho"/>
      <w:sz w:val="20"/>
      <w:szCs w:val="20"/>
      <w:lang w:val="en-GB"/>
    </w:rPr>
  </w:style>
  <w:style w:type="paragraph" w:customStyle="1" w:styleId="headfoot">
    <w:name w:val="head_foot"/>
    <w:basedOn w:val="Normal"/>
    <w:next w:val="Normalaftertitle0"/>
    <w:rsid w:val="00532249"/>
    <w:pPr>
      <w:tabs>
        <w:tab w:val="clear" w:pos="794"/>
        <w:tab w:val="clear" w:pos="1191"/>
        <w:tab w:val="clear" w:pos="1588"/>
        <w:tab w:val="clear" w:pos="1985"/>
      </w:tabs>
      <w:spacing w:before="0"/>
    </w:pPr>
    <w:rPr>
      <w:rFonts w:eastAsia="MS Mincho"/>
      <w:b/>
      <w:color w:val="FFFFFF"/>
      <w:sz w:val="8"/>
    </w:rPr>
  </w:style>
  <w:style w:type="paragraph" w:customStyle="1" w:styleId="call0">
    <w:name w:val="call"/>
    <w:basedOn w:val="Normal"/>
    <w:next w:val="Normal"/>
    <w:rsid w:val="00532249"/>
    <w:pPr>
      <w:keepNext/>
      <w:keepLines/>
      <w:tabs>
        <w:tab w:val="clear" w:pos="1191"/>
        <w:tab w:val="clear" w:pos="1588"/>
        <w:tab w:val="clear" w:pos="1985"/>
      </w:tabs>
      <w:spacing w:before="227"/>
      <w:ind w:left="794"/>
      <w:jc w:val="left"/>
    </w:pPr>
    <w:rPr>
      <w:rFonts w:eastAsia="MS Mincho"/>
      <w:i/>
      <w:sz w:val="20"/>
    </w:rPr>
  </w:style>
  <w:style w:type="paragraph" w:customStyle="1" w:styleId="deftitle">
    <w:name w:val="def title"/>
    <w:basedOn w:val="Heading2"/>
    <w:next w:val="deftexte"/>
    <w:uiPriority w:val="99"/>
    <w:rsid w:val="00532249"/>
    <w:pPr>
      <w:tabs>
        <w:tab w:val="clear" w:pos="1191"/>
        <w:tab w:val="clear" w:pos="1588"/>
        <w:tab w:val="clear" w:pos="1985"/>
      </w:tabs>
      <w:spacing w:before="313"/>
      <w:outlineLvl w:val="9"/>
    </w:pPr>
    <w:rPr>
      <w:rFonts w:eastAsia="MS Mincho"/>
      <w:sz w:val="22"/>
    </w:rPr>
  </w:style>
  <w:style w:type="paragraph" w:customStyle="1" w:styleId="deftexte">
    <w:name w:val="def texte"/>
    <w:basedOn w:val="Normal"/>
    <w:uiPriority w:val="99"/>
    <w:rsid w:val="00532249"/>
    <w:pPr>
      <w:spacing w:before="136"/>
    </w:pPr>
    <w:rPr>
      <w:rFonts w:eastAsia="MS Mincho"/>
      <w:sz w:val="20"/>
    </w:rPr>
  </w:style>
  <w:style w:type="paragraph" w:customStyle="1" w:styleId="Section">
    <w:name w:val="Section #"/>
    <w:basedOn w:val="Normal"/>
    <w:next w:val="Sectiontitle0"/>
    <w:uiPriority w:val="99"/>
    <w:rsid w:val="00532249"/>
    <w:pPr>
      <w:keepNext/>
      <w:keepLines/>
      <w:pageBreakBefore/>
      <w:tabs>
        <w:tab w:val="clear" w:pos="794"/>
        <w:tab w:val="clear" w:pos="1191"/>
        <w:tab w:val="clear" w:pos="1588"/>
        <w:tab w:val="clear" w:pos="1985"/>
        <w:tab w:val="left" w:pos="1474"/>
      </w:tabs>
      <w:spacing w:before="0"/>
      <w:ind w:left="1474" w:hanging="1474"/>
      <w:jc w:val="left"/>
    </w:pPr>
    <w:rPr>
      <w:rFonts w:eastAsia="MS Mincho"/>
      <w:sz w:val="20"/>
    </w:rPr>
  </w:style>
  <w:style w:type="paragraph" w:customStyle="1" w:styleId="Sectiontitle0">
    <w:name w:val="Section title"/>
    <w:basedOn w:val="Section"/>
    <w:next w:val="Rec"/>
    <w:uiPriority w:val="99"/>
    <w:rsid w:val="00532249"/>
    <w:pPr>
      <w:pageBreakBefore w:val="0"/>
      <w:tabs>
        <w:tab w:val="clear" w:pos="1474"/>
        <w:tab w:val="left" w:pos="794"/>
        <w:tab w:val="left" w:pos="1191"/>
        <w:tab w:val="left" w:pos="1588"/>
        <w:tab w:val="left" w:pos="1985"/>
      </w:tabs>
      <w:spacing w:before="480"/>
      <w:ind w:left="0" w:firstLine="0"/>
      <w:jc w:val="center"/>
    </w:pPr>
    <w:rPr>
      <w:caps/>
      <w:sz w:val="28"/>
    </w:rPr>
  </w:style>
  <w:style w:type="paragraph" w:customStyle="1" w:styleId="heading">
    <w:name w:val="heading"/>
    <w:basedOn w:val="Heading2"/>
    <w:uiPriority w:val="99"/>
    <w:rsid w:val="00532249"/>
    <w:pPr>
      <w:tabs>
        <w:tab w:val="clear" w:pos="1985"/>
      </w:tabs>
      <w:spacing w:before="313"/>
      <w:outlineLvl w:val="9"/>
    </w:pPr>
    <w:rPr>
      <w:rFonts w:eastAsia="MS Mincho"/>
      <w:sz w:val="22"/>
    </w:rPr>
  </w:style>
  <w:style w:type="paragraph" w:customStyle="1" w:styleId="Line1">
    <w:name w:val="Line_1"/>
    <w:basedOn w:val="Normal"/>
    <w:next w:val="Normal"/>
    <w:uiPriority w:val="99"/>
    <w:rsid w:val="00532249"/>
    <w:pPr>
      <w:pBdr>
        <w:top w:val="dashed" w:sz="6" w:space="1" w:color="auto"/>
      </w:pBdr>
      <w:tabs>
        <w:tab w:val="clear" w:pos="794"/>
        <w:tab w:val="clear" w:pos="1191"/>
        <w:tab w:val="clear" w:pos="1588"/>
        <w:tab w:val="clear" w:pos="1985"/>
      </w:tabs>
      <w:spacing w:before="240"/>
      <w:ind w:left="3997" w:right="3997"/>
      <w:jc w:val="center"/>
    </w:pPr>
    <w:rPr>
      <w:rFonts w:eastAsia="MS Mincho"/>
      <w:sz w:val="20"/>
    </w:rPr>
  </w:style>
  <w:style w:type="paragraph" w:customStyle="1" w:styleId="Part">
    <w:name w:val="Part_#"/>
    <w:basedOn w:val="Annex"/>
    <w:next w:val="PartRef0"/>
    <w:uiPriority w:val="99"/>
    <w:rsid w:val="00532249"/>
  </w:style>
  <w:style w:type="paragraph" w:customStyle="1" w:styleId="PartRef0">
    <w:name w:val="Part_Ref"/>
    <w:basedOn w:val="AnnexRef0"/>
    <w:uiPriority w:val="99"/>
    <w:rsid w:val="00532249"/>
  </w:style>
  <w:style w:type="paragraph" w:customStyle="1" w:styleId="PartTitle0">
    <w:name w:val="Part_Title"/>
    <w:basedOn w:val="AnnexTitle0"/>
    <w:next w:val="Normalaftertitle0"/>
    <w:uiPriority w:val="99"/>
    <w:rsid w:val="00532249"/>
  </w:style>
  <w:style w:type="paragraph" w:customStyle="1" w:styleId="Rep">
    <w:name w:val="Rep_#"/>
    <w:basedOn w:val="Rec"/>
    <w:next w:val="RepTitle0"/>
    <w:uiPriority w:val="99"/>
    <w:rsid w:val="00532249"/>
    <w:pPr>
      <w:keepNext w:val="0"/>
      <w:keepLines w:val="0"/>
      <w:widowControl w:val="0"/>
      <w:tabs>
        <w:tab w:val="clear" w:pos="4849"/>
        <w:tab w:val="clear" w:pos="9696"/>
      </w:tabs>
      <w:overflowPunct/>
      <w:autoSpaceDE/>
      <w:autoSpaceDN/>
      <w:adjustRightInd/>
      <w:spacing w:before="0"/>
      <w:ind w:left="525" w:hangingChars="250" w:hanging="525"/>
      <w:jc w:val="both"/>
      <w:textAlignment w:val="auto"/>
    </w:pPr>
    <w:rPr>
      <w:rFonts w:ascii="Century" w:hAnsi="Century"/>
      <w:kern w:val="2"/>
      <w:sz w:val="21"/>
      <w:szCs w:val="24"/>
      <w:lang w:val="en-US" w:eastAsia="ja-JP"/>
    </w:rPr>
  </w:style>
  <w:style w:type="paragraph" w:customStyle="1" w:styleId="RepTitle0">
    <w:name w:val="Rep_Title"/>
    <w:basedOn w:val="RecTitle0"/>
    <w:next w:val="RepTitleRef"/>
    <w:uiPriority w:val="99"/>
    <w:rsid w:val="00532249"/>
    <w:pPr>
      <w:widowControl/>
      <w:ind w:left="0" w:firstLineChars="0" w:firstLine="0"/>
      <w:jc w:val="left"/>
    </w:pPr>
    <w:rPr>
      <w:rFonts w:ascii="Times New Roman" w:eastAsia="Times New Roman" w:hAnsi="Times New Roman"/>
      <w:kern w:val="0"/>
      <w:sz w:val="24"/>
      <w:lang w:eastAsia="en-US"/>
    </w:rPr>
  </w:style>
  <w:style w:type="paragraph" w:customStyle="1" w:styleId="RepTitleRef">
    <w:name w:val="Rep_Title/Ref"/>
    <w:basedOn w:val="RecTitleRef"/>
    <w:next w:val="RepTitleDate"/>
    <w:uiPriority w:val="99"/>
    <w:rsid w:val="00532249"/>
    <w:pPr>
      <w:keepNext/>
      <w:keepLines/>
      <w:tabs>
        <w:tab w:val="center" w:pos="4849"/>
        <w:tab w:val="right" w:pos="9696"/>
      </w:tabs>
      <w:overflowPunct w:val="0"/>
      <w:autoSpaceDE w:val="0"/>
      <w:autoSpaceDN w:val="0"/>
      <w:adjustRightInd w:val="0"/>
      <w:spacing w:before="136"/>
      <w:jc w:val="center"/>
      <w:textAlignment w:val="baseline"/>
    </w:pPr>
    <w:rPr>
      <w:rFonts w:eastAsia="MS Mincho"/>
      <w:sz w:val="20"/>
      <w:szCs w:val="20"/>
      <w:lang w:val="en-GB"/>
    </w:rPr>
  </w:style>
  <w:style w:type="paragraph" w:customStyle="1" w:styleId="RepTitleDate">
    <w:name w:val="Rep_Title/Date"/>
    <w:basedOn w:val="RecTitleDate"/>
    <w:next w:val="headfoot"/>
    <w:uiPriority w:val="99"/>
    <w:rsid w:val="00532249"/>
  </w:style>
  <w:style w:type="paragraph" w:customStyle="1" w:styleId="RefDoc">
    <w:name w:val="Ref_Doc"/>
    <w:basedOn w:val="RefText0"/>
    <w:next w:val="RefText0"/>
    <w:uiPriority w:val="99"/>
    <w:rsid w:val="00532249"/>
    <w:pPr>
      <w:spacing w:before="227"/>
    </w:pPr>
    <w:rPr>
      <w:i/>
    </w:rPr>
  </w:style>
  <w:style w:type="paragraph" w:customStyle="1" w:styleId="Question">
    <w:name w:val="Question_#"/>
    <w:basedOn w:val="Rec"/>
    <w:next w:val="QuestionTitle0"/>
    <w:uiPriority w:val="99"/>
    <w:rsid w:val="00532249"/>
    <w:pPr>
      <w:keepNext w:val="0"/>
      <w:keepLines w:val="0"/>
      <w:widowControl w:val="0"/>
      <w:tabs>
        <w:tab w:val="clear" w:pos="4849"/>
        <w:tab w:val="clear" w:pos="9696"/>
      </w:tabs>
      <w:overflowPunct/>
      <w:autoSpaceDE/>
      <w:autoSpaceDN/>
      <w:adjustRightInd/>
      <w:spacing w:before="0"/>
      <w:ind w:left="525" w:hangingChars="250" w:hanging="525"/>
      <w:jc w:val="both"/>
      <w:textAlignment w:val="auto"/>
    </w:pPr>
    <w:rPr>
      <w:rFonts w:ascii="Century" w:hAnsi="Century"/>
      <w:kern w:val="2"/>
      <w:sz w:val="21"/>
      <w:szCs w:val="24"/>
      <w:lang w:val="en-US" w:eastAsia="ja-JP"/>
    </w:rPr>
  </w:style>
  <w:style w:type="paragraph" w:customStyle="1" w:styleId="QuestionTitle0">
    <w:name w:val="Question_Title"/>
    <w:basedOn w:val="RecTitle0"/>
    <w:next w:val="QuestionTitleRef"/>
    <w:uiPriority w:val="99"/>
    <w:rsid w:val="00532249"/>
    <w:pPr>
      <w:widowControl/>
      <w:ind w:left="0" w:firstLineChars="0" w:firstLine="0"/>
      <w:jc w:val="left"/>
    </w:pPr>
    <w:rPr>
      <w:rFonts w:ascii="Times New Roman" w:eastAsia="Times New Roman" w:hAnsi="Times New Roman"/>
      <w:kern w:val="0"/>
      <w:sz w:val="24"/>
      <w:lang w:eastAsia="en-US"/>
    </w:rPr>
  </w:style>
  <w:style w:type="paragraph" w:customStyle="1" w:styleId="QuestionTitleRef">
    <w:name w:val="Question_Title/Ref"/>
    <w:basedOn w:val="RecTitleRef"/>
    <w:next w:val="QuestionTitleDate"/>
    <w:uiPriority w:val="99"/>
    <w:rsid w:val="00532249"/>
    <w:pPr>
      <w:keepNext/>
      <w:keepLines/>
      <w:tabs>
        <w:tab w:val="center" w:pos="4849"/>
        <w:tab w:val="right" w:pos="9696"/>
      </w:tabs>
      <w:overflowPunct w:val="0"/>
      <w:autoSpaceDE w:val="0"/>
      <w:autoSpaceDN w:val="0"/>
      <w:adjustRightInd w:val="0"/>
      <w:spacing w:before="136"/>
      <w:jc w:val="center"/>
      <w:textAlignment w:val="baseline"/>
    </w:pPr>
    <w:rPr>
      <w:rFonts w:eastAsia="MS Mincho"/>
      <w:sz w:val="20"/>
      <w:szCs w:val="20"/>
      <w:lang w:val="en-GB"/>
    </w:rPr>
  </w:style>
  <w:style w:type="paragraph" w:customStyle="1" w:styleId="QuestionTitleDate">
    <w:name w:val="Question_Title/Date"/>
    <w:basedOn w:val="RecTitleDate"/>
    <w:next w:val="headfoot"/>
    <w:uiPriority w:val="99"/>
    <w:rsid w:val="00532249"/>
  </w:style>
  <w:style w:type="paragraph" w:customStyle="1" w:styleId="Res">
    <w:name w:val="Res_#"/>
    <w:basedOn w:val="Rec"/>
    <w:next w:val="ResTitle0"/>
    <w:uiPriority w:val="99"/>
    <w:rsid w:val="00532249"/>
    <w:pPr>
      <w:keepNext w:val="0"/>
      <w:keepLines w:val="0"/>
      <w:widowControl w:val="0"/>
      <w:tabs>
        <w:tab w:val="clear" w:pos="4849"/>
        <w:tab w:val="clear" w:pos="9696"/>
      </w:tabs>
      <w:overflowPunct/>
      <w:autoSpaceDE/>
      <w:autoSpaceDN/>
      <w:adjustRightInd/>
      <w:spacing w:before="0"/>
      <w:ind w:left="525" w:hangingChars="250" w:hanging="525"/>
      <w:jc w:val="both"/>
      <w:textAlignment w:val="auto"/>
    </w:pPr>
    <w:rPr>
      <w:rFonts w:ascii="Century" w:hAnsi="Century"/>
      <w:kern w:val="2"/>
      <w:sz w:val="21"/>
      <w:szCs w:val="24"/>
      <w:lang w:val="en-US" w:eastAsia="ja-JP"/>
    </w:rPr>
  </w:style>
  <w:style w:type="paragraph" w:customStyle="1" w:styleId="ResTitle0">
    <w:name w:val="Res_Title"/>
    <w:basedOn w:val="RecTitle0"/>
    <w:next w:val="ResTitleRef"/>
    <w:uiPriority w:val="99"/>
    <w:rsid w:val="00532249"/>
    <w:pPr>
      <w:widowControl/>
      <w:ind w:left="0" w:firstLineChars="0" w:firstLine="0"/>
      <w:jc w:val="left"/>
    </w:pPr>
    <w:rPr>
      <w:rFonts w:ascii="Times New Roman" w:eastAsia="Times New Roman" w:hAnsi="Times New Roman"/>
      <w:kern w:val="0"/>
      <w:sz w:val="24"/>
      <w:lang w:eastAsia="en-US"/>
    </w:rPr>
  </w:style>
  <w:style w:type="paragraph" w:customStyle="1" w:styleId="ResTitleRef">
    <w:name w:val="Res_Title/Ref"/>
    <w:basedOn w:val="RecTitleRef"/>
    <w:next w:val="ResTitleDate"/>
    <w:uiPriority w:val="99"/>
    <w:rsid w:val="00532249"/>
    <w:pPr>
      <w:keepNext/>
      <w:keepLines/>
      <w:tabs>
        <w:tab w:val="center" w:pos="4849"/>
        <w:tab w:val="right" w:pos="9696"/>
      </w:tabs>
      <w:overflowPunct w:val="0"/>
      <w:autoSpaceDE w:val="0"/>
      <w:autoSpaceDN w:val="0"/>
      <w:adjustRightInd w:val="0"/>
      <w:spacing w:before="136"/>
      <w:jc w:val="center"/>
      <w:textAlignment w:val="baseline"/>
    </w:pPr>
    <w:rPr>
      <w:rFonts w:eastAsia="MS Mincho"/>
      <w:sz w:val="20"/>
      <w:szCs w:val="20"/>
      <w:lang w:val="en-GB"/>
    </w:rPr>
  </w:style>
  <w:style w:type="paragraph" w:customStyle="1" w:styleId="ResTitleDate">
    <w:name w:val="Res_Title/Date"/>
    <w:basedOn w:val="RecTitleDate"/>
    <w:next w:val="headfoot"/>
    <w:uiPriority w:val="99"/>
    <w:rsid w:val="00532249"/>
  </w:style>
  <w:style w:type="paragraph" w:customStyle="1" w:styleId="Style">
    <w:name w:val="Style"/>
    <w:basedOn w:val="Normal"/>
    <w:uiPriority w:val="99"/>
    <w:rsid w:val="00532249"/>
    <w:pPr>
      <w:tabs>
        <w:tab w:val="center" w:pos="4196"/>
        <w:tab w:val="left" w:pos="9242"/>
        <w:tab w:val="center" w:pos="12587"/>
      </w:tabs>
      <w:spacing w:before="340" w:line="318" w:lineRule="atLeast"/>
      <w:ind w:right="618"/>
    </w:pPr>
    <w:rPr>
      <w:rFonts w:eastAsia="MS Mincho"/>
      <w:i/>
      <w:sz w:val="28"/>
    </w:rPr>
  </w:style>
  <w:style w:type="paragraph" w:customStyle="1" w:styleId="Sectionsous">
    <w:name w:val="Section_sous"/>
    <w:basedOn w:val="Section"/>
    <w:next w:val="Rec"/>
    <w:uiPriority w:val="99"/>
    <w:rsid w:val="00532249"/>
    <w:pPr>
      <w:pageBreakBefore w:val="0"/>
      <w:tabs>
        <w:tab w:val="clear" w:pos="1474"/>
        <w:tab w:val="left" w:pos="794"/>
        <w:tab w:val="left" w:pos="1191"/>
        <w:tab w:val="left" w:pos="1588"/>
        <w:tab w:val="left" w:pos="1985"/>
      </w:tabs>
      <w:spacing w:before="480"/>
      <w:ind w:left="0" w:firstLine="0"/>
      <w:jc w:val="center"/>
    </w:pPr>
    <w:rPr>
      <w:caps/>
      <w:sz w:val="28"/>
    </w:rPr>
  </w:style>
  <w:style w:type="paragraph" w:customStyle="1" w:styleId="CCI">
    <w:name w:val="CCI"/>
    <w:basedOn w:val="Normal"/>
    <w:next w:val="call0"/>
    <w:uiPriority w:val="99"/>
    <w:rsid w:val="00532249"/>
    <w:pPr>
      <w:keepNext/>
      <w:keepLines/>
      <w:tabs>
        <w:tab w:val="clear" w:pos="794"/>
        <w:tab w:val="clear" w:pos="1191"/>
        <w:tab w:val="clear" w:pos="1588"/>
        <w:tab w:val="clear" w:pos="1985"/>
      </w:tabs>
      <w:spacing w:before="199"/>
    </w:pPr>
    <w:rPr>
      <w:rFonts w:eastAsia="MS Mincho"/>
      <w:sz w:val="20"/>
    </w:rPr>
  </w:style>
  <w:style w:type="paragraph" w:customStyle="1" w:styleId="Fig">
    <w:name w:val="Fig"/>
    <w:basedOn w:val="Figure"/>
    <w:next w:val="Fig0"/>
    <w:uiPriority w:val="99"/>
    <w:rsid w:val="00532249"/>
    <w:pPr>
      <w:keepLines w:val="0"/>
      <w:spacing w:before="136" w:after="0"/>
    </w:pPr>
    <w:rPr>
      <w:rFonts w:eastAsia="MS Mincho"/>
      <w:caps w:val="0"/>
      <w:sz w:val="20"/>
      <w:lang w:val="en-US"/>
    </w:rPr>
  </w:style>
  <w:style w:type="paragraph" w:customStyle="1" w:styleId="Fig0">
    <w:name w:val="Fig_#"/>
    <w:basedOn w:val="Fig"/>
    <w:next w:val="Normal"/>
    <w:uiPriority w:val="99"/>
    <w:rsid w:val="00532249"/>
    <w:pPr>
      <w:jc w:val="left"/>
    </w:pPr>
    <w:rPr>
      <w:color w:val="FFFFFF"/>
    </w:rPr>
  </w:style>
  <w:style w:type="paragraph" w:customStyle="1" w:styleId="heading13">
    <w:name w:val="heading 13"/>
    <w:basedOn w:val="Heading3"/>
    <w:uiPriority w:val="99"/>
    <w:rsid w:val="00532249"/>
    <w:pPr>
      <w:tabs>
        <w:tab w:val="clear" w:pos="794"/>
        <w:tab w:val="clear" w:pos="1191"/>
        <w:tab w:val="clear" w:pos="1588"/>
        <w:tab w:val="clear" w:pos="1985"/>
        <w:tab w:val="left" w:pos="1077"/>
        <w:tab w:val="right" w:pos="9696"/>
      </w:tabs>
      <w:spacing w:before="240"/>
      <w:ind w:left="1077" w:hanging="1077"/>
      <w:outlineLvl w:val="9"/>
    </w:pPr>
    <w:rPr>
      <w:rFonts w:eastAsia="MS Mincho"/>
      <w:b w:val="0"/>
      <w:i/>
      <w:sz w:val="20"/>
    </w:rPr>
  </w:style>
  <w:style w:type="paragraph" w:customStyle="1" w:styleId="Head">
    <w:name w:val="Head"/>
    <w:basedOn w:val="Normal"/>
    <w:uiPriority w:val="99"/>
    <w:rsid w:val="00532249"/>
    <w:pPr>
      <w:tabs>
        <w:tab w:val="clear" w:pos="794"/>
        <w:tab w:val="clear" w:pos="1191"/>
        <w:tab w:val="clear" w:pos="1588"/>
        <w:tab w:val="clear" w:pos="1985"/>
        <w:tab w:val="left" w:pos="6663"/>
      </w:tabs>
      <w:spacing w:before="0"/>
      <w:jc w:val="left"/>
    </w:pPr>
    <w:rPr>
      <w:rFonts w:eastAsia="MS Mincho"/>
      <w:b/>
      <w:color w:val="FFFFFF"/>
      <w:sz w:val="8"/>
    </w:rPr>
  </w:style>
  <w:style w:type="paragraph" w:customStyle="1" w:styleId="meeting">
    <w:name w:val="meeting"/>
    <w:basedOn w:val="Head"/>
    <w:next w:val="Head"/>
    <w:uiPriority w:val="99"/>
    <w:rsid w:val="00532249"/>
    <w:pPr>
      <w:tabs>
        <w:tab w:val="left" w:pos="7371"/>
      </w:tabs>
      <w:spacing w:after="560"/>
    </w:pPr>
  </w:style>
  <w:style w:type="paragraph" w:customStyle="1" w:styleId="foot">
    <w:name w:val="foot"/>
    <w:basedOn w:val="headfoot"/>
    <w:uiPriority w:val="99"/>
    <w:rsid w:val="00532249"/>
    <w:rPr>
      <w:lang w:val="fr-FR"/>
    </w:rPr>
  </w:style>
  <w:style w:type="paragraph" w:customStyle="1" w:styleId="TableHead0">
    <w:name w:val="Table_Head"/>
    <w:basedOn w:val="TableText0"/>
    <w:uiPriority w:val="99"/>
    <w:rsid w:val="0053224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2"/>
    </w:rPr>
  </w:style>
  <w:style w:type="paragraph" w:customStyle="1" w:styleId="TH">
    <w:name w:val="TH"/>
    <w:next w:val="Normal"/>
    <w:uiPriority w:val="99"/>
    <w:rsid w:val="00532249"/>
    <w:pPr>
      <w:keepNext/>
      <w:keepLines/>
      <w:widowControl w:val="0"/>
      <w:overflowPunct w:val="0"/>
      <w:autoSpaceDE w:val="0"/>
      <w:autoSpaceDN w:val="0"/>
      <w:adjustRightInd w:val="0"/>
      <w:spacing w:after="240" w:line="240" w:lineRule="atLeast"/>
      <w:jc w:val="center"/>
      <w:textAlignment w:val="baseline"/>
    </w:pPr>
    <w:rPr>
      <w:rFonts w:ascii="Univers (W1)" w:eastAsia="MS Mincho" w:hAnsi="Univers (W1)"/>
      <w:lang w:val="en-AU" w:eastAsia="en-US"/>
    </w:rPr>
  </w:style>
  <w:style w:type="paragraph" w:customStyle="1" w:styleId="TF">
    <w:name w:val="TF"/>
    <w:next w:val="Normal"/>
    <w:uiPriority w:val="99"/>
    <w:rsid w:val="00532249"/>
    <w:pPr>
      <w:keepLines/>
      <w:widowControl w:val="0"/>
      <w:overflowPunct w:val="0"/>
      <w:autoSpaceDE w:val="0"/>
      <w:autoSpaceDN w:val="0"/>
      <w:adjustRightInd w:val="0"/>
      <w:spacing w:before="240" w:after="240" w:line="240" w:lineRule="atLeast"/>
      <w:jc w:val="center"/>
      <w:textAlignment w:val="baseline"/>
    </w:pPr>
    <w:rPr>
      <w:rFonts w:ascii="Univers (W1)" w:eastAsia="MS Mincho" w:hAnsi="Univers (W1)"/>
      <w:lang w:val="en-AU" w:eastAsia="en-US"/>
    </w:rPr>
  </w:style>
  <w:style w:type="paragraph" w:customStyle="1" w:styleId="Infodoc">
    <w:name w:val="Infodoc"/>
    <w:basedOn w:val="Normal"/>
    <w:uiPriority w:val="99"/>
    <w:rsid w:val="00532249"/>
    <w:pPr>
      <w:tabs>
        <w:tab w:val="clear" w:pos="794"/>
        <w:tab w:val="clear" w:pos="1191"/>
        <w:tab w:val="clear" w:pos="1588"/>
        <w:tab w:val="clear" w:pos="1985"/>
        <w:tab w:val="left" w:pos="1418"/>
      </w:tabs>
      <w:spacing w:before="0"/>
      <w:ind w:left="1418" w:hanging="1418"/>
      <w:jc w:val="left"/>
    </w:pPr>
    <w:rPr>
      <w:rFonts w:eastAsia="MS Mincho"/>
      <w:lang w:val="fr-FR"/>
    </w:rPr>
  </w:style>
  <w:style w:type="paragraph" w:customStyle="1" w:styleId="Keywords">
    <w:name w:val="Keywords"/>
    <w:basedOn w:val="Normal"/>
    <w:uiPriority w:val="99"/>
    <w:rsid w:val="00532249"/>
    <w:pPr>
      <w:tabs>
        <w:tab w:val="clear" w:pos="1191"/>
        <w:tab w:val="clear" w:pos="1588"/>
      </w:tabs>
      <w:ind w:left="794" w:hanging="794"/>
      <w:jc w:val="left"/>
    </w:pPr>
    <w:rPr>
      <w:rFonts w:eastAsia="MS Mincho"/>
      <w:lang w:val="fr-FR"/>
    </w:rPr>
  </w:style>
  <w:style w:type="paragraph" w:customStyle="1" w:styleId="WP">
    <w:name w:val="WP"/>
    <w:next w:val="Normal"/>
    <w:uiPriority w:val="99"/>
    <w:rsid w:val="00532249"/>
    <w:pPr>
      <w:widowControl w:val="0"/>
      <w:overflowPunct w:val="0"/>
      <w:autoSpaceDE w:val="0"/>
      <w:autoSpaceDN w:val="0"/>
      <w:adjustRightInd w:val="0"/>
      <w:spacing w:line="240" w:lineRule="atLeast"/>
      <w:jc w:val="both"/>
      <w:textAlignment w:val="baseline"/>
    </w:pPr>
    <w:rPr>
      <w:rFonts w:ascii="Univers (W1)" w:eastAsia="MS Mincho" w:hAnsi="Univers (W1)"/>
      <w:lang w:val="en-AU" w:eastAsia="en-US"/>
    </w:rPr>
  </w:style>
  <w:style w:type="paragraph" w:customStyle="1" w:styleId="TAH">
    <w:name w:val="TAH"/>
    <w:basedOn w:val="Normal"/>
    <w:uiPriority w:val="99"/>
    <w:rsid w:val="00532249"/>
    <w:pPr>
      <w:keepNext/>
      <w:keepLines/>
      <w:widowControl w:val="0"/>
      <w:tabs>
        <w:tab w:val="clear" w:pos="794"/>
        <w:tab w:val="clear" w:pos="1191"/>
        <w:tab w:val="clear" w:pos="1588"/>
        <w:tab w:val="clear" w:pos="1985"/>
      </w:tabs>
      <w:spacing w:before="12" w:after="12" w:line="240" w:lineRule="atLeast"/>
      <w:ind w:left="57" w:right="57"/>
      <w:jc w:val="center"/>
    </w:pPr>
    <w:rPr>
      <w:rFonts w:ascii="Univers (W1)" w:eastAsia="MS Mincho" w:hAnsi="Univers (W1)"/>
      <w:b/>
      <w:sz w:val="20"/>
      <w:lang w:val="en-AU"/>
    </w:rPr>
  </w:style>
  <w:style w:type="paragraph" w:customStyle="1" w:styleId="TAL">
    <w:name w:val="TAL"/>
    <w:basedOn w:val="Normal"/>
    <w:uiPriority w:val="99"/>
    <w:rsid w:val="00532249"/>
    <w:pPr>
      <w:keepNext/>
      <w:keepLines/>
      <w:widowControl w:val="0"/>
      <w:tabs>
        <w:tab w:val="clear" w:pos="794"/>
        <w:tab w:val="clear" w:pos="1191"/>
        <w:tab w:val="clear" w:pos="1588"/>
        <w:tab w:val="clear" w:pos="1985"/>
      </w:tabs>
      <w:spacing w:before="12" w:after="12" w:line="240" w:lineRule="atLeast"/>
      <w:ind w:left="57" w:right="57"/>
      <w:jc w:val="left"/>
    </w:pPr>
    <w:rPr>
      <w:rFonts w:ascii="Univers (W1)" w:eastAsia="MS Mincho" w:hAnsi="Univers (W1)"/>
      <w:sz w:val="20"/>
      <w:lang w:val="en-AU"/>
    </w:rPr>
  </w:style>
  <w:style w:type="paragraph" w:customStyle="1" w:styleId="TAC">
    <w:name w:val="TAC"/>
    <w:basedOn w:val="Normal"/>
    <w:uiPriority w:val="99"/>
    <w:rsid w:val="00532249"/>
    <w:pPr>
      <w:keepNext/>
      <w:keepLines/>
      <w:widowControl w:val="0"/>
      <w:tabs>
        <w:tab w:val="clear" w:pos="794"/>
        <w:tab w:val="clear" w:pos="1191"/>
        <w:tab w:val="clear" w:pos="1588"/>
        <w:tab w:val="clear" w:pos="1985"/>
      </w:tabs>
      <w:spacing w:before="12" w:after="12" w:line="240" w:lineRule="atLeast"/>
      <w:ind w:left="57" w:right="57"/>
      <w:jc w:val="center"/>
    </w:pPr>
    <w:rPr>
      <w:rFonts w:ascii="Univers (W1)" w:eastAsia="MS Mincho" w:hAnsi="Univers (W1)"/>
      <w:sz w:val="20"/>
      <w:lang w:val="en-AU"/>
    </w:rPr>
  </w:style>
  <w:style w:type="character" w:customStyle="1" w:styleId="TableNoCharChar">
    <w:name w:val="Table_No Char Char"/>
    <w:uiPriority w:val="99"/>
    <w:locked/>
    <w:rsid w:val="00532249"/>
    <w:rPr>
      <w:rFonts w:ascii="Times New Roman" w:eastAsia="MS Mincho" w:hAnsi="Times New Roman"/>
      <w:caps/>
      <w:lang w:val="en-GB" w:eastAsia="en-US"/>
    </w:rPr>
  </w:style>
  <w:style w:type="character" w:customStyle="1" w:styleId="NormalaftertitleCharChar">
    <w:name w:val="Normal_after_title Char Char"/>
    <w:uiPriority w:val="99"/>
    <w:locked/>
    <w:rsid w:val="00532249"/>
    <w:rPr>
      <w:rFonts w:cs="Times New Roman"/>
      <w:sz w:val="24"/>
      <w:lang w:val="en-GB" w:eastAsia="en-US" w:bidi="ar-SA"/>
    </w:rPr>
  </w:style>
  <w:style w:type="character" w:customStyle="1" w:styleId="enumlev1CharChar">
    <w:name w:val="enumlev1 Char Char"/>
    <w:uiPriority w:val="99"/>
    <w:locked/>
    <w:rsid w:val="00532249"/>
    <w:rPr>
      <w:rFonts w:cs="Times New Roman"/>
      <w:sz w:val="24"/>
      <w:lang w:val="en-GB" w:eastAsia="en-US" w:bidi="ar-SA"/>
    </w:rPr>
  </w:style>
  <w:style w:type="character" w:customStyle="1" w:styleId="CommentTextChar1">
    <w:name w:val="Comment Text Char1"/>
    <w:locked/>
    <w:rsid w:val="00532249"/>
    <w:rPr>
      <w:rFonts w:ascii="Times New Roman" w:hAnsi="Times New Roman" w:cs="Times New Roman"/>
      <w:lang w:val="en-GB" w:eastAsia="en-US"/>
    </w:rPr>
  </w:style>
  <w:style w:type="paragraph" w:customStyle="1" w:styleId="1CharChar">
    <w:name w:val="(文字) (文字)1 Char Char"/>
    <w:basedOn w:val="Normal"/>
    <w:uiPriority w:val="99"/>
    <w:rsid w:val="00532249"/>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character" w:customStyle="1" w:styleId="BodyTextChar1">
    <w:name w:val="Body Text Char1"/>
    <w:uiPriority w:val="99"/>
    <w:locked/>
    <w:rsid w:val="00532249"/>
    <w:rPr>
      <w:rFonts w:ascii="Times New Roman" w:hAnsi="Times New Roman" w:cs="Times New Roman"/>
      <w:kern w:val="2"/>
      <w:sz w:val="24"/>
      <w:szCs w:val="24"/>
      <w:lang w:eastAsia="ja-JP"/>
    </w:rPr>
  </w:style>
  <w:style w:type="character" w:customStyle="1" w:styleId="BodyTextIndentChar1">
    <w:name w:val="Body Text Indent Char1"/>
    <w:uiPriority w:val="99"/>
    <w:locked/>
    <w:rsid w:val="00532249"/>
    <w:rPr>
      <w:rFonts w:ascii="Times New Roman" w:hAnsi="Times New Roman" w:cs="Times New Roman"/>
      <w:b/>
      <w:kern w:val="2"/>
      <w:sz w:val="24"/>
      <w:szCs w:val="24"/>
      <w:lang w:eastAsia="ja-JP"/>
    </w:rPr>
  </w:style>
  <w:style w:type="character" w:customStyle="1" w:styleId="BodyTextIndent3Char1">
    <w:name w:val="Body Text Indent 3 Char1"/>
    <w:uiPriority w:val="99"/>
    <w:locked/>
    <w:rsid w:val="00532249"/>
    <w:rPr>
      <w:rFonts w:ascii="Century" w:hAnsi="Century" w:cs="Times New Roman"/>
      <w:kern w:val="2"/>
      <w:sz w:val="24"/>
      <w:szCs w:val="24"/>
      <w:lang w:eastAsia="ja-JP"/>
    </w:rPr>
  </w:style>
  <w:style w:type="character" w:customStyle="1" w:styleId="FootnoteCharacters">
    <w:name w:val="Footnote Characters"/>
    <w:uiPriority w:val="99"/>
    <w:rsid w:val="00532249"/>
    <w:rPr>
      <w:vertAlign w:val="superscript"/>
    </w:rPr>
  </w:style>
  <w:style w:type="paragraph" w:customStyle="1" w:styleId="MEP">
    <w:name w:val="MEP"/>
    <w:basedOn w:val="Normal"/>
    <w:uiPriority w:val="99"/>
    <w:rsid w:val="00532249"/>
    <w:pPr>
      <w:tabs>
        <w:tab w:val="clear" w:pos="794"/>
        <w:tab w:val="clear" w:pos="1191"/>
        <w:tab w:val="clear" w:pos="1588"/>
        <w:tab w:val="clear" w:pos="1985"/>
        <w:tab w:val="left" w:pos="1134"/>
        <w:tab w:val="left" w:pos="1871"/>
        <w:tab w:val="left" w:pos="2268"/>
      </w:tabs>
      <w:spacing w:before="240"/>
    </w:pPr>
    <w:rPr>
      <w:rFonts w:eastAsia="MS Mincho"/>
      <w:lang w:val="fr-FR"/>
    </w:rPr>
  </w:style>
  <w:style w:type="character" w:customStyle="1" w:styleId="BodyText2Char1">
    <w:name w:val="Body Text 2 Char1"/>
    <w:uiPriority w:val="99"/>
    <w:locked/>
    <w:rsid w:val="00532249"/>
    <w:rPr>
      <w:rFonts w:ascii="Arial" w:hAnsi="Arial" w:cs="Times New Roman"/>
      <w:color w:val="000000"/>
      <w:sz w:val="16"/>
      <w:lang w:eastAsia="en-US"/>
    </w:rPr>
  </w:style>
  <w:style w:type="character" w:customStyle="1" w:styleId="BodyText3Char1">
    <w:name w:val="Body Text 3 Char1"/>
    <w:uiPriority w:val="99"/>
    <w:locked/>
    <w:rsid w:val="00532249"/>
    <w:rPr>
      <w:rFonts w:ascii="Times New Roman" w:hAnsi="Times New Roman" w:cs="Times New Roman"/>
      <w:sz w:val="16"/>
      <w:szCs w:val="16"/>
      <w:lang w:val="en-GB" w:eastAsia="en-US"/>
    </w:rPr>
  </w:style>
  <w:style w:type="paragraph" w:customStyle="1" w:styleId="headingi0">
    <w:name w:val="heading_i"/>
    <w:basedOn w:val="Heading3"/>
    <w:next w:val="Normal"/>
    <w:uiPriority w:val="99"/>
    <w:rsid w:val="00532249"/>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b w:val="0"/>
      <w:i/>
      <w:sz w:val="28"/>
      <w:lang w:val="en-CA"/>
    </w:rPr>
  </w:style>
  <w:style w:type="paragraph" w:customStyle="1" w:styleId="AnnexNotitle0">
    <w:name w:val="Annex_No &amp; title"/>
    <w:basedOn w:val="Normal"/>
    <w:next w:val="Normal"/>
    <w:rsid w:val="00532249"/>
    <w:pPr>
      <w:keepNext/>
      <w:keepLines/>
      <w:spacing w:before="480"/>
      <w:jc w:val="center"/>
    </w:pPr>
    <w:rPr>
      <w:rFonts w:eastAsia="MS Mincho"/>
      <w:b/>
      <w:sz w:val="28"/>
    </w:rPr>
  </w:style>
  <w:style w:type="paragraph" w:customStyle="1" w:styleId="1CarCar">
    <w:name w:val="(文字) (文字)1 Car Car (文字) (文字)"/>
    <w:basedOn w:val="Normal"/>
    <w:uiPriority w:val="99"/>
    <w:rsid w:val="00532249"/>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Default">
    <w:name w:val="Default"/>
    <w:rsid w:val="00532249"/>
    <w:pPr>
      <w:autoSpaceDE w:val="0"/>
      <w:autoSpaceDN w:val="0"/>
      <w:adjustRightInd w:val="0"/>
    </w:pPr>
    <w:rPr>
      <w:rFonts w:eastAsia="SimSun"/>
      <w:color w:val="000000"/>
      <w:sz w:val="24"/>
      <w:szCs w:val="24"/>
    </w:rPr>
  </w:style>
  <w:style w:type="character" w:customStyle="1" w:styleId="2">
    <w:name w:val="(文字) (文字)2"/>
    <w:uiPriority w:val="99"/>
    <w:rsid w:val="00532249"/>
    <w:rPr>
      <w:rFonts w:cs="Times New Roman"/>
      <w:b/>
      <w:sz w:val="24"/>
      <w:lang w:val="en-GB" w:eastAsia="en-US" w:bidi="ar-SA"/>
    </w:rPr>
  </w:style>
  <w:style w:type="paragraph" w:customStyle="1" w:styleId="CharChar3">
    <w:name w:val="Char Char3"/>
    <w:basedOn w:val="Normal"/>
    <w:uiPriority w:val="99"/>
    <w:rsid w:val="00532249"/>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paragraph">
    <w:name w:val="paragraph"/>
    <w:basedOn w:val="Normal"/>
    <w:uiPriority w:val="99"/>
    <w:rsid w:val="00532249"/>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IEEEStdsNumberedListLevel1">
    <w:name w:val="IEEEStds Numbered List Level 1"/>
    <w:uiPriority w:val="99"/>
    <w:rsid w:val="00532249"/>
    <w:pPr>
      <w:keepLines/>
      <w:tabs>
        <w:tab w:val="num" w:pos="907"/>
      </w:tabs>
      <w:spacing w:after="120"/>
      <w:ind w:left="907" w:hanging="360"/>
      <w:jc w:val="both"/>
      <w:outlineLvl w:val="0"/>
    </w:pPr>
    <w:rPr>
      <w:rFonts w:eastAsia="MS Mincho"/>
      <w:lang w:eastAsia="en-US"/>
    </w:rPr>
  </w:style>
  <w:style w:type="paragraph" w:customStyle="1" w:styleId="IEEEStdsNumberedListLevel2">
    <w:name w:val="IEEEStds Numbered List Level 2"/>
    <w:basedOn w:val="IEEEStdsNumberedListLevel1"/>
    <w:uiPriority w:val="99"/>
    <w:rsid w:val="00532249"/>
    <w:pPr>
      <w:tabs>
        <w:tab w:val="clear" w:pos="907"/>
        <w:tab w:val="num" w:pos="1267"/>
      </w:tabs>
      <w:ind w:left="1267"/>
      <w:outlineLvl w:val="1"/>
    </w:pPr>
  </w:style>
  <w:style w:type="paragraph" w:customStyle="1" w:styleId="IEEEStdsNumberedListLevel3">
    <w:name w:val="IEEEStds Numbered List Level 3"/>
    <w:basedOn w:val="IEEEStdsNumberedListLevel2"/>
    <w:uiPriority w:val="99"/>
    <w:rsid w:val="00532249"/>
    <w:pPr>
      <w:tabs>
        <w:tab w:val="clear" w:pos="1267"/>
        <w:tab w:val="num" w:pos="1800"/>
      </w:tabs>
      <w:ind w:left="1800" w:hanging="533"/>
      <w:outlineLvl w:val="2"/>
    </w:pPr>
  </w:style>
  <w:style w:type="paragraph" w:customStyle="1" w:styleId="IEEEStdsNumberedListLevel4">
    <w:name w:val="IEEEStds Numbered List Level 4"/>
    <w:basedOn w:val="IEEEStdsNumberedListLevel3"/>
    <w:uiPriority w:val="99"/>
    <w:rsid w:val="00532249"/>
    <w:pPr>
      <w:tabs>
        <w:tab w:val="clear" w:pos="1800"/>
        <w:tab w:val="num" w:pos="2347"/>
      </w:tabs>
      <w:ind w:left="2347" w:hanging="547"/>
      <w:outlineLvl w:val="3"/>
    </w:pPr>
  </w:style>
  <w:style w:type="paragraph" w:customStyle="1" w:styleId="IEEEStdsNumberedListLevel5">
    <w:name w:val="IEEEStds Numbered List Level 5"/>
    <w:basedOn w:val="IEEEStdsNumberedListLevel4"/>
    <w:uiPriority w:val="99"/>
    <w:rsid w:val="00532249"/>
    <w:pPr>
      <w:tabs>
        <w:tab w:val="clear" w:pos="2347"/>
        <w:tab w:val="num" w:pos="2880"/>
      </w:tabs>
      <w:ind w:left="2880" w:hanging="533"/>
      <w:outlineLvl w:val="4"/>
    </w:pPr>
  </w:style>
  <w:style w:type="paragraph" w:customStyle="1" w:styleId="CharChar3Char">
    <w:name w:val="Char Char3 Char"/>
    <w:basedOn w:val="Normal"/>
    <w:uiPriority w:val="99"/>
    <w:rsid w:val="00532249"/>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paragraph" w:customStyle="1" w:styleId="Subject">
    <w:name w:val="Subject"/>
    <w:basedOn w:val="Normal"/>
    <w:next w:val="Source"/>
    <w:uiPriority w:val="99"/>
    <w:rsid w:val="00532249"/>
    <w:pPr>
      <w:tabs>
        <w:tab w:val="clear" w:pos="794"/>
        <w:tab w:val="clear" w:pos="1191"/>
        <w:tab w:val="clear" w:pos="1588"/>
        <w:tab w:val="clear" w:pos="1985"/>
        <w:tab w:val="left" w:pos="720"/>
      </w:tabs>
      <w:spacing w:before="0"/>
      <w:jc w:val="left"/>
    </w:pPr>
    <w:rPr>
      <w:rFonts w:eastAsia="MS Mincho"/>
      <w:lang w:val="en-CA" w:eastAsia="ja-JP"/>
    </w:rPr>
  </w:style>
  <w:style w:type="paragraph" w:customStyle="1" w:styleId="Texte">
    <w:name w:val="Texte"/>
    <w:basedOn w:val="Normal"/>
    <w:uiPriority w:val="99"/>
    <w:rsid w:val="00532249"/>
    <w:pPr>
      <w:tabs>
        <w:tab w:val="clear" w:pos="794"/>
        <w:tab w:val="clear" w:pos="1191"/>
        <w:tab w:val="clear" w:pos="1588"/>
        <w:tab w:val="clear" w:pos="1985"/>
      </w:tabs>
      <w:overflowPunct/>
      <w:autoSpaceDE/>
      <w:autoSpaceDN/>
      <w:adjustRightInd/>
      <w:textAlignment w:val="auto"/>
    </w:pPr>
    <w:rPr>
      <w:rFonts w:eastAsia="MS Mincho"/>
      <w:color w:val="000000"/>
      <w:szCs w:val="24"/>
      <w:lang w:val="en-US" w:eastAsia="fr-FR"/>
    </w:rPr>
  </w:style>
  <w:style w:type="paragraph" w:customStyle="1" w:styleId="TAN">
    <w:name w:val="TAN"/>
    <w:basedOn w:val="TAL"/>
    <w:uiPriority w:val="99"/>
    <w:rsid w:val="00532249"/>
    <w:pPr>
      <w:widowControl/>
      <w:spacing w:before="0" w:after="0" w:line="240" w:lineRule="auto"/>
      <w:ind w:left="851" w:right="0" w:hanging="851"/>
    </w:pPr>
    <w:rPr>
      <w:rFonts w:ascii="Arial" w:hAnsi="Arial"/>
      <w:sz w:val="18"/>
      <w:lang w:val="en-GB"/>
    </w:rPr>
  </w:style>
  <w:style w:type="paragraph" w:customStyle="1" w:styleId="QuestionNoBR">
    <w:name w:val="Question_No_BR"/>
    <w:basedOn w:val="Normal"/>
    <w:next w:val="Questiontitle"/>
    <w:rsid w:val="00532249"/>
    <w:pPr>
      <w:keepNext/>
      <w:keepLines/>
      <w:suppressAutoHyphens/>
      <w:autoSpaceDN/>
      <w:adjustRightInd/>
      <w:spacing w:before="480"/>
      <w:jc w:val="center"/>
    </w:pPr>
    <w:rPr>
      <w:rFonts w:eastAsia="MS Mincho"/>
      <w:caps/>
      <w:kern w:val="1"/>
      <w:sz w:val="28"/>
      <w:szCs w:val="28"/>
      <w:lang w:eastAsia="ar-SA"/>
    </w:rPr>
  </w:style>
  <w:style w:type="character" w:customStyle="1" w:styleId="Hyperlink1">
    <w:name w:val="Hyperlink1"/>
    <w:uiPriority w:val="99"/>
    <w:rsid w:val="00532249"/>
    <w:rPr>
      <w:color w:val="0000FF"/>
    </w:rPr>
  </w:style>
  <w:style w:type="character" w:customStyle="1" w:styleId="TitleChar1">
    <w:name w:val="Title Char1"/>
    <w:uiPriority w:val="99"/>
    <w:locked/>
    <w:rsid w:val="00532249"/>
    <w:rPr>
      <w:rFonts w:ascii="Arial" w:hAnsi="Arial" w:cs="Times New Roman"/>
      <w:b/>
      <w:bCs/>
      <w:sz w:val="22"/>
      <w:lang w:eastAsia="en-US"/>
    </w:rPr>
  </w:style>
  <w:style w:type="paragraph" w:customStyle="1" w:styleId="covertext">
    <w:name w:val="cover text"/>
    <w:basedOn w:val="Normal"/>
    <w:uiPriority w:val="99"/>
    <w:rsid w:val="00532249"/>
    <w:pPr>
      <w:widowControl w:val="0"/>
      <w:tabs>
        <w:tab w:val="clear" w:pos="794"/>
        <w:tab w:val="clear" w:pos="1191"/>
        <w:tab w:val="clear" w:pos="1588"/>
        <w:tab w:val="clear" w:pos="1985"/>
      </w:tabs>
      <w:suppressAutoHyphens/>
      <w:overflowPunct/>
      <w:autoSpaceDE/>
      <w:autoSpaceDN/>
      <w:adjustRightInd/>
      <w:spacing w:after="120"/>
      <w:jc w:val="left"/>
      <w:textAlignment w:val="auto"/>
    </w:pPr>
    <w:rPr>
      <w:rFonts w:ascii="Times" w:eastAsia="MS Mincho" w:hAnsi="Times"/>
      <w:lang w:val="en-US"/>
    </w:rPr>
  </w:style>
  <w:style w:type="paragraph" w:customStyle="1" w:styleId="StyleHeading2NotBold">
    <w:name w:val="Style Heading 2 + Not Bold"/>
    <w:basedOn w:val="Heading2"/>
    <w:uiPriority w:val="99"/>
    <w:rsid w:val="00532249"/>
    <w:pPr>
      <w:keepLines w:val="0"/>
      <w:numPr>
        <w:ilvl w:val="1"/>
      </w:numPr>
      <w:tabs>
        <w:tab w:val="clear" w:pos="794"/>
        <w:tab w:val="clear" w:pos="1191"/>
        <w:tab w:val="clear" w:pos="1588"/>
        <w:tab w:val="clear" w:pos="1985"/>
        <w:tab w:val="num" w:pos="432"/>
      </w:tabs>
      <w:overflowPunct/>
      <w:autoSpaceDE/>
      <w:autoSpaceDN/>
      <w:adjustRightInd/>
      <w:spacing w:before="120"/>
      <w:ind w:left="1224" w:hanging="1224"/>
      <w:textAlignment w:val="auto"/>
    </w:pPr>
    <w:rPr>
      <w:rFonts w:ascii="Arial" w:eastAsia="MS Mincho" w:hAnsi="Arial"/>
      <w:i/>
      <w:iCs/>
      <w:sz w:val="22"/>
      <w:szCs w:val="22"/>
      <w:lang w:val="en-US"/>
    </w:rPr>
  </w:style>
  <w:style w:type="paragraph" w:customStyle="1" w:styleId="StyleRecNoBefore12pt">
    <w:name w:val="Style Rec_No + Before:  12 pt"/>
    <w:basedOn w:val="RecNo"/>
    <w:uiPriority w:val="99"/>
    <w:rsid w:val="00532249"/>
    <w:pPr>
      <w:keepNext w:val="0"/>
      <w:keepLines w:val="0"/>
      <w:tabs>
        <w:tab w:val="left" w:pos="1170"/>
      </w:tabs>
      <w:overflowPunct/>
      <w:autoSpaceDE/>
      <w:autoSpaceDN/>
      <w:adjustRightInd/>
      <w:spacing w:before="0"/>
      <w:ind w:left="720" w:right="720"/>
      <w:jc w:val="left"/>
      <w:textAlignment w:val="auto"/>
    </w:pPr>
    <w:rPr>
      <w:rFonts w:ascii="Arial" w:eastAsia="MS Mincho" w:hAnsi="Arial" w:cs="Arial"/>
      <w:sz w:val="22"/>
      <w:szCs w:val="24"/>
      <w:lang w:val="en-US"/>
    </w:rPr>
  </w:style>
  <w:style w:type="character" w:customStyle="1" w:styleId="Style14ptBoldItalic">
    <w:name w:val="Style 14 pt Bold Italic"/>
    <w:uiPriority w:val="99"/>
    <w:rsid w:val="00532249"/>
    <w:rPr>
      <w:rFonts w:ascii="Arial" w:hAnsi="Arial" w:cs="Times New Roman"/>
      <w:b/>
      <w:bCs/>
      <w:i/>
      <w:iCs/>
      <w:sz w:val="28"/>
    </w:rPr>
  </w:style>
  <w:style w:type="paragraph" w:customStyle="1" w:styleId="picture">
    <w:name w:val="picture"/>
    <w:basedOn w:val="Normal"/>
    <w:uiPriority w:val="99"/>
    <w:rsid w:val="00532249"/>
    <w:pPr>
      <w:tabs>
        <w:tab w:val="clear" w:pos="794"/>
        <w:tab w:val="clear" w:pos="1191"/>
        <w:tab w:val="clear" w:pos="1588"/>
        <w:tab w:val="clear" w:pos="1985"/>
        <w:tab w:val="left" w:pos="2880"/>
        <w:tab w:val="left" w:pos="4608"/>
        <w:tab w:val="right" w:pos="9072"/>
      </w:tabs>
      <w:overflowPunct/>
      <w:autoSpaceDE/>
      <w:autoSpaceDN/>
      <w:adjustRightInd/>
      <w:spacing w:before="240" w:after="240"/>
      <w:textAlignment w:val="auto"/>
    </w:pPr>
    <w:rPr>
      <w:rFonts w:ascii="Arial" w:eastAsia="MS Mincho" w:hAnsi="Arial" w:cs="Arial"/>
      <w:sz w:val="22"/>
      <w:lang w:val="en-US"/>
    </w:rPr>
  </w:style>
  <w:style w:type="paragraph" w:customStyle="1" w:styleId="BodyTextItalic">
    <w:name w:val="Body Text Italic"/>
    <w:basedOn w:val="BodyText"/>
    <w:uiPriority w:val="99"/>
    <w:rsid w:val="00532249"/>
    <w:pPr>
      <w:spacing w:after="120"/>
      <w:ind w:firstLine="720"/>
      <w:jc w:val="both"/>
    </w:pPr>
    <w:rPr>
      <w:i/>
      <w:lang w:val="ru-RU" w:eastAsia="ru-RU"/>
    </w:rPr>
  </w:style>
  <w:style w:type="character" w:customStyle="1" w:styleId="BodyTextItalicChar">
    <w:name w:val="Body Text Italic Char"/>
    <w:uiPriority w:val="99"/>
    <w:rsid w:val="00532249"/>
    <w:rPr>
      <w:rFonts w:cs="Times New Roman"/>
      <w:b/>
      <w:bCs/>
      <w:i/>
      <w:sz w:val="24"/>
      <w:szCs w:val="24"/>
      <w:lang w:val="ru-RU" w:eastAsia="ru-RU" w:bidi="ar-SA"/>
    </w:rPr>
  </w:style>
  <w:style w:type="paragraph" w:customStyle="1" w:styleId="BodyTextNoIndent">
    <w:name w:val="Body Text No Indent"/>
    <w:basedOn w:val="BodyText"/>
    <w:uiPriority w:val="99"/>
    <w:rsid w:val="00532249"/>
    <w:pPr>
      <w:spacing w:after="120"/>
      <w:jc w:val="both"/>
    </w:pPr>
    <w:rPr>
      <w:b w:val="0"/>
      <w:bCs w:val="0"/>
    </w:rPr>
  </w:style>
  <w:style w:type="paragraph" w:customStyle="1" w:styleId="equation0">
    <w:name w:val="equation"/>
    <w:basedOn w:val="BodyText"/>
    <w:uiPriority w:val="99"/>
    <w:rsid w:val="00532249"/>
    <w:pPr>
      <w:tabs>
        <w:tab w:val="center" w:pos="4680"/>
        <w:tab w:val="right" w:pos="9360"/>
      </w:tabs>
      <w:spacing w:before="120" w:after="120"/>
    </w:pPr>
    <w:rPr>
      <w:lang w:val="ru-RU" w:eastAsia="ru-RU"/>
    </w:rPr>
  </w:style>
  <w:style w:type="character" w:customStyle="1" w:styleId="equationChar0">
    <w:name w:val="equation Char"/>
    <w:uiPriority w:val="99"/>
    <w:rsid w:val="00532249"/>
    <w:rPr>
      <w:rFonts w:cs="Times New Roman"/>
      <w:b/>
      <w:bCs/>
      <w:sz w:val="24"/>
      <w:szCs w:val="24"/>
      <w:lang w:val="ru-RU" w:eastAsia="ru-RU" w:bidi="ar-SA"/>
    </w:rPr>
  </w:style>
  <w:style w:type="paragraph" w:customStyle="1" w:styleId="StyleBodyTextSymbolsymbol">
    <w:name w:val="Style Body Text + Symbol (symbol)"/>
    <w:basedOn w:val="BodyText"/>
    <w:uiPriority w:val="99"/>
    <w:rsid w:val="00532249"/>
    <w:pPr>
      <w:spacing w:after="120"/>
      <w:ind w:firstLine="720"/>
      <w:jc w:val="both"/>
    </w:pPr>
    <w:rPr>
      <w:rFonts w:ascii="Symbol" w:hAnsi="Symbol"/>
      <w:b w:val="0"/>
      <w:bCs w:val="0"/>
      <w:i/>
    </w:rPr>
  </w:style>
  <w:style w:type="character" w:customStyle="1" w:styleId="StyleBodyTextSymbolsymbolChar">
    <w:name w:val="Style Body Text + Symbol (symbol) Char"/>
    <w:uiPriority w:val="99"/>
    <w:rsid w:val="00532249"/>
    <w:rPr>
      <w:rFonts w:ascii="Symbol" w:hAnsi="Symbol" w:cs="Times New Roman"/>
      <w:b/>
      <w:bCs/>
      <w:i/>
      <w:sz w:val="24"/>
      <w:szCs w:val="24"/>
      <w:lang w:val="en-US" w:eastAsia="en-US" w:bidi="ar-SA"/>
    </w:rPr>
  </w:style>
  <w:style w:type="paragraph" w:customStyle="1" w:styleId="Figurecaption">
    <w:name w:val="Figure caption"/>
    <w:basedOn w:val="BodyText"/>
    <w:uiPriority w:val="99"/>
    <w:rsid w:val="00532249"/>
    <w:pPr>
      <w:spacing w:before="120" w:after="240"/>
      <w:jc w:val="both"/>
    </w:pPr>
    <w:rPr>
      <w:rFonts w:ascii="Arial" w:hAnsi="Arial"/>
      <w:b w:val="0"/>
      <w:bCs w:val="0"/>
      <w:sz w:val="20"/>
    </w:rPr>
  </w:style>
  <w:style w:type="character" w:customStyle="1" w:styleId="FigurecaptionChar">
    <w:name w:val="Figure caption Char"/>
    <w:uiPriority w:val="99"/>
    <w:rsid w:val="00532249"/>
    <w:rPr>
      <w:rFonts w:ascii="Arial" w:hAnsi="Arial" w:cs="Times New Roman"/>
      <w:b/>
      <w:bCs/>
      <w:sz w:val="24"/>
      <w:szCs w:val="24"/>
      <w:lang w:val="en-US" w:eastAsia="en-US" w:bidi="ar-SA"/>
    </w:rPr>
  </w:style>
  <w:style w:type="paragraph" w:customStyle="1" w:styleId="ReferencesText">
    <w:name w:val="References Text"/>
    <w:basedOn w:val="BodyText"/>
    <w:uiPriority w:val="99"/>
    <w:rsid w:val="00532249"/>
    <w:pPr>
      <w:tabs>
        <w:tab w:val="left" w:pos="720"/>
      </w:tabs>
      <w:ind w:left="720" w:hanging="720"/>
      <w:jc w:val="both"/>
    </w:pPr>
    <w:rPr>
      <w:b w:val="0"/>
      <w:bCs w:val="0"/>
    </w:rPr>
  </w:style>
  <w:style w:type="paragraph" w:customStyle="1" w:styleId="equationArial">
    <w:name w:val="equation + Arial"/>
    <w:aliases w:val="Centered"/>
    <w:basedOn w:val="equation0"/>
    <w:uiPriority w:val="99"/>
    <w:rsid w:val="00532249"/>
    <w:pPr>
      <w:jc w:val="center"/>
    </w:pPr>
    <w:rPr>
      <w:rFonts w:ascii="Arial" w:hAnsi="Arial" w:cs="Arial"/>
    </w:rPr>
  </w:style>
  <w:style w:type="paragraph" w:customStyle="1" w:styleId="Char">
    <w:name w:val="Char"/>
    <w:basedOn w:val="Normal"/>
    <w:uiPriority w:val="99"/>
    <w:rsid w:val="00532249"/>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MS Mincho" w:hAnsi="Verdana"/>
      <w:lang w:val="en-US"/>
    </w:rPr>
  </w:style>
  <w:style w:type="character" w:customStyle="1" w:styleId="MemoHeading3Char2">
    <w:name w:val="Memo Heading 3 Char2"/>
    <w:aliases w:val="H3 Char2,h3 Char3,h31 Char2,3 Char2,h 3 Char,3rd level Char,subsect Char,0H Char,l3 Char2,list 3 Char2,Head 3 Char2,h32 Char2,h33 Char2,h34 Char2,h35 Char2,h36 Char2,h37 Char2,h38 Char2,h311 Char2,h321 Char2,h331 Char2,h341 Char1"/>
    <w:uiPriority w:val="99"/>
    <w:rsid w:val="00532249"/>
    <w:rPr>
      <w:rFonts w:cs="Times New Roman"/>
      <w:b/>
      <w:sz w:val="24"/>
      <w:lang w:val="en-GB" w:eastAsia="en-US" w:bidi="ar-SA"/>
    </w:rPr>
  </w:style>
  <w:style w:type="character" w:customStyle="1" w:styleId="TableTextChar0">
    <w:name w:val="Table_Text Char"/>
    <w:uiPriority w:val="99"/>
    <w:rsid w:val="00532249"/>
    <w:rPr>
      <w:rFonts w:eastAsia="MS Mincho" w:cs="Times New Roman"/>
      <w:sz w:val="22"/>
      <w:lang w:val="en-GB" w:eastAsia="en-US" w:bidi="ar-SA"/>
    </w:rPr>
  </w:style>
  <w:style w:type="paragraph" w:customStyle="1" w:styleId="CarattereCarattere">
    <w:name w:val="Carattere Carattere"/>
    <w:uiPriority w:val="99"/>
    <w:semiHidden/>
    <w:rsid w:val="0053224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FootnoteTextA">
    <w:name w:val="Footnote Text A"/>
    <w:uiPriority w:val="99"/>
    <w:rsid w:val="00532249"/>
    <w:pPr>
      <w:keepLines/>
      <w:tabs>
        <w:tab w:val="left" w:pos="255"/>
        <w:tab w:val="left" w:pos="794"/>
        <w:tab w:val="left" w:pos="1191"/>
        <w:tab w:val="left" w:pos="1588"/>
        <w:tab w:val="left" w:pos="1985"/>
      </w:tabs>
      <w:spacing w:before="120"/>
      <w:ind w:left="255" w:hanging="255"/>
      <w:jc w:val="both"/>
    </w:pPr>
    <w:rPr>
      <w:rFonts w:eastAsia="ヒラギノ角ゴ Pro W3"/>
      <w:color w:val="000000"/>
      <w:sz w:val="22"/>
      <w:lang w:val="fr-FR" w:eastAsia="ja-JP"/>
    </w:rPr>
  </w:style>
  <w:style w:type="character" w:customStyle="1" w:styleId="apple-style-span">
    <w:name w:val="apple-style-span"/>
    <w:uiPriority w:val="99"/>
    <w:rsid w:val="00532249"/>
    <w:rPr>
      <w:rFonts w:cs="Times New Roman"/>
    </w:rPr>
  </w:style>
  <w:style w:type="paragraph" w:customStyle="1" w:styleId="listitem0">
    <w:name w:val="list item"/>
    <w:basedOn w:val="Normal"/>
    <w:uiPriority w:val="99"/>
    <w:rsid w:val="00532249"/>
    <w:pPr>
      <w:tabs>
        <w:tab w:val="clear" w:pos="794"/>
        <w:tab w:val="clear" w:pos="1191"/>
        <w:tab w:val="clear" w:pos="1588"/>
        <w:tab w:val="clear" w:pos="1985"/>
      </w:tabs>
      <w:overflowPunct/>
      <w:autoSpaceDE/>
      <w:autoSpaceDN/>
      <w:adjustRightInd/>
      <w:spacing w:before="0"/>
      <w:ind w:left="540" w:hanging="540"/>
      <w:textAlignment w:val="auto"/>
    </w:pPr>
    <w:rPr>
      <w:rFonts w:ascii="Times" w:eastAsia="MS Mincho" w:hAnsi="Times"/>
      <w:sz w:val="20"/>
      <w:lang w:val="en-US"/>
    </w:rPr>
  </w:style>
  <w:style w:type="paragraph" w:customStyle="1" w:styleId="listitem2">
    <w:name w:val="list item 2"/>
    <w:basedOn w:val="listitem0"/>
    <w:uiPriority w:val="99"/>
    <w:rsid w:val="00532249"/>
    <w:pPr>
      <w:ind w:left="1080"/>
    </w:pPr>
  </w:style>
  <w:style w:type="paragraph" w:customStyle="1" w:styleId="listitem3">
    <w:name w:val="list item 3"/>
    <w:basedOn w:val="listitem2"/>
    <w:uiPriority w:val="99"/>
    <w:rsid w:val="00532249"/>
    <w:pPr>
      <w:ind w:left="1620"/>
    </w:pPr>
  </w:style>
  <w:style w:type="paragraph" w:customStyle="1" w:styleId="ListParagraph1">
    <w:name w:val="List Paragraph1"/>
    <w:basedOn w:val="listitem0"/>
    <w:next w:val="listitem0"/>
    <w:uiPriority w:val="99"/>
    <w:rsid w:val="00532249"/>
    <w:pPr>
      <w:spacing w:before="200"/>
      <w:ind w:firstLine="0"/>
    </w:pPr>
  </w:style>
  <w:style w:type="paragraph" w:customStyle="1" w:styleId="listparagraph2">
    <w:name w:val="list paragraph 2"/>
    <w:basedOn w:val="listitem2"/>
    <w:next w:val="listitem2"/>
    <w:uiPriority w:val="99"/>
    <w:rsid w:val="00532249"/>
    <w:pPr>
      <w:spacing w:before="200"/>
      <w:ind w:firstLine="0"/>
    </w:pPr>
  </w:style>
  <w:style w:type="paragraph" w:customStyle="1" w:styleId="listparagraph3">
    <w:name w:val="list paragraph 3"/>
    <w:basedOn w:val="listitem3"/>
    <w:next w:val="listitem3"/>
    <w:uiPriority w:val="99"/>
    <w:rsid w:val="00532249"/>
  </w:style>
  <w:style w:type="paragraph" w:customStyle="1" w:styleId="note0">
    <w:name w:val="note"/>
    <w:basedOn w:val="Normal"/>
    <w:next w:val="Normal"/>
    <w:uiPriority w:val="99"/>
    <w:rsid w:val="00532249"/>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18"/>
      <w:lang w:val="en-US"/>
    </w:rPr>
  </w:style>
  <w:style w:type="paragraph" w:customStyle="1" w:styleId="Title10">
    <w:name w:val="Title1"/>
    <w:basedOn w:val="Normal"/>
    <w:next w:val="Heading1"/>
    <w:uiPriority w:val="99"/>
    <w:rsid w:val="00532249"/>
    <w:pPr>
      <w:tabs>
        <w:tab w:val="clear" w:pos="794"/>
        <w:tab w:val="clear" w:pos="1191"/>
        <w:tab w:val="clear" w:pos="1588"/>
        <w:tab w:val="clear" w:pos="1985"/>
      </w:tabs>
      <w:overflowPunct/>
      <w:autoSpaceDE/>
      <w:autoSpaceDN/>
      <w:adjustRightInd/>
      <w:spacing w:before="480" w:after="960"/>
      <w:jc w:val="left"/>
      <w:textAlignment w:val="auto"/>
    </w:pPr>
    <w:rPr>
      <w:rFonts w:ascii="Helvetica" w:eastAsia="MS Mincho" w:hAnsi="Helvetica"/>
      <w:b/>
      <w:sz w:val="36"/>
      <w:lang w:val="en-US"/>
    </w:rPr>
  </w:style>
  <w:style w:type="paragraph" w:customStyle="1" w:styleId="annex0">
    <w:name w:val="annex"/>
    <w:basedOn w:val="Title10"/>
    <w:uiPriority w:val="99"/>
    <w:rsid w:val="00532249"/>
    <w:pPr>
      <w:spacing w:before="0" w:after="0"/>
      <w:jc w:val="both"/>
    </w:pPr>
  </w:style>
  <w:style w:type="paragraph" w:customStyle="1" w:styleId="computercode">
    <w:name w:val="computer code"/>
    <w:basedOn w:val="Normal"/>
    <w:uiPriority w:val="99"/>
    <w:rsid w:val="00532249"/>
    <w:pPr>
      <w:tabs>
        <w:tab w:val="clear" w:pos="794"/>
        <w:tab w:val="clear" w:pos="1191"/>
        <w:tab w:val="clear" w:pos="1588"/>
        <w:tab w:val="clear" w:pos="1985"/>
      </w:tabs>
      <w:overflowPunct/>
      <w:autoSpaceDE/>
      <w:autoSpaceDN/>
      <w:adjustRightInd/>
      <w:spacing w:before="0"/>
      <w:textAlignment w:val="auto"/>
    </w:pPr>
    <w:rPr>
      <w:rFonts w:ascii="Courier" w:eastAsia="MS Mincho" w:hAnsi="Courier"/>
      <w:sz w:val="20"/>
      <w:lang w:val="en-US"/>
    </w:rPr>
  </w:style>
  <w:style w:type="paragraph" w:customStyle="1" w:styleId="indentedlist">
    <w:name w:val="indented list"/>
    <w:basedOn w:val="listitem0"/>
    <w:uiPriority w:val="99"/>
    <w:rsid w:val="00532249"/>
    <w:pPr>
      <w:ind w:left="900" w:hanging="900"/>
    </w:pPr>
  </w:style>
  <w:style w:type="paragraph" w:customStyle="1" w:styleId="Caption1">
    <w:name w:val="Caption1"/>
    <w:basedOn w:val="Normal"/>
    <w:link w:val="captionChar"/>
    <w:uiPriority w:val="99"/>
    <w:rsid w:val="00532249"/>
    <w:pPr>
      <w:tabs>
        <w:tab w:val="clear" w:pos="794"/>
        <w:tab w:val="clear" w:pos="1191"/>
        <w:tab w:val="clear" w:pos="1588"/>
        <w:tab w:val="clear" w:pos="1985"/>
      </w:tabs>
      <w:overflowPunct/>
      <w:autoSpaceDE/>
      <w:autoSpaceDN/>
      <w:adjustRightInd/>
      <w:spacing w:before="240"/>
      <w:jc w:val="center"/>
      <w:textAlignment w:val="auto"/>
    </w:pPr>
    <w:rPr>
      <w:rFonts w:ascii="Helvetica" w:eastAsia="MS Mincho" w:hAnsi="Helvetica"/>
      <w:b/>
      <w:sz w:val="20"/>
      <w:lang w:val="en-US"/>
    </w:rPr>
  </w:style>
  <w:style w:type="paragraph" w:customStyle="1" w:styleId="reference">
    <w:name w:val="reference"/>
    <w:basedOn w:val="Normal"/>
    <w:uiPriority w:val="99"/>
    <w:rsid w:val="00532249"/>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definition">
    <w:name w:val="definition"/>
    <w:basedOn w:val="Normal"/>
    <w:uiPriority w:val="99"/>
    <w:rsid w:val="00532249"/>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Bibliography1">
    <w:name w:val="Bibliography1"/>
    <w:basedOn w:val="Normal"/>
    <w:uiPriority w:val="99"/>
    <w:rsid w:val="00532249"/>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member">
    <w:name w:val="member"/>
    <w:basedOn w:val="Normal"/>
    <w:uiPriority w:val="99"/>
    <w:rsid w:val="00532249"/>
    <w:pPr>
      <w:tabs>
        <w:tab w:val="clear" w:pos="794"/>
        <w:tab w:val="clear" w:pos="1191"/>
        <w:tab w:val="clear" w:pos="1588"/>
        <w:tab w:val="clear" w:pos="1985"/>
      </w:tabs>
      <w:overflowPunct/>
      <w:autoSpaceDE/>
      <w:autoSpaceDN/>
      <w:adjustRightInd/>
      <w:spacing w:before="0"/>
      <w:textAlignment w:val="auto"/>
    </w:pPr>
    <w:rPr>
      <w:rFonts w:ascii="Times" w:eastAsia="MS Mincho" w:hAnsi="Times"/>
      <w:sz w:val="20"/>
      <w:lang w:val="en-US"/>
    </w:rPr>
  </w:style>
  <w:style w:type="paragraph" w:customStyle="1" w:styleId="BodyText0">
    <w:name w:val="#BodyText"/>
    <w:uiPriority w:val="99"/>
    <w:rsid w:val="00532249"/>
    <w:pPr>
      <w:spacing w:before="120" w:line="240" w:lineRule="atLeast"/>
      <w:jc w:val="both"/>
    </w:pPr>
    <w:rPr>
      <w:rFonts w:eastAsia="MS Mincho"/>
      <w:color w:val="000000"/>
      <w:sz w:val="22"/>
      <w:lang w:val="en-GB" w:eastAsia="en-US"/>
    </w:rPr>
  </w:style>
  <w:style w:type="paragraph" w:customStyle="1" w:styleId="ParagraphNumbered">
    <w:name w:val="Paragraph_Numbered"/>
    <w:basedOn w:val="Normal"/>
    <w:uiPriority w:val="99"/>
    <w:rsid w:val="00532249"/>
    <w:pPr>
      <w:tabs>
        <w:tab w:val="clear" w:pos="794"/>
        <w:tab w:val="clear" w:pos="1191"/>
        <w:tab w:val="clear" w:pos="1588"/>
        <w:tab w:val="clear" w:pos="1985"/>
        <w:tab w:val="num" w:pos="360"/>
        <w:tab w:val="num" w:pos="720"/>
      </w:tabs>
      <w:overflowPunct/>
      <w:autoSpaceDE/>
      <w:autoSpaceDN/>
      <w:adjustRightInd/>
      <w:ind w:left="340" w:hanging="340"/>
      <w:textAlignment w:val="auto"/>
    </w:pPr>
    <w:rPr>
      <w:rFonts w:eastAsia="MS Mincho"/>
      <w:sz w:val="22"/>
      <w:lang w:val="en-US"/>
    </w:rPr>
  </w:style>
  <w:style w:type="paragraph" w:customStyle="1" w:styleId="ParaNum">
    <w:name w:val="ParaNum"/>
    <w:basedOn w:val="Normal"/>
    <w:uiPriority w:val="99"/>
    <w:rsid w:val="00532249"/>
    <w:pPr>
      <w:widowControl w:val="0"/>
      <w:tabs>
        <w:tab w:val="clear" w:pos="794"/>
        <w:tab w:val="clear" w:pos="1191"/>
        <w:tab w:val="clear" w:pos="1588"/>
        <w:tab w:val="clear" w:pos="1985"/>
        <w:tab w:val="num" w:pos="1080"/>
      </w:tabs>
      <w:overflowPunct/>
      <w:autoSpaceDE/>
      <w:autoSpaceDN/>
      <w:adjustRightInd/>
      <w:spacing w:before="0" w:after="220"/>
      <w:ind w:firstLine="720"/>
      <w:textAlignment w:val="auto"/>
    </w:pPr>
    <w:rPr>
      <w:rFonts w:eastAsia="MS Mincho"/>
      <w:kern w:val="28"/>
      <w:sz w:val="22"/>
      <w:lang w:val="en-US"/>
    </w:rPr>
  </w:style>
  <w:style w:type="character" w:customStyle="1" w:styleId="MemoHeading3">
    <w:name w:val="Memo Heading 3 (文字)"/>
    <w:aliases w:val="H3 (文字),h3 (文字),h31 (文字),3 (文字),l3 (文字),list 3 (文字),Head 3 (文字),h32 (文字),h33 (文字),h34 (文字),h35 (文字),h36 (文字),h37 (文字),h38 (文字),h311 (文字),h321 (文字),h331 (文字),h341 (文字),h351 (文字),h361 (文字),h371 (文字),h39 (文字),h312 (文字),h322 (文字)"/>
    <w:uiPriority w:val="99"/>
    <w:rsid w:val="00532249"/>
    <w:rPr>
      <w:rFonts w:eastAsia="Batang" w:cs="Times New Roman"/>
      <w:b/>
      <w:sz w:val="24"/>
      <w:lang w:val="en-GB" w:eastAsia="en-US" w:bidi="ar-SA"/>
    </w:rPr>
  </w:style>
  <w:style w:type="character" w:customStyle="1" w:styleId="pagetitle">
    <w:name w:val="pagetitle"/>
    <w:uiPriority w:val="99"/>
    <w:rsid w:val="00532249"/>
    <w:rPr>
      <w:rFonts w:cs="Times New Roman"/>
    </w:rPr>
  </w:style>
  <w:style w:type="character" w:customStyle="1" w:styleId="FootnoteTextChar2Char">
    <w:name w:val="Footnote Text Char2 Char"/>
    <w:aliases w:val="Footnote Text Char1 Char Char,Footnote Text Char2 Char1 Char Char,Footnote Text Char1 Char Char Char1 Char Char,Footnote Text Char Char Char Char Char1 Char Char,footnote text Char Char"/>
    <w:uiPriority w:val="99"/>
    <w:rsid w:val="00532249"/>
    <w:rPr>
      <w:rFonts w:cs="Times New Roman"/>
      <w:sz w:val="22"/>
      <w:lang w:val="en-GB" w:eastAsia="en-US" w:bidi="ar-SA"/>
    </w:rPr>
  </w:style>
  <w:style w:type="character" w:customStyle="1" w:styleId="Teletype">
    <w:name w:val="Teletype"/>
    <w:uiPriority w:val="99"/>
    <w:rsid w:val="00532249"/>
    <w:rPr>
      <w:rFonts w:ascii="Courier" w:hAnsi="Courier"/>
      <w:sz w:val="20"/>
    </w:rPr>
  </w:style>
  <w:style w:type="character" w:customStyle="1" w:styleId="captionChar">
    <w:name w:val="caption Char"/>
    <w:link w:val="Caption1"/>
    <w:uiPriority w:val="99"/>
    <w:locked/>
    <w:rsid w:val="00532249"/>
    <w:rPr>
      <w:rFonts w:ascii="Helvetica" w:eastAsia="MS Mincho" w:hAnsi="Helvetica"/>
      <w:b/>
      <w:lang w:eastAsia="en-US"/>
    </w:rPr>
  </w:style>
  <w:style w:type="paragraph" w:customStyle="1" w:styleId="DefTerm">
    <w:name w:val="Def Term"/>
    <w:basedOn w:val="Normal"/>
    <w:next w:val="Definition0"/>
    <w:uiPriority w:val="99"/>
    <w:rsid w:val="00532249"/>
    <w:pPr>
      <w:keepNext/>
      <w:tabs>
        <w:tab w:val="clear" w:pos="794"/>
        <w:tab w:val="clear" w:pos="1191"/>
        <w:tab w:val="clear" w:pos="1588"/>
        <w:tab w:val="clear" w:pos="1985"/>
      </w:tabs>
      <w:overflowPunct/>
      <w:autoSpaceDE/>
      <w:autoSpaceDN/>
      <w:adjustRightInd/>
      <w:spacing w:before="240" w:after="60"/>
      <w:jc w:val="left"/>
      <w:textAlignment w:val="auto"/>
    </w:pPr>
    <w:rPr>
      <w:rFonts w:eastAsia="MS Mincho"/>
      <w:b/>
      <w:szCs w:val="24"/>
      <w:lang w:val="en-US"/>
    </w:rPr>
  </w:style>
  <w:style w:type="paragraph" w:customStyle="1" w:styleId="Definition0">
    <w:name w:val="Definition"/>
    <w:basedOn w:val="Normal"/>
    <w:uiPriority w:val="99"/>
    <w:rsid w:val="00532249"/>
    <w:pPr>
      <w:tabs>
        <w:tab w:val="clear" w:pos="794"/>
        <w:tab w:val="clear" w:pos="1191"/>
        <w:tab w:val="clear" w:pos="1588"/>
        <w:tab w:val="clear" w:pos="1985"/>
      </w:tabs>
      <w:overflowPunct/>
      <w:autoSpaceDE/>
      <w:autoSpaceDN/>
      <w:adjustRightInd/>
      <w:spacing w:before="0"/>
      <w:jc w:val="left"/>
      <w:textAlignment w:val="auto"/>
    </w:pPr>
    <w:rPr>
      <w:rFonts w:eastAsia="MS Mincho"/>
      <w:szCs w:val="24"/>
      <w:lang w:val="en-US"/>
    </w:rPr>
  </w:style>
  <w:style w:type="character" w:customStyle="1" w:styleId="IEEEStdsDefTermsNumbers">
    <w:name w:val="IEEEStds DefTerms+Numbers"/>
    <w:uiPriority w:val="99"/>
    <w:rsid w:val="00532249"/>
    <w:rPr>
      <w:b/>
    </w:rPr>
  </w:style>
  <w:style w:type="paragraph" w:customStyle="1" w:styleId="IEEEStdsParagraph">
    <w:name w:val="IEEEStds Paragraph"/>
    <w:link w:val="IEEEStdsParagraphChar"/>
    <w:uiPriority w:val="99"/>
    <w:rsid w:val="00532249"/>
    <w:pPr>
      <w:spacing w:before="120" w:line="360" w:lineRule="auto"/>
      <w:jc w:val="both"/>
    </w:pPr>
    <w:rPr>
      <w:rFonts w:eastAsia="MS Mincho"/>
      <w:sz w:val="24"/>
      <w:lang w:eastAsia="en-US"/>
    </w:rPr>
  </w:style>
  <w:style w:type="paragraph" w:customStyle="1" w:styleId="IEEEStdsDefinitions">
    <w:name w:val="IEEEStds Definitions"/>
    <w:next w:val="IEEEStdsParagraph"/>
    <w:link w:val="IEEEStdsDefinitionsChar"/>
    <w:uiPriority w:val="99"/>
    <w:rsid w:val="00532249"/>
    <w:pPr>
      <w:keepLines/>
      <w:spacing w:before="120" w:after="120"/>
    </w:pPr>
    <w:rPr>
      <w:rFonts w:eastAsia="MS Mincho"/>
      <w:lang w:eastAsia="en-US"/>
    </w:rPr>
  </w:style>
  <w:style w:type="character" w:customStyle="1" w:styleId="IEEEStdsDefinitionsChar">
    <w:name w:val="IEEEStds Definitions Char"/>
    <w:link w:val="IEEEStdsDefinitions"/>
    <w:uiPriority w:val="99"/>
    <w:locked/>
    <w:rsid w:val="00532249"/>
    <w:rPr>
      <w:rFonts w:eastAsia="MS Mincho"/>
      <w:lang w:eastAsia="en-US"/>
    </w:rPr>
  </w:style>
  <w:style w:type="character" w:customStyle="1" w:styleId="IEEEStdsParagraphChar">
    <w:name w:val="IEEEStds Paragraph Char"/>
    <w:link w:val="IEEEStdsParagraph"/>
    <w:uiPriority w:val="99"/>
    <w:locked/>
    <w:rsid w:val="00532249"/>
    <w:rPr>
      <w:rFonts w:eastAsia="MS Mincho"/>
      <w:sz w:val="24"/>
      <w:lang w:eastAsia="en-US"/>
    </w:rPr>
  </w:style>
  <w:style w:type="paragraph" w:customStyle="1" w:styleId="ecmsonormal">
    <w:name w:val="ec_msonormal"/>
    <w:basedOn w:val="Normal"/>
    <w:uiPriority w:val="99"/>
    <w:rsid w:val="00532249"/>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2">
    <w:name w:val="xl22"/>
    <w:basedOn w:val="Normal"/>
    <w:uiPriority w:val="99"/>
    <w:rsid w:val="00532249"/>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23">
    <w:name w:val="xl23"/>
    <w:basedOn w:val="Normal"/>
    <w:uiPriority w:val="99"/>
    <w:rsid w:val="00532249"/>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ahoma" w:eastAsia="MS Mincho" w:hAnsi="Tahoma" w:cs="Tahoma"/>
      <w:i/>
      <w:iCs/>
      <w:szCs w:val="24"/>
      <w:lang w:val="en-US"/>
    </w:rPr>
  </w:style>
  <w:style w:type="paragraph" w:customStyle="1" w:styleId="IEEEStdsHeader">
    <w:name w:val="IEEEStds Header"/>
    <w:basedOn w:val="Normal"/>
    <w:uiPriority w:val="99"/>
    <w:rsid w:val="00532249"/>
    <w:pPr>
      <w:tabs>
        <w:tab w:val="clear" w:pos="794"/>
        <w:tab w:val="clear" w:pos="1191"/>
        <w:tab w:val="clear" w:pos="1588"/>
        <w:tab w:val="clear" w:pos="1985"/>
      </w:tabs>
      <w:overflowPunct/>
      <w:autoSpaceDE/>
      <w:autoSpaceDN/>
      <w:adjustRightInd/>
      <w:spacing w:before="0"/>
      <w:jc w:val="right"/>
      <w:textAlignment w:val="auto"/>
    </w:pPr>
    <w:rPr>
      <w:rFonts w:ascii="Arial" w:eastAsia="MS Mincho" w:hAnsi="Arial"/>
      <w:sz w:val="16"/>
      <w:lang w:val="en-US"/>
    </w:rPr>
  </w:style>
  <w:style w:type="paragraph" w:customStyle="1" w:styleId="IEEEStdsSponsorbodytext">
    <w:name w:val="IEEEStds Sponsor (body text)"/>
    <w:next w:val="IEEEStdsParagraph"/>
    <w:uiPriority w:val="99"/>
    <w:rsid w:val="00532249"/>
    <w:pPr>
      <w:spacing w:before="120" w:after="360" w:line="480" w:lineRule="auto"/>
    </w:pPr>
    <w:rPr>
      <w:rFonts w:eastAsia="MS Mincho"/>
      <w:noProof/>
      <w:lang w:eastAsia="en-US"/>
    </w:rPr>
  </w:style>
  <w:style w:type="paragraph" w:customStyle="1" w:styleId="IEEEStdsAbstractBody">
    <w:name w:val="IEEEStds Abstract Body"/>
    <w:link w:val="IEEEStdsAbstractBodyChar"/>
    <w:uiPriority w:val="99"/>
    <w:rsid w:val="00532249"/>
    <w:rPr>
      <w:rFonts w:ascii="Arial" w:eastAsia="MS Mincho" w:hAnsi="Arial"/>
      <w:lang w:eastAsia="en-US"/>
    </w:rPr>
  </w:style>
  <w:style w:type="paragraph" w:customStyle="1" w:styleId="IEEEStdsKeywords">
    <w:name w:val="IEEEStds Keywords"/>
    <w:next w:val="IEEEStdsParagraph"/>
    <w:uiPriority w:val="99"/>
    <w:rsid w:val="00532249"/>
    <w:rPr>
      <w:rFonts w:ascii="Arial" w:eastAsia="MS Mincho" w:hAnsi="Arial"/>
      <w:lang w:eastAsia="en-US"/>
    </w:rPr>
  </w:style>
  <w:style w:type="paragraph" w:customStyle="1" w:styleId="IEEEStdsLevel1frontmatter">
    <w:name w:val="IEEEStds Level 1 (front matter)"/>
    <w:next w:val="IEEEStdsParagraph"/>
    <w:link w:val="IEEEStdsLevel1frontmatterChar"/>
    <w:uiPriority w:val="99"/>
    <w:rsid w:val="00532249"/>
    <w:pPr>
      <w:spacing w:before="360" w:after="240"/>
    </w:pPr>
    <w:rPr>
      <w:rFonts w:ascii="Arial" w:eastAsia="MS Mincho" w:hAnsi="Arial"/>
      <w:b/>
      <w:noProof/>
      <w:sz w:val="24"/>
      <w:lang w:eastAsia="en-US"/>
    </w:rPr>
  </w:style>
  <w:style w:type="paragraph" w:customStyle="1" w:styleId="IEEEStdsFooter">
    <w:name w:val="IEEEStds Footer"/>
    <w:basedOn w:val="Footer"/>
    <w:uiPriority w:val="99"/>
    <w:rsid w:val="00532249"/>
    <w:pPr>
      <w:tabs>
        <w:tab w:val="center" w:pos="4320"/>
        <w:tab w:val="right" w:pos="8640"/>
      </w:tabs>
      <w:overflowPunct/>
      <w:autoSpaceDE/>
      <w:autoSpaceDN/>
      <w:adjustRightInd/>
      <w:ind w:right="360"/>
      <w:jc w:val="left"/>
      <w:textAlignment w:val="auto"/>
    </w:pPr>
    <w:rPr>
      <w:rFonts w:ascii="Arial" w:eastAsia="MS Mincho" w:hAnsi="Arial"/>
      <w:noProof w:val="0"/>
      <w:sz w:val="16"/>
      <w:lang w:val="en-US"/>
    </w:rPr>
  </w:style>
  <w:style w:type="character" w:customStyle="1" w:styleId="IEEEStdsKeywordsHeader">
    <w:name w:val="IEEEStds Keywords Header"/>
    <w:uiPriority w:val="99"/>
    <w:rsid w:val="00532249"/>
    <w:rPr>
      <w:b/>
    </w:rPr>
  </w:style>
  <w:style w:type="character" w:customStyle="1" w:styleId="IEEEStdsAbstractHeader">
    <w:name w:val="IEEEStds Abstract Header"/>
    <w:uiPriority w:val="99"/>
    <w:rsid w:val="00532249"/>
    <w:rPr>
      <w:b/>
    </w:rPr>
  </w:style>
  <w:style w:type="character" w:customStyle="1" w:styleId="IEEEStdsAbstractBodyChar">
    <w:name w:val="IEEEStds Abstract Body Char"/>
    <w:link w:val="IEEEStdsAbstractBody"/>
    <w:uiPriority w:val="99"/>
    <w:locked/>
    <w:rsid w:val="00532249"/>
    <w:rPr>
      <w:rFonts w:ascii="Arial" w:eastAsia="MS Mincho" w:hAnsi="Arial"/>
      <w:lang w:eastAsia="en-US"/>
    </w:rPr>
  </w:style>
  <w:style w:type="character" w:customStyle="1" w:styleId="IEEEStdsLevel1frontmatterChar">
    <w:name w:val="IEEEStds Level 1 (front matter) Char"/>
    <w:link w:val="IEEEStdsLevel1frontmatter"/>
    <w:uiPriority w:val="99"/>
    <w:locked/>
    <w:rsid w:val="00532249"/>
    <w:rPr>
      <w:rFonts w:ascii="Arial" w:eastAsia="MS Mincho" w:hAnsi="Arial"/>
      <w:b/>
      <w:noProof/>
      <w:sz w:val="24"/>
      <w:lang w:eastAsia="en-US"/>
    </w:rPr>
  </w:style>
  <w:style w:type="paragraph" w:customStyle="1" w:styleId="IEEEStdsCopyrightPage3">
    <w:name w:val="IEEEStds Copyright Page 3"/>
    <w:basedOn w:val="Normal"/>
    <w:uiPriority w:val="99"/>
    <w:rsid w:val="00532249"/>
    <w:pPr>
      <w:tabs>
        <w:tab w:val="clear" w:pos="794"/>
        <w:tab w:val="clear" w:pos="1191"/>
        <w:tab w:val="clear" w:pos="1588"/>
        <w:tab w:val="clear" w:pos="1985"/>
        <w:tab w:val="left" w:pos="540"/>
        <w:tab w:val="left" w:pos="2520"/>
      </w:tabs>
      <w:overflowPunct/>
      <w:autoSpaceDE/>
      <w:autoSpaceDN/>
      <w:adjustRightInd/>
      <w:spacing w:before="0"/>
      <w:jc w:val="left"/>
      <w:textAlignment w:val="auto"/>
    </w:pPr>
    <w:rPr>
      <w:rFonts w:ascii="Arial" w:eastAsia="MS Mincho" w:hAnsi="Arial"/>
      <w:sz w:val="14"/>
      <w:lang w:val="en-US"/>
    </w:rPr>
  </w:style>
  <w:style w:type="paragraph" w:customStyle="1" w:styleId="StyleIEEEStdsParagraph10pt">
    <w:name w:val="Style IEEEStds Paragraph + 10 pt"/>
    <w:basedOn w:val="IEEEStdsParagraph"/>
    <w:link w:val="StyleIEEEStdsParagraph10ptChar"/>
    <w:autoRedefine/>
    <w:uiPriority w:val="99"/>
    <w:rsid w:val="00532249"/>
    <w:pPr>
      <w:spacing w:before="0" w:after="120" w:line="240" w:lineRule="auto"/>
    </w:pPr>
    <w:rPr>
      <w:sz w:val="18"/>
      <w:szCs w:val="18"/>
    </w:rPr>
  </w:style>
  <w:style w:type="character" w:customStyle="1" w:styleId="StyleIEEEStdsParagraph10ptChar">
    <w:name w:val="Style IEEEStds Paragraph + 10 pt Char"/>
    <w:link w:val="StyleIEEEStdsParagraph10pt"/>
    <w:uiPriority w:val="99"/>
    <w:locked/>
    <w:rsid w:val="00532249"/>
    <w:rPr>
      <w:rFonts w:eastAsia="MS Mincho"/>
      <w:sz w:val="18"/>
      <w:szCs w:val="18"/>
      <w:lang w:eastAsia="en-US"/>
    </w:rPr>
  </w:style>
  <w:style w:type="paragraph" w:customStyle="1" w:styleId="IEEEStdsParticipantsList">
    <w:name w:val="IEEEStds Participants List"/>
    <w:uiPriority w:val="99"/>
    <w:rsid w:val="00532249"/>
    <w:pPr>
      <w:ind w:left="144" w:hanging="144"/>
    </w:pPr>
    <w:rPr>
      <w:rFonts w:eastAsia="MS Mincho"/>
      <w:sz w:val="18"/>
      <w:lang w:eastAsia="en-US"/>
    </w:rPr>
  </w:style>
  <w:style w:type="paragraph" w:customStyle="1" w:styleId="IEEEStdsRegularFigureCaption">
    <w:name w:val="IEEEStds Regular Figure Caption"/>
    <w:basedOn w:val="IEEEStdsParagraph"/>
    <w:next w:val="IEEEStdsParagraph"/>
    <w:uiPriority w:val="99"/>
    <w:rsid w:val="00532249"/>
    <w:pPr>
      <w:keepLines/>
      <w:tabs>
        <w:tab w:val="num" w:pos="360"/>
        <w:tab w:val="left" w:pos="403"/>
        <w:tab w:val="num" w:pos="720"/>
        <w:tab w:val="num" w:pos="1065"/>
      </w:tabs>
      <w:suppressAutoHyphens/>
      <w:spacing w:before="0" w:after="120" w:line="240" w:lineRule="auto"/>
      <w:ind w:left="720" w:hanging="360"/>
      <w:jc w:val="center"/>
    </w:pPr>
    <w:rPr>
      <w:rFonts w:ascii="Arial" w:hAnsi="Arial"/>
      <w:b/>
      <w:sz w:val="20"/>
    </w:rPr>
  </w:style>
  <w:style w:type="paragraph" w:customStyle="1" w:styleId="IEEEStdsRegularTableCaption">
    <w:name w:val="IEEEStds Regular Table Caption"/>
    <w:basedOn w:val="IEEEStdsParagraph"/>
    <w:next w:val="IEEEStdsParagraph"/>
    <w:uiPriority w:val="99"/>
    <w:rsid w:val="00532249"/>
    <w:pPr>
      <w:keepLines/>
      <w:tabs>
        <w:tab w:val="num" w:pos="0"/>
        <w:tab w:val="left" w:pos="360"/>
        <w:tab w:val="num" w:pos="720"/>
      </w:tabs>
      <w:suppressAutoHyphens/>
      <w:spacing w:before="0" w:after="120" w:line="240" w:lineRule="auto"/>
      <w:ind w:left="720" w:hanging="360"/>
      <w:jc w:val="center"/>
    </w:pPr>
    <w:rPr>
      <w:rFonts w:ascii="Arial" w:hAnsi="Arial"/>
      <w:b/>
      <w:sz w:val="20"/>
    </w:rPr>
  </w:style>
  <w:style w:type="paragraph" w:customStyle="1" w:styleId="IEEEStdsBibliographicEntry">
    <w:name w:val="IEEEStds Bibliographic Entry"/>
    <w:basedOn w:val="IEEEStdsParagraph"/>
    <w:uiPriority w:val="99"/>
    <w:rsid w:val="00532249"/>
    <w:pPr>
      <w:tabs>
        <w:tab w:val="num" w:pos="360"/>
        <w:tab w:val="num" w:pos="420"/>
        <w:tab w:val="left" w:pos="540"/>
        <w:tab w:val="num" w:pos="643"/>
        <w:tab w:val="num" w:pos="1080"/>
        <w:tab w:val="num" w:pos="1200"/>
      </w:tabs>
      <w:spacing w:before="0" w:after="240" w:line="240" w:lineRule="auto"/>
      <w:ind w:left="360" w:hanging="360"/>
    </w:pPr>
    <w:rPr>
      <w:sz w:val="20"/>
    </w:rPr>
  </w:style>
  <w:style w:type="paragraph" w:customStyle="1" w:styleId="IEEEStdsUnorderedList">
    <w:name w:val="IEEEStds Unordered List"/>
    <w:uiPriority w:val="99"/>
    <w:rsid w:val="00532249"/>
    <w:pPr>
      <w:tabs>
        <w:tab w:val="num" w:pos="640"/>
        <w:tab w:val="left" w:pos="1080"/>
        <w:tab w:val="left" w:pos="1512"/>
        <w:tab w:val="left" w:pos="1958"/>
        <w:tab w:val="left" w:pos="2405"/>
      </w:tabs>
      <w:spacing w:before="60" w:after="60"/>
      <w:ind w:left="648" w:hanging="446"/>
      <w:jc w:val="both"/>
    </w:pPr>
    <w:rPr>
      <w:rFonts w:eastAsia="MS Mincho"/>
      <w:noProof/>
      <w:lang w:eastAsia="en-US"/>
    </w:rPr>
  </w:style>
  <w:style w:type="character" w:customStyle="1" w:styleId="bodycopyblack1">
    <w:name w:val="bodycopyblack1"/>
    <w:uiPriority w:val="99"/>
    <w:rsid w:val="00532249"/>
    <w:rPr>
      <w:rFonts w:ascii="Arial" w:hAnsi="Arial" w:cs="Arial"/>
      <w:color w:val="000000"/>
      <w:spacing w:val="0"/>
      <w:sz w:val="15"/>
      <w:szCs w:val="15"/>
    </w:rPr>
  </w:style>
  <w:style w:type="character" w:customStyle="1" w:styleId="enumlev10">
    <w:name w:val="enumlev1 Знак"/>
    <w:uiPriority w:val="99"/>
    <w:locked/>
    <w:rsid w:val="00532249"/>
    <w:rPr>
      <w:rFonts w:cs="Times New Roman"/>
      <w:sz w:val="24"/>
      <w:lang w:val="en-GB" w:eastAsia="en-US" w:bidi="ar-SA"/>
    </w:rPr>
  </w:style>
  <w:style w:type="character" w:customStyle="1" w:styleId="alias1">
    <w:name w:val="alias1"/>
    <w:uiPriority w:val="99"/>
    <w:rsid w:val="00532249"/>
    <w:rPr>
      <w:rFonts w:cs="Times New Roman"/>
      <w:sz w:val="20"/>
      <w:szCs w:val="20"/>
    </w:rPr>
  </w:style>
  <w:style w:type="paragraph" w:customStyle="1" w:styleId="a">
    <w:name w:val="文献"/>
    <w:basedOn w:val="BodyText"/>
    <w:uiPriority w:val="99"/>
    <w:rsid w:val="00532249"/>
    <w:pPr>
      <w:widowControl w:val="0"/>
      <w:tabs>
        <w:tab w:val="num" w:pos="510"/>
      </w:tabs>
      <w:snapToGrid w:val="0"/>
      <w:spacing w:afterLines="20" w:line="200" w:lineRule="exact"/>
      <w:ind w:left="426" w:hanging="369"/>
      <w:jc w:val="both"/>
    </w:pPr>
    <w:rPr>
      <w:b w:val="0"/>
      <w:bCs w:val="0"/>
      <w:kern w:val="2"/>
      <w:sz w:val="18"/>
      <w:lang w:eastAsia="ja-JP"/>
    </w:rPr>
  </w:style>
  <w:style w:type="character" w:customStyle="1" w:styleId="trans">
    <w:name w:val="trans"/>
    <w:rsid w:val="00532249"/>
    <w:rPr>
      <w:rFonts w:cs="Times New Roman"/>
    </w:rPr>
  </w:style>
  <w:style w:type="paragraph" w:customStyle="1" w:styleId="ListParagraph20">
    <w:name w:val="List Paragraph2"/>
    <w:basedOn w:val="listitem0"/>
    <w:next w:val="listitem0"/>
    <w:uiPriority w:val="99"/>
    <w:rsid w:val="00532249"/>
    <w:pPr>
      <w:spacing w:before="200"/>
      <w:ind w:firstLine="0"/>
    </w:pPr>
  </w:style>
  <w:style w:type="paragraph" w:customStyle="1" w:styleId="Title20">
    <w:name w:val="Title2"/>
    <w:basedOn w:val="Normal"/>
    <w:next w:val="Heading1"/>
    <w:uiPriority w:val="99"/>
    <w:rsid w:val="00532249"/>
    <w:pPr>
      <w:tabs>
        <w:tab w:val="clear" w:pos="794"/>
        <w:tab w:val="clear" w:pos="1191"/>
        <w:tab w:val="clear" w:pos="1588"/>
        <w:tab w:val="clear" w:pos="1985"/>
      </w:tabs>
      <w:overflowPunct/>
      <w:autoSpaceDE/>
      <w:autoSpaceDN/>
      <w:adjustRightInd/>
      <w:spacing w:before="480" w:after="960"/>
      <w:jc w:val="left"/>
      <w:textAlignment w:val="auto"/>
    </w:pPr>
    <w:rPr>
      <w:rFonts w:ascii="Helvetica" w:eastAsia="MS Mincho" w:hAnsi="Helvetica"/>
      <w:b/>
      <w:sz w:val="36"/>
      <w:lang w:val="en-US"/>
    </w:rPr>
  </w:style>
  <w:style w:type="paragraph" w:customStyle="1" w:styleId="Bibliography2">
    <w:name w:val="Bibliography2"/>
    <w:basedOn w:val="Normal"/>
    <w:uiPriority w:val="99"/>
    <w:rsid w:val="00532249"/>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numbering" w:customStyle="1" w:styleId="Style1">
    <w:name w:val="Style1"/>
    <w:rsid w:val="00532249"/>
    <w:pPr>
      <w:numPr>
        <w:numId w:val="18"/>
      </w:numPr>
    </w:pPr>
  </w:style>
  <w:style w:type="paragraph" w:customStyle="1" w:styleId="a0">
    <w:name w:val="+"/>
    <w:basedOn w:val="Normal"/>
    <w:rsid w:val="00532249"/>
    <w:pPr>
      <w:tabs>
        <w:tab w:val="clear" w:pos="794"/>
        <w:tab w:val="clear" w:pos="1191"/>
        <w:tab w:val="clear" w:pos="1588"/>
        <w:tab w:val="clear" w:pos="1985"/>
        <w:tab w:val="left" w:pos="1134"/>
        <w:tab w:val="left" w:pos="1871"/>
        <w:tab w:val="left" w:pos="2268"/>
      </w:tabs>
      <w:jc w:val="left"/>
    </w:pPr>
    <w:rPr>
      <w:rFonts w:eastAsia="MS Mincho"/>
      <w:sz w:val="20"/>
    </w:rPr>
  </w:style>
  <w:style w:type="character" w:customStyle="1" w:styleId="AnnexNoTitleChar1">
    <w:name w:val="Annex_NoTitle Char1"/>
    <w:basedOn w:val="DefaultParagraphFont"/>
    <w:locked/>
    <w:rsid w:val="00532249"/>
    <w:rPr>
      <w:b/>
      <w:sz w:val="28"/>
      <w:lang w:val="fr-FR" w:eastAsia="en-US"/>
    </w:rPr>
  </w:style>
  <w:style w:type="paragraph" w:customStyle="1" w:styleId="a1">
    <w:name w:val="바탕글"/>
    <w:basedOn w:val="Normal"/>
    <w:rsid w:val="00532249"/>
    <w:pPr>
      <w:widowControl w:val="0"/>
      <w:tabs>
        <w:tab w:val="clear" w:pos="794"/>
        <w:tab w:val="clear" w:pos="1191"/>
        <w:tab w:val="clear" w:pos="1588"/>
        <w:tab w:val="clear" w:pos="1985"/>
      </w:tabs>
      <w:wordWrap w:val="0"/>
      <w:overflowPunct/>
      <w:adjustRightInd/>
      <w:spacing w:before="0" w:line="384" w:lineRule="auto"/>
    </w:pPr>
    <w:rPr>
      <w:rFonts w:ascii="Gulim" w:eastAsia="Gulim" w:hAnsi="Gulim" w:cs="Gulim"/>
      <w:color w:val="000000"/>
      <w:sz w:val="20"/>
      <w:lang w:val="en-US" w:eastAsia="ko-KR"/>
    </w:rPr>
  </w:style>
  <w:style w:type="paragraph" w:customStyle="1" w:styleId="IEEEParagraph">
    <w:name w:val="IEEE Paragraph"/>
    <w:basedOn w:val="Normal"/>
    <w:link w:val="IEEEParagraphChar"/>
    <w:rsid w:val="00532249"/>
    <w:pPr>
      <w:tabs>
        <w:tab w:val="clear" w:pos="794"/>
        <w:tab w:val="clear" w:pos="1191"/>
        <w:tab w:val="clear" w:pos="1588"/>
        <w:tab w:val="clear" w:pos="1985"/>
      </w:tabs>
      <w:overflowPunct/>
      <w:autoSpaceDE/>
      <w:autoSpaceDN/>
      <w:snapToGrid w:val="0"/>
      <w:spacing w:before="0"/>
      <w:ind w:firstLine="216"/>
      <w:textAlignment w:val="auto"/>
    </w:pPr>
    <w:rPr>
      <w:rFonts w:eastAsia="SimSun"/>
      <w:szCs w:val="24"/>
      <w:lang w:val="en-AU"/>
    </w:rPr>
  </w:style>
  <w:style w:type="character" w:customStyle="1" w:styleId="IEEEParagraphChar">
    <w:name w:val="IEEE Paragraph Char"/>
    <w:link w:val="IEEEParagraph"/>
    <w:rsid w:val="00532249"/>
    <w:rPr>
      <w:rFonts w:eastAsia="SimSun"/>
      <w:sz w:val="24"/>
      <w:szCs w:val="24"/>
      <w:lang w:val="en-AU" w:eastAsia="en-US"/>
    </w:rPr>
  </w:style>
  <w:style w:type="table" w:customStyle="1" w:styleId="5">
    <w:name w:val="网格型5"/>
    <w:basedOn w:val="TableNormal"/>
    <w:next w:val="TableGrid"/>
    <w:uiPriority w:val="59"/>
    <w:rsid w:val="0053224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TableNormal"/>
    <w:next w:val="TableGrid"/>
    <w:uiPriority w:val="59"/>
    <w:rsid w:val="0053224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uiPriority w:val="59"/>
    <w:rsid w:val="0053224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59"/>
    <w:rsid w:val="0053224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TableNormal"/>
    <w:next w:val="TableGrid"/>
    <w:uiPriority w:val="59"/>
    <w:rsid w:val="0053224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next w:val="TableGrid"/>
    <w:uiPriority w:val="59"/>
    <w:rsid w:val="0053224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rsid w:val="0053224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next w:val="TableGrid"/>
    <w:uiPriority w:val="59"/>
    <w:rsid w:val="0053224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next w:val="TableGrid"/>
    <w:uiPriority w:val="59"/>
    <w:rsid w:val="0053224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next w:val="TableGrid"/>
    <w:uiPriority w:val="59"/>
    <w:rsid w:val="0053224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TableNormal"/>
    <w:next w:val="TableGrid"/>
    <w:uiPriority w:val="59"/>
    <w:rsid w:val="0053224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TableNormal"/>
    <w:next w:val="TableGrid"/>
    <w:uiPriority w:val="59"/>
    <w:rsid w:val="0053224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TableNormal"/>
    <w:next w:val="TableGrid"/>
    <w:uiPriority w:val="59"/>
    <w:rsid w:val="0053224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TableNormal"/>
    <w:next w:val="TableGrid"/>
    <w:uiPriority w:val="59"/>
    <w:rsid w:val="0053224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TableNormal"/>
    <w:next w:val="TableGrid"/>
    <w:uiPriority w:val="59"/>
    <w:rsid w:val="0053224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TableNormal"/>
    <w:next w:val="TableGrid"/>
    <w:uiPriority w:val="59"/>
    <w:rsid w:val="0053224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TableNormal"/>
    <w:next w:val="TableGrid"/>
    <w:uiPriority w:val="59"/>
    <w:rsid w:val="0053224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8"/>
    <w:basedOn w:val="TableNormal"/>
    <w:next w:val="TableGrid"/>
    <w:uiPriority w:val="59"/>
    <w:rsid w:val="0053224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9"/>
    <w:basedOn w:val="TableNormal"/>
    <w:next w:val="TableGrid"/>
    <w:uiPriority w:val="59"/>
    <w:rsid w:val="0053224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TableNormal"/>
    <w:next w:val="TableGrid"/>
    <w:uiPriority w:val="59"/>
    <w:rsid w:val="0053224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1"/>
    <w:basedOn w:val="TableNormal"/>
    <w:next w:val="TableGrid"/>
    <w:uiPriority w:val="59"/>
    <w:rsid w:val="0053224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2"/>
    <w:basedOn w:val="TableNormal"/>
    <w:next w:val="TableGrid"/>
    <w:uiPriority w:val="59"/>
    <w:rsid w:val="0053224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next w:val="TableGrid"/>
    <w:uiPriority w:val="59"/>
    <w:rsid w:val="0053224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next w:val="TableGrid"/>
    <w:uiPriority w:val="59"/>
    <w:rsid w:val="0053224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next w:val="TableGrid"/>
    <w:uiPriority w:val="59"/>
    <w:rsid w:val="0053224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6"/>
    <w:basedOn w:val="TableNormal"/>
    <w:next w:val="TableGrid"/>
    <w:uiPriority w:val="59"/>
    <w:rsid w:val="0053224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7"/>
    <w:basedOn w:val="TableNormal"/>
    <w:next w:val="TableGrid"/>
    <w:uiPriority w:val="59"/>
    <w:rsid w:val="0053224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8"/>
    <w:basedOn w:val="TableNormal"/>
    <w:next w:val="TableGrid"/>
    <w:uiPriority w:val="59"/>
    <w:rsid w:val="0053224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网格型29"/>
    <w:basedOn w:val="TableNormal"/>
    <w:next w:val="TableGrid"/>
    <w:uiPriority w:val="59"/>
    <w:rsid w:val="0053224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0"/>
    <w:basedOn w:val="TableNormal"/>
    <w:next w:val="TableGrid"/>
    <w:uiPriority w:val="59"/>
    <w:rsid w:val="0053224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1"/>
    <w:basedOn w:val="TableNormal"/>
    <w:next w:val="TableGrid"/>
    <w:uiPriority w:val="59"/>
    <w:rsid w:val="0053224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uiPriority w:val="59"/>
    <w:rsid w:val="0053224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next w:val="TableGrid"/>
    <w:uiPriority w:val="59"/>
    <w:rsid w:val="0053224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next w:val="TableGrid"/>
    <w:uiPriority w:val="59"/>
    <w:rsid w:val="0053224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uiPriority w:val="59"/>
    <w:rsid w:val="0053224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next w:val="TableGrid"/>
    <w:uiPriority w:val="59"/>
    <w:rsid w:val="0053224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next w:val="TableGrid"/>
    <w:uiPriority w:val="59"/>
    <w:rsid w:val="0053224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uiPriority w:val="59"/>
    <w:rsid w:val="0053224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next w:val="TableGrid"/>
    <w:uiPriority w:val="59"/>
    <w:rsid w:val="0053224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0"/>
    <w:basedOn w:val="TableNormal"/>
    <w:next w:val="TableGrid"/>
    <w:uiPriority w:val="59"/>
    <w:rsid w:val="0053224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uiPriority w:val="59"/>
    <w:rsid w:val="0053224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uiPriority w:val="59"/>
    <w:rsid w:val="0053224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uiPriority w:val="59"/>
    <w:rsid w:val="0053224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uiPriority w:val="59"/>
    <w:rsid w:val="00532249"/>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EquationSection">
    <w:name w:val="MTEquationSection"/>
    <w:basedOn w:val="DefaultParagraphFont"/>
    <w:rsid w:val="00532249"/>
    <w:rPr>
      <w:vanish/>
      <w:color w:val="FF0000"/>
    </w:rPr>
  </w:style>
  <w:style w:type="paragraph" w:customStyle="1" w:styleId="Paragraph0">
    <w:name w:val="Paragraph"/>
    <w:basedOn w:val="Normal"/>
    <w:autoRedefine/>
    <w:rsid w:val="00532249"/>
    <w:pPr>
      <w:tabs>
        <w:tab w:val="clear" w:pos="794"/>
        <w:tab w:val="clear" w:pos="1191"/>
        <w:tab w:val="clear" w:pos="1588"/>
        <w:tab w:val="clear" w:pos="1985"/>
      </w:tabs>
      <w:overflowPunct/>
      <w:autoSpaceDE/>
      <w:autoSpaceDN/>
      <w:adjustRightInd/>
      <w:spacing w:before="0" w:line="360" w:lineRule="auto"/>
      <w:ind w:firstLine="426"/>
      <w:textAlignment w:val="auto"/>
    </w:pPr>
    <w:rPr>
      <w:rFonts w:eastAsiaTheme="minorEastAsia"/>
      <w:spacing w:val="-2"/>
      <w:kern w:val="6"/>
      <w:szCs w:val="24"/>
      <w:lang w:val="en-CA" w:eastAsia="zh-CN"/>
    </w:rPr>
  </w:style>
  <w:style w:type="character" w:customStyle="1" w:styleId="fontstyle01">
    <w:name w:val="fontstyle01"/>
    <w:basedOn w:val="DefaultParagraphFont"/>
    <w:rsid w:val="00532249"/>
    <w:rPr>
      <w:rFonts w:ascii="TimesNewRomanPSMT" w:hAnsi="TimesNewRomanPSMT" w:hint="default"/>
      <w:b w:val="0"/>
      <w:bCs w:val="0"/>
      <w:i w:val="0"/>
      <w:iCs w:val="0"/>
      <w:color w:val="000000"/>
      <w:sz w:val="20"/>
      <w:szCs w:val="20"/>
    </w:rPr>
  </w:style>
  <w:style w:type="paragraph" w:customStyle="1" w:styleId="TableTitle2">
    <w:name w:val="Table Title"/>
    <w:basedOn w:val="Normal"/>
    <w:autoRedefine/>
    <w:qFormat/>
    <w:rsid w:val="00532249"/>
    <w:pPr>
      <w:tabs>
        <w:tab w:val="clear" w:pos="794"/>
        <w:tab w:val="clear" w:pos="1191"/>
        <w:tab w:val="clear" w:pos="1588"/>
        <w:tab w:val="clear" w:pos="1985"/>
      </w:tabs>
      <w:overflowPunct/>
      <w:autoSpaceDE/>
      <w:autoSpaceDN/>
      <w:adjustRightInd/>
      <w:spacing w:before="0"/>
      <w:textAlignment w:val="auto"/>
    </w:pPr>
    <w:rPr>
      <w:rFonts w:ascii="Arial" w:eastAsia="SimHei" w:hAnsi="Arial"/>
      <w:sz w:val="22"/>
      <w:szCs w:val="16"/>
      <w:lang w:val="en-US"/>
    </w:rPr>
  </w:style>
  <w:style w:type="paragraph" w:customStyle="1" w:styleId="AppendixNotitle0">
    <w:name w:val="Appendix_No &amp; title"/>
    <w:basedOn w:val="AnnexNotitle0"/>
    <w:next w:val="Normalaftertitle"/>
    <w:rsid w:val="00532249"/>
    <w:rPr>
      <w:lang w:val="fr-FR"/>
    </w:rPr>
  </w:style>
  <w:style w:type="paragraph" w:customStyle="1" w:styleId="FigureNotitle">
    <w:name w:val="Figure_No &amp; title"/>
    <w:basedOn w:val="Normal"/>
    <w:next w:val="Normalaftertitle"/>
    <w:rsid w:val="00532249"/>
    <w:pPr>
      <w:keepLines/>
      <w:spacing w:before="240" w:after="120"/>
      <w:jc w:val="center"/>
    </w:pPr>
    <w:rPr>
      <w:rFonts w:eastAsia="MS Mincho"/>
      <w:b/>
      <w:lang w:val="fr-FR"/>
    </w:rPr>
  </w:style>
  <w:style w:type="paragraph" w:customStyle="1" w:styleId="TableNotitle">
    <w:name w:val="Table_No &amp; title"/>
    <w:basedOn w:val="Normal"/>
    <w:next w:val="Tablehead"/>
    <w:rsid w:val="00532249"/>
    <w:pPr>
      <w:keepNext/>
      <w:keepLines/>
      <w:spacing w:before="360" w:after="120"/>
      <w:jc w:val="center"/>
    </w:pPr>
    <w:rPr>
      <w:rFonts w:eastAsia="MS Mincho"/>
      <w:b/>
      <w:lang w:val="fr-FR"/>
    </w:rPr>
  </w:style>
  <w:style w:type="paragraph" w:customStyle="1" w:styleId="FooterQP">
    <w:name w:val="Footer_QP"/>
    <w:basedOn w:val="Normal"/>
    <w:rsid w:val="00532249"/>
    <w:pPr>
      <w:tabs>
        <w:tab w:val="clear" w:pos="794"/>
        <w:tab w:val="clear" w:pos="1191"/>
        <w:tab w:val="clear" w:pos="1588"/>
        <w:tab w:val="clear" w:pos="1985"/>
        <w:tab w:val="left" w:pos="907"/>
        <w:tab w:val="right" w:pos="8789"/>
        <w:tab w:val="right" w:pos="9639"/>
      </w:tabs>
      <w:spacing w:before="0"/>
      <w:jc w:val="left"/>
    </w:pPr>
    <w:rPr>
      <w:rFonts w:eastAsia="MS Mincho"/>
      <w:b/>
      <w:sz w:val="22"/>
      <w:lang w:val="fr-FR"/>
    </w:rPr>
  </w:style>
  <w:style w:type="paragraph" w:customStyle="1" w:styleId="RepNoBR">
    <w:name w:val="Rep_No_BR"/>
    <w:basedOn w:val="RecNoBR"/>
    <w:next w:val="Reptitle"/>
    <w:rsid w:val="00532249"/>
    <w:rPr>
      <w:lang w:val="fr-FR"/>
    </w:rPr>
  </w:style>
  <w:style w:type="paragraph" w:customStyle="1" w:styleId="ResNoBR">
    <w:name w:val="Res_No_BR"/>
    <w:basedOn w:val="RecNoBR"/>
    <w:next w:val="Restitle"/>
    <w:rsid w:val="00532249"/>
    <w:rPr>
      <w:lang w:val="fr-FR"/>
    </w:rPr>
  </w:style>
  <w:style w:type="paragraph" w:customStyle="1" w:styleId="TableNoBR">
    <w:name w:val="Table_No_BR"/>
    <w:basedOn w:val="Normal"/>
    <w:next w:val="TabletitleBR"/>
    <w:rsid w:val="00532249"/>
    <w:pPr>
      <w:keepNext/>
      <w:spacing w:before="560" w:after="120"/>
      <w:jc w:val="center"/>
    </w:pPr>
    <w:rPr>
      <w:rFonts w:eastAsia="MS Mincho"/>
      <w:caps/>
      <w:lang w:val="fr-FR"/>
    </w:rPr>
  </w:style>
  <w:style w:type="paragraph" w:customStyle="1" w:styleId="TabletitleBR">
    <w:name w:val="Table_title_BR"/>
    <w:basedOn w:val="Normal"/>
    <w:next w:val="Tablehead"/>
    <w:rsid w:val="00532249"/>
    <w:pPr>
      <w:keepNext/>
      <w:keepLines/>
      <w:spacing w:before="0" w:after="120"/>
      <w:jc w:val="center"/>
    </w:pPr>
    <w:rPr>
      <w:rFonts w:eastAsia="MS Mincho"/>
      <w:b/>
      <w:lang w:val="fr-FR"/>
    </w:rPr>
  </w:style>
  <w:style w:type="paragraph" w:customStyle="1" w:styleId="FiguretitleBR">
    <w:name w:val="Figure_title_BR"/>
    <w:basedOn w:val="TabletitleBR"/>
    <w:next w:val="Figurewithouttitle"/>
    <w:rsid w:val="00532249"/>
    <w:pPr>
      <w:keepNext w:val="0"/>
      <w:spacing w:after="480"/>
    </w:pPr>
  </w:style>
  <w:style w:type="paragraph" w:customStyle="1" w:styleId="FigureNoBR">
    <w:name w:val="Figure_No_BR"/>
    <w:basedOn w:val="Normal"/>
    <w:next w:val="FiguretitleBR"/>
    <w:rsid w:val="00532249"/>
    <w:pPr>
      <w:keepNext/>
      <w:keepLines/>
      <w:spacing w:before="480" w:after="120"/>
      <w:jc w:val="center"/>
    </w:pPr>
    <w:rPr>
      <w:rFonts w:eastAsia="MS Mincho"/>
      <w:caps/>
      <w:lang w:val="fr-FR"/>
    </w:rPr>
  </w:style>
  <w:style w:type="paragraph" w:customStyle="1" w:styleId="TextBody">
    <w:name w:val="Text Body"/>
    <w:basedOn w:val="Normal"/>
    <w:rsid w:val="00532249"/>
    <w:pPr>
      <w:widowControl w:val="0"/>
      <w:tabs>
        <w:tab w:val="clear" w:pos="794"/>
        <w:tab w:val="clear" w:pos="1191"/>
        <w:tab w:val="clear" w:pos="1588"/>
        <w:tab w:val="clear" w:pos="1985"/>
      </w:tabs>
      <w:suppressAutoHyphens/>
      <w:overflowPunct/>
      <w:autoSpaceDE/>
      <w:autoSpaceDN/>
      <w:adjustRightInd/>
      <w:spacing w:before="0" w:after="140" w:line="288" w:lineRule="auto"/>
      <w:jc w:val="left"/>
      <w:textAlignment w:val="auto"/>
    </w:pPr>
    <w:rPr>
      <w:rFonts w:ascii="Liberation Serif" w:eastAsia="Droid Sans Fallback" w:hAnsi="Liberation Serif" w:cs="FreeSans"/>
      <w:szCs w:val="24"/>
      <w:lang w:val="en-US" w:eastAsia="zh-CN" w:bidi="hi-IN"/>
    </w:rPr>
  </w:style>
  <w:style w:type="paragraph" w:customStyle="1" w:styleId="t3">
    <w:name w:val="t3"/>
    <w:basedOn w:val="Normal"/>
    <w:rsid w:val="00532249"/>
    <w:pPr>
      <w:widowControl w:val="0"/>
      <w:tabs>
        <w:tab w:val="clear" w:pos="794"/>
        <w:tab w:val="clear" w:pos="1191"/>
        <w:tab w:val="clear" w:pos="1588"/>
        <w:tab w:val="clear" w:pos="1985"/>
      </w:tabs>
      <w:overflowPunct/>
      <w:spacing w:before="0" w:line="272" w:lineRule="atLeast"/>
      <w:jc w:val="left"/>
      <w:textAlignment w:val="auto"/>
    </w:pPr>
    <w:rPr>
      <w:rFonts w:eastAsia="MS Mincho"/>
      <w:szCs w:val="24"/>
      <w:lang w:val="en-US"/>
    </w:rPr>
  </w:style>
  <w:style w:type="paragraph" w:customStyle="1" w:styleId="font5">
    <w:name w:val="font5"/>
    <w:basedOn w:val="Normal"/>
    <w:rsid w:val="00532249"/>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Calibri" w:eastAsia="MS Mincho" w:hAnsi="Calibri" w:cs="Calibri"/>
      <w:b/>
      <w:bCs/>
      <w:color w:val="000000"/>
      <w:sz w:val="22"/>
      <w:szCs w:val="22"/>
      <w:lang w:val="en-US"/>
    </w:rPr>
  </w:style>
  <w:style w:type="paragraph" w:customStyle="1" w:styleId="font6">
    <w:name w:val="font6"/>
    <w:basedOn w:val="Normal"/>
    <w:rsid w:val="00532249"/>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Calibri" w:eastAsia="MS Mincho" w:hAnsi="Calibri" w:cs="Calibri"/>
      <w:b/>
      <w:bCs/>
      <w:color w:val="000000"/>
      <w:sz w:val="22"/>
      <w:szCs w:val="22"/>
      <w:lang w:val="en-US"/>
    </w:rPr>
  </w:style>
  <w:style w:type="paragraph" w:customStyle="1" w:styleId="font7">
    <w:name w:val="font7"/>
    <w:basedOn w:val="Normal"/>
    <w:rsid w:val="00532249"/>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Calibri" w:eastAsia="MS Mincho" w:hAnsi="Calibri" w:cs="Calibri"/>
      <w:b/>
      <w:bCs/>
      <w:color w:val="000000"/>
      <w:sz w:val="22"/>
      <w:szCs w:val="22"/>
      <w:lang w:val="en-US"/>
    </w:rPr>
  </w:style>
  <w:style w:type="paragraph" w:customStyle="1" w:styleId="xl66">
    <w:name w:val="xl66"/>
    <w:basedOn w:val="Normal"/>
    <w:rsid w:val="00532249"/>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color w:val="FF0000"/>
      <w:szCs w:val="24"/>
      <w:lang w:val="en-US"/>
    </w:rPr>
  </w:style>
  <w:style w:type="paragraph" w:customStyle="1" w:styleId="xl67">
    <w:name w:val="xl67"/>
    <w:basedOn w:val="Normal"/>
    <w:rsid w:val="00532249"/>
    <w:pPr>
      <w:pBdr>
        <w:top w:val="single" w:sz="4" w:space="0" w:color="auto"/>
        <w:left w:val="single" w:sz="4" w:space="0" w:color="auto"/>
        <w:bottom w:val="single" w:sz="4" w:space="0" w:color="auto"/>
        <w:right w:val="single" w:sz="4" w:space="0" w:color="auto"/>
      </w:pBdr>
      <w:shd w:val="clear" w:color="000000" w:fill="BFBFBF"/>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MS Mincho"/>
      <w:b/>
      <w:bCs/>
      <w:szCs w:val="24"/>
      <w:lang w:val="en-US"/>
    </w:rPr>
  </w:style>
  <w:style w:type="paragraph" w:customStyle="1" w:styleId="xl68">
    <w:name w:val="xl68"/>
    <w:basedOn w:val="Normal"/>
    <w:rsid w:val="00532249"/>
    <w:pPr>
      <w:pBdr>
        <w:top w:val="single" w:sz="4" w:space="0" w:color="auto"/>
        <w:left w:val="single" w:sz="4" w:space="0" w:color="auto"/>
        <w:bottom w:val="single" w:sz="4" w:space="0" w:color="auto"/>
        <w:right w:val="single" w:sz="4" w:space="0" w:color="auto"/>
      </w:pBdr>
      <w:shd w:val="clear" w:color="000000" w:fill="9BBB5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MS Mincho"/>
      <w:b/>
      <w:bCs/>
      <w:szCs w:val="24"/>
      <w:lang w:val="en-US"/>
    </w:rPr>
  </w:style>
  <w:style w:type="paragraph" w:customStyle="1" w:styleId="xl69">
    <w:name w:val="xl69"/>
    <w:basedOn w:val="Normal"/>
    <w:rsid w:val="00532249"/>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0">
    <w:name w:val="xl70"/>
    <w:basedOn w:val="Normal"/>
    <w:rsid w:val="00532249"/>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1">
    <w:name w:val="xl71"/>
    <w:basedOn w:val="Normal"/>
    <w:rsid w:val="00532249"/>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2">
    <w:name w:val="xl72"/>
    <w:basedOn w:val="Normal"/>
    <w:rsid w:val="00532249"/>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3">
    <w:name w:val="xl73"/>
    <w:basedOn w:val="Normal"/>
    <w:rsid w:val="00532249"/>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4">
    <w:name w:val="xl74"/>
    <w:basedOn w:val="Normal"/>
    <w:rsid w:val="00532249"/>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5">
    <w:name w:val="xl75"/>
    <w:basedOn w:val="Normal"/>
    <w:rsid w:val="00532249"/>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76">
    <w:name w:val="xl76"/>
    <w:basedOn w:val="Normal"/>
    <w:rsid w:val="00532249"/>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7">
    <w:name w:val="xl77"/>
    <w:basedOn w:val="Normal"/>
    <w:rsid w:val="00532249"/>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78">
    <w:name w:val="xl78"/>
    <w:basedOn w:val="Normal"/>
    <w:rsid w:val="00532249"/>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79">
    <w:name w:val="xl79"/>
    <w:basedOn w:val="Normal"/>
    <w:rsid w:val="00532249"/>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0">
    <w:name w:val="xl80"/>
    <w:basedOn w:val="Normal"/>
    <w:rsid w:val="00532249"/>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1">
    <w:name w:val="xl81"/>
    <w:basedOn w:val="Normal"/>
    <w:rsid w:val="00532249"/>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2">
    <w:name w:val="xl82"/>
    <w:basedOn w:val="Normal"/>
    <w:rsid w:val="00532249"/>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3">
    <w:name w:val="xl83"/>
    <w:basedOn w:val="Normal"/>
    <w:rsid w:val="00532249"/>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4">
    <w:name w:val="xl84"/>
    <w:basedOn w:val="Normal"/>
    <w:rsid w:val="00532249"/>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5">
    <w:name w:val="xl85"/>
    <w:basedOn w:val="Normal"/>
    <w:rsid w:val="00532249"/>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6">
    <w:name w:val="xl86"/>
    <w:basedOn w:val="Normal"/>
    <w:rsid w:val="00532249"/>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87">
    <w:name w:val="xl87"/>
    <w:basedOn w:val="Normal"/>
    <w:rsid w:val="00532249"/>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MS Mincho"/>
      <w:szCs w:val="24"/>
      <w:lang w:val="en-US"/>
    </w:rPr>
  </w:style>
  <w:style w:type="paragraph" w:customStyle="1" w:styleId="xl88">
    <w:name w:val="xl88"/>
    <w:basedOn w:val="Normal"/>
    <w:rsid w:val="00532249"/>
    <w:pPr>
      <w:shd w:val="clear" w:color="000000" w:fill="9BBB5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MS Mincho"/>
      <w:b/>
      <w:bCs/>
      <w:szCs w:val="24"/>
      <w:lang w:val="en-US"/>
    </w:rPr>
  </w:style>
  <w:style w:type="paragraph" w:customStyle="1" w:styleId="xl89">
    <w:name w:val="xl89"/>
    <w:basedOn w:val="Normal"/>
    <w:rsid w:val="00532249"/>
    <w:pPr>
      <w:pBdr>
        <w:top w:val="single" w:sz="4" w:space="0" w:color="auto"/>
        <w:left w:val="single" w:sz="4" w:space="0" w:color="auto"/>
        <w:bottom w:val="single" w:sz="4" w:space="0" w:color="auto"/>
        <w:right w:val="single" w:sz="4" w:space="0" w:color="auto"/>
      </w:pBdr>
      <w:shd w:val="clear" w:color="000000" w:fill="9BBB59"/>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rFonts w:eastAsia="MS Mincho"/>
      <w:b/>
      <w:bCs/>
      <w:szCs w:val="24"/>
      <w:lang w:val="en-US"/>
    </w:rPr>
  </w:style>
  <w:style w:type="paragraph" w:customStyle="1" w:styleId="xl90">
    <w:name w:val="xl90"/>
    <w:basedOn w:val="Normal"/>
    <w:rsid w:val="00532249"/>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paragraph" w:customStyle="1" w:styleId="xl91">
    <w:name w:val="xl91"/>
    <w:basedOn w:val="Normal"/>
    <w:rsid w:val="00532249"/>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szCs w:val="24"/>
      <w:lang w:val="en-US"/>
    </w:rPr>
  </w:style>
  <w:style w:type="character" w:customStyle="1" w:styleId="1a">
    <w:name w:val="文末脚注文字列 (文字)1"/>
    <w:basedOn w:val="DefaultParagraphFont"/>
    <w:uiPriority w:val="99"/>
    <w:semiHidden/>
    <w:rsid w:val="00532249"/>
    <w:rPr>
      <w:sz w:val="24"/>
      <w:lang w:val="fr-FR" w:eastAsia="en-US"/>
    </w:rPr>
  </w:style>
  <w:style w:type="character" w:customStyle="1" w:styleId="EndnoteTextChar1">
    <w:name w:val="Endnote Text Char1"/>
    <w:basedOn w:val="DefaultParagraphFont"/>
    <w:semiHidden/>
    <w:rsid w:val="00532249"/>
    <w:rPr>
      <w:lang w:val="fr-FR" w:eastAsia="en-US"/>
    </w:rPr>
  </w:style>
  <w:style w:type="paragraph" w:customStyle="1" w:styleId="body">
    <w:name w:val="body"/>
    <w:basedOn w:val="Normal"/>
    <w:rsid w:val="00532249"/>
    <w:pPr>
      <w:widowControl w:val="0"/>
      <w:tabs>
        <w:tab w:val="clear" w:pos="794"/>
        <w:tab w:val="clear" w:pos="1191"/>
        <w:tab w:val="clear" w:pos="1588"/>
        <w:tab w:val="clear" w:pos="1985"/>
        <w:tab w:val="left" w:pos="400"/>
      </w:tabs>
      <w:overflowPunct/>
      <w:autoSpaceDE/>
      <w:autoSpaceDN/>
      <w:adjustRightInd/>
      <w:snapToGrid w:val="0"/>
      <w:spacing w:before="0" w:line="245" w:lineRule="auto"/>
      <w:textAlignment w:val="auto"/>
    </w:pPr>
    <w:rPr>
      <w:rFonts w:eastAsia="MS Mincho"/>
      <w:kern w:val="2"/>
      <w:sz w:val="20"/>
      <w:lang w:val="en-US" w:eastAsia="ja-JP"/>
    </w:rPr>
  </w:style>
  <w:style w:type="paragraph" w:customStyle="1" w:styleId="References">
    <w:name w:val="References"/>
    <w:basedOn w:val="Normal"/>
    <w:rsid w:val="00532249"/>
    <w:pPr>
      <w:numPr>
        <w:numId w:val="34"/>
      </w:numPr>
      <w:tabs>
        <w:tab w:val="clear" w:pos="794"/>
        <w:tab w:val="clear" w:pos="1191"/>
        <w:tab w:val="clear" w:pos="1588"/>
        <w:tab w:val="clear" w:pos="1985"/>
      </w:tabs>
      <w:overflowPunct/>
      <w:autoSpaceDE/>
      <w:autoSpaceDN/>
      <w:adjustRightInd/>
      <w:spacing w:before="0"/>
      <w:ind w:left="0" w:firstLine="0"/>
      <w:textAlignment w:val="auto"/>
    </w:pPr>
    <w:rPr>
      <w:rFonts w:eastAsia="MS Mincho"/>
      <w:sz w:val="16"/>
      <w:szCs w:val="16"/>
      <w:lang w:val="en-US"/>
    </w:rPr>
  </w:style>
  <w:style w:type="character" w:customStyle="1" w:styleId="texhtml">
    <w:name w:val="texhtml"/>
    <w:basedOn w:val="DefaultParagraphFont"/>
    <w:rsid w:val="00532249"/>
  </w:style>
  <w:style w:type="paragraph" w:customStyle="1" w:styleId="StyleTabletext8ptRight-01cmBefore1ptAfter1">
    <w:name w:val="Style Table_text + 8 pt Right:  -0.1 cm Before:  1 pt After:  1 ..."/>
    <w:basedOn w:val="Tabletext"/>
    <w:rsid w:val="00532249"/>
    <w:pPr>
      <w:spacing w:before="20" w:after="20" w:line="200" w:lineRule="exact"/>
      <w:ind w:right="-57"/>
      <w:jc w:val="left"/>
    </w:pPr>
    <w:rPr>
      <w:sz w:val="16"/>
    </w:rPr>
  </w:style>
  <w:style w:type="paragraph" w:customStyle="1" w:styleId="StyleTabletext8pt">
    <w:name w:val="Style Table_text + 8 pt"/>
    <w:basedOn w:val="Tabletext"/>
    <w:rsid w:val="00532249"/>
    <w:pPr>
      <w:jc w:val="left"/>
    </w:pPr>
    <w:rPr>
      <w:sz w:val="16"/>
    </w:rPr>
  </w:style>
  <w:style w:type="paragraph" w:customStyle="1" w:styleId="StyleTabletext8ptBefore1ptAfter1ptLinespacing">
    <w:name w:val="Style Table_text + 8 pt Before:  1 pt After:  1 pt Line spacing:..."/>
    <w:basedOn w:val="Tabletext"/>
    <w:rsid w:val="00532249"/>
    <w:pPr>
      <w:spacing w:before="20" w:after="20" w:line="200" w:lineRule="exact"/>
      <w:jc w:val="left"/>
    </w:pPr>
    <w:rPr>
      <w:sz w:val="16"/>
    </w:rPr>
  </w:style>
  <w:style w:type="character" w:customStyle="1" w:styleId="EquationeqChar">
    <w:name w:val="Equation.eq Char"/>
    <w:basedOn w:val="DefaultParagraphFont"/>
    <w:locked/>
    <w:rsid w:val="00532249"/>
    <w:rPr>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publ/R-REC/fr"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fr" TargetMode="External"/><Relationship Id="rId24" Type="http://schemas.openxmlformats.org/officeDocument/2006/relationships/image" Target="media/image7.emf"/><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webstore.iec.ch/searchform&amp;q=CISPR%2032" TargetMode="External"/><Relationship Id="rId23" Type="http://schemas.openxmlformats.org/officeDocument/2006/relationships/oleObject" Target="embeddings/oleObject4.bin"/><Relationship Id="rId28" Type="http://schemas.openxmlformats.org/officeDocument/2006/relationships/image" Target="media/image9.emf"/><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2.bin"/><Relationship Id="rId31"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6.emf"/><Relationship Id="rId27" Type="http://schemas.openxmlformats.org/officeDocument/2006/relationships/oleObject" Target="embeddings/oleObject6.bin"/><Relationship Id="rId30" Type="http://schemas.openxmlformats.org/officeDocument/2006/relationships/image" Target="media/image10.emf"/><Relationship Id="rId35" Type="http://schemas.openxmlformats.org/officeDocument/2006/relationships/fontTable" Target="fontTable.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onge\AppData\Roaming\Microsoft\Templates\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6D5DA-283E-49F8-BB2B-5C12AC3A2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185</TotalTime>
  <Pages>42</Pages>
  <Words>17356</Words>
  <Characters>92761</Characters>
  <Application>Microsoft Office Word</Application>
  <DocSecurity>0</DocSecurity>
  <Lines>773</Lines>
  <Paragraphs>219</Paragraphs>
  <ScaleCrop>false</ScaleCrop>
  <HeadingPairs>
    <vt:vector size="2" baseType="variant">
      <vt:variant>
        <vt:lpstr>Title</vt:lpstr>
      </vt:variant>
      <vt:variant>
        <vt:i4>1</vt:i4>
      </vt:variant>
    </vt:vector>
  </HeadingPairs>
  <TitlesOfParts>
    <vt:vector size="1" baseType="lpstr">
      <vt:lpstr>Recommandation UIT-R SM.329-13 (09/2024) – Rayonnements non désirés dans le domaine des rayonnements non essentiels</vt:lpstr>
    </vt:vector>
  </TitlesOfParts>
  <Manager/>
  <Company>ITU</Company>
  <LinksUpToDate>false</LinksUpToDate>
  <CharactersWithSpaces>109898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UIT-R SM.329-13 (09/2024) – Rayonnements non désirés dans le domaine des rayonnements non essentiels</dc:title>
  <dc:subject/>
  <dc:creator>French</dc:creator>
  <cp:keywords/>
  <dc:description/>
  <cp:lastModifiedBy>French</cp:lastModifiedBy>
  <cp:revision>45</cp:revision>
  <cp:lastPrinted>2024-11-28T09:13:00Z</cp:lastPrinted>
  <dcterms:created xsi:type="dcterms:W3CDTF">2024-11-27T14:54:00Z</dcterms:created>
  <dcterms:modified xsi:type="dcterms:W3CDTF">2024-11-28T09:31:00Z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