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EB0" w:rsidRPr="00575CB8" w:rsidRDefault="002E5EB0" w:rsidP="000C144E">
      <w:pPr>
        <w:rPr>
          <w:lang w:val="en-US"/>
        </w:rPr>
      </w:pPr>
      <w:bookmarkStart w:id="0" w:name="dbreak"/>
      <w:bookmarkEnd w:id="0"/>
    </w:p>
    <w:p w:rsidR="002E5EB0" w:rsidRDefault="002E5EB0" w:rsidP="000C144E"/>
    <w:p w:rsidR="002E5EB0" w:rsidRDefault="002E5EB0" w:rsidP="000C144E"/>
    <w:p w:rsidR="002E5EB0" w:rsidRDefault="002E5EB0" w:rsidP="000C144E"/>
    <w:p w:rsidR="002E5EB0" w:rsidRDefault="002E5EB0" w:rsidP="000C144E"/>
    <w:p w:rsidR="002E5EB0" w:rsidRDefault="002E5EB0" w:rsidP="000C144E"/>
    <w:p w:rsidR="002E5EB0" w:rsidRDefault="002E5EB0" w:rsidP="000C144E"/>
    <w:p w:rsidR="002E5EB0" w:rsidRDefault="002E5EB0" w:rsidP="000C144E"/>
    <w:p w:rsidR="002E5EB0" w:rsidRDefault="002E5EB0" w:rsidP="000C144E"/>
    <w:p w:rsidR="002E5EB0" w:rsidRDefault="002E5EB0" w:rsidP="000C144E"/>
    <w:p w:rsidR="002E5EB0" w:rsidRDefault="002E5EB0" w:rsidP="000C144E"/>
    <w:p w:rsidR="002E5EB0" w:rsidRDefault="002E5EB0" w:rsidP="000C144E"/>
    <w:tbl>
      <w:tblPr>
        <w:tblW w:w="10089" w:type="dxa"/>
        <w:tblLook w:val="01E0" w:firstRow="1" w:lastRow="1" w:firstColumn="1" w:lastColumn="1" w:noHBand="0" w:noVBand="0"/>
      </w:tblPr>
      <w:tblGrid>
        <w:gridCol w:w="10089"/>
      </w:tblGrid>
      <w:tr w:rsidR="002E5EB0" w:rsidRPr="002E5EB0" w:rsidTr="000C144E">
        <w:tc>
          <w:tcPr>
            <w:tcW w:w="10089" w:type="dxa"/>
          </w:tcPr>
          <w:p w:rsidR="002E5EB0" w:rsidRPr="0010336F" w:rsidRDefault="002E5EB0" w:rsidP="000C144E">
            <w:pPr>
              <w:spacing w:before="380" w:line="280" w:lineRule="exact"/>
              <w:jc w:val="right"/>
              <w:rPr>
                <w:rFonts w:ascii="Tahoma" w:hAnsi="Tahoma" w:cs="Tahoma"/>
                <w:b/>
                <w:bCs/>
                <w:iCs/>
                <w:color w:val="243285"/>
                <w:sz w:val="32"/>
                <w:szCs w:val="32"/>
                <w:lang w:val="en-US"/>
              </w:rPr>
            </w:pPr>
          </w:p>
          <w:p w:rsidR="002E5EB0" w:rsidRPr="0010336F" w:rsidRDefault="002E5EB0" w:rsidP="002E5EB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329-11</w:t>
            </w:r>
          </w:p>
          <w:p w:rsidR="002E5EB0" w:rsidRPr="0010336F" w:rsidRDefault="002E5EB0" w:rsidP="002E5EB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2E5EB0" w:rsidRPr="00DD03A6" w:rsidTr="000C144E">
        <w:tc>
          <w:tcPr>
            <w:tcW w:w="10089" w:type="dxa"/>
          </w:tcPr>
          <w:p w:rsidR="002E5EB0" w:rsidRPr="0010336F" w:rsidRDefault="002E5EB0" w:rsidP="000C144E">
            <w:pPr>
              <w:spacing w:before="80" w:line="500" w:lineRule="exact"/>
              <w:jc w:val="right"/>
              <w:rPr>
                <w:rFonts w:ascii="Tahoma" w:hAnsi="Tahoma" w:cs="Tahoma"/>
                <w:b/>
                <w:bCs/>
                <w:iCs/>
                <w:color w:val="243285"/>
                <w:sz w:val="44"/>
                <w:szCs w:val="44"/>
                <w:lang w:val="es-ES_tradnl"/>
              </w:rPr>
            </w:pPr>
          </w:p>
          <w:p w:rsidR="002E5EB0" w:rsidRDefault="002E5EB0" w:rsidP="0016543C">
            <w:pPr>
              <w:spacing w:before="80" w:line="500" w:lineRule="exact"/>
              <w:jc w:val="right"/>
              <w:rPr>
                <w:rFonts w:ascii="Tahoma" w:hAnsi="Tahoma" w:cs="Tahoma"/>
                <w:b/>
                <w:bCs/>
                <w:color w:val="243285"/>
                <w:sz w:val="44"/>
                <w:szCs w:val="44"/>
                <w:lang w:val="es-ES_tradnl"/>
              </w:rPr>
            </w:pPr>
            <w:r w:rsidRPr="002E5EB0">
              <w:rPr>
                <w:rFonts w:ascii="Tahoma" w:hAnsi="Tahoma" w:cs="Tahoma"/>
                <w:b/>
                <w:bCs/>
                <w:color w:val="243285"/>
                <w:sz w:val="44"/>
                <w:szCs w:val="44"/>
                <w:lang w:val="es-ES_tradnl"/>
              </w:rPr>
              <w:t>Emisiones no deseadas</w:t>
            </w:r>
            <w:r w:rsidR="0016543C">
              <w:rPr>
                <w:rFonts w:ascii="Tahoma" w:hAnsi="Tahoma" w:cs="Tahoma"/>
                <w:b/>
                <w:bCs/>
                <w:color w:val="243285"/>
                <w:sz w:val="44"/>
                <w:szCs w:val="44"/>
                <w:lang w:val="es-ES_tradnl"/>
              </w:rPr>
              <w:t xml:space="preserve"> en</w:t>
            </w:r>
            <w:r w:rsidR="0016543C">
              <w:rPr>
                <w:rFonts w:ascii="Tahoma" w:hAnsi="Tahoma" w:cs="Tahoma"/>
                <w:b/>
                <w:bCs/>
                <w:color w:val="243285"/>
                <w:sz w:val="44"/>
                <w:szCs w:val="44"/>
                <w:lang w:val="es-ES_tradnl"/>
              </w:rPr>
              <w:br/>
              <w:t xml:space="preserve"> </w:t>
            </w:r>
            <w:r w:rsidRPr="002E5EB0">
              <w:rPr>
                <w:rFonts w:ascii="Tahoma" w:hAnsi="Tahoma" w:cs="Tahoma"/>
                <w:b/>
                <w:bCs/>
                <w:color w:val="243285"/>
                <w:sz w:val="44"/>
                <w:szCs w:val="44"/>
                <w:lang w:val="es-ES_tradnl"/>
              </w:rPr>
              <w:t>el dominio no esencial</w:t>
            </w:r>
          </w:p>
          <w:p w:rsidR="002E5EB0" w:rsidRPr="0010336F" w:rsidRDefault="002E5EB0" w:rsidP="000C144E">
            <w:pPr>
              <w:spacing w:before="80" w:line="500" w:lineRule="exact"/>
              <w:jc w:val="right"/>
              <w:rPr>
                <w:rFonts w:ascii="Tahoma" w:hAnsi="Tahoma" w:cs="Tahoma"/>
                <w:b/>
                <w:bCs/>
                <w:iCs/>
                <w:color w:val="243285"/>
                <w:sz w:val="44"/>
                <w:szCs w:val="44"/>
                <w:lang w:val="es-ES_tradnl"/>
              </w:rPr>
            </w:pPr>
          </w:p>
        </w:tc>
      </w:tr>
      <w:tr w:rsidR="002E5EB0" w:rsidRPr="00DD03A6" w:rsidTr="000C144E">
        <w:tc>
          <w:tcPr>
            <w:tcW w:w="10089" w:type="dxa"/>
          </w:tcPr>
          <w:p w:rsidR="002E5EB0" w:rsidRPr="0010336F" w:rsidRDefault="002E5EB0" w:rsidP="000C144E">
            <w:pPr>
              <w:spacing w:before="80" w:line="280" w:lineRule="exact"/>
              <w:ind w:right="640"/>
              <w:rPr>
                <w:rFonts w:ascii="Tahoma" w:hAnsi="Tahoma" w:cs="Tahoma"/>
                <w:b/>
                <w:bCs/>
                <w:iCs/>
                <w:color w:val="243285"/>
                <w:sz w:val="32"/>
                <w:szCs w:val="32"/>
                <w:lang w:val="es-ES_tradnl"/>
              </w:rPr>
            </w:pPr>
          </w:p>
          <w:p w:rsidR="002E5EB0" w:rsidRPr="0010336F" w:rsidRDefault="002E5EB0" w:rsidP="000C144E">
            <w:pPr>
              <w:spacing w:before="80" w:line="280" w:lineRule="exact"/>
              <w:ind w:right="640"/>
              <w:rPr>
                <w:rFonts w:ascii="Tahoma" w:hAnsi="Tahoma" w:cs="Tahoma"/>
                <w:b/>
                <w:bCs/>
                <w:iCs/>
                <w:color w:val="243285"/>
                <w:sz w:val="32"/>
                <w:szCs w:val="32"/>
                <w:lang w:val="es-ES_tradnl"/>
              </w:rPr>
            </w:pPr>
          </w:p>
          <w:p w:rsidR="002E5EB0" w:rsidRPr="0010336F" w:rsidRDefault="002E5EB0" w:rsidP="000C144E">
            <w:pPr>
              <w:spacing w:before="80" w:after="180" w:line="360" w:lineRule="exact"/>
              <w:ind w:right="720"/>
              <w:rPr>
                <w:rFonts w:ascii="Tahoma" w:hAnsi="Tahoma" w:cs="Tahoma"/>
                <w:b/>
                <w:bCs/>
                <w:iCs/>
                <w:color w:val="243285"/>
                <w:sz w:val="36"/>
                <w:szCs w:val="36"/>
                <w:lang w:val="es-ES_tradnl"/>
              </w:rPr>
            </w:pPr>
          </w:p>
          <w:p w:rsidR="002E5EB0" w:rsidRPr="0010336F" w:rsidRDefault="002E5EB0" w:rsidP="000C144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2E5EB0" w:rsidRPr="0010336F" w:rsidRDefault="002E5EB0" w:rsidP="000C144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2E5EB0" w:rsidRPr="0026666F" w:rsidRDefault="002E5EB0" w:rsidP="000C144E">
      <w:pPr>
        <w:spacing w:before="80"/>
        <w:rPr>
          <w:i/>
          <w:sz w:val="22"/>
          <w:lang w:val="es-ES_tradnl"/>
        </w:rPr>
      </w:pPr>
    </w:p>
    <w:p w:rsidR="002E5EB0" w:rsidRPr="0026666F" w:rsidRDefault="002E5EB0" w:rsidP="000C144E">
      <w:pPr>
        <w:spacing w:before="80"/>
        <w:rPr>
          <w:i/>
          <w:sz w:val="22"/>
          <w:lang w:val="es-ES_tradnl"/>
        </w:rPr>
      </w:pPr>
    </w:p>
    <w:p w:rsidR="002E5EB0" w:rsidRPr="0026666F" w:rsidRDefault="002E5EB0" w:rsidP="000C144E">
      <w:pPr>
        <w:spacing w:before="80"/>
        <w:rPr>
          <w:i/>
          <w:sz w:val="22"/>
          <w:lang w:val="es-ES_tradnl"/>
        </w:rPr>
      </w:pPr>
    </w:p>
    <w:p w:rsidR="002E5EB0" w:rsidRPr="0026666F" w:rsidRDefault="002E5EB0" w:rsidP="000C144E">
      <w:pPr>
        <w:spacing w:before="80"/>
        <w:rPr>
          <w:i/>
          <w:sz w:val="22"/>
          <w:lang w:val="es-ES_tradnl"/>
        </w:rPr>
      </w:pPr>
    </w:p>
    <w:p w:rsidR="002E5EB0" w:rsidRPr="0026666F" w:rsidRDefault="002E5EB0" w:rsidP="000C144E">
      <w:pPr>
        <w:spacing w:before="80"/>
        <w:rPr>
          <w:i/>
          <w:sz w:val="22"/>
          <w:lang w:val="es-ES_tradnl"/>
        </w:rPr>
      </w:pPr>
    </w:p>
    <w:p w:rsidR="002E5EB0" w:rsidRPr="0026666F" w:rsidRDefault="002E5EB0" w:rsidP="000C144E">
      <w:pPr>
        <w:spacing w:before="80"/>
        <w:rPr>
          <w:i/>
          <w:sz w:val="22"/>
          <w:lang w:val="es-ES_tradnl"/>
        </w:rPr>
      </w:pPr>
    </w:p>
    <w:p w:rsidR="002E5EB0" w:rsidRPr="0026666F" w:rsidRDefault="002E5EB0" w:rsidP="000C144E">
      <w:pPr>
        <w:pStyle w:val="Equation"/>
        <w:tabs>
          <w:tab w:val="clear" w:pos="4820"/>
          <w:tab w:val="clear" w:pos="9639"/>
          <w:tab w:val="left" w:pos="1191"/>
          <w:tab w:val="left" w:pos="1588"/>
          <w:tab w:val="left" w:pos="1985"/>
        </w:tabs>
        <w:rPr>
          <w:rFonts w:ascii="Palatino Linotype" w:hAnsi="Palatino Linotype"/>
          <w:lang w:val="es-ES_tradnl"/>
        </w:rPr>
        <w:sectPr w:rsidR="002E5EB0" w:rsidRPr="0026666F" w:rsidSect="000C144E">
          <w:headerReference w:type="even" r:id="rId9"/>
          <w:headerReference w:type="default" r:id="rId10"/>
          <w:pgSz w:w="11907" w:h="16834" w:code="9"/>
          <w:pgMar w:top="1418" w:right="1134" w:bottom="1134" w:left="1134" w:header="720" w:footer="482" w:gutter="0"/>
          <w:paperSrc w:first="15" w:other="15"/>
          <w:cols w:space="720"/>
        </w:sectPr>
      </w:pPr>
    </w:p>
    <w:p w:rsidR="002E5EB0" w:rsidRPr="006C718C" w:rsidRDefault="002E5EB0" w:rsidP="000C14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E5EB0" w:rsidRPr="006C718C" w:rsidRDefault="002E5EB0" w:rsidP="000C144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E5EB0" w:rsidRPr="006C718C" w:rsidRDefault="002E5EB0" w:rsidP="000C144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E5EB0" w:rsidRPr="00021E8A" w:rsidRDefault="002E5EB0" w:rsidP="000C144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E5EB0" w:rsidRPr="00021E8A" w:rsidRDefault="002E5EB0" w:rsidP="000C144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E5EB0" w:rsidRPr="007C36CA" w:rsidRDefault="002E5EB0" w:rsidP="000C144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E5EB0" w:rsidRPr="00DD03A6" w:rsidTr="000C144E">
        <w:tc>
          <w:tcPr>
            <w:tcW w:w="9360" w:type="dxa"/>
            <w:gridSpan w:val="2"/>
          </w:tcPr>
          <w:p w:rsidR="002E5EB0" w:rsidRPr="00021E8A" w:rsidRDefault="002E5EB0" w:rsidP="000C144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E5EB0" w:rsidRPr="00763D08" w:rsidRDefault="002E5EB0" w:rsidP="000C14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E5EB0" w:rsidRPr="00036EE3" w:rsidTr="000C144E">
        <w:tc>
          <w:tcPr>
            <w:tcW w:w="1140" w:type="dxa"/>
            <w:tcBorders>
              <w:bottom w:val="nil"/>
            </w:tcBorders>
          </w:tcPr>
          <w:p w:rsidR="002E5EB0" w:rsidRPr="00036EE3" w:rsidRDefault="002E5EB0" w:rsidP="000C144E">
            <w:pPr>
              <w:spacing w:before="180" w:after="100"/>
              <w:ind w:left="57"/>
              <w:rPr>
                <w:b/>
                <w:bCs/>
                <w:sz w:val="20"/>
                <w:lang w:val="en-US"/>
              </w:rPr>
            </w:pPr>
            <w:r w:rsidRPr="00036EE3">
              <w:rPr>
                <w:b/>
                <w:bCs/>
                <w:sz w:val="20"/>
                <w:lang w:val="en-US"/>
              </w:rPr>
              <w:t>Series</w:t>
            </w:r>
          </w:p>
        </w:tc>
        <w:tc>
          <w:tcPr>
            <w:tcW w:w="8220" w:type="dxa"/>
            <w:tcBorders>
              <w:bottom w:val="nil"/>
            </w:tcBorders>
          </w:tcPr>
          <w:p w:rsidR="002E5EB0" w:rsidRPr="00036EE3" w:rsidRDefault="002E5EB0" w:rsidP="000C14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E5EB0" w:rsidRPr="004532F7" w:rsidTr="000C144E">
        <w:tc>
          <w:tcPr>
            <w:tcW w:w="1140" w:type="dxa"/>
            <w:tcBorders>
              <w:top w:val="nil"/>
              <w:bottom w:val="nil"/>
            </w:tcBorders>
            <w:shd w:val="clear" w:color="auto" w:fill="auto"/>
          </w:tcPr>
          <w:p w:rsidR="002E5EB0" w:rsidRPr="004532F7" w:rsidRDefault="002E5EB0" w:rsidP="000C144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E5EB0" w:rsidRPr="004532F7" w:rsidRDefault="002E5EB0" w:rsidP="000C14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E5EB0" w:rsidRPr="00DD03A6" w:rsidTr="000C144E">
        <w:tc>
          <w:tcPr>
            <w:tcW w:w="1140" w:type="dxa"/>
            <w:tcBorders>
              <w:top w:val="nil"/>
              <w:bottom w:val="nil"/>
            </w:tcBorders>
            <w:shd w:val="clear" w:color="auto" w:fill="auto"/>
          </w:tcPr>
          <w:p w:rsidR="002E5EB0" w:rsidRPr="006B22C3" w:rsidRDefault="002E5EB0" w:rsidP="000C144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E5EB0" w:rsidRPr="006B22C3" w:rsidRDefault="002E5EB0" w:rsidP="000C14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E5EB0" w:rsidRPr="00847DD5" w:rsidTr="000C144E">
        <w:tc>
          <w:tcPr>
            <w:tcW w:w="1140" w:type="dxa"/>
            <w:tcBorders>
              <w:top w:val="nil"/>
              <w:bottom w:val="nil"/>
            </w:tcBorders>
            <w:shd w:val="clear" w:color="auto" w:fill="auto"/>
          </w:tcPr>
          <w:p w:rsidR="002E5EB0" w:rsidRPr="00847DD5" w:rsidRDefault="002E5EB0" w:rsidP="000C144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E5EB0" w:rsidRPr="00847DD5" w:rsidRDefault="002E5EB0" w:rsidP="000C14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2E5EB0" w:rsidRPr="00ED2695" w:rsidTr="000C144E">
        <w:tc>
          <w:tcPr>
            <w:tcW w:w="1140" w:type="dxa"/>
            <w:tcBorders>
              <w:top w:val="nil"/>
              <w:bottom w:val="nil"/>
            </w:tcBorders>
            <w:shd w:val="clear" w:color="auto" w:fill="auto"/>
          </w:tcPr>
          <w:p w:rsidR="002E5EB0" w:rsidRPr="00ED2695" w:rsidRDefault="002E5EB0" w:rsidP="000C144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E5EB0" w:rsidRPr="00021E8A" w:rsidRDefault="002E5EB0" w:rsidP="000C14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E5EB0" w:rsidRPr="00366CEE" w:rsidTr="000C144E">
        <w:tc>
          <w:tcPr>
            <w:tcW w:w="1140" w:type="dxa"/>
            <w:tcBorders>
              <w:top w:val="nil"/>
              <w:bottom w:val="nil"/>
            </w:tcBorders>
            <w:shd w:val="clear" w:color="auto" w:fill="auto"/>
          </w:tcPr>
          <w:p w:rsidR="002E5EB0" w:rsidRPr="00366CEE" w:rsidRDefault="002E5EB0" w:rsidP="000C144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E5EB0" w:rsidRPr="00366CEE" w:rsidRDefault="002E5EB0" w:rsidP="000C14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2E5EB0" w:rsidRPr="00DD03A6" w:rsidTr="000C144E">
        <w:tc>
          <w:tcPr>
            <w:tcW w:w="1140" w:type="dxa"/>
            <w:tcBorders>
              <w:top w:val="nil"/>
              <w:bottom w:val="nil"/>
            </w:tcBorders>
            <w:shd w:val="clear" w:color="auto" w:fill="auto"/>
          </w:tcPr>
          <w:p w:rsidR="002E5EB0" w:rsidRPr="00955A33" w:rsidRDefault="002E5EB0" w:rsidP="000C144E">
            <w:pPr>
              <w:spacing w:before="30" w:after="30"/>
              <w:ind w:left="57"/>
              <w:jc w:val="left"/>
              <w:rPr>
                <w:rFonts w:hAnsi="Times New Roman Bold"/>
                <w:b/>
                <w:bCs/>
                <w:sz w:val="20"/>
                <w:lang w:val="en-US"/>
              </w:rPr>
            </w:pPr>
            <w:r w:rsidRPr="00955A33">
              <w:rPr>
                <w:rFonts w:hAnsi="Times New Roman Bold"/>
                <w:b/>
                <w:bCs/>
                <w:sz w:val="20"/>
                <w:lang w:val="en-US"/>
              </w:rPr>
              <w:t>M</w:t>
            </w:r>
          </w:p>
        </w:tc>
        <w:tc>
          <w:tcPr>
            <w:tcW w:w="8220" w:type="dxa"/>
            <w:tcBorders>
              <w:top w:val="nil"/>
              <w:bottom w:val="nil"/>
            </w:tcBorders>
            <w:shd w:val="clear" w:color="auto" w:fill="auto"/>
          </w:tcPr>
          <w:p w:rsidR="002E5EB0" w:rsidRPr="00955A33" w:rsidRDefault="002E5EB0" w:rsidP="00955A33">
            <w:pPr>
              <w:pStyle w:val="Tabletext"/>
              <w:rPr>
                <w:sz w:val="20"/>
                <w:lang w:val="es-ES_tradnl"/>
              </w:rPr>
            </w:pPr>
            <w:r w:rsidRPr="00955A33">
              <w:rPr>
                <w:sz w:val="20"/>
                <w:lang w:val="es-ES_tradnl"/>
              </w:rPr>
              <w:t>Servicios móviles, de radiodeterminación, de aficionados y otros servicios por satélite conexos</w:t>
            </w:r>
          </w:p>
        </w:tc>
      </w:tr>
      <w:tr w:rsidR="002E5EB0" w:rsidRPr="00DD03A6" w:rsidTr="000C144E">
        <w:tc>
          <w:tcPr>
            <w:tcW w:w="1140" w:type="dxa"/>
            <w:tcBorders>
              <w:top w:val="nil"/>
              <w:bottom w:val="nil"/>
            </w:tcBorders>
            <w:shd w:val="clear" w:color="auto" w:fill="auto"/>
          </w:tcPr>
          <w:p w:rsidR="002E5EB0" w:rsidRPr="00F95576" w:rsidRDefault="002E5EB0" w:rsidP="000C144E">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2E5EB0" w:rsidRPr="00F95576" w:rsidRDefault="002E5EB0" w:rsidP="000C144E">
            <w:pPr>
              <w:spacing w:before="30" w:after="30"/>
              <w:jc w:val="left"/>
              <w:rPr>
                <w:sz w:val="20"/>
                <w:lang w:val="es-ES_tradnl"/>
              </w:rPr>
            </w:pPr>
            <w:r w:rsidRPr="00F95576">
              <w:rPr>
                <w:sz w:val="20"/>
                <w:lang w:val="es-ES_tradnl"/>
              </w:rPr>
              <w:t>Propagación de las ondas radioeléctricas</w:t>
            </w:r>
          </w:p>
        </w:tc>
      </w:tr>
      <w:tr w:rsidR="002E5EB0" w:rsidRPr="00DE71F7" w:rsidTr="000C144E">
        <w:tc>
          <w:tcPr>
            <w:tcW w:w="1140" w:type="dxa"/>
            <w:tcBorders>
              <w:top w:val="nil"/>
              <w:bottom w:val="nil"/>
            </w:tcBorders>
            <w:shd w:val="clear" w:color="auto" w:fill="auto"/>
          </w:tcPr>
          <w:p w:rsidR="002E5EB0" w:rsidRPr="00DE71F7" w:rsidRDefault="002E5EB0" w:rsidP="000C144E">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2E5EB0" w:rsidRPr="00DE71F7" w:rsidRDefault="00E41EA3" w:rsidP="000C14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002E5EB0" w:rsidRPr="00DE71F7">
              <w:rPr>
                <w:sz w:val="20"/>
              </w:rPr>
              <w:t>astronomía</w:t>
            </w:r>
          </w:p>
        </w:tc>
      </w:tr>
      <w:tr w:rsidR="002E5EB0" w:rsidRPr="00DD03A6" w:rsidTr="000C144E">
        <w:tc>
          <w:tcPr>
            <w:tcW w:w="1140" w:type="dxa"/>
            <w:tcBorders>
              <w:top w:val="nil"/>
              <w:bottom w:val="nil"/>
            </w:tcBorders>
            <w:shd w:val="clear" w:color="auto" w:fill="auto"/>
          </w:tcPr>
          <w:p w:rsidR="002E5EB0" w:rsidRPr="00D12388" w:rsidRDefault="002E5EB0" w:rsidP="000C144E">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2E5EB0" w:rsidRPr="00D12388" w:rsidRDefault="002E5EB0" w:rsidP="000C14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2E5EB0" w:rsidRPr="00025336" w:rsidTr="000C144E">
        <w:tc>
          <w:tcPr>
            <w:tcW w:w="1140" w:type="dxa"/>
            <w:tcBorders>
              <w:top w:val="nil"/>
              <w:bottom w:val="nil"/>
            </w:tcBorders>
            <w:shd w:val="clear" w:color="auto" w:fill="auto"/>
          </w:tcPr>
          <w:p w:rsidR="002E5EB0" w:rsidRPr="00025336" w:rsidRDefault="002E5EB0" w:rsidP="000C144E">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2E5EB0" w:rsidRPr="00025336" w:rsidRDefault="002E5EB0" w:rsidP="000C144E">
            <w:pPr>
              <w:spacing w:before="30" w:after="30"/>
              <w:jc w:val="left"/>
              <w:rPr>
                <w:sz w:val="20"/>
                <w:lang w:val="en-US"/>
              </w:rPr>
            </w:pPr>
            <w:r w:rsidRPr="00025336">
              <w:rPr>
                <w:sz w:val="20"/>
              </w:rPr>
              <w:t>Servicio fijo por satélite</w:t>
            </w:r>
          </w:p>
        </w:tc>
      </w:tr>
      <w:tr w:rsidR="002E5EB0" w:rsidRPr="00975AEB" w:rsidTr="000C144E">
        <w:tc>
          <w:tcPr>
            <w:tcW w:w="1140" w:type="dxa"/>
            <w:tcBorders>
              <w:top w:val="nil"/>
              <w:bottom w:val="nil"/>
            </w:tcBorders>
            <w:shd w:val="clear" w:color="auto" w:fill="auto"/>
          </w:tcPr>
          <w:p w:rsidR="002E5EB0" w:rsidRPr="00975AEB" w:rsidRDefault="002E5EB0" w:rsidP="000C144E">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2E5EB0" w:rsidRPr="00975AEB" w:rsidRDefault="002E5EB0" w:rsidP="000C144E">
            <w:pPr>
              <w:spacing w:before="30" w:after="30"/>
              <w:jc w:val="left"/>
              <w:rPr>
                <w:sz w:val="20"/>
                <w:lang w:val="en-US"/>
              </w:rPr>
            </w:pPr>
            <w:r w:rsidRPr="00975AEB">
              <w:rPr>
                <w:sz w:val="20"/>
              </w:rPr>
              <w:t>Aplicaciones espaciales y meteorología</w:t>
            </w:r>
          </w:p>
        </w:tc>
      </w:tr>
      <w:tr w:rsidR="002E5EB0" w:rsidRPr="00DD03A6" w:rsidTr="000C144E">
        <w:tc>
          <w:tcPr>
            <w:tcW w:w="1140" w:type="dxa"/>
            <w:tcBorders>
              <w:top w:val="nil"/>
              <w:bottom w:val="nil"/>
            </w:tcBorders>
            <w:shd w:val="clear" w:color="auto" w:fill="auto"/>
          </w:tcPr>
          <w:p w:rsidR="002E5EB0" w:rsidRPr="00746AC6" w:rsidRDefault="002E5EB0" w:rsidP="000C144E">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2E5EB0" w:rsidRPr="00746AC6" w:rsidRDefault="002E5EB0" w:rsidP="000C144E">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2E5EB0" w:rsidRPr="00746AC6" w:rsidTr="000C144E">
        <w:tc>
          <w:tcPr>
            <w:tcW w:w="1140" w:type="dxa"/>
            <w:tcBorders>
              <w:top w:val="nil"/>
              <w:bottom w:val="nil"/>
            </w:tcBorders>
            <w:shd w:val="clear" w:color="auto" w:fill="F3F3F3"/>
          </w:tcPr>
          <w:p w:rsidR="002E5EB0" w:rsidRPr="00746AC6" w:rsidRDefault="002E5EB0" w:rsidP="000C144E">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2E5EB0" w:rsidRPr="00746AC6" w:rsidRDefault="002E5EB0" w:rsidP="000C144E">
            <w:pPr>
              <w:spacing w:before="30" w:after="30"/>
              <w:jc w:val="left"/>
              <w:rPr>
                <w:b/>
                <w:bCs/>
                <w:color w:val="000080"/>
                <w:sz w:val="20"/>
                <w:lang w:val="en-US"/>
              </w:rPr>
            </w:pPr>
            <w:r w:rsidRPr="00746AC6">
              <w:rPr>
                <w:b/>
                <w:bCs/>
                <w:color w:val="000080"/>
                <w:sz w:val="20"/>
              </w:rPr>
              <w:t>Gestión del espectro</w:t>
            </w:r>
          </w:p>
        </w:tc>
      </w:tr>
      <w:tr w:rsidR="002E5EB0" w:rsidRPr="00036EE3" w:rsidTr="000C144E">
        <w:tc>
          <w:tcPr>
            <w:tcW w:w="1140" w:type="dxa"/>
            <w:tcBorders>
              <w:top w:val="nil"/>
            </w:tcBorders>
          </w:tcPr>
          <w:p w:rsidR="002E5EB0" w:rsidRPr="00036EE3" w:rsidRDefault="002E5EB0" w:rsidP="000C144E">
            <w:pPr>
              <w:spacing w:before="30" w:after="30"/>
              <w:ind w:left="57"/>
              <w:jc w:val="left"/>
              <w:rPr>
                <w:b/>
                <w:bCs/>
                <w:sz w:val="20"/>
                <w:lang w:val="en-US"/>
              </w:rPr>
            </w:pPr>
            <w:r w:rsidRPr="00036EE3">
              <w:rPr>
                <w:b/>
                <w:bCs/>
                <w:sz w:val="20"/>
                <w:lang w:val="en-US"/>
              </w:rPr>
              <w:t>SNG</w:t>
            </w:r>
          </w:p>
        </w:tc>
        <w:tc>
          <w:tcPr>
            <w:tcW w:w="8220" w:type="dxa"/>
            <w:tcBorders>
              <w:top w:val="nil"/>
            </w:tcBorders>
          </w:tcPr>
          <w:p w:rsidR="002E5EB0" w:rsidRPr="00021E8A" w:rsidRDefault="002E5EB0" w:rsidP="000C144E">
            <w:pPr>
              <w:spacing w:before="30" w:after="30"/>
              <w:jc w:val="left"/>
              <w:rPr>
                <w:bCs/>
                <w:sz w:val="20"/>
                <w:lang w:val="en-US"/>
              </w:rPr>
            </w:pPr>
            <w:r w:rsidRPr="00021E8A">
              <w:rPr>
                <w:bCs/>
                <w:sz w:val="20"/>
              </w:rPr>
              <w:t>Periodismo electrónico por satélite</w:t>
            </w:r>
          </w:p>
        </w:tc>
      </w:tr>
      <w:tr w:rsidR="002E5EB0" w:rsidRPr="00DD03A6" w:rsidTr="000C144E">
        <w:tc>
          <w:tcPr>
            <w:tcW w:w="1140" w:type="dxa"/>
          </w:tcPr>
          <w:p w:rsidR="002E5EB0" w:rsidRPr="00036EE3" w:rsidRDefault="002E5EB0" w:rsidP="000C144E">
            <w:pPr>
              <w:spacing w:before="30" w:after="30"/>
              <w:ind w:left="57"/>
              <w:jc w:val="left"/>
              <w:rPr>
                <w:b/>
                <w:bCs/>
                <w:sz w:val="20"/>
                <w:lang w:val="en-US"/>
              </w:rPr>
            </w:pPr>
            <w:r w:rsidRPr="00036EE3">
              <w:rPr>
                <w:b/>
                <w:bCs/>
                <w:sz w:val="20"/>
                <w:lang w:val="en-US"/>
              </w:rPr>
              <w:t>TF</w:t>
            </w:r>
          </w:p>
        </w:tc>
        <w:tc>
          <w:tcPr>
            <w:tcW w:w="8220" w:type="dxa"/>
          </w:tcPr>
          <w:p w:rsidR="002E5EB0" w:rsidRPr="00021E8A" w:rsidRDefault="002E5EB0" w:rsidP="000C144E">
            <w:pPr>
              <w:spacing w:before="30" w:after="30"/>
              <w:jc w:val="left"/>
              <w:rPr>
                <w:bCs/>
                <w:sz w:val="20"/>
                <w:lang w:val="es-ES_tradnl"/>
              </w:rPr>
            </w:pPr>
            <w:r w:rsidRPr="00021E8A">
              <w:rPr>
                <w:bCs/>
                <w:sz w:val="20"/>
                <w:lang w:val="es-ES_tradnl"/>
              </w:rPr>
              <w:t>Emisiones de frecuencias patrón y señales horarias</w:t>
            </w:r>
          </w:p>
        </w:tc>
      </w:tr>
      <w:tr w:rsidR="002E5EB0" w:rsidRPr="00036EE3" w:rsidTr="000C144E">
        <w:tc>
          <w:tcPr>
            <w:tcW w:w="1140" w:type="dxa"/>
          </w:tcPr>
          <w:p w:rsidR="002E5EB0" w:rsidRPr="00036EE3" w:rsidRDefault="002E5EB0" w:rsidP="000C144E">
            <w:pPr>
              <w:spacing w:before="30" w:after="30"/>
              <w:ind w:left="57"/>
              <w:jc w:val="left"/>
              <w:rPr>
                <w:b/>
                <w:bCs/>
                <w:sz w:val="20"/>
                <w:lang w:val="en-US"/>
              </w:rPr>
            </w:pPr>
            <w:r w:rsidRPr="00036EE3">
              <w:rPr>
                <w:b/>
                <w:bCs/>
                <w:sz w:val="20"/>
                <w:lang w:val="en-US"/>
              </w:rPr>
              <w:t>V</w:t>
            </w:r>
          </w:p>
        </w:tc>
        <w:tc>
          <w:tcPr>
            <w:tcW w:w="8220" w:type="dxa"/>
          </w:tcPr>
          <w:p w:rsidR="002E5EB0" w:rsidRPr="00021E8A" w:rsidRDefault="002E5EB0" w:rsidP="000C144E">
            <w:pPr>
              <w:spacing w:before="30" w:after="140"/>
              <w:jc w:val="left"/>
              <w:rPr>
                <w:bCs/>
                <w:sz w:val="20"/>
                <w:lang w:val="en-US"/>
              </w:rPr>
            </w:pPr>
            <w:r w:rsidRPr="00021E8A">
              <w:rPr>
                <w:bCs/>
                <w:sz w:val="20"/>
              </w:rPr>
              <w:t>Vocabulario y cuestiones afines</w:t>
            </w:r>
          </w:p>
        </w:tc>
      </w:tr>
    </w:tbl>
    <w:p w:rsidR="002E5EB0" w:rsidRPr="00036EE3" w:rsidRDefault="002E5EB0" w:rsidP="000C144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E5EB0" w:rsidTr="000C144E">
        <w:tc>
          <w:tcPr>
            <w:tcW w:w="720" w:type="dxa"/>
          </w:tcPr>
          <w:p w:rsidR="002E5EB0" w:rsidRDefault="002E5EB0" w:rsidP="000C144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E5EB0" w:rsidRPr="00DD03A6" w:rsidTr="000C144E">
        <w:tc>
          <w:tcPr>
            <w:tcW w:w="9360" w:type="dxa"/>
          </w:tcPr>
          <w:p w:rsidR="002E5EB0" w:rsidRPr="00763D08" w:rsidRDefault="002E5EB0" w:rsidP="000C144E">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E5EB0" w:rsidRPr="00763D08" w:rsidRDefault="002E5EB0" w:rsidP="000C144E">
      <w:pPr>
        <w:spacing w:before="0"/>
        <w:jc w:val="center"/>
        <w:rPr>
          <w:sz w:val="22"/>
          <w:lang w:val="es-ES_tradnl"/>
        </w:rPr>
      </w:pPr>
    </w:p>
    <w:p w:rsidR="002E5EB0" w:rsidRPr="00763D08" w:rsidRDefault="002E5EB0" w:rsidP="000C144E">
      <w:pPr>
        <w:spacing w:before="60"/>
        <w:jc w:val="right"/>
        <w:rPr>
          <w:i/>
          <w:iCs/>
          <w:sz w:val="20"/>
          <w:lang w:val="es-ES_tradnl"/>
        </w:rPr>
      </w:pPr>
      <w:r w:rsidRPr="00763D08">
        <w:rPr>
          <w:i/>
          <w:iCs/>
          <w:sz w:val="20"/>
          <w:lang w:val="es-ES_tradnl"/>
        </w:rPr>
        <w:t>Publicación electrónica</w:t>
      </w:r>
    </w:p>
    <w:p w:rsidR="002E5EB0" w:rsidRPr="00763D08" w:rsidRDefault="002E5EB0" w:rsidP="000C144E">
      <w:pPr>
        <w:spacing w:before="0" w:after="40"/>
        <w:jc w:val="right"/>
        <w:rPr>
          <w:sz w:val="20"/>
          <w:lang w:val="es-ES_tradnl"/>
        </w:rPr>
      </w:pPr>
      <w:r w:rsidRPr="00763D08">
        <w:rPr>
          <w:sz w:val="20"/>
          <w:lang w:val="es-ES_tradnl"/>
        </w:rPr>
        <w:t>Ginebra, 20</w:t>
      </w:r>
      <w:r>
        <w:rPr>
          <w:sz w:val="20"/>
          <w:lang w:val="es-ES_tradnl"/>
        </w:rPr>
        <w:t>11</w:t>
      </w:r>
    </w:p>
    <w:p w:rsidR="002E5EB0" w:rsidRPr="00763D08" w:rsidRDefault="002E5EB0" w:rsidP="000C144E">
      <w:pPr>
        <w:spacing w:before="0"/>
        <w:jc w:val="center"/>
        <w:rPr>
          <w:sz w:val="22"/>
          <w:lang w:val="es-ES_tradnl"/>
        </w:rPr>
      </w:pPr>
    </w:p>
    <w:p w:rsidR="002E5EB0" w:rsidRPr="00763D08" w:rsidRDefault="002E5EB0" w:rsidP="000C144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2E5EB0" w:rsidRPr="006C718C" w:rsidRDefault="002E5EB0" w:rsidP="000C144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E5EB0" w:rsidRPr="006C718C" w:rsidRDefault="002E5EB0" w:rsidP="000C144E">
      <w:pPr>
        <w:spacing w:before="160"/>
        <w:rPr>
          <w:i/>
          <w:sz w:val="20"/>
          <w:highlight w:val="yellow"/>
          <w:lang w:val="es-ES_tradnl"/>
        </w:rPr>
        <w:sectPr w:rsidR="002E5EB0" w:rsidRPr="006C718C" w:rsidSect="000C144E">
          <w:headerReference w:type="even" r:id="rId13"/>
          <w:headerReference w:type="default" r:id="rId14"/>
          <w:pgSz w:w="11907" w:h="16834" w:code="9"/>
          <w:pgMar w:top="1418" w:right="1134" w:bottom="1134" w:left="1134" w:header="720" w:footer="482" w:gutter="0"/>
          <w:pgNumType w:fmt="lowerRoman" w:start="2"/>
          <w:cols w:space="720"/>
        </w:sectPr>
      </w:pPr>
    </w:p>
    <w:p w:rsidR="002E5EB0" w:rsidRPr="0010336F" w:rsidRDefault="002E5EB0" w:rsidP="00E41EA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sidR="00E41EA3">
        <w:rPr>
          <w:rStyle w:val="href"/>
          <w:lang w:val="es-ES_tradnl"/>
        </w:rPr>
        <w:t>329-11</w:t>
      </w:r>
    </w:p>
    <w:p w:rsidR="002E5EB0" w:rsidRDefault="002E5EB0" w:rsidP="002E5EB0">
      <w:pPr>
        <w:pStyle w:val="Rectitle"/>
        <w:rPr>
          <w:lang w:val="es-ES"/>
        </w:rPr>
      </w:pPr>
      <w:r>
        <w:rPr>
          <w:lang w:val="es-ES"/>
        </w:rPr>
        <w:t>Emisiones no deseadas en el dominio no esencial</w:t>
      </w:r>
      <w:r w:rsidRPr="00625A12">
        <w:rPr>
          <w:rStyle w:val="FootnoteReference"/>
          <w:b w:val="0"/>
          <w:bCs/>
          <w:lang w:val="es-ES"/>
        </w:rPr>
        <w:footnoteReference w:customMarkFollows="1" w:id="1"/>
        <w:t>*</w:t>
      </w:r>
    </w:p>
    <w:p w:rsidR="002E5EB0" w:rsidRPr="003B4B83" w:rsidRDefault="002E5EB0" w:rsidP="002E5EB0">
      <w:pPr>
        <w:pStyle w:val="Recdate"/>
        <w:spacing w:before="0"/>
        <w:rPr>
          <w:lang w:val="es-ES"/>
        </w:rPr>
      </w:pPr>
    </w:p>
    <w:p w:rsidR="002E5EB0" w:rsidRDefault="002E5EB0" w:rsidP="002E5EB0">
      <w:pPr>
        <w:pStyle w:val="Recdate"/>
        <w:rPr>
          <w:lang w:val="es-ES"/>
        </w:rPr>
      </w:pPr>
      <w:r>
        <w:rPr>
          <w:lang w:val="es-ES"/>
        </w:rPr>
        <w:t>(1951-1953-1956-1959-1963-1966-1970-1978-1982-1986-1990-1997-2000-2001-2003-2011)</w:t>
      </w:r>
    </w:p>
    <w:p w:rsidR="00D11FE4" w:rsidRPr="001C121E" w:rsidRDefault="00D11FE4" w:rsidP="00D11FE4">
      <w:pPr>
        <w:pStyle w:val="Blanc"/>
        <w:rPr>
          <w:lang w:val="es-ES_tradnl"/>
        </w:rPr>
      </w:pPr>
    </w:p>
    <w:p w:rsidR="00D11FE4" w:rsidRDefault="00D11FE4" w:rsidP="00D11FE4">
      <w:pPr>
        <w:pStyle w:val="HeadingSum"/>
      </w:pPr>
      <w:r w:rsidRPr="00ED6AC7">
        <w:t>Cometido</w:t>
      </w:r>
    </w:p>
    <w:p w:rsidR="00D11FE4" w:rsidRDefault="00D11FE4" w:rsidP="00D11FE4">
      <w:pPr>
        <w:pStyle w:val="Summary"/>
      </w:pPr>
      <w:r w:rsidRPr="00ED6AC7">
        <w:t>En la presente Recomendación se facilitan los límites para las emisiones no deseadas en el dominio no esencial, así como métodos de medición de las emisiones en el dominio no esencial.</w:t>
      </w:r>
    </w:p>
    <w:p w:rsidR="002E5EB0" w:rsidRDefault="002E5EB0" w:rsidP="002E5EB0">
      <w:pPr>
        <w:pStyle w:val="Normalaftertitle"/>
        <w:rPr>
          <w:lang w:val="es-ES"/>
        </w:rPr>
      </w:pPr>
      <w:r>
        <w:rPr>
          <w:lang w:val="es-ES"/>
        </w:rPr>
        <w:t>La Asamblea de Radiocomunicaciones de la UIT,</w:t>
      </w:r>
    </w:p>
    <w:p w:rsidR="002E5EB0" w:rsidRDefault="002E5EB0" w:rsidP="002E5EB0">
      <w:pPr>
        <w:pStyle w:val="Call"/>
        <w:rPr>
          <w:lang w:val="es-ES"/>
        </w:rPr>
      </w:pPr>
      <w:r>
        <w:rPr>
          <w:lang w:val="es-ES"/>
        </w:rPr>
        <w:t>considerando</w:t>
      </w:r>
    </w:p>
    <w:p w:rsidR="002E5EB0" w:rsidRDefault="002E5EB0" w:rsidP="002E5EB0">
      <w:pPr>
        <w:rPr>
          <w:lang w:val="es-ES"/>
        </w:rPr>
      </w:pPr>
      <w:r>
        <w:rPr>
          <w:lang w:val="es-ES"/>
        </w:rPr>
        <w:t>a)</w:t>
      </w:r>
      <w:r>
        <w:rPr>
          <w:lang w:val="es-ES"/>
        </w:rPr>
        <w:tab/>
        <w:t xml:space="preserve">que en la Recomendación UIT-R SM.328 figuran definiciones y notas explicativas que se deben utilizar cuando se traten aspectos de anchura de banda, separación de canales e interferencia; cuando se distingue entre emisiones fuera de banda y emisiones no esenciales, y cuando se especifican límites para las emisiones </w:t>
      </w:r>
      <w:r>
        <w:rPr>
          <w:rFonts w:ascii="Times" w:hAnsi="Times"/>
          <w:lang w:val="es-ES"/>
        </w:rPr>
        <w:t xml:space="preserve">en el dominio </w:t>
      </w:r>
      <w:r>
        <w:rPr>
          <w:lang w:val="es-ES"/>
        </w:rPr>
        <w:t>fuera de banda;</w:t>
      </w:r>
    </w:p>
    <w:p w:rsidR="002E5EB0" w:rsidRDefault="002E5EB0" w:rsidP="002E5EB0">
      <w:pPr>
        <w:rPr>
          <w:lang w:val="es-ES"/>
        </w:rPr>
      </w:pPr>
      <w:r>
        <w:rPr>
          <w:lang w:val="es-ES"/>
        </w:rPr>
        <w:t>b)</w:t>
      </w:r>
      <w:r>
        <w:rPr>
          <w:lang w:val="es-ES"/>
        </w:rPr>
        <w:tab/>
        <w:t>que una dificultad que se presenta para aplicar los límites de las emisiones no deseadas en el dominio no esencial es conocer con precisión el valor de la anchura de banda necesaria y exactamente en qué porción del espectro deben comenzar a aplicarse los límites del dominio no esencial, en particular para servicios que utilizan emisiones de banda ancha o con modulación digital que pueden tener componentes no esenciales discretos y con características de ruido;</w:t>
      </w:r>
    </w:p>
    <w:p w:rsidR="002E5EB0" w:rsidRDefault="002E5EB0" w:rsidP="002E5EB0">
      <w:pPr>
        <w:rPr>
          <w:lang w:val="es-ES"/>
        </w:rPr>
      </w:pPr>
      <w:r>
        <w:rPr>
          <w:lang w:val="es-ES"/>
        </w:rPr>
        <w:t>c)</w:t>
      </w:r>
      <w:r>
        <w:rPr>
          <w:lang w:val="es-ES"/>
        </w:rPr>
        <w:tab/>
        <w:t>que es necesario limitar el nivel máximo admitido de las emisiones</w:t>
      </w:r>
      <w:r>
        <w:rPr>
          <w:rStyle w:val="FootnoteReference"/>
          <w:sz w:val="16"/>
          <w:lang w:val="es-ES"/>
        </w:rPr>
        <w:footnoteReference w:customMarkFollows="1" w:id="2"/>
        <w:t>1</w:t>
      </w:r>
      <w:r>
        <w:rPr>
          <w:lang w:val="es-ES"/>
        </w:rPr>
        <w:t xml:space="preserve"> en el dominio no esencial a la frecuencia, o frecuencias, de cada emisión en el dominio no esencial para proteger todos los servicios de radiocomunicaciones;</w:t>
      </w:r>
    </w:p>
    <w:p w:rsidR="002E5EB0" w:rsidRDefault="002E5EB0" w:rsidP="002E5EB0">
      <w:pPr>
        <w:rPr>
          <w:lang w:val="es-ES"/>
        </w:rPr>
      </w:pPr>
      <w:r>
        <w:rPr>
          <w:lang w:val="es-ES"/>
        </w:rPr>
        <w:t>d)</w:t>
      </w:r>
      <w:r>
        <w:rPr>
          <w:lang w:val="es-ES"/>
        </w:rPr>
        <w:tab/>
        <w:t>que los límites estrictos pueden conducir a un aumento de tamaño o complejidad de los equipos radioeléctricos, pero incrementarán en general la protección de otros servicios de radiocomunicaciones contra la interferencia;</w:t>
      </w:r>
    </w:p>
    <w:p w:rsidR="002E5EB0" w:rsidRDefault="002E5EB0" w:rsidP="002E5EB0">
      <w:pPr>
        <w:rPr>
          <w:lang w:val="es-ES"/>
        </w:rPr>
      </w:pPr>
      <w:r>
        <w:rPr>
          <w:lang w:val="es-ES"/>
        </w:rPr>
        <w:t>e)</w:t>
      </w:r>
      <w:r>
        <w:rPr>
          <w:lang w:val="es-ES"/>
        </w:rPr>
        <w:tab/>
        <w:t xml:space="preserve">que deberá hacerse el mayor esfuerzo posible para que los límites de las emisiones </w:t>
      </w:r>
      <w:r>
        <w:rPr>
          <w:rFonts w:ascii="Times" w:hAnsi="Times"/>
          <w:lang w:val="es-ES"/>
        </w:rPr>
        <w:t xml:space="preserve">no deseadas </w:t>
      </w:r>
      <w:r>
        <w:rPr>
          <w:lang w:val="es-ES"/>
        </w:rPr>
        <w:t>en los dominios fuera de banda y no esencial, para los servicios nuevos y existentes, se mantengan en los valores más bajos posibles teniendo en cuenta el tipo y naturaleza de los servicios de radiocomunicaciones que intervienen, los factores económicos, y las limitaciones tecnológicas, así como la dificultad de suprimir las emisiones armónicas procedentes de determinados transmisores de alta potencia;</w:t>
      </w:r>
    </w:p>
    <w:p w:rsidR="002E5EB0" w:rsidRDefault="002E5EB0" w:rsidP="002E5EB0">
      <w:pPr>
        <w:rPr>
          <w:lang w:val="es-ES"/>
        </w:rPr>
      </w:pPr>
      <w:r>
        <w:rPr>
          <w:lang w:val="es-ES"/>
        </w:rPr>
        <w:t>f)</w:t>
      </w:r>
      <w:r>
        <w:rPr>
          <w:lang w:val="es-ES"/>
        </w:rPr>
        <w:tab/>
        <w:t>que es necesario definir los métodos, unidades de medidas y anchura de banda, y las anchuras de banda que se han de utilizar para la medición de potencia en frecuencias distintas de la frecuencia central. Esto inducirá a tomar medidas racionales, simples y eficaces para reducir las emisiones no deseadas;</w:t>
      </w:r>
    </w:p>
    <w:p w:rsidR="002E5EB0" w:rsidRDefault="002E5EB0" w:rsidP="002E5EB0">
      <w:pPr>
        <w:rPr>
          <w:spacing w:val="-2"/>
          <w:lang w:val="es-ES"/>
        </w:rPr>
      </w:pPr>
      <w:r>
        <w:rPr>
          <w:spacing w:val="-2"/>
          <w:lang w:val="es-ES"/>
        </w:rPr>
        <w:lastRenderedPageBreak/>
        <w:t>g)</w:t>
      </w:r>
      <w:r>
        <w:rPr>
          <w:spacing w:val="-2"/>
          <w:lang w:val="es-ES"/>
        </w:rPr>
        <w:tab/>
        <w:t>que la relación entre la potencia de la emisión en el dominio no esencial suministrada a una antena transmisora y la intensidad de campo de las correspondientes señales, medida en un lugar alejado del transmisor, puede variar de un modo importante a causa de diversos factores, tales como las características de antena en las frecuencias de las emisiones en el dominio no esencial, las irregularidades de propagación por diversos trayectos y la radiación por elementos del equipo transmisor distintos de la propia antena;</w:t>
      </w:r>
    </w:p>
    <w:p w:rsidR="002E5EB0" w:rsidRDefault="002E5EB0" w:rsidP="002E5EB0">
      <w:pPr>
        <w:rPr>
          <w:spacing w:val="-2"/>
          <w:lang w:val="es-ES"/>
        </w:rPr>
      </w:pPr>
      <w:r>
        <w:rPr>
          <w:spacing w:val="-2"/>
          <w:lang w:val="es-ES"/>
        </w:rPr>
        <w:t>h)</w:t>
      </w:r>
      <w:r>
        <w:rPr>
          <w:spacing w:val="-2"/>
          <w:lang w:val="es-ES"/>
        </w:rPr>
        <w:tab/>
        <w:t xml:space="preserve">que es bien sabido que la medición de la intensidad de campo o de la densidad de flujo de potencia (dfp) de las emisiones </w:t>
      </w:r>
      <w:r>
        <w:rPr>
          <w:rFonts w:ascii="Times" w:hAnsi="Times"/>
          <w:spacing w:val="-2"/>
          <w:lang w:val="es-ES"/>
        </w:rPr>
        <w:t xml:space="preserve">no deseadas </w:t>
      </w:r>
      <w:r>
        <w:rPr>
          <w:spacing w:val="-2"/>
          <w:lang w:val="es-ES"/>
        </w:rPr>
        <w:t>en un punto alejado del transmisor constituye un procedimiento que permite expresar directamente la intensidad de las interferencias debidas a tales emisiones;</w:t>
      </w:r>
    </w:p>
    <w:p w:rsidR="002E5EB0" w:rsidRDefault="002E5EB0" w:rsidP="002E5EB0">
      <w:pPr>
        <w:rPr>
          <w:lang w:val="es-ES"/>
        </w:rPr>
      </w:pPr>
      <w:r>
        <w:rPr>
          <w:lang w:val="es-ES"/>
        </w:rPr>
        <w:t>j)</w:t>
      </w:r>
      <w:r>
        <w:rPr>
          <w:lang w:val="es-ES"/>
        </w:rPr>
        <w:tab/>
        <w:t>que cuando se trata de las frecuencias centrales de una emisión, las administraciones tienen por costumbre fijar la potencia suministrada a la línea de alimentación de la antena, y pueden alternativamente o en adición, medir la intensidad de campo o dfp a distancia, con el objeto de tratar de resolver los casos de interferencias entre una emisión en el dominio no esencial y otra emisión autorizada, y que sería de gran utilidad un procedimiento análogo, consistente, cuando se trata de interferencias producidas por emisiones en el dominio no esencial (véase el número 15.11 del Artículo 15 del RR);</w:t>
      </w:r>
    </w:p>
    <w:p w:rsidR="002E5EB0" w:rsidRDefault="002E5EB0" w:rsidP="002E5EB0">
      <w:pPr>
        <w:rPr>
          <w:spacing w:val="-2"/>
          <w:lang w:val="es-ES"/>
        </w:rPr>
      </w:pPr>
      <w:r>
        <w:rPr>
          <w:spacing w:val="-2"/>
          <w:lang w:val="es-ES"/>
        </w:rPr>
        <w:t>k)</w:t>
      </w:r>
      <w:r>
        <w:rPr>
          <w:spacing w:val="-2"/>
          <w:lang w:val="es-ES"/>
        </w:rPr>
        <w:tab/>
        <w:t>que para lograr la máxima economía y utilización eficaz del espectro de frecuencias, hay que imponer una limitación general de las emisiones en el dominio no esencial, sin dejar de reconocer que ciertos servicios particulares en determinadas bandas de frecuencias, por razones técnicas o por necesidades de explotación, pueden exigir límites de emisiones en el dominio no esencial más estrictos que otros servicios, como puede figurar en otras Recomendaciones UIT</w:t>
      </w:r>
      <w:r>
        <w:rPr>
          <w:spacing w:val="-2"/>
          <w:lang w:val="es-ES"/>
        </w:rPr>
        <w:noBreakHyphen/>
        <w:t>R (véase el Anexo 4);</w:t>
      </w:r>
    </w:p>
    <w:p w:rsidR="002E5EB0" w:rsidRDefault="002E5EB0" w:rsidP="002E5EB0">
      <w:pPr>
        <w:rPr>
          <w:spacing w:val="-2"/>
          <w:lang w:val="es-ES"/>
        </w:rPr>
      </w:pPr>
      <w:r>
        <w:rPr>
          <w:spacing w:val="-2"/>
          <w:lang w:val="es-ES"/>
        </w:rPr>
        <w:t>l)</w:t>
      </w:r>
      <w:r>
        <w:rPr>
          <w:spacing w:val="-2"/>
          <w:lang w:val="es-ES"/>
        </w:rPr>
        <w:tab/>
        <w:t>que los transmisores que funcionan en estaciones espaciales emplean cada vez más la modulación de espectro ensanchado y otras técnicas de modulación de banda ancha que pueden producir emisiones fuera de banda y emisiones no esenciales en frecuencias muy alejadas de la portadora, y que tales emisiones pueden producir interferencia a servicios pasivos, incluido el servicio de radioastronomía, sin dejar de reconocer, que las técnicas de conformación del espectro, que se utilizan ampliamente para incrementar la eficacia de la utilización del espectro, producen la atenuación de emisiones de banda lateral;</w:t>
      </w:r>
    </w:p>
    <w:p w:rsidR="002E5EB0" w:rsidRDefault="002E5EB0" w:rsidP="002E5EB0">
      <w:pPr>
        <w:rPr>
          <w:lang w:val="es-ES"/>
        </w:rPr>
      </w:pPr>
      <w:r>
        <w:rPr>
          <w:lang w:val="es-ES"/>
        </w:rPr>
        <w:t>m)</w:t>
      </w:r>
      <w:r>
        <w:rPr>
          <w:lang w:val="es-ES"/>
        </w:rPr>
        <w:tab/>
        <w:t>que los límites de las emisiones en el dominio no esencial aplicables a transmisores están en función de:</w:t>
      </w:r>
    </w:p>
    <w:p w:rsidR="002E5EB0" w:rsidRDefault="002E5EB0" w:rsidP="000C144E">
      <w:pPr>
        <w:pStyle w:val="enumlev1"/>
        <w:rPr>
          <w:spacing w:val="-2"/>
          <w:lang w:val="es-ES"/>
        </w:rPr>
      </w:pPr>
      <w:r>
        <w:rPr>
          <w:spacing w:val="-2"/>
          <w:lang w:val="es-ES"/>
        </w:rPr>
        <w:t>–</w:t>
      </w:r>
      <w:r>
        <w:rPr>
          <w:spacing w:val="-2"/>
          <w:lang w:val="es-ES"/>
        </w:rPr>
        <w:tab/>
        <w:t>los servicios de radiocomunicaciones que intervienen y la relación de protección mínima determinada en cada banda de frecuencias;</w:t>
      </w:r>
    </w:p>
    <w:p w:rsidR="002E5EB0" w:rsidRDefault="002E5EB0" w:rsidP="000C144E">
      <w:pPr>
        <w:pStyle w:val="enumlev1"/>
        <w:rPr>
          <w:spacing w:val="-2"/>
          <w:lang w:val="es-ES"/>
        </w:rPr>
      </w:pPr>
      <w:r>
        <w:rPr>
          <w:spacing w:val="-2"/>
          <w:lang w:val="es-ES"/>
        </w:rPr>
        <w:t>–</w:t>
      </w:r>
      <w:r>
        <w:rPr>
          <w:spacing w:val="-2"/>
          <w:lang w:val="es-ES"/>
        </w:rPr>
        <w:tab/>
        <w:t>el tipo de medio donde se encuentra el transmisor (urbano, suburbano, rural, etc.);</w:t>
      </w:r>
    </w:p>
    <w:p w:rsidR="002E5EB0" w:rsidRDefault="002E5EB0" w:rsidP="000C144E">
      <w:pPr>
        <w:pStyle w:val="enumlev1"/>
        <w:rPr>
          <w:spacing w:val="-2"/>
          <w:lang w:val="es-ES"/>
        </w:rPr>
      </w:pPr>
      <w:r>
        <w:rPr>
          <w:spacing w:val="-2"/>
          <w:lang w:val="es-ES"/>
        </w:rPr>
        <w:t>–</w:t>
      </w:r>
      <w:r>
        <w:rPr>
          <w:spacing w:val="-2"/>
          <w:lang w:val="es-ES"/>
        </w:rPr>
        <w:tab/>
        <w:t>el tipo de transmisor;</w:t>
      </w:r>
    </w:p>
    <w:p w:rsidR="002E5EB0" w:rsidRDefault="002E5EB0" w:rsidP="000C144E">
      <w:pPr>
        <w:pStyle w:val="enumlev1"/>
        <w:rPr>
          <w:spacing w:val="-2"/>
          <w:lang w:val="es-ES"/>
        </w:rPr>
      </w:pPr>
      <w:r>
        <w:rPr>
          <w:spacing w:val="-2"/>
          <w:lang w:val="es-ES"/>
        </w:rPr>
        <w:t>–</w:t>
      </w:r>
      <w:r>
        <w:rPr>
          <w:spacing w:val="-2"/>
          <w:lang w:val="es-ES"/>
        </w:rPr>
        <w:tab/>
        <w:t>la distancia mínima entre el transmisor en cuestión y el posible receptor radioeléctrico afectado;</w:t>
      </w:r>
    </w:p>
    <w:p w:rsidR="002E5EB0" w:rsidRDefault="002E5EB0" w:rsidP="000C144E">
      <w:pPr>
        <w:pStyle w:val="enumlev1"/>
        <w:rPr>
          <w:spacing w:val="-2"/>
          <w:lang w:val="es-ES"/>
        </w:rPr>
      </w:pPr>
      <w:r>
        <w:rPr>
          <w:spacing w:val="-2"/>
          <w:lang w:val="es-ES"/>
        </w:rPr>
        <w:t>–</w:t>
      </w:r>
      <w:r>
        <w:rPr>
          <w:spacing w:val="-2"/>
          <w:lang w:val="es-ES"/>
        </w:rPr>
        <w:tab/>
        <w:t>todos los desacoplamientos posibles entre la antena transmisora interferente a la frecuencia de recepción y la antena del receptor radioeléctrico, incluidos el modelo de propagación, el desacoplamiento de polarización y otros factores de desacoplamiento;</w:t>
      </w:r>
    </w:p>
    <w:p w:rsidR="002E5EB0" w:rsidRDefault="002E5EB0" w:rsidP="000C144E">
      <w:pPr>
        <w:pStyle w:val="enumlev1"/>
        <w:rPr>
          <w:spacing w:val="-2"/>
          <w:lang w:val="es-ES"/>
        </w:rPr>
      </w:pPr>
      <w:r>
        <w:rPr>
          <w:spacing w:val="-2"/>
          <w:lang w:val="es-ES"/>
        </w:rPr>
        <w:t>–</w:t>
      </w:r>
      <w:r>
        <w:rPr>
          <w:spacing w:val="-2"/>
          <w:lang w:val="es-ES"/>
        </w:rPr>
        <w:tab/>
        <w:t>la probabilidad de aparición de radiaciones no esenciales procedentes del transmisor cuando el receptor está activo;</w:t>
      </w:r>
    </w:p>
    <w:p w:rsidR="002E5EB0" w:rsidRDefault="002E5EB0" w:rsidP="000C144E">
      <w:pPr>
        <w:pStyle w:val="enumlev1"/>
        <w:rPr>
          <w:spacing w:val="-2"/>
          <w:lang w:val="es-ES"/>
        </w:rPr>
      </w:pPr>
      <w:r>
        <w:rPr>
          <w:spacing w:val="-2"/>
          <w:lang w:val="es-ES"/>
        </w:rPr>
        <w:t>–</w:t>
      </w:r>
      <w:r>
        <w:rPr>
          <w:spacing w:val="-2"/>
          <w:lang w:val="es-ES"/>
        </w:rPr>
        <w:tab/>
        <w:t>el hecho de que un transmisor esté activo o en reposo, o que haya transmisores activos simultáneamente;</w:t>
      </w:r>
    </w:p>
    <w:p w:rsidR="00D11FE4" w:rsidRDefault="00D11FE4">
      <w:pPr>
        <w:tabs>
          <w:tab w:val="clear" w:pos="794"/>
          <w:tab w:val="clear" w:pos="1191"/>
          <w:tab w:val="clear" w:pos="1588"/>
          <w:tab w:val="clear" w:pos="1985"/>
        </w:tabs>
        <w:overflowPunct/>
        <w:autoSpaceDE/>
        <w:autoSpaceDN/>
        <w:adjustRightInd/>
        <w:spacing w:before="0"/>
        <w:jc w:val="left"/>
        <w:textAlignment w:val="auto"/>
        <w:rPr>
          <w:spacing w:val="-2"/>
          <w:lang w:val="es-ES"/>
        </w:rPr>
      </w:pPr>
      <w:r>
        <w:rPr>
          <w:spacing w:val="-2"/>
          <w:lang w:val="es-ES"/>
        </w:rPr>
        <w:br w:type="page"/>
      </w:r>
    </w:p>
    <w:p w:rsidR="002E5EB0" w:rsidRDefault="002E5EB0" w:rsidP="000C144E">
      <w:pPr>
        <w:rPr>
          <w:spacing w:val="-2"/>
          <w:lang w:val="es-ES"/>
        </w:rPr>
      </w:pPr>
      <w:r>
        <w:rPr>
          <w:spacing w:val="-2"/>
          <w:lang w:val="es-ES"/>
        </w:rPr>
        <w:lastRenderedPageBreak/>
        <w:t>n)</w:t>
      </w:r>
      <w:r>
        <w:rPr>
          <w:spacing w:val="-2"/>
          <w:lang w:val="es-ES"/>
        </w:rPr>
        <w:tab/>
        <w:t>que algunas estaciones espaciales tienen antenas activas y la medición de la potencia suministrada a la línea de transmisión de la antena no puede incluir emisiones creadas dentro de la antena. Para estas estaciones espaciales, la determinación de la intensidad de campo o de la dfp a distancia debe ser establecida por las administraciones para tratar de resolver los casos de interferencias entre una emisión y otros servicios autorizados;</w:t>
      </w:r>
    </w:p>
    <w:p w:rsidR="002E5EB0" w:rsidRDefault="002E5EB0" w:rsidP="000C144E">
      <w:pPr>
        <w:rPr>
          <w:lang w:val="es-ES"/>
        </w:rPr>
      </w:pPr>
      <w:r>
        <w:rPr>
          <w:lang w:val="es-ES"/>
        </w:rPr>
        <w:t>o)</w:t>
      </w:r>
      <w:r>
        <w:rPr>
          <w:lang w:val="es-ES"/>
        </w:rPr>
        <w:tab/>
        <w:t>que las emisiones en el dominio no esencial pueden existir en todo el espectro radioeléctrico, pero las dificultades prácticas pueden dictar un límite de frecuencia por encima del cual no es necesario medirlas;</w:t>
      </w:r>
    </w:p>
    <w:p w:rsidR="002E5EB0" w:rsidRDefault="002E5EB0" w:rsidP="002E5EB0">
      <w:pPr>
        <w:rPr>
          <w:lang w:val="es-ES"/>
        </w:rPr>
      </w:pPr>
      <w:r>
        <w:rPr>
          <w:lang w:val="es-ES"/>
        </w:rPr>
        <w:t>p)</w:t>
      </w:r>
      <w:r>
        <w:rPr>
          <w:lang w:val="es-ES"/>
        </w:rPr>
        <w:tab/>
        <w:t>que la Recomendación UIT-R SM.1539 trata de las variaciones de los límites entre los dominios de emisión fuera de banda y no esencial,</w:t>
      </w:r>
    </w:p>
    <w:p w:rsidR="002E5EB0" w:rsidRDefault="002E5EB0" w:rsidP="002E5EB0">
      <w:pPr>
        <w:pStyle w:val="Call"/>
        <w:rPr>
          <w:lang w:val="es-ES"/>
        </w:rPr>
      </w:pPr>
      <w:r>
        <w:rPr>
          <w:lang w:val="es-ES"/>
        </w:rPr>
        <w:t>observando</w:t>
      </w:r>
    </w:p>
    <w:p w:rsidR="002E5EB0" w:rsidRDefault="002E5EB0" w:rsidP="002E5EB0">
      <w:pPr>
        <w:rPr>
          <w:lang w:val="es-ES"/>
        </w:rPr>
      </w:pPr>
      <w:r>
        <w:rPr>
          <w:lang w:val="es-ES"/>
        </w:rPr>
        <w:t>a)</w:t>
      </w:r>
      <w:r>
        <w:rPr>
          <w:lang w:val="es-ES"/>
        </w:rPr>
        <w:tab/>
        <w:t>que los estudios requeridos por la nueva Cuestión UIT-R 222/1, aprobada por la Asamblea de Radiocomunicaciones de 2000, pueden tener un impacto formal y sustancial en definiciones básicas utilizadas en esta Recomendación. Puede ser necesario revisar esta Recomendación en el futuro para reflejar el resultado de dichos estudios,</w:t>
      </w:r>
    </w:p>
    <w:p w:rsidR="002E5EB0" w:rsidRDefault="002E5EB0" w:rsidP="002E5EB0">
      <w:pPr>
        <w:pStyle w:val="Call"/>
        <w:rPr>
          <w:lang w:val="es-ES"/>
        </w:rPr>
      </w:pPr>
      <w:r>
        <w:rPr>
          <w:lang w:val="es-ES"/>
        </w:rPr>
        <w:t>recomienda</w:t>
      </w:r>
    </w:p>
    <w:p w:rsidR="002E5EB0" w:rsidRDefault="002E5EB0" w:rsidP="002E5EB0">
      <w:pPr>
        <w:rPr>
          <w:lang w:val="es-ES"/>
        </w:rPr>
      </w:pPr>
      <w:r>
        <w:rPr>
          <w:lang w:val="es-ES"/>
        </w:rPr>
        <w:t>que se utilice lo siguiente cuando se apliquen los límites de las emisiones en el dominio no ese</w:t>
      </w:r>
      <w:r w:rsidR="00DD03A6">
        <w:rPr>
          <w:lang w:val="es-ES"/>
        </w:rPr>
        <w:t>ncial y sus métodos de medición:</w:t>
      </w:r>
      <w:bookmarkStart w:id="4" w:name="_GoBack"/>
      <w:bookmarkEnd w:id="4"/>
    </w:p>
    <w:p w:rsidR="002E5EB0" w:rsidRDefault="002E5EB0" w:rsidP="002E5EB0">
      <w:pPr>
        <w:pStyle w:val="Heading1"/>
        <w:rPr>
          <w:lang w:val="es-ES"/>
        </w:rPr>
      </w:pPr>
      <w:bookmarkStart w:id="5" w:name="_Toc393697814"/>
      <w:r>
        <w:rPr>
          <w:lang w:val="es-ES"/>
        </w:rPr>
        <w:t>1</w:t>
      </w:r>
      <w:r>
        <w:rPr>
          <w:lang w:val="es-ES"/>
        </w:rPr>
        <w:tab/>
        <w:t>Terminología y definiciones</w:t>
      </w:r>
      <w:bookmarkEnd w:id="5"/>
    </w:p>
    <w:p w:rsidR="002E5EB0" w:rsidRDefault="002E5EB0" w:rsidP="002E5EB0">
      <w:pPr>
        <w:rPr>
          <w:lang w:val="es-ES"/>
        </w:rPr>
      </w:pPr>
      <w:r>
        <w:rPr>
          <w:lang w:val="es-ES"/>
        </w:rPr>
        <w:t xml:space="preserve">Los siguientes términos y definiciones complementan los que ya existen en el RR. (Las definiciones que van en </w:t>
      </w:r>
      <w:r>
        <w:rPr>
          <w:i/>
          <w:lang w:val="es-ES"/>
        </w:rPr>
        <w:t>cursivas</w:t>
      </w:r>
      <w:r>
        <w:rPr>
          <w:lang w:val="es-ES"/>
        </w:rPr>
        <w:t xml:space="preserve"> están tomadas directamente del RR para mayor precisión.)</w:t>
      </w:r>
    </w:p>
    <w:p w:rsidR="002E5EB0" w:rsidRDefault="002E5EB0" w:rsidP="002E5EB0">
      <w:pPr>
        <w:pStyle w:val="Heading2"/>
        <w:rPr>
          <w:lang w:val="es-ES"/>
        </w:rPr>
      </w:pPr>
      <w:bookmarkStart w:id="6" w:name="_Toc393697815"/>
      <w:r>
        <w:rPr>
          <w:lang w:val="es-ES"/>
        </w:rPr>
        <w:t>1.1</w:t>
      </w:r>
      <w:r>
        <w:rPr>
          <w:lang w:val="es-ES"/>
        </w:rPr>
        <w:tab/>
        <w:t>Emisión no esencial (número 1.145 del Artículo 1 del RR)</w:t>
      </w:r>
      <w:bookmarkEnd w:id="6"/>
    </w:p>
    <w:p w:rsidR="002E5EB0" w:rsidRDefault="002E5EB0" w:rsidP="000C144E">
      <w:pPr>
        <w:rPr>
          <w:i/>
          <w:lang w:val="es-ES"/>
        </w:rPr>
      </w:pPr>
      <w:r>
        <w:rPr>
          <w:i/>
          <w:lang w:val="es-ES"/>
        </w:rPr>
        <w:t xml:space="preserve">Emisión en una o varias frecuencias situadas fuera de la anchura de banda necesaria, cuyo nivel puede reducirse sin </w:t>
      </w:r>
      <w:r w:rsidR="000C144E">
        <w:rPr>
          <w:i/>
          <w:lang w:val="es-ES"/>
        </w:rPr>
        <w:t xml:space="preserve">influir en </w:t>
      </w:r>
      <w:r>
        <w:rPr>
          <w:i/>
          <w:lang w:val="es-ES"/>
        </w:rPr>
        <w:t>la transmisión de la información correspondiente. Las emisiones armónicas, las emisiones parásitas, los productos de intermodulación y los productos de la conversión de frecuencia están comprendidos en las emisiones no esenciales, pero están excluidas las emisiones fuera de banda.</w:t>
      </w:r>
    </w:p>
    <w:p w:rsidR="002E5EB0" w:rsidRDefault="002E5EB0" w:rsidP="002E5EB0">
      <w:pPr>
        <w:pStyle w:val="Heading3"/>
        <w:rPr>
          <w:lang w:val="es-ES"/>
        </w:rPr>
      </w:pPr>
      <w:bookmarkStart w:id="7" w:name="_Toc393697816"/>
      <w:r>
        <w:rPr>
          <w:lang w:val="es-ES"/>
        </w:rPr>
        <w:t>1.1.1</w:t>
      </w:r>
      <w:r>
        <w:rPr>
          <w:lang w:val="es-ES"/>
        </w:rPr>
        <w:tab/>
        <w:t>Emisión armónica</w:t>
      </w:r>
      <w:bookmarkEnd w:id="7"/>
    </w:p>
    <w:p w:rsidR="002E5EB0" w:rsidRDefault="002E5EB0" w:rsidP="002E5EB0">
      <w:pPr>
        <w:rPr>
          <w:lang w:val="es-ES"/>
        </w:rPr>
      </w:pPr>
      <w:r>
        <w:rPr>
          <w:lang w:val="es-ES"/>
        </w:rPr>
        <w:t>Emisión no esencial en frecuencias múltiplos enteros de la emisión de frecuencia central.</w:t>
      </w:r>
    </w:p>
    <w:p w:rsidR="002E5EB0" w:rsidRDefault="002E5EB0" w:rsidP="002E5EB0">
      <w:pPr>
        <w:pStyle w:val="Heading3"/>
        <w:rPr>
          <w:lang w:val="es-ES"/>
        </w:rPr>
      </w:pPr>
      <w:bookmarkStart w:id="8" w:name="_Toc393697817"/>
      <w:r>
        <w:rPr>
          <w:lang w:val="es-ES"/>
        </w:rPr>
        <w:t>1.1.2</w:t>
      </w:r>
      <w:r>
        <w:rPr>
          <w:lang w:val="es-ES"/>
        </w:rPr>
        <w:tab/>
        <w:t>Radiación parásita</w:t>
      </w:r>
      <w:bookmarkEnd w:id="8"/>
    </w:p>
    <w:p w:rsidR="002E5EB0" w:rsidRDefault="002E5EB0" w:rsidP="002E5EB0">
      <w:pPr>
        <w:rPr>
          <w:lang w:val="es-ES"/>
        </w:rPr>
      </w:pPr>
      <w:r>
        <w:rPr>
          <w:lang w:val="es-ES"/>
        </w:rPr>
        <w:t>Emisión no esencial, producida accidentalmente en frecuencias que son a la vez independientes de la frecuencia portadora o característica de una emisión, y de las frecuencias de las oscilaciones que resultan de la generación de la frecuencia portadora o característica.</w:t>
      </w:r>
    </w:p>
    <w:p w:rsidR="002E5EB0" w:rsidRDefault="002E5EB0" w:rsidP="002E5EB0">
      <w:pPr>
        <w:pStyle w:val="Heading3"/>
        <w:rPr>
          <w:lang w:val="es-ES"/>
        </w:rPr>
      </w:pPr>
      <w:bookmarkStart w:id="9" w:name="_Toc393697818"/>
      <w:r>
        <w:rPr>
          <w:lang w:val="es-ES"/>
        </w:rPr>
        <w:t>1.1.3</w:t>
      </w:r>
      <w:r>
        <w:rPr>
          <w:lang w:val="es-ES"/>
        </w:rPr>
        <w:tab/>
        <w:t>Productos de intermodulación</w:t>
      </w:r>
      <w:bookmarkEnd w:id="9"/>
    </w:p>
    <w:p w:rsidR="002E5EB0" w:rsidRDefault="002E5EB0" w:rsidP="002E5EB0">
      <w:pPr>
        <w:rPr>
          <w:lang w:val="es-ES"/>
        </w:rPr>
      </w:pPr>
      <w:r>
        <w:rPr>
          <w:lang w:val="es-ES"/>
        </w:rPr>
        <w:t>Los productos de intermodulación no esenciales se producen de la intermodulación entre:</w:t>
      </w:r>
    </w:p>
    <w:p w:rsidR="002E5EB0" w:rsidRDefault="002E5EB0" w:rsidP="000C144E">
      <w:pPr>
        <w:pStyle w:val="enumlev1"/>
        <w:rPr>
          <w:lang w:val="es-ES"/>
        </w:rPr>
      </w:pPr>
      <w:r>
        <w:rPr>
          <w:lang w:val="es-ES"/>
        </w:rPr>
        <w:t>–</w:t>
      </w:r>
      <w:r>
        <w:rPr>
          <w:lang w:val="es-ES"/>
        </w:rPr>
        <w:tab/>
        <w:t>las oscilaciones en las frecuencias portadoras, características o armónicas de una emisión, o las oscilaciones resultantes de la generación de las frecuencias portadoras o características</w:t>
      </w:r>
      <w:r w:rsidR="000C144E">
        <w:rPr>
          <w:lang w:val="es-ES"/>
        </w:rPr>
        <w:t>;</w:t>
      </w:r>
      <w:r>
        <w:rPr>
          <w:lang w:val="es-ES"/>
        </w:rPr>
        <w:t xml:space="preserve"> y</w:t>
      </w:r>
    </w:p>
    <w:p w:rsidR="002E5EB0" w:rsidRDefault="002E5EB0" w:rsidP="002E5EB0">
      <w:pPr>
        <w:pStyle w:val="enumlev1"/>
        <w:rPr>
          <w:lang w:val="es-ES"/>
        </w:rPr>
      </w:pPr>
      <w:r>
        <w:rPr>
          <w:lang w:val="es-ES"/>
        </w:rPr>
        <w:t>–</w:t>
      </w:r>
      <w:r>
        <w:rPr>
          <w:lang w:val="es-ES"/>
        </w:rPr>
        <w:tab/>
        <w:t>las oscilaciones de igual naturaleza que la misma emisión, de una o varias otras emisiones, procedentes del mismo sistema transmisor o de otros transmisores o sistemas transmisores.</w:t>
      </w:r>
    </w:p>
    <w:p w:rsidR="002E5EB0" w:rsidRDefault="002E5EB0" w:rsidP="002E5EB0">
      <w:pPr>
        <w:pStyle w:val="Heading3"/>
        <w:rPr>
          <w:lang w:val="es-ES"/>
        </w:rPr>
      </w:pPr>
      <w:bookmarkStart w:id="10" w:name="_Toc393697819"/>
      <w:r>
        <w:rPr>
          <w:lang w:val="es-ES"/>
        </w:rPr>
        <w:lastRenderedPageBreak/>
        <w:t>1.1.4</w:t>
      </w:r>
      <w:r>
        <w:rPr>
          <w:lang w:val="es-ES"/>
        </w:rPr>
        <w:tab/>
        <w:t>Productos de la conversión de frecuencias</w:t>
      </w:r>
      <w:bookmarkEnd w:id="10"/>
    </w:p>
    <w:p w:rsidR="002E5EB0" w:rsidRDefault="002E5EB0" w:rsidP="002E5EB0">
      <w:pPr>
        <w:rPr>
          <w:lang w:val="es-ES"/>
        </w:rPr>
      </w:pPr>
      <w:r>
        <w:rPr>
          <w:lang w:val="es-ES"/>
        </w:rPr>
        <w:t>Emisiones no esenciales, excluidas las emisiones armónicas, en las frecuencias (o múltiplos enteros o sumas y diferencias de las mismas) de las oscilaciones generadas para producir la frecuencia portadora o característica de una emisión.</w:t>
      </w:r>
    </w:p>
    <w:p w:rsidR="002E5EB0" w:rsidRDefault="002E5EB0" w:rsidP="002E5EB0">
      <w:pPr>
        <w:pStyle w:val="Heading3"/>
        <w:rPr>
          <w:lang w:val="es-ES"/>
        </w:rPr>
      </w:pPr>
      <w:bookmarkStart w:id="11" w:name="_Toc393697820"/>
      <w:r>
        <w:rPr>
          <w:lang w:val="es-ES"/>
        </w:rPr>
        <w:t>1.1.5</w:t>
      </w:r>
      <w:r>
        <w:rPr>
          <w:lang w:val="es-ES"/>
        </w:rPr>
        <w:tab/>
        <w:t>Emisión de banda ancha y de banda estrecha</w:t>
      </w:r>
      <w:bookmarkEnd w:id="11"/>
      <w:r>
        <w:rPr>
          <w:lang w:val="es-ES"/>
        </w:rPr>
        <w:t xml:space="preserve"> en relación con los aparatos de medida</w:t>
      </w:r>
    </w:p>
    <w:p w:rsidR="002E5EB0" w:rsidRDefault="002E5EB0" w:rsidP="002E5EB0">
      <w:pPr>
        <w:rPr>
          <w:lang w:val="es-ES"/>
        </w:rPr>
      </w:pPr>
      <w:r>
        <w:rPr>
          <w:lang w:val="es-ES"/>
        </w:rPr>
        <w:t>Una emisión de banda ancha es una emisión que tiene «una anchura de banda mayor que un receptor o aparato de medición particular» (véase el Vocabulario Electrotécnico Internacional (VEI)/Comisión Electrotécnica Internacional (CEI), 161-06-11).</w:t>
      </w:r>
    </w:p>
    <w:p w:rsidR="002E5EB0" w:rsidRDefault="002E5EB0" w:rsidP="002E5EB0">
      <w:pPr>
        <w:rPr>
          <w:lang w:val="es-ES"/>
        </w:rPr>
      </w:pPr>
      <w:r>
        <w:rPr>
          <w:lang w:val="es-ES"/>
        </w:rPr>
        <w:t>Una emisión de banda estrecha es una emisión que tiene «una anchura de banda menor que la de un receptor o aparato de medición particular» (véase VEI/CEI, 161-06-13).</w:t>
      </w:r>
    </w:p>
    <w:p w:rsidR="002E5EB0" w:rsidRDefault="002E5EB0" w:rsidP="002E5EB0">
      <w:pPr>
        <w:pStyle w:val="Heading2"/>
        <w:rPr>
          <w:lang w:val="es-ES"/>
        </w:rPr>
      </w:pPr>
      <w:bookmarkStart w:id="12" w:name="_Toc393697821"/>
      <w:r>
        <w:rPr>
          <w:lang w:val="es-ES"/>
        </w:rPr>
        <w:t>1.2</w:t>
      </w:r>
      <w:r>
        <w:rPr>
          <w:lang w:val="es-ES"/>
        </w:rPr>
        <w:tab/>
        <w:t>Emisión fuera de banda (número 1.144 del Artículo 1 del RR)</w:t>
      </w:r>
      <w:bookmarkEnd w:id="12"/>
    </w:p>
    <w:p w:rsidR="002E5EB0" w:rsidRDefault="002E5EB0" w:rsidP="002E5EB0">
      <w:pPr>
        <w:rPr>
          <w:i/>
          <w:lang w:val="es-ES"/>
        </w:rPr>
      </w:pPr>
      <w:r>
        <w:rPr>
          <w:i/>
          <w:lang w:val="es-ES"/>
        </w:rPr>
        <w:t>Emisión en una o varias frecuencias situadas inmediatamente fuera de la anchura de banda necesaria, resultante del proceso de modulación, excluyendo las emisiones no esenciales.</w:t>
      </w:r>
    </w:p>
    <w:p w:rsidR="002E5EB0" w:rsidRDefault="002E5EB0" w:rsidP="002E5EB0">
      <w:pPr>
        <w:pStyle w:val="Heading2"/>
        <w:rPr>
          <w:lang w:val="es-ES"/>
        </w:rPr>
      </w:pPr>
      <w:bookmarkStart w:id="13" w:name="_Toc393697822"/>
      <w:r>
        <w:rPr>
          <w:lang w:val="es-ES"/>
        </w:rPr>
        <w:t>1.3</w:t>
      </w:r>
      <w:r>
        <w:rPr>
          <w:lang w:val="es-ES"/>
        </w:rPr>
        <w:tab/>
        <w:t>Emisiones no deseadas (número 1.146 del Artículo 1 del RR)</w:t>
      </w:r>
      <w:bookmarkEnd w:id="13"/>
    </w:p>
    <w:p w:rsidR="002E5EB0" w:rsidRPr="001C121E" w:rsidRDefault="002E5EB0" w:rsidP="000C144E">
      <w:pPr>
        <w:rPr>
          <w:i/>
          <w:iCs/>
          <w:lang w:val="es-ES_tradnl"/>
        </w:rPr>
      </w:pPr>
      <w:r w:rsidRPr="001C121E">
        <w:rPr>
          <w:i/>
          <w:iCs/>
          <w:lang w:val="es-ES_tradnl"/>
        </w:rPr>
        <w:t>Conjunto de las emisiones no esenciales y de las emisiones fuera de banda.</w:t>
      </w:r>
    </w:p>
    <w:p w:rsidR="002E5EB0" w:rsidRDefault="002E5EB0" w:rsidP="002E5EB0">
      <w:pPr>
        <w:pStyle w:val="Heading2"/>
        <w:rPr>
          <w:lang w:val="es-ES"/>
        </w:rPr>
      </w:pPr>
      <w:r>
        <w:rPr>
          <w:lang w:val="es-ES"/>
        </w:rPr>
        <w:t>1.3</w:t>
      </w:r>
      <w:r>
        <w:rPr>
          <w:i/>
          <w:iCs/>
          <w:lang w:val="es-ES"/>
        </w:rPr>
        <w:t>bis</w:t>
      </w:r>
      <w:r>
        <w:rPr>
          <w:lang w:val="es-ES"/>
        </w:rPr>
        <w:tab/>
        <w:t>Dominio fuera de banda</w:t>
      </w:r>
      <w:r>
        <w:rPr>
          <w:rStyle w:val="FootnoteReference"/>
          <w:sz w:val="16"/>
          <w:lang w:val="es-ES"/>
        </w:rPr>
        <w:footnoteReference w:customMarkFollows="1" w:id="3"/>
        <w:t>2</w:t>
      </w:r>
    </w:p>
    <w:p w:rsidR="002E5EB0" w:rsidRDefault="002E5EB0" w:rsidP="000C144E">
      <w:pPr>
        <w:rPr>
          <w:lang w:val="es-ES"/>
        </w:rPr>
      </w:pPr>
      <w:r>
        <w:rPr>
          <w:lang w:val="es-ES"/>
        </w:rPr>
        <w:t>(</w:t>
      </w:r>
      <w:r w:rsidR="000C144E">
        <w:rPr>
          <w:lang w:val="es-ES"/>
        </w:rPr>
        <w:t>d</w:t>
      </w:r>
      <w:r>
        <w:rPr>
          <w:lang w:val="es-ES"/>
        </w:rPr>
        <w:t xml:space="preserve">e una emisión): </w:t>
      </w:r>
      <w:r w:rsidR="000C144E">
        <w:rPr>
          <w:lang w:val="es-ES"/>
        </w:rPr>
        <w:t>G</w:t>
      </w:r>
      <w:r>
        <w:rPr>
          <w:lang w:val="es-ES"/>
        </w:rPr>
        <w:t xml:space="preserve">ama de frecuencias externa e inmediatamente adyacente a la anchura de banda necesaria pero excluyendo el </w:t>
      </w:r>
      <w:r>
        <w:rPr>
          <w:i/>
          <w:iCs/>
          <w:lang w:val="es-ES"/>
        </w:rPr>
        <w:t>dominio no esencial</w:t>
      </w:r>
      <w:r>
        <w:rPr>
          <w:lang w:val="es-ES"/>
        </w:rPr>
        <w:t xml:space="preserve">, en la que generalmente predominan las </w:t>
      </w:r>
      <w:r>
        <w:rPr>
          <w:i/>
          <w:iCs/>
          <w:lang w:val="es-ES"/>
        </w:rPr>
        <w:t>emisiones fuera de banda</w:t>
      </w:r>
      <w:r>
        <w:rPr>
          <w:lang w:val="es-ES"/>
        </w:rPr>
        <w:t>.</w:t>
      </w:r>
    </w:p>
    <w:p w:rsidR="002E5EB0" w:rsidRDefault="002E5EB0" w:rsidP="002E5EB0">
      <w:pPr>
        <w:pStyle w:val="Note"/>
        <w:rPr>
          <w:lang w:val="es-ES"/>
        </w:rPr>
      </w:pPr>
      <w:r>
        <w:rPr>
          <w:lang w:val="es-ES"/>
        </w:rPr>
        <w:t xml:space="preserve">NOTA 1 – Las </w:t>
      </w:r>
      <w:r>
        <w:rPr>
          <w:i/>
          <w:iCs/>
          <w:lang w:val="es-ES"/>
        </w:rPr>
        <w:t>emisiones</w:t>
      </w:r>
      <w:r>
        <w:rPr>
          <w:lang w:val="es-ES"/>
        </w:rPr>
        <w:t xml:space="preserve"> </w:t>
      </w:r>
      <w:r w:rsidRPr="000C144E">
        <w:rPr>
          <w:i/>
          <w:iCs/>
          <w:lang w:val="es-ES"/>
        </w:rPr>
        <w:t>fuera de banda</w:t>
      </w:r>
      <w:r>
        <w:rPr>
          <w:lang w:val="es-ES"/>
        </w:rPr>
        <w:t xml:space="preserve">, definidas en función de su fuente, ocurren en el dominio fuera de banda y, en menor medida, en el </w:t>
      </w:r>
      <w:r w:rsidRPr="000C144E">
        <w:rPr>
          <w:i/>
          <w:iCs/>
          <w:lang w:val="es-ES"/>
        </w:rPr>
        <w:t>dominio no esencial</w:t>
      </w:r>
      <w:r>
        <w:rPr>
          <w:lang w:val="es-ES"/>
        </w:rPr>
        <w:t xml:space="preserve">. Las </w:t>
      </w:r>
      <w:r w:rsidRPr="000C144E">
        <w:rPr>
          <w:i/>
          <w:iCs/>
          <w:lang w:val="es-ES"/>
        </w:rPr>
        <w:t>emisiones no esenciales</w:t>
      </w:r>
      <w:r>
        <w:rPr>
          <w:lang w:val="es-ES"/>
        </w:rPr>
        <w:t xml:space="preserve"> pueden asimismo ocurrir en el dominio fuera de banda así como en el </w:t>
      </w:r>
      <w:r w:rsidRPr="000C144E">
        <w:rPr>
          <w:i/>
          <w:iCs/>
          <w:lang w:val="es-ES"/>
        </w:rPr>
        <w:t>dominio no esencial</w:t>
      </w:r>
      <w:r>
        <w:rPr>
          <w:lang w:val="es-ES"/>
        </w:rPr>
        <w:t>.</w:t>
      </w:r>
    </w:p>
    <w:p w:rsidR="002E5EB0" w:rsidRDefault="002E5EB0" w:rsidP="002E5EB0">
      <w:pPr>
        <w:pStyle w:val="Heading2"/>
        <w:rPr>
          <w:lang w:val="es-ES"/>
        </w:rPr>
      </w:pPr>
      <w:r>
        <w:rPr>
          <w:lang w:val="es-ES"/>
        </w:rPr>
        <w:t>1.3</w:t>
      </w:r>
      <w:r>
        <w:rPr>
          <w:i/>
          <w:iCs/>
          <w:lang w:val="es-ES"/>
        </w:rPr>
        <w:t>ter</w:t>
      </w:r>
      <w:r>
        <w:rPr>
          <w:lang w:val="es-ES"/>
        </w:rPr>
        <w:tab/>
        <w:t>Dominio no esencial</w:t>
      </w:r>
      <w:r>
        <w:rPr>
          <w:rFonts w:ascii="Times New Roman Bold" w:hAnsi="Times New Roman Bold"/>
          <w:vertAlign w:val="superscript"/>
          <w:lang w:val="es-ES"/>
        </w:rPr>
        <w:t>2</w:t>
      </w:r>
    </w:p>
    <w:p w:rsidR="002E5EB0" w:rsidRDefault="002E5EB0" w:rsidP="000C144E">
      <w:pPr>
        <w:rPr>
          <w:lang w:val="es-ES"/>
        </w:rPr>
      </w:pPr>
      <w:r>
        <w:rPr>
          <w:lang w:val="es-ES"/>
        </w:rPr>
        <w:t>(</w:t>
      </w:r>
      <w:r w:rsidR="000C144E">
        <w:rPr>
          <w:lang w:val="es-ES"/>
        </w:rPr>
        <w:t>d</w:t>
      </w:r>
      <w:r>
        <w:rPr>
          <w:lang w:val="es-ES"/>
        </w:rPr>
        <w:t xml:space="preserve">e una emisión): </w:t>
      </w:r>
      <w:r w:rsidR="000C144E">
        <w:rPr>
          <w:lang w:val="es-ES"/>
        </w:rPr>
        <w:t>G</w:t>
      </w:r>
      <w:r>
        <w:rPr>
          <w:lang w:val="es-ES"/>
        </w:rPr>
        <w:t xml:space="preserve">ama de frecuencias más allá del </w:t>
      </w:r>
      <w:r>
        <w:rPr>
          <w:i/>
          <w:iCs/>
          <w:lang w:val="es-ES"/>
        </w:rPr>
        <w:t>dominio fuera de banda</w:t>
      </w:r>
      <w:r>
        <w:rPr>
          <w:lang w:val="es-ES"/>
        </w:rPr>
        <w:t xml:space="preserve"> en la que generalmente predominan las </w:t>
      </w:r>
      <w:r>
        <w:rPr>
          <w:i/>
          <w:iCs/>
          <w:lang w:val="es-ES"/>
        </w:rPr>
        <w:t>emisiones no esenciales</w:t>
      </w:r>
      <w:r>
        <w:rPr>
          <w:lang w:val="es-ES"/>
        </w:rPr>
        <w:t>.</w:t>
      </w:r>
    </w:p>
    <w:p w:rsidR="002E5EB0" w:rsidRDefault="002E5EB0" w:rsidP="002E5EB0">
      <w:pPr>
        <w:pStyle w:val="Heading2"/>
        <w:rPr>
          <w:lang w:val="es-ES"/>
        </w:rPr>
      </w:pPr>
      <w:bookmarkStart w:id="14" w:name="_Toc393697823"/>
      <w:r>
        <w:rPr>
          <w:lang w:val="es-ES"/>
        </w:rPr>
        <w:t>1.4</w:t>
      </w:r>
      <w:r>
        <w:rPr>
          <w:lang w:val="es-ES"/>
        </w:rPr>
        <w:tab/>
        <w:t>Anchura de banda necesaria (número 1.152 del Artículo 1 del RR)</w:t>
      </w:r>
      <w:bookmarkEnd w:id="14"/>
    </w:p>
    <w:p w:rsidR="002E5EB0" w:rsidRDefault="002E5EB0" w:rsidP="002E5EB0">
      <w:pPr>
        <w:rPr>
          <w:lang w:val="es-ES"/>
        </w:rPr>
      </w:pPr>
      <w:r>
        <w:rPr>
          <w:i/>
          <w:iCs/>
          <w:lang w:val="es-ES"/>
        </w:rPr>
        <w:t>Para una clase de emisión dada, anchura de la banda de frecuencias estrictamente suficiente para asegurar la transmisión de la información a la velocidad y con la calidad requeridas en condiciones especificadas.</w:t>
      </w:r>
    </w:p>
    <w:p w:rsidR="002E5EB0" w:rsidRDefault="002E5EB0" w:rsidP="000C144E">
      <w:pPr>
        <w:rPr>
          <w:lang w:val="es-ES"/>
        </w:rPr>
      </w:pPr>
      <w:r>
        <w:rPr>
          <w:lang w:val="es-ES"/>
        </w:rPr>
        <w:t xml:space="preserve">Para aplicación a transmisores/transpondedores multicanales o multiportadoras, en los que se pueden transmitir varias portadoras simultáneamente desde un amplificador de salida final o una antena activa, se considera que la anchura de banda necesaria es la anchura de banda del transmisor </w:t>
      </w:r>
      <w:r>
        <w:rPr>
          <w:lang w:val="es-ES"/>
        </w:rPr>
        <w:lastRenderedPageBreak/>
        <w:t>o transpondedor, a 3 dB. Esto no se aplica a las estaciones de base del servicio móvil o al acceso inalámbrico fijo que utilizan tecnología móvil.</w:t>
      </w:r>
    </w:p>
    <w:p w:rsidR="002E5EB0" w:rsidRDefault="002E5EB0" w:rsidP="002E5EB0">
      <w:pPr>
        <w:rPr>
          <w:lang w:val="es-ES"/>
        </w:rPr>
      </w:pPr>
      <w:r>
        <w:rPr>
          <w:lang w:val="es-ES"/>
        </w:rPr>
        <w:t>En el caso del servicio fijo, se ha de utilizar la Recomendación UIT-R F.1191 para calcular la anchura de banda necesaria cuando se trata de sistemas de relevadores digitales multiportador.</w:t>
      </w:r>
    </w:p>
    <w:p w:rsidR="002E5EB0" w:rsidRDefault="002E5EB0" w:rsidP="002E5EB0">
      <w:pPr>
        <w:rPr>
          <w:lang w:val="es-ES"/>
        </w:rPr>
      </w:pPr>
      <w:r>
        <w:rPr>
          <w:lang w:val="es-ES"/>
        </w:rPr>
        <w:t>Para el servicio de radiodeterminación, la anchura de banda necesaria de los radares con versatilidad de frecuencia se toma como la parte de la banda atribuida en la que se sintonizan las frecuencias portadoras de dichos radares.</w:t>
      </w:r>
    </w:p>
    <w:p w:rsidR="002E5EB0" w:rsidRDefault="002E5EB0" w:rsidP="000C144E">
      <w:pPr>
        <w:pStyle w:val="Heading2"/>
        <w:rPr>
          <w:lang w:val="es-ES"/>
        </w:rPr>
      </w:pPr>
      <w:r>
        <w:rPr>
          <w:lang w:val="es-ES"/>
        </w:rPr>
        <w:t>1.5</w:t>
      </w:r>
      <w:r>
        <w:rPr>
          <w:lang w:val="es-ES"/>
        </w:rPr>
        <w:tab/>
        <w:t>Estado activo de un transmisor</w:t>
      </w:r>
    </w:p>
    <w:p w:rsidR="002E5EB0" w:rsidRDefault="002E5EB0" w:rsidP="002E5EB0">
      <w:pPr>
        <w:rPr>
          <w:lang w:val="es-ES"/>
        </w:rPr>
      </w:pPr>
      <w:r>
        <w:rPr>
          <w:lang w:val="es-ES"/>
        </w:rPr>
        <w:t>Estado de una estación de transmisión que produce la emisión autorizada.</w:t>
      </w:r>
    </w:p>
    <w:p w:rsidR="002E5EB0" w:rsidRDefault="002E5EB0" w:rsidP="002E5EB0">
      <w:pPr>
        <w:pStyle w:val="Heading2"/>
        <w:rPr>
          <w:lang w:val="es-ES"/>
        </w:rPr>
      </w:pPr>
      <w:r>
        <w:rPr>
          <w:lang w:val="es-ES"/>
        </w:rPr>
        <w:t>1.6</w:t>
      </w:r>
      <w:r>
        <w:rPr>
          <w:lang w:val="es-ES"/>
        </w:rPr>
        <w:tab/>
        <w:t>Estado de reposo o espera de un transmisor</w:t>
      </w:r>
    </w:p>
    <w:p w:rsidR="002E5EB0" w:rsidRDefault="002E5EB0" w:rsidP="002E5EB0">
      <w:pPr>
        <w:rPr>
          <w:lang w:val="es-ES"/>
        </w:rPr>
      </w:pPr>
      <w:r>
        <w:rPr>
          <w:lang w:val="es-ES"/>
        </w:rPr>
        <w:t>Estado de una estación de transmisión en la que el transmisor está disponible para el tráfico pero no se encuentra en estado activo.</w:t>
      </w:r>
    </w:p>
    <w:p w:rsidR="002E5EB0" w:rsidRDefault="002E5EB0" w:rsidP="002E5EB0">
      <w:pPr>
        <w:rPr>
          <w:lang w:val="es-ES"/>
        </w:rPr>
      </w:pPr>
      <w:r>
        <w:rPr>
          <w:lang w:val="es-ES"/>
        </w:rPr>
        <w:t>No se considera que los radares primarios funcionan en un estado de espera, pues el transmisor se encuentra en estado activo durante el funcionamiento. Además, no se considera que los sistemas de radar de impulsos están en estado de espera durante sus intervalos entre impulsos. Tampoco se considera que los sistemas de comunicación por división en el tiempo se encuentren en estado de reposo o de espera en el periodo entre intervalos de tiempo.</w:t>
      </w:r>
    </w:p>
    <w:p w:rsidR="002E5EB0" w:rsidRDefault="002E5EB0" w:rsidP="002E5EB0">
      <w:pPr>
        <w:pStyle w:val="Heading1"/>
        <w:rPr>
          <w:lang w:val="es-ES"/>
        </w:rPr>
      </w:pPr>
      <w:bookmarkStart w:id="15" w:name="_Toc393697824"/>
      <w:r>
        <w:rPr>
          <w:lang w:val="es-ES"/>
        </w:rPr>
        <w:t>2</w:t>
      </w:r>
      <w:r>
        <w:rPr>
          <w:lang w:val="es-ES"/>
        </w:rPr>
        <w:tab/>
        <w:t>Aplicación de los límites</w:t>
      </w:r>
      <w:bookmarkEnd w:id="15"/>
    </w:p>
    <w:p w:rsidR="002E5EB0" w:rsidRDefault="002E5EB0" w:rsidP="002E5EB0">
      <w:pPr>
        <w:rPr>
          <w:lang w:val="es-ES"/>
        </w:rPr>
      </w:pPr>
      <w:r>
        <w:rPr>
          <w:b/>
          <w:lang w:val="es-ES"/>
        </w:rPr>
        <w:t>2.1</w:t>
      </w:r>
      <w:r>
        <w:rPr>
          <w:b/>
          <w:lang w:val="es-ES"/>
        </w:rPr>
        <w:tab/>
      </w:r>
      <w:r>
        <w:rPr>
          <w:lang w:val="es-ES"/>
        </w:rPr>
        <w:t>Los niveles de las emisiones del dominio no esencial deberán expresarse en términos de la potencia en la cresta de la envolvente o en términos de la potencia media suministrada por el transmisor a la línea de alimentación de antena en las frecuencias de la emisión considerada, en una anchura de banda de referencia definida, que depende de la naturaleza del servicio de radiocomunicaciones en que funciona el transmisor.</w:t>
      </w:r>
    </w:p>
    <w:p w:rsidR="002E5EB0" w:rsidRDefault="002E5EB0" w:rsidP="002E5EB0">
      <w:pPr>
        <w:rPr>
          <w:lang w:val="es-ES"/>
        </w:rPr>
      </w:pPr>
      <w:r>
        <w:rPr>
          <w:b/>
          <w:lang w:val="es-ES"/>
        </w:rPr>
        <w:t>2.2</w:t>
      </w:r>
      <w:r>
        <w:rPr>
          <w:b/>
          <w:lang w:val="es-ES"/>
        </w:rPr>
        <w:tab/>
      </w:r>
      <w:r>
        <w:rPr>
          <w:lang w:val="es-ES"/>
        </w:rPr>
        <w:t>Los niveles de las emisiones en el dominio no esencial deberán expresarse alternativamente en términos de la intensidad de campo o de la dfp sobre la superficie de la Tierra, en las frecuencias de la emisión en el dominio no esencial considerada.</w:t>
      </w:r>
    </w:p>
    <w:p w:rsidR="002E5EB0" w:rsidRDefault="002E5EB0" w:rsidP="000C144E">
      <w:pPr>
        <w:rPr>
          <w:lang w:val="es-ES"/>
        </w:rPr>
      </w:pPr>
      <w:r>
        <w:rPr>
          <w:b/>
          <w:lang w:val="es-ES"/>
        </w:rPr>
        <w:t>2.3</w:t>
      </w:r>
      <w:r>
        <w:rPr>
          <w:b/>
          <w:lang w:val="es-ES"/>
        </w:rPr>
        <w:tab/>
      </w:r>
      <w:r>
        <w:rPr>
          <w:bCs/>
          <w:lang w:val="es-ES"/>
        </w:rPr>
        <w:t xml:space="preserve">De acuerdo con los principios establecidos en el Apéndice 3 del RR, el dominio no esencial consiste, en general, en </w:t>
      </w:r>
      <w:r>
        <w:rPr>
          <w:lang w:val="es-ES"/>
        </w:rPr>
        <w:t xml:space="preserve">frecuencias separadas de la frecuencia central de la emisión por el 250% o más de la anchura de banda necesaria. Sin embargo, esta separación de frecuencias puede depender del tipo de modulación utilizado, de la máxima velocidad binaria en el caso de modulación digital, del tipo de transmisor, y de los factores de coordinación de frecuencia. Por ejemplo, en el caso de algunos sistemas digitales, de banda ancha o con modulación de impulsos, puede ser necesario que la separación de frecuencias difiera del factor </w:t>
      </w:r>
      <w:r w:rsidR="000C144E">
        <w:rPr>
          <w:lang w:val="es-ES"/>
        </w:rPr>
        <w:sym w:font="Symbol" w:char="F0B1"/>
      </w:r>
      <w:r>
        <w:rPr>
          <w:lang w:val="es-ES"/>
        </w:rPr>
        <w:t>250%. Como el RR prohíbe todo servicio de radiocomunicaciones que produzca interferencia perjudicial fuera de su banda atribuida, las frecuencias del transmisor se deben determinar de forma tal que las emisiones fuera de banda no causen interferencia perjudicial fuera de la banda atribuida conforme con la disposición número 4.5 del RR.</w:t>
      </w:r>
    </w:p>
    <w:p w:rsidR="002E5EB0" w:rsidRDefault="002E5EB0" w:rsidP="000C144E">
      <w:pPr>
        <w:rPr>
          <w:lang w:val="es-ES"/>
        </w:rPr>
      </w:pPr>
      <w:r>
        <w:rPr>
          <w:lang w:val="es-ES"/>
        </w:rPr>
        <w:t xml:space="preserve">Como alternativa, el valor de </w:t>
      </w:r>
      <w:r w:rsidR="000C144E">
        <w:rPr>
          <w:lang w:val="es-ES"/>
        </w:rPr>
        <w:sym w:font="Symbol" w:char="F0B1"/>
      </w:r>
      <w:r>
        <w:rPr>
          <w:lang w:val="es-ES"/>
        </w:rPr>
        <w:t xml:space="preserve">250% puede aplicarse a la separación de canales en lugar de la anchura de banda necesaria. Por ejemplo, para la coordinación de frecuencias del servicio fijo digital, la Recomendación UIT-R F.1191 recomienda utilizar el </w:t>
      </w:r>
      <w:r w:rsidR="000C144E">
        <w:rPr>
          <w:lang w:val="es-ES"/>
        </w:rPr>
        <w:sym w:font="Symbol" w:char="F0B1"/>
      </w:r>
      <w:r>
        <w:rPr>
          <w:lang w:val="es-ES"/>
        </w:rPr>
        <w:t>250% de la separación de canales en la disposición pertinente de canales de radiofrecuencia como límites de frecuencia entre el dominio fuera de banda y el dominio no esencial.</w:t>
      </w:r>
    </w:p>
    <w:p w:rsidR="002E5EB0" w:rsidRDefault="002E5EB0" w:rsidP="000C144E">
      <w:pPr>
        <w:rPr>
          <w:lang w:val="es-ES"/>
        </w:rPr>
      </w:pPr>
      <w:r>
        <w:rPr>
          <w:lang w:val="es-ES"/>
        </w:rPr>
        <w:lastRenderedPageBreak/>
        <w:t>En el caso de una anchura de banda necesaria muy estrecha o muy amplia, este método para determinar el dominio no esencial puede no ser adecuado, ofreciendo la Recomen</w:t>
      </w:r>
      <w:r w:rsidR="000C144E">
        <w:rPr>
          <w:lang w:val="es-ES"/>
        </w:rPr>
        <w:t xml:space="preserve">dación </w:t>
      </w:r>
      <w:r>
        <w:rPr>
          <w:lang w:val="es-ES"/>
        </w:rPr>
        <w:t>UIT</w:t>
      </w:r>
      <w:r>
        <w:rPr>
          <w:lang w:val="es-ES"/>
        </w:rPr>
        <w:noBreakHyphen/>
        <w:t>R SM.1539 nuevas orientaciones al respecto.</w:t>
      </w:r>
    </w:p>
    <w:p w:rsidR="002E5EB0" w:rsidRDefault="002E5EB0" w:rsidP="000C144E">
      <w:pPr>
        <w:rPr>
          <w:lang w:val="es-ES"/>
        </w:rPr>
      </w:pPr>
      <w:r>
        <w:rPr>
          <w:lang w:val="es-ES"/>
        </w:rPr>
        <w:t xml:space="preserve">En el </w:t>
      </w:r>
      <w:r>
        <w:rPr>
          <w:i/>
          <w:iCs/>
          <w:lang w:val="es-ES"/>
        </w:rPr>
        <w:t>recomienda</w:t>
      </w:r>
      <w:r>
        <w:rPr>
          <w:lang w:val="es-ES"/>
        </w:rPr>
        <w:t xml:space="preserve"> 2.3 de la Recomendación</w:t>
      </w:r>
      <w:r w:rsidR="000C144E">
        <w:rPr>
          <w:lang w:val="es-ES"/>
        </w:rPr>
        <w:t xml:space="preserve"> </w:t>
      </w:r>
      <w:r>
        <w:rPr>
          <w:lang w:val="es-ES"/>
        </w:rPr>
        <w:t>UIT-R SM.1541 aparecen orientaciones adicionales sobre la anchura de banda necesaria requerida para determinar la separación entre los dominios fuera de banda y no esencial.</w:t>
      </w:r>
    </w:p>
    <w:p w:rsidR="002E5EB0" w:rsidRDefault="002E5EB0" w:rsidP="002E5EB0">
      <w:pPr>
        <w:rPr>
          <w:lang w:val="es-ES"/>
        </w:rPr>
      </w:pPr>
      <w:r>
        <w:rPr>
          <w:b/>
          <w:lang w:val="es-ES"/>
        </w:rPr>
        <w:t>2.4</w:t>
      </w:r>
      <w:r>
        <w:rPr>
          <w:b/>
          <w:lang w:val="es-ES"/>
        </w:rPr>
        <w:tab/>
      </w:r>
      <w:r>
        <w:rPr>
          <w:lang w:val="es-ES"/>
        </w:rPr>
        <w:t>Cuando un sistema de transmisión comprenda más de un transmisor conectado a la misma antena deberán aplicarse, cuando sea posible, los límites indicados en el § 3 a los productos de intermodulación relacionados con la utilización de varios transmisores.</w:t>
      </w:r>
    </w:p>
    <w:p w:rsidR="002E5EB0" w:rsidRDefault="002E5EB0" w:rsidP="002E5EB0">
      <w:pPr>
        <w:rPr>
          <w:lang w:val="es-ES"/>
        </w:rPr>
      </w:pPr>
      <w:r>
        <w:rPr>
          <w:b/>
          <w:bCs/>
          <w:lang w:val="es-ES"/>
        </w:rPr>
        <w:t>2.5</w:t>
      </w:r>
      <w:r>
        <w:rPr>
          <w:lang w:val="es-ES"/>
        </w:rPr>
        <w:tab/>
        <w:t>Se considera que los límites de las emisiones en el dominio no esencial para el equipo radioeléctrico son aplicables a la gama comprendida entre 9 kHz y 300 GHz.</w:t>
      </w:r>
    </w:p>
    <w:p w:rsidR="002E5EB0" w:rsidRDefault="002E5EB0" w:rsidP="002E5EB0">
      <w:pPr>
        <w:rPr>
          <w:lang w:val="es-ES"/>
        </w:rPr>
      </w:pPr>
      <w:r>
        <w:rPr>
          <w:lang w:val="es-ES"/>
        </w:rPr>
        <w:t>No obstante, únicamente a efectos prácticos de medición, la gama de frecuencias del dominio no esencial puede restringirse. Como orientación a efectos prácticos, se recomiendan normalmente las gamas de frecuencia de medición que figuran en el Cuadro 1.</w:t>
      </w:r>
    </w:p>
    <w:p w:rsidR="002E5EB0" w:rsidRDefault="008A294A" w:rsidP="002E5EB0">
      <w:pPr>
        <w:pStyle w:val="TableNo"/>
        <w:rPr>
          <w:lang w:val="es-ES"/>
        </w:rPr>
      </w:pPr>
      <w:r>
        <w:rPr>
          <w:lang w:val="es-ES"/>
        </w:rPr>
        <w:t xml:space="preserve">CUADRO </w:t>
      </w:r>
      <w:r w:rsidR="002E5EB0">
        <w:rPr>
          <w:lang w:val="es-ES"/>
        </w:rPr>
        <w:t>1</w:t>
      </w:r>
    </w:p>
    <w:p w:rsidR="002E5EB0" w:rsidRPr="00B5384A" w:rsidRDefault="002E5EB0" w:rsidP="002E5EB0">
      <w:pPr>
        <w:pStyle w:val="Tabletitle"/>
        <w:rPr>
          <w:lang w:val="es-ES"/>
        </w:rPr>
      </w:pPr>
      <w:r>
        <w:rPr>
          <w:lang w:val="es-ES"/>
        </w:rPr>
        <w:t>Gama de frecuencias para la medición de emisiones no deseadas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984"/>
        <w:gridCol w:w="4820"/>
      </w:tblGrid>
      <w:tr w:rsidR="002E5EB0" w:rsidRPr="00DD03A6" w:rsidTr="000C144E">
        <w:trPr>
          <w:jc w:val="center"/>
        </w:trPr>
        <w:tc>
          <w:tcPr>
            <w:tcW w:w="2269" w:type="dxa"/>
            <w:vAlign w:val="center"/>
          </w:tcPr>
          <w:p w:rsidR="002E5EB0" w:rsidRDefault="002E5EB0" w:rsidP="000C144E">
            <w:pPr>
              <w:pStyle w:val="Tablehead"/>
              <w:rPr>
                <w:lang w:val="es-ES"/>
              </w:rPr>
            </w:pPr>
            <w:r>
              <w:rPr>
                <w:lang w:val="es-ES"/>
              </w:rPr>
              <w:t>Gama de frecuencias fundamentales</w:t>
            </w:r>
          </w:p>
        </w:tc>
        <w:tc>
          <w:tcPr>
            <w:tcW w:w="6804" w:type="dxa"/>
            <w:gridSpan w:val="2"/>
            <w:vAlign w:val="center"/>
          </w:tcPr>
          <w:p w:rsidR="002E5EB0" w:rsidRDefault="002E5EB0" w:rsidP="000C144E">
            <w:pPr>
              <w:pStyle w:val="Tablehead"/>
              <w:rPr>
                <w:lang w:val="es-ES"/>
              </w:rPr>
            </w:pPr>
            <w:r>
              <w:rPr>
                <w:lang w:val="es-ES"/>
              </w:rPr>
              <w:t>Gama de frecuencias para mediciones</w:t>
            </w:r>
          </w:p>
        </w:tc>
      </w:tr>
      <w:tr w:rsidR="002E5EB0" w:rsidRPr="00DD03A6" w:rsidTr="000C144E">
        <w:trPr>
          <w:jc w:val="center"/>
        </w:trPr>
        <w:tc>
          <w:tcPr>
            <w:tcW w:w="2269" w:type="dxa"/>
            <w:vAlign w:val="center"/>
          </w:tcPr>
          <w:p w:rsidR="002E5EB0" w:rsidRDefault="002E5EB0" w:rsidP="000C144E">
            <w:pPr>
              <w:pStyle w:val="Tablehead"/>
              <w:rPr>
                <w:lang w:val="es-ES"/>
              </w:rPr>
            </w:pPr>
          </w:p>
        </w:tc>
        <w:tc>
          <w:tcPr>
            <w:tcW w:w="1984" w:type="dxa"/>
            <w:vAlign w:val="center"/>
          </w:tcPr>
          <w:p w:rsidR="002E5EB0" w:rsidRDefault="002E5EB0" w:rsidP="000C144E">
            <w:pPr>
              <w:pStyle w:val="Tablehead"/>
              <w:rPr>
                <w:lang w:val="es-ES"/>
              </w:rPr>
            </w:pPr>
            <w:r>
              <w:rPr>
                <w:lang w:val="es-ES"/>
              </w:rPr>
              <w:t>Límite inferior</w:t>
            </w:r>
          </w:p>
        </w:tc>
        <w:tc>
          <w:tcPr>
            <w:tcW w:w="4820" w:type="dxa"/>
            <w:vAlign w:val="center"/>
          </w:tcPr>
          <w:p w:rsidR="002E5EB0" w:rsidRDefault="002E5EB0" w:rsidP="000C144E">
            <w:pPr>
              <w:pStyle w:val="Tablehead"/>
              <w:rPr>
                <w:lang w:val="es-ES"/>
              </w:rPr>
            </w:pPr>
            <w:r>
              <w:rPr>
                <w:lang w:val="es-ES"/>
              </w:rPr>
              <w:t>Límite superior</w:t>
            </w:r>
            <w:r>
              <w:rPr>
                <w:lang w:val="es-ES"/>
              </w:rPr>
              <w:br/>
              <w:t>(La prueba debe incluir toda la banda de armónicos y no debe truncarse en el límite superior de frecuencia preciso indicado)</w:t>
            </w:r>
          </w:p>
        </w:tc>
      </w:tr>
      <w:tr w:rsidR="002E5EB0" w:rsidTr="000C144E">
        <w:trPr>
          <w:jc w:val="center"/>
        </w:trPr>
        <w:tc>
          <w:tcPr>
            <w:tcW w:w="2269" w:type="dxa"/>
            <w:vAlign w:val="center"/>
          </w:tcPr>
          <w:p w:rsidR="002E5EB0" w:rsidRDefault="002E5EB0" w:rsidP="000C144E">
            <w:pPr>
              <w:pStyle w:val="Tabletext"/>
              <w:jc w:val="center"/>
              <w:rPr>
                <w:lang w:val="es-ES"/>
              </w:rPr>
            </w:pPr>
            <w:r>
              <w:rPr>
                <w:lang w:val="es-ES"/>
              </w:rPr>
              <w:t>9 kHz-100 MHz</w:t>
            </w:r>
          </w:p>
        </w:tc>
        <w:tc>
          <w:tcPr>
            <w:tcW w:w="1984" w:type="dxa"/>
            <w:vAlign w:val="center"/>
          </w:tcPr>
          <w:p w:rsidR="002E5EB0" w:rsidRDefault="002E5EB0" w:rsidP="000C144E">
            <w:pPr>
              <w:pStyle w:val="Tabletext"/>
              <w:jc w:val="center"/>
              <w:rPr>
                <w:lang w:val="es-ES"/>
              </w:rPr>
            </w:pPr>
            <w:r>
              <w:rPr>
                <w:lang w:val="es-ES"/>
              </w:rPr>
              <w:t>9 kHz</w:t>
            </w:r>
          </w:p>
        </w:tc>
        <w:tc>
          <w:tcPr>
            <w:tcW w:w="4820" w:type="dxa"/>
            <w:vAlign w:val="center"/>
          </w:tcPr>
          <w:p w:rsidR="002E5EB0" w:rsidRDefault="002E5EB0" w:rsidP="000C144E">
            <w:pPr>
              <w:pStyle w:val="Tabletext"/>
              <w:jc w:val="center"/>
              <w:rPr>
                <w:lang w:val="es-ES"/>
              </w:rPr>
            </w:pPr>
            <w:r>
              <w:rPr>
                <w:lang w:val="es-ES"/>
              </w:rPr>
              <w:t>1 GHz</w:t>
            </w:r>
          </w:p>
        </w:tc>
      </w:tr>
      <w:tr w:rsidR="002E5EB0" w:rsidTr="000C144E">
        <w:trPr>
          <w:jc w:val="center"/>
        </w:trPr>
        <w:tc>
          <w:tcPr>
            <w:tcW w:w="2269" w:type="dxa"/>
            <w:vAlign w:val="center"/>
          </w:tcPr>
          <w:p w:rsidR="002E5EB0" w:rsidRDefault="002E5EB0" w:rsidP="000C144E">
            <w:pPr>
              <w:pStyle w:val="Tabletext"/>
              <w:jc w:val="center"/>
              <w:rPr>
                <w:lang w:val="es-ES"/>
              </w:rPr>
            </w:pPr>
            <w:r>
              <w:rPr>
                <w:lang w:val="es-ES"/>
              </w:rPr>
              <w:t>100 MHz-300 MHz</w:t>
            </w:r>
          </w:p>
        </w:tc>
        <w:tc>
          <w:tcPr>
            <w:tcW w:w="1984" w:type="dxa"/>
            <w:vAlign w:val="center"/>
          </w:tcPr>
          <w:p w:rsidR="002E5EB0" w:rsidRDefault="002E5EB0" w:rsidP="000C144E">
            <w:pPr>
              <w:pStyle w:val="Tabletext"/>
              <w:jc w:val="center"/>
              <w:rPr>
                <w:lang w:val="es-ES"/>
              </w:rPr>
            </w:pPr>
            <w:r>
              <w:rPr>
                <w:lang w:val="es-ES"/>
              </w:rPr>
              <w:t>9 kHz</w:t>
            </w:r>
          </w:p>
        </w:tc>
        <w:tc>
          <w:tcPr>
            <w:tcW w:w="4820" w:type="dxa"/>
            <w:vAlign w:val="center"/>
          </w:tcPr>
          <w:p w:rsidR="002E5EB0" w:rsidRDefault="002E5EB0" w:rsidP="000C144E">
            <w:pPr>
              <w:pStyle w:val="Tabletext"/>
              <w:jc w:val="center"/>
              <w:rPr>
                <w:lang w:val="es-ES"/>
              </w:rPr>
            </w:pPr>
            <w:r>
              <w:rPr>
                <w:lang w:val="es-ES"/>
              </w:rPr>
              <w:t>10° armónico</w:t>
            </w:r>
          </w:p>
        </w:tc>
      </w:tr>
      <w:tr w:rsidR="002E5EB0" w:rsidTr="000C144E">
        <w:trPr>
          <w:jc w:val="center"/>
        </w:trPr>
        <w:tc>
          <w:tcPr>
            <w:tcW w:w="2269" w:type="dxa"/>
            <w:vAlign w:val="center"/>
          </w:tcPr>
          <w:p w:rsidR="002E5EB0" w:rsidRDefault="002E5EB0" w:rsidP="000C144E">
            <w:pPr>
              <w:pStyle w:val="Tabletext"/>
              <w:jc w:val="center"/>
              <w:rPr>
                <w:lang w:val="es-ES"/>
              </w:rPr>
            </w:pPr>
            <w:r>
              <w:rPr>
                <w:lang w:val="es-ES"/>
              </w:rPr>
              <w:t>300 MHz-600 MHz</w:t>
            </w:r>
          </w:p>
        </w:tc>
        <w:tc>
          <w:tcPr>
            <w:tcW w:w="1984" w:type="dxa"/>
            <w:vAlign w:val="center"/>
          </w:tcPr>
          <w:p w:rsidR="002E5EB0" w:rsidRDefault="002E5EB0" w:rsidP="000C144E">
            <w:pPr>
              <w:pStyle w:val="Tabletext"/>
              <w:jc w:val="center"/>
              <w:rPr>
                <w:lang w:val="es-ES"/>
              </w:rPr>
            </w:pPr>
            <w:r>
              <w:rPr>
                <w:lang w:val="es-ES"/>
              </w:rPr>
              <w:t>30 MHz</w:t>
            </w:r>
          </w:p>
        </w:tc>
        <w:tc>
          <w:tcPr>
            <w:tcW w:w="4820" w:type="dxa"/>
            <w:vAlign w:val="center"/>
          </w:tcPr>
          <w:p w:rsidR="002E5EB0" w:rsidRDefault="002E5EB0" w:rsidP="000C144E">
            <w:pPr>
              <w:pStyle w:val="Tabletext"/>
              <w:jc w:val="center"/>
              <w:rPr>
                <w:lang w:val="es-ES"/>
              </w:rPr>
            </w:pPr>
            <w:r>
              <w:rPr>
                <w:lang w:val="es-ES"/>
              </w:rPr>
              <w:t>3 GHz</w:t>
            </w:r>
          </w:p>
        </w:tc>
      </w:tr>
      <w:tr w:rsidR="002E5EB0" w:rsidTr="000C144E">
        <w:trPr>
          <w:jc w:val="center"/>
        </w:trPr>
        <w:tc>
          <w:tcPr>
            <w:tcW w:w="2269" w:type="dxa"/>
            <w:vAlign w:val="center"/>
          </w:tcPr>
          <w:p w:rsidR="002E5EB0" w:rsidRDefault="002E5EB0" w:rsidP="000C144E">
            <w:pPr>
              <w:pStyle w:val="Tabletext"/>
              <w:jc w:val="center"/>
              <w:rPr>
                <w:lang w:val="es-ES"/>
              </w:rPr>
            </w:pPr>
            <w:r>
              <w:rPr>
                <w:lang w:val="es-ES"/>
              </w:rPr>
              <w:t>600 MHz-5,2 GHz</w:t>
            </w:r>
          </w:p>
        </w:tc>
        <w:tc>
          <w:tcPr>
            <w:tcW w:w="1984" w:type="dxa"/>
            <w:vAlign w:val="center"/>
          </w:tcPr>
          <w:p w:rsidR="002E5EB0" w:rsidRDefault="002E5EB0" w:rsidP="000C144E">
            <w:pPr>
              <w:pStyle w:val="Tabletext"/>
              <w:jc w:val="center"/>
              <w:rPr>
                <w:lang w:val="es-ES"/>
              </w:rPr>
            </w:pPr>
            <w:r>
              <w:rPr>
                <w:lang w:val="es-ES"/>
              </w:rPr>
              <w:t>30 MHz</w:t>
            </w:r>
          </w:p>
        </w:tc>
        <w:tc>
          <w:tcPr>
            <w:tcW w:w="4820" w:type="dxa"/>
            <w:vAlign w:val="center"/>
          </w:tcPr>
          <w:p w:rsidR="002E5EB0" w:rsidRDefault="002E5EB0" w:rsidP="000C144E">
            <w:pPr>
              <w:pStyle w:val="Tabletext"/>
              <w:jc w:val="center"/>
              <w:rPr>
                <w:lang w:val="es-ES"/>
              </w:rPr>
            </w:pPr>
            <w:r>
              <w:rPr>
                <w:lang w:val="es-ES"/>
              </w:rPr>
              <w:t>5° armónico</w:t>
            </w:r>
          </w:p>
        </w:tc>
      </w:tr>
      <w:tr w:rsidR="002E5EB0" w:rsidTr="000C144E">
        <w:trPr>
          <w:jc w:val="center"/>
        </w:trPr>
        <w:tc>
          <w:tcPr>
            <w:tcW w:w="2269" w:type="dxa"/>
            <w:vAlign w:val="center"/>
          </w:tcPr>
          <w:p w:rsidR="002E5EB0" w:rsidRDefault="002E5EB0" w:rsidP="000C144E">
            <w:pPr>
              <w:pStyle w:val="Tabletext"/>
              <w:jc w:val="center"/>
              <w:rPr>
                <w:lang w:val="es-ES"/>
              </w:rPr>
            </w:pPr>
            <w:r>
              <w:rPr>
                <w:lang w:val="es-ES"/>
              </w:rPr>
              <w:t>5,2 GHz-13 GHz</w:t>
            </w:r>
          </w:p>
        </w:tc>
        <w:tc>
          <w:tcPr>
            <w:tcW w:w="1984" w:type="dxa"/>
            <w:vAlign w:val="center"/>
          </w:tcPr>
          <w:p w:rsidR="002E5EB0" w:rsidRDefault="002E5EB0" w:rsidP="000C144E">
            <w:pPr>
              <w:pStyle w:val="Tabletext"/>
              <w:jc w:val="center"/>
              <w:rPr>
                <w:lang w:val="es-ES"/>
              </w:rPr>
            </w:pPr>
            <w:r>
              <w:rPr>
                <w:lang w:val="es-ES"/>
              </w:rPr>
              <w:t>30 MHz</w:t>
            </w:r>
          </w:p>
        </w:tc>
        <w:tc>
          <w:tcPr>
            <w:tcW w:w="4820" w:type="dxa"/>
            <w:vAlign w:val="center"/>
          </w:tcPr>
          <w:p w:rsidR="002E5EB0" w:rsidRDefault="002E5EB0" w:rsidP="000C144E">
            <w:pPr>
              <w:pStyle w:val="Tabletext"/>
              <w:jc w:val="center"/>
              <w:rPr>
                <w:lang w:val="es-ES"/>
              </w:rPr>
            </w:pPr>
            <w:r>
              <w:rPr>
                <w:lang w:val="es-ES"/>
              </w:rPr>
              <w:t>26 GHz</w:t>
            </w:r>
          </w:p>
        </w:tc>
      </w:tr>
      <w:tr w:rsidR="002E5EB0" w:rsidTr="000C144E">
        <w:trPr>
          <w:jc w:val="center"/>
        </w:trPr>
        <w:tc>
          <w:tcPr>
            <w:tcW w:w="2269" w:type="dxa"/>
            <w:vAlign w:val="center"/>
          </w:tcPr>
          <w:p w:rsidR="002E5EB0" w:rsidRDefault="002E5EB0" w:rsidP="000C144E">
            <w:pPr>
              <w:pStyle w:val="Tabletext"/>
              <w:jc w:val="center"/>
              <w:rPr>
                <w:lang w:val="es-ES"/>
              </w:rPr>
            </w:pPr>
            <w:r>
              <w:rPr>
                <w:lang w:val="es-ES"/>
              </w:rPr>
              <w:t>13 GHz-150 GHz</w:t>
            </w:r>
          </w:p>
        </w:tc>
        <w:tc>
          <w:tcPr>
            <w:tcW w:w="1984" w:type="dxa"/>
            <w:vAlign w:val="center"/>
          </w:tcPr>
          <w:p w:rsidR="002E5EB0" w:rsidRDefault="002E5EB0" w:rsidP="000C144E">
            <w:pPr>
              <w:pStyle w:val="Tabletext"/>
              <w:jc w:val="center"/>
              <w:rPr>
                <w:lang w:val="es-ES"/>
              </w:rPr>
            </w:pPr>
            <w:r>
              <w:rPr>
                <w:lang w:val="es-ES"/>
              </w:rPr>
              <w:t>30 MHz</w:t>
            </w:r>
          </w:p>
        </w:tc>
        <w:tc>
          <w:tcPr>
            <w:tcW w:w="4820" w:type="dxa"/>
            <w:vAlign w:val="center"/>
          </w:tcPr>
          <w:p w:rsidR="002E5EB0" w:rsidRDefault="002E5EB0" w:rsidP="000C144E">
            <w:pPr>
              <w:pStyle w:val="Tabletext"/>
              <w:jc w:val="center"/>
              <w:rPr>
                <w:lang w:val="es-ES"/>
              </w:rPr>
            </w:pPr>
            <w:r>
              <w:rPr>
                <w:lang w:val="es-ES"/>
              </w:rPr>
              <w:t>2° armónico</w:t>
            </w:r>
          </w:p>
        </w:tc>
      </w:tr>
      <w:tr w:rsidR="002E5EB0" w:rsidTr="000C144E">
        <w:trPr>
          <w:jc w:val="center"/>
        </w:trPr>
        <w:tc>
          <w:tcPr>
            <w:tcW w:w="2269" w:type="dxa"/>
            <w:vAlign w:val="center"/>
          </w:tcPr>
          <w:p w:rsidR="002E5EB0" w:rsidRDefault="002E5EB0" w:rsidP="000C144E">
            <w:pPr>
              <w:pStyle w:val="Tabletext"/>
              <w:jc w:val="center"/>
              <w:rPr>
                <w:lang w:val="es-ES"/>
              </w:rPr>
            </w:pPr>
            <w:r>
              <w:rPr>
                <w:lang w:val="es-ES"/>
              </w:rPr>
              <w:t>150 GHz-300 GHz</w:t>
            </w:r>
          </w:p>
        </w:tc>
        <w:tc>
          <w:tcPr>
            <w:tcW w:w="1984" w:type="dxa"/>
            <w:vAlign w:val="center"/>
          </w:tcPr>
          <w:p w:rsidR="002E5EB0" w:rsidRDefault="002E5EB0" w:rsidP="000C144E">
            <w:pPr>
              <w:pStyle w:val="Tabletext"/>
              <w:jc w:val="center"/>
              <w:rPr>
                <w:lang w:val="es-ES"/>
              </w:rPr>
            </w:pPr>
            <w:r>
              <w:rPr>
                <w:lang w:val="es-ES"/>
              </w:rPr>
              <w:t>30 MHz</w:t>
            </w:r>
          </w:p>
        </w:tc>
        <w:tc>
          <w:tcPr>
            <w:tcW w:w="4820" w:type="dxa"/>
            <w:vAlign w:val="center"/>
          </w:tcPr>
          <w:p w:rsidR="002E5EB0" w:rsidRDefault="002E5EB0" w:rsidP="000C144E">
            <w:pPr>
              <w:pStyle w:val="Tabletext"/>
              <w:jc w:val="center"/>
              <w:rPr>
                <w:lang w:val="es-ES"/>
              </w:rPr>
            </w:pPr>
            <w:r>
              <w:rPr>
                <w:lang w:val="es-ES"/>
              </w:rPr>
              <w:t>300 GHz</w:t>
            </w:r>
          </w:p>
        </w:tc>
      </w:tr>
    </w:tbl>
    <w:p w:rsidR="002E5EB0" w:rsidRPr="00B5384A" w:rsidRDefault="002E5EB0" w:rsidP="002E5EB0">
      <w:pPr>
        <w:pStyle w:val="Tablefin"/>
      </w:pPr>
    </w:p>
    <w:p w:rsidR="002E5EB0" w:rsidRDefault="002E5EB0" w:rsidP="00A35210">
      <w:pPr>
        <w:rPr>
          <w:lang w:val="es-ES"/>
        </w:rPr>
      </w:pPr>
      <w:r>
        <w:rPr>
          <w:lang w:val="es-ES"/>
        </w:rPr>
        <w:t>Habrá casos en que será necesario, a fin de proteger servicios específicos, ampliar la gama de frecuencias de prueba hasta el tercer armónico u otros superiores para los sistemas con frecuencia fundamental superior a 13</w:t>
      </w:r>
      <w:r w:rsidR="00A35210">
        <w:rPr>
          <w:lang w:val="es-ES"/>
        </w:rPr>
        <w:t> </w:t>
      </w:r>
      <w:r>
        <w:rPr>
          <w:lang w:val="es-ES"/>
        </w:rPr>
        <w:t>GHz. Los parámetros del Cuadro</w:t>
      </w:r>
      <w:r w:rsidR="00A35210">
        <w:rPr>
          <w:lang w:val="es-ES"/>
        </w:rPr>
        <w:t> </w:t>
      </w:r>
      <w:r>
        <w:rPr>
          <w:lang w:val="es-ES"/>
        </w:rPr>
        <w:t>1 reflejan la dificultad práctica creciente de efectuar pruebas a frecuencias cada vez mayores con las técnicas de medición en microondas convencionales que se describen en el Anexo</w:t>
      </w:r>
      <w:r w:rsidR="00A35210">
        <w:rPr>
          <w:lang w:val="es-ES"/>
        </w:rPr>
        <w:t> </w:t>
      </w:r>
      <w:r>
        <w:rPr>
          <w:lang w:val="es-ES"/>
        </w:rPr>
        <w:t>2, hasta frecuencias superiores a 110 GHz. En dichas frecuencias y en otras superiores, puede ser más práctico adoptar técnicas de medición bolométrica como las que se utilizan con las frecuencias del infrarrojo. Por ejemplo, para los radares de vehículos en 76-77 GHz, es adecuado medir el tercer armónico, alrededor de 220 GHz, y siendo así, los métodos de prueba convencionales de microondas son probablemente inadecuados.</w:t>
      </w:r>
    </w:p>
    <w:p w:rsidR="002E5EB0" w:rsidRDefault="002E5EB0" w:rsidP="000C144E">
      <w:pPr>
        <w:rPr>
          <w:lang w:val="es-ES"/>
        </w:rPr>
      </w:pPr>
      <w:r>
        <w:rPr>
          <w:lang w:val="es-ES"/>
        </w:rPr>
        <w:t>En cualquier caso, los sistemas que tienen una antena integrada con una sección de guía de onda, o con una conexión de antena de dicha forma, y de longitud neta igual al doble como mínimo de la longitud de onda de corta, no requieren mediciones de las emisiones en el dominio no esencial por debajo de 0,7 veces la frecuencia de corte de la guiaonda.</w:t>
      </w:r>
    </w:p>
    <w:p w:rsidR="002E5EB0" w:rsidRDefault="002E5EB0" w:rsidP="002E5EB0">
      <w:pPr>
        <w:rPr>
          <w:lang w:val="es-ES"/>
        </w:rPr>
      </w:pPr>
      <w:r>
        <w:rPr>
          <w:b/>
          <w:lang w:val="es-ES"/>
        </w:rPr>
        <w:lastRenderedPageBreak/>
        <w:t>2.6</w:t>
      </w:r>
      <w:r>
        <w:rPr>
          <w:bCs/>
          <w:lang w:val="es-ES"/>
        </w:rPr>
        <w:tab/>
      </w:r>
      <w:r>
        <w:rPr>
          <w:lang w:val="es-ES"/>
        </w:rPr>
        <w:t>Las emisiones en el dominio no esencial procedentes de elementos de la instalación, distintos del sistema de antena (antena y línea de transmisión), no deben producir un efecto mayor que el que se produciría si dicho sistema irradiante se alimentase con la potencia máxima permitida en la frecuencia del dominio no esencial.</w:t>
      </w:r>
    </w:p>
    <w:p w:rsidR="002E5EB0" w:rsidRDefault="002E5EB0" w:rsidP="002E5EB0">
      <w:pPr>
        <w:rPr>
          <w:lang w:val="es-ES"/>
        </w:rPr>
      </w:pPr>
      <w:r>
        <w:rPr>
          <w:b/>
          <w:bCs/>
          <w:lang w:val="es-ES"/>
        </w:rPr>
        <w:t>2.7</w:t>
      </w:r>
      <w:r>
        <w:rPr>
          <w:lang w:val="es-ES"/>
        </w:rPr>
        <w:tab/>
        <w:t>Las emisiones transitorias causadas por la conmutación de los sistemas de acceso múltiple por división en el tiempo (AMDT) deben, siempre que sea posible, cumplir el requisito de supresión de emisiones en el dominio no esenciales.</w:t>
      </w:r>
    </w:p>
    <w:p w:rsidR="002E5EB0" w:rsidRDefault="002E5EB0" w:rsidP="002E5EB0">
      <w:pPr>
        <w:pStyle w:val="Heading1"/>
        <w:rPr>
          <w:lang w:val="es-ES"/>
        </w:rPr>
      </w:pPr>
      <w:bookmarkStart w:id="16" w:name="_Toc393697825"/>
      <w:r>
        <w:rPr>
          <w:lang w:val="es-ES"/>
        </w:rPr>
        <w:t>3</w:t>
      </w:r>
      <w:r>
        <w:rPr>
          <w:lang w:val="es-ES"/>
        </w:rPr>
        <w:tab/>
        <w:t>Límites de las emisiones en el dominio no esencial</w:t>
      </w:r>
      <w:bookmarkEnd w:id="16"/>
    </w:p>
    <w:p w:rsidR="002E5EB0" w:rsidRDefault="002E5EB0" w:rsidP="002E5EB0">
      <w:pPr>
        <w:rPr>
          <w:lang w:val="es-ES"/>
        </w:rPr>
      </w:pPr>
      <w:r>
        <w:rPr>
          <w:b/>
          <w:lang w:val="es-ES"/>
        </w:rPr>
        <w:t>3.1</w:t>
      </w:r>
      <w:r>
        <w:rPr>
          <w:lang w:val="es-ES"/>
        </w:rPr>
        <w:tab/>
        <w:t>Los límites deberán mejorar la explotación de los servicios de radiocomunicaciones en todas las bandas.</w:t>
      </w:r>
    </w:p>
    <w:p w:rsidR="002E5EB0" w:rsidRDefault="002E5EB0" w:rsidP="002E5EB0">
      <w:pPr>
        <w:rPr>
          <w:lang w:val="es-ES"/>
        </w:rPr>
      </w:pPr>
      <w:r>
        <w:rPr>
          <w:b/>
          <w:lang w:val="es-ES"/>
        </w:rPr>
        <w:t>3.2</w:t>
      </w:r>
      <w:r>
        <w:rPr>
          <w:lang w:val="es-ES"/>
        </w:rPr>
        <w:tab/>
        <w:t>Para expresar las emisiones en el dominio no esencial deberán utilizarse las unidades y el cuadro de conversión que figura en el Anexo 1.</w:t>
      </w:r>
    </w:p>
    <w:p w:rsidR="002E5EB0" w:rsidRDefault="002E5EB0" w:rsidP="00A35210">
      <w:pPr>
        <w:rPr>
          <w:lang w:val="es-ES"/>
        </w:rPr>
      </w:pPr>
      <w:r>
        <w:rPr>
          <w:b/>
          <w:lang w:val="es-ES"/>
        </w:rPr>
        <w:t>3.3</w:t>
      </w:r>
      <w:r>
        <w:rPr>
          <w:lang w:val="es-ES"/>
        </w:rPr>
        <w:tab/>
        <w:t>Se indica a continuación la definición de las categorías de los límites de las emisiones en el dominio no esencial, incluyendo los límites del Apéndice</w:t>
      </w:r>
      <w:r w:rsidR="00A35210">
        <w:rPr>
          <w:lang w:val="es-ES"/>
        </w:rPr>
        <w:t> </w:t>
      </w:r>
      <w:r>
        <w:rPr>
          <w:lang w:val="es-ES"/>
        </w:rPr>
        <w:t xml:space="preserve">3 del RR, ejemplos de límites más estrictos y límites aplicables al equipo de tecnología de la información (ITE, </w:t>
      </w:r>
      <w:r>
        <w:rPr>
          <w:i/>
          <w:iCs/>
          <w:lang w:val="es-ES"/>
        </w:rPr>
        <w:t>information technology equipment</w:t>
      </w:r>
      <w:r>
        <w:rPr>
          <w:lang w:val="es-ES"/>
        </w:rPr>
        <w:t>).</w:t>
      </w:r>
    </w:p>
    <w:p w:rsidR="002E5EB0" w:rsidRDefault="002E5EB0" w:rsidP="002E5EB0">
      <w:pPr>
        <w:rPr>
          <w:lang w:val="es-ES"/>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752"/>
        <w:gridCol w:w="7887"/>
      </w:tblGrid>
      <w:tr w:rsidR="002E5EB0" w:rsidRPr="00DD03A6" w:rsidTr="00823ADA">
        <w:trPr>
          <w:jc w:val="center"/>
        </w:trPr>
        <w:tc>
          <w:tcPr>
            <w:tcW w:w="1701" w:type="dxa"/>
          </w:tcPr>
          <w:p w:rsidR="002E5EB0" w:rsidRDefault="002E5EB0" w:rsidP="000C144E">
            <w:pPr>
              <w:pStyle w:val="Tabletext"/>
              <w:rPr>
                <w:lang w:val="es-ES"/>
              </w:rPr>
            </w:pPr>
            <w:r>
              <w:rPr>
                <w:lang w:val="es-ES"/>
              </w:rPr>
              <w:t>Categoría A</w:t>
            </w:r>
          </w:p>
        </w:tc>
        <w:tc>
          <w:tcPr>
            <w:tcW w:w="7655" w:type="dxa"/>
          </w:tcPr>
          <w:p w:rsidR="002E5EB0" w:rsidRDefault="002E5EB0" w:rsidP="000C144E">
            <w:pPr>
              <w:pStyle w:val="Tabletext"/>
              <w:rPr>
                <w:lang w:val="es-ES"/>
              </w:rPr>
            </w:pPr>
            <w:r>
              <w:rPr>
                <w:lang w:val="es-ES"/>
              </w:rPr>
              <w:t>Los límites de la Categoría A son los valores de atenuación utilizados para calcular los niveles de potencia máximos admisibles de las emisiones en el dominio no esencial. El Apéndice 3 del RR se deriva de los límites de la Categoría A. Estos límites figuran en el § 4.2</w:t>
            </w:r>
          </w:p>
        </w:tc>
      </w:tr>
      <w:tr w:rsidR="002E5EB0" w:rsidTr="00823ADA">
        <w:trPr>
          <w:jc w:val="center"/>
        </w:trPr>
        <w:tc>
          <w:tcPr>
            <w:tcW w:w="1701" w:type="dxa"/>
          </w:tcPr>
          <w:p w:rsidR="002E5EB0" w:rsidRDefault="002E5EB0" w:rsidP="000C144E">
            <w:pPr>
              <w:pStyle w:val="Tabletext"/>
              <w:rPr>
                <w:lang w:val="es-ES"/>
              </w:rPr>
            </w:pPr>
            <w:r>
              <w:rPr>
                <w:lang w:val="es-ES"/>
              </w:rPr>
              <w:t>Categoría B</w:t>
            </w:r>
          </w:p>
        </w:tc>
        <w:tc>
          <w:tcPr>
            <w:tcW w:w="7655" w:type="dxa"/>
          </w:tcPr>
          <w:p w:rsidR="002E5EB0" w:rsidRDefault="002E5EB0" w:rsidP="000C144E">
            <w:pPr>
              <w:pStyle w:val="Tabletext"/>
              <w:rPr>
                <w:lang w:val="es-ES"/>
              </w:rPr>
            </w:pPr>
            <w:r>
              <w:rPr>
                <w:lang w:val="es-ES"/>
              </w:rPr>
              <w:t>Los límites de la Categoría B son un ejemplo de límites más estrictos de las emisiones en el dominio no esencial que los de la Categoría A. Se basan en los límites definidos y adoptados en Europa y utilizados en otros países. Estos límites figuran en el § 4.3</w:t>
            </w:r>
          </w:p>
        </w:tc>
      </w:tr>
      <w:tr w:rsidR="002E5EB0" w:rsidTr="00823ADA">
        <w:trPr>
          <w:jc w:val="center"/>
        </w:trPr>
        <w:tc>
          <w:tcPr>
            <w:tcW w:w="1701" w:type="dxa"/>
          </w:tcPr>
          <w:p w:rsidR="002E5EB0" w:rsidRDefault="002E5EB0" w:rsidP="000C144E">
            <w:pPr>
              <w:pStyle w:val="Tabletext"/>
              <w:rPr>
                <w:lang w:val="es-ES"/>
              </w:rPr>
            </w:pPr>
            <w:r>
              <w:rPr>
                <w:lang w:val="es-ES"/>
              </w:rPr>
              <w:t>Categoría C</w:t>
            </w:r>
          </w:p>
        </w:tc>
        <w:tc>
          <w:tcPr>
            <w:tcW w:w="7655" w:type="dxa"/>
          </w:tcPr>
          <w:p w:rsidR="002E5EB0" w:rsidRDefault="002E5EB0" w:rsidP="000C144E">
            <w:pPr>
              <w:pStyle w:val="Tabletext"/>
              <w:rPr>
                <w:lang w:val="es-ES"/>
              </w:rPr>
            </w:pPr>
            <w:r>
              <w:rPr>
                <w:lang w:val="es-ES"/>
              </w:rPr>
              <w:t>Los límites de la Categoría C son un ejemplo de límites más estrictos de las emisiones en el dominio no esencial que los de la Categoría A. Se basan en los límites definidos y adoptados en Estados Unidos de América y en Canadá y utilizados en otros países. Estos límites figuran en el § 4.4</w:t>
            </w:r>
          </w:p>
        </w:tc>
      </w:tr>
      <w:tr w:rsidR="002E5EB0" w:rsidTr="00823ADA">
        <w:trPr>
          <w:jc w:val="center"/>
        </w:trPr>
        <w:tc>
          <w:tcPr>
            <w:tcW w:w="1701" w:type="dxa"/>
          </w:tcPr>
          <w:p w:rsidR="002E5EB0" w:rsidRDefault="002E5EB0" w:rsidP="000C144E">
            <w:pPr>
              <w:pStyle w:val="Tabletext"/>
              <w:rPr>
                <w:lang w:val="es-ES"/>
              </w:rPr>
            </w:pPr>
            <w:r>
              <w:rPr>
                <w:lang w:val="es-ES"/>
              </w:rPr>
              <w:t>Categoría D</w:t>
            </w:r>
          </w:p>
        </w:tc>
        <w:tc>
          <w:tcPr>
            <w:tcW w:w="7655" w:type="dxa"/>
          </w:tcPr>
          <w:p w:rsidR="002E5EB0" w:rsidRDefault="002E5EB0" w:rsidP="000C144E">
            <w:pPr>
              <w:pStyle w:val="Tabletext"/>
              <w:rPr>
                <w:lang w:val="es-ES"/>
              </w:rPr>
            </w:pPr>
            <w:r>
              <w:rPr>
                <w:lang w:val="es-ES"/>
              </w:rPr>
              <w:t>Los límites de la Categoría D son un ejemplo de límites más estrictos de las emisiones en el dominio no esencial que los de la Categoría A. Se basan en los límites definidos y adoptados en Japón y utilizados en otros países. Estos límites figuran en el § 4.5</w:t>
            </w:r>
          </w:p>
        </w:tc>
      </w:tr>
      <w:tr w:rsidR="002E5EB0" w:rsidTr="00823ADA">
        <w:trPr>
          <w:jc w:val="center"/>
        </w:trPr>
        <w:tc>
          <w:tcPr>
            <w:tcW w:w="1701" w:type="dxa"/>
          </w:tcPr>
          <w:p w:rsidR="002E5EB0" w:rsidRDefault="002E5EB0" w:rsidP="000C144E">
            <w:pPr>
              <w:pStyle w:val="Tabletext"/>
              <w:rPr>
                <w:lang w:val="es-ES"/>
              </w:rPr>
            </w:pPr>
            <w:r>
              <w:rPr>
                <w:lang w:val="es-ES"/>
              </w:rPr>
              <w:t>Categoría Z</w:t>
            </w:r>
          </w:p>
        </w:tc>
        <w:tc>
          <w:tcPr>
            <w:tcW w:w="7655" w:type="dxa"/>
          </w:tcPr>
          <w:p w:rsidR="002E5EB0" w:rsidRDefault="002E5EB0" w:rsidP="000C144E">
            <w:pPr>
              <w:pStyle w:val="Tabletext"/>
              <w:rPr>
                <w:lang w:val="es-ES"/>
              </w:rPr>
            </w:pPr>
            <w:r>
              <w:rPr>
                <w:lang w:val="es-ES"/>
              </w:rPr>
              <w:t>Límites de radiación para ITE especificados por el Comité Internacional Especial de Perturbaciones Radioeléctricas (CISPR). Estos límites figuran en el § 4.6.</w:t>
            </w:r>
          </w:p>
        </w:tc>
      </w:tr>
    </w:tbl>
    <w:p w:rsidR="002E5EB0" w:rsidRPr="00B5384A" w:rsidRDefault="002E5EB0" w:rsidP="002E5EB0">
      <w:pPr>
        <w:pStyle w:val="Tablefin"/>
      </w:pPr>
    </w:p>
    <w:p w:rsidR="002E5EB0" w:rsidRDefault="002E5EB0" w:rsidP="002E5EB0">
      <w:pPr>
        <w:pStyle w:val="Note"/>
        <w:rPr>
          <w:lang w:val="es-ES"/>
        </w:rPr>
      </w:pPr>
      <w:r>
        <w:rPr>
          <w:lang w:val="es-ES"/>
        </w:rPr>
        <w:t>NOTA 1 – Los límites de las Categorías B, C y D son más estrictos que los de la Categoría A y representan en cada caso un compromiso entre emisiones no deseadas inferiores y coste del equipo. Actualmente todos se utilizan satisfactoriamente como regla nacional o regional, incluyendo zonas que tienen una gran densidad de radiocomunicaciones y en donde se utilizan equipos que representan una parte significativa del parque de fabricación de radiocomunicaciones.</w:t>
      </w:r>
    </w:p>
    <w:p w:rsidR="002E5EB0" w:rsidRDefault="002E5EB0" w:rsidP="002E5EB0">
      <w:pPr>
        <w:pStyle w:val="Note"/>
        <w:rPr>
          <w:lang w:val="es-ES"/>
        </w:rPr>
      </w:pPr>
      <w:r>
        <w:rPr>
          <w:lang w:val="es-ES"/>
        </w:rPr>
        <w:t xml:space="preserve">Los cuadros de los límites de las emisiones (véase el </w:t>
      </w:r>
      <w:r>
        <w:rPr>
          <w:i/>
          <w:iCs/>
          <w:lang w:val="es-ES"/>
        </w:rPr>
        <w:t xml:space="preserve">recomienda </w:t>
      </w:r>
      <w:r>
        <w:rPr>
          <w:lang w:val="es-ES"/>
        </w:rPr>
        <w:t>4) representan los límites recomendados para cada una de esas categorías por banda de frecuencias y tipo de transmisor para la protección de todos los servicios de radiocomunicaciones.</w:t>
      </w:r>
    </w:p>
    <w:p w:rsidR="002E5EB0" w:rsidRDefault="002E5EB0" w:rsidP="002E5EB0">
      <w:pPr>
        <w:pStyle w:val="Heading1"/>
        <w:rPr>
          <w:lang w:val="es-ES"/>
        </w:rPr>
      </w:pPr>
      <w:bookmarkStart w:id="17" w:name="_Toc393697826"/>
      <w:r>
        <w:rPr>
          <w:lang w:val="es-ES"/>
        </w:rPr>
        <w:lastRenderedPageBreak/>
        <w:t>4</w:t>
      </w:r>
      <w:r>
        <w:rPr>
          <w:lang w:val="es-ES"/>
        </w:rPr>
        <w:tab/>
        <w:t>Cuadros de límites de las emisiones</w:t>
      </w:r>
      <w:bookmarkEnd w:id="17"/>
    </w:p>
    <w:p w:rsidR="002E5EB0" w:rsidRDefault="002E5EB0" w:rsidP="002E5EB0">
      <w:pPr>
        <w:pStyle w:val="Heading2"/>
        <w:rPr>
          <w:lang w:val="es-ES"/>
        </w:rPr>
      </w:pPr>
      <w:bookmarkStart w:id="18" w:name="_Toc393697827"/>
      <w:r>
        <w:rPr>
          <w:lang w:val="es-ES"/>
        </w:rPr>
        <w:t>4.1</w:t>
      </w:r>
      <w:r>
        <w:rPr>
          <w:lang w:val="es-ES"/>
        </w:rPr>
        <w:tab/>
        <w:t>Anchuras de banda de referencia recomendadas</w:t>
      </w:r>
      <w:bookmarkEnd w:id="18"/>
    </w:p>
    <w:p w:rsidR="002E5EB0" w:rsidRDefault="002E5EB0" w:rsidP="002E5EB0">
      <w:pPr>
        <w:rPr>
          <w:lang w:val="es-ES"/>
        </w:rPr>
      </w:pPr>
      <w:r>
        <w:rPr>
          <w:lang w:val="es-ES"/>
        </w:rPr>
        <w:t>Una anchura de banda de referencia es una anchura de banda en la que se especifican los niveles de las emisiones en el dominio no esencial. Se recomiendan las siguientes anchuras de banda de referencia:</w:t>
      </w:r>
    </w:p>
    <w:p w:rsidR="002E5EB0" w:rsidRDefault="002E5EB0" w:rsidP="002E5EB0">
      <w:pPr>
        <w:pStyle w:val="enumlev1"/>
        <w:rPr>
          <w:lang w:val="es-ES"/>
        </w:rPr>
      </w:pPr>
      <w:r>
        <w:rPr>
          <w:lang w:val="es-ES"/>
        </w:rPr>
        <w:t>–</w:t>
      </w:r>
      <w:r>
        <w:rPr>
          <w:lang w:val="es-ES"/>
        </w:rPr>
        <w:tab/>
        <w:t>1 kHz entre 9 y 150 kHz,</w:t>
      </w:r>
    </w:p>
    <w:p w:rsidR="002E5EB0" w:rsidRDefault="002E5EB0" w:rsidP="002E5EB0">
      <w:pPr>
        <w:pStyle w:val="enumlev1"/>
        <w:rPr>
          <w:lang w:val="es-ES"/>
        </w:rPr>
      </w:pPr>
      <w:r>
        <w:rPr>
          <w:lang w:val="es-ES"/>
        </w:rPr>
        <w:t>–</w:t>
      </w:r>
      <w:r>
        <w:rPr>
          <w:lang w:val="es-ES"/>
        </w:rPr>
        <w:tab/>
        <w:t>10 kHz entre 150 kHz y 30 MHz,</w:t>
      </w:r>
    </w:p>
    <w:p w:rsidR="002E5EB0" w:rsidRDefault="002E5EB0" w:rsidP="002E5EB0">
      <w:pPr>
        <w:pStyle w:val="enumlev1"/>
        <w:rPr>
          <w:lang w:val="es-ES"/>
        </w:rPr>
      </w:pPr>
      <w:r>
        <w:rPr>
          <w:lang w:val="es-ES"/>
        </w:rPr>
        <w:t>–</w:t>
      </w:r>
      <w:r>
        <w:rPr>
          <w:lang w:val="es-ES"/>
        </w:rPr>
        <w:tab/>
        <w:t>100 kHz entre 30 MHz y 1 GHz,</w:t>
      </w:r>
    </w:p>
    <w:p w:rsidR="002E5EB0" w:rsidRDefault="002E5EB0" w:rsidP="002E5EB0">
      <w:pPr>
        <w:pStyle w:val="enumlev1"/>
        <w:rPr>
          <w:lang w:val="es-ES"/>
        </w:rPr>
      </w:pPr>
      <w:r>
        <w:rPr>
          <w:lang w:val="es-ES"/>
        </w:rPr>
        <w:t>–</w:t>
      </w:r>
      <w:r>
        <w:rPr>
          <w:lang w:val="es-ES"/>
        </w:rPr>
        <w:tab/>
        <w:t>1 MHz por encima de 1 GHz.</w:t>
      </w:r>
    </w:p>
    <w:p w:rsidR="002E5EB0" w:rsidRDefault="002E5EB0" w:rsidP="002E5EB0">
      <w:pPr>
        <w:rPr>
          <w:lang w:val="es-ES"/>
        </w:rPr>
      </w:pPr>
      <w:r>
        <w:rPr>
          <w:lang w:val="es-ES"/>
        </w:rPr>
        <w:t>Como caso especial, la anchura de banda de referencia de las emisiones en el dominio no esencial de todos los servicios espaciales debe ser 4 kHz.</w:t>
      </w:r>
    </w:p>
    <w:p w:rsidR="002E5EB0" w:rsidRDefault="002E5EB0" w:rsidP="002E5EB0">
      <w:pPr>
        <w:rPr>
          <w:lang w:val="es-ES"/>
        </w:rPr>
      </w:pPr>
      <w:r>
        <w:rPr>
          <w:lang w:val="es-ES"/>
        </w:rPr>
        <w:t>Para los límites de la Categoría B, se especifica una anchura de banda de referencia más estrecha próxima a la portadora aplicable a los servicios fijo y móvil terrestre.</w:t>
      </w:r>
    </w:p>
    <w:p w:rsidR="002E5EB0" w:rsidRDefault="002E5EB0" w:rsidP="002E5EB0">
      <w:pPr>
        <w:rPr>
          <w:lang w:val="es-ES"/>
        </w:rPr>
      </w:pPr>
      <w:r>
        <w:rPr>
          <w:lang w:val="es-ES"/>
        </w:rPr>
        <w:t>Las anchuras de banda de referencia requeridas para la medición adecuada de las emisiones en el dominio no esencial de radar se deben calcular para cada sistema de radar en particular, y los métodos de medición serán los indicados en la Recomendación UIT-R M.1177.</w:t>
      </w:r>
    </w:p>
    <w:p w:rsidR="002E5EB0" w:rsidRDefault="002E5EB0" w:rsidP="002E5EB0">
      <w:pPr>
        <w:pStyle w:val="Note"/>
        <w:rPr>
          <w:lang w:val="es-ES"/>
        </w:rPr>
      </w:pPr>
      <w:r>
        <w:rPr>
          <w:lang w:val="es-ES"/>
        </w:rPr>
        <w:t>NOTA 1 – La anchura de banda de referencia es aquella en la que se especifica el límite de la emisión en el dominio no esencial, pero no es la anchura de banda en la que deben medirse las emisiones en el dominio no esencial. En el Anexo 2 se describe la anchura de banda de resolución en la cual deben medirse dichas emisiones en el dominio no esencial. Como regla general, la anchura de banda de resolución debe ser igual a la anchura de banda de referencia. Sin embargo, para mejorar la precisión, la sensibilidad y la eficacia de la medición, la anchura de banda de resolución puede ser distinta de la anchura de banda de referencia, como se describe en el Anexo 2.</w:t>
      </w:r>
    </w:p>
    <w:p w:rsidR="002E5EB0" w:rsidRDefault="002E5EB0" w:rsidP="002E5EB0">
      <w:pPr>
        <w:pStyle w:val="Heading2"/>
        <w:rPr>
          <w:lang w:val="es-ES"/>
        </w:rPr>
      </w:pPr>
      <w:bookmarkStart w:id="19" w:name="_Toc393697828"/>
      <w:r>
        <w:rPr>
          <w:lang w:val="es-ES"/>
        </w:rPr>
        <w:t>4.2</w:t>
      </w:r>
      <w:r>
        <w:rPr>
          <w:lang w:val="es-ES"/>
        </w:rPr>
        <w:tab/>
        <w:t>Límites de la Categoría A</w:t>
      </w:r>
      <w:bookmarkEnd w:id="19"/>
    </w:p>
    <w:p w:rsidR="002E5EB0" w:rsidRDefault="002E5EB0" w:rsidP="00A35210">
      <w:pPr>
        <w:rPr>
          <w:lang w:val="es-ES"/>
        </w:rPr>
      </w:pPr>
      <w:r>
        <w:rPr>
          <w:lang w:val="es-ES"/>
        </w:rPr>
        <w:t>El Cuadro 2 indica los niveles admitidos máximos de las emisiones en el dominio no esencial, que figuran en el Apéndice</w:t>
      </w:r>
      <w:r w:rsidR="00A35210">
        <w:rPr>
          <w:lang w:val="es-ES"/>
        </w:rPr>
        <w:t> </w:t>
      </w:r>
      <w:r>
        <w:rPr>
          <w:lang w:val="es-ES"/>
        </w:rPr>
        <w:t>3 del RR, en términos de potencia, de toda componente no deseada suministrada por un transmisor a la línea de transmisión de antena, excepto para los servicios espaciales que actualmente se muestran como límites de diseño, para la fecha de implementación en el caso del servicio de radiodeterminación, para las estaciones espaciales de espacio lejano y para las estaciones de aficionados. Algunos números del Apéndice 3 del RR dan una dirección específica en cuanto a la aplicación de los límites.</w:t>
      </w:r>
    </w:p>
    <w:p w:rsidR="002E5EB0" w:rsidRDefault="002E5EB0" w:rsidP="002E5EB0">
      <w:pPr>
        <w:rPr>
          <w:lang w:val="es-ES"/>
        </w:rPr>
      </w:pPr>
      <w:r>
        <w:rPr>
          <w:lang w:val="es-ES"/>
        </w:rPr>
        <w:t>Ninguna emisión en el dominio no esencial procedente de elementos de la instalación distintos de la antena y de su línea de transmisión deberá producir un efecto mayor que el que se produciría si dicho sistema irradiante se alimentase con la potencia máxima permitida en la frecuencia de emisión en el dominio no esencial.</w:t>
      </w:r>
    </w:p>
    <w:p w:rsidR="002E5EB0" w:rsidRDefault="002E5EB0" w:rsidP="00A35210">
      <w:pPr>
        <w:rPr>
          <w:lang w:val="es-ES"/>
        </w:rPr>
      </w:pPr>
      <w:r>
        <w:rPr>
          <w:lang w:val="es-ES"/>
        </w:rPr>
        <w:t>Por razones técnicas o de explotación, se pueden aplicar niveles más estrictos que los especificados en el Cuadro</w:t>
      </w:r>
      <w:r w:rsidR="00A35210">
        <w:rPr>
          <w:lang w:val="es-ES"/>
        </w:rPr>
        <w:t> </w:t>
      </w:r>
      <w:r>
        <w:rPr>
          <w:lang w:val="es-ES"/>
        </w:rPr>
        <w:t>2 para proteger determinados servicios en ciertas bandas de frecuencias. Los niveles aplicados para proteger estos servicios deben ser los aprobados por una CMR competente. Los niveles más estrictos también se pueden fijar mediante acuerdos especiales entre las administraciones interesadas. Asimismo, se requiere consideración especial para las emisiones en el dominio no esencial producidas por transmisores para la protección del servicio de radioastronomía y de otros servicios pasivos.</w:t>
      </w:r>
    </w:p>
    <w:p w:rsidR="002E5EB0" w:rsidRDefault="002E5EB0" w:rsidP="00A35210">
      <w:pPr>
        <w:rPr>
          <w:lang w:val="es-ES"/>
        </w:rPr>
      </w:pPr>
      <w:r>
        <w:rPr>
          <w:lang w:val="es-ES"/>
        </w:rPr>
        <w:t>En el Anexo</w:t>
      </w:r>
      <w:r w:rsidR="00A35210">
        <w:rPr>
          <w:lang w:val="es-ES"/>
        </w:rPr>
        <w:t> </w:t>
      </w:r>
      <w:r>
        <w:rPr>
          <w:lang w:val="es-ES"/>
        </w:rPr>
        <w:t>5 figuran cálculos de muestras y niveles de potencia en el dominio no esencial máximos absolutos de la Categoría A, obtenidos con los valores del Cuadro 2.</w:t>
      </w:r>
    </w:p>
    <w:p w:rsidR="002E5EB0" w:rsidRDefault="002E5EB0" w:rsidP="0018704C">
      <w:pPr>
        <w:pStyle w:val="TableNo"/>
        <w:spacing w:before="200"/>
        <w:rPr>
          <w:lang w:val="es-ES"/>
        </w:rPr>
      </w:pPr>
      <w:r>
        <w:rPr>
          <w:lang w:val="es-ES"/>
        </w:rPr>
        <w:lastRenderedPageBreak/>
        <w:t>CUADRO 2</w:t>
      </w:r>
    </w:p>
    <w:p w:rsidR="002E5EB0" w:rsidRDefault="002E5EB0" w:rsidP="0019173C">
      <w:pPr>
        <w:pStyle w:val="Tabletitle"/>
        <w:keepLines/>
        <w:rPr>
          <w:lang w:val="es-ES"/>
        </w:rPr>
      </w:pPr>
      <w:r>
        <w:rPr>
          <w:lang w:val="es-ES"/>
        </w:rPr>
        <w:t>Límites de las emisiones en el dominio no esencial – Categoría A</w:t>
      </w:r>
    </w:p>
    <w:p w:rsidR="002E5EB0" w:rsidRPr="00693242" w:rsidRDefault="002E5EB0" w:rsidP="0018704C">
      <w:pPr>
        <w:pStyle w:val="Tabletitle"/>
        <w:rPr>
          <w:b w:val="0"/>
          <w:bCs/>
          <w:lang w:val="es-ES"/>
        </w:rPr>
      </w:pPr>
      <w:r w:rsidRPr="00693242">
        <w:rPr>
          <w:b w:val="0"/>
          <w:bCs/>
          <w:lang w:val="es-ES"/>
        </w:rPr>
        <w:t>(Valores de atenuación recomendados empleados para calcular los niveles de</w:t>
      </w:r>
      <w:r w:rsidR="0018704C">
        <w:rPr>
          <w:b w:val="0"/>
          <w:bCs/>
          <w:lang w:val="es-ES"/>
        </w:rPr>
        <w:t xml:space="preserve"> </w:t>
      </w:r>
      <w:r w:rsidRPr="00693242">
        <w:rPr>
          <w:b w:val="0"/>
          <w:bCs/>
          <w:lang w:val="es-ES"/>
        </w:rPr>
        <w:t>potencia</w:t>
      </w:r>
      <w:r w:rsidR="0018704C">
        <w:rPr>
          <w:b w:val="0"/>
          <w:bCs/>
          <w:lang w:val="es-ES"/>
        </w:rPr>
        <w:br/>
      </w:r>
      <w:r w:rsidRPr="00693242">
        <w:rPr>
          <w:b w:val="0"/>
          <w:bCs/>
          <w:lang w:val="es-ES"/>
        </w:rPr>
        <w:t>máximos admitidos de las emisiones en el dominio no esencial</w:t>
      </w:r>
      <w:r w:rsidR="0018704C">
        <w:rPr>
          <w:b w:val="0"/>
          <w:bCs/>
          <w:lang w:val="es-ES"/>
        </w:rPr>
        <w:t xml:space="preserve"> </w:t>
      </w:r>
      <w:r w:rsidRPr="00693242">
        <w:rPr>
          <w:b w:val="0"/>
          <w:bCs/>
          <w:lang w:val="es-ES"/>
        </w:rPr>
        <w:t>para ser utilizados</w:t>
      </w:r>
      <w:r w:rsidR="0018704C">
        <w:rPr>
          <w:b w:val="0"/>
          <w:bCs/>
          <w:lang w:val="es-ES"/>
        </w:rPr>
        <w:br/>
      </w:r>
      <w:r w:rsidRPr="00693242">
        <w:rPr>
          <w:b w:val="0"/>
          <w:bCs/>
          <w:lang w:val="es-ES"/>
        </w:rPr>
        <w:t>con equipos radioeléctricos por todos los países)</w:t>
      </w:r>
    </w:p>
    <w:p w:rsidR="002E5EB0" w:rsidRDefault="002E5EB0" w:rsidP="0019173C">
      <w:pPr>
        <w:pStyle w:val="Blanc"/>
        <w:rPr>
          <w:sz w:val="8"/>
          <w:lang w:val="es-ES"/>
        </w:rPr>
      </w:pPr>
    </w:p>
    <w:tbl>
      <w:tblPr>
        <w:tblW w:w="9638"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876"/>
        <w:gridCol w:w="4762"/>
      </w:tblGrid>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vAlign w:val="center"/>
          </w:tcPr>
          <w:p w:rsidR="002E5EB0" w:rsidRDefault="002E5EB0" w:rsidP="0018704C">
            <w:pPr>
              <w:pStyle w:val="Tablehead"/>
              <w:keepLines/>
              <w:rPr>
                <w:lang w:val="es-ES"/>
              </w:rPr>
            </w:pPr>
            <w:r>
              <w:rPr>
                <w:lang w:val="es-ES"/>
              </w:rPr>
              <w:t>Categoría de servicio conforme al Artículo 1</w:t>
            </w:r>
            <w:r w:rsidR="0018704C">
              <w:rPr>
                <w:lang w:val="es-ES"/>
              </w:rPr>
              <w:br/>
            </w:r>
            <w:r>
              <w:rPr>
                <w:lang w:val="es-ES"/>
              </w:rPr>
              <w:t>del RR,</w:t>
            </w:r>
            <w:r w:rsidR="0019173C">
              <w:rPr>
                <w:lang w:val="es-ES"/>
              </w:rPr>
              <w:t xml:space="preserve"> </w:t>
            </w:r>
            <w:r>
              <w:rPr>
                <w:lang w:val="es-ES"/>
              </w:rPr>
              <w:t>o tipo de equipo</w:t>
            </w:r>
            <w:r>
              <w:rPr>
                <w:vertAlign w:val="superscript"/>
                <w:lang w:val="es-ES"/>
              </w:rPr>
              <w:t>(1), (2)</w:t>
            </w:r>
          </w:p>
        </w:tc>
        <w:tc>
          <w:tcPr>
            <w:tcW w:w="4762" w:type="dxa"/>
            <w:tcBorders>
              <w:top w:val="single" w:sz="6" w:space="0" w:color="auto"/>
              <w:left w:val="single" w:sz="6" w:space="0" w:color="auto"/>
              <w:bottom w:val="single" w:sz="6" w:space="0" w:color="auto"/>
              <w:right w:val="single" w:sz="6" w:space="0" w:color="auto"/>
            </w:tcBorders>
            <w:vAlign w:val="center"/>
          </w:tcPr>
          <w:p w:rsidR="002E5EB0" w:rsidRDefault="002E5EB0" w:rsidP="0019173C">
            <w:pPr>
              <w:pStyle w:val="Tablehead"/>
              <w:keepLines/>
              <w:rPr>
                <w:lang w:val="es-ES"/>
              </w:rPr>
            </w:pPr>
            <w:r>
              <w:rPr>
                <w:lang w:val="es-ES"/>
              </w:rPr>
              <w:t>Atenuación (dB) por debajo de la potencia (W)</w:t>
            </w:r>
            <w:r>
              <w:rPr>
                <w:lang w:val="es-ES"/>
              </w:rPr>
              <w:br/>
              <w:t>suministrada a la línea de transmisión de antena</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widowControl w:val="0"/>
              <w:jc w:val="left"/>
              <w:rPr>
                <w:lang w:val="es-ES"/>
              </w:rPr>
            </w:pPr>
            <w:r>
              <w:rPr>
                <w:lang w:val="es-ES"/>
              </w:rPr>
              <w:t>Todos los servicios excepto los indicados a continuación</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widowControl w:val="0"/>
              <w:jc w:val="left"/>
              <w:rPr>
                <w:lang w:val="es-ES"/>
              </w:rPr>
            </w:pPr>
            <w:r>
              <w:rPr>
                <w:lang w:val="es-ES"/>
              </w:rPr>
              <w:t xml:space="preserve">43 </w:t>
            </w:r>
            <w:r>
              <w:rPr>
                <w:rFonts w:ascii="Symbol" w:hAnsi="Symbol"/>
                <w:lang w:val="es-ES"/>
              </w:rPr>
              <w:t></w:t>
            </w:r>
            <w:r>
              <w:rPr>
                <w:lang w:val="es-ES"/>
              </w:rPr>
              <w:t xml:space="preserve"> 10 log </w:t>
            </w:r>
            <w:r>
              <w:rPr>
                <w:i/>
                <w:lang w:val="es-ES"/>
              </w:rPr>
              <w:t>P</w:t>
            </w:r>
            <w:r>
              <w:rPr>
                <w:lang w:val="es-ES"/>
              </w:rPr>
              <w:t>, o 70 dBc, cualquiera sea el menos estricto</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Servicios espaciales (estaciones terrenas móviles)</w:t>
            </w:r>
            <w:r>
              <w:rPr>
                <w:vertAlign w:val="superscript"/>
                <w:lang w:val="es-ES"/>
              </w:rPr>
              <w:t>(3), (4)</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 xml:space="preserve">43 </w:t>
            </w:r>
            <w:r>
              <w:rPr>
                <w:rFonts w:ascii="Symbol" w:hAnsi="Symbol"/>
                <w:lang w:val="es-ES"/>
              </w:rPr>
              <w:t></w:t>
            </w:r>
            <w:r>
              <w:rPr>
                <w:lang w:val="es-ES"/>
              </w:rPr>
              <w:t xml:space="preserve"> 10 log </w:t>
            </w:r>
            <w:r>
              <w:rPr>
                <w:i/>
                <w:lang w:val="es-ES"/>
              </w:rPr>
              <w:t>P</w:t>
            </w:r>
            <w:r>
              <w:rPr>
                <w:lang w:val="es-ES"/>
              </w:rPr>
              <w:t>, o 60 dBc, cualquiera sea el menos estricto</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vertAlign w:val="superscript"/>
                <w:lang w:val="es-ES"/>
              </w:rPr>
            </w:pPr>
            <w:r>
              <w:rPr>
                <w:lang w:val="es-ES"/>
              </w:rPr>
              <w:t>Servicios espaciales (estaciones terrenas fijas)</w:t>
            </w:r>
            <w:r>
              <w:rPr>
                <w:vertAlign w:val="superscript"/>
                <w:lang w:val="es-ES"/>
              </w:rPr>
              <w:t>(3), (4)</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 xml:space="preserve">43 </w:t>
            </w:r>
            <w:r>
              <w:rPr>
                <w:rFonts w:ascii="Symbol" w:hAnsi="Symbol"/>
                <w:lang w:val="es-ES"/>
              </w:rPr>
              <w:t></w:t>
            </w:r>
            <w:r>
              <w:rPr>
                <w:lang w:val="es-ES"/>
              </w:rPr>
              <w:t xml:space="preserve"> 10 log </w:t>
            </w:r>
            <w:r>
              <w:rPr>
                <w:i/>
                <w:lang w:val="es-ES"/>
              </w:rPr>
              <w:t>P</w:t>
            </w:r>
            <w:r>
              <w:rPr>
                <w:lang w:val="es-ES"/>
              </w:rPr>
              <w:t>, o 60 dBc, cualquiera sea el menos estricto</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Servicios espaciales (estaciones espaciales)</w:t>
            </w:r>
            <w:r>
              <w:rPr>
                <w:vertAlign w:val="superscript"/>
                <w:lang w:val="es-ES"/>
              </w:rPr>
              <w:t>(3), (5), (6)</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 xml:space="preserve">43 </w:t>
            </w:r>
            <w:r>
              <w:rPr>
                <w:rFonts w:ascii="Symbol" w:hAnsi="Symbol"/>
                <w:lang w:val="es-ES"/>
              </w:rPr>
              <w:t></w:t>
            </w:r>
            <w:r>
              <w:rPr>
                <w:lang w:val="es-ES"/>
              </w:rPr>
              <w:t xml:space="preserve"> 10 log </w:t>
            </w:r>
            <w:r>
              <w:rPr>
                <w:i/>
                <w:lang w:val="es-ES"/>
              </w:rPr>
              <w:t>P</w:t>
            </w:r>
            <w:r>
              <w:rPr>
                <w:lang w:val="es-ES"/>
              </w:rPr>
              <w:t>, o 60 dBc, cualquiera sea el menos estricto</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vertAlign w:val="superscript"/>
                <w:lang w:val="es-ES"/>
              </w:rPr>
            </w:pPr>
            <w:r>
              <w:rPr>
                <w:lang w:val="es-ES"/>
              </w:rPr>
              <w:t>Radiodeterminación</w:t>
            </w:r>
            <w:r>
              <w:rPr>
                <w:vertAlign w:val="superscript"/>
                <w:lang w:val="es-ES"/>
              </w:rPr>
              <w:t>(7)</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 xml:space="preserve">43 </w:t>
            </w:r>
            <w:r>
              <w:rPr>
                <w:rFonts w:ascii="Symbol" w:hAnsi="Symbol"/>
                <w:lang w:val="es-ES"/>
              </w:rPr>
              <w:t></w:t>
            </w:r>
            <w:r>
              <w:rPr>
                <w:lang w:val="es-ES"/>
              </w:rPr>
              <w:t xml:space="preserve"> 10 log </w:t>
            </w:r>
            <w:r>
              <w:rPr>
                <w:i/>
                <w:lang w:val="es-ES"/>
              </w:rPr>
              <w:t>PEP</w:t>
            </w:r>
            <w:r>
              <w:rPr>
                <w:lang w:val="es-ES"/>
              </w:rPr>
              <w:t>, o 60 dB, cualquiera sea el menos estricto</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Radiodifusión de televisión</w:t>
            </w:r>
            <w:r>
              <w:rPr>
                <w:vertAlign w:val="superscript"/>
                <w:lang w:val="es-ES"/>
              </w:rPr>
              <w:t>(8)</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 xml:space="preserve">46 </w:t>
            </w:r>
            <w:r>
              <w:rPr>
                <w:rFonts w:ascii="Symbol" w:hAnsi="Symbol"/>
                <w:lang w:val="es-ES"/>
              </w:rPr>
              <w:t></w:t>
            </w:r>
            <w:r>
              <w:rPr>
                <w:lang w:val="es-ES"/>
              </w:rPr>
              <w:t xml:space="preserve"> 10 log </w:t>
            </w:r>
            <w:r>
              <w:rPr>
                <w:i/>
                <w:lang w:val="es-ES"/>
              </w:rPr>
              <w:t>P</w:t>
            </w:r>
            <w:r>
              <w:rPr>
                <w:lang w:val="es-ES"/>
              </w:rPr>
              <w:t>, o 60 dBc, cualquiera sea el menos estricto, sin superar el nivel de potencia media absoluta de 1 mW para estaciones en ondas métricas o de 12 mW para estaciones en ondas decimétricas. No obstante, puede ser necesario una mayor atenuación sobre la base de caso por caso</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Radiodifusión en MF</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 xml:space="preserve">46 </w:t>
            </w:r>
            <w:r>
              <w:rPr>
                <w:rFonts w:ascii="Symbol" w:hAnsi="Symbol"/>
                <w:lang w:val="es-ES"/>
              </w:rPr>
              <w:t></w:t>
            </w:r>
            <w:r>
              <w:rPr>
                <w:lang w:val="es-ES"/>
              </w:rPr>
              <w:t xml:space="preserve"> 10 log </w:t>
            </w:r>
            <w:r>
              <w:rPr>
                <w:i/>
                <w:lang w:val="es-ES"/>
              </w:rPr>
              <w:t>P</w:t>
            </w:r>
            <w:r>
              <w:rPr>
                <w:lang w:val="es-ES"/>
              </w:rPr>
              <w:t>, o 70 dBc, cualquiera sea el menos estricto; no se debe rebasar el nivel de potencia media absoluta de 1 mW</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Radiod</w:t>
            </w:r>
            <w:r w:rsidR="00FB2ED1">
              <w:rPr>
                <w:lang w:val="es-ES"/>
              </w:rPr>
              <w:t>ifusión en ondas hectométricas/</w:t>
            </w:r>
            <w:r>
              <w:rPr>
                <w:lang w:val="es-ES"/>
              </w:rPr>
              <w:t>decamétricas</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No se debe rebasar 50 dBc ni el nivel de potencia media absoluta de 50 mW</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BLU para estaciones móviles</w:t>
            </w:r>
            <w:r>
              <w:rPr>
                <w:vertAlign w:val="superscript"/>
                <w:lang w:val="es-ES"/>
              </w:rPr>
              <w:t>(9)</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43 dB por debajo de la PEP</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Servicios de radioaficionados que funcionan por debajo de 30 MHz (incluidos servicios en BLU)</w:t>
            </w:r>
            <w:r>
              <w:rPr>
                <w:vertAlign w:val="superscript"/>
                <w:lang w:val="es-ES"/>
              </w:rPr>
              <w:t>(9)</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 xml:space="preserve">43 </w:t>
            </w:r>
            <w:r>
              <w:rPr>
                <w:rFonts w:ascii="Symbol" w:hAnsi="Symbol"/>
                <w:lang w:val="es-ES"/>
              </w:rPr>
              <w:t></w:t>
            </w:r>
            <w:r>
              <w:rPr>
                <w:lang w:val="es-ES"/>
              </w:rPr>
              <w:t xml:space="preserve"> 10 log </w:t>
            </w:r>
            <w:r>
              <w:rPr>
                <w:i/>
                <w:lang w:val="es-ES"/>
              </w:rPr>
              <w:t>PEP</w:t>
            </w:r>
            <w:r>
              <w:rPr>
                <w:lang w:val="es-ES"/>
              </w:rPr>
              <w:t>, o 50 dB, cualquiera sea el menos estricto</w:t>
            </w:r>
          </w:p>
        </w:tc>
      </w:tr>
      <w:tr w:rsidR="002E5EB0" w:rsidRPr="00DD03A6" w:rsidTr="0018704C">
        <w:trPr>
          <w:cantSplit/>
          <w:jc w:val="center"/>
        </w:trPr>
        <w:tc>
          <w:tcPr>
            <w:tcW w:w="4876" w:type="dxa"/>
            <w:tcBorders>
              <w:top w:val="nil"/>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Servicios que funcionan por debajo de 30 MHz, excepto los servicios espaciales, de radiodeterminación, de radiodifusión, los que utilizan BLU en estaciones móviles, y de radioaficionados</w:t>
            </w:r>
            <w:r>
              <w:rPr>
                <w:vertAlign w:val="superscript"/>
                <w:lang w:val="es-ES"/>
              </w:rPr>
              <w:t>(9)</w:t>
            </w:r>
          </w:p>
        </w:tc>
        <w:tc>
          <w:tcPr>
            <w:tcW w:w="4762" w:type="dxa"/>
            <w:tcBorders>
              <w:top w:val="nil"/>
              <w:left w:val="single" w:sz="6" w:space="0" w:color="auto"/>
              <w:bottom w:val="single" w:sz="6" w:space="0" w:color="auto"/>
              <w:right w:val="single" w:sz="6" w:space="0" w:color="auto"/>
            </w:tcBorders>
          </w:tcPr>
          <w:p w:rsidR="0019173C" w:rsidRDefault="002E5EB0" w:rsidP="0019173C">
            <w:pPr>
              <w:pStyle w:val="Tabletext"/>
              <w:jc w:val="left"/>
              <w:rPr>
                <w:lang w:val="es-ES"/>
              </w:rPr>
            </w:pPr>
            <w:r>
              <w:rPr>
                <w:lang w:val="es-ES"/>
              </w:rPr>
              <w:t xml:space="preserve">43 </w:t>
            </w:r>
            <w:r>
              <w:rPr>
                <w:rFonts w:ascii="Symbol" w:hAnsi="Symbol"/>
                <w:lang w:val="es-ES"/>
              </w:rPr>
              <w:t></w:t>
            </w:r>
            <w:r>
              <w:rPr>
                <w:lang w:val="es-ES"/>
              </w:rPr>
              <w:t xml:space="preserve"> 10 log </w:t>
            </w:r>
            <w:r>
              <w:rPr>
                <w:i/>
                <w:lang w:val="es-ES"/>
              </w:rPr>
              <w:t>X</w:t>
            </w:r>
            <w:r>
              <w:rPr>
                <w:lang w:val="es-ES"/>
              </w:rPr>
              <w:t>, o 60 dBc, cualquiera sea el menos estricto,</w:t>
            </w:r>
          </w:p>
          <w:p w:rsidR="002E5EB0" w:rsidRDefault="002E5EB0" w:rsidP="0019173C">
            <w:pPr>
              <w:pStyle w:val="Tabletext"/>
              <w:jc w:val="left"/>
              <w:rPr>
                <w:lang w:val="es-ES"/>
              </w:rPr>
            </w:pPr>
            <w:r>
              <w:rPr>
                <w:lang w:val="es-ES"/>
              </w:rPr>
              <w:t>donde:</w:t>
            </w:r>
            <w:r>
              <w:rPr>
                <w:lang w:val="es-ES"/>
              </w:rPr>
              <w:br/>
            </w:r>
            <w:r>
              <w:rPr>
                <w:lang w:val="es-ES"/>
              </w:rPr>
              <w:tab/>
            </w:r>
            <w:r>
              <w:rPr>
                <w:i/>
                <w:iCs/>
                <w:lang w:val="es-ES"/>
              </w:rPr>
              <w:t>X</w:t>
            </w:r>
            <w:r>
              <w:rPr>
                <w:lang w:val="es-ES"/>
              </w:rPr>
              <w:t xml:space="preserve"> </w:t>
            </w:r>
            <w:r>
              <w:rPr>
                <w:rFonts w:ascii="Symbol" w:hAnsi="Symbol"/>
                <w:lang w:val="es-ES"/>
              </w:rPr>
              <w:t></w:t>
            </w:r>
            <w:r>
              <w:rPr>
                <w:lang w:val="es-ES"/>
              </w:rPr>
              <w:t xml:space="preserve"> </w:t>
            </w:r>
            <w:r>
              <w:rPr>
                <w:i/>
                <w:iCs/>
                <w:lang w:val="es-ES"/>
              </w:rPr>
              <w:t>PEP</w:t>
            </w:r>
            <w:r>
              <w:rPr>
                <w:lang w:val="es-ES"/>
              </w:rPr>
              <w:t xml:space="preserve"> para modulación en BLU</w:t>
            </w:r>
            <w:r>
              <w:rPr>
                <w:lang w:val="es-ES"/>
              </w:rPr>
              <w:br/>
            </w:r>
            <w:r>
              <w:rPr>
                <w:lang w:val="es-ES"/>
              </w:rPr>
              <w:tab/>
            </w:r>
            <w:r>
              <w:rPr>
                <w:i/>
                <w:iCs/>
                <w:lang w:val="es-ES"/>
              </w:rPr>
              <w:t>X</w:t>
            </w:r>
            <w:r>
              <w:rPr>
                <w:lang w:val="es-ES"/>
              </w:rPr>
              <w:t xml:space="preserve"> </w:t>
            </w:r>
            <w:r>
              <w:rPr>
                <w:rFonts w:ascii="Symbol" w:hAnsi="Symbol"/>
                <w:lang w:val="es-ES"/>
              </w:rPr>
              <w:t></w:t>
            </w:r>
            <w:r>
              <w:rPr>
                <w:lang w:val="es-ES"/>
              </w:rPr>
              <w:t xml:space="preserve"> </w:t>
            </w:r>
            <w:r>
              <w:rPr>
                <w:i/>
                <w:iCs/>
                <w:lang w:val="es-ES"/>
              </w:rPr>
              <w:t>P</w:t>
            </w:r>
            <w:r>
              <w:rPr>
                <w:lang w:val="es-ES"/>
              </w:rPr>
              <w:t xml:space="preserve"> para otros tipos de modulación</w:t>
            </w:r>
          </w:p>
        </w:tc>
      </w:tr>
      <w:tr w:rsidR="002E5EB0" w:rsidRPr="00DD03A6"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Equipo radioeléctrico de baja potencia</w:t>
            </w:r>
            <w:r>
              <w:rPr>
                <w:vertAlign w:val="superscript"/>
                <w:lang w:val="es-ES"/>
              </w:rPr>
              <w:t>(10)</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 xml:space="preserve">56 </w:t>
            </w:r>
            <w:r>
              <w:rPr>
                <w:rFonts w:ascii="Symbol" w:hAnsi="Symbol"/>
                <w:lang w:val="es-ES"/>
              </w:rPr>
              <w:t></w:t>
            </w:r>
            <w:r>
              <w:rPr>
                <w:lang w:val="es-ES"/>
              </w:rPr>
              <w:t xml:space="preserve"> 10 log </w:t>
            </w:r>
            <w:r>
              <w:rPr>
                <w:i/>
                <w:lang w:val="es-ES"/>
              </w:rPr>
              <w:t>P</w:t>
            </w:r>
            <w:r>
              <w:rPr>
                <w:lang w:val="es-ES"/>
              </w:rPr>
              <w:t xml:space="preserve"> o 40 dBc, cualquiera sea el menos estricto</w:t>
            </w:r>
          </w:p>
        </w:tc>
      </w:tr>
      <w:tr w:rsidR="002E5EB0" w:rsidTr="0018704C">
        <w:trPr>
          <w:cantSplit/>
          <w:jc w:val="center"/>
        </w:trPr>
        <w:tc>
          <w:tcPr>
            <w:tcW w:w="4876" w:type="dxa"/>
            <w:tcBorders>
              <w:top w:val="single" w:sz="6" w:space="0" w:color="auto"/>
              <w:left w:val="single" w:sz="6" w:space="0" w:color="auto"/>
              <w:bottom w:val="single" w:sz="6" w:space="0" w:color="auto"/>
              <w:right w:val="single" w:sz="6" w:space="0" w:color="auto"/>
            </w:tcBorders>
          </w:tcPr>
          <w:p w:rsidR="00693242" w:rsidRDefault="002E5EB0" w:rsidP="0018704C">
            <w:pPr>
              <w:pStyle w:val="Tabletext"/>
              <w:jc w:val="left"/>
              <w:rPr>
                <w:lang w:val="es-ES"/>
              </w:rPr>
            </w:pPr>
            <w:r>
              <w:rPr>
                <w:lang w:val="es-ES"/>
              </w:rPr>
              <w:t>Radiobaliza de localización de siniestros (RLS), transmisor localizador de siniestros (ELT), baliza de</w:t>
            </w:r>
            <w:r w:rsidR="0018704C">
              <w:rPr>
                <w:lang w:val="es-ES"/>
              </w:rPr>
              <w:t> </w:t>
            </w:r>
            <w:r>
              <w:rPr>
                <w:lang w:val="es-ES"/>
              </w:rPr>
              <w:t>localización personal (PLB), transpondedor de búsqueda y salvamento (SART), transmisores en barcos de socorro, botes de salvamento y estaciones de embarcación o dispositivos de salvamento; y transmisores en unidades móviles terrestres, marítimas o aeronáuticas en operaciones de socorro</w:t>
            </w:r>
          </w:p>
        </w:tc>
        <w:tc>
          <w:tcPr>
            <w:tcW w:w="4762" w:type="dxa"/>
            <w:tcBorders>
              <w:top w:val="single" w:sz="6" w:space="0" w:color="auto"/>
              <w:left w:val="single" w:sz="6" w:space="0" w:color="auto"/>
              <w:bottom w:val="single" w:sz="6" w:space="0" w:color="auto"/>
              <w:right w:val="single" w:sz="6" w:space="0" w:color="auto"/>
            </w:tcBorders>
          </w:tcPr>
          <w:p w:rsidR="002E5EB0" w:rsidRDefault="002E5EB0" w:rsidP="0019173C">
            <w:pPr>
              <w:pStyle w:val="Tabletext"/>
              <w:jc w:val="left"/>
              <w:rPr>
                <w:lang w:val="es-ES"/>
              </w:rPr>
            </w:pPr>
            <w:r>
              <w:rPr>
                <w:lang w:val="es-ES"/>
              </w:rPr>
              <w:t>Sin límites</w:t>
            </w:r>
          </w:p>
        </w:tc>
      </w:tr>
    </w:tbl>
    <w:p w:rsidR="0018704C" w:rsidRDefault="0018704C" w:rsidP="0018704C">
      <w:pPr>
        <w:pStyle w:val="Tablefin"/>
      </w:pPr>
    </w:p>
    <w:tbl>
      <w:tblPr>
        <w:tblW w:w="9639" w:type="dxa"/>
        <w:jc w:val="center"/>
        <w:tblLayout w:type="fixed"/>
        <w:tblCellMar>
          <w:left w:w="107" w:type="dxa"/>
          <w:right w:w="107" w:type="dxa"/>
        </w:tblCellMar>
        <w:tblLook w:val="0000" w:firstRow="0" w:lastRow="0" w:firstColumn="0" w:lastColumn="0" w:noHBand="0" w:noVBand="0"/>
      </w:tblPr>
      <w:tblGrid>
        <w:gridCol w:w="9639"/>
      </w:tblGrid>
      <w:tr w:rsidR="00FB2ED1" w:rsidRPr="00DD03A6" w:rsidTr="00693242">
        <w:trPr>
          <w:cantSplit/>
          <w:jc w:val="center"/>
        </w:trPr>
        <w:tc>
          <w:tcPr>
            <w:tcW w:w="9639" w:type="dxa"/>
          </w:tcPr>
          <w:p w:rsidR="00FB2ED1" w:rsidRPr="001C121E" w:rsidRDefault="00FB2ED1" w:rsidP="0018704C">
            <w:pPr>
              <w:pStyle w:val="Tablelegend"/>
              <w:ind w:left="0" w:firstLine="0"/>
              <w:rPr>
                <w:i/>
                <w:iCs/>
                <w:lang w:val="es-ES"/>
              </w:rPr>
            </w:pPr>
            <w:r w:rsidRPr="001C121E">
              <w:rPr>
                <w:i/>
                <w:iCs/>
                <w:lang w:val="es-ES"/>
              </w:rPr>
              <w:lastRenderedPageBreak/>
              <w:t>Notas relativas al Cuadro 2:</w:t>
            </w:r>
          </w:p>
          <w:p w:rsidR="00FB2ED1" w:rsidRPr="00ED6AC7" w:rsidRDefault="00FB2ED1" w:rsidP="0011563C">
            <w:pPr>
              <w:pStyle w:val="Tablelegend"/>
              <w:ind w:left="567" w:hanging="567"/>
              <w:rPr>
                <w:lang w:val="es-ES_tradnl"/>
              </w:rPr>
            </w:pPr>
            <w:r w:rsidRPr="00ED6AC7">
              <w:rPr>
                <w:i/>
                <w:iCs/>
                <w:lang w:val="es-ES_tradnl"/>
              </w:rPr>
              <w:t>P</w:t>
            </w:r>
            <w:r w:rsidRPr="00ED6AC7">
              <w:rPr>
                <w:lang w:val="es-ES_tradnl"/>
              </w:rPr>
              <w:t>:</w:t>
            </w:r>
            <w:r w:rsidRPr="00ED6AC7">
              <w:rPr>
                <w:lang w:val="es-ES_tradnl"/>
              </w:rPr>
              <w:tab/>
            </w:r>
            <w:r w:rsidRPr="00ED6AC7">
              <w:rPr>
                <w:lang w:val="es-ES_tradnl"/>
              </w:rPr>
              <w:tab/>
              <w:t>potencia media (W) en la línea de transmisión de la antena, conforme al número 1.158 del RR. Cuando se utiliza transmisión en ráfagas, la potencia media, P y la potencia media de cualquier emisión en el dominio no esencial se miden utilizando el promedio de potencia con respecto a la duración de la ráfaga.</w:t>
            </w:r>
          </w:p>
          <w:p w:rsidR="00FB2ED1" w:rsidRPr="00ED6AC7" w:rsidRDefault="00FB2ED1" w:rsidP="0011563C">
            <w:pPr>
              <w:pStyle w:val="Tablelegend"/>
              <w:ind w:left="567" w:hanging="567"/>
              <w:rPr>
                <w:lang w:val="es-ES_tradnl"/>
              </w:rPr>
            </w:pPr>
            <w:r w:rsidRPr="00ED6AC7">
              <w:rPr>
                <w:i/>
                <w:iCs/>
                <w:lang w:val="es-ES_tradnl"/>
              </w:rPr>
              <w:t>PEP</w:t>
            </w:r>
            <w:r w:rsidRPr="00ED6AC7">
              <w:rPr>
                <w:lang w:val="es-ES_tradnl"/>
              </w:rPr>
              <w:t>:</w:t>
            </w:r>
            <w:r w:rsidRPr="00ED6AC7">
              <w:rPr>
                <w:lang w:val="es-ES_tradnl"/>
              </w:rPr>
              <w:tab/>
              <w:t>potencia en la cresta de la envolvente (W), en la línea de transmisión de la antena, conforme con el número 1.157 del RR.</w:t>
            </w:r>
          </w:p>
          <w:p w:rsidR="00FB2ED1" w:rsidRPr="00ED6AC7" w:rsidRDefault="00FB2ED1" w:rsidP="0011563C">
            <w:pPr>
              <w:pStyle w:val="Tablelegend"/>
              <w:ind w:left="567" w:hanging="567"/>
              <w:rPr>
                <w:lang w:val="es-ES_tradnl"/>
              </w:rPr>
            </w:pPr>
            <w:r w:rsidRPr="00ED6AC7">
              <w:rPr>
                <w:lang w:val="es-ES_tradnl"/>
              </w:rPr>
              <w:tab/>
            </w:r>
            <w:r w:rsidRPr="00ED6AC7">
              <w:rPr>
                <w:lang w:val="es-ES_tradnl"/>
              </w:rPr>
              <w:tab/>
              <w:t>Cuando se utiliza el término P, la potencia suministrada a la línea de transmisión de la antena y las emisiones en el dominio no esencial deben evaluarse en términos de potencia media y de potencia media en la anchura de banda de referencia, respectivamente. Cuando se utiliza el término PEP, la potencia suministrada a la línea de transmisión de la antena y las emisiones en el dominio no esencial deben evaluarse en términos de potencia en la cresta de la envolvente y potencia en la cresta de la envolvente en la anchura de banda de referencia, respectivamente. No obstante, cuando la medición de las emisiones en el dominio no esencial en términos de la PEP sea difícil debido al carácter de la emisión en el dominio no esencial (por ejemplo, ruido gaussiano), se permite evaluar la potencia suministrada a la línea de transmisión de la antena y la potencia de la emisión en el dominio no esencial en términos de la potencia media (véase el Anexo 2).</w:t>
            </w:r>
          </w:p>
          <w:p w:rsidR="00FB2ED1" w:rsidRPr="00ED6AC7" w:rsidRDefault="00FB2ED1" w:rsidP="0011563C">
            <w:pPr>
              <w:pStyle w:val="Tablelegend"/>
              <w:ind w:left="567" w:hanging="567"/>
              <w:rPr>
                <w:lang w:val="es-ES_tradnl"/>
              </w:rPr>
            </w:pPr>
            <w:r w:rsidRPr="00ED6AC7">
              <w:rPr>
                <w:lang w:val="es-ES_tradnl"/>
              </w:rPr>
              <w:t>dBc:</w:t>
            </w:r>
            <w:r w:rsidRPr="00ED6AC7">
              <w:rPr>
                <w:lang w:val="es-ES_tradnl"/>
              </w:rPr>
              <w:tab/>
              <w:t>decibelios relativos a la potencia de la portadora sin modular de la emisión. En los casos en que no haya portadora, como por ejemplo en algunos esquemas de modulación digital en los que la portadora no es accesible a los fines de medición, el nivel de referencia equivalente a dBc son decibelios relativos a la potencia media P.</w:t>
            </w:r>
          </w:p>
          <w:p w:rsidR="00FB2ED1" w:rsidRPr="00ED6AC7" w:rsidRDefault="00FB2ED1" w:rsidP="0011563C">
            <w:pPr>
              <w:pStyle w:val="Tablelegend"/>
              <w:ind w:left="567" w:hanging="567"/>
              <w:rPr>
                <w:lang w:val="es-ES_tradnl"/>
              </w:rPr>
            </w:pPr>
            <w:r w:rsidRPr="00ED6AC7">
              <w:rPr>
                <w:vertAlign w:val="superscript"/>
                <w:lang w:val="es-ES_tradnl"/>
              </w:rPr>
              <w:t>(1)</w:t>
            </w:r>
            <w:r w:rsidRPr="00ED6AC7">
              <w:rPr>
                <w:lang w:val="es-ES_tradnl"/>
              </w:rPr>
              <w:tab/>
            </w:r>
            <w:r w:rsidR="001C121E" w:rsidRPr="00ED6AC7">
              <w:rPr>
                <w:lang w:val="es-ES_tradnl"/>
              </w:rPr>
              <w:tab/>
            </w:r>
            <w:r w:rsidRPr="00ED6AC7">
              <w:rPr>
                <w:lang w:val="es-ES_tradnl"/>
              </w:rPr>
              <w:t xml:space="preserve">En algunos casos de modulación digital y transmisores de alta potencia en banda estrecha para todas las categorías de servicios, podrían existir dificultades en cumplir los límites cercanos a </w:t>
            </w:r>
            <w:r w:rsidRPr="00B376A2">
              <w:t></w:t>
            </w:r>
            <w:r w:rsidRPr="00ED6AC7">
              <w:rPr>
                <w:lang w:val="es-ES_tradnl"/>
              </w:rPr>
              <w:t>250% de la anchura de banda necesaria.</w:t>
            </w:r>
          </w:p>
          <w:p w:rsidR="00FB2ED1" w:rsidRPr="00ED6AC7" w:rsidRDefault="00FB2ED1" w:rsidP="0011563C">
            <w:pPr>
              <w:pStyle w:val="Tablelegend"/>
              <w:ind w:left="567" w:hanging="567"/>
              <w:rPr>
                <w:lang w:val="es-ES_tradnl"/>
              </w:rPr>
            </w:pPr>
            <w:r w:rsidRPr="00ED6AC7">
              <w:rPr>
                <w:vertAlign w:val="superscript"/>
                <w:lang w:val="es-ES_tradnl"/>
              </w:rPr>
              <w:t>(2)</w:t>
            </w:r>
            <w:r w:rsidRPr="00ED6AC7">
              <w:rPr>
                <w:lang w:val="es-ES_tradnl"/>
              </w:rPr>
              <w:tab/>
            </w:r>
            <w:r w:rsidR="001C121E" w:rsidRPr="00ED6AC7">
              <w:rPr>
                <w:lang w:val="es-ES_tradnl"/>
              </w:rPr>
              <w:tab/>
            </w:r>
            <w:r w:rsidRPr="00ED6AC7">
              <w:rPr>
                <w:lang w:val="es-ES_tradnl"/>
              </w:rPr>
              <w:t>Cuando no es práctico acceder a la transición entre el transmisor y la línea de transmisión de la antena, se podrá utilizar el método de la p.i.r.e. que figura en el § 3.3 del Anexo 2.</w:t>
            </w:r>
          </w:p>
          <w:p w:rsidR="00FB2ED1" w:rsidRPr="00B376A2" w:rsidRDefault="00FB2ED1" w:rsidP="0011563C">
            <w:pPr>
              <w:pStyle w:val="Tablelegend"/>
              <w:ind w:left="567" w:hanging="567"/>
              <w:rPr>
                <w:lang w:val="es-ES_tradnl"/>
              </w:rPr>
            </w:pPr>
            <w:r w:rsidRPr="00B376A2">
              <w:rPr>
                <w:vertAlign w:val="superscript"/>
                <w:lang w:val="es-ES_tradnl"/>
              </w:rPr>
              <w:t>(3)</w:t>
            </w:r>
            <w:r w:rsidRPr="00B376A2">
              <w:rPr>
                <w:lang w:val="es-ES_tradnl"/>
              </w:rPr>
              <w:tab/>
            </w:r>
            <w:r w:rsidR="001C121E" w:rsidRPr="00B376A2">
              <w:rPr>
                <w:lang w:val="es-ES_tradnl"/>
              </w:rPr>
              <w:tab/>
            </w:r>
            <w:r w:rsidRPr="00B376A2">
              <w:rPr>
                <w:lang w:val="es-ES_tradnl"/>
              </w:rPr>
              <w:t>Los límites de las emisiones en el dominio no esencial para todos los servicios espaciales están establecidos en una anchura de banda de referencia de 4 kHz.</w:t>
            </w:r>
          </w:p>
          <w:p w:rsidR="00FB2ED1" w:rsidRPr="00B376A2" w:rsidRDefault="00FB2ED1" w:rsidP="0011563C">
            <w:pPr>
              <w:pStyle w:val="Tablelegend"/>
              <w:ind w:left="567" w:hanging="567"/>
              <w:rPr>
                <w:lang w:val="es-ES_tradnl"/>
              </w:rPr>
            </w:pPr>
            <w:r w:rsidRPr="00B376A2">
              <w:rPr>
                <w:vertAlign w:val="superscript"/>
                <w:lang w:val="es-ES_tradnl"/>
              </w:rPr>
              <w:t>(4)</w:t>
            </w:r>
            <w:r w:rsidRPr="00B376A2">
              <w:rPr>
                <w:lang w:val="es-ES_tradnl"/>
              </w:rPr>
              <w:tab/>
            </w:r>
            <w:r w:rsidR="001C121E" w:rsidRPr="00B376A2">
              <w:rPr>
                <w:lang w:val="es-ES_tradnl"/>
              </w:rPr>
              <w:tab/>
            </w:r>
            <w:r w:rsidRPr="00B376A2">
              <w:rPr>
                <w:lang w:val="es-ES_tradnl"/>
              </w:rPr>
              <w:t>Las estaciones terrenas del servicio de aficionados por satélite que funcionan por debajo de 30 MHz se incluyen en la categoría de servicio «servicios de aficionado por debajo de 30 MHz (incluyendo la BLU)».</w:t>
            </w:r>
          </w:p>
          <w:p w:rsidR="00FB2ED1" w:rsidRPr="00ED6AC7" w:rsidRDefault="00FB2ED1" w:rsidP="0011563C">
            <w:pPr>
              <w:pStyle w:val="Tablelegend"/>
              <w:ind w:left="567" w:hanging="567"/>
              <w:rPr>
                <w:lang w:val="es-ES_tradnl"/>
              </w:rPr>
            </w:pPr>
            <w:r w:rsidRPr="00ED6AC7">
              <w:rPr>
                <w:vertAlign w:val="superscript"/>
                <w:lang w:val="es-ES_tradnl"/>
              </w:rPr>
              <w:t>(5)</w:t>
            </w:r>
            <w:r w:rsidRPr="00ED6AC7">
              <w:rPr>
                <w:lang w:val="es-ES_tradnl"/>
              </w:rPr>
              <w:tab/>
            </w:r>
            <w:r w:rsidR="001C121E" w:rsidRPr="00ED6AC7">
              <w:rPr>
                <w:lang w:val="es-ES_tradnl"/>
              </w:rPr>
              <w:tab/>
            </w:r>
            <w:r w:rsidRPr="00ED6AC7">
              <w:rPr>
                <w:lang w:val="es-ES_tradnl"/>
              </w:rPr>
              <w:t>Para el caso de un satélite que utilice más de un transpondedor en la misma zona de servicio, y cuando se consideren los límites de las emisiones en el dominio no esencial, tal como se indica en el Cuadro 2, las emisiones en el dominio no esencial de un transpondedor pueden caer en una frecuencia a la que transmite otro de los transpondedores. En estas situaciones, el nivel de las emisiones en el dominio no esencial procedentes del primer transpondedor es ampliamente superado por las emisiones funda</w:t>
            </w:r>
            <w:r w:rsidRPr="00ED6AC7">
              <w:rPr>
                <w:lang w:val="es-ES_tradnl"/>
              </w:rPr>
              <w:softHyphen/>
              <w:t>mentales o en el dominio fuera de banda del segundo transpondedor. Por tanto, no deben aplicarse los límites a estas emisiones en el dominio no esencial de un satélite que caigan dentro de la anchura de banda necesaria o en el dominio fuera de banda de otro transpondedor del mismo satélite y que cubra la misma zona de servicio (véase el Apéndice 3 del RR).</w:t>
            </w:r>
          </w:p>
          <w:p w:rsidR="00FB2ED1" w:rsidRPr="00ED6AC7" w:rsidRDefault="00FB2ED1" w:rsidP="0011563C">
            <w:pPr>
              <w:pStyle w:val="Tablelegend"/>
              <w:ind w:left="567" w:hanging="567"/>
              <w:rPr>
                <w:lang w:val="es-ES_tradnl"/>
              </w:rPr>
            </w:pPr>
            <w:r w:rsidRPr="00ED6AC7">
              <w:rPr>
                <w:vertAlign w:val="superscript"/>
                <w:lang w:val="es-ES_tradnl"/>
              </w:rPr>
              <w:t>(6)</w:t>
            </w:r>
            <w:r w:rsidRPr="00ED6AC7">
              <w:rPr>
                <w:lang w:val="es-ES_tradnl"/>
              </w:rPr>
              <w:tab/>
            </w:r>
            <w:r w:rsidR="001C121E" w:rsidRPr="00ED6AC7">
              <w:rPr>
                <w:lang w:val="es-ES_tradnl"/>
              </w:rPr>
              <w:tab/>
            </w:r>
            <w:r w:rsidRPr="00ED6AC7">
              <w:rPr>
                <w:lang w:val="es-ES_tradnl"/>
              </w:rPr>
              <w:t>Las estaciones espaciales del servicio de investigación espacial destinadas a funcionar en el espacio profundo, tal como se define en el número 1.177 del RR, están exentas de los límites de las emisiones en el dominio no esencial.</w:t>
            </w:r>
          </w:p>
          <w:p w:rsidR="00FB2ED1" w:rsidRPr="00ED6AC7" w:rsidRDefault="00FB2ED1" w:rsidP="0011563C">
            <w:pPr>
              <w:pStyle w:val="Tablelegend"/>
              <w:ind w:left="567" w:hanging="567"/>
              <w:rPr>
                <w:lang w:val="es-ES_tradnl"/>
              </w:rPr>
            </w:pPr>
            <w:r w:rsidRPr="00ED6AC7">
              <w:rPr>
                <w:vertAlign w:val="superscript"/>
                <w:lang w:val="es-ES_tradnl"/>
              </w:rPr>
              <w:t>(7)</w:t>
            </w:r>
            <w:r w:rsidRPr="00ED6AC7">
              <w:rPr>
                <w:lang w:val="es-ES_tradnl"/>
              </w:rPr>
              <w:tab/>
            </w:r>
            <w:r w:rsidR="001C121E" w:rsidRPr="00ED6AC7">
              <w:rPr>
                <w:lang w:val="es-ES_tradnl"/>
              </w:rPr>
              <w:tab/>
            </w:r>
            <w:r w:rsidRPr="00ED6AC7">
              <w:rPr>
                <w:lang w:val="es-ES_tradnl"/>
              </w:rPr>
              <w:t>La atenuación de las emisiones en el dominio no esencial (dB) de los sistemas de radiodeterminación (radar, tal como se define en el número 1.100 del RR) se determinan para los niveles de emisión radiada, y no para los existentes en la línea de transmisión de la antena. El método de medida para determinar los niveles de emisión radiada en el dominio no esencial de sistemas radar debe atenerse a las directrices de la Recomendación UIT-R M.1117.</w:t>
            </w:r>
          </w:p>
          <w:p w:rsidR="00FB2ED1" w:rsidRDefault="00FB2ED1" w:rsidP="0011563C">
            <w:pPr>
              <w:pStyle w:val="Tablelegend"/>
              <w:ind w:left="567" w:hanging="567"/>
              <w:rPr>
                <w:lang w:val="es-ES"/>
              </w:rPr>
            </w:pPr>
            <w:r w:rsidRPr="00ED6AC7">
              <w:rPr>
                <w:vertAlign w:val="superscript"/>
                <w:lang w:val="es-ES_tradnl"/>
              </w:rPr>
              <w:t>(8)</w:t>
            </w:r>
            <w:r w:rsidRPr="00ED6AC7">
              <w:rPr>
                <w:lang w:val="es-ES_tradnl"/>
              </w:rPr>
              <w:tab/>
            </w:r>
            <w:r w:rsidR="001C121E" w:rsidRPr="00ED6AC7">
              <w:rPr>
                <w:lang w:val="es-ES_tradnl"/>
              </w:rPr>
              <w:tab/>
            </w:r>
            <w:r w:rsidRPr="00ED6AC7">
              <w:rPr>
                <w:lang w:val="es-ES_tradnl"/>
              </w:rPr>
              <w:t>Para transmisiones de televisión analógicas, el nivel de potencia medio se define con una modulación de la señal de vídeo especificada. Esta señal de vídeo se debe determinar de modo tal que se suministre el máximo nivel de potencia media (por ejemplo, el nivel de supresión de la señal de vídeo para señales de televisión moduladas negativamente) a la línea de transmisión de la antena.</w:t>
            </w:r>
          </w:p>
        </w:tc>
      </w:tr>
      <w:tr w:rsidR="00693242" w:rsidRPr="00DD03A6" w:rsidTr="00693242">
        <w:trPr>
          <w:cantSplit/>
          <w:jc w:val="center"/>
        </w:trPr>
        <w:tc>
          <w:tcPr>
            <w:tcW w:w="9639" w:type="dxa"/>
          </w:tcPr>
          <w:p w:rsidR="00693242" w:rsidRPr="001C121E" w:rsidRDefault="00693242" w:rsidP="0011563C">
            <w:pPr>
              <w:pStyle w:val="Tablelegend"/>
              <w:ind w:left="0" w:firstLine="0"/>
              <w:rPr>
                <w:i/>
                <w:iCs/>
                <w:lang w:val="es-ES_tradnl"/>
              </w:rPr>
            </w:pPr>
            <w:r w:rsidRPr="001C121E">
              <w:rPr>
                <w:i/>
                <w:iCs/>
                <w:lang w:val="es-ES_tradnl"/>
              </w:rPr>
              <w:lastRenderedPageBreak/>
              <w:t xml:space="preserve">Notas relativas al Cuadro </w:t>
            </w:r>
            <w:r w:rsidRPr="00C8656E">
              <w:rPr>
                <w:i/>
                <w:iCs/>
                <w:lang w:val="es-ES_tradnl"/>
              </w:rPr>
              <w:t>2 (Fin):</w:t>
            </w:r>
          </w:p>
          <w:p w:rsidR="00693242" w:rsidRDefault="00693242" w:rsidP="0011563C">
            <w:pPr>
              <w:pStyle w:val="Tablelegend"/>
              <w:ind w:left="567" w:hanging="567"/>
              <w:rPr>
                <w:lang w:val="es-ES"/>
              </w:rPr>
            </w:pPr>
            <w:r>
              <w:rPr>
                <w:vertAlign w:val="superscript"/>
                <w:lang w:val="es-ES"/>
              </w:rPr>
              <w:t>(9)</w:t>
            </w:r>
            <w:r>
              <w:rPr>
                <w:lang w:val="es-ES"/>
              </w:rPr>
              <w:tab/>
            </w:r>
            <w:r w:rsidR="001C121E">
              <w:rPr>
                <w:lang w:val="es-ES"/>
              </w:rPr>
              <w:tab/>
            </w:r>
            <w:r>
              <w:rPr>
                <w:lang w:val="es-ES"/>
              </w:rPr>
              <w:t>Todas las clases de emisión que utilizan BLU se incluyen en la categoría «BLU».</w:t>
            </w:r>
          </w:p>
          <w:p w:rsidR="00693242" w:rsidRDefault="00693242" w:rsidP="0011563C">
            <w:pPr>
              <w:pStyle w:val="Tablelegend"/>
              <w:ind w:left="567" w:hanging="567"/>
              <w:rPr>
                <w:lang w:val="es-ES"/>
              </w:rPr>
            </w:pPr>
            <w:r>
              <w:rPr>
                <w:vertAlign w:val="superscript"/>
                <w:lang w:val="es-ES"/>
              </w:rPr>
              <w:t>(10)</w:t>
            </w:r>
            <w:r>
              <w:rPr>
                <w:lang w:val="es-ES"/>
              </w:rPr>
              <w:tab/>
            </w:r>
            <w:r w:rsidR="001C121E">
              <w:rPr>
                <w:lang w:val="es-ES"/>
              </w:rPr>
              <w:tab/>
            </w:r>
            <w:r>
              <w:rPr>
                <w:lang w:val="es-ES"/>
              </w:rPr>
              <w:t>Dispositivos radioeléctricos que tengan una potencia de salida máxima menor que 100 mW y estén destinados a comunicaciones de corto alcance o fines de control (estos equipos están, por lo general, exentos del otorgamiento de licencia).</w:t>
            </w:r>
          </w:p>
        </w:tc>
      </w:tr>
    </w:tbl>
    <w:p w:rsidR="00693242" w:rsidRPr="001C121E" w:rsidRDefault="00693242" w:rsidP="00693242">
      <w:pPr>
        <w:pStyle w:val="Tablefin"/>
        <w:rPr>
          <w:lang w:val="es-ES_tradnl"/>
        </w:rPr>
      </w:pPr>
    </w:p>
    <w:p w:rsidR="002E5EB0" w:rsidRDefault="002E5EB0" w:rsidP="002E5EB0">
      <w:pPr>
        <w:pStyle w:val="Heading2"/>
        <w:rPr>
          <w:lang w:val="es-ES"/>
        </w:rPr>
      </w:pPr>
      <w:bookmarkStart w:id="20" w:name="_Toc393697829"/>
      <w:r>
        <w:rPr>
          <w:lang w:val="es-ES"/>
        </w:rPr>
        <w:t>4.3</w:t>
      </w:r>
      <w:r>
        <w:rPr>
          <w:lang w:val="es-ES"/>
        </w:rPr>
        <w:tab/>
        <w:t>Límites de la Categoría B</w:t>
      </w:r>
      <w:bookmarkEnd w:id="20"/>
    </w:p>
    <w:p w:rsidR="002E5EB0" w:rsidRDefault="002E5EB0" w:rsidP="00B376A2">
      <w:pPr>
        <w:rPr>
          <w:lang w:val="es-ES"/>
        </w:rPr>
      </w:pPr>
      <w:r>
        <w:rPr>
          <w:lang w:val="es-ES"/>
        </w:rPr>
        <w:t xml:space="preserve">El Cuadro 3 indica los niveles máximos admitidos de las emisiones en el dominio no esencial, en términos de nivel de potencia, de cualquier componente no deseado suministrado por el transmisor a la línea de transmisión de la antena para equipos de la Categoría B. Para todos los servicios/sistemas que no figuran en este </w:t>
      </w:r>
      <w:r w:rsidR="00B376A2">
        <w:rPr>
          <w:lang w:val="es-ES"/>
        </w:rPr>
        <w:t>c</w:t>
      </w:r>
      <w:r>
        <w:rPr>
          <w:lang w:val="es-ES"/>
        </w:rPr>
        <w:t>uadro, se aplicarán los límites de la Categoría A.</w:t>
      </w:r>
    </w:p>
    <w:p w:rsidR="002E5EB0" w:rsidRDefault="008A294A" w:rsidP="002E5EB0">
      <w:pPr>
        <w:pStyle w:val="TableNo"/>
        <w:rPr>
          <w:lang w:val="es-ES"/>
        </w:rPr>
      </w:pPr>
      <w:r>
        <w:rPr>
          <w:lang w:val="es-ES"/>
        </w:rPr>
        <w:t xml:space="preserve">CUADRO </w:t>
      </w:r>
      <w:r w:rsidR="002E5EB0">
        <w:rPr>
          <w:lang w:val="es-ES"/>
        </w:rPr>
        <w:t>3</w:t>
      </w:r>
    </w:p>
    <w:p w:rsidR="002E5EB0" w:rsidRDefault="002E5EB0" w:rsidP="000C144E">
      <w:pPr>
        <w:pStyle w:val="Tabletitle"/>
        <w:rPr>
          <w:lang w:val="es-ES"/>
        </w:rPr>
      </w:pPr>
      <w:r>
        <w:rPr>
          <w:lang w:val="es-ES"/>
        </w:rPr>
        <w:t>Límites de la Categoría B</w:t>
      </w:r>
    </w:p>
    <w:p w:rsidR="002E5EB0" w:rsidRPr="00693242" w:rsidRDefault="002E5EB0" w:rsidP="00693242">
      <w:pPr>
        <w:pStyle w:val="Tabletitle"/>
        <w:rPr>
          <w:b w:val="0"/>
          <w:bCs/>
          <w:lang w:val="es-ES"/>
        </w:rPr>
      </w:pPr>
      <w:r w:rsidRPr="00693242">
        <w:rPr>
          <w:b w:val="0"/>
          <w:bCs/>
          <w:lang w:val="es-ES"/>
        </w:rPr>
        <w:t xml:space="preserve">(Véanse las definiciones en el </w:t>
      </w:r>
      <w:r w:rsidRPr="00693242">
        <w:rPr>
          <w:b w:val="0"/>
          <w:bCs/>
          <w:i/>
          <w:iCs/>
          <w:lang w:val="es-ES"/>
        </w:rPr>
        <w:t xml:space="preserve">recomienda </w:t>
      </w:r>
      <w:r w:rsidRPr="00693242">
        <w:rPr>
          <w:b w:val="0"/>
          <w:bCs/>
          <w:lang w:val="es-ES"/>
        </w:rPr>
        <w:t>3.3)</w:t>
      </w:r>
    </w:p>
    <w:p w:rsidR="002E5EB0" w:rsidRDefault="002E5EB0" w:rsidP="002E5EB0">
      <w:pPr>
        <w:pStyle w:val="Blanc"/>
        <w:rPr>
          <w:sz w:val="8"/>
          <w:lang w:val="es-ES"/>
        </w:rPr>
      </w:pPr>
    </w:p>
    <w:tbl>
      <w:tblPr>
        <w:tblW w:w="9639" w:type="dxa"/>
        <w:jc w:val="center"/>
        <w:tblBorders>
          <w:top w:val="single" w:sz="6" w:space="0" w:color="auto"/>
          <w:left w:val="single" w:sz="6" w:space="0" w:color="auto"/>
          <w:bottom w:val="single" w:sz="6" w:space="0" w:color="auto"/>
          <w:right w:val="single" w:sz="6" w:space="0" w:color="auto"/>
        </w:tblBorders>
        <w:tblCellMar>
          <w:left w:w="107" w:type="dxa"/>
          <w:right w:w="107" w:type="dxa"/>
        </w:tblCellMar>
        <w:tblLook w:val="0000" w:firstRow="0" w:lastRow="0" w:firstColumn="0" w:lastColumn="0" w:noHBand="0" w:noVBand="0"/>
      </w:tblPr>
      <w:tblGrid>
        <w:gridCol w:w="3165"/>
        <w:gridCol w:w="6521"/>
      </w:tblGrid>
      <w:tr w:rsidR="002E5EB0" w:rsidTr="00902B2B">
        <w:trPr>
          <w:jc w:val="center"/>
        </w:trPr>
        <w:tc>
          <w:tcPr>
            <w:tcW w:w="3165" w:type="dxa"/>
            <w:tcBorders>
              <w:top w:val="single" w:sz="6" w:space="0" w:color="auto"/>
              <w:left w:val="single" w:sz="6" w:space="0" w:color="auto"/>
              <w:bottom w:val="single" w:sz="6" w:space="0" w:color="auto"/>
              <w:right w:val="single" w:sz="6" w:space="0" w:color="auto"/>
            </w:tcBorders>
            <w:tcMar>
              <w:left w:w="57" w:type="dxa"/>
              <w:right w:w="57" w:type="dxa"/>
            </w:tcMar>
          </w:tcPr>
          <w:p w:rsidR="002E5EB0" w:rsidRDefault="002E5EB0" w:rsidP="00693242">
            <w:pPr>
              <w:pStyle w:val="Tablehead"/>
              <w:rPr>
                <w:lang w:val="es-ES"/>
              </w:rPr>
            </w:pPr>
            <w:r>
              <w:rPr>
                <w:lang w:val="es-ES"/>
              </w:rPr>
              <w:t>Tipo de equipo</w:t>
            </w:r>
          </w:p>
        </w:tc>
        <w:tc>
          <w:tcPr>
            <w:tcW w:w="6521" w:type="dxa"/>
            <w:tcBorders>
              <w:top w:val="single" w:sz="6" w:space="0" w:color="auto"/>
              <w:left w:val="single" w:sz="6" w:space="0" w:color="auto"/>
              <w:bottom w:val="single" w:sz="6" w:space="0" w:color="auto"/>
              <w:right w:val="single" w:sz="6" w:space="0" w:color="auto"/>
            </w:tcBorders>
            <w:tcMar>
              <w:left w:w="57" w:type="dxa"/>
              <w:right w:w="57" w:type="dxa"/>
            </w:tcMar>
          </w:tcPr>
          <w:p w:rsidR="002E5EB0" w:rsidRDefault="002E5EB0" w:rsidP="000C144E">
            <w:pPr>
              <w:pStyle w:val="Tablehead"/>
              <w:rPr>
                <w:lang w:val="es-ES"/>
              </w:rPr>
            </w:pPr>
            <w:r>
              <w:rPr>
                <w:lang w:val="es-ES"/>
              </w:rPr>
              <w:t>Límites</w:t>
            </w:r>
          </w:p>
        </w:tc>
      </w:tr>
      <w:tr w:rsidR="002E5EB0" w:rsidRPr="00DD03A6" w:rsidTr="00902B2B">
        <w:trPr>
          <w:jc w:val="center"/>
        </w:trPr>
        <w:tc>
          <w:tcPr>
            <w:tcW w:w="3165"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693242">
            <w:pPr>
              <w:pStyle w:val="TableText0"/>
              <w:rPr>
                <w:vertAlign w:val="superscript"/>
                <w:lang w:val="es-ES"/>
              </w:rPr>
            </w:pPr>
            <w:r>
              <w:rPr>
                <w:lang w:val="es-ES"/>
              </w:rPr>
              <w:t>Servicio fijo</w:t>
            </w:r>
            <w:r>
              <w:rPr>
                <w:vertAlign w:val="superscript"/>
                <w:lang w:val="es-ES"/>
              </w:rPr>
              <w:t>(1), (2)</w:t>
            </w:r>
          </w:p>
        </w:tc>
        <w:tc>
          <w:tcPr>
            <w:tcW w:w="6521"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066C0F">
            <w:pPr>
              <w:pStyle w:val="TableText0"/>
              <w:rPr>
                <w:lang w:val="es-ES"/>
              </w:rPr>
            </w:pPr>
            <w:r>
              <w:rPr>
                <w:lang w:val="es-ES"/>
              </w:rPr>
              <w:t>– 50 dBm</w:t>
            </w:r>
            <w:r>
              <w:rPr>
                <w:lang w:val="es-ES"/>
              </w:rPr>
              <w:tab/>
              <w:t>para</w:t>
            </w:r>
            <w:r>
              <w:rPr>
                <w:lang w:val="es-ES"/>
              </w:rPr>
              <w:tab/>
              <w:t>30 MHz   </w:t>
            </w:r>
            <w:r w:rsidR="00066C0F">
              <w:rPr>
                <w:lang w:val="es-ES"/>
              </w:rPr>
              <w:sym w:font="Symbol" w:char="F0A3"/>
            </w:r>
            <w:r>
              <w:rPr>
                <w:lang w:val="es-ES"/>
              </w:rPr>
              <w:t> </w:t>
            </w:r>
            <w:r>
              <w:rPr>
                <w:i/>
                <w:lang w:val="es-ES"/>
              </w:rPr>
              <w:t>f</w:t>
            </w:r>
            <w:r>
              <w:rPr>
                <w:lang w:val="es-ES"/>
              </w:rPr>
              <w:t> </w:t>
            </w:r>
            <w:r w:rsidR="00066C0F">
              <w:rPr>
                <w:lang w:val="es-ES"/>
              </w:rPr>
              <w:t>&lt;</w:t>
            </w:r>
            <w:r>
              <w:rPr>
                <w:lang w:val="es-ES"/>
              </w:rPr>
              <w:t> 21,2 GHz</w:t>
            </w:r>
            <w:r>
              <w:rPr>
                <w:vertAlign w:val="superscript"/>
                <w:lang w:val="es-ES"/>
              </w:rPr>
              <w:t xml:space="preserve"> (3)</w:t>
            </w:r>
            <w:r>
              <w:rPr>
                <w:position w:val="6"/>
                <w:sz w:val="18"/>
                <w:lang w:val="es-ES"/>
              </w:rPr>
              <w:br/>
            </w:r>
            <w:r>
              <w:rPr>
                <w:lang w:val="es-ES"/>
              </w:rPr>
              <w:t>– 30 dBm</w:t>
            </w:r>
            <w:r>
              <w:rPr>
                <w:lang w:val="es-ES"/>
              </w:rPr>
              <w:tab/>
              <w:t>para</w:t>
            </w:r>
            <w:r>
              <w:rPr>
                <w:lang w:val="es-ES"/>
              </w:rPr>
              <w:tab/>
              <w:t>21,2 GHz </w:t>
            </w:r>
            <w:r w:rsidR="00066C0F">
              <w:rPr>
                <w:lang w:val="es-ES"/>
              </w:rPr>
              <w:sym w:font="Symbol" w:char="F0A3"/>
            </w:r>
            <w:r>
              <w:rPr>
                <w:lang w:val="es-ES"/>
              </w:rPr>
              <w:t> </w:t>
            </w:r>
            <w:r>
              <w:rPr>
                <w:i/>
                <w:lang w:val="es-ES"/>
              </w:rPr>
              <w:t>f</w:t>
            </w:r>
            <w:r w:rsidR="00066C0F">
              <w:rPr>
                <w:i/>
                <w:lang w:val="es-ES"/>
              </w:rPr>
              <w:t> &lt;</w:t>
            </w:r>
            <w:r>
              <w:rPr>
                <w:lang w:val="es-ES"/>
              </w:rPr>
              <w:t xml:space="preserve"> (véase el </w:t>
            </w:r>
            <w:r>
              <w:rPr>
                <w:i/>
                <w:lang w:val="es-ES"/>
              </w:rPr>
              <w:t xml:space="preserve">recomienda </w:t>
            </w:r>
            <w:r>
              <w:rPr>
                <w:lang w:val="es-ES"/>
              </w:rPr>
              <w:t>2.5)</w:t>
            </w:r>
            <w:r>
              <w:rPr>
                <w:vertAlign w:val="superscript"/>
                <w:lang w:val="es-ES"/>
              </w:rPr>
              <w:t>(3)</w:t>
            </w:r>
          </w:p>
        </w:tc>
      </w:tr>
      <w:tr w:rsidR="002E5EB0" w:rsidRPr="00DD03A6" w:rsidTr="00902B2B">
        <w:trPr>
          <w:jc w:val="center"/>
        </w:trPr>
        <w:tc>
          <w:tcPr>
            <w:tcW w:w="3165"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693242">
            <w:pPr>
              <w:pStyle w:val="TableText0"/>
              <w:rPr>
                <w:vertAlign w:val="superscript"/>
                <w:lang w:val="es-ES"/>
              </w:rPr>
            </w:pPr>
            <w:r>
              <w:rPr>
                <w:lang w:val="es-ES"/>
              </w:rPr>
              <w:t>Servicio fijo – Estación terminal (estación de salida con interfaces de equipo de abonado)</w:t>
            </w:r>
            <w:r>
              <w:rPr>
                <w:vertAlign w:val="superscript"/>
                <w:lang w:val="es-ES"/>
              </w:rPr>
              <w:t>(1)</w:t>
            </w:r>
          </w:p>
        </w:tc>
        <w:tc>
          <w:tcPr>
            <w:tcW w:w="6521"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066C0F">
            <w:pPr>
              <w:pStyle w:val="Tabletext"/>
              <w:jc w:val="left"/>
              <w:rPr>
                <w:lang w:val="es-ES"/>
              </w:rPr>
            </w:pPr>
            <w:r>
              <w:rPr>
                <w:lang w:val="es-ES"/>
              </w:rPr>
              <w:t>– 40 dBm</w:t>
            </w:r>
            <w:r>
              <w:rPr>
                <w:lang w:val="es-ES"/>
              </w:rPr>
              <w:tab/>
              <w:t>para</w:t>
            </w:r>
            <w:r>
              <w:rPr>
                <w:lang w:val="es-ES"/>
              </w:rPr>
              <w:tab/>
              <w:t>30 MHz   </w:t>
            </w:r>
            <w:r w:rsidR="00066C0F">
              <w:rPr>
                <w:lang w:val="es-ES"/>
              </w:rPr>
              <w:sym w:font="Symbol" w:char="F0A3"/>
            </w:r>
            <w:r>
              <w:rPr>
                <w:lang w:val="es-ES"/>
              </w:rPr>
              <w:t> </w:t>
            </w:r>
            <w:r>
              <w:rPr>
                <w:i/>
                <w:lang w:val="es-ES"/>
              </w:rPr>
              <w:t>f</w:t>
            </w:r>
            <w:r>
              <w:rPr>
                <w:lang w:val="es-ES"/>
              </w:rPr>
              <w:t> </w:t>
            </w:r>
            <w:r w:rsidR="00823ADA">
              <w:rPr>
                <w:i/>
                <w:lang w:val="es-ES"/>
              </w:rPr>
              <w:t>&lt;</w:t>
            </w:r>
            <w:r>
              <w:rPr>
                <w:szCs w:val="18"/>
                <w:lang w:val="es-ES"/>
              </w:rPr>
              <w:t> </w:t>
            </w:r>
            <w:r>
              <w:rPr>
                <w:lang w:val="es-ES"/>
              </w:rPr>
              <w:t>21,2 GHz</w:t>
            </w:r>
            <w:r>
              <w:rPr>
                <w:vertAlign w:val="superscript"/>
                <w:lang w:val="es-ES"/>
              </w:rPr>
              <w:t>(3)</w:t>
            </w:r>
            <w:r>
              <w:rPr>
                <w:position w:val="6"/>
                <w:sz w:val="18"/>
                <w:lang w:val="es-ES"/>
              </w:rPr>
              <w:br/>
            </w:r>
            <w:r>
              <w:rPr>
                <w:lang w:val="es-ES"/>
              </w:rPr>
              <w:t>– 30 dBm</w:t>
            </w:r>
            <w:r>
              <w:rPr>
                <w:lang w:val="es-ES"/>
              </w:rPr>
              <w:tab/>
              <w:t>para</w:t>
            </w:r>
            <w:r>
              <w:rPr>
                <w:lang w:val="es-ES"/>
              </w:rPr>
              <w:tab/>
              <w:t>21,2 GHz </w:t>
            </w:r>
            <w:r w:rsidR="00066C0F">
              <w:rPr>
                <w:lang w:val="es-ES"/>
              </w:rPr>
              <w:sym w:font="Symbol" w:char="F0A3"/>
            </w:r>
            <w:r>
              <w:rPr>
                <w:lang w:val="es-ES"/>
              </w:rPr>
              <w:t> </w:t>
            </w:r>
            <w:r>
              <w:rPr>
                <w:i/>
                <w:lang w:val="es-ES"/>
              </w:rPr>
              <w:t>f</w:t>
            </w:r>
            <w:r>
              <w:rPr>
                <w:lang w:val="es-ES"/>
              </w:rPr>
              <w:t> </w:t>
            </w:r>
            <w:r w:rsidR="00823ADA">
              <w:rPr>
                <w:i/>
                <w:lang w:val="es-ES"/>
              </w:rPr>
              <w:t>&lt;</w:t>
            </w:r>
            <w:r>
              <w:rPr>
                <w:lang w:val="es-ES"/>
              </w:rPr>
              <w:t xml:space="preserve">  (véase el </w:t>
            </w:r>
            <w:r>
              <w:rPr>
                <w:i/>
                <w:lang w:val="es-ES"/>
              </w:rPr>
              <w:t xml:space="preserve">recomienda </w:t>
            </w:r>
            <w:r>
              <w:rPr>
                <w:iCs/>
                <w:lang w:val="es-ES"/>
              </w:rPr>
              <w:t>2.5</w:t>
            </w:r>
            <w:r>
              <w:rPr>
                <w:lang w:val="es-ES"/>
              </w:rPr>
              <w:t>)</w:t>
            </w:r>
            <w:r>
              <w:rPr>
                <w:vertAlign w:val="superscript"/>
                <w:lang w:val="es-ES"/>
              </w:rPr>
              <w:t>(3)</w:t>
            </w:r>
          </w:p>
        </w:tc>
      </w:tr>
      <w:tr w:rsidR="002E5EB0" w:rsidRPr="00DD03A6" w:rsidTr="00902B2B">
        <w:trPr>
          <w:jc w:val="center"/>
        </w:trPr>
        <w:tc>
          <w:tcPr>
            <w:tcW w:w="3165"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693242">
            <w:pPr>
              <w:pStyle w:val="TableText0"/>
              <w:rPr>
                <w:lang w:val="es-ES"/>
              </w:rPr>
            </w:pPr>
            <w:r>
              <w:rPr>
                <w:lang w:val="es-ES"/>
              </w:rPr>
              <w:t>Servicio móvil terrestre (estaciones móviles y de base)</w:t>
            </w:r>
          </w:p>
        </w:tc>
        <w:tc>
          <w:tcPr>
            <w:tcW w:w="6521"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066C0F">
            <w:pPr>
              <w:pStyle w:val="TableText0"/>
              <w:tabs>
                <w:tab w:val="clear" w:pos="1701"/>
                <w:tab w:val="clear" w:pos="3119"/>
                <w:tab w:val="left" w:pos="1688"/>
                <w:tab w:val="left" w:pos="3115"/>
              </w:tabs>
              <w:rPr>
                <w:lang w:val="es-ES"/>
              </w:rPr>
            </w:pPr>
            <w:r>
              <w:rPr>
                <w:lang w:val="es-ES"/>
              </w:rPr>
              <w:t>– 36 dBm</w:t>
            </w:r>
            <w:r>
              <w:rPr>
                <w:lang w:val="es-ES"/>
              </w:rPr>
              <w:tab/>
              <w:t>para</w:t>
            </w:r>
            <w:r>
              <w:rPr>
                <w:lang w:val="es-ES"/>
              </w:rPr>
              <w:tab/>
            </w:r>
            <w:r>
              <w:rPr>
                <w:lang w:val="es-ES"/>
              </w:rPr>
              <w:t> </w:t>
            </w:r>
            <w:r>
              <w:rPr>
                <w:lang w:val="es-ES"/>
              </w:rPr>
              <w:t>9 kHz</w:t>
            </w:r>
            <w:r>
              <w:rPr>
                <w:lang w:val="es-ES"/>
              </w:rPr>
              <w:t> </w:t>
            </w:r>
            <w:r w:rsidR="00066C0F">
              <w:rPr>
                <w:lang w:val="es-ES"/>
              </w:rPr>
              <w:sym w:font="Symbol" w:char="F0A3"/>
            </w:r>
            <w:r>
              <w:rPr>
                <w:lang w:val="es-ES"/>
              </w:rPr>
              <w:t> </w:t>
            </w:r>
            <w:r>
              <w:rPr>
                <w:i/>
                <w:lang w:val="es-ES"/>
              </w:rPr>
              <w:t>f</w:t>
            </w:r>
            <w:r>
              <w:rPr>
                <w:lang w:val="es-ES"/>
              </w:rPr>
              <w:t> </w:t>
            </w:r>
            <w:r>
              <w:rPr>
                <w:szCs w:val="18"/>
                <w:lang w:val="es-ES"/>
              </w:rPr>
              <w:sym w:font="Symbol" w:char="F03C"/>
            </w:r>
            <w:r>
              <w:rPr>
                <w:lang w:val="es-ES"/>
              </w:rPr>
              <w:t> 30 MHz</w:t>
            </w:r>
          </w:p>
          <w:p w:rsidR="002E5EB0" w:rsidRDefault="002E5EB0" w:rsidP="00066C0F">
            <w:pPr>
              <w:pStyle w:val="TableText0"/>
              <w:tabs>
                <w:tab w:val="clear" w:pos="1701"/>
                <w:tab w:val="clear" w:pos="3119"/>
                <w:tab w:val="left" w:pos="1688"/>
                <w:tab w:val="left" w:pos="3115"/>
              </w:tabs>
              <w:rPr>
                <w:lang w:val="es-ES"/>
              </w:rPr>
            </w:pPr>
            <w:r>
              <w:rPr>
                <w:lang w:val="es-ES"/>
              </w:rPr>
              <w:t>– 36 dBm</w:t>
            </w:r>
            <w:r>
              <w:rPr>
                <w:lang w:val="es-ES"/>
              </w:rPr>
              <w:tab/>
              <w:t>para</w:t>
            </w:r>
            <w:r>
              <w:rPr>
                <w:lang w:val="es-ES"/>
              </w:rPr>
              <w:tab/>
              <w:t>30 MHz   </w:t>
            </w:r>
            <w:r w:rsidR="00066C0F">
              <w:rPr>
                <w:lang w:val="es-ES"/>
              </w:rPr>
              <w:sym w:font="Symbol" w:char="F0A3"/>
            </w:r>
            <w:r>
              <w:rPr>
                <w:lang w:val="es-ES"/>
              </w:rPr>
              <w:t> </w:t>
            </w:r>
            <w:r>
              <w:rPr>
                <w:i/>
                <w:lang w:val="es-ES"/>
              </w:rPr>
              <w:t>f</w:t>
            </w:r>
            <w:r>
              <w:rPr>
                <w:lang w:val="es-ES"/>
              </w:rPr>
              <w:t> </w:t>
            </w:r>
            <w:r>
              <w:rPr>
                <w:szCs w:val="18"/>
                <w:lang w:val="es-ES"/>
              </w:rPr>
              <w:sym w:font="Symbol" w:char="F03C"/>
            </w:r>
            <w:r>
              <w:rPr>
                <w:szCs w:val="18"/>
                <w:lang w:val="es-ES"/>
              </w:rPr>
              <w:t> </w:t>
            </w:r>
            <w:r>
              <w:rPr>
                <w:lang w:val="es-ES"/>
              </w:rPr>
              <w:t>1 GHz</w:t>
            </w:r>
            <w:r>
              <w:rPr>
                <w:vertAlign w:val="superscript"/>
                <w:lang w:val="es-ES"/>
              </w:rPr>
              <w:t>(4)</w:t>
            </w:r>
            <w:r>
              <w:rPr>
                <w:lang w:val="es-ES"/>
              </w:rPr>
              <w:t xml:space="preserve"> </w:t>
            </w:r>
          </w:p>
          <w:p w:rsidR="002E5EB0" w:rsidRDefault="002E5EB0" w:rsidP="00066C0F">
            <w:pPr>
              <w:pStyle w:val="TableText0"/>
              <w:rPr>
                <w:lang w:val="es-ES"/>
              </w:rPr>
            </w:pPr>
            <w:r>
              <w:rPr>
                <w:lang w:val="es-ES"/>
              </w:rPr>
              <w:t>– 30 dBm</w:t>
            </w:r>
            <w:r>
              <w:rPr>
                <w:lang w:val="es-ES"/>
              </w:rPr>
              <w:tab/>
              <w:t>para</w:t>
            </w:r>
            <w:r>
              <w:rPr>
                <w:lang w:val="es-ES"/>
              </w:rPr>
              <w:tab/>
            </w:r>
            <w:r>
              <w:rPr>
                <w:lang w:val="es-ES"/>
              </w:rPr>
              <w:t> </w:t>
            </w:r>
            <w:r>
              <w:rPr>
                <w:lang w:val="es-ES"/>
              </w:rPr>
              <w:t>1 GHz    </w:t>
            </w:r>
            <w:r w:rsidR="00066C0F">
              <w:rPr>
                <w:lang w:val="es-ES"/>
              </w:rPr>
              <w:sym w:font="Symbol" w:char="F0A3"/>
            </w:r>
            <w:r>
              <w:rPr>
                <w:lang w:val="es-ES"/>
              </w:rPr>
              <w:t> </w:t>
            </w:r>
            <w:r>
              <w:rPr>
                <w:i/>
                <w:lang w:val="es-ES"/>
              </w:rPr>
              <w:t>f</w:t>
            </w:r>
            <w:r>
              <w:rPr>
                <w:lang w:val="es-ES"/>
              </w:rPr>
              <w:t> </w:t>
            </w:r>
            <w:r w:rsidR="00066C0F">
              <w:rPr>
                <w:lang w:val="es-ES"/>
              </w:rPr>
              <w:t>&lt;</w:t>
            </w:r>
            <w:r>
              <w:rPr>
                <w:lang w:val="es-ES"/>
              </w:rPr>
              <w:t xml:space="preserve">  (véase el </w:t>
            </w:r>
            <w:r>
              <w:rPr>
                <w:i/>
                <w:lang w:val="es-ES"/>
              </w:rPr>
              <w:t xml:space="preserve">recomienda </w:t>
            </w:r>
            <w:r>
              <w:rPr>
                <w:iCs/>
                <w:lang w:val="es-ES"/>
              </w:rPr>
              <w:t>2.5</w:t>
            </w:r>
            <w:r>
              <w:rPr>
                <w:lang w:val="es-ES"/>
              </w:rPr>
              <w:t>)</w:t>
            </w:r>
            <w:r>
              <w:rPr>
                <w:vertAlign w:val="superscript"/>
                <w:lang w:val="es-ES"/>
              </w:rPr>
              <w:t>(4)</w:t>
            </w:r>
          </w:p>
        </w:tc>
      </w:tr>
      <w:tr w:rsidR="002E5EB0" w:rsidRPr="00DD03A6" w:rsidTr="00902B2B">
        <w:trPr>
          <w:jc w:val="center"/>
        </w:trPr>
        <w:tc>
          <w:tcPr>
            <w:tcW w:w="3165"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693242">
            <w:pPr>
              <w:pStyle w:val="TableText0"/>
              <w:rPr>
                <w:lang w:val="es-ES"/>
              </w:rPr>
            </w:pPr>
            <w:r>
              <w:rPr>
                <w:lang w:val="es-ES"/>
              </w:rPr>
              <w:t>Terminal de apertura muy pequeña (VSAT)</w:t>
            </w:r>
          </w:p>
        </w:tc>
        <w:tc>
          <w:tcPr>
            <w:tcW w:w="6521"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90386D">
            <w:pPr>
              <w:pStyle w:val="TableText0"/>
              <w:rPr>
                <w:lang w:val="es-ES"/>
              </w:rPr>
            </w:pPr>
            <w:r>
              <w:rPr>
                <w:lang w:val="es-ES"/>
              </w:rPr>
              <w:t>Véanse los límites que figuran en la Recomendación UIT-R S.726</w:t>
            </w:r>
          </w:p>
        </w:tc>
      </w:tr>
      <w:tr w:rsidR="002E5EB0" w:rsidRPr="001C121E" w:rsidTr="00902B2B">
        <w:trPr>
          <w:jc w:val="center"/>
        </w:trPr>
        <w:tc>
          <w:tcPr>
            <w:tcW w:w="3165"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693242">
            <w:pPr>
              <w:pStyle w:val="TableText0"/>
              <w:rPr>
                <w:lang w:val="es-ES"/>
              </w:rPr>
            </w:pPr>
            <w:r>
              <w:rPr>
                <w:lang w:val="es-ES"/>
              </w:rPr>
              <w:t>Radiodifusión en MF</w:t>
            </w:r>
          </w:p>
        </w:tc>
        <w:tc>
          <w:tcPr>
            <w:tcW w:w="6521"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066C0F" w:rsidP="0090386D">
            <w:pPr>
              <w:pStyle w:val="Tabletext"/>
              <w:tabs>
                <w:tab w:val="clear" w:pos="3686"/>
                <w:tab w:val="left" w:pos="3700"/>
              </w:tabs>
              <w:jc w:val="left"/>
              <w:rPr>
                <w:lang w:val="es-ES"/>
              </w:rPr>
            </w:pPr>
            <w:r>
              <w:rPr>
                <w:lang w:val="es-ES"/>
              </w:rPr>
              <w:t xml:space="preserve">87,5 MHz </w:t>
            </w:r>
            <w:r>
              <w:rPr>
                <w:lang w:val="es-ES"/>
              </w:rPr>
              <w:sym w:font="Symbol" w:char="F0A3"/>
            </w:r>
            <w:r w:rsidR="002E5EB0">
              <w:rPr>
                <w:lang w:val="es-ES"/>
              </w:rPr>
              <w:t> </w:t>
            </w:r>
            <w:r w:rsidR="002E5EB0">
              <w:rPr>
                <w:szCs w:val="18"/>
                <w:lang w:val="es-ES"/>
              </w:rPr>
              <w:sym w:font="Symbol" w:char="F0A6"/>
            </w:r>
            <w:r>
              <w:rPr>
                <w:lang w:val="es-ES"/>
              </w:rPr>
              <w:t xml:space="preserve"> </w:t>
            </w:r>
            <w:r>
              <w:rPr>
                <w:lang w:val="es-ES"/>
              </w:rPr>
              <w:sym w:font="Symbol" w:char="F0A3"/>
            </w:r>
            <w:r w:rsidR="002E5EB0">
              <w:rPr>
                <w:lang w:val="es-ES"/>
              </w:rPr>
              <w:t> 137 MHz:</w:t>
            </w:r>
          </w:p>
          <w:p w:rsidR="002E5EB0" w:rsidRDefault="002E5EB0" w:rsidP="00ED6AC7">
            <w:pPr>
              <w:pStyle w:val="Tabletext"/>
              <w:tabs>
                <w:tab w:val="clear" w:pos="3686"/>
                <w:tab w:val="left" w:pos="3700"/>
              </w:tabs>
              <w:jc w:val="left"/>
              <w:rPr>
                <w:lang w:val="es-ES"/>
              </w:rPr>
            </w:pPr>
            <w:r>
              <w:rPr>
                <w:lang w:val="es-ES"/>
              </w:rPr>
              <w:tab/>
              <w:t>– 36 dBm</w:t>
            </w:r>
            <w:r>
              <w:rPr>
                <w:lang w:val="es-ES"/>
              </w:rPr>
              <w:tab/>
              <w:t>para</w:t>
            </w:r>
            <w:r>
              <w:rPr>
                <w:lang w:val="es-ES"/>
              </w:rPr>
              <w:tab/>
            </w:r>
            <w:r>
              <w:rPr>
                <w:lang w:val="es-ES"/>
              </w:rPr>
              <w:tab/>
            </w:r>
            <w:r w:rsidR="00ED6AC7">
              <w:rPr>
                <w:lang w:val="es-ES"/>
              </w:rPr>
              <w:tab/>
            </w:r>
            <w:r w:rsidR="00ED6AC7">
              <w:rPr>
                <w:lang w:val="es-ES"/>
              </w:rPr>
              <w:tab/>
              <w:t>  </w:t>
            </w:r>
            <w:r>
              <w:rPr>
                <w:lang w:val="es-ES"/>
              </w:rPr>
              <w:t> </w:t>
            </w:r>
            <w:r>
              <w:rPr>
                <w:i/>
                <w:lang w:val="es-ES"/>
              </w:rPr>
              <w:t>P</w:t>
            </w:r>
            <w:r>
              <w:rPr>
                <w:lang w:val="es-ES"/>
              </w:rPr>
              <w:t> </w:t>
            </w:r>
            <w:r w:rsidR="00066C0F">
              <w:rPr>
                <w:lang w:val="es-ES"/>
              </w:rPr>
              <w:t>&lt;</w:t>
            </w:r>
            <w:r>
              <w:rPr>
                <w:lang w:val="es-ES"/>
              </w:rPr>
              <w:t> 9 dBW</w:t>
            </w:r>
            <w:r>
              <w:rPr>
                <w:lang w:val="es-ES"/>
              </w:rPr>
              <w:t> </w:t>
            </w:r>
          </w:p>
          <w:p w:rsidR="002E5EB0" w:rsidRDefault="002E5EB0" w:rsidP="00066C0F">
            <w:pPr>
              <w:pStyle w:val="Tabletext"/>
              <w:tabs>
                <w:tab w:val="clear" w:pos="3686"/>
                <w:tab w:val="left" w:pos="3700"/>
              </w:tabs>
              <w:jc w:val="left"/>
              <w:rPr>
                <w:lang w:val="es-ES"/>
              </w:rPr>
            </w:pPr>
            <w:r>
              <w:rPr>
                <w:lang w:val="es-ES"/>
              </w:rPr>
              <w:tab/>
            </w:r>
            <w:r>
              <w:rPr>
                <w:lang w:val="es-ES"/>
              </w:rPr>
              <w:t> </w:t>
            </w:r>
            <w:r>
              <w:rPr>
                <w:lang w:val="es-ES"/>
              </w:rPr>
              <w:t>75 dBc</w:t>
            </w:r>
            <w:r>
              <w:rPr>
                <w:lang w:val="es-ES"/>
              </w:rPr>
              <w:tab/>
            </w:r>
            <w:r>
              <w:rPr>
                <w:lang w:val="es-ES"/>
              </w:rPr>
              <w:tab/>
              <w:t>para</w:t>
            </w:r>
            <w:r>
              <w:rPr>
                <w:lang w:val="es-ES"/>
              </w:rPr>
              <w:tab/>
            </w:r>
            <w:r>
              <w:rPr>
                <w:lang w:val="es-ES"/>
              </w:rPr>
              <w:t> </w:t>
            </w:r>
            <w:r w:rsidR="00066C0F">
              <w:rPr>
                <w:lang w:val="es-ES"/>
              </w:rPr>
              <w:t xml:space="preserve">9 dBW </w:t>
            </w:r>
            <w:r w:rsidR="00066C0F">
              <w:rPr>
                <w:lang w:val="es-ES"/>
              </w:rPr>
              <w:sym w:font="Symbol" w:char="F0A3"/>
            </w:r>
            <w:r>
              <w:rPr>
                <w:lang w:val="es-ES"/>
              </w:rPr>
              <w:t> </w:t>
            </w:r>
            <w:r>
              <w:rPr>
                <w:i/>
                <w:lang w:val="es-ES"/>
              </w:rPr>
              <w:t>P</w:t>
            </w:r>
            <w:r>
              <w:rPr>
                <w:lang w:val="es-ES"/>
              </w:rPr>
              <w:t> </w:t>
            </w:r>
            <w:r w:rsidR="00066C0F">
              <w:rPr>
                <w:lang w:val="es-ES"/>
              </w:rPr>
              <w:t>&lt;</w:t>
            </w:r>
            <w:r>
              <w:rPr>
                <w:lang w:val="es-ES"/>
              </w:rPr>
              <w:t> 29 dBW</w:t>
            </w:r>
          </w:p>
          <w:p w:rsidR="002E5EB0" w:rsidRDefault="002E5EB0" w:rsidP="00066C0F">
            <w:pPr>
              <w:pStyle w:val="Tabletext"/>
              <w:tabs>
                <w:tab w:val="clear" w:pos="3686"/>
                <w:tab w:val="left" w:pos="3700"/>
              </w:tabs>
              <w:jc w:val="left"/>
              <w:rPr>
                <w:lang w:val="es-ES"/>
              </w:rPr>
            </w:pPr>
            <w:r>
              <w:rPr>
                <w:lang w:val="es-ES"/>
              </w:rPr>
              <w:tab/>
              <w:t>– 16 dBm</w:t>
            </w:r>
            <w:r>
              <w:rPr>
                <w:lang w:val="es-ES"/>
              </w:rPr>
              <w:tab/>
              <w:t>para</w:t>
            </w:r>
            <w:r>
              <w:rPr>
                <w:lang w:val="es-ES"/>
              </w:rPr>
              <w:tab/>
              <w:t>29 dBW </w:t>
            </w:r>
            <w:r w:rsidR="00066C0F">
              <w:rPr>
                <w:lang w:val="es-ES"/>
              </w:rPr>
              <w:sym w:font="Symbol" w:char="F0A3"/>
            </w:r>
            <w:r>
              <w:rPr>
                <w:lang w:val="es-ES"/>
              </w:rPr>
              <w:t> </w:t>
            </w:r>
            <w:r>
              <w:rPr>
                <w:i/>
                <w:lang w:val="es-ES"/>
              </w:rPr>
              <w:t>P</w:t>
            </w:r>
            <w:r>
              <w:rPr>
                <w:lang w:val="es-ES"/>
              </w:rPr>
              <w:t> </w:t>
            </w:r>
            <w:r w:rsidR="00066C0F">
              <w:rPr>
                <w:lang w:val="es-ES"/>
              </w:rPr>
              <w:t>&lt;</w:t>
            </w:r>
            <w:r>
              <w:rPr>
                <w:lang w:val="es-ES"/>
              </w:rPr>
              <w:t> 39 dBW</w:t>
            </w:r>
          </w:p>
          <w:p w:rsidR="002E5EB0" w:rsidRDefault="002E5EB0" w:rsidP="00066C0F">
            <w:pPr>
              <w:pStyle w:val="Tabletext"/>
              <w:tabs>
                <w:tab w:val="clear" w:pos="3686"/>
                <w:tab w:val="left" w:pos="3700"/>
              </w:tabs>
              <w:jc w:val="left"/>
              <w:rPr>
                <w:lang w:val="es-ES"/>
              </w:rPr>
            </w:pPr>
            <w:r>
              <w:rPr>
                <w:lang w:val="es-ES"/>
              </w:rPr>
              <w:tab/>
            </w:r>
            <w:r>
              <w:rPr>
                <w:lang w:val="es-ES"/>
              </w:rPr>
              <w:t> </w:t>
            </w:r>
            <w:r>
              <w:rPr>
                <w:lang w:val="es-ES"/>
              </w:rPr>
              <w:t>85 dBc</w:t>
            </w:r>
            <w:r>
              <w:rPr>
                <w:lang w:val="es-ES"/>
              </w:rPr>
              <w:tab/>
            </w:r>
            <w:r>
              <w:rPr>
                <w:lang w:val="es-ES"/>
              </w:rPr>
              <w:tab/>
              <w:t>para</w:t>
            </w:r>
            <w:r>
              <w:rPr>
                <w:lang w:val="es-ES"/>
              </w:rPr>
              <w:tab/>
              <w:t>39 dBW </w:t>
            </w:r>
            <w:r w:rsidR="00066C0F">
              <w:rPr>
                <w:lang w:val="es-ES"/>
              </w:rPr>
              <w:sym w:font="Symbol" w:char="F0A3"/>
            </w:r>
            <w:r>
              <w:rPr>
                <w:lang w:val="es-ES"/>
              </w:rPr>
              <w:t> </w:t>
            </w:r>
            <w:r>
              <w:rPr>
                <w:i/>
                <w:lang w:val="es-ES"/>
              </w:rPr>
              <w:t>P</w:t>
            </w:r>
            <w:r>
              <w:rPr>
                <w:lang w:val="es-ES"/>
              </w:rPr>
              <w:t> </w:t>
            </w:r>
            <w:r w:rsidR="00066C0F">
              <w:rPr>
                <w:lang w:val="es-ES"/>
              </w:rPr>
              <w:t>&lt;</w:t>
            </w:r>
            <w:r>
              <w:rPr>
                <w:lang w:val="es-ES"/>
              </w:rPr>
              <w:t> 50 dBW</w:t>
            </w:r>
          </w:p>
          <w:p w:rsidR="002E5EB0" w:rsidRDefault="002E5EB0" w:rsidP="0090386D">
            <w:pPr>
              <w:pStyle w:val="Tabletext"/>
              <w:tabs>
                <w:tab w:val="clear" w:pos="3686"/>
                <w:tab w:val="left" w:pos="3700"/>
              </w:tabs>
              <w:jc w:val="left"/>
              <w:rPr>
                <w:lang w:val="es-ES"/>
              </w:rPr>
            </w:pPr>
            <w:r>
              <w:rPr>
                <w:lang w:val="es-ES"/>
              </w:rPr>
              <w:tab/>
            </w:r>
            <w:r>
              <w:rPr>
                <w:lang w:val="es-ES"/>
              </w:rPr>
              <w:t> </w:t>
            </w:r>
            <w:r>
              <w:rPr>
                <w:lang w:val="es-ES"/>
              </w:rPr>
              <w:t> </w:t>
            </w:r>
            <w:r>
              <w:rPr>
                <w:lang w:val="es-ES"/>
              </w:rPr>
              <w:t>–5 dBm</w:t>
            </w:r>
            <w:r>
              <w:rPr>
                <w:lang w:val="es-ES"/>
              </w:rPr>
              <w:tab/>
              <w:t>para</w:t>
            </w:r>
            <w:r>
              <w:rPr>
                <w:lang w:val="es-ES"/>
              </w:rPr>
              <w:tab/>
              <w:t>50 d</w:t>
            </w:r>
            <w:r w:rsidR="00066C0F">
              <w:rPr>
                <w:lang w:val="es-ES"/>
              </w:rPr>
              <w:t xml:space="preserve">BW </w:t>
            </w:r>
            <w:r w:rsidR="00066C0F">
              <w:rPr>
                <w:lang w:val="es-ES"/>
              </w:rPr>
              <w:sym w:font="Symbol" w:char="F0A3"/>
            </w:r>
            <w:r>
              <w:rPr>
                <w:lang w:val="es-ES"/>
              </w:rPr>
              <w:t> </w:t>
            </w:r>
            <w:r>
              <w:rPr>
                <w:i/>
                <w:lang w:val="es-ES"/>
              </w:rPr>
              <w:t>P</w:t>
            </w:r>
          </w:p>
          <w:p w:rsidR="002E5EB0" w:rsidRDefault="002E5EB0" w:rsidP="00066C0F">
            <w:pPr>
              <w:pStyle w:val="Tabletext"/>
              <w:tabs>
                <w:tab w:val="clear" w:pos="3686"/>
                <w:tab w:val="left" w:pos="3700"/>
              </w:tabs>
              <w:jc w:val="left"/>
              <w:rPr>
                <w:lang w:val="es-ES"/>
              </w:rPr>
            </w:pPr>
            <w:r>
              <w:rPr>
                <w:lang w:val="es-ES"/>
              </w:rPr>
              <w:t>30 MHz </w:t>
            </w:r>
            <w:r w:rsidR="00066C0F">
              <w:rPr>
                <w:lang w:val="es-ES"/>
              </w:rPr>
              <w:t>&lt;</w:t>
            </w:r>
            <w:r>
              <w:rPr>
                <w:lang w:val="es-ES"/>
              </w:rPr>
              <w:t> </w:t>
            </w:r>
            <w:r>
              <w:rPr>
                <w:i/>
                <w:lang w:val="es-ES"/>
              </w:rPr>
              <w:t>f</w:t>
            </w:r>
            <w:r>
              <w:rPr>
                <w:lang w:val="es-ES"/>
              </w:rPr>
              <w:t> </w:t>
            </w:r>
            <w:r w:rsidR="00066C0F">
              <w:rPr>
                <w:lang w:val="es-ES"/>
              </w:rPr>
              <w:t>&lt;</w:t>
            </w:r>
            <w:r>
              <w:rPr>
                <w:lang w:val="es-ES"/>
              </w:rPr>
              <w:t> 87,5 MHz et 137 MHz </w:t>
            </w:r>
            <w:r w:rsidR="00066C0F">
              <w:rPr>
                <w:lang w:val="es-ES"/>
              </w:rPr>
              <w:t>&lt;</w:t>
            </w:r>
            <w:r>
              <w:rPr>
                <w:lang w:val="es-ES"/>
              </w:rPr>
              <w:t> </w:t>
            </w:r>
            <w:r>
              <w:rPr>
                <w:i/>
                <w:lang w:val="es-ES"/>
              </w:rPr>
              <w:t>f</w:t>
            </w:r>
            <w:r>
              <w:rPr>
                <w:lang w:val="es-ES"/>
              </w:rPr>
              <w:t> </w:t>
            </w:r>
            <w:r w:rsidR="00066C0F">
              <w:rPr>
                <w:lang w:val="es-ES"/>
              </w:rPr>
              <w:t>&lt;</w:t>
            </w:r>
            <w:r>
              <w:rPr>
                <w:lang w:val="es-ES"/>
              </w:rPr>
              <w:t xml:space="preserve">  (véase el </w:t>
            </w:r>
            <w:r>
              <w:rPr>
                <w:i/>
                <w:lang w:val="es-ES"/>
              </w:rPr>
              <w:t xml:space="preserve">recomienda </w:t>
            </w:r>
            <w:r>
              <w:rPr>
                <w:iCs/>
                <w:lang w:val="es-ES"/>
              </w:rPr>
              <w:t>2.5):</w:t>
            </w:r>
          </w:p>
          <w:p w:rsidR="002E5EB0" w:rsidRDefault="002E5EB0" w:rsidP="00066C0F">
            <w:pPr>
              <w:pStyle w:val="Tabletext"/>
              <w:tabs>
                <w:tab w:val="clear" w:pos="3686"/>
                <w:tab w:val="left" w:pos="3700"/>
              </w:tabs>
              <w:jc w:val="left"/>
              <w:rPr>
                <w:lang w:val="es-ES"/>
              </w:rPr>
            </w:pPr>
            <w:r>
              <w:rPr>
                <w:lang w:val="es-ES"/>
              </w:rPr>
              <w:tab/>
              <w:t>– 36 dBm</w:t>
            </w:r>
            <w:r>
              <w:rPr>
                <w:lang w:val="es-ES"/>
              </w:rPr>
              <w:tab/>
              <w:t>para</w:t>
            </w:r>
            <w:r>
              <w:rPr>
                <w:lang w:val="es-ES"/>
              </w:rPr>
              <w:tab/>
            </w:r>
            <w:r w:rsidR="0090386D">
              <w:rPr>
                <w:lang w:val="es-ES"/>
              </w:rPr>
              <w:tab/>
            </w:r>
            <w:r w:rsidR="0090386D">
              <w:rPr>
                <w:lang w:val="es-ES"/>
              </w:rPr>
              <w:tab/>
              <w:t>   </w:t>
            </w:r>
            <w:r>
              <w:rPr>
                <w:lang w:val="es-ES"/>
              </w:rPr>
              <w:t>     </w:t>
            </w:r>
            <w:r>
              <w:rPr>
                <w:i/>
                <w:lang w:val="es-ES"/>
              </w:rPr>
              <w:t>P</w:t>
            </w:r>
            <w:r>
              <w:rPr>
                <w:lang w:val="es-ES"/>
              </w:rPr>
              <w:t> </w:t>
            </w:r>
            <w:r w:rsidR="00066C0F">
              <w:rPr>
                <w:lang w:val="es-ES"/>
              </w:rPr>
              <w:t>&lt;</w:t>
            </w:r>
            <w:r>
              <w:rPr>
                <w:lang w:val="es-ES"/>
              </w:rPr>
              <w:t> 4 dBW</w:t>
            </w:r>
            <w:r>
              <w:rPr>
                <w:lang w:val="es-ES"/>
              </w:rPr>
              <w:t> </w:t>
            </w:r>
          </w:p>
          <w:p w:rsidR="002E5EB0" w:rsidRDefault="002E5EB0" w:rsidP="00066C0F">
            <w:pPr>
              <w:pStyle w:val="Tabletext"/>
              <w:tabs>
                <w:tab w:val="clear" w:pos="3686"/>
                <w:tab w:val="left" w:pos="3700"/>
              </w:tabs>
              <w:jc w:val="left"/>
              <w:rPr>
                <w:lang w:val="es-ES"/>
              </w:rPr>
            </w:pPr>
            <w:r>
              <w:rPr>
                <w:lang w:val="es-ES"/>
              </w:rPr>
              <w:tab/>
            </w:r>
            <w:r>
              <w:rPr>
                <w:lang w:val="es-ES"/>
              </w:rPr>
              <w:t> </w:t>
            </w:r>
            <w:r>
              <w:rPr>
                <w:lang w:val="es-ES"/>
              </w:rPr>
              <w:t>70 dBc</w:t>
            </w:r>
            <w:r>
              <w:rPr>
                <w:lang w:val="es-ES"/>
              </w:rPr>
              <w:tab/>
            </w:r>
            <w:r>
              <w:rPr>
                <w:lang w:val="es-ES"/>
              </w:rPr>
              <w:tab/>
              <w:t>para</w:t>
            </w:r>
            <w:r>
              <w:rPr>
                <w:lang w:val="es-ES"/>
              </w:rPr>
              <w:tab/>
            </w:r>
            <w:r>
              <w:rPr>
                <w:lang w:val="es-ES"/>
              </w:rPr>
              <w:t> </w:t>
            </w:r>
            <w:r>
              <w:rPr>
                <w:lang w:val="es-ES"/>
              </w:rPr>
              <w:t>4 dBW </w:t>
            </w:r>
            <w:r w:rsidR="00066C0F">
              <w:rPr>
                <w:lang w:val="es-ES"/>
              </w:rPr>
              <w:sym w:font="Symbol" w:char="F0A3"/>
            </w:r>
            <w:r>
              <w:rPr>
                <w:lang w:val="es-ES"/>
              </w:rPr>
              <w:t> </w:t>
            </w:r>
            <w:r>
              <w:rPr>
                <w:i/>
                <w:lang w:val="es-ES"/>
              </w:rPr>
              <w:t>P</w:t>
            </w:r>
            <w:r>
              <w:rPr>
                <w:lang w:val="es-ES"/>
              </w:rPr>
              <w:t> </w:t>
            </w:r>
            <w:r w:rsidR="00066C0F">
              <w:rPr>
                <w:lang w:val="es-ES"/>
              </w:rPr>
              <w:t>&lt;</w:t>
            </w:r>
            <w:r>
              <w:rPr>
                <w:lang w:val="es-ES"/>
              </w:rPr>
              <w:t> 40 dBW</w:t>
            </w:r>
          </w:p>
          <w:p w:rsidR="002E5EB0" w:rsidRDefault="002E5EB0" w:rsidP="00066C0F">
            <w:pPr>
              <w:pStyle w:val="TableText0"/>
              <w:rPr>
                <w:lang w:val="es-ES"/>
              </w:rPr>
            </w:pPr>
            <w:r>
              <w:rPr>
                <w:lang w:val="es-ES"/>
              </w:rPr>
              <w:tab/>
              <w:t>     </w:t>
            </w:r>
            <w:r w:rsidRPr="00915745">
              <w:rPr>
                <w:sz w:val="12"/>
                <w:lang w:val="es-ES"/>
              </w:rPr>
              <w:t> </w:t>
            </w:r>
            <w:r>
              <w:rPr>
                <w:lang w:val="es-ES"/>
              </w:rPr>
              <w:t>0 dBm</w:t>
            </w:r>
            <w:r>
              <w:rPr>
                <w:lang w:val="es-ES"/>
              </w:rPr>
              <w:tab/>
              <w:t>para</w:t>
            </w:r>
            <w:r>
              <w:rPr>
                <w:lang w:val="es-ES"/>
              </w:rPr>
              <w:tab/>
              <w:t>40 dBW </w:t>
            </w:r>
            <w:r w:rsidR="00066C0F">
              <w:rPr>
                <w:lang w:val="es-ES"/>
              </w:rPr>
              <w:sym w:font="Symbol" w:char="F0A3"/>
            </w:r>
            <w:r>
              <w:rPr>
                <w:lang w:val="es-ES"/>
              </w:rPr>
              <w:t> </w:t>
            </w:r>
            <w:r>
              <w:rPr>
                <w:i/>
                <w:lang w:val="es-ES"/>
              </w:rPr>
              <w:t>P</w:t>
            </w:r>
          </w:p>
        </w:tc>
      </w:tr>
      <w:tr w:rsidR="002E5EB0" w:rsidRPr="00DD03A6" w:rsidTr="00902B2B">
        <w:trPr>
          <w:jc w:val="center"/>
        </w:trPr>
        <w:tc>
          <w:tcPr>
            <w:tcW w:w="3165"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8D56EB">
            <w:pPr>
              <w:pStyle w:val="Tabletext"/>
              <w:jc w:val="left"/>
              <w:rPr>
                <w:lang w:val="es-ES"/>
              </w:rPr>
            </w:pPr>
            <w:r>
              <w:rPr>
                <w:lang w:val="es-ES"/>
              </w:rPr>
              <w:t>Estaciones de radar del servicio de</w:t>
            </w:r>
            <w:r w:rsidR="008D56EB">
              <w:rPr>
                <w:lang w:val="es-ES"/>
              </w:rPr>
              <w:t> </w:t>
            </w:r>
            <w:r>
              <w:rPr>
                <w:lang w:val="es-ES"/>
              </w:rPr>
              <w:t>radiodeterminación:</w:t>
            </w:r>
          </w:p>
          <w:p w:rsidR="002E5EB0" w:rsidRDefault="002E5EB0" w:rsidP="008D56EB">
            <w:pPr>
              <w:pStyle w:val="TableText0"/>
              <w:rPr>
                <w:lang w:val="es-ES"/>
              </w:rPr>
            </w:pPr>
            <w:r>
              <w:rPr>
                <w:lang w:val="es-ES"/>
              </w:rPr>
              <w:t>Estaciones fijas de radiodet</w:t>
            </w:r>
            <w:r w:rsidR="0090386D">
              <w:rPr>
                <w:lang w:val="es-ES"/>
              </w:rPr>
              <w:t>ermi</w:t>
            </w:r>
            <w:r>
              <w:rPr>
                <w:lang w:val="es-ES"/>
              </w:rPr>
              <w:t>nación</w:t>
            </w:r>
            <w:r>
              <w:rPr>
                <w:vertAlign w:val="superscript"/>
                <w:lang w:val="es-ES"/>
              </w:rPr>
              <w:t>(5), (6), (7), (8)</w:t>
            </w:r>
            <w:r w:rsidR="008D56EB">
              <w:rPr>
                <w:lang w:val="es-ES"/>
              </w:rPr>
              <w:t xml:space="preserve"> </w:t>
            </w:r>
            <w:r w:rsidR="0090386D">
              <w:rPr>
                <w:lang w:val="es-ES"/>
              </w:rPr>
              <w:t>(se</w:t>
            </w:r>
            <w:r w:rsidR="008D56EB">
              <w:rPr>
                <w:lang w:val="es-ES"/>
              </w:rPr>
              <w:t> </w:t>
            </w:r>
            <w:r w:rsidR="0090386D">
              <w:rPr>
                <w:lang w:val="es-ES"/>
              </w:rPr>
              <w:t xml:space="preserve">excluyen los radares de </w:t>
            </w:r>
            <w:r>
              <w:rPr>
                <w:lang w:val="es-ES"/>
              </w:rPr>
              <w:t>perfil del viento, los de multifrecuencia y los de grupos activos)</w:t>
            </w:r>
          </w:p>
        </w:tc>
        <w:tc>
          <w:tcPr>
            <w:tcW w:w="6521" w:type="dxa"/>
            <w:tcBorders>
              <w:top w:val="single" w:sz="6" w:space="0" w:color="auto"/>
              <w:left w:val="single" w:sz="6" w:space="0" w:color="auto"/>
              <w:bottom w:val="single" w:sz="6" w:space="0" w:color="auto"/>
              <w:right w:val="single" w:sz="6" w:space="0" w:color="auto"/>
            </w:tcBorders>
            <w:noWrap/>
            <w:tcMar>
              <w:left w:w="57" w:type="dxa"/>
              <w:right w:w="57" w:type="dxa"/>
            </w:tcMar>
          </w:tcPr>
          <w:p w:rsidR="002E5EB0" w:rsidRDefault="002E5EB0" w:rsidP="0090386D">
            <w:pPr>
              <w:pStyle w:val="TableText0"/>
              <w:rPr>
                <w:lang w:val="es-ES"/>
              </w:rPr>
            </w:pPr>
            <w:r>
              <w:rPr>
                <w:lang w:val="es-ES"/>
              </w:rPr>
              <w:t>– 30 dBm o 100 dB de atenuación por debajo de la PEP, cualquiera que sea el menos estricto</w:t>
            </w:r>
          </w:p>
        </w:tc>
      </w:tr>
    </w:tbl>
    <w:p w:rsidR="002E5EB0" w:rsidRDefault="002E5EB0" w:rsidP="002E5EB0">
      <w:pPr>
        <w:pStyle w:val="Tablefin"/>
        <w:rPr>
          <w:sz w:val="4"/>
          <w:lang w:val="es-ES"/>
        </w:rPr>
      </w:pPr>
    </w:p>
    <w:p w:rsidR="002E5EB0" w:rsidRDefault="008A294A" w:rsidP="002E5EB0">
      <w:pPr>
        <w:pStyle w:val="TableNo"/>
        <w:rPr>
          <w:lang w:val="es-ES"/>
        </w:rPr>
      </w:pPr>
      <w:r>
        <w:rPr>
          <w:lang w:val="es-ES"/>
        </w:rPr>
        <w:lastRenderedPageBreak/>
        <w:t xml:space="preserve">CUADRO </w:t>
      </w:r>
      <w:r w:rsidR="002E5EB0">
        <w:rPr>
          <w:lang w:val="es-ES"/>
        </w:rPr>
        <w:t>3 (</w:t>
      </w:r>
      <w:r w:rsidR="002E5EB0">
        <w:rPr>
          <w:i/>
          <w:iCs/>
          <w:lang w:val="es-ES"/>
        </w:rPr>
        <w:t>Fin</w:t>
      </w:r>
      <w:r w:rsidR="002E5EB0">
        <w:rPr>
          <w:lang w:val="es-ES"/>
        </w:rPr>
        <w:t>)</w:t>
      </w:r>
    </w:p>
    <w:tbl>
      <w:tblPr>
        <w:tblW w:w="9686" w:type="dxa"/>
        <w:jc w:val="center"/>
        <w:tblBorders>
          <w:top w:val="single" w:sz="6" w:space="0" w:color="auto"/>
          <w:left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165"/>
        <w:gridCol w:w="6521"/>
      </w:tblGrid>
      <w:tr w:rsidR="002E5EB0" w:rsidTr="008D0D1D">
        <w:trPr>
          <w:jc w:val="center"/>
        </w:trPr>
        <w:tc>
          <w:tcPr>
            <w:tcW w:w="3165" w:type="dxa"/>
            <w:tcMar>
              <w:left w:w="57" w:type="dxa"/>
              <w:right w:w="57" w:type="dxa"/>
            </w:tcMar>
          </w:tcPr>
          <w:p w:rsidR="002E5EB0" w:rsidRDefault="002E5EB0" w:rsidP="000C144E">
            <w:pPr>
              <w:pStyle w:val="Tablehead"/>
              <w:rPr>
                <w:lang w:val="es-ES"/>
              </w:rPr>
            </w:pPr>
            <w:r>
              <w:rPr>
                <w:lang w:val="es-ES"/>
              </w:rPr>
              <w:t>Tipo de equipo</w:t>
            </w:r>
          </w:p>
        </w:tc>
        <w:tc>
          <w:tcPr>
            <w:tcW w:w="6521" w:type="dxa"/>
            <w:tcMar>
              <w:left w:w="57" w:type="dxa"/>
              <w:right w:w="57" w:type="dxa"/>
            </w:tcMar>
          </w:tcPr>
          <w:p w:rsidR="002E5EB0" w:rsidRDefault="002E5EB0" w:rsidP="000C144E">
            <w:pPr>
              <w:pStyle w:val="Tablehead"/>
              <w:rPr>
                <w:lang w:val="es-ES"/>
              </w:rPr>
            </w:pPr>
            <w:r>
              <w:rPr>
                <w:lang w:val="es-ES"/>
              </w:rPr>
              <w:t>Límites</w:t>
            </w:r>
          </w:p>
        </w:tc>
      </w:tr>
      <w:tr w:rsidR="002E5EB0" w:rsidRPr="00DD03A6" w:rsidTr="008D0D1D">
        <w:trPr>
          <w:jc w:val="center"/>
        </w:trPr>
        <w:tc>
          <w:tcPr>
            <w:tcW w:w="3165" w:type="dxa"/>
            <w:noWrap/>
            <w:tcMar>
              <w:left w:w="57" w:type="dxa"/>
              <w:right w:w="57" w:type="dxa"/>
            </w:tcMar>
          </w:tcPr>
          <w:p w:rsidR="002E5EB0" w:rsidRDefault="002E5EB0" w:rsidP="000C144E">
            <w:pPr>
              <w:pStyle w:val="TableText0"/>
              <w:rPr>
                <w:lang w:val="es-ES"/>
              </w:rPr>
            </w:pPr>
            <w:r>
              <w:rPr>
                <w:lang w:val="es-ES"/>
              </w:rPr>
              <w:t>Dispositivos de corto alcance que funciona por debajo de 30 MHz</w:t>
            </w:r>
          </w:p>
        </w:tc>
        <w:tc>
          <w:tcPr>
            <w:tcW w:w="6521" w:type="dxa"/>
            <w:noWrap/>
            <w:tcMar>
              <w:left w:w="57" w:type="dxa"/>
              <w:right w:w="57" w:type="dxa"/>
            </w:tcMar>
          </w:tcPr>
          <w:p w:rsidR="002E5EB0" w:rsidRDefault="002E5EB0" w:rsidP="00E706E3">
            <w:pPr>
              <w:pStyle w:val="TableText0"/>
              <w:rPr>
                <w:lang w:val="es-ES"/>
              </w:rPr>
            </w:pPr>
            <w:r>
              <w:rPr>
                <w:lang w:val="es-ES"/>
              </w:rPr>
              <w:t>29 – 10 log(</w:t>
            </w:r>
            <w:r>
              <w:rPr>
                <w:sz w:val="20"/>
                <w:lang w:val="es-ES"/>
              </w:rPr>
              <w:t xml:space="preserve"> </w:t>
            </w:r>
            <w:r>
              <w:rPr>
                <w:i/>
                <w:iCs/>
                <w:lang w:val="es-ES"/>
              </w:rPr>
              <w:t xml:space="preserve">f </w:t>
            </w:r>
            <w:r>
              <w:rPr>
                <w:lang w:val="es-ES"/>
              </w:rPr>
              <w:t>(kHz)/9) dB(</w:t>
            </w:r>
            <w:r>
              <w:rPr>
                <w:rFonts w:ascii="Symbol" w:hAnsi="Symbol"/>
                <w:lang w:val="fr-CH"/>
              </w:rPr>
              <w:t></w:t>
            </w:r>
            <w:r>
              <w:rPr>
                <w:lang w:val="es-ES"/>
              </w:rPr>
              <w:t xml:space="preserve">A/m) a 10 m para 9 kHz </w:t>
            </w:r>
            <w:r w:rsidR="00E706E3">
              <w:rPr>
                <w:lang w:val="es-ES"/>
              </w:rPr>
              <w:t>&lt;</w:t>
            </w:r>
            <w:r>
              <w:rPr>
                <w:lang w:val="es-ES"/>
              </w:rPr>
              <w:t xml:space="preserve"> </w:t>
            </w:r>
            <w:r>
              <w:rPr>
                <w:i/>
                <w:iCs/>
                <w:lang w:val="es-ES"/>
              </w:rPr>
              <w:t>f</w:t>
            </w:r>
            <w:r>
              <w:rPr>
                <w:lang w:val="es-ES"/>
              </w:rPr>
              <w:t xml:space="preserve"> </w:t>
            </w:r>
            <w:r w:rsidR="00E706E3">
              <w:rPr>
                <w:lang w:val="es-ES"/>
              </w:rPr>
              <w:t>&lt;</w:t>
            </w:r>
            <w:r>
              <w:rPr>
                <w:lang w:val="es-ES"/>
              </w:rPr>
              <w:t xml:space="preserve"> 10 MHz</w:t>
            </w:r>
          </w:p>
          <w:p w:rsidR="002E5EB0" w:rsidRDefault="002E5EB0" w:rsidP="00E706E3">
            <w:pPr>
              <w:pStyle w:val="TableText0"/>
              <w:rPr>
                <w:lang w:val="es-ES"/>
              </w:rPr>
            </w:pPr>
            <w:r>
              <w:rPr>
                <w:lang w:val="es-ES"/>
              </w:rPr>
              <w:t>– 1 dB</w:t>
            </w:r>
            <w:r>
              <w:rPr>
                <w:rFonts w:ascii="Symbol" w:hAnsi="Symbol"/>
                <w:lang w:val="fr-CH"/>
              </w:rPr>
              <w:t></w:t>
            </w:r>
            <w:r>
              <w:rPr>
                <w:rFonts w:ascii="Symbol" w:hAnsi="Symbol"/>
                <w:lang w:val="fr-CH"/>
              </w:rPr>
              <w:t></w:t>
            </w:r>
            <w:r>
              <w:rPr>
                <w:lang w:val="es-ES"/>
              </w:rPr>
              <w:t>A/m) a 10 m</w:t>
            </w:r>
            <w:r>
              <w:rPr>
                <w:lang w:val="es-ES"/>
              </w:rPr>
              <w:tab/>
            </w:r>
            <w:r w:rsidR="0090386D">
              <w:rPr>
                <w:lang w:val="es-ES"/>
              </w:rPr>
              <w:tab/>
            </w:r>
            <w:r>
              <w:rPr>
                <w:lang w:val="es-ES"/>
              </w:rPr>
              <w:t xml:space="preserve">para 10 MHz </w:t>
            </w:r>
            <w:r w:rsidR="00E706E3">
              <w:rPr>
                <w:lang w:val="es-ES"/>
              </w:rPr>
              <w:t>&lt;</w:t>
            </w:r>
            <w:r>
              <w:rPr>
                <w:lang w:val="es-ES"/>
              </w:rPr>
              <w:t xml:space="preserve"> </w:t>
            </w:r>
            <w:r>
              <w:rPr>
                <w:i/>
                <w:iCs/>
                <w:lang w:val="es-ES"/>
              </w:rPr>
              <w:t>f</w:t>
            </w:r>
            <w:r>
              <w:rPr>
                <w:lang w:val="es-ES"/>
              </w:rPr>
              <w:t xml:space="preserve"> </w:t>
            </w:r>
            <w:r w:rsidR="00E706E3">
              <w:rPr>
                <w:lang w:val="es-ES"/>
              </w:rPr>
              <w:t>&lt;</w:t>
            </w:r>
            <w:r>
              <w:rPr>
                <w:lang w:val="es-ES"/>
              </w:rPr>
              <w:t xml:space="preserve"> 30 MHz</w:t>
            </w:r>
          </w:p>
          <w:p w:rsidR="002E5EB0" w:rsidRDefault="002E5EB0" w:rsidP="00E706E3">
            <w:pPr>
              <w:pStyle w:val="TableText0"/>
              <w:ind w:left="2268" w:hanging="2268"/>
              <w:rPr>
                <w:lang w:val="es-ES"/>
              </w:rPr>
            </w:pPr>
            <w:r>
              <w:rPr>
                <w:lang w:val="es-ES"/>
              </w:rPr>
              <w:t>– 36 dBm</w:t>
            </w:r>
            <w:r>
              <w:rPr>
                <w:lang w:val="es-ES"/>
              </w:rPr>
              <w:tab/>
            </w:r>
            <w:r w:rsidR="0090386D">
              <w:rPr>
                <w:lang w:val="es-ES"/>
              </w:rPr>
              <w:tab/>
            </w:r>
            <w:r w:rsidR="0090386D">
              <w:rPr>
                <w:lang w:val="es-ES"/>
              </w:rPr>
              <w:tab/>
            </w:r>
            <w:r w:rsidR="0090386D">
              <w:rPr>
                <w:lang w:val="es-ES"/>
              </w:rPr>
              <w:tab/>
            </w:r>
            <w:r w:rsidR="0090386D">
              <w:rPr>
                <w:lang w:val="es-ES"/>
              </w:rPr>
              <w:tab/>
            </w:r>
            <w:r>
              <w:rPr>
                <w:lang w:val="es-ES"/>
              </w:rPr>
              <w:t xml:space="preserve">para 30 MHz </w:t>
            </w:r>
            <w:r w:rsidR="00E706E3">
              <w:rPr>
                <w:lang w:val="es-ES"/>
              </w:rPr>
              <w:sym w:font="Symbol" w:char="F0A3"/>
            </w:r>
            <w:r>
              <w:rPr>
                <w:lang w:val="es-ES"/>
              </w:rPr>
              <w:t xml:space="preserve"> excepto para frecuencias por debajo de </w:t>
            </w:r>
            <w:r w:rsidR="00E706E3">
              <w:rPr>
                <w:lang w:val="es-ES"/>
              </w:rPr>
              <w:t>&lt;</w:t>
            </w:r>
            <w:r>
              <w:rPr>
                <w:lang w:val="es-ES"/>
              </w:rPr>
              <w:t xml:space="preserve"> 1 GHz</w:t>
            </w:r>
          </w:p>
          <w:p w:rsidR="002E5EB0" w:rsidRDefault="002E5EB0" w:rsidP="0090386D">
            <w:pPr>
              <w:pStyle w:val="Tabletext"/>
              <w:ind w:left="2268" w:hanging="2268"/>
              <w:jc w:val="left"/>
              <w:rPr>
                <w:lang w:val="es-ES"/>
              </w:rPr>
            </w:pPr>
            <w:r>
              <w:rPr>
                <w:lang w:val="es-ES"/>
              </w:rPr>
              <w:t>– 54 dBm</w:t>
            </w:r>
            <w:r>
              <w:rPr>
                <w:lang w:val="es-ES"/>
              </w:rPr>
              <w:tab/>
            </w:r>
            <w:r w:rsidR="0090386D">
              <w:rPr>
                <w:lang w:val="es-ES"/>
              </w:rPr>
              <w:tab/>
            </w:r>
            <w:r w:rsidR="0090386D">
              <w:rPr>
                <w:lang w:val="es-ES"/>
              </w:rPr>
              <w:tab/>
            </w:r>
            <w:r w:rsidR="0090386D">
              <w:rPr>
                <w:lang w:val="es-ES"/>
              </w:rPr>
              <w:tab/>
            </w:r>
            <w:r w:rsidR="0090386D">
              <w:rPr>
                <w:lang w:val="es-ES"/>
              </w:rPr>
              <w:tab/>
            </w:r>
            <w:r>
              <w:rPr>
                <w:lang w:val="es-ES"/>
              </w:rPr>
              <w:t xml:space="preserve">para </w:t>
            </w:r>
            <w:r>
              <w:rPr>
                <w:i/>
                <w:lang w:val="es-ES"/>
              </w:rPr>
              <w:t>f</w:t>
            </w:r>
            <w:r>
              <w:rPr>
                <w:lang w:val="es-ES"/>
              </w:rPr>
              <w:t xml:space="preserve"> d</w:t>
            </w:r>
            <w:r w:rsidR="0090386D">
              <w:rPr>
                <w:lang w:val="es-ES"/>
              </w:rPr>
              <w:t>entro de las bandas 47-74 MHz,</w:t>
            </w:r>
            <w:r w:rsidR="0090386D">
              <w:rPr>
                <w:lang w:val="es-ES"/>
              </w:rPr>
              <w:br/>
            </w:r>
            <w:r>
              <w:rPr>
                <w:lang w:val="es-ES"/>
              </w:rPr>
              <w:t>87,5</w:t>
            </w:r>
            <w:r>
              <w:rPr>
                <w:lang w:val="es-ES"/>
              </w:rPr>
              <w:noBreakHyphen/>
              <w:t>118 MHz, 174-230 MHz, 470-862 MHz</w:t>
            </w:r>
          </w:p>
          <w:p w:rsidR="002E5EB0" w:rsidRDefault="002E5EB0" w:rsidP="00823ADA">
            <w:pPr>
              <w:pStyle w:val="TableText0"/>
              <w:rPr>
                <w:lang w:val="es-ES"/>
              </w:rPr>
            </w:pPr>
            <w:r>
              <w:rPr>
                <w:lang w:val="es-ES"/>
              </w:rPr>
              <w:t>– 30 dBm</w:t>
            </w:r>
            <w:r>
              <w:rPr>
                <w:lang w:val="es-ES"/>
              </w:rPr>
              <w:tab/>
            </w:r>
            <w:r w:rsidR="0090386D">
              <w:rPr>
                <w:lang w:val="es-ES"/>
              </w:rPr>
              <w:tab/>
            </w:r>
            <w:r w:rsidR="0090386D">
              <w:rPr>
                <w:lang w:val="es-ES"/>
              </w:rPr>
              <w:tab/>
            </w:r>
            <w:r w:rsidR="0090386D">
              <w:rPr>
                <w:lang w:val="es-ES"/>
              </w:rPr>
              <w:tab/>
            </w:r>
            <w:r w:rsidR="0090386D">
              <w:rPr>
                <w:lang w:val="es-ES"/>
              </w:rPr>
              <w:tab/>
            </w:r>
            <w:r>
              <w:rPr>
                <w:lang w:val="es-ES"/>
              </w:rPr>
              <w:t xml:space="preserve">para 1 GHz </w:t>
            </w:r>
            <w:r w:rsidR="00E706E3">
              <w:rPr>
                <w:lang w:val="es-ES"/>
              </w:rPr>
              <w:sym w:font="Symbol" w:char="F0A3"/>
            </w:r>
            <w:r>
              <w:rPr>
                <w:lang w:val="es-ES"/>
              </w:rPr>
              <w:t xml:space="preserve"> </w:t>
            </w:r>
            <w:r>
              <w:rPr>
                <w:i/>
                <w:lang w:val="es-ES"/>
              </w:rPr>
              <w:t>f</w:t>
            </w:r>
            <w:r>
              <w:rPr>
                <w:lang w:val="es-ES"/>
              </w:rPr>
              <w:t xml:space="preserve"> </w:t>
            </w:r>
            <w:r w:rsidR="00823ADA">
              <w:rPr>
                <w:lang w:val="es-ES"/>
              </w:rPr>
              <w:t>&lt;</w:t>
            </w:r>
            <w:r>
              <w:rPr>
                <w:lang w:val="es-ES"/>
              </w:rPr>
              <w:t xml:space="preserve"> (véase el </w:t>
            </w:r>
            <w:r>
              <w:rPr>
                <w:i/>
                <w:iCs/>
                <w:lang w:val="es-ES"/>
              </w:rPr>
              <w:t xml:space="preserve">recomienda </w:t>
            </w:r>
            <w:r>
              <w:rPr>
                <w:lang w:val="es-ES"/>
              </w:rPr>
              <w:t>2.5)</w:t>
            </w:r>
          </w:p>
        </w:tc>
      </w:tr>
      <w:tr w:rsidR="002E5EB0" w:rsidRPr="00DD03A6" w:rsidTr="00823ADA">
        <w:trPr>
          <w:jc w:val="center"/>
        </w:trPr>
        <w:tc>
          <w:tcPr>
            <w:tcW w:w="3165" w:type="dxa"/>
            <w:tcBorders>
              <w:bottom w:val="single" w:sz="6" w:space="0" w:color="auto"/>
            </w:tcBorders>
            <w:noWrap/>
            <w:tcMar>
              <w:left w:w="57" w:type="dxa"/>
              <w:right w:w="57" w:type="dxa"/>
            </w:tcMar>
          </w:tcPr>
          <w:p w:rsidR="002E5EB0" w:rsidRDefault="002E5EB0" w:rsidP="000C144E">
            <w:pPr>
              <w:pStyle w:val="TableText0"/>
              <w:rPr>
                <w:lang w:val="es-ES"/>
              </w:rPr>
            </w:pPr>
            <w:r>
              <w:rPr>
                <w:lang w:val="es-ES"/>
              </w:rPr>
              <w:t>Dispositivos de corto alcance que funciona por debajo de 30 MHz, redes radioeléctricas de zona local, banda ciudadana, teléfonos inalámbricos, y radiomicrófonos</w:t>
            </w:r>
          </w:p>
        </w:tc>
        <w:tc>
          <w:tcPr>
            <w:tcW w:w="6521" w:type="dxa"/>
            <w:tcBorders>
              <w:bottom w:val="single" w:sz="6" w:space="0" w:color="auto"/>
            </w:tcBorders>
            <w:noWrap/>
            <w:tcMar>
              <w:left w:w="57" w:type="dxa"/>
              <w:right w:w="57" w:type="dxa"/>
            </w:tcMar>
          </w:tcPr>
          <w:p w:rsidR="002E5EB0" w:rsidRDefault="002E5EB0" w:rsidP="00823ADA">
            <w:pPr>
              <w:pStyle w:val="TableText0"/>
              <w:rPr>
                <w:lang w:val="es-ES"/>
              </w:rPr>
            </w:pPr>
            <w:r>
              <w:rPr>
                <w:lang w:val="es-ES"/>
              </w:rPr>
              <w:t>– 36 dBm</w:t>
            </w:r>
            <w:r>
              <w:rPr>
                <w:lang w:val="es-ES"/>
              </w:rPr>
              <w:tab/>
              <w:t xml:space="preserve">para 9 kHz </w:t>
            </w:r>
            <w:r w:rsidR="00E706E3">
              <w:rPr>
                <w:lang w:val="es-ES"/>
              </w:rPr>
              <w:sym w:font="Symbol" w:char="F0A3"/>
            </w:r>
            <w:r>
              <w:rPr>
                <w:lang w:val="es-ES"/>
              </w:rPr>
              <w:t xml:space="preserve"> excepto frecuencias inferiores </w:t>
            </w:r>
            <w:r w:rsidR="00823ADA">
              <w:rPr>
                <w:lang w:val="es-ES"/>
              </w:rPr>
              <w:t>&lt;</w:t>
            </w:r>
            <w:r>
              <w:rPr>
                <w:lang w:val="es-ES"/>
              </w:rPr>
              <w:t xml:space="preserve"> 1 GHz</w:t>
            </w:r>
          </w:p>
          <w:p w:rsidR="002E5EB0" w:rsidRDefault="002E5EB0" w:rsidP="0090386D">
            <w:pPr>
              <w:pStyle w:val="TableText0"/>
              <w:ind w:left="1134" w:hanging="1134"/>
              <w:rPr>
                <w:lang w:val="es-ES"/>
              </w:rPr>
            </w:pPr>
            <w:r>
              <w:rPr>
                <w:lang w:val="es-ES"/>
              </w:rPr>
              <w:t>– 54 dBm</w:t>
            </w:r>
            <w:r>
              <w:rPr>
                <w:lang w:val="es-ES"/>
              </w:rPr>
              <w:tab/>
              <w:t xml:space="preserve">para </w:t>
            </w:r>
            <w:r>
              <w:rPr>
                <w:i/>
                <w:lang w:val="es-ES"/>
              </w:rPr>
              <w:t>f</w:t>
            </w:r>
            <w:r>
              <w:rPr>
                <w:lang w:val="es-ES"/>
              </w:rPr>
              <w:t xml:space="preserve"> dentro de las bandas 47-74 MHz, 87,5-118 MHz, </w:t>
            </w:r>
            <w:r>
              <w:rPr>
                <w:lang w:val="es-ES"/>
              </w:rPr>
              <w:br/>
              <w:t>174-230 MHz, 470-862 MHz</w:t>
            </w:r>
          </w:p>
          <w:p w:rsidR="002E5EB0" w:rsidRDefault="002E5EB0" w:rsidP="00E706E3">
            <w:pPr>
              <w:pStyle w:val="TableText0"/>
              <w:rPr>
                <w:lang w:val="es-ES"/>
              </w:rPr>
            </w:pPr>
            <w:r>
              <w:rPr>
                <w:lang w:val="es-ES"/>
              </w:rPr>
              <w:t>– 30 dBm</w:t>
            </w:r>
            <w:r>
              <w:rPr>
                <w:lang w:val="es-ES"/>
              </w:rPr>
              <w:tab/>
              <w:t xml:space="preserve">para 1 GHz </w:t>
            </w:r>
            <w:r w:rsidR="00E706E3">
              <w:rPr>
                <w:lang w:val="es-ES"/>
              </w:rPr>
              <w:sym w:font="Symbol" w:char="F0A3"/>
            </w:r>
            <w:r>
              <w:rPr>
                <w:lang w:val="es-ES"/>
              </w:rPr>
              <w:t xml:space="preserve"> </w:t>
            </w:r>
            <w:r>
              <w:rPr>
                <w:i/>
                <w:lang w:val="es-ES"/>
              </w:rPr>
              <w:t>f</w:t>
            </w:r>
            <w:r>
              <w:rPr>
                <w:lang w:val="es-ES"/>
              </w:rPr>
              <w:t xml:space="preserve"> </w:t>
            </w:r>
            <w:r w:rsidR="00E706E3">
              <w:rPr>
                <w:lang w:val="es-ES"/>
              </w:rPr>
              <w:t>&lt;</w:t>
            </w:r>
            <w:r>
              <w:rPr>
                <w:lang w:val="es-ES"/>
              </w:rPr>
              <w:t xml:space="preserve"> (véase el </w:t>
            </w:r>
            <w:r>
              <w:rPr>
                <w:i/>
                <w:lang w:val="es-ES"/>
              </w:rPr>
              <w:t xml:space="preserve">recomienda </w:t>
            </w:r>
            <w:r>
              <w:rPr>
                <w:iCs/>
                <w:lang w:val="es-ES"/>
              </w:rPr>
              <w:t>2.5</w:t>
            </w:r>
            <w:r>
              <w:rPr>
                <w:lang w:val="es-ES"/>
              </w:rPr>
              <w:t>)</w:t>
            </w:r>
          </w:p>
        </w:tc>
      </w:tr>
      <w:tr w:rsidR="002E5EB0" w:rsidRPr="00DD03A6" w:rsidTr="00823ADA">
        <w:trPr>
          <w:cantSplit/>
          <w:jc w:val="center"/>
        </w:trPr>
        <w:tc>
          <w:tcPr>
            <w:tcW w:w="9686" w:type="dxa"/>
            <w:gridSpan w:val="2"/>
            <w:tcBorders>
              <w:left w:val="nil"/>
              <w:bottom w:val="nil"/>
              <w:right w:val="nil"/>
            </w:tcBorders>
            <w:noWrap/>
            <w:tcMar>
              <w:left w:w="57" w:type="dxa"/>
              <w:right w:w="57" w:type="dxa"/>
            </w:tcMar>
          </w:tcPr>
          <w:p w:rsidR="002E5EB0" w:rsidRDefault="002E5EB0" w:rsidP="00E706E3">
            <w:pPr>
              <w:pStyle w:val="Tablelegend"/>
              <w:ind w:right="-57" w:hanging="284"/>
              <w:rPr>
                <w:lang w:val="es-ES"/>
              </w:rPr>
            </w:pPr>
            <w:r>
              <w:rPr>
                <w:i/>
                <w:lang w:val="es-ES"/>
              </w:rPr>
              <w:t>P</w:t>
            </w:r>
            <w:r>
              <w:rPr>
                <w:lang w:val="es-ES"/>
              </w:rPr>
              <w:t>:</w:t>
            </w:r>
            <w:r>
              <w:rPr>
                <w:lang w:val="es-ES"/>
              </w:rPr>
              <w:tab/>
              <w:t xml:space="preserve">potencia media (W) en la línea de transmisión de la antena, de conformidad con el número 1.158 del RR. Cuando se utiliza transmisión en ráfagas, la potencia media, </w:t>
            </w:r>
            <w:r>
              <w:rPr>
                <w:i/>
                <w:lang w:val="es-ES"/>
              </w:rPr>
              <w:t>P</w:t>
            </w:r>
            <w:r>
              <w:rPr>
                <w:lang w:val="es-ES"/>
              </w:rPr>
              <w:t xml:space="preserve"> y la potencia media de cualquier emisión en el dominio no esencial se miden utilizando el promedio de potencia durante el tiempo de la ráfaga.</w:t>
            </w:r>
          </w:p>
          <w:p w:rsidR="002E5EB0" w:rsidRDefault="002E5EB0" w:rsidP="00E706E3">
            <w:pPr>
              <w:pStyle w:val="Tablelegend"/>
              <w:ind w:right="-57"/>
              <w:rPr>
                <w:lang w:val="es-ES"/>
              </w:rPr>
            </w:pPr>
            <w:r>
              <w:rPr>
                <w:lang w:val="es-ES"/>
              </w:rPr>
              <w:tab/>
              <w:t>Las emisiones en el dominio no esencial deben evaluarse en términos de potencia media excepto para el servicio de radiodeterminación en el que las emisiones en el dominio no esencial deben evaluarse en términos de la PEP. No obstante cuando la medición de las emisiones en el dominio no esencial en términos de la PEP sea difícil debido al carácter de la emisión en el dominio no esencial (por ejemplo, ruido gaussiano), se permite evaluar la potencia suministrada a la línea de transmisión de la antena y la potencia de la emisión en el dominio no esencial en términos de la potencia media (véase el Anexo 2).</w:t>
            </w:r>
          </w:p>
          <w:p w:rsidR="002E5EB0" w:rsidRDefault="002E5EB0" w:rsidP="00E706E3">
            <w:pPr>
              <w:pStyle w:val="Tablelegend"/>
              <w:ind w:left="567" w:right="-57" w:hanging="567"/>
              <w:rPr>
                <w:lang w:val="es-ES"/>
              </w:rPr>
            </w:pPr>
            <w:r>
              <w:rPr>
                <w:i/>
                <w:lang w:val="es-ES"/>
              </w:rPr>
              <w:t>f</w:t>
            </w:r>
            <w:r>
              <w:rPr>
                <w:lang w:val="es-ES"/>
              </w:rPr>
              <w:t>:</w:t>
            </w:r>
            <w:r>
              <w:rPr>
                <w:lang w:val="es-ES"/>
              </w:rPr>
              <w:tab/>
              <w:t>frecuencia de las emisiones en el dominio no esencial.</w:t>
            </w:r>
          </w:p>
          <w:p w:rsidR="002E5EB0" w:rsidRDefault="002E5EB0" w:rsidP="00E706E3">
            <w:pPr>
              <w:pStyle w:val="Tablelegend"/>
              <w:ind w:right="-57" w:hanging="284"/>
              <w:rPr>
                <w:lang w:val="es-ES"/>
              </w:rPr>
            </w:pPr>
            <w:r>
              <w:rPr>
                <w:vertAlign w:val="superscript"/>
                <w:lang w:val="es-ES"/>
              </w:rPr>
              <w:t>(1)</w:t>
            </w:r>
            <w:r>
              <w:rPr>
                <w:lang w:val="es-ES"/>
              </w:rPr>
              <w:tab/>
              <w:t>Los sistemas de acceso inalámbrico fijo (FWA) que utilizan tecnologías móviles de tipo celular descritos en la Recomendación UIT-R F.757, en el caso de que las administraciones permitan su utilización en las mismas bandas asignadas localmente a los sistemas móviles terrestres o a los de FWA que utilizan tecnología móvil terrestre específica, deben someterse a los límites de emisiones en el dominio no esencial del servicio móvil terrestre.</w:t>
            </w:r>
          </w:p>
          <w:p w:rsidR="002E5EB0" w:rsidRDefault="002E5EB0" w:rsidP="00E706E3">
            <w:pPr>
              <w:pStyle w:val="Tablelegend"/>
              <w:ind w:left="0" w:right="-57" w:firstLine="0"/>
              <w:rPr>
                <w:lang w:val="es-ES"/>
              </w:rPr>
            </w:pPr>
            <w:r>
              <w:rPr>
                <w:vertAlign w:val="superscript"/>
                <w:lang w:val="es-ES"/>
              </w:rPr>
              <w:t>(2)</w:t>
            </w:r>
            <w:r>
              <w:rPr>
                <w:lang w:val="es-ES"/>
              </w:rPr>
              <w:tab/>
              <w:t>Los límites de la Categoría A se aplican al servicio fijo en ondas decamétricas.</w:t>
            </w:r>
          </w:p>
          <w:p w:rsidR="002E5EB0" w:rsidRDefault="002E5EB0" w:rsidP="00E706E3">
            <w:pPr>
              <w:pStyle w:val="Tablelegend"/>
              <w:ind w:right="-57" w:hanging="284"/>
              <w:rPr>
                <w:lang w:val="es-ES"/>
              </w:rPr>
            </w:pPr>
            <w:r>
              <w:rPr>
                <w:vertAlign w:val="superscript"/>
                <w:lang w:val="es-ES"/>
              </w:rPr>
              <w:t>(3)</w:t>
            </w:r>
            <w:r>
              <w:rPr>
                <w:lang w:val="es-ES"/>
              </w:rPr>
              <w:tab/>
              <w:t>Se permite una anchura de banda reducida en ambos extremos de la emisión a partir del 250% de la anchura de banda necesaria (véase el Anexo 6).</w:t>
            </w:r>
          </w:p>
          <w:p w:rsidR="002E5EB0" w:rsidRDefault="002E5EB0" w:rsidP="00E706E3">
            <w:pPr>
              <w:pStyle w:val="Tablelegend"/>
              <w:ind w:right="-57" w:hanging="284"/>
              <w:rPr>
                <w:lang w:val="es-ES"/>
              </w:rPr>
            </w:pPr>
            <w:r>
              <w:rPr>
                <w:vertAlign w:val="superscript"/>
                <w:lang w:val="es-ES"/>
              </w:rPr>
              <w:t>(4)</w:t>
            </w:r>
            <w:r>
              <w:rPr>
                <w:lang w:val="es-ES"/>
              </w:rPr>
              <w:tab/>
              <w:t>Se permite una anchura de banda reducida en ambos extremos de la emisión a partir del 250% de la anchura de banda necesaria (véase el Anexo 7).</w:t>
            </w:r>
          </w:p>
          <w:p w:rsidR="002E5EB0" w:rsidRDefault="002E5EB0" w:rsidP="00E706E3">
            <w:pPr>
              <w:pStyle w:val="Tablelegend"/>
              <w:ind w:right="-57" w:hanging="284"/>
              <w:rPr>
                <w:lang w:val="es-ES"/>
              </w:rPr>
            </w:pPr>
            <w:r>
              <w:rPr>
                <w:vertAlign w:val="superscript"/>
                <w:lang w:val="es-ES"/>
              </w:rPr>
              <w:t>(5)</w:t>
            </w:r>
            <w:r>
              <w:rPr>
                <w:lang w:val="es-ES"/>
              </w:rPr>
              <w:tab/>
              <w:t>La atenuación de las emisiones en el dominio no esencial (dB) de los sistemas de radiodeterminación (radar, tal como se define en el número 1.100 del RR) se determinan para los niveles de emisión radiada, y no para los existentes en la línea de transmisión de la antena. El método de medida para determinar los niveles de emisión radiada en el dominio no esencial de sistemas radar debe atenerse a las directrices de la Recomendación UIT-R M.1117.</w:t>
            </w:r>
          </w:p>
          <w:p w:rsidR="002E5EB0" w:rsidRDefault="002E5EB0" w:rsidP="00E706E3">
            <w:pPr>
              <w:pStyle w:val="Tablelegend"/>
              <w:ind w:right="-57" w:hanging="284"/>
              <w:rPr>
                <w:lang w:val="es-ES"/>
              </w:rPr>
            </w:pPr>
            <w:r>
              <w:rPr>
                <w:vertAlign w:val="superscript"/>
                <w:lang w:val="es-ES"/>
              </w:rPr>
              <w:t>(6)</w:t>
            </w:r>
            <w:r>
              <w:rPr>
                <w:lang w:val="es-ES"/>
              </w:rPr>
              <w:tab/>
              <w:t>Los países europeos y algunos más han decidido que, en la medida en que les concierne, deben aplicarse los límites de las emisiones en el dominio no esencial de la Categoría B para los sistemas de radar a los transmisores utilizados en dichos países e instalados después del 1 de enero de 2006.</w:t>
            </w:r>
          </w:p>
          <w:p w:rsidR="002E5EB0" w:rsidRDefault="002E5EB0" w:rsidP="00E706E3">
            <w:pPr>
              <w:pStyle w:val="Tablelegend"/>
              <w:ind w:right="-57" w:hanging="284"/>
              <w:rPr>
                <w:lang w:val="es-ES"/>
              </w:rPr>
            </w:pPr>
            <w:r>
              <w:rPr>
                <w:vertAlign w:val="superscript"/>
                <w:lang w:val="es-ES"/>
              </w:rPr>
              <w:t>(7)</w:t>
            </w:r>
            <w:r>
              <w:rPr>
                <w:lang w:val="es-ES"/>
              </w:rPr>
              <w:tab/>
              <w:t>Las administraciones pueden permitir, sobre una base de emplazamiento por emplazamiento, la utilización de equipo radar móvil marítimo en instalaciones fijas (por ejemplo, radar de los servicios de tráfico de navíos), que utilice límites adecuados para los radares móviles.</w:t>
            </w:r>
          </w:p>
          <w:p w:rsidR="002E5EB0" w:rsidRDefault="002E5EB0" w:rsidP="00E706E3">
            <w:pPr>
              <w:pStyle w:val="Tablelegend"/>
              <w:ind w:right="-57" w:hanging="284"/>
              <w:rPr>
                <w:lang w:val="es-ES"/>
              </w:rPr>
            </w:pPr>
            <w:r>
              <w:rPr>
                <w:vertAlign w:val="superscript"/>
                <w:lang w:val="es-ES"/>
              </w:rPr>
              <w:t>(8)</w:t>
            </w:r>
            <w:r>
              <w:rPr>
                <w:lang w:val="es-ES"/>
              </w:rPr>
              <w:tab/>
              <w:t>Hasta que las entidades regionales pertinentes emprendan nuevos estudios, toda interferencia se tratará caso por caso.</w:t>
            </w:r>
          </w:p>
        </w:tc>
      </w:tr>
    </w:tbl>
    <w:p w:rsidR="002E5EB0" w:rsidRPr="0011563C" w:rsidRDefault="002E5EB0" w:rsidP="00E706E3">
      <w:pPr>
        <w:pStyle w:val="Tablelegend"/>
        <w:ind w:left="0" w:right="-57" w:firstLine="0"/>
        <w:rPr>
          <w:sz w:val="2"/>
          <w:lang w:val="es-ES_tradnl"/>
        </w:rPr>
      </w:pPr>
    </w:p>
    <w:p w:rsidR="002E5EB0" w:rsidRDefault="002E5EB0" w:rsidP="002E5EB0">
      <w:pPr>
        <w:pStyle w:val="Heading2"/>
        <w:rPr>
          <w:lang w:val="es-ES"/>
        </w:rPr>
      </w:pPr>
      <w:r>
        <w:rPr>
          <w:lang w:val="es-ES"/>
        </w:rPr>
        <w:lastRenderedPageBreak/>
        <w:t>4.4</w:t>
      </w:r>
      <w:r>
        <w:rPr>
          <w:lang w:val="es-ES"/>
        </w:rPr>
        <w:tab/>
        <w:t>Límites de la Categoría C</w:t>
      </w:r>
    </w:p>
    <w:p w:rsidR="002E5EB0" w:rsidRDefault="002E5EB0" w:rsidP="00FB2ED1">
      <w:pPr>
        <w:rPr>
          <w:lang w:val="es-ES"/>
        </w:rPr>
      </w:pPr>
      <w:r>
        <w:rPr>
          <w:lang w:val="es-ES"/>
        </w:rPr>
        <w:t xml:space="preserve">El Cuadro 4 indica los niveles máximos permitidos de las emisiones en el dominio no esencial en términos de nivel de potencia, de cualquier componente no deseada suministrada por un transmisor a la línea de transmisión de la antena, en el caso de equipo de Categoría C. Para todos los servicios/sistemas no citados en este </w:t>
      </w:r>
      <w:r w:rsidR="00FB2ED1">
        <w:rPr>
          <w:lang w:val="es-ES"/>
        </w:rPr>
        <w:t>c</w:t>
      </w:r>
      <w:r>
        <w:rPr>
          <w:lang w:val="es-ES"/>
        </w:rPr>
        <w:t>uadro, se aplican los límites de la Categoría A.</w:t>
      </w:r>
    </w:p>
    <w:p w:rsidR="002E5EB0" w:rsidRDefault="008A294A" w:rsidP="002E5EB0">
      <w:pPr>
        <w:pStyle w:val="TableNo"/>
        <w:rPr>
          <w:lang w:val="es-ES"/>
        </w:rPr>
      </w:pPr>
      <w:r>
        <w:rPr>
          <w:lang w:val="es-ES"/>
        </w:rPr>
        <w:t xml:space="preserve">CUADRO </w:t>
      </w:r>
      <w:r w:rsidR="002E5EB0">
        <w:rPr>
          <w:lang w:val="es-ES"/>
        </w:rPr>
        <w:t>4</w:t>
      </w:r>
    </w:p>
    <w:p w:rsidR="002E5EB0" w:rsidRDefault="002E5EB0" w:rsidP="002E5EB0">
      <w:pPr>
        <w:pStyle w:val="Tabletitle"/>
        <w:rPr>
          <w:lang w:val="es-ES"/>
        </w:rPr>
      </w:pPr>
      <w:r>
        <w:rPr>
          <w:lang w:val="es-ES"/>
        </w:rPr>
        <w:t>Límites de la Categoría C</w:t>
      </w:r>
    </w:p>
    <w:p w:rsidR="002E5EB0" w:rsidRDefault="002E5EB0" w:rsidP="002E5EB0">
      <w:pPr>
        <w:pStyle w:val="Tabletitle"/>
        <w:rPr>
          <w:b w:val="0"/>
          <w:bCs/>
          <w:lang w:val="es-ES"/>
        </w:rPr>
      </w:pPr>
      <w:r>
        <w:rPr>
          <w:b w:val="0"/>
          <w:bCs/>
          <w:lang w:val="es-ES"/>
        </w:rPr>
        <w:t xml:space="preserve">(Véanse las definiciones en el </w:t>
      </w:r>
      <w:r>
        <w:rPr>
          <w:b w:val="0"/>
          <w:bCs/>
          <w:i/>
          <w:lang w:val="es-ES"/>
        </w:rPr>
        <w:t xml:space="preserve">recomienda </w:t>
      </w:r>
      <w:r>
        <w:rPr>
          <w:b w:val="0"/>
          <w:bCs/>
          <w:lang w:val="es-ES"/>
        </w:rPr>
        <w:t>3.3)</w:t>
      </w:r>
    </w:p>
    <w:p w:rsidR="002E5EB0" w:rsidRDefault="002E5EB0" w:rsidP="002E5EB0">
      <w:pPr>
        <w:pStyle w:val="Blanc"/>
        <w:rPr>
          <w:sz w:val="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6237"/>
      </w:tblGrid>
      <w:tr w:rsidR="002E5EB0" w:rsidRPr="00DD03A6" w:rsidTr="000C144E">
        <w:trPr>
          <w:jc w:val="center"/>
        </w:trPr>
        <w:tc>
          <w:tcPr>
            <w:tcW w:w="3402" w:type="dxa"/>
            <w:vAlign w:val="center"/>
          </w:tcPr>
          <w:p w:rsidR="002E5EB0" w:rsidRDefault="002E5EB0" w:rsidP="000C144E">
            <w:pPr>
              <w:pStyle w:val="Tablehead"/>
              <w:rPr>
                <w:lang w:val="es-ES"/>
              </w:rPr>
            </w:pPr>
            <w:r>
              <w:rPr>
                <w:lang w:val="es-ES"/>
              </w:rPr>
              <w:t>Tipo de equipo</w:t>
            </w:r>
          </w:p>
        </w:tc>
        <w:tc>
          <w:tcPr>
            <w:tcW w:w="6237" w:type="dxa"/>
            <w:vAlign w:val="center"/>
          </w:tcPr>
          <w:p w:rsidR="002E5EB0" w:rsidRDefault="002E5EB0" w:rsidP="000C144E">
            <w:pPr>
              <w:pStyle w:val="Tablehead"/>
              <w:rPr>
                <w:vertAlign w:val="superscript"/>
                <w:lang w:val="es-ES"/>
              </w:rPr>
            </w:pPr>
            <w:r>
              <w:rPr>
                <w:lang w:val="es-ES"/>
              </w:rPr>
              <w:t xml:space="preserve">Atenuación por debajo de la potencia suministrada </w:t>
            </w:r>
            <w:r>
              <w:rPr>
                <w:lang w:val="es-ES"/>
              </w:rPr>
              <w:br/>
              <w:t>a la línea de transmisión de la antena</w:t>
            </w:r>
            <w:r>
              <w:rPr>
                <w:vertAlign w:val="superscript"/>
                <w:lang w:val="es-ES"/>
              </w:rPr>
              <w:t>(1)</w:t>
            </w:r>
          </w:p>
        </w:tc>
      </w:tr>
      <w:tr w:rsidR="002E5EB0" w:rsidRPr="00DD03A6" w:rsidTr="000C144E">
        <w:trPr>
          <w:jc w:val="center"/>
        </w:trPr>
        <w:tc>
          <w:tcPr>
            <w:tcW w:w="3402" w:type="dxa"/>
          </w:tcPr>
          <w:p w:rsidR="002E5EB0" w:rsidRDefault="002E5EB0" w:rsidP="000C144E">
            <w:pPr>
              <w:pStyle w:val="TableText0"/>
              <w:rPr>
                <w:lang w:val="es-ES"/>
              </w:rPr>
            </w:pPr>
            <w:r>
              <w:rPr>
                <w:lang w:val="es-ES"/>
              </w:rPr>
              <w:t>Servicio móvil terrestre</w:t>
            </w:r>
            <w:r>
              <w:rPr>
                <w:lang w:val="es-ES"/>
              </w:rPr>
              <w:br/>
              <w:t>(150-174 MHz y 421-512 MHz)</w:t>
            </w:r>
          </w:p>
        </w:tc>
        <w:tc>
          <w:tcPr>
            <w:tcW w:w="6237" w:type="dxa"/>
          </w:tcPr>
          <w:p w:rsidR="002E5EB0" w:rsidRDefault="002E5EB0" w:rsidP="000C144E">
            <w:pPr>
              <w:pStyle w:val="TableText0"/>
              <w:rPr>
                <w:lang w:val="es-ES"/>
              </w:rPr>
            </w:pPr>
            <w:r>
              <w:rPr>
                <w:lang w:val="es-ES"/>
              </w:rPr>
              <w:t xml:space="preserve">El menos estricto de 50 </w:t>
            </w:r>
            <w:r>
              <w:rPr>
                <w:rFonts w:ascii="Symbol" w:hAnsi="Symbol"/>
                <w:lang w:val="es-ES"/>
              </w:rPr>
              <w:t></w:t>
            </w:r>
            <w:r>
              <w:rPr>
                <w:lang w:val="es-ES"/>
              </w:rPr>
              <w:t xml:space="preserve"> 10 log </w:t>
            </w:r>
            <w:r>
              <w:rPr>
                <w:i/>
                <w:lang w:val="es-ES"/>
              </w:rPr>
              <w:t>P</w:t>
            </w:r>
            <w:r>
              <w:rPr>
                <w:lang w:val="es-ES"/>
              </w:rPr>
              <w:t xml:space="preserve"> o 70 dBc para canales de 12,5 kHz</w:t>
            </w:r>
          </w:p>
          <w:p w:rsidR="002E5EB0" w:rsidRDefault="002E5EB0" w:rsidP="00066C0F">
            <w:pPr>
              <w:pStyle w:val="TableText0"/>
              <w:rPr>
                <w:lang w:val="es-ES"/>
              </w:rPr>
            </w:pPr>
            <w:r>
              <w:rPr>
                <w:lang w:val="es-ES"/>
              </w:rPr>
              <w:t xml:space="preserve">El menos estricto de 55 </w:t>
            </w:r>
            <w:r w:rsidR="00066C0F">
              <w:rPr>
                <w:lang w:val="es-ES"/>
              </w:rPr>
              <w:t>+</w:t>
            </w:r>
            <w:r>
              <w:rPr>
                <w:lang w:val="es-ES"/>
              </w:rPr>
              <w:t xml:space="preserve"> 10 log de </w:t>
            </w:r>
            <w:r>
              <w:rPr>
                <w:i/>
                <w:lang w:val="es-ES"/>
              </w:rPr>
              <w:t>P</w:t>
            </w:r>
            <w:r>
              <w:rPr>
                <w:iCs/>
                <w:lang w:val="es-ES"/>
              </w:rPr>
              <w:t xml:space="preserve"> o 6</w:t>
            </w:r>
            <w:r>
              <w:rPr>
                <w:lang w:val="es-ES"/>
              </w:rPr>
              <w:t>5 dBc para canales de 6,5 kHz</w:t>
            </w:r>
          </w:p>
        </w:tc>
      </w:tr>
      <w:tr w:rsidR="002E5EB0" w:rsidTr="000C144E">
        <w:trPr>
          <w:jc w:val="center"/>
        </w:trPr>
        <w:tc>
          <w:tcPr>
            <w:tcW w:w="3402" w:type="dxa"/>
          </w:tcPr>
          <w:p w:rsidR="002E5EB0" w:rsidRDefault="002E5EB0" w:rsidP="000C144E">
            <w:pPr>
              <w:pStyle w:val="TableText0"/>
              <w:rPr>
                <w:vertAlign w:val="superscript"/>
                <w:lang w:val="es-ES"/>
              </w:rPr>
            </w:pPr>
            <w:r>
              <w:rPr>
                <w:lang w:val="es-ES"/>
              </w:rPr>
              <w:t>Telemedida aeronáutica</w:t>
            </w:r>
            <w:r>
              <w:rPr>
                <w:vertAlign w:val="superscript"/>
                <w:lang w:val="es-ES"/>
              </w:rPr>
              <w:t>(2)</w:t>
            </w:r>
          </w:p>
        </w:tc>
        <w:tc>
          <w:tcPr>
            <w:tcW w:w="6237" w:type="dxa"/>
          </w:tcPr>
          <w:p w:rsidR="002E5EB0" w:rsidRDefault="002E5EB0" w:rsidP="00066C0F">
            <w:pPr>
              <w:pStyle w:val="TableText0"/>
              <w:rPr>
                <w:lang w:val="es-ES"/>
              </w:rPr>
            </w:pPr>
            <w:r>
              <w:rPr>
                <w:lang w:val="es-ES"/>
              </w:rPr>
              <w:t xml:space="preserve">55 </w:t>
            </w:r>
            <w:r w:rsidR="00066C0F">
              <w:rPr>
                <w:lang w:val="es-ES"/>
              </w:rPr>
              <w:t>+</w:t>
            </w:r>
            <w:r>
              <w:rPr>
                <w:lang w:val="es-ES"/>
              </w:rPr>
              <w:t xml:space="preserve"> 10 log </w:t>
            </w:r>
            <w:r>
              <w:rPr>
                <w:i/>
                <w:iCs/>
                <w:lang w:val="es-ES"/>
              </w:rPr>
              <w:t>P</w:t>
            </w:r>
          </w:p>
        </w:tc>
      </w:tr>
      <w:tr w:rsidR="002E5EB0" w:rsidTr="000C144E">
        <w:trPr>
          <w:jc w:val="center"/>
        </w:trPr>
        <w:tc>
          <w:tcPr>
            <w:tcW w:w="3402" w:type="dxa"/>
          </w:tcPr>
          <w:p w:rsidR="002E5EB0" w:rsidRDefault="002E5EB0" w:rsidP="000C144E">
            <w:pPr>
              <w:pStyle w:val="TableText0"/>
              <w:rPr>
                <w:lang w:val="es-ES"/>
              </w:rPr>
            </w:pPr>
            <w:r>
              <w:rPr>
                <w:lang w:val="es-ES"/>
              </w:rPr>
              <w:t>Radiodifusión en ondas decamétricas</w:t>
            </w:r>
          </w:p>
        </w:tc>
        <w:tc>
          <w:tcPr>
            <w:tcW w:w="6237" w:type="dxa"/>
          </w:tcPr>
          <w:p w:rsidR="002E5EB0" w:rsidRDefault="002E5EB0" w:rsidP="000C144E">
            <w:pPr>
              <w:pStyle w:val="TableText0"/>
              <w:rPr>
                <w:lang w:val="es-ES"/>
              </w:rPr>
            </w:pPr>
            <w:r>
              <w:rPr>
                <w:lang w:val="es-ES"/>
              </w:rPr>
              <w:t>80 dBc</w:t>
            </w:r>
          </w:p>
        </w:tc>
      </w:tr>
      <w:tr w:rsidR="002E5EB0" w:rsidRPr="00DD03A6" w:rsidTr="000C144E">
        <w:trPr>
          <w:jc w:val="center"/>
        </w:trPr>
        <w:tc>
          <w:tcPr>
            <w:tcW w:w="3402" w:type="dxa"/>
          </w:tcPr>
          <w:p w:rsidR="002E5EB0" w:rsidRDefault="002E5EB0" w:rsidP="000C144E">
            <w:pPr>
              <w:pStyle w:val="TableText0"/>
              <w:rPr>
                <w:lang w:val="es-ES"/>
              </w:rPr>
            </w:pPr>
            <w:r>
              <w:rPr>
                <w:lang w:val="es-ES"/>
              </w:rPr>
              <w:t>Radiodifusión MA y MF</w:t>
            </w:r>
          </w:p>
        </w:tc>
        <w:tc>
          <w:tcPr>
            <w:tcW w:w="6237" w:type="dxa"/>
          </w:tcPr>
          <w:p w:rsidR="002E5EB0" w:rsidRDefault="002E5EB0" w:rsidP="00066C0F">
            <w:pPr>
              <w:pStyle w:val="TableText0"/>
              <w:rPr>
                <w:lang w:val="es-ES"/>
              </w:rPr>
            </w:pPr>
            <w:r>
              <w:rPr>
                <w:lang w:val="es-ES"/>
              </w:rPr>
              <w:t xml:space="preserve">El menos estricto de 43 </w:t>
            </w:r>
            <w:r w:rsidR="00066C0F">
              <w:rPr>
                <w:lang w:val="es-ES"/>
              </w:rPr>
              <w:t>+</w:t>
            </w:r>
            <w:r>
              <w:rPr>
                <w:lang w:val="es-ES"/>
              </w:rPr>
              <w:t xml:space="preserve"> 10 log </w:t>
            </w:r>
            <w:r>
              <w:rPr>
                <w:i/>
                <w:lang w:val="es-ES"/>
              </w:rPr>
              <w:t>P</w:t>
            </w:r>
            <w:r>
              <w:rPr>
                <w:i/>
                <w:iCs/>
                <w:lang w:val="es-ES"/>
              </w:rPr>
              <w:t xml:space="preserve"> </w:t>
            </w:r>
            <w:r>
              <w:rPr>
                <w:iCs/>
                <w:lang w:val="es-ES"/>
              </w:rPr>
              <w:t>u</w:t>
            </w:r>
            <w:r>
              <w:rPr>
                <w:lang w:val="es-ES"/>
              </w:rPr>
              <w:t xml:space="preserve"> 80 dBc</w:t>
            </w:r>
          </w:p>
        </w:tc>
      </w:tr>
      <w:tr w:rsidR="002E5EB0" w:rsidRPr="00DD03A6" w:rsidTr="000C144E">
        <w:trPr>
          <w:jc w:val="center"/>
        </w:trPr>
        <w:tc>
          <w:tcPr>
            <w:tcW w:w="3402" w:type="dxa"/>
            <w:tcBorders>
              <w:bottom w:val="single" w:sz="4" w:space="0" w:color="auto"/>
            </w:tcBorders>
          </w:tcPr>
          <w:p w:rsidR="002E5EB0" w:rsidRDefault="002E5EB0" w:rsidP="000C144E">
            <w:pPr>
              <w:pStyle w:val="TableText0"/>
              <w:rPr>
                <w:vertAlign w:val="superscript"/>
                <w:lang w:val="es-ES"/>
              </w:rPr>
            </w:pPr>
            <w:r>
              <w:rPr>
                <w:lang w:val="es-ES"/>
              </w:rPr>
              <w:t>Terminales terrenos móviles no OSG (servicio móvil por satélite, 1</w:t>
            </w:r>
            <w:r>
              <w:rPr>
                <w:rFonts w:ascii="Tms Rmn" w:hAnsi="Tms Rmn"/>
                <w:sz w:val="12"/>
                <w:lang w:val="es-ES"/>
              </w:rPr>
              <w:t> </w:t>
            </w:r>
            <w:r>
              <w:rPr>
                <w:lang w:val="es-ES"/>
              </w:rPr>
              <w:t>610-1</w:t>
            </w:r>
            <w:r>
              <w:rPr>
                <w:rFonts w:ascii="Tms Rmn" w:hAnsi="Tms Rmn"/>
                <w:sz w:val="12"/>
                <w:lang w:val="es-ES"/>
              </w:rPr>
              <w:t> </w:t>
            </w:r>
            <w:r>
              <w:rPr>
                <w:lang w:val="es-ES"/>
              </w:rPr>
              <w:t>660,5 MHz – los límites se aplican a las emisiones en el dominio no esencial en la banda 1</w:t>
            </w:r>
            <w:r>
              <w:rPr>
                <w:rFonts w:ascii="Tms Rmn" w:hAnsi="Tms Rmn"/>
                <w:sz w:val="12"/>
                <w:lang w:val="es-ES"/>
              </w:rPr>
              <w:t> </w:t>
            </w:r>
            <w:r>
              <w:rPr>
                <w:lang w:val="es-ES"/>
              </w:rPr>
              <w:t>559-1</w:t>
            </w:r>
            <w:r>
              <w:rPr>
                <w:rFonts w:ascii="Tms Rmn" w:hAnsi="Tms Rmn"/>
                <w:sz w:val="12"/>
                <w:lang w:val="es-ES"/>
              </w:rPr>
              <w:t> </w:t>
            </w:r>
            <w:r>
              <w:rPr>
                <w:lang w:val="es-ES"/>
              </w:rPr>
              <w:t>605 MHz)</w:t>
            </w:r>
            <w:r>
              <w:rPr>
                <w:vertAlign w:val="superscript"/>
                <w:lang w:val="es-ES"/>
              </w:rPr>
              <w:t>(3)</w:t>
            </w:r>
          </w:p>
        </w:tc>
        <w:tc>
          <w:tcPr>
            <w:tcW w:w="6237" w:type="dxa"/>
            <w:tcBorders>
              <w:bottom w:val="single" w:sz="4" w:space="0" w:color="auto"/>
            </w:tcBorders>
          </w:tcPr>
          <w:p w:rsidR="002E5EB0" w:rsidRDefault="002E5EB0" w:rsidP="000C144E">
            <w:pPr>
              <w:pStyle w:val="Tabletext"/>
              <w:rPr>
                <w:lang w:val="es-ES"/>
              </w:rPr>
            </w:pPr>
            <w:r>
              <w:rPr>
                <w:lang w:val="es-ES"/>
              </w:rPr>
              <w:t>p.i.r.e. –70 dB(W/MHz), y</w:t>
            </w:r>
          </w:p>
          <w:p w:rsidR="002E5EB0" w:rsidRDefault="002E5EB0" w:rsidP="000C144E">
            <w:pPr>
              <w:pStyle w:val="TableText0"/>
              <w:rPr>
                <w:lang w:val="es-ES"/>
              </w:rPr>
            </w:pPr>
            <w:r>
              <w:rPr>
                <w:lang w:val="es-ES"/>
              </w:rPr>
              <w:t>p.i.r.e. –80 dBW en toda anchura de banda de 300 Hz</w:t>
            </w:r>
          </w:p>
        </w:tc>
      </w:tr>
      <w:tr w:rsidR="002E5EB0" w:rsidTr="000C144E">
        <w:trPr>
          <w:jc w:val="center"/>
        </w:trPr>
        <w:tc>
          <w:tcPr>
            <w:tcW w:w="9639" w:type="dxa"/>
            <w:gridSpan w:val="2"/>
            <w:tcBorders>
              <w:left w:val="nil"/>
              <w:bottom w:val="nil"/>
              <w:right w:val="nil"/>
            </w:tcBorders>
          </w:tcPr>
          <w:p w:rsidR="002E5EB0" w:rsidRDefault="002E5EB0" w:rsidP="0011563C">
            <w:pPr>
              <w:pStyle w:val="Tablelegend"/>
              <w:ind w:hanging="284"/>
              <w:rPr>
                <w:lang w:val="es-ES"/>
              </w:rPr>
            </w:pPr>
            <w:r>
              <w:rPr>
                <w:i/>
                <w:iCs/>
                <w:lang w:val="es-ES"/>
              </w:rPr>
              <w:t>P</w:t>
            </w:r>
            <w:r>
              <w:rPr>
                <w:lang w:val="es-ES"/>
              </w:rPr>
              <w:t>:</w:t>
            </w:r>
            <w:r>
              <w:rPr>
                <w:lang w:val="es-ES"/>
              </w:rPr>
              <w:tab/>
              <w:t xml:space="preserve">potencia media (W) en la línea de transmisión de la antena, conforme al número 1.158 del RR. Cuando se utiliza transmisión por ráfagas, la potencia media, </w:t>
            </w:r>
            <w:r>
              <w:rPr>
                <w:i/>
                <w:lang w:val="es-ES"/>
              </w:rPr>
              <w:t>P</w:t>
            </w:r>
            <w:r>
              <w:rPr>
                <w:lang w:val="es-ES"/>
              </w:rPr>
              <w:t xml:space="preserve"> y la potencia media de toda emisión en el dominio no esencial se miden utilizando el promedio de potencia a lo largo de la duración de la ráfaga.</w:t>
            </w:r>
          </w:p>
          <w:p w:rsidR="002E5EB0" w:rsidRDefault="002E5EB0" w:rsidP="0011563C">
            <w:pPr>
              <w:pStyle w:val="Tablelegend"/>
              <w:ind w:hanging="284"/>
              <w:rPr>
                <w:lang w:val="es-ES"/>
              </w:rPr>
            </w:pPr>
            <w:r>
              <w:rPr>
                <w:vertAlign w:val="superscript"/>
                <w:lang w:val="es-ES"/>
              </w:rPr>
              <w:t>(1)</w:t>
            </w:r>
            <w:r>
              <w:rPr>
                <w:sz w:val="20"/>
                <w:lang w:val="es-ES"/>
              </w:rPr>
              <w:tab/>
            </w:r>
            <w:r>
              <w:rPr>
                <w:lang w:val="es-ES"/>
              </w:rPr>
              <w:t>Para los terminales terrenos móviles, los límites indicados representan niveles absolutos de la p.i.r.e. más que de atenuación.</w:t>
            </w:r>
          </w:p>
          <w:p w:rsidR="002E5EB0" w:rsidRDefault="002E5EB0" w:rsidP="0011563C">
            <w:pPr>
              <w:pStyle w:val="Tablelegend"/>
              <w:ind w:left="0" w:firstLine="0"/>
              <w:rPr>
                <w:lang w:val="es-ES"/>
              </w:rPr>
            </w:pPr>
            <w:r>
              <w:rPr>
                <w:vertAlign w:val="superscript"/>
                <w:lang w:val="es-ES"/>
              </w:rPr>
              <w:t>(2)</w:t>
            </w:r>
            <w:r>
              <w:rPr>
                <w:sz w:val="20"/>
                <w:lang w:val="es-ES"/>
              </w:rPr>
              <w:tab/>
            </w:r>
            <w:r>
              <w:rPr>
                <w:lang w:val="es-ES"/>
              </w:rPr>
              <w:t>Como caso especial, la anchura de banda de referencia debe ser de 3 kHz.</w:t>
            </w:r>
          </w:p>
          <w:p w:rsidR="002E5EB0" w:rsidRDefault="002E5EB0" w:rsidP="0011563C">
            <w:pPr>
              <w:pStyle w:val="Tablelegend"/>
              <w:ind w:left="0" w:firstLine="0"/>
              <w:rPr>
                <w:lang w:val="es-ES"/>
              </w:rPr>
            </w:pPr>
            <w:r>
              <w:rPr>
                <w:vertAlign w:val="superscript"/>
                <w:lang w:val="es-ES"/>
              </w:rPr>
              <w:t>(3)</w:t>
            </w:r>
            <w:r>
              <w:rPr>
                <w:sz w:val="20"/>
                <w:lang w:val="es-ES"/>
              </w:rPr>
              <w:tab/>
            </w:r>
            <w:r>
              <w:rPr>
                <w:lang w:val="es-ES"/>
              </w:rPr>
              <w:t>Propuesta.</w:t>
            </w:r>
          </w:p>
        </w:tc>
      </w:tr>
    </w:tbl>
    <w:p w:rsidR="002E5EB0" w:rsidRDefault="002E5EB0" w:rsidP="002E5EB0">
      <w:pPr>
        <w:pStyle w:val="Heading2"/>
        <w:rPr>
          <w:lang w:val="es-ES"/>
        </w:rPr>
      </w:pPr>
      <w:r>
        <w:rPr>
          <w:lang w:val="es-ES"/>
        </w:rPr>
        <w:t>4.5</w:t>
      </w:r>
      <w:r>
        <w:rPr>
          <w:lang w:val="es-ES"/>
        </w:rPr>
        <w:tab/>
        <w:t>Límites de la Categoría D</w:t>
      </w:r>
    </w:p>
    <w:p w:rsidR="002E5EB0" w:rsidRDefault="002E5EB0" w:rsidP="00705CBA">
      <w:pPr>
        <w:rPr>
          <w:lang w:val="es-ES"/>
        </w:rPr>
      </w:pPr>
      <w:r>
        <w:rPr>
          <w:lang w:val="es-ES"/>
        </w:rPr>
        <w:t xml:space="preserve">El Cuadro 5 indica los niveles máximos permitidos de las emisiones en el dominio no esencial en términos de nivel de potencia, de cualquier componente no deseada suministrada por un transmisor a la línea de transmisión de la antena, en el caso de equipo de Categoría D. Para todos los servicios/sistemas y la gama de potencia de salida no citados en este </w:t>
      </w:r>
      <w:r w:rsidR="00705CBA">
        <w:rPr>
          <w:lang w:val="es-ES"/>
        </w:rPr>
        <w:t>c</w:t>
      </w:r>
      <w:r>
        <w:rPr>
          <w:lang w:val="es-ES"/>
        </w:rPr>
        <w:t>uadro, se aplican los límites de la Categoría A.</w:t>
      </w:r>
    </w:p>
    <w:p w:rsidR="002E5EB0" w:rsidRDefault="008A294A" w:rsidP="002E5EB0">
      <w:pPr>
        <w:pStyle w:val="TableNo"/>
        <w:rPr>
          <w:lang w:val="es-ES"/>
        </w:rPr>
      </w:pPr>
      <w:r>
        <w:rPr>
          <w:lang w:val="es-ES"/>
        </w:rPr>
        <w:lastRenderedPageBreak/>
        <w:t xml:space="preserve">CUADRO </w:t>
      </w:r>
      <w:r w:rsidR="002E5EB0">
        <w:rPr>
          <w:lang w:val="es-ES"/>
        </w:rPr>
        <w:t>5</w:t>
      </w:r>
    </w:p>
    <w:p w:rsidR="002E5EB0" w:rsidRDefault="002E5EB0" w:rsidP="002E5EB0">
      <w:pPr>
        <w:pStyle w:val="Tabletitle"/>
        <w:rPr>
          <w:lang w:val="es-ES"/>
        </w:rPr>
      </w:pPr>
      <w:r>
        <w:rPr>
          <w:lang w:val="es-ES"/>
        </w:rPr>
        <w:t>Límites de la Categoría D</w:t>
      </w:r>
    </w:p>
    <w:p w:rsidR="002E5EB0" w:rsidRDefault="002E5EB0" w:rsidP="002E5EB0">
      <w:pPr>
        <w:pStyle w:val="Tabletitle"/>
        <w:rPr>
          <w:b w:val="0"/>
          <w:bCs/>
          <w:lang w:val="es-ES"/>
        </w:rPr>
      </w:pPr>
      <w:r>
        <w:rPr>
          <w:b w:val="0"/>
          <w:bCs/>
          <w:lang w:val="es-ES"/>
        </w:rPr>
        <w:t xml:space="preserve">(Véanse las definiciones en el </w:t>
      </w:r>
      <w:r>
        <w:rPr>
          <w:b w:val="0"/>
          <w:bCs/>
          <w:i/>
          <w:iCs/>
          <w:lang w:val="es-ES"/>
        </w:rPr>
        <w:t xml:space="preserve">recomienda </w:t>
      </w:r>
      <w:r>
        <w:rPr>
          <w:b w:val="0"/>
          <w:bCs/>
          <w:lang w:val="es-ES"/>
        </w:rPr>
        <w:t>3.3)</w:t>
      </w:r>
    </w:p>
    <w:p w:rsidR="002E5EB0" w:rsidRDefault="002E5EB0" w:rsidP="002E5EB0">
      <w:pPr>
        <w:pStyle w:val="Blanc"/>
        <w:rPr>
          <w:sz w:val="8"/>
          <w:lang w:val="es-ES"/>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2E5EB0" w:rsidTr="000C144E">
        <w:trPr>
          <w:jc w:val="center"/>
        </w:trPr>
        <w:tc>
          <w:tcPr>
            <w:tcW w:w="3720" w:type="dxa"/>
          </w:tcPr>
          <w:p w:rsidR="002E5EB0" w:rsidRDefault="002E5EB0" w:rsidP="000C144E">
            <w:pPr>
              <w:pStyle w:val="Tablehead"/>
              <w:rPr>
                <w:lang w:val="es-ES"/>
              </w:rPr>
            </w:pPr>
            <w:r>
              <w:rPr>
                <w:lang w:val="es-ES"/>
              </w:rPr>
              <w:t>Tipo de equipo</w:t>
            </w:r>
          </w:p>
        </w:tc>
        <w:tc>
          <w:tcPr>
            <w:tcW w:w="5919" w:type="dxa"/>
          </w:tcPr>
          <w:p w:rsidR="002E5EB0" w:rsidRDefault="002E5EB0" w:rsidP="000C144E">
            <w:pPr>
              <w:pStyle w:val="Tablehead"/>
              <w:rPr>
                <w:lang w:val="es-ES"/>
              </w:rPr>
            </w:pPr>
            <w:r>
              <w:rPr>
                <w:lang w:val="es-ES"/>
              </w:rPr>
              <w:t>Límites</w:t>
            </w:r>
          </w:p>
        </w:tc>
      </w:tr>
      <w:tr w:rsidR="002E5EB0" w:rsidRPr="00F37195" w:rsidTr="000C144E">
        <w:trPr>
          <w:jc w:val="center"/>
        </w:trPr>
        <w:tc>
          <w:tcPr>
            <w:tcW w:w="3720" w:type="dxa"/>
            <w:vAlign w:val="center"/>
          </w:tcPr>
          <w:p w:rsidR="002E5EB0" w:rsidRPr="00ED6AC7" w:rsidRDefault="002E5EB0" w:rsidP="00705CBA">
            <w:pPr>
              <w:pStyle w:val="Tabletext"/>
              <w:jc w:val="left"/>
              <w:rPr>
                <w:lang w:val="es-ES_tradnl"/>
              </w:rPr>
            </w:pPr>
            <w:r w:rsidRPr="00ED6AC7">
              <w:rPr>
                <w:lang w:val="es-ES_tradnl"/>
              </w:rPr>
              <w:t>Servicio fijo</w:t>
            </w:r>
          </w:p>
          <w:p w:rsidR="002E5EB0" w:rsidRPr="00ED6AC7" w:rsidRDefault="002E5EB0" w:rsidP="00F37195">
            <w:pPr>
              <w:pStyle w:val="Tabletext"/>
              <w:jc w:val="left"/>
              <w:rPr>
                <w:lang w:val="es-ES_tradnl"/>
              </w:rPr>
            </w:pPr>
            <w:r w:rsidRPr="00ED6AC7">
              <w:rPr>
                <w:lang w:val="es-ES_tradnl"/>
              </w:rPr>
              <w:t>30 MHz </w:t>
            </w:r>
            <w:r w:rsidR="00F37195" w:rsidRPr="00ED6AC7">
              <w:rPr>
                <w:lang w:val="es-ES_tradnl"/>
              </w:rPr>
              <w:t>&lt;</w:t>
            </w:r>
            <w:r w:rsidRPr="00ED6AC7">
              <w:rPr>
                <w:lang w:val="es-ES_tradnl"/>
              </w:rPr>
              <w:t> </w:t>
            </w:r>
            <w:r w:rsidRPr="00ED6AC7">
              <w:rPr>
                <w:i/>
                <w:lang w:val="es-ES_tradnl"/>
              </w:rPr>
              <w:t>f</w:t>
            </w:r>
            <w:r w:rsidRPr="00ED6AC7">
              <w:rPr>
                <w:position w:val="-4"/>
                <w:sz w:val="18"/>
                <w:lang w:val="es-ES_tradnl"/>
              </w:rPr>
              <w:t>0</w:t>
            </w:r>
            <w:r w:rsidRPr="00ED6AC7">
              <w:rPr>
                <w:position w:val="-4"/>
                <w:lang w:val="es-ES_tradnl"/>
              </w:rPr>
              <w:t> </w:t>
            </w:r>
            <w:r w:rsidR="00F37195">
              <w:rPr>
                <w:position w:val="-4"/>
              </w:rPr>
              <w:sym w:font="Symbol" w:char="F0A3"/>
            </w:r>
            <w:r w:rsidRPr="00ED6AC7">
              <w:rPr>
                <w:lang w:val="es-ES_tradnl"/>
              </w:rPr>
              <w:t> 335,4 MHz</w:t>
            </w:r>
          </w:p>
          <w:p w:rsidR="002E5EB0" w:rsidRPr="00ED6AC7" w:rsidRDefault="002E5EB0" w:rsidP="00705CBA">
            <w:pPr>
              <w:pStyle w:val="Tabletext"/>
              <w:jc w:val="left"/>
              <w:rPr>
                <w:lang w:val="es-ES_tradnl"/>
              </w:rPr>
            </w:pPr>
          </w:p>
          <w:p w:rsidR="002E5EB0" w:rsidRPr="00ED6AC7" w:rsidRDefault="002E5EB0" w:rsidP="00F37195">
            <w:pPr>
              <w:pStyle w:val="Tabletext"/>
              <w:jc w:val="left"/>
              <w:rPr>
                <w:lang w:val="es-ES_tradnl"/>
              </w:rPr>
            </w:pPr>
            <w:r w:rsidRPr="00ED6AC7">
              <w:rPr>
                <w:lang w:val="es-ES_tradnl"/>
              </w:rPr>
              <w:t>335,4 MHz </w:t>
            </w:r>
            <w:r w:rsidR="00F37195" w:rsidRPr="00ED6AC7">
              <w:rPr>
                <w:lang w:val="es-ES_tradnl"/>
              </w:rPr>
              <w:t>&lt;</w:t>
            </w:r>
            <w:r w:rsidRPr="00ED6AC7">
              <w:rPr>
                <w:lang w:val="es-ES_tradnl"/>
              </w:rPr>
              <w:t> </w:t>
            </w:r>
            <w:r w:rsidRPr="00ED6AC7">
              <w:rPr>
                <w:i/>
                <w:lang w:val="es-ES_tradnl"/>
              </w:rPr>
              <w:t>f</w:t>
            </w:r>
            <w:r w:rsidRPr="00ED6AC7">
              <w:rPr>
                <w:position w:val="-4"/>
                <w:sz w:val="18"/>
                <w:lang w:val="es-ES_tradnl"/>
              </w:rPr>
              <w:t>0</w:t>
            </w:r>
            <w:r w:rsidRPr="00ED6AC7">
              <w:rPr>
                <w:position w:val="-4"/>
                <w:lang w:val="es-ES_tradnl"/>
              </w:rPr>
              <w:t> </w:t>
            </w:r>
            <w:r w:rsidR="00F37195">
              <w:rPr>
                <w:position w:val="-4"/>
              </w:rPr>
              <w:sym w:font="Symbol" w:char="F0A3"/>
            </w:r>
            <w:r w:rsidRPr="00ED6AC7">
              <w:rPr>
                <w:lang w:val="es-ES_tradnl"/>
              </w:rPr>
              <w:t> 470 MHz</w:t>
            </w:r>
          </w:p>
          <w:p w:rsidR="002E5EB0" w:rsidRPr="00ED6AC7" w:rsidRDefault="002E5EB0" w:rsidP="00705CBA">
            <w:pPr>
              <w:pStyle w:val="Tabletext"/>
              <w:jc w:val="left"/>
              <w:rPr>
                <w:lang w:val="es-ES_tradnl"/>
              </w:rPr>
            </w:pPr>
          </w:p>
          <w:p w:rsidR="002E5EB0" w:rsidRPr="00ED6AC7" w:rsidRDefault="002E5EB0" w:rsidP="00705CBA">
            <w:pPr>
              <w:pStyle w:val="TableLegend0"/>
              <w:rPr>
                <w:lang w:val="es-ES_tradnl"/>
              </w:rPr>
            </w:pPr>
          </w:p>
        </w:tc>
        <w:tc>
          <w:tcPr>
            <w:tcW w:w="5919" w:type="dxa"/>
            <w:vAlign w:val="center"/>
          </w:tcPr>
          <w:p w:rsidR="002E5EB0" w:rsidRPr="00F37195" w:rsidRDefault="002E5EB0" w:rsidP="00705CBA">
            <w:pPr>
              <w:pStyle w:val="Tabletext"/>
              <w:jc w:val="left"/>
              <w:rPr>
                <w:lang w:val="es-ES_tradnl"/>
              </w:rPr>
            </w:pPr>
          </w:p>
          <w:p w:rsidR="002E5EB0" w:rsidRPr="001C121E" w:rsidRDefault="002E5EB0" w:rsidP="00F37195">
            <w:pPr>
              <w:pStyle w:val="Tabletext"/>
              <w:jc w:val="left"/>
              <w:rPr>
                <w:lang w:val="es-ES_tradnl"/>
              </w:rPr>
            </w:pPr>
            <w:r w:rsidRPr="001C121E">
              <w:rPr>
                <w:lang w:val="es-ES_tradnl"/>
              </w:rPr>
              <w:t>60 dBc</w:t>
            </w:r>
            <w:r w:rsidRPr="001C121E">
              <w:rPr>
                <w:lang w:val="es-ES_tradnl"/>
              </w:rPr>
              <w:tab/>
            </w:r>
            <w:r w:rsidR="00705CBA" w:rsidRPr="001C121E">
              <w:rPr>
                <w:lang w:val="es-ES_tradnl"/>
              </w:rPr>
              <w:tab/>
            </w:r>
            <w:r w:rsidR="00705CBA" w:rsidRPr="001C121E">
              <w:rPr>
                <w:lang w:val="es-ES_tradnl"/>
              </w:rPr>
              <w:tab/>
            </w:r>
            <w:r w:rsidRPr="001C121E">
              <w:rPr>
                <w:lang w:val="es-ES_tradnl"/>
              </w:rPr>
              <w:t>para</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sidR="00705CBA" w:rsidRPr="001C121E">
              <w:rPr>
                <w:lang w:val="es-ES_tradnl"/>
              </w:rPr>
              <w:t> </w:t>
            </w:r>
            <w:r w:rsidRPr="001C121E">
              <w:rPr>
                <w:i/>
                <w:lang w:val="es-ES_tradnl"/>
              </w:rPr>
              <w:t>P</w:t>
            </w:r>
            <w:r w:rsidRPr="001C121E">
              <w:rPr>
                <w:lang w:val="es-ES_tradnl"/>
              </w:rPr>
              <w:t> </w:t>
            </w:r>
            <w:r w:rsidR="00F37195">
              <w:rPr>
                <w:lang w:val="es-ES_tradnl"/>
              </w:rPr>
              <w:t>&lt;</w:t>
            </w:r>
            <w:r w:rsidRPr="001C121E">
              <w:rPr>
                <w:lang w:val="es-ES_tradnl"/>
              </w:rPr>
              <w:t> 50 W</w:t>
            </w:r>
          </w:p>
          <w:p w:rsidR="002E5EB0" w:rsidRPr="001C121E" w:rsidRDefault="002E5EB0" w:rsidP="00F37195">
            <w:pPr>
              <w:pStyle w:val="Tabletext"/>
              <w:jc w:val="left"/>
              <w:rPr>
                <w:lang w:val="es-ES_tradnl"/>
              </w:rPr>
            </w:pPr>
            <w:r>
              <w:t> </w:t>
            </w:r>
            <w:r w:rsidRPr="001C121E">
              <w:rPr>
                <w:lang w:val="es-ES_tradnl"/>
              </w:rPr>
              <w:t>0 dBm</w:t>
            </w:r>
            <w:r w:rsidRPr="001C121E">
              <w:rPr>
                <w:lang w:val="es-ES_tradnl"/>
              </w:rPr>
              <w:tab/>
            </w:r>
            <w:r w:rsidR="00705CBA" w:rsidRPr="001C121E">
              <w:rPr>
                <w:lang w:val="es-ES_tradnl"/>
              </w:rPr>
              <w:tab/>
            </w:r>
            <w:r w:rsidR="00705CBA" w:rsidRPr="001C121E">
              <w:rPr>
                <w:lang w:val="es-ES_tradnl"/>
              </w:rPr>
              <w:tab/>
            </w:r>
            <w:r w:rsidRPr="001C121E">
              <w:rPr>
                <w:lang w:val="es-ES_tradnl"/>
              </w:rPr>
              <w:t>para 10 kW </w:t>
            </w:r>
            <w:r w:rsidR="00F37195">
              <w:rPr>
                <w:lang w:val="es-ES_tradnl"/>
              </w:rPr>
              <w:sym w:font="Symbol" w:char="F0A3"/>
            </w:r>
            <w:r w:rsidRPr="001C121E">
              <w:rPr>
                <w:lang w:val="es-ES_tradnl"/>
              </w:rPr>
              <w:t> </w:t>
            </w:r>
            <w:r w:rsidRPr="001C121E">
              <w:rPr>
                <w:i/>
                <w:lang w:val="es-ES_tradnl"/>
              </w:rPr>
              <w:t>P</w:t>
            </w:r>
          </w:p>
          <w:p w:rsidR="002E5EB0" w:rsidRPr="001C121E" w:rsidRDefault="002E5EB0" w:rsidP="00F37195">
            <w:pPr>
              <w:pStyle w:val="Tabletext"/>
              <w:jc w:val="left"/>
              <w:rPr>
                <w:lang w:val="es-ES_tradnl"/>
              </w:rPr>
            </w:pPr>
            <w:r w:rsidRPr="001C121E">
              <w:rPr>
                <w:lang w:val="es-ES_tradnl"/>
              </w:rPr>
              <w:t>–26 dBm</w:t>
            </w:r>
            <w:r w:rsidRPr="001C121E">
              <w:rPr>
                <w:lang w:val="es-ES_tradnl"/>
              </w:rPr>
              <w:tab/>
            </w:r>
            <w:r w:rsidR="00705CBA" w:rsidRPr="001C121E">
              <w:rPr>
                <w:lang w:val="es-ES_tradnl"/>
              </w:rPr>
              <w:tab/>
            </w:r>
            <w:r w:rsidR="00705CBA" w:rsidRPr="001C121E">
              <w:rPr>
                <w:lang w:val="es-ES_tradnl"/>
              </w:rPr>
              <w:tab/>
            </w:r>
            <w:r w:rsidRPr="001C121E">
              <w:rPr>
                <w:lang w:val="es-ES_tradnl"/>
              </w:rPr>
              <w:t>para</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sidRPr="001C121E">
              <w:rPr>
                <w:i/>
                <w:lang w:val="es-ES_tradnl"/>
              </w:rPr>
              <w:t>P</w:t>
            </w:r>
            <w:r w:rsidRPr="001C121E">
              <w:rPr>
                <w:lang w:val="es-ES_tradnl"/>
              </w:rPr>
              <w:t> </w:t>
            </w:r>
            <w:r w:rsidR="00F37195">
              <w:rPr>
                <w:lang w:val="es-ES_tradnl"/>
              </w:rPr>
              <w:t>&lt;</w:t>
            </w:r>
            <w:r w:rsidRPr="001C121E">
              <w:rPr>
                <w:lang w:val="es-ES_tradnl"/>
              </w:rPr>
              <w:t> 25 W</w:t>
            </w:r>
          </w:p>
          <w:p w:rsidR="002E5EB0" w:rsidRPr="001C121E" w:rsidRDefault="002E5EB0" w:rsidP="00F37195">
            <w:pPr>
              <w:pStyle w:val="Tabletext"/>
              <w:jc w:val="left"/>
              <w:rPr>
                <w:lang w:val="es-ES_tradnl"/>
              </w:rPr>
            </w:pPr>
            <w:r w:rsidRPr="001C121E">
              <w:rPr>
                <w:lang w:val="es-ES_tradnl"/>
              </w:rPr>
              <w:t>70 dBc</w:t>
            </w:r>
            <w:r w:rsidRPr="001C121E">
              <w:rPr>
                <w:lang w:val="es-ES_tradnl"/>
              </w:rPr>
              <w:tab/>
            </w:r>
            <w:r w:rsidR="00705CBA" w:rsidRPr="001C121E">
              <w:rPr>
                <w:lang w:val="es-ES_tradnl"/>
              </w:rPr>
              <w:tab/>
            </w:r>
            <w:r w:rsidR="00705CBA" w:rsidRPr="001C121E">
              <w:rPr>
                <w:lang w:val="es-ES_tradnl"/>
              </w:rPr>
              <w:tab/>
            </w:r>
            <w:r w:rsidRPr="001C121E">
              <w:rPr>
                <w:lang w:val="es-ES_tradnl"/>
              </w:rPr>
              <w:t>para 25 W</w:t>
            </w:r>
            <w:r>
              <w:rPr>
                <w:lang w:val="es-ES"/>
              </w:rPr>
              <w:t> </w:t>
            </w:r>
            <w:r w:rsidRPr="001C121E">
              <w:rPr>
                <w:lang w:val="es-ES_tradnl"/>
              </w:rPr>
              <w:t> </w:t>
            </w:r>
            <w:r w:rsidR="00F37195">
              <w:rPr>
                <w:lang w:val="es-ES_tradnl"/>
              </w:rPr>
              <w:sym w:font="Symbol" w:char="F0A3"/>
            </w:r>
            <w:r w:rsidRPr="001C121E">
              <w:rPr>
                <w:lang w:val="es-ES_tradnl"/>
              </w:rPr>
              <w:t> </w:t>
            </w:r>
            <w:r w:rsidRPr="001C121E">
              <w:rPr>
                <w:i/>
                <w:lang w:val="es-ES_tradnl"/>
              </w:rPr>
              <w:t>P</w:t>
            </w:r>
            <w:r w:rsidRPr="001C121E">
              <w:rPr>
                <w:lang w:val="es-ES_tradnl"/>
              </w:rPr>
              <w:t> </w:t>
            </w:r>
            <w:r w:rsidR="00F37195">
              <w:rPr>
                <w:lang w:val="es-ES_tradnl"/>
              </w:rPr>
              <w:t>&lt;</w:t>
            </w:r>
            <w:r w:rsidRPr="001C121E">
              <w:rPr>
                <w:lang w:val="es-ES_tradnl"/>
              </w:rPr>
              <w:t> 10 kW</w:t>
            </w:r>
          </w:p>
          <w:p w:rsidR="002E5EB0" w:rsidRPr="00F37195" w:rsidRDefault="002E5EB0" w:rsidP="00F37195">
            <w:pPr>
              <w:pStyle w:val="Tabletext"/>
              <w:jc w:val="left"/>
              <w:rPr>
                <w:lang w:val="es-ES_tradnl"/>
              </w:rPr>
            </w:pPr>
            <w:r>
              <w:t> </w:t>
            </w:r>
            <w:r w:rsidRPr="00F37195">
              <w:rPr>
                <w:lang w:val="es-ES_tradnl"/>
              </w:rPr>
              <w:t>0 dBm</w:t>
            </w:r>
            <w:r w:rsidRPr="00F37195">
              <w:rPr>
                <w:lang w:val="es-ES_tradnl"/>
              </w:rPr>
              <w:tab/>
            </w:r>
            <w:r w:rsidR="00705CBA" w:rsidRPr="00F37195">
              <w:rPr>
                <w:lang w:val="es-ES_tradnl"/>
              </w:rPr>
              <w:tab/>
            </w:r>
            <w:r w:rsidR="00705CBA" w:rsidRPr="00F37195">
              <w:rPr>
                <w:lang w:val="es-ES_tradnl"/>
              </w:rPr>
              <w:tab/>
            </w:r>
            <w:r w:rsidRPr="00F37195">
              <w:rPr>
                <w:lang w:val="es-ES_tradnl"/>
              </w:rPr>
              <w:t>para 10 kW </w:t>
            </w:r>
            <w:r w:rsidR="00F37195">
              <w:sym w:font="Symbol" w:char="F0A3"/>
            </w:r>
            <w:r w:rsidRPr="00F37195">
              <w:rPr>
                <w:lang w:val="es-ES_tradnl"/>
              </w:rPr>
              <w:t> </w:t>
            </w:r>
            <w:r w:rsidRPr="00F37195">
              <w:rPr>
                <w:i/>
                <w:lang w:val="es-ES_tradnl"/>
              </w:rPr>
              <w:t>P</w:t>
            </w:r>
          </w:p>
        </w:tc>
      </w:tr>
      <w:tr w:rsidR="002E5EB0" w:rsidRPr="00DD03A6" w:rsidTr="000C144E">
        <w:trPr>
          <w:jc w:val="center"/>
        </w:trPr>
        <w:tc>
          <w:tcPr>
            <w:tcW w:w="3720" w:type="dxa"/>
          </w:tcPr>
          <w:p w:rsidR="002E5EB0" w:rsidRPr="001C121E" w:rsidRDefault="002E5EB0" w:rsidP="00705CBA">
            <w:pPr>
              <w:pStyle w:val="Tabletext"/>
              <w:jc w:val="left"/>
              <w:rPr>
                <w:position w:val="6"/>
                <w:sz w:val="18"/>
                <w:lang w:val="es-ES_tradnl"/>
              </w:rPr>
            </w:pPr>
            <w:r w:rsidRPr="001C121E">
              <w:rPr>
                <w:lang w:val="es-ES_tradnl"/>
              </w:rPr>
              <w:t>Servicio móvil marítimo</w:t>
            </w:r>
            <w:r w:rsidRPr="001C121E">
              <w:rPr>
                <w:vertAlign w:val="superscript"/>
                <w:lang w:val="es-ES_tradnl"/>
              </w:rPr>
              <w:t>(1)</w:t>
            </w:r>
          </w:p>
          <w:p w:rsidR="002E5EB0" w:rsidRPr="001C121E" w:rsidRDefault="002E5EB0" w:rsidP="00F37195">
            <w:pPr>
              <w:pStyle w:val="Tabletext"/>
              <w:jc w:val="left"/>
              <w:rPr>
                <w:lang w:val="es-ES_tradnl"/>
              </w:rPr>
            </w:pPr>
            <w:r w:rsidRPr="001C121E">
              <w:rPr>
                <w:lang w:val="es-ES_tradnl"/>
              </w:rPr>
              <w:t>30 MHz </w:t>
            </w:r>
            <w:r w:rsidR="00F37195">
              <w:rPr>
                <w:lang w:val="es-ES_tradnl"/>
              </w:rPr>
              <w:t>&lt;</w:t>
            </w:r>
            <w:r w:rsidRPr="001C121E">
              <w:rPr>
                <w:lang w:val="es-ES_tradnl"/>
              </w:rPr>
              <w:t> </w:t>
            </w:r>
            <w:r w:rsidRPr="001C121E">
              <w:rPr>
                <w:i/>
                <w:lang w:val="es-ES_tradnl"/>
              </w:rPr>
              <w:t>f</w:t>
            </w:r>
            <w:r w:rsidRPr="001C121E">
              <w:rPr>
                <w:position w:val="-4"/>
                <w:sz w:val="18"/>
                <w:lang w:val="es-ES_tradnl"/>
              </w:rPr>
              <w:t>0</w:t>
            </w:r>
            <w:r w:rsidRPr="001C121E">
              <w:rPr>
                <w:lang w:val="es-ES_tradnl"/>
              </w:rPr>
              <w:t> </w:t>
            </w:r>
            <w:r w:rsidR="00F37195">
              <w:rPr>
                <w:lang w:val="es-ES_tradnl"/>
              </w:rPr>
              <w:sym w:font="Symbol" w:char="F0A3"/>
            </w:r>
            <w:r w:rsidRPr="001C121E">
              <w:rPr>
                <w:lang w:val="es-ES_tradnl"/>
              </w:rPr>
              <w:t> 335,4 MHz</w:t>
            </w:r>
          </w:p>
          <w:p w:rsidR="002E5EB0" w:rsidRPr="001C121E" w:rsidRDefault="002E5EB0" w:rsidP="00705CBA">
            <w:pPr>
              <w:pStyle w:val="Tabletext"/>
              <w:jc w:val="left"/>
              <w:rPr>
                <w:lang w:val="es-ES_tradnl"/>
              </w:rPr>
            </w:pPr>
          </w:p>
          <w:p w:rsidR="002E5EB0" w:rsidRPr="001C121E" w:rsidRDefault="002E5EB0" w:rsidP="00705CBA">
            <w:pPr>
              <w:pStyle w:val="Tabletext"/>
              <w:jc w:val="left"/>
              <w:rPr>
                <w:lang w:val="es-ES_tradnl"/>
              </w:rPr>
            </w:pPr>
          </w:p>
          <w:p w:rsidR="002E5EB0" w:rsidRPr="001C121E" w:rsidRDefault="002E5EB0" w:rsidP="00705CBA">
            <w:pPr>
              <w:pStyle w:val="Tabletext"/>
              <w:jc w:val="left"/>
              <w:rPr>
                <w:lang w:val="es-ES_tradnl"/>
              </w:rPr>
            </w:pPr>
          </w:p>
          <w:p w:rsidR="002E5EB0" w:rsidRPr="001C121E" w:rsidRDefault="002E5EB0" w:rsidP="00705CBA">
            <w:pPr>
              <w:pStyle w:val="Tabletext"/>
              <w:jc w:val="left"/>
              <w:rPr>
                <w:lang w:val="es-ES_tradnl"/>
              </w:rPr>
            </w:pPr>
          </w:p>
          <w:p w:rsidR="002E5EB0" w:rsidRPr="001C121E" w:rsidRDefault="002E5EB0" w:rsidP="00705CBA">
            <w:pPr>
              <w:pStyle w:val="TableLegend0"/>
              <w:rPr>
                <w:lang w:val="es-ES_tradnl"/>
              </w:rPr>
            </w:pPr>
          </w:p>
        </w:tc>
        <w:tc>
          <w:tcPr>
            <w:tcW w:w="5919" w:type="dxa"/>
            <w:vAlign w:val="center"/>
          </w:tcPr>
          <w:p w:rsidR="002E5EB0" w:rsidRPr="001C121E" w:rsidRDefault="002E5EB0" w:rsidP="00705CBA">
            <w:pPr>
              <w:pStyle w:val="Tabletext"/>
              <w:jc w:val="left"/>
              <w:rPr>
                <w:lang w:val="es-ES_tradnl"/>
              </w:rPr>
            </w:pPr>
          </w:p>
          <w:p w:rsidR="002E5EB0" w:rsidRPr="001C121E" w:rsidRDefault="002E5EB0" w:rsidP="00705CBA">
            <w:pPr>
              <w:pStyle w:val="Tabletext"/>
              <w:jc w:val="left"/>
              <w:rPr>
                <w:lang w:val="es-ES_tradnl"/>
              </w:rPr>
            </w:pPr>
            <w:r w:rsidRPr="001C121E">
              <w:rPr>
                <w:lang w:val="es-ES_tradnl"/>
              </w:rPr>
              <w:t>146 MHz &lt; </w:t>
            </w:r>
            <w:r w:rsidRPr="001C121E">
              <w:rPr>
                <w:i/>
                <w:lang w:val="es-ES_tradnl"/>
              </w:rPr>
              <w:t>f</w:t>
            </w:r>
            <w:r w:rsidRPr="001C121E">
              <w:rPr>
                <w:lang w:val="es-ES_tradnl"/>
              </w:rPr>
              <w:t> </w:t>
            </w:r>
            <w:r>
              <w:sym w:font="Symbol" w:char="F0A3"/>
            </w:r>
            <w:r w:rsidRPr="001C121E">
              <w:rPr>
                <w:lang w:val="es-ES_tradnl"/>
              </w:rPr>
              <w:t> 162,0375 MHz</w:t>
            </w:r>
          </w:p>
          <w:p w:rsidR="002E5EB0" w:rsidRPr="001C121E" w:rsidRDefault="002E5EB0" w:rsidP="00705CBA">
            <w:pPr>
              <w:pStyle w:val="Tabletext"/>
              <w:jc w:val="left"/>
              <w:rPr>
                <w:lang w:val="es-ES_tradnl"/>
              </w:rPr>
            </w:pPr>
            <w:r w:rsidRPr="001C121E">
              <w:rPr>
                <w:lang w:val="es-ES_tradnl"/>
              </w:rPr>
              <w:tab/>
              <w:t>–26 dBm</w:t>
            </w:r>
            <w:r w:rsidRPr="001C121E">
              <w:rPr>
                <w:lang w:val="es-ES_tradnl"/>
              </w:rPr>
              <w:tab/>
            </w:r>
            <w:r w:rsidR="00705CBA" w:rsidRPr="001C121E">
              <w:rPr>
                <w:lang w:val="es-ES_tradnl"/>
              </w:rPr>
              <w:tab/>
            </w:r>
            <w:r w:rsidRPr="001C121E">
              <w:rPr>
                <w:lang w:val="es-ES_tradnl"/>
              </w:rPr>
              <w:t>para</w:t>
            </w:r>
            <w:r>
              <w:rPr>
                <w:lang w:val="es-ES"/>
              </w:rPr>
              <w:t> </w:t>
            </w:r>
            <w:r>
              <w:rPr>
                <w:lang w:val="es-ES"/>
              </w:rPr>
              <w:t> </w:t>
            </w:r>
            <w:r>
              <w:rPr>
                <w:lang w:val="es-ES"/>
              </w:rPr>
              <w:t> </w:t>
            </w:r>
            <w:r>
              <w:rPr>
                <w:lang w:val="es-ES"/>
              </w:rPr>
              <w:t> </w:t>
            </w:r>
            <w:r>
              <w:rPr>
                <w:lang w:val="es-ES"/>
              </w:rPr>
              <w:t> </w:t>
            </w:r>
            <w:r>
              <w:rPr>
                <w:lang w:val="es-ES"/>
              </w:rPr>
              <w:t> </w:t>
            </w:r>
            <w:r>
              <w:rPr>
                <w:lang w:val="es-ES"/>
              </w:rPr>
              <w:t> </w:t>
            </w:r>
            <w:r w:rsidRPr="001C121E">
              <w:rPr>
                <w:i/>
                <w:lang w:val="es-ES_tradnl"/>
              </w:rPr>
              <w:t>P</w:t>
            </w:r>
            <w:r w:rsidRPr="001C121E">
              <w:rPr>
                <w:lang w:val="es-ES_tradnl"/>
              </w:rPr>
              <w:t> </w:t>
            </w:r>
            <w:r w:rsidR="00F37195">
              <w:rPr>
                <w:rFonts w:ascii="Symbol" w:hAnsi="Symbol"/>
              </w:rPr>
              <w:t></w:t>
            </w:r>
            <w:r w:rsidRPr="001C121E">
              <w:rPr>
                <w:lang w:val="es-ES_tradnl"/>
              </w:rPr>
              <w:t> 20 W</w:t>
            </w:r>
          </w:p>
          <w:p w:rsidR="002E5EB0" w:rsidRPr="001C121E" w:rsidRDefault="002E5EB0" w:rsidP="00F37195">
            <w:pPr>
              <w:pStyle w:val="Tabletext"/>
              <w:jc w:val="left"/>
              <w:rPr>
                <w:lang w:val="es-ES_tradnl"/>
              </w:rPr>
            </w:pPr>
            <w:r w:rsidRPr="001C121E">
              <w:rPr>
                <w:lang w:val="es-ES_tradnl"/>
              </w:rPr>
              <w:tab/>
            </w:r>
            <w:r>
              <w:t> </w:t>
            </w:r>
            <w:r w:rsidRPr="001C121E">
              <w:rPr>
                <w:lang w:val="es-ES_tradnl"/>
              </w:rPr>
              <w:t>69 dBc</w:t>
            </w:r>
            <w:r w:rsidRPr="001C121E">
              <w:rPr>
                <w:lang w:val="es-ES_tradnl"/>
              </w:rPr>
              <w:tab/>
            </w:r>
            <w:r w:rsidR="00705CBA" w:rsidRPr="001C121E">
              <w:rPr>
                <w:lang w:val="es-ES_tradnl"/>
              </w:rPr>
              <w:tab/>
            </w:r>
            <w:r w:rsidRPr="001C121E">
              <w:rPr>
                <w:lang w:val="es-ES_tradnl"/>
              </w:rPr>
              <w:t>para 20 W </w:t>
            </w:r>
            <w:r w:rsidR="00F37195">
              <w:rPr>
                <w:lang w:val="es-ES_tradnl"/>
              </w:rPr>
              <w:sym w:font="Symbol" w:char="F0A3"/>
            </w:r>
            <w:r w:rsidRPr="001C121E">
              <w:rPr>
                <w:lang w:val="es-ES_tradnl"/>
              </w:rPr>
              <w:t> </w:t>
            </w:r>
            <w:r w:rsidRPr="001C121E">
              <w:rPr>
                <w:i/>
                <w:lang w:val="es-ES_tradnl"/>
              </w:rPr>
              <w:t>P</w:t>
            </w:r>
            <w:r w:rsidRPr="001C121E">
              <w:rPr>
                <w:lang w:val="es-ES_tradnl"/>
              </w:rPr>
              <w:t> </w:t>
            </w:r>
            <w:r w:rsidR="00F37195">
              <w:rPr>
                <w:lang w:val="es-ES_tradnl"/>
              </w:rPr>
              <w:t>&lt;</w:t>
            </w:r>
            <w:r w:rsidRPr="001C121E">
              <w:rPr>
                <w:lang w:val="es-ES_tradnl"/>
              </w:rPr>
              <w:t> 400 W</w:t>
            </w:r>
          </w:p>
          <w:p w:rsidR="002E5EB0" w:rsidRPr="001C121E" w:rsidRDefault="002E5EB0" w:rsidP="00F37195">
            <w:pPr>
              <w:pStyle w:val="Tabletext"/>
              <w:jc w:val="left"/>
              <w:rPr>
                <w:lang w:val="es-ES_tradnl"/>
              </w:rPr>
            </w:pPr>
            <w:r w:rsidRPr="001C121E">
              <w:rPr>
                <w:i/>
                <w:lang w:val="es-ES_tradnl"/>
              </w:rPr>
              <w:t>f</w:t>
            </w:r>
            <w:r w:rsidRPr="001C121E">
              <w:rPr>
                <w:lang w:val="es-ES_tradnl"/>
              </w:rPr>
              <w:t> </w:t>
            </w:r>
            <w:r w:rsidR="00F37195">
              <w:rPr>
                <w:lang w:val="es-ES_tradnl"/>
              </w:rPr>
              <w:sym w:font="Symbol" w:char="F0A3"/>
            </w:r>
            <w:r w:rsidRPr="001C121E">
              <w:rPr>
                <w:lang w:val="es-ES_tradnl"/>
              </w:rPr>
              <w:t> 146 MHz y 162,0375 MHz </w:t>
            </w:r>
            <w:r w:rsidR="00F37195">
              <w:rPr>
                <w:rFonts w:ascii="Symbol" w:hAnsi="Symbol"/>
              </w:rPr>
              <w:t></w:t>
            </w:r>
            <w:r w:rsidRPr="001C121E">
              <w:rPr>
                <w:lang w:val="es-ES_tradnl"/>
              </w:rPr>
              <w:t> </w:t>
            </w:r>
            <w:r w:rsidRPr="001C121E">
              <w:rPr>
                <w:i/>
                <w:lang w:val="es-ES_tradnl"/>
              </w:rPr>
              <w:t>f</w:t>
            </w:r>
          </w:p>
          <w:p w:rsidR="002E5EB0" w:rsidRPr="001C121E" w:rsidRDefault="002E5EB0" w:rsidP="00F37195">
            <w:pPr>
              <w:pStyle w:val="Tabletext"/>
              <w:jc w:val="left"/>
              <w:rPr>
                <w:lang w:val="es-ES_tradnl"/>
              </w:rPr>
            </w:pPr>
            <w:r w:rsidRPr="001C121E">
              <w:rPr>
                <w:lang w:val="es-ES_tradnl"/>
              </w:rPr>
              <w:tab/>
              <w:t>–20 dBm</w:t>
            </w:r>
            <w:r w:rsidRPr="001C121E">
              <w:rPr>
                <w:lang w:val="es-ES_tradnl"/>
              </w:rPr>
              <w:tab/>
            </w:r>
            <w:r w:rsidR="00705CBA" w:rsidRPr="001C121E">
              <w:rPr>
                <w:lang w:val="es-ES_tradnl"/>
              </w:rPr>
              <w:tab/>
            </w:r>
            <w:r w:rsidRPr="001C121E">
              <w:rPr>
                <w:lang w:val="es-ES_tradnl"/>
              </w:rPr>
              <w:t>para</w:t>
            </w:r>
            <w:r>
              <w:rPr>
                <w:lang w:val="es-ES"/>
              </w:rPr>
              <w:t> </w:t>
            </w:r>
            <w:r>
              <w:rPr>
                <w:lang w:val="es-ES"/>
              </w:rPr>
              <w:t> </w:t>
            </w:r>
            <w:r>
              <w:rPr>
                <w:lang w:val="es-ES"/>
              </w:rPr>
              <w:t> </w:t>
            </w:r>
            <w:r>
              <w:rPr>
                <w:lang w:val="es-ES"/>
              </w:rPr>
              <w:t> </w:t>
            </w:r>
            <w:r>
              <w:rPr>
                <w:lang w:val="es-ES"/>
              </w:rPr>
              <w:t> </w:t>
            </w:r>
            <w:r>
              <w:rPr>
                <w:lang w:val="es-ES"/>
              </w:rPr>
              <w:t> </w:t>
            </w:r>
            <w:r>
              <w:rPr>
                <w:lang w:val="es-ES"/>
              </w:rPr>
              <w:t> </w:t>
            </w:r>
            <w:r w:rsidRPr="001C121E">
              <w:rPr>
                <w:i/>
                <w:lang w:val="es-ES_tradnl"/>
              </w:rPr>
              <w:t>P</w:t>
            </w:r>
            <w:r w:rsidRPr="001C121E">
              <w:rPr>
                <w:lang w:val="es-ES_tradnl"/>
              </w:rPr>
              <w:t> </w:t>
            </w:r>
            <w:r w:rsidR="00F37195">
              <w:rPr>
                <w:lang w:val="es-ES_tradnl"/>
              </w:rPr>
              <w:t>&lt;</w:t>
            </w:r>
            <w:r w:rsidRPr="001C121E">
              <w:rPr>
                <w:lang w:val="es-ES_tradnl"/>
              </w:rPr>
              <w:t> 20 W</w:t>
            </w:r>
          </w:p>
          <w:p w:rsidR="002E5EB0" w:rsidRPr="001C121E" w:rsidRDefault="002E5EB0" w:rsidP="00F37195">
            <w:pPr>
              <w:pStyle w:val="Tabletext"/>
              <w:jc w:val="left"/>
              <w:rPr>
                <w:lang w:val="es-ES_tradnl"/>
              </w:rPr>
            </w:pPr>
            <w:r w:rsidRPr="001C121E">
              <w:rPr>
                <w:lang w:val="es-ES_tradnl"/>
              </w:rPr>
              <w:tab/>
            </w:r>
            <w:r>
              <w:t> </w:t>
            </w:r>
            <w:r w:rsidRPr="001C121E">
              <w:rPr>
                <w:lang w:val="es-ES_tradnl"/>
              </w:rPr>
              <w:t>63 dBc</w:t>
            </w:r>
            <w:r w:rsidRPr="001C121E">
              <w:rPr>
                <w:lang w:val="es-ES_tradnl"/>
              </w:rPr>
              <w:tab/>
            </w:r>
            <w:r w:rsidR="00705CBA" w:rsidRPr="001C121E">
              <w:rPr>
                <w:lang w:val="es-ES_tradnl"/>
              </w:rPr>
              <w:tab/>
            </w:r>
            <w:r w:rsidRPr="001C121E">
              <w:rPr>
                <w:lang w:val="es-ES_tradnl"/>
              </w:rPr>
              <w:t>para 20 W </w:t>
            </w:r>
            <w:r w:rsidR="00F37195">
              <w:rPr>
                <w:lang w:val="es-ES_tradnl"/>
              </w:rPr>
              <w:sym w:font="Symbol" w:char="F0A3"/>
            </w:r>
            <w:r w:rsidRPr="001C121E">
              <w:rPr>
                <w:lang w:val="es-ES_tradnl"/>
              </w:rPr>
              <w:t> </w:t>
            </w:r>
            <w:r w:rsidRPr="001C121E">
              <w:rPr>
                <w:i/>
                <w:lang w:val="es-ES_tradnl"/>
              </w:rPr>
              <w:t>P</w:t>
            </w:r>
            <w:r w:rsidRPr="001C121E">
              <w:rPr>
                <w:lang w:val="es-ES_tradnl"/>
              </w:rPr>
              <w:t> </w:t>
            </w:r>
            <w:r w:rsidR="00F37195">
              <w:rPr>
                <w:lang w:val="es-ES_tradnl"/>
              </w:rPr>
              <w:t>&lt;</w:t>
            </w:r>
            <w:r w:rsidRPr="001C121E">
              <w:rPr>
                <w:lang w:val="es-ES_tradnl"/>
              </w:rPr>
              <w:t> 100 W</w:t>
            </w:r>
          </w:p>
        </w:tc>
      </w:tr>
      <w:tr w:rsidR="002E5EB0" w:rsidRPr="00F37195" w:rsidTr="000C144E">
        <w:trPr>
          <w:jc w:val="center"/>
        </w:trPr>
        <w:tc>
          <w:tcPr>
            <w:tcW w:w="3720" w:type="dxa"/>
            <w:vAlign w:val="center"/>
          </w:tcPr>
          <w:p w:rsidR="002E5EB0" w:rsidRPr="001C121E" w:rsidRDefault="002E5EB0" w:rsidP="00705CBA">
            <w:pPr>
              <w:pStyle w:val="Tabletext"/>
              <w:jc w:val="left"/>
              <w:rPr>
                <w:lang w:val="es-ES_tradnl"/>
              </w:rPr>
            </w:pPr>
            <w:r w:rsidRPr="001C121E">
              <w:rPr>
                <w:lang w:val="es-ES_tradnl"/>
              </w:rPr>
              <w:t>Servicio móvil aeronáutico</w:t>
            </w:r>
            <w:r w:rsidRPr="001C121E">
              <w:rPr>
                <w:vertAlign w:val="superscript"/>
                <w:lang w:val="es-ES_tradnl"/>
              </w:rPr>
              <w:t>(2)</w:t>
            </w:r>
          </w:p>
          <w:p w:rsidR="002E5EB0" w:rsidRPr="001C121E" w:rsidRDefault="002E5EB0" w:rsidP="00F37195">
            <w:pPr>
              <w:pStyle w:val="Tabletext"/>
              <w:jc w:val="left"/>
              <w:rPr>
                <w:lang w:val="es-ES_tradnl"/>
              </w:rPr>
            </w:pPr>
            <w:r w:rsidRPr="001C121E">
              <w:rPr>
                <w:lang w:val="es-ES_tradnl"/>
              </w:rPr>
              <w:t>118 MHz </w:t>
            </w:r>
            <w:r w:rsidR="00F37195">
              <w:rPr>
                <w:lang w:val="es-ES_tradnl"/>
              </w:rPr>
              <w:t>&lt;</w:t>
            </w:r>
            <w:r w:rsidRPr="001C121E">
              <w:rPr>
                <w:lang w:val="es-ES_tradnl"/>
              </w:rPr>
              <w:t> </w:t>
            </w:r>
            <w:r w:rsidRPr="001C121E">
              <w:rPr>
                <w:i/>
                <w:lang w:val="es-ES_tradnl"/>
              </w:rPr>
              <w:t>f</w:t>
            </w:r>
            <w:r w:rsidRPr="001C121E">
              <w:rPr>
                <w:position w:val="-4"/>
                <w:sz w:val="18"/>
                <w:lang w:val="es-ES_tradnl"/>
              </w:rPr>
              <w:t>0</w:t>
            </w:r>
            <w:r w:rsidRPr="001C121E">
              <w:rPr>
                <w:lang w:val="es-ES_tradnl"/>
              </w:rPr>
              <w:t> </w:t>
            </w:r>
            <w:r w:rsidR="00F37195">
              <w:rPr>
                <w:lang w:val="es-ES_tradnl"/>
              </w:rPr>
              <w:sym w:font="Symbol" w:char="F0A3"/>
            </w:r>
            <w:r w:rsidRPr="001C121E">
              <w:rPr>
                <w:lang w:val="es-ES_tradnl"/>
              </w:rPr>
              <w:t> 142 MHz</w:t>
            </w:r>
          </w:p>
          <w:p w:rsidR="002E5EB0" w:rsidRPr="001C121E" w:rsidRDefault="002E5EB0" w:rsidP="00F37195">
            <w:pPr>
              <w:pStyle w:val="Tabletext"/>
              <w:jc w:val="left"/>
              <w:rPr>
                <w:lang w:val="es-ES_tradnl"/>
              </w:rPr>
            </w:pPr>
            <w:r w:rsidRPr="001C121E">
              <w:rPr>
                <w:lang w:val="es-ES_tradnl"/>
              </w:rPr>
              <w:t>335,4 MHz </w:t>
            </w:r>
            <w:r w:rsidR="00F37195">
              <w:rPr>
                <w:lang w:val="es-ES_tradnl"/>
              </w:rPr>
              <w:t>&lt;</w:t>
            </w:r>
            <w:r w:rsidRPr="001C121E">
              <w:rPr>
                <w:lang w:val="es-ES_tradnl"/>
              </w:rPr>
              <w:t> </w:t>
            </w:r>
            <w:r w:rsidRPr="001C121E">
              <w:rPr>
                <w:i/>
                <w:lang w:val="es-ES_tradnl"/>
              </w:rPr>
              <w:t>f</w:t>
            </w:r>
            <w:r w:rsidRPr="001C121E">
              <w:rPr>
                <w:position w:val="-4"/>
                <w:sz w:val="18"/>
                <w:lang w:val="es-ES_tradnl"/>
              </w:rPr>
              <w:t>0</w:t>
            </w:r>
            <w:r w:rsidRPr="001C121E">
              <w:rPr>
                <w:lang w:val="es-ES_tradnl"/>
              </w:rPr>
              <w:t> </w:t>
            </w:r>
            <w:r w:rsidR="00F37195">
              <w:rPr>
                <w:lang w:val="es-ES_tradnl"/>
              </w:rPr>
              <w:sym w:font="Symbol" w:char="F0A3"/>
            </w:r>
            <w:r w:rsidRPr="001C121E">
              <w:rPr>
                <w:lang w:val="es-ES_tradnl"/>
              </w:rPr>
              <w:t> 470 MHz</w:t>
            </w:r>
          </w:p>
          <w:p w:rsidR="002E5EB0" w:rsidRPr="001C121E" w:rsidRDefault="002E5EB0" w:rsidP="00705CBA">
            <w:pPr>
              <w:pStyle w:val="Tabletext"/>
              <w:jc w:val="left"/>
              <w:rPr>
                <w:lang w:val="es-ES_tradnl"/>
              </w:rPr>
            </w:pPr>
          </w:p>
          <w:p w:rsidR="002E5EB0" w:rsidRPr="001C121E" w:rsidRDefault="002E5EB0" w:rsidP="00F37195">
            <w:pPr>
              <w:pStyle w:val="Tabletext"/>
              <w:jc w:val="left"/>
              <w:rPr>
                <w:lang w:val="es-ES_tradnl"/>
              </w:rPr>
            </w:pPr>
            <w:r w:rsidRPr="001C121E">
              <w:rPr>
                <w:lang w:val="es-ES_tradnl"/>
              </w:rPr>
              <w:t>830 MHz </w:t>
            </w:r>
            <w:r w:rsidR="00F37195">
              <w:rPr>
                <w:lang w:val="es-ES_tradnl"/>
              </w:rPr>
              <w:t>&lt;</w:t>
            </w:r>
            <w:r w:rsidRPr="001C121E">
              <w:rPr>
                <w:lang w:val="es-ES_tradnl"/>
              </w:rPr>
              <w:t> </w:t>
            </w:r>
            <w:r w:rsidRPr="001C121E">
              <w:rPr>
                <w:i/>
                <w:lang w:val="es-ES_tradnl"/>
              </w:rPr>
              <w:t>f</w:t>
            </w:r>
            <w:r w:rsidRPr="001C121E">
              <w:rPr>
                <w:position w:val="-4"/>
                <w:sz w:val="18"/>
                <w:lang w:val="es-ES_tradnl"/>
              </w:rPr>
              <w:t>0</w:t>
            </w:r>
            <w:r w:rsidRPr="001C121E">
              <w:rPr>
                <w:lang w:val="es-ES_tradnl"/>
              </w:rPr>
              <w:t> </w:t>
            </w:r>
            <w:r w:rsidR="00F37195">
              <w:rPr>
                <w:lang w:val="es-ES_tradnl"/>
              </w:rPr>
              <w:sym w:font="Symbol" w:char="F0A3"/>
            </w:r>
            <w:r w:rsidRPr="001C121E">
              <w:rPr>
                <w:lang w:val="es-ES_tradnl"/>
              </w:rPr>
              <w:t> 887 MHz</w:t>
            </w:r>
            <w:r w:rsidRPr="001C121E">
              <w:rPr>
                <w:vertAlign w:val="superscript"/>
                <w:lang w:val="es-ES_tradnl"/>
              </w:rPr>
              <w:t>(2)</w:t>
            </w:r>
          </w:p>
          <w:p w:rsidR="002E5EB0" w:rsidRPr="001C121E" w:rsidRDefault="002E5EB0" w:rsidP="00705CBA">
            <w:pPr>
              <w:pStyle w:val="TableLegend0"/>
              <w:rPr>
                <w:lang w:val="es-ES_tradnl"/>
              </w:rPr>
            </w:pPr>
          </w:p>
        </w:tc>
        <w:tc>
          <w:tcPr>
            <w:tcW w:w="5919" w:type="dxa"/>
            <w:vAlign w:val="center"/>
          </w:tcPr>
          <w:p w:rsidR="002E5EB0" w:rsidRPr="001C121E" w:rsidRDefault="002E5EB0" w:rsidP="00705CBA">
            <w:pPr>
              <w:pStyle w:val="Tabletext"/>
              <w:jc w:val="left"/>
              <w:rPr>
                <w:lang w:val="es-ES_tradnl"/>
              </w:rPr>
            </w:pPr>
          </w:p>
          <w:p w:rsidR="002E5EB0" w:rsidRDefault="002E5EB0" w:rsidP="00F37195">
            <w:pPr>
              <w:pStyle w:val="Tabletext"/>
              <w:jc w:val="left"/>
              <w:rPr>
                <w:lang w:val="es-ES"/>
              </w:rPr>
            </w:pPr>
            <w:r w:rsidRPr="00705CBA">
              <w:rPr>
                <w:lang w:val="es-ES_tradnl"/>
              </w:rPr>
              <w:t>–16 dBm</w:t>
            </w:r>
            <w:r w:rsidRPr="00705CBA">
              <w:rPr>
                <w:lang w:val="es-ES_tradnl"/>
              </w:rPr>
              <w:tab/>
            </w:r>
            <w:r w:rsidRPr="00705CBA">
              <w:rPr>
                <w:lang w:val="es-ES_tradnl"/>
              </w:rPr>
              <w:tab/>
            </w:r>
            <w:r w:rsidR="00705CBA" w:rsidRPr="00705CBA">
              <w:rPr>
                <w:lang w:val="es-ES_tradnl"/>
              </w:rPr>
              <w:tab/>
            </w:r>
            <w:r w:rsidRPr="00705CBA">
              <w:rPr>
                <w:lang w:val="es-ES_tradnl"/>
              </w:rPr>
              <w:t>para</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s-ES"/>
              </w:rPr>
              <w:t>P</w:t>
            </w:r>
            <w:r>
              <w:rPr>
                <w:lang w:val="es-ES"/>
              </w:rPr>
              <w:t> </w:t>
            </w:r>
            <w:r w:rsidR="00F37195">
              <w:rPr>
                <w:lang w:val="es-ES"/>
              </w:rPr>
              <w:sym w:font="Symbol" w:char="F0A3"/>
            </w:r>
            <w:r>
              <w:rPr>
                <w:lang w:val="es-ES"/>
              </w:rPr>
              <w:t> 25 W</w:t>
            </w:r>
          </w:p>
          <w:p w:rsidR="002E5EB0" w:rsidRDefault="002E5EB0" w:rsidP="00F37195">
            <w:pPr>
              <w:pStyle w:val="Tabletext"/>
              <w:jc w:val="left"/>
              <w:rPr>
                <w:lang w:val="es-ES"/>
              </w:rPr>
            </w:pPr>
            <w:r>
              <w:t> </w:t>
            </w:r>
            <w:r>
              <w:rPr>
                <w:lang w:val="es-ES"/>
              </w:rPr>
              <w:t>60 dBc</w:t>
            </w:r>
            <w:r>
              <w:rPr>
                <w:lang w:val="es-ES"/>
              </w:rPr>
              <w:tab/>
            </w:r>
            <w:r>
              <w:rPr>
                <w:lang w:val="es-ES"/>
              </w:rPr>
              <w:tab/>
            </w:r>
            <w:r w:rsidR="00705CBA">
              <w:rPr>
                <w:lang w:val="es-ES"/>
              </w:rPr>
              <w:tab/>
            </w:r>
            <w:r>
              <w:rPr>
                <w:lang w:val="es-ES"/>
              </w:rPr>
              <w:t>para</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s-ES"/>
              </w:rPr>
              <w:t>P</w:t>
            </w:r>
            <w:r>
              <w:rPr>
                <w:lang w:val="es-ES"/>
              </w:rPr>
              <w:t> </w:t>
            </w:r>
            <w:r w:rsidR="00F37195">
              <w:rPr>
                <w:lang w:val="es-ES"/>
              </w:rPr>
              <w:t>&lt;</w:t>
            </w:r>
            <w:r>
              <w:rPr>
                <w:lang w:val="es-ES"/>
              </w:rPr>
              <w:t> 50 W</w:t>
            </w:r>
          </w:p>
          <w:p w:rsidR="002E5EB0" w:rsidRDefault="002E5EB0" w:rsidP="00705CBA">
            <w:pPr>
              <w:pStyle w:val="Tabletext"/>
              <w:jc w:val="left"/>
              <w:rPr>
                <w:lang w:val="es-ES"/>
              </w:rPr>
            </w:pPr>
            <w:r>
              <w:t> </w:t>
            </w:r>
            <w:r>
              <w:rPr>
                <w:lang w:val="es-ES"/>
              </w:rPr>
              <w:t>0 dBm</w:t>
            </w:r>
            <w:r>
              <w:rPr>
                <w:lang w:val="es-ES"/>
              </w:rPr>
              <w:tab/>
            </w:r>
            <w:r>
              <w:rPr>
                <w:lang w:val="es-ES"/>
              </w:rPr>
              <w:tab/>
            </w:r>
            <w:r w:rsidR="00705CBA">
              <w:rPr>
                <w:lang w:val="es-ES"/>
              </w:rPr>
              <w:tab/>
            </w:r>
            <w:r>
              <w:rPr>
                <w:lang w:val="es-ES"/>
              </w:rPr>
              <w:t>para 10 kW </w:t>
            </w:r>
            <w:r>
              <w:sym w:font="Symbol" w:char="F0A3"/>
            </w:r>
            <w:r>
              <w:rPr>
                <w:lang w:val="es-ES"/>
              </w:rPr>
              <w:t> </w:t>
            </w:r>
            <w:r>
              <w:rPr>
                <w:i/>
                <w:lang w:val="es-ES"/>
              </w:rPr>
              <w:t>P</w:t>
            </w:r>
          </w:p>
          <w:p w:rsidR="002E5EB0" w:rsidRDefault="002E5EB0" w:rsidP="00F37195">
            <w:pPr>
              <w:pStyle w:val="Tabletext"/>
              <w:jc w:val="left"/>
              <w:rPr>
                <w:lang w:val="es-ES"/>
              </w:rPr>
            </w:pPr>
            <w:r>
              <w:rPr>
                <w:lang w:val="es-ES"/>
              </w:rPr>
              <w:t>–26 dBm</w:t>
            </w:r>
            <w:r>
              <w:rPr>
                <w:lang w:val="es-ES"/>
              </w:rPr>
              <w:tab/>
            </w:r>
            <w:r>
              <w:rPr>
                <w:lang w:val="es-ES"/>
              </w:rPr>
              <w:tab/>
            </w:r>
            <w:r w:rsidR="00705CBA">
              <w:rPr>
                <w:lang w:val="es-ES"/>
              </w:rPr>
              <w:tab/>
            </w:r>
            <w:r>
              <w:rPr>
                <w:lang w:val="es-ES"/>
              </w:rPr>
              <w:t>para</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s-ES"/>
              </w:rPr>
              <w:t>P</w:t>
            </w:r>
            <w:r>
              <w:rPr>
                <w:lang w:val="es-ES"/>
              </w:rPr>
              <w:t> </w:t>
            </w:r>
            <w:r w:rsidR="00F37195">
              <w:rPr>
                <w:lang w:val="es-ES"/>
              </w:rPr>
              <w:sym w:font="Symbol" w:char="F0A3"/>
            </w:r>
            <w:r>
              <w:rPr>
                <w:lang w:val="es-ES"/>
              </w:rPr>
              <w:t> 25 W</w:t>
            </w:r>
          </w:p>
          <w:p w:rsidR="002E5EB0" w:rsidRDefault="002E5EB0" w:rsidP="00F37195">
            <w:pPr>
              <w:pStyle w:val="Tabletext"/>
              <w:jc w:val="left"/>
              <w:rPr>
                <w:lang w:val="es-ES"/>
              </w:rPr>
            </w:pPr>
            <w:r>
              <w:t> </w:t>
            </w:r>
            <w:r>
              <w:rPr>
                <w:lang w:val="es-ES"/>
              </w:rPr>
              <w:t>70 dBc</w:t>
            </w:r>
            <w:r>
              <w:rPr>
                <w:lang w:val="es-ES"/>
              </w:rPr>
              <w:tab/>
            </w:r>
            <w:r>
              <w:rPr>
                <w:lang w:val="es-ES"/>
              </w:rPr>
              <w:tab/>
            </w:r>
            <w:r w:rsidR="00705CBA">
              <w:rPr>
                <w:lang w:val="es-ES"/>
              </w:rPr>
              <w:tab/>
            </w:r>
            <w:r>
              <w:rPr>
                <w:lang w:val="es-ES"/>
              </w:rPr>
              <w:t>para 25 W   </w:t>
            </w:r>
            <w:r w:rsidR="00F37195">
              <w:rPr>
                <w:lang w:val="es-ES"/>
              </w:rPr>
              <w:t>&lt;</w:t>
            </w:r>
            <w:r>
              <w:rPr>
                <w:lang w:val="es-ES"/>
              </w:rPr>
              <w:t> </w:t>
            </w:r>
            <w:r>
              <w:rPr>
                <w:i/>
                <w:lang w:val="es-ES"/>
              </w:rPr>
              <w:t>P</w:t>
            </w:r>
          </w:p>
        </w:tc>
      </w:tr>
      <w:tr w:rsidR="002E5EB0" w:rsidRPr="00705CBA" w:rsidTr="000C144E">
        <w:trPr>
          <w:jc w:val="center"/>
        </w:trPr>
        <w:tc>
          <w:tcPr>
            <w:tcW w:w="3720" w:type="dxa"/>
            <w:tcBorders>
              <w:bottom w:val="single" w:sz="6" w:space="0" w:color="auto"/>
            </w:tcBorders>
          </w:tcPr>
          <w:p w:rsidR="002E5EB0" w:rsidRDefault="002E5EB0" w:rsidP="00705CBA">
            <w:pPr>
              <w:pStyle w:val="Tabletext"/>
              <w:jc w:val="left"/>
              <w:rPr>
                <w:lang w:val="es-ES"/>
              </w:rPr>
            </w:pPr>
            <w:r>
              <w:rPr>
                <w:lang w:val="es-ES"/>
              </w:rPr>
              <w:t>BLU</w:t>
            </w:r>
          </w:p>
          <w:p w:rsidR="002E5EB0" w:rsidRDefault="002E5EB0" w:rsidP="00705CBA">
            <w:pPr>
              <w:pStyle w:val="Tabletext"/>
              <w:jc w:val="left"/>
              <w:rPr>
                <w:lang w:val="es-ES"/>
              </w:rPr>
            </w:pPr>
            <w:r>
              <w:rPr>
                <w:lang w:val="es-ES"/>
              </w:rPr>
              <w:t>(Estaciones fijas y terrestres, excluyendo las estaciones costeras)</w:t>
            </w:r>
          </w:p>
          <w:p w:rsidR="002E5EB0" w:rsidRDefault="002E5EB0" w:rsidP="00F37195">
            <w:pPr>
              <w:pStyle w:val="Tabletext"/>
              <w:jc w:val="left"/>
              <w:rPr>
                <w:lang w:val="es-ES"/>
              </w:rPr>
            </w:pPr>
            <w:r>
              <w:rPr>
                <w:i/>
                <w:lang w:val="es-ES"/>
              </w:rPr>
              <w:t>f</w:t>
            </w:r>
            <w:r>
              <w:rPr>
                <w:position w:val="-4"/>
                <w:sz w:val="18"/>
                <w:lang w:val="es-ES"/>
              </w:rPr>
              <w:t>0</w:t>
            </w:r>
            <w:r>
              <w:rPr>
                <w:lang w:val="es-ES"/>
              </w:rPr>
              <w:t> </w:t>
            </w:r>
            <w:r w:rsidR="00F37195">
              <w:rPr>
                <w:lang w:val="es-ES"/>
              </w:rPr>
              <w:sym w:font="Symbol" w:char="F0A3"/>
            </w:r>
            <w:r>
              <w:rPr>
                <w:lang w:val="es-ES"/>
              </w:rPr>
              <w:t> 30 MHz</w:t>
            </w:r>
          </w:p>
        </w:tc>
        <w:tc>
          <w:tcPr>
            <w:tcW w:w="5919" w:type="dxa"/>
            <w:tcBorders>
              <w:bottom w:val="single" w:sz="6" w:space="0" w:color="auto"/>
            </w:tcBorders>
            <w:vAlign w:val="center"/>
          </w:tcPr>
          <w:p w:rsidR="002E5EB0" w:rsidRDefault="002E5EB0" w:rsidP="00705CBA">
            <w:pPr>
              <w:pStyle w:val="Tabletext"/>
              <w:jc w:val="left"/>
              <w:rPr>
                <w:lang w:val="es-ES"/>
              </w:rPr>
            </w:pPr>
          </w:p>
          <w:p w:rsidR="002E5EB0" w:rsidRDefault="002E5EB0" w:rsidP="00F37195">
            <w:pPr>
              <w:pStyle w:val="Tabletext"/>
              <w:jc w:val="left"/>
              <w:rPr>
                <w:lang w:val="es-ES"/>
              </w:rPr>
            </w:pPr>
            <w:r>
              <w:rPr>
                <w:lang w:val="es-ES"/>
              </w:rPr>
              <w:t>50 dBc</w:t>
            </w:r>
            <w:r>
              <w:rPr>
                <w:lang w:val="es-ES"/>
              </w:rPr>
              <w:tab/>
            </w:r>
            <w:r>
              <w:rPr>
                <w:lang w:val="es-ES"/>
              </w:rPr>
              <w:tab/>
            </w:r>
            <w:r w:rsidR="00705CBA">
              <w:rPr>
                <w:lang w:val="es-ES"/>
              </w:rPr>
              <w:tab/>
            </w:r>
            <w:r>
              <w:rPr>
                <w:lang w:val="es-ES"/>
              </w:rPr>
              <w:t xml:space="preserve">para </w:t>
            </w:r>
            <w:r>
              <w:rPr>
                <w:i/>
                <w:lang w:val="es-ES"/>
              </w:rPr>
              <w:t>P</w:t>
            </w:r>
            <w:r>
              <w:rPr>
                <w:lang w:val="es-ES"/>
              </w:rPr>
              <w:t> </w:t>
            </w:r>
            <w:r w:rsidR="00F37195">
              <w:rPr>
                <w:lang w:val="es-ES"/>
              </w:rPr>
              <w:t>&lt;</w:t>
            </w:r>
            <w:r>
              <w:rPr>
                <w:lang w:val="es-ES"/>
              </w:rPr>
              <w:t> 5 W</w:t>
            </w:r>
            <w:r>
              <w:rPr>
                <w:lang w:val="es-ES"/>
              </w:rPr>
              <w:br/>
            </w:r>
          </w:p>
          <w:p w:rsidR="002E5EB0" w:rsidRDefault="002E5EB0" w:rsidP="00705CBA">
            <w:pPr>
              <w:pStyle w:val="Tabletext"/>
              <w:jc w:val="left"/>
              <w:rPr>
                <w:lang w:val="es-ES"/>
              </w:rPr>
            </w:pPr>
          </w:p>
        </w:tc>
      </w:tr>
      <w:tr w:rsidR="002E5EB0" w:rsidRPr="00DD03A6" w:rsidTr="000C144E">
        <w:trPr>
          <w:jc w:val="center"/>
        </w:trPr>
        <w:tc>
          <w:tcPr>
            <w:tcW w:w="3720" w:type="dxa"/>
            <w:tcBorders>
              <w:top w:val="single" w:sz="6" w:space="0" w:color="auto"/>
              <w:bottom w:val="single" w:sz="6" w:space="0" w:color="auto"/>
            </w:tcBorders>
          </w:tcPr>
          <w:p w:rsidR="002E5EB0" w:rsidRDefault="002E5EB0" w:rsidP="00705CBA">
            <w:pPr>
              <w:pStyle w:val="Tabletext"/>
              <w:jc w:val="left"/>
              <w:rPr>
                <w:lang w:val="es-ES"/>
              </w:rPr>
            </w:pPr>
            <w:r>
              <w:rPr>
                <w:lang w:val="es-ES"/>
              </w:rPr>
              <w:t>Servicio móvil terrestre</w:t>
            </w:r>
          </w:p>
          <w:p w:rsidR="002E5EB0" w:rsidRDefault="002E5EB0" w:rsidP="00705CBA">
            <w:pPr>
              <w:pStyle w:val="Tabletext"/>
              <w:jc w:val="left"/>
              <w:rPr>
                <w:lang w:val="es-ES"/>
              </w:rPr>
            </w:pPr>
            <w:r>
              <w:rPr>
                <w:lang w:val="es-ES"/>
              </w:rPr>
              <w:t>(Sistemas analógicos para teléfonos portátiles/de automóvil)</w:t>
            </w:r>
          </w:p>
          <w:p w:rsidR="002E5EB0" w:rsidRDefault="002E5EB0" w:rsidP="00915745">
            <w:pPr>
              <w:pStyle w:val="Tabletext"/>
              <w:jc w:val="left"/>
              <w:rPr>
                <w:lang w:val="es-ES"/>
              </w:rPr>
            </w:pPr>
            <w:r>
              <w:rPr>
                <w:lang w:val="es-ES"/>
              </w:rPr>
              <w:t>(Teléfonos sin cordón digitales y PHS)</w:t>
            </w:r>
            <w:r>
              <w:rPr>
                <w:lang w:val="es-ES"/>
              </w:rPr>
              <w:br/>
              <w:t>1</w:t>
            </w:r>
            <w:r>
              <w:rPr>
                <w:rFonts w:ascii="Tms Rmn" w:hAnsi="Tms Rmn"/>
                <w:sz w:val="12"/>
                <w:lang w:val="es-ES"/>
              </w:rPr>
              <w:t> </w:t>
            </w:r>
            <w:r>
              <w:rPr>
                <w:lang w:val="es-ES"/>
              </w:rPr>
              <w:t>893,65 MHz </w:t>
            </w:r>
            <w:r w:rsidR="00F37195">
              <w:rPr>
                <w:lang w:val="es-ES"/>
              </w:rPr>
              <w:t>&lt;</w:t>
            </w:r>
            <w:r>
              <w:rPr>
                <w:lang w:val="es-ES"/>
              </w:rPr>
              <w:t> </w:t>
            </w:r>
            <w:r>
              <w:rPr>
                <w:i/>
                <w:lang w:val="es-ES"/>
              </w:rPr>
              <w:t>f</w:t>
            </w:r>
            <w:r>
              <w:rPr>
                <w:position w:val="-4"/>
                <w:sz w:val="18"/>
                <w:lang w:val="es-ES"/>
              </w:rPr>
              <w:t>0</w:t>
            </w:r>
            <w:r>
              <w:rPr>
                <w:lang w:val="es-ES"/>
              </w:rPr>
              <w:t> </w:t>
            </w:r>
            <w:r w:rsidR="00F37195">
              <w:rPr>
                <w:lang w:val="es-ES"/>
              </w:rPr>
              <w:sym w:font="Symbol" w:char="F0A3"/>
            </w:r>
            <w:r>
              <w:rPr>
                <w:lang w:val="es-ES"/>
              </w:rPr>
              <w:t> 1</w:t>
            </w:r>
            <w:r>
              <w:rPr>
                <w:rFonts w:ascii="Tms Rmn" w:hAnsi="Tms Rmn"/>
                <w:sz w:val="12"/>
                <w:lang w:val="es-ES"/>
              </w:rPr>
              <w:t> </w:t>
            </w:r>
            <w:r>
              <w:rPr>
                <w:lang w:val="es-ES"/>
              </w:rPr>
              <w:t>919,45 MHz</w:t>
            </w:r>
          </w:p>
          <w:p w:rsidR="002E5EB0" w:rsidRDefault="002E5EB0" w:rsidP="00705CBA">
            <w:pPr>
              <w:pStyle w:val="TableText0"/>
              <w:rPr>
                <w:lang w:val="es-ES"/>
              </w:rPr>
            </w:pPr>
          </w:p>
        </w:tc>
        <w:tc>
          <w:tcPr>
            <w:tcW w:w="5919" w:type="dxa"/>
            <w:tcBorders>
              <w:top w:val="single" w:sz="6" w:space="0" w:color="auto"/>
              <w:bottom w:val="single" w:sz="6" w:space="0" w:color="auto"/>
            </w:tcBorders>
            <w:vAlign w:val="center"/>
          </w:tcPr>
          <w:p w:rsidR="002E5EB0" w:rsidRDefault="002E5EB0" w:rsidP="00705CBA">
            <w:pPr>
              <w:pStyle w:val="Tabletext"/>
              <w:jc w:val="left"/>
              <w:rPr>
                <w:lang w:val="es-ES"/>
              </w:rPr>
            </w:pPr>
          </w:p>
          <w:p w:rsidR="002E5EB0" w:rsidRDefault="002E5EB0" w:rsidP="00705CBA">
            <w:pPr>
              <w:pStyle w:val="Tabletext"/>
              <w:jc w:val="left"/>
              <w:rPr>
                <w:lang w:val="es-ES"/>
              </w:rPr>
            </w:pPr>
            <w:r>
              <w:rPr>
                <w:lang w:val="es-ES"/>
              </w:rPr>
              <w:t>60 dBc</w:t>
            </w:r>
            <w:r>
              <w:rPr>
                <w:lang w:val="es-ES"/>
              </w:rPr>
              <w:tab/>
            </w:r>
            <w:r>
              <w:rPr>
                <w:lang w:val="es-ES"/>
              </w:rPr>
              <w:tab/>
            </w:r>
            <w:r w:rsidR="00705CBA">
              <w:rPr>
                <w:lang w:val="es-ES"/>
              </w:rPr>
              <w:tab/>
            </w:r>
            <w:r>
              <w:rPr>
                <w:lang w:val="es-ES"/>
              </w:rPr>
              <w:t xml:space="preserve">para </w:t>
            </w:r>
            <w:r>
              <w:rPr>
                <w:i/>
                <w:lang w:val="es-ES"/>
              </w:rPr>
              <w:t>P</w:t>
            </w:r>
            <w:r>
              <w:rPr>
                <w:lang w:val="es-ES"/>
              </w:rPr>
              <w:t> &lt; 50 W</w:t>
            </w:r>
            <w:r>
              <w:rPr>
                <w:lang w:val="es-ES"/>
              </w:rPr>
              <w:br/>
            </w:r>
          </w:p>
          <w:p w:rsidR="002E5EB0" w:rsidRDefault="002E5EB0" w:rsidP="00705CBA">
            <w:pPr>
              <w:pStyle w:val="Tabletext"/>
              <w:jc w:val="left"/>
              <w:rPr>
                <w:lang w:val="es-ES"/>
              </w:rPr>
            </w:pPr>
            <w:r>
              <w:rPr>
                <w:lang w:val="es-ES"/>
              </w:rPr>
              <w:t>1</w:t>
            </w:r>
            <w:r>
              <w:rPr>
                <w:rFonts w:ascii="Tms Rmn" w:hAnsi="Tms Rmn"/>
                <w:sz w:val="12"/>
                <w:lang w:val="es-ES"/>
              </w:rPr>
              <w:t> </w:t>
            </w:r>
            <w:r>
              <w:rPr>
                <w:lang w:val="es-ES"/>
              </w:rPr>
              <w:t>893,5 MHz &lt; </w:t>
            </w:r>
            <w:r>
              <w:rPr>
                <w:i/>
                <w:lang w:val="es-ES"/>
              </w:rPr>
              <w:t>f</w:t>
            </w:r>
            <w:r>
              <w:rPr>
                <w:lang w:val="es-ES"/>
              </w:rPr>
              <w:t> </w:t>
            </w:r>
            <w:r>
              <w:sym w:font="Symbol" w:char="F0A3"/>
            </w:r>
            <w:r>
              <w:rPr>
                <w:lang w:val="es-ES"/>
              </w:rPr>
              <w:t> 1</w:t>
            </w:r>
            <w:r>
              <w:rPr>
                <w:rFonts w:ascii="Tms Rmn" w:hAnsi="Tms Rmn"/>
                <w:sz w:val="12"/>
                <w:lang w:val="es-ES"/>
              </w:rPr>
              <w:t> </w:t>
            </w:r>
            <w:r>
              <w:rPr>
                <w:lang w:val="es-ES"/>
              </w:rPr>
              <w:t>919,6 MHz</w:t>
            </w:r>
            <w:r>
              <w:rPr>
                <w:lang w:val="es-ES"/>
              </w:rPr>
              <w:br/>
            </w:r>
            <w:r w:rsidR="00915745">
              <w:rPr>
                <w:lang w:val="es-ES_tradnl"/>
              </w:rPr>
              <w:t>  </w:t>
            </w:r>
            <w:r w:rsidR="00915745" w:rsidRPr="00915745">
              <w:rPr>
                <w:lang w:val="es-ES_tradnl"/>
              </w:rPr>
              <w:t> </w:t>
            </w:r>
            <w:r w:rsidR="00915745">
              <w:rPr>
                <w:lang w:val="es-ES_tradnl"/>
              </w:rPr>
              <w:t> </w:t>
            </w:r>
            <w:r>
              <w:rPr>
                <w:lang w:val="es-ES"/>
              </w:rPr>
              <w:t>–36 dBm</w:t>
            </w:r>
          </w:p>
          <w:p w:rsidR="002E5EB0" w:rsidRDefault="002E5EB0" w:rsidP="00915745">
            <w:pPr>
              <w:pStyle w:val="Tabletext"/>
              <w:jc w:val="left"/>
              <w:rPr>
                <w:lang w:val="es-ES"/>
              </w:rPr>
            </w:pPr>
            <w:r>
              <w:rPr>
                <w:i/>
                <w:lang w:val="es-ES"/>
              </w:rPr>
              <w:t>f</w:t>
            </w:r>
            <w:r>
              <w:rPr>
                <w:lang w:val="es-ES"/>
              </w:rPr>
              <w:t> </w:t>
            </w:r>
            <w:r>
              <w:sym w:font="Symbol" w:char="F0A3"/>
            </w:r>
            <w:r>
              <w:rPr>
                <w:lang w:val="es-ES"/>
              </w:rPr>
              <w:t> 1</w:t>
            </w:r>
            <w:r>
              <w:rPr>
                <w:rFonts w:ascii="Tms Rmn" w:hAnsi="Tms Rmn"/>
                <w:sz w:val="12"/>
                <w:lang w:val="es-ES"/>
              </w:rPr>
              <w:t> </w:t>
            </w:r>
            <w:r>
              <w:rPr>
                <w:lang w:val="es-ES"/>
              </w:rPr>
              <w:t>893,5 MHz y 1</w:t>
            </w:r>
            <w:r>
              <w:rPr>
                <w:rFonts w:ascii="Tms Rmn" w:hAnsi="Tms Rmn"/>
                <w:sz w:val="12"/>
                <w:lang w:val="es-ES"/>
              </w:rPr>
              <w:t> </w:t>
            </w:r>
            <w:r>
              <w:rPr>
                <w:lang w:val="es-ES"/>
              </w:rPr>
              <w:t>919,6 MHz </w:t>
            </w:r>
            <w:r w:rsidR="00F37195">
              <w:rPr>
                <w:lang w:val="es-ES"/>
              </w:rPr>
              <w:t>&lt;</w:t>
            </w:r>
            <w:r>
              <w:rPr>
                <w:lang w:val="es-ES"/>
              </w:rPr>
              <w:t> </w:t>
            </w:r>
            <w:r>
              <w:rPr>
                <w:i/>
                <w:lang w:val="es-ES"/>
              </w:rPr>
              <w:t>f</w:t>
            </w:r>
            <w:r>
              <w:rPr>
                <w:lang w:val="es-ES"/>
              </w:rPr>
              <w:br/>
            </w:r>
            <w:r w:rsidR="00915745">
              <w:rPr>
                <w:lang w:val="es-ES_tradnl"/>
              </w:rPr>
              <w:t>  </w:t>
            </w:r>
            <w:r w:rsidRPr="00915745">
              <w:rPr>
                <w:lang w:val="es-ES_tradnl"/>
              </w:rPr>
              <w:t> </w:t>
            </w:r>
            <w:r w:rsidR="00915745">
              <w:rPr>
                <w:lang w:val="es-ES_tradnl"/>
              </w:rPr>
              <w:t> </w:t>
            </w:r>
            <w:r>
              <w:rPr>
                <w:lang w:val="es-ES"/>
              </w:rPr>
              <w:t>–26 dBm</w:t>
            </w:r>
          </w:p>
        </w:tc>
      </w:tr>
      <w:tr w:rsidR="002E5EB0" w:rsidRPr="00705CBA" w:rsidTr="000C144E">
        <w:trPr>
          <w:jc w:val="center"/>
        </w:trPr>
        <w:tc>
          <w:tcPr>
            <w:tcW w:w="9639" w:type="dxa"/>
            <w:gridSpan w:val="2"/>
            <w:tcBorders>
              <w:top w:val="single" w:sz="6" w:space="0" w:color="auto"/>
              <w:left w:val="nil"/>
              <w:bottom w:val="nil"/>
              <w:right w:val="nil"/>
            </w:tcBorders>
            <w:vAlign w:val="center"/>
          </w:tcPr>
          <w:p w:rsidR="002E5EB0" w:rsidRDefault="002E5EB0" w:rsidP="002E13EE">
            <w:pPr>
              <w:pStyle w:val="Tablelegend"/>
              <w:ind w:hanging="284"/>
              <w:rPr>
                <w:lang w:val="es-ES"/>
              </w:rPr>
            </w:pPr>
            <w:r>
              <w:rPr>
                <w:i/>
                <w:iCs/>
                <w:lang w:val="es-ES"/>
              </w:rPr>
              <w:t>P</w:t>
            </w:r>
            <w:r>
              <w:rPr>
                <w:lang w:val="es-ES"/>
              </w:rPr>
              <w:t>:</w:t>
            </w:r>
            <w:r>
              <w:rPr>
                <w:lang w:val="es-ES"/>
              </w:rPr>
              <w:tab/>
              <w:t xml:space="preserve">potencia media (W) en la línea de transmisión de la antena, conforme al número 1.158 del RR. Cuando se utiliza transmisión por ráfagas, la potencia media, </w:t>
            </w:r>
            <w:r>
              <w:rPr>
                <w:i/>
                <w:iCs/>
                <w:lang w:val="es-ES"/>
              </w:rPr>
              <w:t>P</w:t>
            </w:r>
            <w:r>
              <w:rPr>
                <w:lang w:val="es-ES"/>
              </w:rPr>
              <w:t xml:space="preserve"> y la potencia media de toda emisión en el dominio no esencial se miden utilizando el promedio de potencia a lo largo de la duración de la ráfaga.</w:t>
            </w:r>
          </w:p>
          <w:p w:rsidR="002E5EB0" w:rsidRDefault="002E5EB0" w:rsidP="002E13EE">
            <w:pPr>
              <w:pStyle w:val="Tablelegend"/>
              <w:ind w:left="567" w:hanging="567"/>
              <w:rPr>
                <w:lang w:val="es-ES"/>
              </w:rPr>
            </w:pPr>
            <w:r>
              <w:rPr>
                <w:i/>
                <w:iCs/>
                <w:lang w:val="es-ES"/>
              </w:rPr>
              <w:t>f</w:t>
            </w:r>
            <w:r>
              <w:rPr>
                <w:lang w:val="es-ES"/>
              </w:rPr>
              <w:t>:</w:t>
            </w:r>
            <w:r>
              <w:rPr>
                <w:lang w:val="es-ES"/>
              </w:rPr>
              <w:tab/>
              <w:t>frecuencia de las emisiones en el dominio no esencial.</w:t>
            </w:r>
          </w:p>
          <w:p w:rsidR="002E5EB0" w:rsidRDefault="002E5EB0" w:rsidP="002E13EE">
            <w:pPr>
              <w:pStyle w:val="Tablelegend"/>
              <w:ind w:left="567" w:hanging="567"/>
              <w:rPr>
                <w:lang w:val="es-ES"/>
              </w:rPr>
            </w:pPr>
            <w:r>
              <w:rPr>
                <w:i/>
                <w:iCs/>
                <w:lang w:val="es-ES"/>
              </w:rPr>
              <w:t>f</w:t>
            </w:r>
            <w:r>
              <w:rPr>
                <w:vertAlign w:val="subscript"/>
                <w:lang w:val="es-ES"/>
              </w:rPr>
              <w:t>0</w:t>
            </w:r>
            <w:r>
              <w:rPr>
                <w:lang w:val="es-ES"/>
              </w:rPr>
              <w:t>:</w:t>
            </w:r>
            <w:r w:rsidR="00705CBA">
              <w:rPr>
                <w:lang w:val="es-ES"/>
              </w:rPr>
              <w:tab/>
            </w:r>
            <w:r>
              <w:rPr>
                <w:lang w:val="es-ES"/>
              </w:rPr>
              <w:t>frecuencia fundamental.</w:t>
            </w:r>
          </w:p>
          <w:p w:rsidR="002E5EB0" w:rsidRDefault="002E5EB0" w:rsidP="002E13EE">
            <w:pPr>
              <w:pStyle w:val="Tablelegend"/>
              <w:ind w:left="567" w:hanging="567"/>
              <w:rPr>
                <w:lang w:val="es-ES"/>
              </w:rPr>
            </w:pPr>
            <w:r>
              <w:rPr>
                <w:vertAlign w:val="superscript"/>
                <w:lang w:val="es-ES"/>
              </w:rPr>
              <w:t>(1)</w:t>
            </w:r>
            <w:r>
              <w:rPr>
                <w:lang w:val="es-ES"/>
              </w:rPr>
              <w:tab/>
              <w:t>Para emisión F3E y para estaciones de barco o estaciones de comunicación a bordo.</w:t>
            </w:r>
          </w:p>
          <w:p w:rsidR="002E5EB0" w:rsidRDefault="002E5EB0" w:rsidP="002E13EE">
            <w:pPr>
              <w:pStyle w:val="Tablelegend"/>
              <w:ind w:left="567" w:hanging="567"/>
              <w:rPr>
                <w:sz w:val="18"/>
                <w:lang w:val="es-ES"/>
              </w:rPr>
            </w:pPr>
            <w:r>
              <w:rPr>
                <w:vertAlign w:val="superscript"/>
                <w:lang w:val="es-ES"/>
              </w:rPr>
              <w:t>(2)</w:t>
            </w:r>
            <w:r>
              <w:rPr>
                <w:lang w:val="es-ES"/>
              </w:rPr>
              <w:tab/>
              <w:t>Para radiotelefonía de aeronaves.</w:t>
            </w:r>
          </w:p>
        </w:tc>
      </w:tr>
    </w:tbl>
    <w:p w:rsidR="002E5EB0" w:rsidRDefault="002E5EB0" w:rsidP="002E5EB0">
      <w:pPr>
        <w:pStyle w:val="Tablefin"/>
        <w:rPr>
          <w:lang w:val="es-ES"/>
        </w:rPr>
      </w:pPr>
    </w:p>
    <w:p w:rsidR="002E5EB0" w:rsidRDefault="002E5EB0" w:rsidP="000C144E">
      <w:pPr>
        <w:pStyle w:val="Heading2"/>
        <w:rPr>
          <w:lang w:val="es-ES"/>
        </w:rPr>
      </w:pPr>
      <w:bookmarkStart w:id="21" w:name="_Toc393697830"/>
      <w:r>
        <w:rPr>
          <w:lang w:val="es-ES"/>
        </w:rPr>
        <w:lastRenderedPageBreak/>
        <w:t>4.6</w:t>
      </w:r>
      <w:r>
        <w:rPr>
          <w:lang w:val="es-ES"/>
        </w:rPr>
        <w:tab/>
        <w:t xml:space="preserve">Límites de la Categoría </w:t>
      </w:r>
      <w:bookmarkEnd w:id="21"/>
      <w:r>
        <w:rPr>
          <w:lang w:val="es-ES"/>
        </w:rPr>
        <w:t>Z</w:t>
      </w:r>
    </w:p>
    <w:p w:rsidR="002E5EB0" w:rsidRDefault="002E5EB0" w:rsidP="00501B00">
      <w:pPr>
        <w:rPr>
          <w:lang w:val="es-ES"/>
        </w:rPr>
      </w:pPr>
      <w:r>
        <w:rPr>
          <w:lang w:val="es-ES"/>
        </w:rPr>
        <w:t>El Cuadro</w:t>
      </w:r>
      <w:r w:rsidR="00501B00">
        <w:rPr>
          <w:lang w:val="es-ES"/>
        </w:rPr>
        <w:t> </w:t>
      </w:r>
      <w:r>
        <w:rPr>
          <w:lang w:val="es-ES"/>
        </w:rPr>
        <w:t>6 contiene los límites de la Categoría Z para ITE Clase</w:t>
      </w:r>
      <w:r w:rsidR="00501B00">
        <w:rPr>
          <w:lang w:val="es-ES"/>
        </w:rPr>
        <w:t> </w:t>
      </w:r>
      <w:r>
        <w:rPr>
          <w:lang w:val="es-ES"/>
        </w:rPr>
        <w:t>A (industrial) y Clase</w:t>
      </w:r>
      <w:r w:rsidR="00501B00">
        <w:rPr>
          <w:lang w:val="es-ES"/>
        </w:rPr>
        <w:t> </w:t>
      </w:r>
      <w:r>
        <w:rPr>
          <w:lang w:val="es-ES"/>
        </w:rPr>
        <w:t>B (doméstica). El equipo de la Categoría Z es el que combina el ITE con una función de transmisión radioeléctrica. Si la porción de tecnología de la información se puede desprender y funcionar aún independientemente, se deberá probar cada parte separadamente de conformidad con el límite de las emisiones en el dominio no esencial pertinente establecido por el UIT-R o el límite determinado por el CISPR. Si la porción de tecnología de la información no puede funcionar independientemente, se deben aplicar los límites de la Categoría A, B, C o D del UIT-R cuando se efectúan mediciones en el modo transmisión y se deben aplicar los límites CISPR en el modo en espera o en el modo en reposo. Para frecuencias inferiores a 1 GHz los valores se toman de la P</w:t>
      </w:r>
      <w:r w:rsidR="00501B00">
        <w:rPr>
          <w:lang w:val="es-ES"/>
        </w:rPr>
        <w:t>ublicación número 22 del CISPR.</w:t>
      </w:r>
    </w:p>
    <w:p w:rsidR="002E5EB0" w:rsidRDefault="008A294A" w:rsidP="002E5EB0">
      <w:pPr>
        <w:pStyle w:val="TableNo"/>
        <w:rPr>
          <w:lang w:val="es-ES"/>
        </w:rPr>
      </w:pPr>
      <w:r>
        <w:rPr>
          <w:lang w:val="es-ES"/>
        </w:rPr>
        <w:t xml:space="preserve">CUADRO </w:t>
      </w:r>
      <w:r w:rsidR="002E5EB0">
        <w:rPr>
          <w:lang w:val="es-ES"/>
        </w:rPr>
        <w:t>6</w:t>
      </w:r>
    </w:p>
    <w:p w:rsidR="002E5EB0" w:rsidRDefault="002E5EB0" w:rsidP="002E5EB0">
      <w:pPr>
        <w:pStyle w:val="Tabletitle"/>
        <w:rPr>
          <w:lang w:val="es-ES"/>
        </w:rPr>
      </w:pPr>
      <w:r>
        <w:rPr>
          <w:lang w:val="es-ES"/>
        </w:rPr>
        <w:t>Límites de la Categoría Z</w:t>
      </w:r>
    </w:p>
    <w:p w:rsidR="002E5EB0" w:rsidRDefault="002E5EB0" w:rsidP="002E5EB0">
      <w:pPr>
        <w:pStyle w:val="Tabletitle"/>
        <w:rPr>
          <w:b w:val="0"/>
          <w:lang w:val="es-ES"/>
        </w:rPr>
      </w:pPr>
      <w:r>
        <w:rPr>
          <w:b w:val="0"/>
          <w:lang w:val="es-ES"/>
        </w:rPr>
        <w:t>(Límites de radiaciones para ITE especificados por el CISPR)</w:t>
      </w:r>
    </w:p>
    <w:tbl>
      <w:tblPr>
        <w:tblW w:w="9639" w:type="dxa"/>
        <w:jc w:val="center"/>
        <w:tblBorders>
          <w:top w:val="single" w:sz="4" w:space="0" w:color="auto"/>
          <w:left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1"/>
        <w:gridCol w:w="1701"/>
        <w:gridCol w:w="2551"/>
        <w:gridCol w:w="2836"/>
      </w:tblGrid>
      <w:tr w:rsidR="002E5EB0" w:rsidTr="00501B00">
        <w:trPr>
          <w:jc w:val="center"/>
        </w:trPr>
        <w:tc>
          <w:tcPr>
            <w:tcW w:w="2551" w:type="dxa"/>
            <w:tcBorders>
              <w:top w:val="single" w:sz="4" w:space="0" w:color="auto"/>
              <w:left w:val="single" w:sz="2" w:space="0" w:color="auto"/>
              <w:bottom w:val="single" w:sz="2" w:space="0" w:color="auto"/>
              <w:right w:val="single" w:sz="6" w:space="0" w:color="auto"/>
            </w:tcBorders>
          </w:tcPr>
          <w:p w:rsidR="002E5EB0" w:rsidRDefault="002E5EB0" w:rsidP="005713D5">
            <w:pPr>
              <w:pStyle w:val="Tablehead"/>
              <w:rPr>
                <w:lang w:val="es-ES"/>
              </w:rPr>
            </w:pPr>
            <w:r>
              <w:rPr>
                <w:lang w:val="es-ES"/>
              </w:rPr>
              <w:t>Frecuencia</w:t>
            </w:r>
            <w:r>
              <w:rPr>
                <w:lang w:val="es-ES"/>
              </w:rPr>
              <w:br/>
              <w:t>(MHz)</w:t>
            </w:r>
          </w:p>
        </w:tc>
        <w:tc>
          <w:tcPr>
            <w:tcW w:w="1701" w:type="dxa"/>
            <w:tcBorders>
              <w:top w:val="single" w:sz="4" w:space="0" w:color="auto"/>
              <w:left w:val="single" w:sz="6" w:space="0" w:color="auto"/>
              <w:bottom w:val="single" w:sz="2" w:space="0" w:color="auto"/>
              <w:right w:val="single" w:sz="6" w:space="0" w:color="auto"/>
            </w:tcBorders>
          </w:tcPr>
          <w:p w:rsidR="002E5EB0" w:rsidRDefault="002E5EB0" w:rsidP="00F37195">
            <w:pPr>
              <w:pStyle w:val="Tablehead"/>
              <w:rPr>
                <w:lang w:val="es-ES"/>
              </w:rPr>
            </w:pPr>
            <w:r>
              <w:rPr>
                <w:i/>
                <w:lang w:val="es-ES"/>
              </w:rPr>
              <w:t>E</w:t>
            </w:r>
            <w:r>
              <w:rPr>
                <w:i/>
                <w:vertAlign w:val="subscript"/>
                <w:lang w:val="es-ES"/>
              </w:rPr>
              <w:t>máx</w:t>
            </w:r>
            <w:r>
              <w:rPr>
                <w:lang w:val="es-ES"/>
              </w:rPr>
              <w:br/>
              <w:t>(dB(</w:t>
            </w:r>
            <w:r w:rsidR="00F37195">
              <w:rPr>
                <w:lang w:val="es-ES"/>
              </w:rPr>
              <w:sym w:font="Symbol" w:char="F06D"/>
            </w:r>
            <w:r>
              <w:rPr>
                <w:lang w:val="es-ES"/>
              </w:rPr>
              <w:t>V/m))</w:t>
            </w:r>
          </w:p>
        </w:tc>
        <w:tc>
          <w:tcPr>
            <w:tcW w:w="2551" w:type="dxa"/>
            <w:tcBorders>
              <w:top w:val="single" w:sz="4" w:space="0" w:color="auto"/>
              <w:left w:val="single" w:sz="6" w:space="0" w:color="auto"/>
              <w:bottom w:val="single" w:sz="2" w:space="0" w:color="auto"/>
              <w:right w:val="single" w:sz="6" w:space="0" w:color="auto"/>
            </w:tcBorders>
          </w:tcPr>
          <w:p w:rsidR="002E5EB0" w:rsidRDefault="002E5EB0" w:rsidP="00501B00">
            <w:pPr>
              <w:pStyle w:val="Tablehead"/>
              <w:ind w:left="-57" w:right="-57"/>
              <w:rPr>
                <w:lang w:val="es-ES"/>
              </w:rPr>
            </w:pPr>
            <w:r>
              <w:rPr>
                <w:lang w:val="es-ES"/>
              </w:rPr>
              <w:t>Distancia de medición</w:t>
            </w:r>
            <w:r>
              <w:rPr>
                <w:lang w:val="es-ES"/>
              </w:rPr>
              <w:br/>
              <w:t>(m)</w:t>
            </w:r>
          </w:p>
        </w:tc>
        <w:tc>
          <w:tcPr>
            <w:tcW w:w="2836" w:type="dxa"/>
            <w:tcBorders>
              <w:top w:val="single" w:sz="4" w:space="0" w:color="auto"/>
              <w:left w:val="single" w:sz="6" w:space="0" w:color="auto"/>
              <w:bottom w:val="single" w:sz="2" w:space="0" w:color="auto"/>
              <w:right w:val="single" w:sz="2" w:space="0" w:color="auto"/>
            </w:tcBorders>
          </w:tcPr>
          <w:p w:rsidR="002E5EB0" w:rsidRDefault="002E5EB0" w:rsidP="005713D5">
            <w:pPr>
              <w:pStyle w:val="Tablehead"/>
              <w:rPr>
                <w:lang w:val="es-ES"/>
              </w:rPr>
            </w:pPr>
            <w:r>
              <w:rPr>
                <w:lang w:val="es-ES"/>
              </w:rPr>
              <w:t>p.i.r.e. correspondiente</w:t>
            </w:r>
            <w:r>
              <w:rPr>
                <w:lang w:val="es-ES"/>
              </w:rPr>
              <w:br/>
              <w:t>(dBm)</w:t>
            </w:r>
          </w:p>
        </w:tc>
      </w:tr>
      <w:tr w:rsidR="002E5EB0" w:rsidRPr="00DD03A6"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9639" w:type="dxa"/>
            <w:gridSpan w:val="4"/>
            <w:tcBorders>
              <w:top w:val="single" w:sz="2" w:space="0" w:color="auto"/>
              <w:left w:val="single" w:sz="2" w:space="0" w:color="auto"/>
              <w:bottom w:val="single" w:sz="2" w:space="0" w:color="auto"/>
              <w:right w:val="single" w:sz="2" w:space="0" w:color="auto"/>
            </w:tcBorders>
          </w:tcPr>
          <w:p w:rsidR="002E5EB0" w:rsidRDefault="002E5EB0" w:rsidP="005713D5">
            <w:pPr>
              <w:pStyle w:val="Tabletext"/>
              <w:jc w:val="center"/>
              <w:rPr>
                <w:lang w:val="es-ES"/>
              </w:rPr>
            </w:pPr>
            <w:r>
              <w:rPr>
                <w:lang w:val="es-ES"/>
              </w:rPr>
              <w:t>Clase A: aplicable a ITE en un medio industrial</w:t>
            </w:r>
          </w:p>
        </w:tc>
      </w:tr>
      <w:tr w:rsidR="002E5EB0"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551" w:type="dxa"/>
            <w:tcBorders>
              <w:top w:val="single" w:sz="2" w:space="0" w:color="auto"/>
              <w:left w:val="single" w:sz="2"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30-230</w:t>
            </w:r>
          </w:p>
        </w:tc>
        <w:tc>
          <w:tcPr>
            <w:tcW w:w="170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40</w:t>
            </w:r>
            <w:r w:rsidRPr="00532E5E">
              <w:rPr>
                <w:vertAlign w:val="superscript"/>
                <w:lang w:val="es-ES"/>
              </w:rPr>
              <w:t>(1)</w:t>
            </w:r>
          </w:p>
        </w:tc>
        <w:tc>
          <w:tcPr>
            <w:tcW w:w="255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10</w:t>
            </w:r>
          </w:p>
        </w:tc>
        <w:tc>
          <w:tcPr>
            <w:tcW w:w="2836" w:type="dxa"/>
            <w:tcBorders>
              <w:top w:val="single" w:sz="2" w:space="0" w:color="auto"/>
              <w:left w:val="single" w:sz="6" w:space="0" w:color="auto"/>
              <w:bottom w:val="single" w:sz="2" w:space="0" w:color="auto"/>
              <w:right w:val="single" w:sz="2" w:space="0" w:color="auto"/>
            </w:tcBorders>
          </w:tcPr>
          <w:p w:rsidR="002E5EB0" w:rsidRDefault="002E5EB0" w:rsidP="005713D5">
            <w:pPr>
              <w:pStyle w:val="Tabletext"/>
              <w:jc w:val="center"/>
              <w:rPr>
                <w:lang w:val="es-ES"/>
              </w:rPr>
            </w:pPr>
            <w:r>
              <w:rPr>
                <w:lang w:val="es-ES"/>
              </w:rPr>
              <w:t>– 49</w:t>
            </w:r>
          </w:p>
        </w:tc>
      </w:tr>
      <w:tr w:rsidR="002E5EB0"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551" w:type="dxa"/>
            <w:tcBorders>
              <w:top w:val="single" w:sz="2" w:space="0" w:color="auto"/>
              <w:left w:val="single" w:sz="2" w:space="0" w:color="auto"/>
              <w:bottom w:val="single" w:sz="2" w:space="0" w:color="auto"/>
              <w:right w:val="single" w:sz="6" w:space="0" w:color="auto"/>
            </w:tcBorders>
          </w:tcPr>
          <w:p w:rsidR="002E5EB0" w:rsidRDefault="002E5EB0" w:rsidP="005713D5">
            <w:pPr>
              <w:pStyle w:val="Tabletext"/>
              <w:jc w:val="center"/>
              <w:rPr>
                <w:lang w:val="es-ES"/>
              </w:rPr>
            </w:pPr>
            <w:r>
              <w:rPr>
                <w:lang w:val="es-ES"/>
              </w:rPr>
              <w:t>230-1</w:t>
            </w:r>
            <w:r>
              <w:rPr>
                <w:rFonts w:ascii="Tms Rmn" w:hAnsi="Tms Rmn"/>
                <w:sz w:val="12"/>
                <w:lang w:val="es-ES"/>
              </w:rPr>
              <w:t> </w:t>
            </w:r>
            <w:r>
              <w:rPr>
                <w:lang w:val="es-ES"/>
              </w:rPr>
              <w:t>000</w:t>
            </w:r>
          </w:p>
        </w:tc>
        <w:tc>
          <w:tcPr>
            <w:tcW w:w="170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47</w:t>
            </w:r>
            <w:r w:rsidRPr="00532E5E">
              <w:rPr>
                <w:vertAlign w:val="superscript"/>
                <w:lang w:val="es-ES"/>
              </w:rPr>
              <w:t>(1)</w:t>
            </w:r>
          </w:p>
        </w:tc>
        <w:tc>
          <w:tcPr>
            <w:tcW w:w="255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10</w:t>
            </w:r>
          </w:p>
        </w:tc>
        <w:tc>
          <w:tcPr>
            <w:tcW w:w="2836" w:type="dxa"/>
            <w:tcBorders>
              <w:top w:val="single" w:sz="2" w:space="0" w:color="auto"/>
              <w:left w:val="single" w:sz="6" w:space="0" w:color="auto"/>
              <w:bottom w:val="single" w:sz="2" w:space="0" w:color="auto"/>
              <w:right w:val="single" w:sz="2" w:space="0" w:color="auto"/>
            </w:tcBorders>
          </w:tcPr>
          <w:p w:rsidR="002E5EB0" w:rsidRDefault="002E5EB0" w:rsidP="005713D5">
            <w:pPr>
              <w:pStyle w:val="Tabletext"/>
              <w:jc w:val="center"/>
              <w:rPr>
                <w:lang w:val="es-ES"/>
              </w:rPr>
            </w:pPr>
            <w:r>
              <w:rPr>
                <w:lang w:val="es-ES"/>
              </w:rPr>
              <w:t>– 42</w:t>
            </w:r>
          </w:p>
        </w:tc>
      </w:tr>
      <w:tr w:rsidR="002E5EB0"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551" w:type="dxa"/>
            <w:tcBorders>
              <w:top w:val="single" w:sz="2" w:space="0" w:color="auto"/>
              <w:left w:val="single" w:sz="2" w:space="0" w:color="auto"/>
              <w:bottom w:val="single" w:sz="2" w:space="0" w:color="auto"/>
              <w:right w:val="single" w:sz="6" w:space="0" w:color="auto"/>
            </w:tcBorders>
          </w:tcPr>
          <w:p w:rsidR="002E5EB0" w:rsidRDefault="002E5EB0" w:rsidP="005713D5">
            <w:pPr>
              <w:pStyle w:val="Tabletext"/>
              <w:jc w:val="center"/>
              <w:rPr>
                <w:lang w:val="es-ES"/>
              </w:rPr>
            </w:pPr>
            <w:r>
              <w:rPr>
                <w:lang w:val="es-ES"/>
              </w:rPr>
              <w:t>1 000-3 000</w:t>
            </w:r>
          </w:p>
        </w:tc>
        <w:tc>
          <w:tcPr>
            <w:tcW w:w="170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76</w:t>
            </w:r>
            <w:r w:rsidRPr="00532E5E">
              <w:rPr>
                <w:vertAlign w:val="superscript"/>
                <w:lang w:val="es-ES"/>
              </w:rPr>
              <w:t>(2)</w:t>
            </w:r>
          </w:p>
        </w:tc>
        <w:tc>
          <w:tcPr>
            <w:tcW w:w="255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w:t>
            </w:r>
          </w:p>
        </w:tc>
        <w:tc>
          <w:tcPr>
            <w:tcW w:w="2836" w:type="dxa"/>
            <w:tcBorders>
              <w:top w:val="single" w:sz="2" w:space="0" w:color="auto"/>
              <w:left w:val="single" w:sz="6" w:space="0" w:color="auto"/>
              <w:bottom w:val="single" w:sz="2" w:space="0" w:color="auto"/>
              <w:right w:val="single" w:sz="2" w:space="0" w:color="auto"/>
            </w:tcBorders>
          </w:tcPr>
          <w:p w:rsidR="002E5EB0" w:rsidRDefault="002E5EB0" w:rsidP="005713D5">
            <w:pPr>
              <w:pStyle w:val="Tabletext"/>
              <w:jc w:val="center"/>
              <w:rPr>
                <w:lang w:val="es-ES"/>
              </w:rPr>
            </w:pPr>
            <w:r>
              <w:rPr>
                <w:lang w:val="es-ES"/>
              </w:rPr>
              <w:t>– 23</w:t>
            </w:r>
          </w:p>
        </w:tc>
      </w:tr>
      <w:tr w:rsidR="002E5EB0"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551" w:type="dxa"/>
            <w:tcBorders>
              <w:top w:val="single" w:sz="2" w:space="0" w:color="auto"/>
              <w:left w:val="single" w:sz="2"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3 000-6 000</w:t>
            </w:r>
          </w:p>
        </w:tc>
        <w:tc>
          <w:tcPr>
            <w:tcW w:w="170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80</w:t>
            </w:r>
            <w:r w:rsidRPr="00532E5E">
              <w:rPr>
                <w:vertAlign w:val="superscript"/>
                <w:lang w:val="es-ES"/>
              </w:rPr>
              <w:t>(2)</w:t>
            </w:r>
          </w:p>
        </w:tc>
        <w:tc>
          <w:tcPr>
            <w:tcW w:w="255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w:t>
            </w:r>
          </w:p>
        </w:tc>
        <w:tc>
          <w:tcPr>
            <w:tcW w:w="2836" w:type="dxa"/>
            <w:tcBorders>
              <w:top w:val="single" w:sz="2" w:space="0" w:color="auto"/>
              <w:left w:val="single" w:sz="6" w:space="0" w:color="auto"/>
              <w:bottom w:val="single" w:sz="2" w:space="0" w:color="auto"/>
              <w:right w:val="single" w:sz="2" w:space="0" w:color="auto"/>
            </w:tcBorders>
          </w:tcPr>
          <w:p w:rsidR="002E5EB0" w:rsidRDefault="002E5EB0" w:rsidP="005713D5">
            <w:pPr>
              <w:pStyle w:val="Tabletext"/>
              <w:jc w:val="center"/>
              <w:rPr>
                <w:lang w:val="es-ES"/>
              </w:rPr>
            </w:pPr>
            <w:r>
              <w:rPr>
                <w:lang w:val="es-ES"/>
              </w:rPr>
              <w:t>– 19</w:t>
            </w:r>
          </w:p>
        </w:tc>
      </w:tr>
      <w:tr w:rsidR="002E5EB0" w:rsidRPr="00DD03A6"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9639" w:type="dxa"/>
            <w:gridSpan w:val="4"/>
            <w:tcBorders>
              <w:top w:val="single" w:sz="2" w:space="0" w:color="auto"/>
              <w:left w:val="single" w:sz="2" w:space="0" w:color="auto"/>
              <w:bottom w:val="single" w:sz="2" w:space="0" w:color="auto"/>
              <w:right w:val="single" w:sz="2" w:space="0" w:color="auto"/>
            </w:tcBorders>
          </w:tcPr>
          <w:p w:rsidR="002E5EB0" w:rsidRDefault="002E5EB0" w:rsidP="005713D5">
            <w:pPr>
              <w:pStyle w:val="Tabletext"/>
              <w:jc w:val="center"/>
              <w:rPr>
                <w:lang w:val="es-ES"/>
              </w:rPr>
            </w:pPr>
            <w:r>
              <w:rPr>
                <w:lang w:val="es-ES"/>
              </w:rPr>
              <w:t>Clase B: Aplicable a ITE en un medio doméstico</w:t>
            </w:r>
          </w:p>
        </w:tc>
      </w:tr>
      <w:tr w:rsidR="002E5EB0"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551" w:type="dxa"/>
            <w:tcBorders>
              <w:top w:val="single" w:sz="2" w:space="0" w:color="auto"/>
              <w:left w:val="single" w:sz="2"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30-230</w:t>
            </w:r>
          </w:p>
        </w:tc>
        <w:tc>
          <w:tcPr>
            <w:tcW w:w="170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30</w:t>
            </w:r>
            <w:r w:rsidRPr="00532E5E">
              <w:rPr>
                <w:vertAlign w:val="superscript"/>
                <w:lang w:val="es-ES"/>
              </w:rPr>
              <w:t>(1)</w:t>
            </w:r>
          </w:p>
        </w:tc>
        <w:tc>
          <w:tcPr>
            <w:tcW w:w="255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10</w:t>
            </w:r>
          </w:p>
        </w:tc>
        <w:tc>
          <w:tcPr>
            <w:tcW w:w="2836" w:type="dxa"/>
            <w:tcBorders>
              <w:top w:val="single" w:sz="2" w:space="0" w:color="auto"/>
              <w:left w:val="single" w:sz="6" w:space="0" w:color="auto"/>
              <w:bottom w:val="single" w:sz="2" w:space="0" w:color="auto"/>
              <w:right w:val="single" w:sz="2" w:space="0" w:color="auto"/>
            </w:tcBorders>
          </w:tcPr>
          <w:p w:rsidR="002E5EB0" w:rsidRDefault="002E5EB0" w:rsidP="005713D5">
            <w:pPr>
              <w:pStyle w:val="Tabletext"/>
              <w:jc w:val="center"/>
              <w:rPr>
                <w:lang w:val="es-ES"/>
              </w:rPr>
            </w:pPr>
            <w:r>
              <w:rPr>
                <w:lang w:val="es-ES"/>
              </w:rPr>
              <w:t>– 59</w:t>
            </w:r>
          </w:p>
        </w:tc>
      </w:tr>
      <w:tr w:rsidR="002E5EB0"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551" w:type="dxa"/>
            <w:tcBorders>
              <w:top w:val="single" w:sz="2" w:space="0" w:color="auto"/>
              <w:left w:val="single" w:sz="2" w:space="0" w:color="auto"/>
              <w:bottom w:val="single" w:sz="2" w:space="0" w:color="auto"/>
              <w:right w:val="single" w:sz="6" w:space="0" w:color="auto"/>
            </w:tcBorders>
          </w:tcPr>
          <w:p w:rsidR="002E5EB0" w:rsidRDefault="002E5EB0" w:rsidP="005713D5">
            <w:pPr>
              <w:pStyle w:val="Tabletext"/>
              <w:jc w:val="center"/>
              <w:rPr>
                <w:lang w:val="es-ES"/>
              </w:rPr>
            </w:pPr>
            <w:r>
              <w:rPr>
                <w:lang w:val="es-ES"/>
              </w:rPr>
              <w:t>230-1</w:t>
            </w:r>
            <w:r>
              <w:rPr>
                <w:rFonts w:ascii="Tms Rmn" w:hAnsi="Tms Rmn"/>
                <w:sz w:val="12"/>
                <w:lang w:val="es-ES"/>
              </w:rPr>
              <w:t> </w:t>
            </w:r>
            <w:r>
              <w:rPr>
                <w:lang w:val="es-ES"/>
              </w:rPr>
              <w:t>000</w:t>
            </w:r>
          </w:p>
        </w:tc>
        <w:tc>
          <w:tcPr>
            <w:tcW w:w="170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37</w:t>
            </w:r>
            <w:r w:rsidRPr="00532E5E">
              <w:rPr>
                <w:vertAlign w:val="superscript"/>
                <w:lang w:val="es-ES"/>
              </w:rPr>
              <w:t>(1)</w:t>
            </w:r>
          </w:p>
        </w:tc>
        <w:tc>
          <w:tcPr>
            <w:tcW w:w="255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10</w:t>
            </w:r>
          </w:p>
        </w:tc>
        <w:tc>
          <w:tcPr>
            <w:tcW w:w="2836" w:type="dxa"/>
            <w:tcBorders>
              <w:top w:val="single" w:sz="2" w:space="0" w:color="auto"/>
              <w:left w:val="single" w:sz="6" w:space="0" w:color="auto"/>
              <w:bottom w:val="single" w:sz="2" w:space="0" w:color="auto"/>
              <w:right w:val="single" w:sz="2" w:space="0" w:color="auto"/>
            </w:tcBorders>
          </w:tcPr>
          <w:p w:rsidR="002E5EB0" w:rsidRDefault="002E5EB0" w:rsidP="005713D5">
            <w:pPr>
              <w:pStyle w:val="Tabletext"/>
              <w:jc w:val="center"/>
              <w:rPr>
                <w:lang w:val="es-ES"/>
              </w:rPr>
            </w:pPr>
            <w:r>
              <w:rPr>
                <w:lang w:val="es-ES"/>
              </w:rPr>
              <w:t>– 52</w:t>
            </w:r>
          </w:p>
        </w:tc>
      </w:tr>
      <w:tr w:rsidR="002E5EB0"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551" w:type="dxa"/>
            <w:tcBorders>
              <w:top w:val="single" w:sz="2" w:space="0" w:color="auto"/>
              <w:left w:val="single" w:sz="2" w:space="0" w:color="auto"/>
              <w:bottom w:val="single" w:sz="2" w:space="0" w:color="auto"/>
              <w:right w:val="single" w:sz="6" w:space="0" w:color="auto"/>
            </w:tcBorders>
          </w:tcPr>
          <w:p w:rsidR="002E5EB0" w:rsidRDefault="002E5EB0" w:rsidP="005713D5">
            <w:pPr>
              <w:pStyle w:val="Tabletext"/>
              <w:jc w:val="center"/>
              <w:rPr>
                <w:lang w:val="es-ES"/>
              </w:rPr>
            </w:pPr>
            <w:r>
              <w:rPr>
                <w:lang w:val="es-ES"/>
              </w:rPr>
              <w:t>1 000-3 000</w:t>
            </w:r>
          </w:p>
        </w:tc>
        <w:tc>
          <w:tcPr>
            <w:tcW w:w="170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70</w:t>
            </w:r>
            <w:r w:rsidRPr="00532E5E">
              <w:rPr>
                <w:vertAlign w:val="superscript"/>
                <w:lang w:val="es-ES"/>
              </w:rPr>
              <w:t>(2)</w:t>
            </w:r>
          </w:p>
        </w:tc>
        <w:tc>
          <w:tcPr>
            <w:tcW w:w="255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w:t>
            </w:r>
          </w:p>
        </w:tc>
        <w:tc>
          <w:tcPr>
            <w:tcW w:w="2836" w:type="dxa"/>
            <w:tcBorders>
              <w:top w:val="single" w:sz="2" w:space="0" w:color="auto"/>
              <w:left w:val="single" w:sz="6" w:space="0" w:color="auto"/>
              <w:bottom w:val="single" w:sz="2" w:space="0" w:color="auto"/>
              <w:right w:val="single" w:sz="2" w:space="0" w:color="auto"/>
            </w:tcBorders>
          </w:tcPr>
          <w:p w:rsidR="002E5EB0" w:rsidRDefault="002E5EB0" w:rsidP="005713D5">
            <w:pPr>
              <w:pStyle w:val="Tabletext"/>
              <w:jc w:val="center"/>
              <w:rPr>
                <w:lang w:val="es-ES"/>
              </w:rPr>
            </w:pPr>
            <w:r>
              <w:rPr>
                <w:lang w:val="es-ES"/>
              </w:rPr>
              <w:t>– 29</w:t>
            </w:r>
          </w:p>
        </w:tc>
      </w:tr>
      <w:tr w:rsidR="002E5EB0"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551" w:type="dxa"/>
            <w:tcBorders>
              <w:top w:val="single" w:sz="2" w:space="0" w:color="auto"/>
              <w:left w:val="single" w:sz="2"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3 000-6 000</w:t>
            </w:r>
          </w:p>
        </w:tc>
        <w:tc>
          <w:tcPr>
            <w:tcW w:w="170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74</w:t>
            </w:r>
            <w:r w:rsidRPr="00532E5E">
              <w:rPr>
                <w:vertAlign w:val="superscript"/>
                <w:lang w:val="es-ES"/>
              </w:rPr>
              <w:t>(2)</w:t>
            </w:r>
          </w:p>
        </w:tc>
        <w:tc>
          <w:tcPr>
            <w:tcW w:w="2551" w:type="dxa"/>
            <w:tcBorders>
              <w:top w:val="single" w:sz="2" w:space="0" w:color="auto"/>
              <w:left w:val="single" w:sz="6" w:space="0" w:color="auto"/>
              <w:bottom w:val="single" w:sz="2" w:space="0" w:color="auto"/>
              <w:right w:val="single" w:sz="6" w:space="0" w:color="auto"/>
            </w:tcBorders>
          </w:tcPr>
          <w:p w:rsidR="002E5EB0" w:rsidRDefault="002E5EB0" w:rsidP="005713D5">
            <w:pPr>
              <w:pStyle w:val="Tabletext"/>
              <w:jc w:val="center"/>
              <w:rPr>
                <w:lang w:val="es-ES"/>
              </w:rPr>
            </w:pPr>
            <w:r>
              <w:rPr>
                <w:lang w:val="es-ES"/>
              </w:rPr>
              <w:t>3</w:t>
            </w:r>
          </w:p>
        </w:tc>
        <w:tc>
          <w:tcPr>
            <w:tcW w:w="2836" w:type="dxa"/>
            <w:tcBorders>
              <w:top w:val="single" w:sz="2" w:space="0" w:color="auto"/>
              <w:left w:val="single" w:sz="6" w:space="0" w:color="auto"/>
              <w:bottom w:val="single" w:sz="2" w:space="0" w:color="auto"/>
              <w:right w:val="single" w:sz="2" w:space="0" w:color="auto"/>
            </w:tcBorders>
          </w:tcPr>
          <w:p w:rsidR="002E5EB0" w:rsidRDefault="002E5EB0" w:rsidP="005713D5">
            <w:pPr>
              <w:pStyle w:val="Tabletext"/>
              <w:jc w:val="center"/>
              <w:rPr>
                <w:lang w:val="es-ES"/>
              </w:rPr>
            </w:pPr>
            <w:r>
              <w:rPr>
                <w:lang w:val="es-ES"/>
              </w:rPr>
              <w:t>– 25</w:t>
            </w:r>
          </w:p>
        </w:tc>
      </w:tr>
      <w:tr w:rsidR="005713D5" w:rsidRPr="00DD03A6" w:rsidTr="00501B0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9639" w:type="dxa"/>
            <w:gridSpan w:val="4"/>
            <w:tcBorders>
              <w:top w:val="single" w:sz="2" w:space="0" w:color="auto"/>
              <w:left w:val="nil"/>
              <w:bottom w:val="nil"/>
              <w:right w:val="nil"/>
            </w:tcBorders>
          </w:tcPr>
          <w:p w:rsidR="005713D5" w:rsidRPr="00ED6AC7" w:rsidRDefault="005713D5" w:rsidP="002E13EE">
            <w:pPr>
              <w:pStyle w:val="Tablelegend"/>
              <w:ind w:left="0" w:firstLine="0"/>
              <w:rPr>
                <w:lang w:val="es-ES_tradnl"/>
              </w:rPr>
            </w:pPr>
            <w:r w:rsidRPr="00ED6AC7">
              <w:rPr>
                <w:lang w:val="es-ES_tradnl"/>
              </w:rPr>
              <w:t>Para las frecuencias de transición, se aplican los límites inferiores especificados en el Cuadro 6.</w:t>
            </w:r>
          </w:p>
          <w:p w:rsidR="005713D5" w:rsidRPr="00ED6AC7" w:rsidRDefault="005713D5" w:rsidP="002E13EE">
            <w:pPr>
              <w:pStyle w:val="Tablelegend"/>
              <w:ind w:left="0" w:firstLine="0"/>
              <w:rPr>
                <w:lang w:val="es-ES_tradnl"/>
              </w:rPr>
            </w:pPr>
            <w:r w:rsidRPr="00ED6AC7">
              <w:rPr>
                <w:vertAlign w:val="superscript"/>
                <w:lang w:val="es-ES_tradnl"/>
              </w:rPr>
              <w:t>(1)</w:t>
            </w:r>
            <w:r w:rsidRPr="00ED6AC7">
              <w:rPr>
                <w:lang w:val="es-ES_tradnl"/>
              </w:rPr>
              <w:tab/>
              <w:t>Límites de cuasi cresta.</w:t>
            </w:r>
          </w:p>
          <w:p w:rsidR="005713D5" w:rsidRDefault="005713D5" w:rsidP="002E13EE">
            <w:pPr>
              <w:pStyle w:val="Tablelegend"/>
              <w:ind w:left="0" w:firstLine="0"/>
              <w:rPr>
                <w:lang w:val="es-ES"/>
              </w:rPr>
            </w:pPr>
            <w:r w:rsidRPr="00ED6AC7">
              <w:rPr>
                <w:vertAlign w:val="superscript"/>
                <w:lang w:val="es-ES_tradnl"/>
              </w:rPr>
              <w:t>(2)</w:t>
            </w:r>
            <w:r w:rsidRPr="00ED6AC7">
              <w:rPr>
                <w:lang w:val="es-ES_tradnl"/>
              </w:rPr>
              <w:tab/>
              <w:t>Límites de cresta.</w:t>
            </w:r>
          </w:p>
        </w:tc>
      </w:tr>
    </w:tbl>
    <w:p w:rsidR="005713D5" w:rsidRPr="001C121E" w:rsidRDefault="005713D5" w:rsidP="005713D5">
      <w:pPr>
        <w:pStyle w:val="Tablefin"/>
        <w:rPr>
          <w:lang w:val="es-ES_tradnl"/>
        </w:rPr>
      </w:pPr>
      <w:bookmarkStart w:id="22" w:name="_Toc393697831"/>
    </w:p>
    <w:p w:rsidR="002E5EB0" w:rsidRDefault="002E5EB0" w:rsidP="005713D5">
      <w:pPr>
        <w:rPr>
          <w:lang w:val="es-ES"/>
        </w:rPr>
      </w:pPr>
      <w:r>
        <w:rPr>
          <w:lang w:val="es-ES"/>
        </w:rPr>
        <w:t xml:space="preserve">Para información se proporciona la conversión en términos de la p.i.r.e. suponiendo que la máxima intensidad de campo se mide en una cámara semianecoica o en un emplazamiento de prueba de zona abierta conforme al método de medición del CISPR. </w:t>
      </w:r>
      <w:r w:rsidR="005713D5">
        <w:rPr>
          <w:lang w:val="es-ES"/>
        </w:rPr>
        <w:t>E</w:t>
      </w:r>
      <w:r>
        <w:rPr>
          <w:lang w:val="es-ES"/>
        </w:rPr>
        <w:t>ste es aproximadamente 4 dB por encima de una medición en condiciones de espacio libre (este valor está de acuerdo con los estudios del CISPR).</w:t>
      </w:r>
    </w:p>
    <w:p w:rsidR="002E5EB0" w:rsidRDefault="002E5EB0" w:rsidP="002E5EB0">
      <w:pPr>
        <w:pStyle w:val="Heading1"/>
        <w:rPr>
          <w:lang w:val="es-ES"/>
        </w:rPr>
      </w:pPr>
      <w:r>
        <w:rPr>
          <w:lang w:val="es-ES"/>
        </w:rPr>
        <w:t>5</w:t>
      </w:r>
      <w:r>
        <w:rPr>
          <w:lang w:val="es-ES"/>
        </w:rPr>
        <w:tab/>
        <w:t>Método de medición</w:t>
      </w:r>
      <w:bookmarkEnd w:id="22"/>
    </w:p>
    <w:p w:rsidR="002E5EB0" w:rsidRDefault="002E5EB0" w:rsidP="00C917DD">
      <w:pPr>
        <w:rPr>
          <w:lang w:val="es-ES"/>
        </w:rPr>
      </w:pPr>
      <w:r>
        <w:rPr>
          <w:lang w:val="es-ES"/>
        </w:rPr>
        <w:t>Los métodos de medición de emisiones en el dominio no esencial se describen en detalle en el Anexo 2.</w:t>
      </w:r>
    </w:p>
    <w:p w:rsidR="002E5EB0" w:rsidRDefault="002E5EB0" w:rsidP="002E5EB0">
      <w:pPr>
        <w:pStyle w:val="Heading1"/>
        <w:rPr>
          <w:lang w:val="es-ES"/>
        </w:rPr>
      </w:pPr>
      <w:bookmarkStart w:id="23" w:name="_Toc393697832"/>
      <w:r>
        <w:rPr>
          <w:lang w:val="es-ES"/>
        </w:rPr>
        <w:lastRenderedPageBreak/>
        <w:t>6</w:t>
      </w:r>
      <w:r>
        <w:rPr>
          <w:lang w:val="es-ES"/>
        </w:rPr>
        <w:tab/>
        <w:t>Protección del servicio de radioastronomía y servicios espaciales que utilizan sensores pasivos</w:t>
      </w:r>
      <w:bookmarkEnd w:id="23"/>
    </w:p>
    <w:p w:rsidR="002E5EB0" w:rsidRDefault="002E5EB0" w:rsidP="002E5EB0">
      <w:pPr>
        <w:rPr>
          <w:lang w:val="es-ES"/>
        </w:rPr>
      </w:pPr>
      <w:r>
        <w:rPr>
          <w:lang w:val="es-ES"/>
        </w:rPr>
        <w:t>Cuando se aplican los límites de las emisiones en el dominio no esencial deberán tenerse en cuenta los criterios de protección para el servicio de radioastronomía y los servicios de exploración de la Tierra por satélite y de meteorología por satélite que utilizan sensores pasivos. Estos servicios pueden ser particularmente sensibles a la interferencia.</w:t>
      </w:r>
    </w:p>
    <w:p w:rsidR="002E5EB0" w:rsidRDefault="002E5EB0" w:rsidP="000C144E">
      <w:pPr>
        <w:pStyle w:val="Heading2"/>
        <w:rPr>
          <w:lang w:val="es-ES"/>
        </w:rPr>
      </w:pPr>
      <w:bookmarkStart w:id="24" w:name="_Toc393697833"/>
      <w:r>
        <w:rPr>
          <w:lang w:val="es-ES"/>
        </w:rPr>
        <w:t>6.1</w:t>
      </w:r>
      <w:r>
        <w:rPr>
          <w:lang w:val="es-ES"/>
        </w:rPr>
        <w:tab/>
        <w:t>Servicio de radioastronomía</w:t>
      </w:r>
      <w:bookmarkEnd w:id="24"/>
    </w:p>
    <w:p w:rsidR="002E5EB0" w:rsidRDefault="002E5EB0" w:rsidP="005713D5">
      <w:pPr>
        <w:rPr>
          <w:spacing w:val="-1"/>
          <w:lang w:val="es-ES"/>
        </w:rPr>
      </w:pPr>
      <w:r>
        <w:rPr>
          <w:spacing w:val="-1"/>
          <w:lang w:val="es-ES"/>
        </w:rPr>
        <w:t>La radioastronomía, debido a su naturaleza pasiva y a la sensibilidad de sus mediciones, necesita consideración especial en lo que concierne a las emisiones en el dominio no esencial; los radioastrónomos encuentran generalmente relaciones señal/ruido de –30 a –60 dB con largos intervalos de integración. Se insta a las administraciones a que, en la medida de lo posible, tomen en consideración la necesidad de evitar las emisiones en el dominio no esencial que puedan causar interferencia al servicio de radioastronomía explotado de conformidad con el Artículo 29 del RR. Se ruega encarecidamente a las administraciones que deban poner en funcionamiento nuevos servicios de satélite tener en cuenta que las emisiones no esenciales y fuera de banda, incluidas las bandas laterales distantes que resultan de las técnicas de modulación digital, pueden causar graves inter</w:t>
      </w:r>
      <w:r>
        <w:rPr>
          <w:spacing w:val="-1"/>
          <w:lang w:val="es-ES"/>
        </w:rPr>
        <w:softHyphen/>
        <w:t xml:space="preserve">ferencias a la radioastronomía. Se deben considerar los niveles umbrales de interferencia para la radioastronomía que figuran en la Recomendación UIT-R RA.769. En el Anexo 3 figura un extracto del </w:t>
      </w:r>
      <w:r w:rsidR="005713D5">
        <w:rPr>
          <w:spacing w:val="-1"/>
          <w:lang w:val="es-ES"/>
        </w:rPr>
        <w:t>c</w:t>
      </w:r>
      <w:r>
        <w:rPr>
          <w:spacing w:val="-1"/>
          <w:lang w:val="es-ES"/>
        </w:rPr>
        <w:t xml:space="preserve">uadro incluido en la Recomendación UIT-R RA.769. Los niveles de este </w:t>
      </w:r>
      <w:r w:rsidR="005713D5">
        <w:rPr>
          <w:spacing w:val="-1"/>
          <w:lang w:val="es-ES"/>
        </w:rPr>
        <w:t>c</w:t>
      </w:r>
      <w:r>
        <w:rPr>
          <w:spacing w:val="-1"/>
          <w:lang w:val="es-ES"/>
        </w:rPr>
        <w:t>uadro se indican con fines de referencia y no tienen por objeto su aplicación general como límites obligatorios.</w:t>
      </w:r>
    </w:p>
    <w:p w:rsidR="002E5EB0" w:rsidRDefault="002E5EB0" w:rsidP="002E5EB0">
      <w:pPr>
        <w:rPr>
          <w:lang w:val="es-ES"/>
        </w:rPr>
      </w:pPr>
      <w:r>
        <w:rPr>
          <w:lang w:val="es-ES"/>
        </w:rPr>
        <w:t>En el caso de transmisores instalados en la superficie de la Tierra, si los límites de las emisiones no deseadas no proporcionan suficiente protección para la radioastronomía, la interferencia se puede reducir, en algunos casos, mediante el apantallamiento del terreno, por el establecimiento entre las administraciones de zonas de coordinación, protección o exclusión, y por medio de otras disposi</w:t>
      </w:r>
      <w:r>
        <w:rPr>
          <w:lang w:val="es-ES"/>
        </w:rPr>
        <w:softHyphen/>
        <w:t>ciones de los Artículos 15 y 29 del RR relativos a los observatorios de radioastronomía.</w:t>
      </w:r>
    </w:p>
    <w:p w:rsidR="002E5EB0" w:rsidRDefault="002E5EB0" w:rsidP="002E5EB0">
      <w:pPr>
        <w:pStyle w:val="Heading2"/>
        <w:rPr>
          <w:lang w:val="es-ES"/>
        </w:rPr>
      </w:pPr>
      <w:bookmarkStart w:id="25" w:name="_Toc393697834"/>
      <w:r>
        <w:rPr>
          <w:lang w:val="es-ES"/>
        </w:rPr>
        <w:t>6.2</w:t>
      </w:r>
      <w:r>
        <w:rPr>
          <w:lang w:val="es-ES"/>
        </w:rPr>
        <w:tab/>
        <w:t>Servicios de exploración de la Tierra por satélite y de meteorología por satélite que utilizan sensores pasivos</w:t>
      </w:r>
      <w:bookmarkEnd w:id="25"/>
    </w:p>
    <w:p w:rsidR="002E5EB0" w:rsidRDefault="002E5EB0" w:rsidP="005713D5">
      <w:pPr>
        <w:rPr>
          <w:lang w:val="es-ES"/>
        </w:rPr>
      </w:pPr>
      <w:r>
        <w:rPr>
          <w:lang w:val="es-ES"/>
        </w:rPr>
        <w:t>La teledetección pasiva desde satélites deberá ser cada vez más importante para la adquisición de datos de parámetros de la atmósfera tales como temperatura, contenido de vapor de agua, concentración de ozono y otros gases, así como la observación de la superficie de la Tierra. En la Recomendación UIT-R SA.1029 figuran los niveles umbrales de interferencia para la teledetección pasiva por satélite. En el Anexo 3 se incluye un extracto de la Recomendación UIT</w:t>
      </w:r>
      <w:r>
        <w:rPr>
          <w:lang w:val="es-ES"/>
        </w:rPr>
        <w:noBreakHyphen/>
        <w:t xml:space="preserve">R SA.1029. Los niveles contenidos en dicho </w:t>
      </w:r>
      <w:r w:rsidR="005713D5">
        <w:rPr>
          <w:lang w:val="es-ES"/>
        </w:rPr>
        <w:t>c</w:t>
      </w:r>
      <w:r>
        <w:rPr>
          <w:lang w:val="es-ES"/>
        </w:rPr>
        <w:t>uadro se indican con fines de referencia y no tiene por objeto ser límites obligatorios.</w:t>
      </w:r>
    </w:p>
    <w:p w:rsidR="00F05147" w:rsidRDefault="00F05147" w:rsidP="00F05147">
      <w:pPr>
        <w:rPr>
          <w:lang w:val="es-ES"/>
        </w:rPr>
      </w:pPr>
    </w:p>
    <w:p w:rsidR="0007426D" w:rsidRDefault="0007426D">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2E5EB0" w:rsidRDefault="002E5EB0" w:rsidP="002E5EB0">
      <w:pPr>
        <w:pStyle w:val="AnnexNoTitle"/>
        <w:rPr>
          <w:lang w:val="es-ES"/>
        </w:rPr>
      </w:pPr>
      <w:r>
        <w:rPr>
          <w:lang w:val="es-ES"/>
        </w:rPr>
        <w:lastRenderedPageBreak/>
        <w:t>Anexo 1</w:t>
      </w:r>
      <w:r>
        <w:rPr>
          <w:lang w:val="es-ES"/>
        </w:rPr>
        <w:br/>
      </w:r>
      <w:r>
        <w:rPr>
          <w:lang w:val="es-ES"/>
        </w:rPr>
        <w:br/>
        <w:t>Expresión y unidades para emisiones en el dominio no esencial</w:t>
      </w:r>
    </w:p>
    <w:p w:rsidR="002E5EB0" w:rsidRDefault="002E5EB0" w:rsidP="000C144E">
      <w:pPr>
        <w:pStyle w:val="Heading1"/>
        <w:rPr>
          <w:lang w:val="es-ES"/>
        </w:rPr>
      </w:pPr>
      <w:bookmarkStart w:id="26" w:name="_Toc393697835"/>
      <w:r>
        <w:rPr>
          <w:lang w:val="es-ES"/>
        </w:rPr>
        <w:t>1</w:t>
      </w:r>
      <w:r>
        <w:rPr>
          <w:lang w:val="es-ES"/>
        </w:rPr>
        <w:tab/>
        <w:t xml:space="preserve">Expresión de las emisiones </w:t>
      </w:r>
      <w:bookmarkEnd w:id="26"/>
      <w:r>
        <w:rPr>
          <w:lang w:val="es-ES"/>
        </w:rPr>
        <w:t>en el dominio no esencial</w:t>
      </w:r>
    </w:p>
    <w:p w:rsidR="002E5EB0" w:rsidRDefault="002E5EB0" w:rsidP="002E5EB0">
      <w:pPr>
        <w:rPr>
          <w:lang w:val="es-ES"/>
        </w:rPr>
      </w:pPr>
      <w:r>
        <w:rPr>
          <w:lang w:val="es-ES"/>
        </w:rPr>
        <w:t>Los niveles de las emisiones en el dominio no esencial se expresan generalmente en términos de potencia, de intensidad de campo medida en una determinada distancia, o de una dfp medida también en una distancia especificada, todos ellos medidos en una anchura de banda dada.</w:t>
      </w:r>
    </w:p>
    <w:p w:rsidR="002E5EB0" w:rsidRDefault="002E5EB0" w:rsidP="002E5EB0">
      <w:pPr>
        <w:rPr>
          <w:lang w:val="es-ES"/>
        </w:rPr>
      </w:pPr>
      <w:r>
        <w:rPr>
          <w:lang w:val="es-ES"/>
        </w:rPr>
        <w:t>Si bien la intensidad de campo a una determinada distancia de la antena transmisora es el valor más importante para evaluar y medir las emisiones en el dominio no esencial, se considera suficiente durante un tiempo identificar los parámetros de potencia de los transmisores para estudiar la interferencia radioeléctrica y la compatibilidad electromagnética.</w:t>
      </w:r>
    </w:p>
    <w:p w:rsidR="002E5EB0" w:rsidRDefault="002E5EB0" w:rsidP="000C144E">
      <w:pPr>
        <w:pStyle w:val="Heading2"/>
        <w:rPr>
          <w:lang w:val="es-ES"/>
        </w:rPr>
      </w:pPr>
      <w:bookmarkStart w:id="27" w:name="_Toc393697836"/>
      <w:r>
        <w:rPr>
          <w:lang w:val="es-ES"/>
        </w:rPr>
        <w:t>1.1</w:t>
      </w:r>
      <w:r>
        <w:rPr>
          <w:lang w:val="es-ES"/>
        </w:rPr>
        <w:tab/>
        <w:t>Valores de potencia</w:t>
      </w:r>
      <w:bookmarkEnd w:id="27"/>
    </w:p>
    <w:p w:rsidR="002E5EB0" w:rsidRDefault="002E5EB0" w:rsidP="002E5EB0">
      <w:pPr>
        <w:rPr>
          <w:lang w:val="es-ES"/>
        </w:rPr>
      </w:pPr>
      <w:r>
        <w:rPr>
          <w:lang w:val="es-ES"/>
        </w:rPr>
        <w:t>Para evaluar las emisiones en el dominio no esencial son útiles muchas expresiones relacionadas con la potencia radiada. Todas presentan ventajas e inconvenientes, relativas a las capacidades de medición actuales así como la interpretación de los valores medidos.</w:t>
      </w:r>
    </w:p>
    <w:p w:rsidR="002E5EB0" w:rsidRDefault="002E5EB0" w:rsidP="002E5EB0">
      <w:pPr>
        <w:pStyle w:val="Heading3"/>
        <w:rPr>
          <w:lang w:val="es-ES"/>
        </w:rPr>
      </w:pPr>
      <w:bookmarkStart w:id="28" w:name="_Toc393697837"/>
      <w:r>
        <w:rPr>
          <w:lang w:val="es-ES"/>
        </w:rPr>
        <w:t>1.1.1</w:t>
      </w:r>
      <w:r>
        <w:rPr>
          <w:lang w:val="es-ES"/>
        </w:rPr>
        <w:tab/>
        <w:t>Potencia suministrada a la antena (p.s.a.)</w:t>
      </w:r>
      <w:bookmarkEnd w:id="28"/>
    </w:p>
    <w:p w:rsidR="002E5EB0" w:rsidRDefault="002E5EB0" w:rsidP="002E5EB0">
      <w:pPr>
        <w:rPr>
          <w:lang w:val="es-ES"/>
        </w:rPr>
      </w:pPr>
      <w:r>
        <w:rPr>
          <w:lang w:val="es-ES"/>
        </w:rPr>
        <w:t>Esta potencia, utilizada a menudo por debajo de 30 MHz y por encima de 30 MHz para equipos que poseen conector de antena, generalmente es fácil de medir salvo cuando un transmisor tiene antena integral o para sistemas de ondas decamiriamétricas/kilométricas de alta potencia.</w:t>
      </w:r>
    </w:p>
    <w:p w:rsidR="002E5EB0" w:rsidRDefault="002E5EB0" w:rsidP="002E5EB0">
      <w:pPr>
        <w:rPr>
          <w:lang w:val="es-ES"/>
        </w:rPr>
      </w:pPr>
      <w:r>
        <w:rPr>
          <w:lang w:val="es-ES"/>
        </w:rPr>
        <w:t>Esta medición de potencia representa la capacidad real del transmisor para alimentar una antena con señales no esenciales, pero no tiene en cuenta la propia antena y su capacidad de enviar señales radioeléctricas en frecuencias distintas a la que ha sido diseñada.</w:t>
      </w:r>
    </w:p>
    <w:p w:rsidR="002E5EB0" w:rsidRDefault="002E5EB0" w:rsidP="002E5EB0">
      <w:pPr>
        <w:pStyle w:val="Heading3"/>
        <w:rPr>
          <w:lang w:val="es-ES"/>
        </w:rPr>
      </w:pPr>
      <w:bookmarkStart w:id="29" w:name="_Toc393697838"/>
      <w:r>
        <w:rPr>
          <w:lang w:val="es-ES"/>
        </w:rPr>
        <w:t>1.1.2</w:t>
      </w:r>
      <w:r>
        <w:rPr>
          <w:lang w:val="es-ES"/>
        </w:rPr>
        <w:tab/>
        <w:t>Potencia isótropa radiada equivalente (p.i.r.e.)</w:t>
      </w:r>
      <w:bookmarkEnd w:id="29"/>
    </w:p>
    <w:p w:rsidR="002E5EB0" w:rsidRDefault="002E5EB0" w:rsidP="002E5EB0">
      <w:pPr>
        <w:rPr>
          <w:lang w:val="es-ES"/>
        </w:rPr>
      </w:pPr>
      <w:r>
        <w:rPr>
          <w:lang w:val="es-ES"/>
        </w:rPr>
        <w:t>Esta potencia, utilizada principalmente por encima de 30 MHz (la mayor parte del tiempo por encima de 80 MHz), permite obtener un mayor conocimiento de la capacidad del sistema transmisor (incluida la antena) para irradiar la potencia de las emisiones no deseadas y para producir posibles interferencias perjudiciales a otros servicios radioeléctricos. La relación entre la potencia en los terminales o conectores de antena y la p.i.r.e. no es fácil de calcular, pues las características de las antenas fuera de su banda de diseño no son generalmente conocidas.</w:t>
      </w:r>
    </w:p>
    <w:p w:rsidR="002E5EB0" w:rsidRDefault="002E5EB0" w:rsidP="002E5EB0">
      <w:pPr>
        <w:rPr>
          <w:lang w:val="es-ES"/>
        </w:rPr>
      </w:pPr>
      <w:r>
        <w:rPr>
          <w:lang w:val="es-ES"/>
        </w:rPr>
        <w:t>Para equipos que poseen antenas integrales, las emisiones en el dominio no esencial vienen caracterizadas por el parámetro de potencia principal conocido.</w:t>
      </w:r>
    </w:p>
    <w:p w:rsidR="002E5EB0" w:rsidRDefault="002E5EB0" w:rsidP="002E5EB0">
      <w:pPr>
        <w:pStyle w:val="Heading3"/>
        <w:rPr>
          <w:b w:val="0"/>
          <w:lang w:val="es-ES"/>
        </w:rPr>
      </w:pPr>
      <w:bookmarkStart w:id="30" w:name="_Toc393697839"/>
      <w:r>
        <w:rPr>
          <w:lang w:val="es-ES"/>
        </w:rPr>
        <w:t>1.1.3</w:t>
      </w:r>
      <w:r>
        <w:rPr>
          <w:lang w:val="es-ES"/>
        </w:rPr>
        <w:tab/>
        <w:t>Potencia radiada aparente (p.r.a.)</w:t>
      </w:r>
      <w:bookmarkEnd w:id="30"/>
    </w:p>
    <w:p w:rsidR="002E5EB0" w:rsidRDefault="002E5EB0" w:rsidP="002E5EB0">
      <w:pPr>
        <w:rPr>
          <w:lang w:val="es-ES"/>
        </w:rPr>
      </w:pPr>
      <w:r>
        <w:rPr>
          <w:lang w:val="es-ES"/>
        </w:rPr>
        <w:t>La única diferencia entre la p.i.r.e. y la p.r.a. se refiere a la radiación de un dipolo sintonizado de media onda en lugar de una antena isótropa. Entre la p.i.r.e. y la p.r.a., existe una diferencia constante de 2,15 dB:</w:t>
      </w:r>
    </w:p>
    <w:p w:rsidR="002E13EE" w:rsidRPr="00ED6AC7" w:rsidRDefault="002E13EE" w:rsidP="002E13EE">
      <w:pPr>
        <w:pStyle w:val="Blanc"/>
        <w:rPr>
          <w:lang w:val="es-ES_tradnl"/>
        </w:rPr>
      </w:pPr>
    </w:p>
    <w:p w:rsidR="002E5EB0" w:rsidRPr="003B4B83" w:rsidRDefault="002E5EB0" w:rsidP="009E4D54">
      <w:pPr>
        <w:pStyle w:val="Equation"/>
        <w:rPr>
          <w:lang w:val="es-ES"/>
        </w:rPr>
      </w:pPr>
      <w:bookmarkStart w:id="31" w:name="_Toc393697840"/>
      <w:r w:rsidRPr="003B4B83">
        <w:rPr>
          <w:lang w:val="es-ES"/>
        </w:rPr>
        <w:tab/>
      </w:r>
      <w:r w:rsidRPr="003B4B83">
        <w:rPr>
          <w:lang w:val="es-ES"/>
        </w:rPr>
        <w:tab/>
      </w:r>
      <w:r w:rsidRPr="003B4B83">
        <w:rPr>
          <w:i/>
          <w:iCs/>
          <w:lang w:val="es-ES"/>
        </w:rPr>
        <w:t>p.i.r.e.</w:t>
      </w:r>
      <w:r w:rsidRPr="003B4B83">
        <w:rPr>
          <w:lang w:val="es-ES"/>
        </w:rPr>
        <w:t xml:space="preserve"> (dBm)  </w:t>
      </w:r>
      <w:r w:rsidR="009E4D54">
        <w:rPr>
          <w:lang w:val="es-ES"/>
        </w:rPr>
        <w:t>=</w:t>
      </w:r>
      <w:r w:rsidRPr="003B4B83">
        <w:rPr>
          <w:lang w:val="es-ES"/>
        </w:rPr>
        <w:t xml:space="preserve">  </w:t>
      </w:r>
      <w:r w:rsidRPr="003B4B83">
        <w:rPr>
          <w:i/>
          <w:iCs/>
          <w:lang w:val="es-ES"/>
        </w:rPr>
        <w:t>p.r.a.</w:t>
      </w:r>
      <w:r w:rsidRPr="003B4B83">
        <w:rPr>
          <w:lang w:val="es-ES"/>
        </w:rPr>
        <w:t xml:space="preserve"> (dBm)  </w:t>
      </w:r>
      <w:r w:rsidR="009E4D54">
        <w:rPr>
          <w:lang w:val="es-ES"/>
        </w:rPr>
        <w:t>+</w:t>
      </w:r>
      <w:r w:rsidRPr="003B4B83">
        <w:rPr>
          <w:lang w:val="es-ES"/>
        </w:rPr>
        <w:t xml:space="preserve">  2,15</w:t>
      </w:r>
    </w:p>
    <w:p w:rsidR="00D11FE4" w:rsidRDefault="00D11FE4">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2E5EB0" w:rsidRDefault="002E5EB0" w:rsidP="002E5EB0">
      <w:pPr>
        <w:pStyle w:val="Heading2"/>
        <w:rPr>
          <w:lang w:val="es-ES"/>
        </w:rPr>
      </w:pPr>
      <w:r>
        <w:rPr>
          <w:lang w:val="es-ES"/>
        </w:rPr>
        <w:lastRenderedPageBreak/>
        <w:t>1.2</w:t>
      </w:r>
      <w:r>
        <w:rPr>
          <w:lang w:val="es-ES"/>
        </w:rPr>
        <w:tab/>
        <w:t>Intensidad de campo</w:t>
      </w:r>
      <w:bookmarkEnd w:id="31"/>
    </w:p>
    <w:p w:rsidR="002E5EB0" w:rsidRDefault="002E5EB0" w:rsidP="009E4D54">
      <w:pPr>
        <w:rPr>
          <w:lang w:val="es-ES"/>
        </w:rPr>
      </w:pPr>
      <w:r>
        <w:rPr>
          <w:lang w:val="es-ES"/>
        </w:rPr>
        <w:t xml:space="preserve">La intensidad de campo, </w:t>
      </w:r>
      <w:r>
        <w:rPr>
          <w:i/>
          <w:lang w:val="es-ES"/>
        </w:rPr>
        <w:t xml:space="preserve">E </w:t>
      </w:r>
      <w:r>
        <w:rPr>
          <w:iCs/>
          <w:lang w:val="es-ES"/>
        </w:rPr>
        <w:t>o</w:t>
      </w:r>
      <w:r>
        <w:rPr>
          <w:i/>
          <w:lang w:val="es-ES"/>
        </w:rPr>
        <w:t xml:space="preserve"> H</w:t>
      </w:r>
      <w:r>
        <w:rPr>
          <w:lang w:val="es-ES"/>
        </w:rPr>
        <w:t>, interferente en la antena receptora afectada es, en principio, la característica requerida para conocer el efecto de la emisión en el dominio no esencial. No obstante, la relación entre la p.i.r.e. y la intensidad de campo en todas las situaciones posibles es muy difícil de determinar, debido a la propagación de la onda radioeléctrica y de otros fenómenos de acoplamiento radioeléctrico (por ejemplo, difracción desde edificios, efectos de máscaras, etc.), aun si la determinación de los límites de las emisiones en el dominio no esencial sólo tiene en cuenta situacio</w:t>
      </w:r>
      <w:r w:rsidR="00CC2082">
        <w:rPr>
          <w:lang w:val="es-ES"/>
        </w:rPr>
        <w:t>nes para algunos casos básicos/</w:t>
      </w:r>
      <w:r>
        <w:rPr>
          <w:lang w:val="es-ES"/>
        </w:rPr>
        <w:t>caso más desfavorable que puedan ocurrir.</w:t>
      </w:r>
    </w:p>
    <w:p w:rsidR="002E5EB0" w:rsidRDefault="002E5EB0" w:rsidP="002E5EB0">
      <w:pPr>
        <w:rPr>
          <w:lang w:val="es-ES"/>
        </w:rPr>
      </w:pPr>
      <w:r>
        <w:rPr>
          <w:lang w:val="es-ES"/>
        </w:rPr>
        <w:t>La intensidad de campo es un valor que se mide generalmente en un emplazamiento de prueba a una determinada distancia. Para fines de medición de perturbaciones e interferencias producidas por dispositivos de radiación no intencionales y en particular ITE, el CISPR recomienda mediciones de intensidad de campo típicas a 10 m en un emplazamiento de prueba de zona abierta (EPZA) calibrado, con un plano de tierra reflector.</w:t>
      </w:r>
    </w:p>
    <w:p w:rsidR="002E5EB0" w:rsidRDefault="002E5EB0" w:rsidP="002E5EB0">
      <w:pPr>
        <w:pStyle w:val="Heading2"/>
        <w:rPr>
          <w:lang w:val="es-ES"/>
        </w:rPr>
      </w:pPr>
      <w:bookmarkStart w:id="32" w:name="_Toc393697841"/>
      <w:r>
        <w:rPr>
          <w:lang w:val="es-ES"/>
        </w:rPr>
        <w:t>1.3</w:t>
      </w:r>
      <w:r>
        <w:rPr>
          <w:lang w:val="es-ES"/>
        </w:rPr>
        <w:tab/>
        <w:t>dfp</w:t>
      </w:r>
      <w:bookmarkEnd w:id="32"/>
    </w:p>
    <w:p w:rsidR="002E5EB0" w:rsidRDefault="002E5EB0" w:rsidP="002E5EB0">
      <w:pPr>
        <w:rPr>
          <w:lang w:val="es-ES"/>
        </w:rPr>
      </w:pPr>
      <w:r>
        <w:rPr>
          <w:lang w:val="es-ES"/>
        </w:rPr>
        <w:t>La dfp se evalúa y mide generalmente por encima de 1 GHz, para enlaces radioeléctricos por satélite y radioastronomía.</w:t>
      </w:r>
    </w:p>
    <w:p w:rsidR="002E5EB0" w:rsidRDefault="002E5EB0" w:rsidP="002E5EB0">
      <w:pPr>
        <w:pStyle w:val="Heading1"/>
        <w:rPr>
          <w:lang w:val="es-ES"/>
        </w:rPr>
      </w:pPr>
      <w:bookmarkStart w:id="33" w:name="_Toc393697842"/>
      <w:r>
        <w:rPr>
          <w:lang w:val="es-ES"/>
        </w:rPr>
        <w:t>2</w:t>
      </w:r>
      <w:r>
        <w:rPr>
          <w:lang w:val="es-ES"/>
        </w:rPr>
        <w:tab/>
        <w:t>Unidades</w:t>
      </w:r>
      <w:bookmarkEnd w:id="33"/>
    </w:p>
    <w:p w:rsidR="002E5EB0" w:rsidRDefault="002E5EB0" w:rsidP="000C144E">
      <w:pPr>
        <w:pStyle w:val="Heading2"/>
        <w:rPr>
          <w:lang w:val="es-ES"/>
        </w:rPr>
      </w:pPr>
      <w:bookmarkStart w:id="34" w:name="_Toc393697843"/>
      <w:r>
        <w:rPr>
          <w:lang w:val="es-ES"/>
        </w:rPr>
        <w:t>2.1</w:t>
      </w:r>
      <w:r>
        <w:rPr>
          <w:lang w:val="es-ES"/>
        </w:rPr>
        <w:tab/>
        <w:t>Unidades de potencia</w:t>
      </w:r>
      <w:bookmarkEnd w:id="34"/>
    </w:p>
    <w:p w:rsidR="002E5EB0" w:rsidRDefault="002E5EB0" w:rsidP="002E5EB0">
      <w:pPr>
        <w:rPr>
          <w:lang w:val="es-ES"/>
        </w:rPr>
      </w:pPr>
      <w:r>
        <w:rPr>
          <w:lang w:val="es-ES"/>
        </w:rPr>
        <w:t>Aun cuando la unidad de potencia del sistema internacional (SI) es el vatio (W), las publicaciones de telecomunicaciones expresan las p.s.a., p.i.r.e. o p.r.a. de las emisiones en el dominio no esencial en diversas unidades que incluyen dBpW, nW, dBm o dBW o expresiones equivalentes de densidad de potencia por anchura de banda de referencia.</w:t>
      </w:r>
    </w:p>
    <w:p w:rsidR="002E5EB0" w:rsidRDefault="002E5EB0" w:rsidP="000C144E">
      <w:pPr>
        <w:pStyle w:val="Heading2"/>
        <w:rPr>
          <w:lang w:val="es-ES"/>
        </w:rPr>
      </w:pPr>
      <w:bookmarkStart w:id="35" w:name="_Toc393697844"/>
      <w:r>
        <w:rPr>
          <w:lang w:val="es-ES"/>
        </w:rPr>
        <w:t>2.2</w:t>
      </w:r>
      <w:r>
        <w:rPr>
          <w:lang w:val="es-ES"/>
        </w:rPr>
        <w:tab/>
        <w:t>Unidades de intensidad de campo</w:t>
      </w:r>
      <w:bookmarkEnd w:id="35"/>
    </w:p>
    <w:p w:rsidR="002E5EB0" w:rsidRDefault="002E5EB0" w:rsidP="009E4D54">
      <w:pPr>
        <w:rPr>
          <w:lang w:val="es-ES"/>
        </w:rPr>
      </w:pPr>
      <w:r>
        <w:rPr>
          <w:lang w:val="es-ES"/>
        </w:rPr>
        <w:t xml:space="preserve">La unidad de intensidad de campo eléctrico, </w:t>
      </w:r>
      <w:r>
        <w:rPr>
          <w:i/>
          <w:lang w:val="es-ES"/>
        </w:rPr>
        <w:t>E</w:t>
      </w:r>
      <w:r>
        <w:rPr>
          <w:lang w:val="es-ES"/>
        </w:rPr>
        <w:t xml:space="preserve">, es el V/m. La mayor parte de las publicaciones de telecomunicaciones expresan la intensidad de campo eléctrico en </w:t>
      </w:r>
      <w:r w:rsidR="009E4D54">
        <w:rPr>
          <w:lang w:val="es-ES"/>
        </w:rPr>
        <w:sym w:font="Symbol" w:char="F06D"/>
      </w:r>
      <w:r>
        <w:rPr>
          <w:lang w:val="es-ES"/>
        </w:rPr>
        <w:t>V/m o dB(</w:t>
      </w:r>
      <w:r w:rsidR="009E4D54">
        <w:rPr>
          <w:lang w:val="es-ES"/>
        </w:rPr>
        <w:sym w:font="Symbol" w:char="F06D"/>
      </w:r>
      <w:r>
        <w:rPr>
          <w:lang w:val="es-ES"/>
        </w:rPr>
        <w:t>V/m).</w:t>
      </w:r>
    </w:p>
    <w:p w:rsidR="002E5EB0" w:rsidRDefault="002E5EB0" w:rsidP="000C144E">
      <w:pPr>
        <w:rPr>
          <w:lang w:val="es-ES"/>
        </w:rPr>
      </w:pPr>
      <w:r>
        <w:rPr>
          <w:lang w:val="es-ES"/>
        </w:rPr>
        <w:t xml:space="preserve">La unidad de intensidad de campo magnético, </w:t>
      </w:r>
      <w:r>
        <w:rPr>
          <w:i/>
          <w:iCs/>
          <w:lang w:val="es-ES"/>
        </w:rPr>
        <w:t>H</w:t>
      </w:r>
      <w:r>
        <w:rPr>
          <w:lang w:val="es-ES"/>
        </w:rPr>
        <w:t xml:space="preserve">, es el A/m. La mayor parte de las publicaciones de telecomunicaciones expresan la intensidad de campo magnético en </w:t>
      </w:r>
      <w:r>
        <w:rPr>
          <w:lang w:val="es-ES"/>
        </w:rPr>
        <w:sym w:font="Symbol" w:char="F06D"/>
      </w:r>
      <w:r>
        <w:rPr>
          <w:lang w:val="es-ES"/>
        </w:rPr>
        <w:t>A/m o dB(</w:t>
      </w:r>
      <w:r>
        <w:rPr>
          <w:lang w:val="es-ES"/>
        </w:rPr>
        <w:sym w:font="Symbol" w:char="F06D"/>
      </w:r>
      <w:r>
        <w:rPr>
          <w:lang w:val="es-ES"/>
        </w:rPr>
        <w:t>A/m).</w:t>
      </w:r>
    </w:p>
    <w:p w:rsidR="002E5EB0" w:rsidRDefault="002E5EB0" w:rsidP="002E5EB0">
      <w:pPr>
        <w:pStyle w:val="Heading2"/>
        <w:rPr>
          <w:lang w:val="es-ES"/>
        </w:rPr>
      </w:pPr>
      <w:bookmarkStart w:id="36" w:name="_Toc393697845"/>
      <w:r>
        <w:rPr>
          <w:lang w:val="es-ES"/>
        </w:rPr>
        <w:t>2.3</w:t>
      </w:r>
      <w:r>
        <w:rPr>
          <w:lang w:val="es-ES"/>
        </w:rPr>
        <w:tab/>
        <w:t xml:space="preserve">Unidades de </w:t>
      </w:r>
      <w:bookmarkEnd w:id="36"/>
      <w:r>
        <w:rPr>
          <w:lang w:val="es-ES"/>
        </w:rPr>
        <w:t>dfp</w:t>
      </w:r>
    </w:p>
    <w:p w:rsidR="002E5EB0" w:rsidRDefault="002E5EB0" w:rsidP="002E5EB0">
      <w:pPr>
        <w:rPr>
          <w:lang w:val="es-ES"/>
        </w:rPr>
      </w:pPr>
      <w:r>
        <w:rPr>
          <w:lang w:val="es-ES"/>
        </w:rPr>
        <w:t>La unidad de dfp es el W/m</w:t>
      </w:r>
      <w:r>
        <w:rPr>
          <w:vertAlign w:val="superscript"/>
          <w:lang w:val="es-ES"/>
        </w:rPr>
        <w:t>2</w:t>
      </w:r>
      <w:r>
        <w:rPr>
          <w:lang w:val="es-ES"/>
        </w:rPr>
        <w:t>. La mayor parte de las publicaciones de telecomunicaciones expresan la dfp en dB(W/m</w:t>
      </w:r>
      <w:r>
        <w:rPr>
          <w:vertAlign w:val="superscript"/>
          <w:lang w:val="es-ES"/>
        </w:rPr>
        <w:t>2</w:t>
      </w:r>
      <w:r>
        <w:rPr>
          <w:lang w:val="es-ES"/>
        </w:rPr>
        <w:t>) o en mW/cm</w:t>
      </w:r>
      <w:r>
        <w:rPr>
          <w:vertAlign w:val="superscript"/>
          <w:lang w:val="es-ES"/>
        </w:rPr>
        <w:t>2</w:t>
      </w:r>
      <w:r>
        <w:rPr>
          <w:lang w:val="es-ES"/>
        </w:rPr>
        <w:t>.</w:t>
      </w:r>
    </w:p>
    <w:p w:rsidR="002E5EB0" w:rsidRDefault="002E5EB0" w:rsidP="000C144E">
      <w:pPr>
        <w:pStyle w:val="Heading1"/>
        <w:rPr>
          <w:lang w:val="es-ES"/>
        </w:rPr>
      </w:pPr>
      <w:bookmarkStart w:id="37" w:name="_Toc393697846"/>
      <w:r>
        <w:rPr>
          <w:lang w:val="es-ES"/>
        </w:rPr>
        <w:t>3</w:t>
      </w:r>
      <w:r>
        <w:rPr>
          <w:lang w:val="es-ES"/>
        </w:rPr>
        <w:tab/>
        <w:t xml:space="preserve">Relación entre la potencia, intensidad de campo eléctrico, </w:t>
      </w:r>
      <w:r>
        <w:rPr>
          <w:i/>
          <w:lang w:val="es-ES"/>
        </w:rPr>
        <w:t>E</w:t>
      </w:r>
      <w:r>
        <w:rPr>
          <w:lang w:val="es-ES"/>
        </w:rPr>
        <w:t>, y dfp</w:t>
      </w:r>
      <w:bookmarkEnd w:id="37"/>
    </w:p>
    <w:p w:rsidR="002E5EB0" w:rsidRDefault="002E5EB0" w:rsidP="002E5EB0">
      <w:pPr>
        <w:rPr>
          <w:lang w:val="es-ES"/>
        </w:rPr>
      </w:pPr>
      <w:r>
        <w:rPr>
          <w:lang w:val="es-ES"/>
        </w:rPr>
        <w:t xml:space="preserve">Se puede establecer una relación simple para casos ideales (que significa condiciones en campo lejano en el espacio libre) entre </w:t>
      </w:r>
      <w:r>
        <w:rPr>
          <w:i/>
          <w:lang w:val="es-ES"/>
        </w:rPr>
        <w:t>E</w:t>
      </w:r>
      <w:r>
        <w:rPr>
          <w:lang w:val="es-ES"/>
        </w:rPr>
        <w:t xml:space="preserve"> (V/m), la distancia </w:t>
      </w:r>
      <w:r>
        <w:rPr>
          <w:i/>
          <w:lang w:val="es-ES"/>
        </w:rPr>
        <w:t>D</w:t>
      </w:r>
      <w:r>
        <w:rPr>
          <w:lang w:val="es-ES"/>
        </w:rPr>
        <w:t xml:space="preserve"> entre el equipo radioeléctrico transmisor y el punto de medición (m), la p.i.r.e. (W) y la dfp (W/m</w:t>
      </w:r>
      <w:r>
        <w:rPr>
          <w:vertAlign w:val="superscript"/>
          <w:lang w:val="es-ES"/>
        </w:rPr>
        <w:t>2</w:t>
      </w:r>
      <w:r>
        <w:rPr>
          <w:lang w:val="es-ES"/>
        </w:rPr>
        <w:t>).</w:t>
      </w:r>
    </w:p>
    <w:p w:rsidR="00CC2082" w:rsidRPr="001C121E" w:rsidRDefault="00CC2082" w:rsidP="00CC2082">
      <w:pPr>
        <w:pStyle w:val="Blanc"/>
        <w:rPr>
          <w:lang w:val="es-ES_tradnl"/>
        </w:rPr>
      </w:pPr>
    </w:p>
    <w:p w:rsidR="002E5EB0" w:rsidRDefault="002E5EB0" w:rsidP="002E5EB0">
      <w:pPr>
        <w:pStyle w:val="Equation"/>
      </w:pPr>
      <w:r w:rsidRPr="003B4B83">
        <w:rPr>
          <w:lang w:val="es-ES"/>
        </w:rPr>
        <w:tab/>
      </w:r>
      <w:r w:rsidRPr="003B4B83">
        <w:rPr>
          <w:lang w:val="es-ES"/>
        </w:rPr>
        <w:tab/>
      </w:r>
      <w:r w:rsidR="009E4D54">
        <w:rPr>
          <w:position w:val="-24"/>
        </w:rPr>
        <w:object w:dxaOrig="19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34pt" o:ole="">
            <v:imagedata r:id="rId15" o:title=""/>
          </v:shape>
          <o:OLEObject Type="Embed" ProgID="Equation.3" ShapeID="_x0000_i1025" DrawAspect="Content" ObjectID="_1377341903" r:id="rId16"/>
        </w:object>
      </w:r>
    </w:p>
    <w:p w:rsidR="002E5EB0" w:rsidRDefault="002E5EB0" w:rsidP="00D11FE4">
      <w:pPr>
        <w:keepNext/>
        <w:keepLines/>
        <w:rPr>
          <w:lang w:val="es-ES"/>
        </w:rPr>
      </w:pPr>
      <w:r>
        <w:rPr>
          <w:lang w:val="es-ES"/>
        </w:rPr>
        <w:lastRenderedPageBreak/>
        <w:t xml:space="preserve">Se puede calcular un valor máximo de </w:t>
      </w:r>
      <w:r>
        <w:rPr>
          <w:i/>
          <w:lang w:val="es-ES"/>
        </w:rPr>
        <w:t>E</w:t>
      </w:r>
      <w:r>
        <w:rPr>
          <w:lang w:val="es-ES"/>
        </w:rPr>
        <w:t>, que representa la máxima lectura obtenible en un EPZA mediante el ajuste de la altura de la antena de medición. Este valor es el siguiente:</w:t>
      </w:r>
    </w:p>
    <w:p w:rsidR="00CC2082" w:rsidRPr="001C121E" w:rsidRDefault="00CC2082" w:rsidP="00CC2082">
      <w:pPr>
        <w:pStyle w:val="Blanc"/>
        <w:rPr>
          <w:lang w:val="es-ES_tradnl"/>
        </w:rPr>
      </w:pPr>
    </w:p>
    <w:p w:rsidR="002E5EB0" w:rsidRDefault="002E5EB0" w:rsidP="002E5EB0">
      <w:pPr>
        <w:pStyle w:val="Equation"/>
        <w:rPr>
          <w:lang w:val="es-ES"/>
        </w:rPr>
      </w:pPr>
      <w:r w:rsidRPr="003B4B83">
        <w:rPr>
          <w:lang w:val="es-ES"/>
        </w:rPr>
        <w:tab/>
      </w:r>
      <w:r w:rsidRPr="003B4B83">
        <w:rPr>
          <w:lang w:val="es-ES"/>
        </w:rPr>
        <w:tab/>
      </w:r>
      <w:r>
        <w:rPr>
          <w:i/>
          <w:lang w:val="es-ES"/>
        </w:rPr>
        <w:t>E</w:t>
      </w:r>
      <w:r>
        <w:rPr>
          <w:i/>
          <w:iCs/>
          <w:vertAlign w:val="subscript"/>
          <w:lang w:val="es-ES"/>
        </w:rPr>
        <w:t>máx</w:t>
      </w:r>
      <w:r>
        <w:rPr>
          <w:lang w:val="es-ES"/>
        </w:rPr>
        <w:t xml:space="preserve">  </w:t>
      </w:r>
      <w:r>
        <w:sym w:font="Symbol" w:char="0040"/>
      </w:r>
      <w:r>
        <w:rPr>
          <w:lang w:val="es-ES"/>
        </w:rPr>
        <w:t xml:space="preserve">  1,6 </w:t>
      </w:r>
      <w:r>
        <w:rPr>
          <w:i/>
          <w:lang w:val="es-ES"/>
        </w:rPr>
        <w:t>E</w:t>
      </w:r>
    </w:p>
    <w:p w:rsidR="00D11FE4" w:rsidRPr="001C121E" w:rsidRDefault="00D11FE4" w:rsidP="00D11FE4">
      <w:pPr>
        <w:pStyle w:val="Blanc"/>
        <w:rPr>
          <w:lang w:val="es-ES_tradnl"/>
        </w:rPr>
      </w:pPr>
    </w:p>
    <w:p w:rsidR="002E5EB0" w:rsidRDefault="002E5EB0" w:rsidP="000C144E">
      <w:pPr>
        <w:rPr>
          <w:lang w:val="es-ES"/>
        </w:rPr>
      </w:pPr>
      <w:r>
        <w:rPr>
          <w:lang w:val="es-ES"/>
        </w:rPr>
        <w:t xml:space="preserve">Esto representa una ganancia por emplazamiento de 4 dB. La intensidad de campo </w:t>
      </w:r>
      <w:r>
        <w:rPr>
          <w:i/>
          <w:lang w:val="es-ES"/>
        </w:rPr>
        <w:t>E</w:t>
      </w:r>
      <w:r>
        <w:rPr>
          <w:lang w:val="es-ES"/>
        </w:rPr>
        <w:t xml:space="preserve"> (V/m) se puede convertir a dB(</w:t>
      </w:r>
      <w:r>
        <w:rPr>
          <w:rFonts w:ascii="Symbol" w:hAnsi="Symbol"/>
          <w:lang w:val="es-ES"/>
        </w:rPr>
        <w:t></w:t>
      </w:r>
      <w:r>
        <w:rPr>
          <w:lang w:val="es-ES"/>
        </w:rPr>
        <w:t>V/m) con la siguiente expresión:</w:t>
      </w:r>
    </w:p>
    <w:p w:rsidR="00CC2082" w:rsidRPr="001C121E" w:rsidRDefault="00CC2082" w:rsidP="00CC2082">
      <w:pPr>
        <w:pStyle w:val="Blanc"/>
        <w:rPr>
          <w:lang w:val="es-ES_tradnl"/>
        </w:rPr>
      </w:pPr>
    </w:p>
    <w:p w:rsidR="002E5EB0" w:rsidRDefault="002E5EB0" w:rsidP="009E4D54">
      <w:pPr>
        <w:pStyle w:val="Equation"/>
        <w:rPr>
          <w:lang w:val="es-ES"/>
        </w:rPr>
      </w:pPr>
      <w:r w:rsidRPr="003B4B83">
        <w:rPr>
          <w:lang w:val="es-ES"/>
        </w:rPr>
        <w:tab/>
      </w:r>
      <w:r w:rsidRPr="003B4B83">
        <w:rPr>
          <w:lang w:val="es-ES"/>
        </w:rPr>
        <w:tab/>
      </w:r>
      <w:r>
        <w:rPr>
          <w:i/>
          <w:lang w:val="es-ES"/>
        </w:rPr>
        <w:t>E</w:t>
      </w:r>
      <w:r>
        <w:rPr>
          <w:lang w:val="es-ES"/>
        </w:rPr>
        <w:t xml:space="preserve"> (dB(</w:t>
      </w:r>
      <w:r>
        <w:rPr>
          <w:rFonts w:ascii="Symbol" w:hAnsi="Symbol"/>
        </w:rPr>
        <w:t></w:t>
      </w:r>
      <w:r>
        <w:rPr>
          <w:lang w:val="es-ES"/>
        </w:rPr>
        <w:t xml:space="preserve">V/m))  </w:t>
      </w:r>
      <w:r w:rsidR="009E4D54">
        <w:rPr>
          <w:lang w:val="es-ES"/>
        </w:rPr>
        <w:t>=</w:t>
      </w:r>
      <w:r>
        <w:rPr>
          <w:lang w:val="es-ES"/>
        </w:rPr>
        <w:t xml:space="preserve">  120  </w:t>
      </w:r>
      <w:r w:rsidR="009E4D54">
        <w:rPr>
          <w:lang w:val="es-ES"/>
        </w:rPr>
        <w:t>+</w:t>
      </w:r>
      <w:r>
        <w:rPr>
          <w:lang w:val="es-ES"/>
        </w:rPr>
        <w:t xml:space="preserve">  20 log </w:t>
      </w:r>
      <w:r>
        <w:rPr>
          <w:i/>
          <w:lang w:val="es-ES"/>
        </w:rPr>
        <w:t>E</w:t>
      </w:r>
    </w:p>
    <w:p w:rsidR="00D11FE4" w:rsidRPr="001C121E" w:rsidRDefault="00D11FE4" w:rsidP="00D11FE4">
      <w:pPr>
        <w:pStyle w:val="Blanc"/>
        <w:rPr>
          <w:lang w:val="es-ES_tradnl"/>
        </w:rPr>
      </w:pPr>
    </w:p>
    <w:p w:rsidR="002E5EB0" w:rsidRDefault="002E5EB0" w:rsidP="002E5EB0">
      <w:pPr>
        <w:rPr>
          <w:lang w:val="es-ES"/>
        </w:rPr>
      </w:pPr>
      <w:r>
        <w:rPr>
          <w:lang w:val="es-ES"/>
        </w:rPr>
        <w:t>la dfp (W/m</w:t>
      </w:r>
      <w:r>
        <w:rPr>
          <w:vertAlign w:val="superscript"/>
          <w:lang w:val="es-ES"/>
        </w:rPr>
        <w:t>2</w:t>
      </w:r>
      <w:r>
        <w:rPr>
          <w:lang w:val="es-ES"/>
        </w:rPr>
        <w:t>) es:</w:t>
      </w:r>
    </w:p>
    <w:p w:rsidR="00CC2082" w:rsidRPr="001C121E" w:rsidRDefault="00CC2082" w:rsidP="00CC2082">
      <w:pPr>
        <w:pStyle w:val="Blanc"/>
        <w:rPr>
          <w:lang w:val="es-ES_tradnl"/>
        </w:rPr>
      </w:pPr>
    </w:p>
    <w:p w:rsidR="002E5EB0" w:rsidRDefault="002E5EB0" w:rsidP="009E4D54">
      <w:pPr>
        <w:pStyle w:val="Equation"/>
        <w:rPr>
          <w:lang w:val="es-ES"/>
        </w:rPr>
      </w:pPr>
      <w:r w:rsidRPr="003B4B83">
        <w:rPr>
          <w:lang w:val="es-ES"/>
        </w:rPr>
        <w:tab/>
      </w:r>
      <w:r w:rsidRPr="003B4B83">
        <w:rPr>
          <w:lang w:val="es-ES"/>
        </w:rPr>
        <w:tab/>
      </w:r>
      <w:r>
        <w:rPr>
          <w:i/>
          <w:lang w:val="es-ES"/>
        </w:rPr>
        <w:t>dfp</w:t>
      </w:r>
      <w:r>
        <w:rPr>
          <w:lang w:val="es-ES"/>
        </w:rPr>
        <w:t xml:space="preserve">  </w:t>
      </w:r>
      <w:r w:rsidR="009E4D54">
        <w:rPr>
          <w:lang w:val="es-ES"/>
        </w:rPr>
        <w:t>=</w:t>
      </w:r>
      <w:r>
        <w:rPr>
          <w:lang w:val="es-ES"/>
        </w:rPr>
        <w:t xml:space="preserve">  </w:t>
      </w:r>
      <w:r>
        <w:rPr>
          <w:i/>
          <w:lang w:val="es-ES"/>
        </w:rPr>
        <w:t>E</w:t>
      </w:r>
      <w:r>
        <w:rPr>
          <w:vertAlign w:val="superscript"/>
          <w:lang w:val="es-ES"/>
        </w:rPr>
        <w:t>2</w:t>
      </w:r>
      <w:r>
        <w:rPr>
          <w:lang w:val="es-ES"/>
        </w:rPr>
        <w:t>/(120</w:t>
      </w:r>
      <w:r>
        <w:rPr>
          <w:rFonts w:ascii="Symbol" w:hAnsi="Symbol"/>
        </w:rPr>
        <w:t></w:t>
      </w:r>
      <w:r>
        <w:rPr>
          <w:lang w:val="es-ES"/>
        </w:rPr>
        <w:t>)</w:t>
      </w:r>
    </w:p>
    <w:p w:rsidR="00D11FE4" w:rsidRPr="001C121E" w:rsidRDefault="00D11FE4" w:rsidP="00D11FE4">
      <w:pPr>
        <w:pStyle w:val="Blanc"/>
        <w:rPr>
          <w:lang w:val="es-ES_tradnl"/>
        </w:rPr>
      </w:pPr>
    </w:p>
    <w:p w:rsidR="002E5EB0" w:rsidRDefault="002E5EB0" w:rsidP="002E5EB0">
      <w:pPr>
        <w:rPr>
          <w:lang w:val="es-ES"/>
        </w:rPr>
      </w:pPr>
      <w:r>
        <w:rPr>
          <w:lang w:val="es-ES"/>
        </w:rPr>
        <w:t>y la dfp (dB(W/m</w:t>
      </w:r>
      <w:r>
        <w:rPr>
          <w:vertAlign w:val="superscript"/>
          <w:lang w:val="es-ES"/>
        </w:rPr>
        <w:t>2</w:t>
      </w:r>
      <w:r>
        <w:rPr>
          <w:lang w:val="es-ES"/>
        </w:rPr>
        <w:t>)) es:</w:t>
      </w:r>
    </w:p>
    <w:p w:rsidR="00D11FE4" w:rsidRPr="001C121E" w:rsidRDefault="00D11FE4" w:rsidP="00D11FE4">
      <w:pPr>
        <w:pStyle w:val="Blanc"/>
        <w:rPr>
          <w:lang w:val="es-ES_tradnl"/>
        </w:rPr>
      </w:pPr>
    </w:p>
    <w:p w:rsidR="002E5EB0" w:rsidRDefault="002E5EB0" w:rsidP="009E4D54">
      <w:pPr>
        <w:pStyle w:val="Equation"/>
        <w:rPr>
          <w:lang w:val="es-ES"/>
        </w:rPr>
      </w:pPr>
      <w:r>
        <w:rPr>
          <w:lang w:val="es-ES"/>
        </w:rPr>
        <w:tab/>
      </w:r>
      <w:r>
        <w:rPr>
          <w:lang w:val="es-ES"/>
        </w:rPr>
        <w:tab/>
        <w:t xml:space="preserve">dfp  </w:t>
      </w:r>
      <w:r w:rsidR="009E4D54">
        <w:rPr>
          <w:lang w:val="es-ES"/>
        </w:rPr>
        <w:t>=</w:t>
      </w:r>
      <w:r>
        <w:rPr>
          <w:lang w:val="es-ES"/>
        </w:rPr>
        <w:t xml:space="preserve">  10 log </w:t>
      </w:r>
      <w:r>
        <w:rPr>
          <w:i/>
          <w:lang w:val="es-ES"/>
        </w:rPr>
        <w:t>dfp</w:t>
      </w:r>
    </w:p>
    <w:p w:rsidR="00D11FE4" w:rsidRPr="001C121E" w:rsidRDefault="00D11FE4" w:rsidP="00D11FE4">
      <w:pPr>
        <w:pStyle w:val="Blanc"/>
        <w:rPr>
          <w:lang w:val="es-ES_tradnl"/>
        </w:rPr>
      </w:pPr>
    </w:p>
    <w:p w:rsidR="002E5EB0" w:rsidRDefault="002E5EB0" w:rsidP="002E5EB0">
      <w:pPr>
        <w:rPr>
          <w:lang w:val="es-ES"/>
        </w:rPr>
      </w:pPr>
      <w:r>
        <w:rPr>
          <w:lang w:val="es-ES"/>
        </w:rPr>
        <w:t>En el Cuadro 7 se muestra la correspondencia que existe entre los valores de potencia (p.i.r.e., p.r.a.), intensidad de campo (</w:t>
      </w:r>
      <w:r>
        <w:rPr>
          <w:i/>
          <w:lang w:val="es-ES"/>
        </w:rPr>
        <w:t>E</w:t>
      </w:r>
      <w:r>
        <w:rPr>
          <w:lang w:val="es-ES"/>
        </w:rPr>
        <w:t xml:space="preserve">, </w:t>
      </w:r>
      <w:r>
        <w:rPr>
          <w:i/>
          <w:lang w:val="es-ES"/>
        </w:rPr>
        <w:t>E</w:t>
      </w:r>
      <w:r>
        <w:rPr>
          <w:i/>
          <w:vertAlign w:val="subscript"/>
          <w:lang w:val="es-ES"/>
        </w:rPr>
        <w:t>máx</w:t>
      </w:r>
      <w:r>
        <w:rPr>
          <w:lang w:val="es-ES"/>
        </w:rPr>
        <w:t>) y la dfp para diferentes unidades.</w:t>
      </w:r>
    </w:p>
    <w:p w:rsidR="002E5EB0" w:rsidRDefault="008A294A" w:rsidP="002E5EB0">
      <w:pPr>
        <w:pStyle w:val="TableNo"/>
        <w:rPr>
          <w:lang w:val="es-ES"/>
        </w:rPr>
      </w:pPr>
      <w:r>
        <w:rPr>
          <w:lang w:val="es-ES"/>
        </w:rPr>
        <w:t xml:space="preserve">CUADRO </w:t>
      </w:r>
      <w:r w:rsidR="002E5EB0">
        <w:rPr>
          <w:lang w:val="es-ES"/>
        </w:rPr>
        <w:t>7</w:t>
      </w:r>
    </w:p>
    <w:p w:rsidR="002E5EB0" w:rsidRDefault="002E5EB0" w:rsidP="002E5EB0">
      <w:pPr>
        <w:pStyle w:val="Tabletitle"/>
        <w:rPr>
          <w:lang w:val="es-ES"/>
        </w:rPr>
      </w:pPr>
      <w:r>
        <w:rPr>
          <w:lang w:val="es-ES"/>
        </w:rPr>
        <w:t xml:space="preserve">Correspondencia entre p.i.r.e., p.r.a., intensidad de campo, </w:t>
      </w:r>
      <w:r>
        <w:rPr>
          <w:i/>
          <w:lang w:val="es-ES"/>
        </w:rPr>
        <w:t>E</w:t>
      </w:r>
      <w:r>
        <w:rPr>
          <w:lang w:val="es-ES"/>
        </w:rPr>
        <w:t xml:space="preserve"> y dfp</w:t>
      </w:r>
    </w:p>
    <w:p w:rsidR="002E5EB0" w:rsidRPr="003B4B83" w:rsidRDefault="002E5EB0" w:rsidP="002E5EB0">
      <w:pPr>
        <w:pStyle w:val="Blanc"/>
        <w:rPr>
          <w:sz w:val="8"/>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86"/>
        <w:gridCol w:w="974"/>
        <w:gridCol w:w="837"/>
        <w:gridCol w:w="858"/>
        <w:gridCol w:w="1249"/>
        <w:gridCol w:w="1193"/>
        <w:gridCol w:w="1249"/>
        <w:gridCol w:w="1242"/>
      </w:tblGrid>
      <w:tr w:rsidR="002E5EB0" w:rsidRPr="00DD03A6" w:rsidTr="004A0FDD">
        <w:trPr>
          <w:jc w:val="center"/>
        </w:trPr>
        <w:tc>
          <w:tcPr>
            <w:tcW w:w="4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2E5EB0" w:rsidRDefault="002E5EB0" w:rsidP="004A0FDD">
            <w:pPr>
              <w:pStyle w:val="Tablehead"/>
            </w:pPr>
            <w:r>
              <w:t>p.i.r.e.</w:t>
            </w:r>
            <w:r>
              <w:br/>
              <w:t>(dBm)</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2E5EB0" w:rsidRDefault="002E5EB0" w:rsidP="004A0FDD">
            <w:pPr>
              <w:pStyle w:val="Tablehead"/>
              <w:rPr>
                <w:lang w:val="es-ES"/>
              </w:rPr>
            </w:pPr>
            <w:r>
              <w:rPr>
                <w:lang w:val="es-ES"/>
              </w:rPr>
              <w:t>p.i.r.e.</w:t>
            </w:r>
            <w:r>
              <w:rPr>
                <w:lang w:val="es-ES"/>
              </w:rPr>
              <w:br/>
              <w:t>(nW)</w:t>
            </w:r>
          </w:p>
        </w:tc>
        <w:tc>
          <w:tcPr>
            <w:tcW w:w="50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2E5EB0" w:rsidRDefault="002E5EB0" w:rsidP="004A0FDD">
            <w:pPr>
              <w:pStyle w:val="Tablehead"/>
              <w:rPr>
                <w:lang w:val="es-ES"/>
              </w:rPr>
            </w:pPr>
            <w:r>
              <w:rPr>
                <w:lang w:val="es-ES"/>
              </w:rPr>
              <w:t>p.i.r.e.</w:t>
            </w:r>
            <w:r>
              <w:rPr>
                <w:lang w:val="es-ES"/>
              </w:rPr>
              <w:br/>
              <w:t>(dB(pW))</w:t>
            </w:r>
          </w:p>
        </w:tc>
        <w:tc>
          <w:tcPr>
            <w:tcW w:w="4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2E5EB0" w:rsidRDefault="002E5EB0" w:rsidP="004A0FDD">
            <w:pPr>
              <w:pStyle w:val="Tablehead"/>
              <w:rPr>
                <w:lang w:val="es-ES"/>
              </w:rPr>
            </w:pPr>
            <w:r>
              <w:rPr>
                <w:lang w:val="es-ES"/>
              </w:rPr>
              <w:t>p.i.r.e.</w:t>
            </w:r>
            <w:r>
              <w:rPr>
                <w:lang w:val="es-ES"/>
              </w:rPr>
              <w:br/>
              <w:t>(dBW)</w:t>
            </w:r>
          </w:p>
        </w:tc>
        <w:tc>
          <w:tcPr>
            <w:tcW w:w="44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2E5EB0" w:rsidRDefault="002E5EB0" w:rsidP="004A0FDD">
            <w:pPr>
              <w:pStyle w:val="Tablehead"/>
              <w:rPr>
                <w:lang w:val="en-US"/>
              </w:rPr>
            </w:pPr>
            <w:r>
              <w:rPr>
                <w:lang w:val="en-US"/>
              </w:rPr>
              <w:t>p.r.a.</w:t>
            </w:r>
            <w:r>
              <w:rPr>
                <w:lang w:val="en-US"/>
              </w:rPr>
              <w:br/>
              <w:t>(dBm)</w:t>
            </w:r>
          </w:p>
        </w:tc>
        <w:tc>
          <w:tcPr>
            <w:tcW w:w="64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2E5EB0" w:rsidRDefault="002E5EB0" w:rsidP="004A0FDD">
            <w:pPr>
              <w:pStyle w:val="Tablehead"/>
              <w:rPr>
                <w:lang w:val="es-ES"/>
              </w:rPr>
            </w:pPr>
            <w:r>
              <w:rPr>
                <w:lang w:val="es-ES"/>
              </w:rPr>
              <w:t xml:space="preserve">Campo </w:t>
            </w:r>
            <w:r>
              <w:rPr>
                <w:i/>
                <w:lang w:val="es-ES"/>
              </w:rPr>
              <w:t>E</w:t>
            </w:r>
            <w:r>
              <w:rPr>
                <w:lang w:val="es-ES"/>
              </w:rPr>
              <w:t xml:space="preserve"> en</w:t>
            </w:r>
            <w:r>
              <w:rPr>
                <w:lang w:val="es-ES"/>
              </w:rPr>
              <w:br/>
              <w:t>espacio libre</w:t>
            </w:r>
            <w:r>
              <w:rPr>
                <w:lang w:val="es-ES"/>
              </w:rPr>
              <w:br/>
              <w:t>(dB(</w:t>
            </w:r>
            <w:r>
              <w:rPr>
                <w:rFonts w:ascii="Symbol" w:hAnsi="Symbol"/>
                <w:lang w:val="en-US"/>
              </w:rPr>
              <w:t></w:t>
            </w:r>
            <w:r>
              <w:rPr>
                <w:lang w:val="es-ES"/>
              </w:rPr>
              <w:t>V/m))</w:t>
            </w:r>
            <w:r>
              <w:rPr>
                <w:lang w:val="es-ES"/>
              </w:rPr>
              <w:br/>
              <w:t>a 10 m</w:t>
            </w:r>
          </w:p>
        </w:tc>
        <w:tc>
          <w:tcPr>
            <w:tcW w:w="61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2E5EB0" w:rsidRDefault="002E5EB0" w:rsidP="004A0FDD">
            <w:pPr>
              <w:pStyle w:val="Tablehead"/>
              <w:rPr>
                <w:lang w:val="es-ES"/>
              </w:rPr>
            </w:pPr>
            <w:r>
              <w:rPr>
                <w:i/>
                <w:lang w:val="es-ES"/>
              </w:rPr>
              <w:t>E</w:t>
            </w:r>
            <w:r>
              <w:rPr>
                <w:i/>
                <w:iCs/>
                <w:vertAlign w:val="subscript"/>
                <w:lang w:val="es-ES"/>
              </w:rPr>
              <w:t>máx</w:t>
            </w:r>
            <w:r>
              <w:rPr>
                <w:lang w:val="es-ES"/>
              </w:rPr>
              <w:br/>
              <w:t>en EPZA</w:t>
            </w:r>
            <w:r>
              <w:rPr>
                <w:lang w:val="es-ES"/>
              </w:rPr>
              <w:br/>
              <w:t>(dB(</w:t>
            </w:r>
            <w:r>
              <w:rPr>
                <w:rFonts w:ascii="Symbol" w:hAnsi="Symbol"/>
                <w:lang w:val="en-US"/>
              </w:rPr>
              <w:t></w:t>
            </w:r>
            <w:r>
              <w:rPr>
                <w:lang w:val="es-ES"/>
              </w:rPr>
              <w:t>V/m))</w:t>
            </w:r>
            <w:r>
              <w:rPr>
                <w:lang w:val="es-ES"/>
              </w:rPr>
              <w:br/>
              <w:t>a 10 m</w:t>
            </w:r>
          </w:p>
        </w:tc>
        <w:tc>
          <w:tcPr>
            <w:tcW w:w="64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2E5EB0" w:rsidRDefault="002E5EB0" w:rsidP="004A0FDD">
            <w:pPr>
              <w:pStyle w:val="Tablehead"/>
              <w:rPr>
                <w:lang w:val="es-ES"/>
              </w:rPr>
            </w:pPr>
            <w:r>
              <w:rPr>
                <w:lang w:val="es-ES"/>
              </w:rPr>
              <w:t>dfp en</w:t>
            </w:r>
            <w:r>
              <w:rPr>
                <w:lang w:val="es-ES"/>
              </w:rPr>
              <w:br/>
              <w:t>espacio libre</w:t>
            </w:r>
            <w:r>
              <w:rPr>
                <w:lang w:val="es-ES"/>
              </w:rPr>
              <w:br/>
              <w:t>(dB(W/m</w:t>
            </w:r>
            <w:r>
              <w:rPr>
                <w:rFonts w:ascii="Times New Roman Bold" w:hAnsi="Times New Roman Bold"/>
                <w:vertAlign w:val="superscript"/>
                <w:lang w:val="es-ES"/>
              </w:rPr>
              <w:t>2</w:t>
            </w:r>
            <w:r>
              <w:rPr>
                <w:lang w:val="es-ES"/>
              </w:rPr>
              <w:t>))</w:t>
            </w:r>
            <w:r>
              <w:rPr>
                <w:lang w:val="es-ES"/>
              </w:rPr>
              <w:br/>
              <w:t>a 10 m</w:t>
            </w:r>
          </w:p>
        </w:tc>
        <w:tc>
          <w:tcPr>
            <w:tcW w:w="64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2E5EB0" w:rsidRDefault="002E5EB0" w:rsidP="004A0FDD">
            <w:pPr>
              <w:pStyle w:val="Tablehead"/>
              <w:rPr>
                <w:lang w:val="es-ES"/>
              </w:rPr>
            </w:pPr>
            <w:r>
              <w:rPr>
                <w:lang w:val="es-ES"/>
              </w:rPr>
              <w:t xml:space="preserve">dfp máxima </w:t>
            </w:r>
            <w:r>
              <w:rPr>
                <w:lang w:val="es-ES"/>
              </w:rPr>
              <w:br/>
              <w:t>en EPZA</w:t>
            </w:r>
            <w:r>
              <w:rPr>
                <w:lang w:val="es-ES"/>
              </w:rPr>
              <w:br/>
              <w:t>(dB(W/m</w:t>
            </w:r>
            <w:r>
              <w:rPr>
                <w:rFonts w:ascii="Times New Roman Bold" w:hAnsi="Times New Roman Bold"/>
                <w:vertAlign w:val="superscript"/>
                <w:lang w:val="es-ES"/>
              </w:rPr>
              <w:t>2</w:t>
            </w:r>
            <w:r>
              <w:rPr>
                <w:lang w:val="es-ES"/>
              </w:rPr>
              <w:t>))</w:t>
            </w:r>
            <w:r>
              <w:rPr>
                <w:lang w:val="es-ES"/>
              </w:rPr>
              <w:br/>
              <w:t>a 10 m</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–90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0,001</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–120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–92,15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–5,2</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–1,2</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–151,0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–147,0</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–80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0,01</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–110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–82,15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4,8</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8,8</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–141,0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–137,0</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–70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0,1</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20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–100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–72,15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14,8</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18,8</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–131,0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–127,0</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–60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1</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30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–90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–62,15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24,8</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28,8</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–121,0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–117,0</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–50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10</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40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–80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–52,15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34,8</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38,8</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–111,0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–107,0</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–40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100</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50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–70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–42,15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44,8</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48,8</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–101,0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–97,0</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–30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1</w:t>
            </w:r>
            <w:r>
              <w:rPr>
                <w:rFonts w:ascii="Tms Rmn" w:hAnsi="Tms Rmn"/>
                <w:sz w:val="12"/>
                <w:lang w:val="es-ES"/>
              </w:rPr>
              <w:t> </w:t>
            </w:r>
            <w:r>
              <w:rPr>
                <w:lang w:val="es-ES"/>
              </w:rPr>
              <w:t>000</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60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–60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–32,15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54,8</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58,8</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–91,0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–87,0</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–20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10</w:t>
            </w:r>
            <w:r>
              <w:rPr>
                <w:rFonts w:ascii="Tms Rmn" w:hAnsi="Tms Rmn"/>
                <w:sz w:val="12"/>
                <w:lang w:val="es-ES"/>
              </w:rPr>
              <w:t> </w:t>
            </w:r>
            <w:r>
              <w:rPr>
                <w:lang w:val="es-ES"/>
              </w:rPr>
              <w:t>000</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70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–50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–22,15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64,8</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68,8</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–81,0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–77,0</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100</w:t>
            </w:r>
            <w:r>
              <w:rPr>
                <w:rFonts w:ascii="Tms Rmn" w:hAnsi="Tms Rmn"/>
                <w:sz w:val="12"/>
                <w:lang w:val="es-ES"/>
              </w:rPr>
              <w:t> </w:t>
            </w:r>
            <w:r>
              <w:rPr>
                <w:lang w:val="es-ES"/>
              </w:rPr>
              <w:t>000</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80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–40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–12,15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74,8</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78,8</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–71,0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–67,0</w:t>
            </w:r>
          </w:p>
        </w:tc>
      </w:tr>
      <w:tr w:rsidR="002E5EB0" w:rsidTr="002E13EE">
        <w:trPr>
          <w:jc w:val="center"/>
        </w:trPr>
        <w:tc>
          <w:tcPr>
            <w:tcW w:w="441"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0</w:t>
            </w:r>
          </w:p>
        </w:tc>
        <w:tc>
          <w:tcPr>
            <w:tcW w:w="615" w:type="pct"/>
            <w:tcBorders>
              <w:top w:val="single" w:sz="4" w:space="0" w:color="auto"/>
              <w:left w:val="single" w:sz="4" w:space="0" w:color="auto"/>
              <w:bottom w:val="single" w:sz="4" w:space="0" w:color="auto"/>
              <w:right w:val="single" w:sz="4" w:space="0" w:color="auto"/>
            </w:tcBorders>
            <w:tcMar>
              <w:left w:w="0" w:type="dxa"/>
              <w:right w:w="0" w:type="dxa"/>
            </w:tcMar>
          </w:tcPr>
          <w:p w:rsidR="002E5EB0" w:rsidRDefault="002E5EB0" w:rsidP="00CC2082">
            <w:pPr>
              <w:pStyle w:val="Tabletext"/>
              <w:jc w:val="center"/>
              <w:rPr>
                <w:lang w:val="es-ES"/>
              </w:rPr>
            </w:pPr>
            <w:r>
              <w:rPr>
                <w:lang w:val="es-ES"/>
              </w:rPr>
              <w:t>1</w:t>
            </w:r>
            <w:r>
              <w:rPr>
                <w:rFonts w:ascii="Tms Rmn" w:hAnsi="Tms Rmn"/>
                <w:sz w:val="12"/>
                <w:lang w:val="es-ES"/>
              </w:rPr>
              <w:t> </w:t>
            </w:r>
            <w:r>
              <w:rPr>
                <w:lang w:val="es-ES"/>
              </w:rPr>
              <w:t>000</w:t>
            </w:r>
            <w:r>
              <w:rPr>
                <w:rFonts w:ascii="Tms Rmn" w:hAnsi="Tms Rmn"/>
                <w:sz w:val="12"/>
                <w:lang w:val="es-ES"/>
              </w:rPr>
              <w:t> </w:t>
            </w:r>
            <w:r>
              <w:rPr>
                <w:lang w:val="es-ES"/>
              </w:rPr>
              <w:t>000</w:t>
            </w:r>
          </w:p>
        </w:tc>
        <w:tc>
          <w:tcPr>
            <w:tcW w:w="50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90</w:t>
            </w:r>
          </w:p>
        </w:tc>
        <w:tc>
          <w:tcPr>
            <w:tcW w:w="43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–30</w:t>
            </w:r>
          </w:p>
        </w:tc>
        <w:tc>
          <w:tcPr>
            <w:tcW w:w="445"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–2,15</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84,8</w:t>
            </w:r>
          </w:p>
        </w:tc>
        <w:tc>
          <w:tcPr>
            <w:tcW w:w="619"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88,8</w:t>
            </w:r>
          </w:p>
        </w:tc>
        <w:tc>
          <w:tcPr>
            <w:tcW w:w="648"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–61,0</w:t>
            </w:r>
          </w:p>
        </w:tc>
        <w:tc>
          <w:tcPr>
            <w:tcW w:w="644" w:type="pct"/>
            <w:tcBorders>
              <w:top w:val="single" w:sz="4" w:space="0" w:color="auto"/>
              <w:left w:val="single" w:sz="4" w:space="0" w:color="auto"/>
              <w:bottom w:val="single" w:sz="4" w:space="0" w:color="auto"/>
              <w:right w:val="single" w:sz="4" w:space="0" w:color="auto"/>
            </w:tcBorders>
          </w:tcPr>
          <w:p w:rsidR="002E5EB0" w:rsidRDefault="002E5EB0" w:rsidP="00CC2082">
            <w:pPr>
              <w:pStyle w:val="Tabletext"/>
              <w:jc w:val="center"/>
              <w:rPr>
                <w:lang w:val="es-ES"/>
              </w:rPr>
            </w:pPr>
            <w:r>
              <w:rPr>
                <w:lang w:val="es-ES"/>
              </w:rPr>
              <w:t>–57,0</w:t>
            </w:r>
          </w:p>
        </w:tc>
      </w:tr>
    </w:tbl>
    <w:p w:rsidR="00CC2082" w:rsidRDefault="00CC2082" w:rsidP="00CC2082">
      <w:pPr>
        <w:pStyle w:val="Tablefin"/>
      </w:pPr>
    </w:p>
    <w:p w:rsidR="00CC2082" w:rsidRDefault="00CC2082" w:rsidP="00CC2082">
      <w:pPr>
        <w:rPr>
          <w:lang w:val="es-ES"/>
        </w:rPr>
      </w:pPr>
    </w:p>
    <w:p w:rsidR="00CC2082" w:rsidRDefault="00CC2082" w:rsidP="00CC2082">
      <w:pPr>
        <w:rPr>
          <w:lang w:val="es-ES"/>
        </w:rPr>
      </w:pPr>
    </w:p>
    <w:p w:rsidR="008A294A" w:rsidRDefault="008A294A">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2E5EB0" w:rsidRDefault="002E5EB0" w:rsidP="002E5EB0">
      <w:pPr>
        <w:pStyle w:val="AnnexNoTitle"/>
        <w:rPr>
          <w:lang w:val="es-ES"/>
        </w:rPr>
      </w:pPr>
      <w:r>
        <w:rPr>
          <w:lang w:val="es-ES"/>
        </w:rPr>
        <w:lastRenderedPageBreak/>
        <w:t>Anexo 2</w:t>
      </w:r>
      <w:r>
        <w:rPr>
          <w:lang w:val="es-ES"/>
        </w:rPr>
        <w:br/>
      </w:r>
      <w:r>
        <w:rPr>
          <w:lang w:val="es-ES"/>
        </w:rPr>
        <w:br/>
        <w:t>Métodos de medición de las emisiones en el dominio no esencial</w:t>
      </w:r>
    </w:p>
    <w:p w:rsidR="002E5EB0" w:rsidRDefault="002E5EB0" w:rsidP="000C144E">
      <w:pPr>
        <w:pStyle w:val="Heading1"/>
        <w:rPr>
          <w:lang w:val="es-ES"/>
        </w:rPr>
      </w:pPr>
      <w:bookmarkStart w:id="38" w:name="_Toc393697847"/>
      <w:r>
        <w:rPr>
          <w:lang w:val="es-ES"/>
        </w:rPr>
        <w:t>1</w:t>
      </w:r>
      <w:r>
        <w:rPr>
          <w:lang w:val="es-ES"/>
        </w:rPr>
        <w:tab/>
        <w:t>Equipo de medida</w:t>
      </w:r>
      <w:bookmarkEnd w:id="38"/>
    </w:p>
    <w:p w:rsidR="002E5EB0" w:rsidRDefault="002E5EB0" w:rsidP="000C144E">
      <w:pPr>
        <w:pStyle w:val="Heading2"/>
        <w:rPr>
          <w:lang w:val="es-ES"/>
        </w:rPr>
      </w:pPr>
      <w:bookmarkStart w:id="39" w:name="_Toc393697848"/>
      <w:r>
        <w:rPr>
          <w:lang w:val="es-ES"/>
        </w:rPr>
        <w:t>1.1</w:t>
      </w:r>
      <w:r>
        <w:rPr>
          <w:lang w:val="es-ES"/>
        </w:rPr>
        <w:tab/>
        <w:t>Receptor de medición selectivo</w:t>
      </w:r>
      <w:bookmarkEnd w:id="39"/>
    </w:p>
    <w:p w:rsidR="002E5EB0" w:rsidRDefault="002E5EB0" w:rsidP="002E5EB0">
      <w:pPr>
        <w:rPr>
          <w:lang w:val="es-ES"/>
        </w:rPr>
      </w:pPr>
      <w:r>
        <w:rPr>
          <w:lang w:val="es-ES"/>
        </w:rPr>
        <w:t>Para medir la potencia de las emisiones no esenciales aplicadas a la antena y radiación del bastidor se puede utilizar un receptor selectivo o un analizador de espectro.</w:t>
      </w:r>
    </w:p>
    <w:p w:rsidR="002E5EB0" w:rsidRDefault="002E5EB0" w:rsidP="000C144E">
      <w:pPr>
        <w:pStyle w:val="Heading3"/>
        <w:rPr>
          <w:lang w:val="es-ES"/>
        </w:rPr>
      </w:pPr>
      <w:bookmarkStart w:id="40" w:name="_Toc393697849"/>
      <w:r>
        <w:rPr>
          <w:lang w:val="es-ES"/>
        </w:rPr>
        <w:t>1.1.1</w:t>
      </w:r>
      <w:r>
        <w:rPr>
          <w:lang w:val="es-ES"/>
        </w:rPr>
        <w:tab/>
        <w:t>Funciones de ponderación del equipo de medición</w:t>
      </w:r>
      <w:bookmarkEnd w:id="40"/>
    </w:p>
    <w:p w:rsidR="002E5EB0" w:rsidRDefault="002E5EB0" w:rsidP="002E5EB0">
      <w:pPr>
        <w:rPr>
          <w:lang w:val="es-ES"/>
        </w:rPr>
      </w:pPr>
      <w:r>
        <w:rPr>
          <w:lang w:val="es-ES"/>
        </w:rPr>
        <w:t>Se recomienda que todos los receptores de medición dispongan de funciones de ponderación media y de cresta.</w:t>
      </w:r>
    </w:p>
    <w:p w:rsidR="002E5EB0" w:rsidRDefault="002E5EB0" w:rsidP="000C144E">
      <w:pPr>
        <w:pStyle w:val="Heading3"/>
        <w:rPr>
          <w:lang w:val="es-ES"/>
        </w:rPr>
      </w:pPr>
      <w:bookmarkStart w:id="41" w:name="_Toc393697850"/>
      <w:r>
        <w:rPr>
          <w:lang w:val="es-ES"/>
        </w:rPr>
        <w:t>1.1.2</w:t>
      </w:r>
      <w:r>
        <w:rPr>
          <w:lang w:val="es-ES"/>
        </w:rPr>
        <w:tab/>
        <w:t>Anchuras de banda de resolución</w:t>
      </w:r>
      <w:bookmarkEnd w:id="41"/>
    </w:p>
    <w:p w:rsidR="002E5EB0" w:rsidRDefault="002E5EB0" w:rsidP="002E5EB0">
      <w:pPr>
        <w:rPr>
          <w:lang w:val="es-ES"/>
        </w:rPr>
      </w:pPr>
      <w:r>
        <w:rPr>
          <w:lang w:val="es-ES"/>
        </w:rPr>
        <w:t xml:space="preserve">Como directriz general, las anchuras de banda de resolución (medida en los puntos de </w:t>
      </w:r>
      <w:r>
        <w:rPr>
          <w:lang w:val="es-ES"/>
        </w:rPr>
        <w:sym w:font="Symbol" w:char="F02D"/>
      </w:r>
      <w:r>
        <w:rPr>
          <w:lang w:val="es-ES"/>
        </w:rPr>
        <w:t xml:space="preserve">3 dB del filtro de FI final) del receptor de medición debe ser igual a las anchuras de banda de referencia señaladas en el </w:t>
      </w:r>
      <w:r>
        <w:rPr>
          <w:i/>
          <w:lang w:val="es-ES"/>
        </w:rPr>
        <w:t>recomienda</w:t>
      </w:r>
      <w:r>
        <w:rPr>
          <w:i/>
          <w:iCs/>
          <w:lang w:val="es-ES"/>
        </w:rPr>
        <w:t xml:space="preserve"> </w:t>
      </w:r>
      <w:r>
        <w:rPr>
          <w:lang w:val="es-ES"/>
        </w:rPr>
        <w:t>4.1. Para mejorar la exactitud, sensibilidad y eficacia de la medición, la anchura de banda de resolución puede ser diferente de la anchura de banda de referencia. Por ejemplo, en algunos casos es necesaria una anchura de banda de resolución más estrecha para las emisiones próximas a la frecuencia central. Cuando la anchura de banda de resolución es menor que la anchura de banda de referencia, el resultado debe ser integrado sobre la anchura de banda de referencia (la integración debe efectuarse sobre la base de una suma de potencias, a menos que se sepa que la señal no esencial es de tipo aditivo en tensión o con ley intermedia (véase la Nota 1)). Cuando la anchura de banda de resolución es mayor que la anchura de banda de referencia, se debe normalizar el resultado para emisiones en el dominio no esencial de banda ancha a la relación de anchura de banda. Para radiaciones no esenciales discretas (banda estrecha), la normalización no es aplicable.</w:t>
      </w:r>
    </w:p>
    <w:p w:rsidR="002E5EB0" w:rsidRDefault="002E5EB0" w:rsidP="00495E2E">
      <w:pPr>
        <w:rPr>
          <w:lang w:val="es-ES"/>
        </w:rPr>
      </w:pPr>
      <w:r>
        <w:rPr>
          <w:lang w:val="es-ES"/>
        </w:rPr>
        <w:t xml:space="preserve">Se debe introducir un factor de corrección para la anchura de banda de resolución que depende de la anchura de banda de resolución real del receptor de medición (por ejemplo, anchura de banda de </w:t>
      </w:r>
      <w:r w:rsidRPr="003B4B83">
        <w:rPr>
          <w:lang w:val="es-ES"/>
        </w:rPr>
        <w:t>resolución</w:t>
      </w:r>
      <w:r>
        <w:rPr>
          <w:lang w:val="es-ES"/>
        </w:rPr>
        <w:t xml:space="preserve"> de –6 dB) y de la naturaleza de la emisión en el dominio no esencial medida (por ejemplo señal pulsante o ruido gaussiano).</w:t>
      </w:r>
    </w:p>
    <w:p w:rsidR="002E5EB0" w:rsidRDefault="002E5EB0" w:rsidP="002E5EB0">
      <w:pPr>
        <w:pStyle w:val="Note"/>
        <w:rPr>
          <w:lang w:val="es-ES"/>
        </w:rPr>
      </w:pPr>
      <w:r>
        <w:rPr>
          <w:lang w:val="es-ES"/>
        </w:rPr>
        <w:t xml:space="preserve">NOTA 1 – Cuando la emisión en el dominio no esencial se mida en términos de la PEP con una anchura de banda de resolución inferior a la anchura de banda de referencia, la suma de potencias puede no ser adecuada. </w:t>
      </w:r>
      <w:r w:rsidRPr="003B4B83">
        <w:rPr>
          <w:lang w:val="es-ES"/>
        </w:rPr>
        <w:t>Si</w:t>
      </w:r>
      <w:r>
        <w:rPr>
          <w:lang w:val="es-ES"/>
        </w:rPr>
        <w:t xml:space="preserve"> no se conoce la regla de adición, debe evaluarse la emisión en el dominio no esencial total en la anchura de banda de referencia utilizando reglas de suma de potencia y de tensión. En todos los casos, si la emisión en el dominio no esencial total obtenida utilizando la suma de tensiones es inferior al límite especificado, se cumple dicho límite. Si la emisión en el dominio no esencial total utilizando la regla de suma de potencias es superior al límite especificado, no se cumple el límite.</w:t>
      </w:r>
    </w:p>
    <w:p w:rsidR="002E5EB0" w:rsidRDefault="002E5EB0" w:rsidP="000C144E">
      <w:pPr>
        <w:pStyle w:val="Heading3"/>
        <w:rPr>
          <w:lang w:val="es-ES"/>
        </w:rPr>
      </w:pPr>
      <w:bookmarkStart w:id="42" w:name="_Toc393697851"/>
      <w:r>
        <w:rPr>
          <w:lang w:val="es-ES"/>
        </w:rPr>
        <w:t>1.1.3</w:t>
      </w:r>
      <w:r>
        <w:rPr>
          <w:lang w:val="es-ES"/>
        </w:rPr>
        <w:tab/>
        <w:t>Anchura de banda de vídeo</w:t>
      </w:r>
      <w:bookmarkEnd w:id="42"/>
    </w:p>
    <w:p w:rsidR="002E5EB0" w:rsidRDefault="002E5EB0" w:rsidP="002E5EB0">
      <w:pPr>
        <w:rPr>
          <w:lang w:val="es-ES"/>
        </w:rPr>
      </w:pPr>
      <w:r>
        <w:rPr>
          <w:lang w:val="es-ES"/>
        </w:rPr>
        <w:t>La anchura de banda de vídeo debe tener como mínimo la amplitud de la anchura de banda de resolución, y ser preferiblemente tres a cinco veces más amplia que la anchura de banda de resolución.</w:t>
      </w:r>
    </w:p>
    <w:p w:rsidR="002E5EB0" w:rsidRDefault="002E5EB0" w:rsidP="000C144E">
      <w:pPr>
        <w:pStyle w:val="Heading3"/>
        <w:rPr>
          <w:lang w:val="es-ES"/>
        </w:rPr>
      </w:pPr>
      <w:bookmarkStart w:id="43" w:name="_Toc393697852"/>
      <w:r>
        <w:rPr>
          <w:lang w:val="es-ES"/>
        </w:rPr>
        <w:t>1.1.4</w:t>
      </w:r>
      <w:r>
        <w:rPr>
          <w:lang w:val="es-ES"/>
        </w:rPr>
        <w:tab/>
        <w:t>Factor de forma del filtro del receptor de medida</w:t>
      </w:r>
      <w:bookmarkEnd w:id="43"/>
    </w:p>
    <w:p w:rsidR="002E5EB0" w:rsidRDefault="002E5EB0" w:rsidP="002E5EB0">
      <w:pPr>
        <w:rPr>
          <w:lang w:val="es-ES"/>
        </w:rPr>
      </w:pPr>
      <w:r>
        <w:rPr>
          <w:lang w:val="es-ES"/>
        </w:rPr>
        <w:t xml:space="preserve">El factor de forma es un parámetro de selectividad de un filtro paso banda y generalmente se define como la relación de la anchura de banda de rechazo deseada con respecto a la anchura de banda de paso deseada. En un filtro ideal esta relación sería igual a 1. Sin embargo, los filtros prácticos tienen </w:t>
      </w:r>
      <w:r>
        <w:rPr>
          <w:lang w:val="es-ES"/>
        </w:rPr>
        <w:lastRenderedPageBreak/>
        <w:t>una caída de atenuación alejada de ese valor ideal. Por ejemplo, los analizadores de espectro que se aproximan a los filtros gaussianos por la utilización de filtros de sintonía múltiple para responder a señales cuando se encuentran en el modo barrido, definen típicamente una relación de –</w:t>
      </w:r>
      <w:r>
        <w:rPr>
          <w:sz w:val="4"/>
          <w:lang w:val="es-ES"/>
        </w:rPr>
        <w:t> </w:t>
      </w:r>
      <w:r>
        <w:rPr>
          <w:lang w:val="es-ES"/>
        </w:rPr>
        <w:t>60 dB a </w:t>
      </w:r>
      <w:r>
        <w:rPr>
          <w:lang w:val="es-ES"/>
        </w:rPr>
        <w:sym w:font="Symbol" w:char="F02D"/>
      </w:r>
      <w:r>
        <w:rPr>
          <w:lang w:val="es-ES"/>
        </w:rPr>
        <w:t>3 dB que varía de 5:1 a 15:1.</w:t>
      </w:r>
    </w:p>
    <w:p w:rsidR="002E5EB0" w:rsidRDefault="002E5EB0" w:rsidP="002E5EB0">
      <w:pPr>
        <w:pStyle w:val="Heading2"/>
        <w:rPr>
          <w:lang w:val="es-ES"/>
        </w:rPr>
      </w:pPr>
      <w:bookmarkStart w:id="44" w:name="_Toc393697853"/>
      <w:r>
        <w:rPr>
          <w:lang w:val="es-ES"/>
        </w:rPr>
        <w:t>1.2</w:t>
      </w:r>
      <w:r>
        <w:rPr>
          <w:lang w:val="es-ES"/>
        </w:rPr>
        <w:tab/>
        <w:t>Filtro de rechazo de la frecuencia fundamental</w:t>
      </w:r>
      <w:bookmarkEnd w:id="44"/>
    </w:p>
    <w:p w:rsidR="002E5EB0" w:rsidRDefault="002E5EB0" w:rsidP="002E5EB0">
      <w:pPr>
        <w:rPr>
          <w:lang w:val="es-ES"/>
        </w:rPr>
      </w:pPr>
      <w:r>
        <w:rPr>
          <w:lang w:val="es-ES"/>
        </w:rPr>
        <w:t>La relación de potencia de la frecuencia fundamental y la potencia de las emisiones en el dominio no esencial puede estar en el orden de 70 dB o más. Una relación de este orden puede producir a menudo una entrada a la frecuencia fundamental de nivel suficiente para generar no linealidades en el receptor selectivo. Por consiguiente, se requiere un filtro para atenuar la frecuencia fundamental a la entrada del dispositivo de medición (si la frecuencia de la emisión en el dominio no esencial no está demasiado cercana a la frecuencia fundamental). Para gamas de frecuencias muy por encima de la frecuencia fundamental (para frecuencias armónicas por ejemplo), es también posible utilizar un filtro paso banda o paso alto. La pérdida de inserción de este filtro para frecuencias de emisión en el dominio no esencial no debe ser demasiado elevada. Sin embargo, la respuesta de frecuencia del filtro debe estar muy bien caracterizada.</w:t>
      </w:r>
    </w:p>
    <w:p w:rsidR="002E5EB0" w:rsidRDefault="002E5EB0" w:rsidP="002E5EB0">
      <w:pPr>
        <w:rPr>
          <w:lang w:val="es-ES"/>
        </w:rPr>
      </w:pPr>
      <w:r>
        <w:rPr>
          <w:lang w:val="es-ES"/>
        </w:rPr>
        <w:t>Los filtros de rechazo de circuitos concentrados de frecuencia variable típicos en la gama de ondas métricas/decimétricas sólo tienen una pérdida de inserción de 3 a 5 dB, y menor, alrededor de 2 a 3 dB de pérdida por encima de 1 GHz.</w:t>
      </w:r>
    </w:p>
    <w:p w:rsidR="002E5EB0" w:rsidRDefault="002E5EB0" w:rsidP="002E5EB0">
      <w:pPr>
        <w:rPr>
          <w:lang w:val="es-ES"/>
        </w:rPr>
      </w:pPr>
      <w:r>
        <w:rPr>
          <w:lang w:val="es-ES"/>
        </w:rPr>
        <w:t>Se dispone de filtros de cavidad paso banda de cuarto de onda sintonizables para gamas de frecuencias por encima de unos 50 MHz debido a su tamaño físico, y poseen pérdidas de inserción del orden de menos de 1 dB. Los filtros de muesca de cavidad tendrán aproximadamente la misma pérdida una vez que la frecuencia de interés esté alejada más del 10% aproximadamente de la frecuencia de la muesca.</w:t>
      </w:r>
    </w:p>
    <w:p w:rsidR="002E5EB0" w:rsidRDefault="002E5EB0" w:rsidP="002E5EB0">
      <w:pPr>
        <w:rPr>
          <w:lang w:val="es-ES"/>
        </w:rPr>
      </w:pPr>
      <w:r>
        <w:rPr>
          <w:lang w:val="es-ES"/>
        </w:rPr>
        <w:t>Los receptores que deben cubrir muchas bandas requieren generalmente filtrado variable que efectúa el seguimiento de la frecuencia sintonizada del sistema que se somete a la medición. Los tipos de filtros variables que son adecuados para la medición de emisiones no esenciales son sintonizadores varactores o filtros YIG (granate de hierro e itrio). Estos filtros tienen más pérdida de inserción que los filtros fijos, pero tienen menor banda de paso lo que permite la medición de las señales que se encuentra más cerca de las frecuencias del transmisor.</w:t>
      </w:r>
    </w:p>
    <w:p w:rsidR="002E5EB0" w:rsidRDefault="002E5EB0" w:rsidP="002E5EB0">
      <w:pPr>
        <w:rPr>
          <w:lang w:val="es-ES"/>
        </w:rPr>
      </w:pPr>
      <w:r>
        <w:rPr>
          <w:lang w:val="es-ES"/>
        </w:rPr>
        <w:t>Los sintonizadores varactores se recomiendan típicamente para frecuencias entre 50 MHz y 1 GHz. Proporcionan una anchura de banda de 3 dB que es de alrededor del 5% de la frecuencia sintonizada y tiene una pérdida de inserción de unos 5 a 6 dB.</w:t>
      </w:r>
    </w:p>
    <w:p w:rsidR="002E5EB0" w:rsidRDefault="002E5EB0" w:rsidP="002E5EB0">
      <w:pPr>
        <w:rPr>
          <w:lang w:val="es-ES"/>
        </w:rPr>
      </w:pPr>
      <w:r>
        <w:rPr>
          <w:lang w:val="es-ES"/>
        </w:rPr>
        <w:t>Los filtros YIG se recomiendan típicamente para frecuencias entre 1 y 18 GHz aproximadamente. Proporcionan una anchura de banda de 3 dB que es de unos 15 MHz a 2 GHz RF y de unos 30 MHz de anchura a 18 GHz RF. La pérdida de inserción es de unos 6 a 8 dB.</w:t>
      </w:r>
    </w:p>
    <w:p w:rsidR="002E5EB0" w:rsidRDefault="002E5EB0" w:rsidP="000C144E">
      <w:pPr>
        <w:pStyle w:val="Heading2"/>
        <w:rPr>
          <w:lang w:val="es-ES"/>
        </w:rPr>
      </w:pPr>
      <w:bookmarkStart w:id="45" w:name="_Toc393697854"/>
      <w:r>
        <w:rPr>
          <w:lang w:val="es-ES"/>
        </w:rPr>
        <w:t>1.3</w:t>
      </w:r>
      <w:r>
        <w:rPr>
          <w:lang w:val="es-ES"/>
        </w:rPr>
        <w:tab/>
        <w:t>Dispositivo de acoplamiento</w:t>
      </w:r>
      <w:bookmarkEnd w:id="45"/>
    </w:p>
    <w:p w:rsidR="002E5EB0" w:rsidRDefault="002E5EB0" w:rsidP="002E5EB0">
      <w:pPr>
        <w:rPr>
          <w:lang w:val="es-ES"/>
        </w:rPr>
      </w:pPr>
      <w:r>
        <w:rPr>
          <w:lang w:val="es-ES"/>
        </w:rPr>
        <w:t>Las mediciones se efectúan utilizando un acoplador direccional con capacidad para manejar la potencia de la emisión fundamental. La impedancia de este acoplador se debe adaptar a la impedancia del transmisor en la frecuencia fundamental.</w:t>
      </w:r>
    </w:p>
    <w:p w:rsidR="002E5EB0" w:rsidRDefault="002E5EB0" w:rsidP="000C144E">
      <w:pPr>
        <w:pStyle w:val="Heading2"/>
        <w:rPr>
          <w:lang w:val="es-ES"/>
        </w:rPr>
      </w:pPr>
      <w:bookmarkStart w:id="46" w:name="_Toc393697855"/>
      <w:r>
        <w:rPr>
          <w:lang w:val="es-ES"/>
        </w:rPr>
        <w:t>1.4</w:t>
      </w:r>
      <w:r>
        <w:rPr>
          <w:lang w:val="es-ES"/>
        </w:rPr>
        <w:tab/>
        <w:t>Carga terminal</w:t>
      </w:r>
      <w:bookmarkEnd w:id="46"/>
    </w:p>
    <w:p w:rsidR="002E5EB0" w:rsidRDefault="002E5EB0" w:rsidP="002E5EB0">
      <w:pPr>
        <w:rPr>
          <w:lang w:val="es-ES"/>
        </w:rPr>
      </w:pPr>
      <w:r>
        <w:rPr>
          <w:lang w:val="es-ES"/>
        </w:rPr>
        <w:t>Si para medir la potencia de las emisiones en el dominio no esencial se utiliza el método de medición 1, el transmisor se deberá conectar a una carga de prueba o carga terminal. El nivel de la emisión en el dominio no esencial depende de la adaptación de impedancias adecuada entre la etapa final del transmisor, la línea de transmisión y la carga de prueba.</w:t>
      </w:r>
    </w:p>
    <w:p w:rsidR="002E5EB0" w:rsidRDefault="002E5EB0" w:rsidP="000C144E">
      <w:pPr>
        <w:pStyle w:val="Heading2"/>
        <w:rPr>
          <w:lang w:val="es-ES"/>
        </w:rPr>
      </w:pPr>
      <w:bookmarkStart w:id="47" w:name="_Toc393697856"/>
      <w:r>
        <w:rPr>
          <w:lang w:val="es-ES"/>
        </w:rPr>
        <w:lastRenderedPageBreak/>
        <w:t>1.5</w:t>
      </w:r>
      <w:r>
        <w:rPr>
          <w:lang w:val="es-ES"/>
        </w:rPr>
        <w:tab/>
        <w:t>Antena de medición</w:t>
      </w:r>
      <w:bookmarkEnd w:id="47"/>
    </w:p>
    <w:p w:rsidR="002E5EB0" w:rsidRDefault="002E5EB0" w:rsidP="002E5EB0">
      <w:pPr>
        <w:rPr>
          <w:lang w:val="es-ES"/>
        </w:rPr>
      </w:pPr>
      <w:r>
        <w:rPr>
          <w:lang w:val="es-ES"/>
        </w:rPr>
        <w:t>Las mediciones se efectúan con una antena dipolo sintonizada o una antena de referencia con una ganancia conocida referida a una antena isótropa.</w:t>
      </w:r>
    </w:p>
    <w:p w:rsidR="002E5EB0" w:rsidRDefault="002E5EB0" w:rsidP="000C144E">
      <w:pPr>
        <w:pStyle w:val="Heading2"/>
        <w:rPr>
          <w:lang w:val="es-ES"/>
        </w:rPr>
      </w:pPr>
      <w:bookmarkStart w:id="48" w:name="_Toc393697857"/>
      <w:r>
        <w:rPr>
          <w:lang w:val="es-ES"/>
        </w:rPr>
        <w:t>1.6</w:t>
      </w:r>
      <w:r>
        <w:rPr>
          <w:lang w:val="es-ES"/>
        </w:rPr>
        <w:tab/>
        <w:t>Condición de modulación</w:t>
      </w:r>
      <w:bookmarkEnd w:id="48"/>
    </w:p>
    <w:p w:rsidR="002E5EB0" w:rsidRDefault="002E5EB0" w:rsidP="002E5EB0">
      <w:pPr>
        <w:rPr>
          <w:lang w:val="es-ES"/>
        </w:rPr>
      </w:pPr>
      <w:r>
        <w:rPr>
          <w:lang w:val="es-ES"/>
        </w:rPr>
        <w:t>Toda vez que sea posible, las mediciones se deben efectuar con la máxima modulación nominal en condiciones normales de funcionamiento. Algunas veces puede ser útil comenzar las mediciones sin aplicar modulación con el fin de detectar algunas frecuencias no esenciales concretas. En este caso, se debe señalar que no todas las frecuencias de emisiones en el dominio no esencial se pueden detectar y la modulación aplicada puede producir otros componentes de frecuencias no esenciales.</w:t>
      </w:r>
    </w:p>
    <w:p w:rsidR="002E5EB0" w:rsidRDefault="002E5EB0" w:rsidP="002E5EB0">
      <w:pPr>
        <w:pStyle w:val="Heading1"/>
        <w:rPr>
          <w:lang w:val="es-ES"/>
        </w:rPr>
      </w:pPr>
      <w:bookmarkStart w:id="49" w:name="_Toc393697858"/>
      <w:r>
        <w:rPr>
          <w:lang w:val="es-ES"/>
        </w:rPr>
        <w:t>2</w:t>
      </w:r>
      <w:r>
        <w:rPr>
          <w:lang w:val="es-ES"/>
        </w:rPr>
        <w:tab/>
      </w:r>
      <w:r w:rsidRPr="002E5EB0">
        <w:rPr>
          <w:lang w:val="es-ES_tradnl"/>
        </w:rPr>
        <w:t>Limitaciones</w:t>
      </w:r>
      <w:r>
        <w:rPr>
          <w:lang w:val="es-ES"/>
        </w:rPr>
        <w:t xml:space="preserve"> de la medición</w:t>
      </w:r>
      <w:bookmarkEnd w:id="49"/>
    </w:p>
    <w:p w:rsidR="002E5EB0" w:rsidRDefault="002E5EB0" w:rsidP="000C144E">
      <w:pPr>
        <w:pStyle w:val="Heading2"/>
        <w:rPr>
          <w:lang w:val="es-ES"/>
        </w:rPr>
      </w:pPr>
      <w:bookmarkStart w:id="50" w:name="_Toc393697859"/>
      <w:r>
        <w:rPr>
          <w:lang w:val="es-ES"/>
        </w:rPr>
        <w:t>2.1</w:t>
      </w:r>
      <w:r>
        <w:rPr>
          <w:lang w:val="es-ES"/>
        </w:rPr>
        <w:tab/>
        <w:t>Limitaciones de anchura de banda</w:t>
      </w:r>
      <w:bookmarkEnd w:id="50"/>
    </w:p>
    <w:p w:rsidR="002E5EB0" w:rsidRDefault="002E5EB0" w:rsidP="002E13EE">
      <w:pPr>
        <w:rPr>
          <w:lang w:val="es-ES"/>
        </w:rPr>
      </w:pPr>
      <w:r>
        <w:rPr>
          <w:lang w:val="es-ES"/>
        </w:rPr>
        <w:t xml:space="preserve">Los límites de </w:t>
      </w:r>
      <w:r w:rsidR="002E13EE">
        <w:rPr>
          <w:lang w:val="es-ES"/>
        </w:rPr>
        <w:sym w:font="Symbol" w:char="F0B1"/>
      </w:r>
      <w:r>
        <w:rPr>
          <w:lang w:val="es-ES"/>
        </w:rPr>
        <w:t xml:space="preserve">250% de la anchura de banda necesaria determinan el comienzo de la banda de frecuencias de medición para las emisiones en el dominio no esencial conforme al </w:t>
      </w:r>
      <w:r>
        <w:rPr>
          <w:i/>
          <w:lang w:val="es-ES"/>
        </w:rPr>
        <w:t>recomienda</w:t>
      </w:r>
      <w:r>
        <w:rPr>
          <w:lang w:val="es-ES"/>
        </w:rPr>
        <w:t xml:space="preserve"> 2.3 de esta Recomendación. En algunos casos esto no es posible pues se pueden producir errores de medición importantes debido a la inclusión de emisiones en un dominio distinto al no esencial. A fin de establecer nuevos límites para la anchura de banda de medición en el dominio no esencial, se puede justificar una nueva separación de frecuencias distinta de </w:t>
      </w:r>
      <w:r w:rsidR="002E13EE">
        <w:rPr>
          <w:lang w:val="es-ES"/>
        </w:rPr>
        <w:sym w:font="Symbol" w:char="F0B1"/>
      </w:r>
      <w:r>
        <w:rPr>
          <w:lang w:val="es-ES"/>
        </w:rPr>
        <w:t>250% de la anchura de banda necesaria. Alternativamente, se puede utilizar una anchura de banda de menor resolución con el </w:t>
      </w:r>
      <w:r w:rsidR="002E13EE">
        <w:rPr>
          <w:lang w:val="es-ES"/>
        </w:rPr>
        <w:sym w:font="Symbol" w:char="F0B1"/>
      </w:r>
      <w:r>
        <w:rPr>
          <w:lang w:val="es-ES"/>
        </w:rPr>
        <w:t>250% de la anchura de banda necesaria.</w:t>
      </w:r>
    </w:p>
    <w:p w:rsidR="002E5EB0" w:rsidRDefault="002E5EB0" w:rsidP="000C144E">
      <w:pPr>
        <w:rPr>
          <w:lang w:val="es-ES"/>
        </w:rPr>
      </w:pPr>
      <w:r>
        <w:rPr>
          <w:lang w:val="es-ES"/>
        </w:rPr>
        <w:t>El nuevo límite y anchura de banda de resolución se relacionan mediante la siguiente expresión:</w:t>
      </w:r>
    </w:p>
    <w:p w:rsidR="002E5EB0" w:rsidRDefault="002E5EB0" w:rsidP="002E13EE">
      <w:pPr>
        <w:jc w:val="center"/>
        <w:rPr>
          <w:lang w:val="es-ES"/>
        </w:rPr>
      </w:pPr>
      <w:r>
        <w:rPr>
          <w:lang w:val="es-ES"/>
        </w:rPr>
        <w:t xml:space="preserve">Anchura de banda de resolución </w:t>
      </w:r>
      <w:r w:rsidR="002E13EE">
        <w:rPr>
          <w:lang w:val="es-ES"/>
        </w:rPr>
        <w:sym w:font="Symbol" w:char="F0B4"/>
      </w:r>
      <w:r>
        <w:rPr>
          <w:lang w:val="es-ES"/>
        </w:rPr>
        <w:t xml:space="preserve"> {(Factor de forma) –</w:t>
      </w:r>
      <w:r>
        <w:rPr>
          <w:sz w:val="4"/>
          <w:lang w:val="es-ES"/>
        </w:rPr>
        <w:t> </w:t>
      </w:r>
      <w:r>
        <w:rPr>
          <w:lang w:val="es-ES"/>
        </w:rPr>
        <w:t xml:space="preserve">1)} </w:t>
      </w:r>
      <w:r w:rsidR="002E13EE">
        <w:rPr>
          <w:lang w:val="es-ES"/>
        </w:rPr>
        <w:sym w:font="Symbol" w:char="F0A3"/>
      </w:r>
      <w:r w:rsidR="002E13EE">
        <w:rPr>
          <w:lang w:val="es-ES"/>
        </w:rPr>
        <w:t xml:space="preserve"> </w:t>
      </w:r>
      <w:r>
        <w:rPr>
          <w:lang w:val="es-ES"/>
        </w:rPr>
        <w:t>2 {(Límite, es decir, entre</w:t>
      </w:r>
      <w:r>
        <w:rPr>
          <w:lang w:val="es-ES"/>
        </w:rPr>
        <w:br/>
        <w:t>el dominio fuera de banda y el dominio no esencial) – (Anchura de banda necesaria)/2}</w:t>
      </w:r>
    </w:p>
    <w:p w:rsidR="002E5EB0" w:rsidRDefault="002E5EB0" w:rsidP="000C144E">
      <w:pPr>
        <w:rPr>
          <w:lang w:val="es-ES"/>
        </w:rPr>
      </w:pPr>
      <w:r>
        <w:rPr>
          <w:lang w:val="es-ES"/>
        </w:rPr>
        <w:t>De la expresión anterior surge claramente que si la anchura de banda de resolución no varía se debe calcular un nuevo límite. El caso opuesto también es verdadero.</w:t>
      </w:r>
    </w:p>
    <w:p w:rsidR="002E5EB0" w:rsidRDefault="002E5EB0" w:rsidP="002E13EE">
      <w:pPr>
        <w:rPr>
          <w:lang w:val="es-ES"/>
        </w:rPr>
      </w:pPr>
      <w:r>
        <w:rPr>
          <w:lang w:val="es-ES"/>
        </w:rPr>
        <w:t xml:space="preserve">Sea una señal con una anchura de banda necesaria de 16 kHz, y un límite de </w:t>
      </w:r>
      <w:r w:rsidR="002E13EE">
        <w:rPr>
          <w:lang w:val="es-ES"/>
        </w:rPr>
        <w:sym w:font="Symbol" w:char="F0B1"/>
      </w:r>
      <w:r>
        <w:rPr>
          <w:lang w:val="es-ES"/>
        </w:rPr>
        <w:t>250% (es decir 40 kHz) que no puede ser modificado. Si el filtro de medición de anchura de banda de resolución tiene un factor de forma de 15:1 y el rechazo requerido de la potencia en banda de la portadora es de 60 dB, la anchura de banda de resolución será de 4,5 kHz aproximadamente, aplicando la siguiente relación:</w:t>
      </w:r>
    </w:p>
    <w:p w:rsidR="002E5EB0" w:rsidRDefault="002E5EB0" w:rsidP="002E13EE">
      <w:pPr>
        <w:jc w:val="center"/>
        <w:rPr>
          <w:lang w:val="es-ES"/>
        </w:rPr>
      </w:pPr>
      <w:r>
        <w:rPr>
          <w:lang w:val="es-ES"/>
        </w:rPr>
        <w:t xml:space="preserve">Anchura de banda de resolución requerida </w:t>
      </w:r>
      <w:r w:rsidR="002E13EE">
        <w:rPr>
          <w:lang w:val="es-ES"/>
        </w:rPr>
        <w:sym w:font="Symbol" w:char="F0A3"/>
      </w:r>
      <w:r>
        <w:rPr>
          <w:lang w:val="es-ES"/>
        </w:rPr>
        <w:t xml:space="preserve"> 2 {(Límite) – </w:t>
      </w:r>
      <w:r>
        <w:rPr>
          <w:lang w:val="es-ES"/>
        </w:rPr>
        <w:br/>
        <w:t>(Anchura de banda necesaria)/2)/(Factor de forma –</w:t>
      </w:r>
      <w:r>
        <w:rPr>
          <w:sz w:val="4"/>
          <w:lang w:val="es-ES"/>
        </w:rPr>
        <w:t> </w:t>
      </w:r>
      <w:r>
        <w:rPr>
          <w:lang w:val="es-ES"/>
        </w:rPr>
        <w:t>1)</w:t>
      </w:r>
    </w:p>
    <w:p w:rsidR="00CD20DB" w:rsidRPr="001C121E" w:rsidRDefault="00CD20DB" w:rsidP="00CD20DB">
      <w:pPr>
        <w:pStyle w:val="Blanc"/>
        <w:rPr>
          <w:lang w:val="es-ES_tradnl"/>
        </w:rPr>
      </w:pPr>
    </w:p>
    <w:p w:rsidR="002E5EB0" w:rsidRDefault="002E5EB0" w:rsidP="000C144E">
      <w:pPr>
        <w:rPr>
          <w:lang w:val="es-ES"/>
        </w:rPr>
      </w:pPr>
      <w:r>
        <w:rPr>
          <w:lang w:val="es-ES"/>
        </w:rPr>
        <w:t>por tanto:</w:t>
      </w:r>
    </w:p>
    <w:p w:rsidR="002E5EB0" w:rsidRDefault="002E5EB0" w:rsidP="002E13EE">
      <w:pPr>
        <w:jc w:val="center"/>
        <w:rPr>
          <w:lang w:val="es-ES"/>
        </w:rPr>
      </w:pPr>
      <w:r>
        <w:rPr>
          <w:lang w:val="es-ES"/>
        </w:rPr>
        <w:t xml:space="preserve">Anchura de banda de resolución requerida </w:t>
      </w:r>
      <w:r w:rsidR="002E13EE">
        <w:rPr>
          <w:lang w:val="es-ES"/>
        </w:rPr>
        <w:sym w:font="Symbol" w:char="F0A3"/>
      </w:r>
      <w:r>
        <w:rPr>
          <w:lang w:val="es-ES"/>
        </w:rPr>
        <w:t xml:space="preserve"> 2 (40 – 16/2)/(15 – 1)</w:t>
      </w:r>
    </w:p>
    <w:p w:rsidR="00CD20DB" w:rsidRPr="001C121E" w:rsidRDefault="00CD20DB" w:rsidP="00CD20DB">
      <w:pPr>
        <w:pStyle w:val="Blanc"/>
        <w:rPr>
          <w:lang w:val="es-ES_tradnl"/>
        </w:rPr>
      </w:pPr>
    </w:p>
    <w:p w:rsidR="002E5EB0" w:rsidRDefault="002E5EB0" w:rsidP="000C144E">
      <w:pPr>
        <w:rPr>
          <w:lang w:val="es-ES"/>
        </w:rPr>
      </w:pPr>
      <w:r>
        <w:rPr>
          <w:lang w:val="es-ES"/>
        </w:rPr>
        <w:t>por consiguiente:</w:t>
      </w:r>
    </w:p>
    <w:p w:rsidR="002E5EB0" w:rsidRDefault="002E5EB0" w:rsidP="002E13EE">
      <w:pPr>
        <w:jc w:val="center"/>
        <w:rPr>
          <w:lang w:val="es-ES"/>
        </w:rPr>
      </w:pPr>
      <w:r>
        <w:rPr>
          <w:lang w:val="es-ES"/>
        </w:rPr>
        <w:t xml:space="preserve">Anchura de banda de resolución requerida </w:t>
      </w:r>
      <w:r w:rsidR="002E13EE">
        <w:rPr>
          <w:lang w:val="es-ES"/>
        </w:rPr>
        <w:t>&lt;</w:t>
      </w:r>
      <w:r>
        <w:rPr>
          <w:lang w:val="es-ES"/>
        </w:rPr>
        <w:t xml:space="preserve"> 4,5 kHz</w:t>
      </w:r>
    </w:p>
    <w:p w:rsidR="00CD20DB" w:rsidRPr="001C121E" w:rsidRDefault="00CD20DB" w:rsidP="00CD20DB">
      <w:pPr>
        <w:pStyle w:val="Blanc"/>
        <w:rPr>
          <w:lang w:val="es-ES_tradnl"/>
        </w:rPr>
      </w:pPr>
    </w:p>
    <w:p w:rsidR="002E5EB0" w:rsidRDefault="002E5EB0" w:rsidP="000C144E">
      <w:pPr>
        <w:rPr>
          <w:lang w:val="es-ES"/>
        </w:rPr>
      </w:pPr>
      <w:r>
        <w:rPr>
          <w:lang w:val="es-ES"/>
        </w:rPr>
        <w:t>Por otra parte, dada la misma señal y parámetros del receptor de medición, si la anchura de banda de resolución se fija en 100 kHz se calcula entonces un nuevo límite reordenando la fórmula precedente y resolviéndola para el nuevo límite. En este caso, si la anchura de banda de resolución se fija en 100 kHz, el nuevo límite será 708 kHz.</w:t>
      </w:r>
    </w:p>
    <w:p w:rsidR="002E5EB0" w:rsidRDefault="002E5EB0" w:rsidP="000C144E">
      <w:pPr>
        <w:pStyle w:val="Heading2"/>
        <w:rPr>
          <w:lang w:val="es-ES"/>
        </w:rPr>
      </w:pPr>
      <w:bookmarkStart w:id="51" w:name="_Toc393697860"/>
      <w:r>
        <w:rPr>
          <w:lang w:val="es-ES"/>
        </w:rPr>
        <w:lastRenderedPageBreak/>
        <w:t>2.2</w:t>
      </w:r>
      <w:r>
        <w:rPr>
          <w:lang w:val="es-ES"/>
        </w:rPr>
        <w:tab/>
        <w:t>Limitación de sensibilidad</w:t>
      </w:r>
      <w:bookmarkEnd w:id="51"/>
    </w:p>
    <w:p w:rsidR="002E5EB0" w:rsidRDefault="002E5EB0" w:rsidP="000C144E">
      <w:pPr>
        <w:rPr>
          <w:lang w:val="es-ES"/>
        </w:rPr>
      </w:pPr>
      <w:r>
        <w:rPr>
          <w:lang w:val="es-ES"/>
        </w:rPr>
        <w:t>En determinadas condiciones, la sensibilidad de los analizadores de espectro disponibles en el comercio junto con las pérdidas de cables y de transición, pueden conducir a una insuficiente sensibilidad de medición. Esto se puede remediar mediante la utilización de un amplificador de bajo ruido.</w:t>
      </w:r>
    </w:p>
    <w:p w:rsidR="002E5EB0" w:rsidRDefault="002E5EB0" w:rsidP="000C144E">
      <w:pPr>
        <w:rPr>
          <w:lang w:val="es-ES"/>
        </w:rPr>
      </w:pPr>
      <w:r>
        <w:rPr>
          <w:lang w:val="es-ES"/>
        </w:rPr>
        <w:t>En casos extremos, típicamente por encima de 26 GHz y principalmente debido a la utilización de mezcladores externos en el montaje de prueba, no sería posible obtener la sensibilidad suficiente para verificar que el equipo sometido a prueba satisfaga los requisitos de especificación en condiciones de modulación. La medición de las emisiones en el dominio no esencial en la condición de onda continua (CW) se puede corregir, para las emisiones que están sujetas al proceso de modulación, en una cantidad igual a la pérdida de modulación del equipo sometido a prueba.</w:t>
      </w:r>
    </w:p>
    <w:p w:rsidR="002E5EB0" w:rsidRDefault="002E5EB0" w:rsidP="000C144E">
      <w:pPr>
        <w:pStyle w:val="Heading2"/>
        <w:rPr>
          <w:lang w:val="es-ES"/>
        </w:rPr>
      </w:pPr>
      <w:bookmarkStart w:id="52" w:name="_Toc393697861"/>
      <w:r>
        <w:rPr>
          <w:lang w:val="es-ES"/>
        </w:rPr>
        <w:t>2.3</w:t>
      </w:r>
      <w:r>
        <w:rPr>
          <w:lang w:val="es-ES"/>
        </w:rPr>
        <w:tab/>
        <w:t>Limitaciones de tiempo</w:t>
      </w:r>
      <w:bookmarkEnd w:id="52"/>
    </w:p>
    <w:p w:rsidR="002E5EB0" w:rsidRDefault="002E5EB0" w:rsidP="000C144E">
      <w:pPr>
        <w:rPr>
          <w:lang w:val="es-ES"/>
        </w:rPr>
      </w:pPr>
      <w:r>
        <w:rPr>
          <w:lang w:val="es-ES"/>
        </w:rPr>
        <w:t>Para cualquier señal deseada, en la que la amplitud de salida varía en el tiempo (por ejemplo, modulación de la envolvente no constante), se pueden utilizar diez o más mediciones promedio por razones de consistencia.</w:t>
      </w:r>
    </w:p>
    <w:p w:rsidR="002E5EB0" w:rsidRDefault="002E5EB0" w:rsidP="000C144E">
      <w:pPr>
        <w:pStyle w:val="Heading1"/>
        <w:rPr>
          <w:lang w:val="es-ES"/>
        </w:rPr>
      </w:pPr>
      <w:bookmarkStart w:id="53" w:name="_Toc393697862"/>
      <w:r>
        <w:rPr>
          <w:lang w:val="es-ES"/>
        </w:rPr>
        <w:t>3</w:t>
      </w:r>
      <w:r>
        <w:rPr>
          <w:lang w:val="es-ES"/>
        </w:rPr>
        <w:tab/>
        <w:t>Métodos de medición</w:t>
      </w:r>
      <w:bookmarkEnd w:id="53"/>
    </w:p>
    <w:p w:rsidR="002E5EB0" w:rsidRDefault="002E5EB0" w:rsidP="000C144E">
      <w:pPr>
        <w:pStyle w:val="Heading2"/>
        <w:rPr>
          <w:lang w:val="es-ES"/>
        </w:rPr>
      </w:pPr>
      <w:bookmarkStart w:id="54" w:name="_Toc393697863"/>
      <w:r>
        <w:rPr>
          <w:lang w:val="es-ES"/>
        </w:rPr>
        <w:t>3.1</w:t>
      </w:r>
      <w:r>
        <w:rPr>
          <w:lang w:val="es-ES"/>
        </w:rPr>
        <w:tab/>
        <w:t>Introducción</w:t>
      </w:r>
      <w:bookmarkEnd w:id="54"/>
    </w:p>
    <w:p w:rsidR="002E5EB0" w:rsidRDefault="002E5EB0" w:rsidP="00C8656E">
      <w:pPr>
        <w:rPr>
          <w:lang w:val="es-ES"/>
        </w:rPr>
      </w:pPr>
      <w:r>
        <w:rPr>
          <w:lang w:val="es-ES"/>
        </w:rPr>
        <w:t xml:space="preserve">En este </w:t>
      </w:r>
      <w:r w:rsidR="00C8656E">
        <w:rPr>
          <w:lang w:val="es-ES"/>
        </w:rPr>
        <w:t>a</w:t>
      </w:r>
      <w:r>
        <w:rPr>
          <w:lang w:val="es-ES"/>
        </w:rPr>
        <w:t xml:space="preserve">nexo se describen dos métodos básicos de medición de emisiones en el dominio no esencial. El Método 2 se describe en la Publicación </w:t>
      </w:r>
      <w:r w:rsidR="00D90E80">
        <w:rPr>
          <w:lang w:val="es-ES"/>
        </w:rPr>
        <w:t>N.</w:t>
      </w:r>
      <w:r w:rsidR="00D90E80">
        <w:rPr>
          <w:lang w:val="es-ES"/>
        </w:rPr>
        <w:sym w:font="Symbol" w:char="F0B0"/>
      </w:r>
      <w:r>
        <w:rPr>
          <w:lang w:val="es-ES"/>
        </w:rPr>
        <w:t xml:space="preserve"> 16 del CISPR. Se debe tener cuidado con los Métodos 1 y 2 que las emisiones procedentes de la prueba no produzcan interferencias a sistemas que se encuentran en el entorno, como así también utilizar la función de ponderación (véase el § 1.1.1) que adapta la potencia especificada en las Categorías A, B, C, D y Z.</w:t>
      </w:r>
    </w:p>
    <w:p w:rsidR="002E5EB0" w:rsidRDefault="002E5EB0" w:rsidP="00495E2E">
      <w:pPr>
        <w:pStyle w:val="enumlev1"/>
        <w:rPr>
          <w:spacing w:val="-2"/>
          <w:lang w:val="es-ES"/>
        </w:rPr>
      </w:pPr>
      <w:r>
        <w:rPr>
          <w:spacing w:val="-2"/>
          <w:lang w:val="es-ES"/>
        </w:rPr>
        <w:t>–</w:t>
      </w:r>
      <w:r>
        <w:rPr>
          <w:spacing w:val="-2"/>
          <w:lang w:val="es-ES"/>
        </w:rPr>
        <w:tab/>
        <w:t>El Método</w:t>
      </w:r>
      <w:r w:rsidR="00495E2E">
        <w:rPr>
          <w:spacing w:val="-2"/>
          <w:lang w:val="es-ES"/>
        </w:rPr>
        <w:t> </w:t>
      </w:r>
      <w:r>
        <w:rPr>
          <w:spacing w:val="-2"/>
          <w:lang w:val="es-ES"/>
        </w:rPr>
        <w:t>1a constituye la medición de la potencia de las emisiones en el dominio no esencial suministradas al terminal de antena del equipo sometido a prueba. Este método se debe utilizar toda vez que sea práctico y apropiado.</w:t>
      </w:r>
    </w:p>
    <w:p w:rsidR="002E5EB0" w:rsidRDefault="002E5EB0" w:rsidP="00495E2E">
      <w:pPr>
        <w:pStyle w:val="enumlev1"/>
        <w:rPr>
          <w:lang w:val="es-ES"/>
        </w:rPr>
      </w:pPr>
      <w:r>
        <w:rPr>
          <w:lang w:val="es-ES"/>
        </w:rPr>
        <w:t>–</w:t>
      </w:r>
      <w:r>
        <w:rPr>
          <w:lang w:val="es-ES"/>
        </w:rPr>
        <w:tab/>
        <w:t>El Método</w:t>
      </w:r>
      <w:r w:rsidR="00495E2E">
        <w:rPr>
          <w:lang w:val="es-ES"/>
        </w:rPr>
        <w:t> </w:t>
      </w:r>
      <w:r>
        <w:rPr>
          <w:lang w:val="es-ES"/>
        </w:rPr>
        <w:t>1b constituye la medición de la potencia de las emisiones en el dominio no esencial suministrada al terminal de antena del equipo sometido a prueba. Este método puede utilizarse cuando el filtro de rechazo fundamental no está disponible y el margen dinámico del receptor de medición (equipado posiblemente con un preselector) es el adecuado.</w:t>
      </w:r>
    </w:p>
    <w:p w:rsidR="002E5EB0" w:rsidRDefault="002E5EB0" w:rsidP="00495E2E">
      <w:pPr>
        <w:pStyle w:val="enumlev1"/>
        <w:rPr>
          <w:lang w:val="es-ES"/>
        </w:rPr>
      </w:pPr>
      <w:r>
        <w:rPr>
          <w:lang w:val="es-ES"/>
        </w:rPr>
        <w:t>–</w:t>
      </w:r>
      <w:r>
        <w:rPr>
          <w:lang w:val="es-ES"/>
        </w:rPr>
        <w:tab/>
        <w:t>El Método</w:t>
      </w:r>
      <w:r w:rsidR="00495E2E">
        <w:rPr>
          <w:lang w:val="es-ES"/>
        </w:rPr>
        <w:t> </w:t>
      </w:r>
      <w:r>
        <w:rPr>
          <w:lang w:val="es-ES"/>
        </w:rPr>
        <w:t>2 constituye la medición de la p.i.r.e., que utiliza un emplazamiento de prueba adecuado.</w:t>
      </w:r>
    </w:p>
    <w:p w:rsidR="002E5EB0" w:rsidRDefault="002E5EB0" w:rsidP="002E5EB0">
      <w:pPr>
        <w:rPr>
          <w:spacing w:val="-2"/>
          <w:lang w:val="es-ES"/>
        </w:rPr>
      </w:pPr>
      <w:r>
        <w:rPr>
          <w:spacing w:val="-2"/>
          <w:lang w:val="es-ES"/>
        </w:rPr>
        <w:t xml:space="preserve">Los sistemas que utilizan guiaondas deben emplear el Método 2, pues las guiaondas de terminación en un dispositivo de transición pueden producir muchos problemas de prueba. Si el terminal de antena es una brida de adaptación de la guiaonda, las emisiones </w:t>
      </w:r>
      <w:r>
        <w:rPr>
          <w:lang w:val="es-ES"/>
        </w:rPr>
        <w:t xml:space="preserve">en el dominio </w:t>
      </w:r>
      <w:r>
        <w:rPr>
          <w:spacing w:val="-2"/>
          <w:lang w:val="es-ES"/>
        </w:rPr>
        <w:t>no esencial distantes podrían resultar considerablemente atenuadas en la transición guiaonda-coaxial, salvo que en la línea de medición se coloquen secciones especiales de guiaondas abocinadas (de variación progresiva a lo largo de su eje) de modo tal que se pueda utilizar el Método 1. De manera similar, los transmisores en bandas de ondas miriamétricas/kilométricas también se deben medir empleando el Método 2 pues el límite entre el transmisor, el cable de alimentación y la antena no siempre está claramente definido.</w:t>
      </w:r>
    </w:p>
    <w:p w:rsidR="002E5EB0" w:rsidRDefault="002E5EB0" w:rsidP="00CC2082">
      <w:pPr>
        <w:rPr>
          <w:lang w:val="es-ES"/>
        </w:rPr>
      </w:pPr>
      <w:r>
        <w:rPr>
          <w:lang w:val="es-ES"/>
        </w:rPr>
        <w:t>El método de medición para los sistemas de radar d</w:t>
      </w:r>
      <w:r w:rsidR="00CC2082">
        <w:rPr>
          <w:lang w:val="es-ES"/>
        </w:rPr>
        <w:t>ebe orientarse según la Recomen</w:t>
      </w:r>
      <w:r>
        <w:rPr>
          <w:lang w:val="es-ES"/>
        </w:rPr>
        <w:t>dación</w:t>
      </w:r>
      <w:r w:rsidR="00CC2082">
        <w:rPr>
          <w:lang w:val="es-ES"/>
        </w:rPr>
        <w:t xml:space="preserve"> </w:t>
      </w:r>
      <w:r>
        <w:rPr>
          <w:lang w:val="es-ES"/>
        </w:rPr>
        <w:t>UIT</w:t>
      </w:r>
      <w:r>
        <w:rPr>
          <w:lang w:val="es-ES"/>
        </w:rPr>
        <w:noBreakHyphen/>
        <w:t>R M.1177. En los sistemas para los que no existen métodos aceptables de medición, deben adoptarse todas las medidas prácticas a fin de cumplir los límites adecuados de la potencia de las emisiones en el dominio no esencial.</w:t>
      </w:r>
    </w:p>
    <w:p w:rsidR="002E5EB0" w:rsidRDefault="002E5EB0" w:rsidP="000C144E">
      <w:pPr>
        <w:pStyle w:val="Heading2"/>
        <w:rPr>
          <w:lang w:val="es-ES"/>
        </w:rPr>
      </w:pPr>
      <w:bookmarkStart w:id="55" w:name="_Toc393697864"/>
      <w:r>
        <w:rPr>
          <w:lang w:val="es-ES"/>
        </w:rPr>
        <w:lastRenderedPageBreak/>
        <w:t>3.2</w:t>
      </w:r>
      <w:r>
        <w:rPr>
          <w:lang w:val="es-ES"/>
        </w:rPr>
        <w:tab/>
        <w:t>Método 1 – Medición</w:t>
      </w:r>
      <w:r>
        <w:rPr>
          <w:sz w:val="18"/>
          <w:lang w:val="es-ES"/>
        </w:rPr>
        <w:t xml:space="preserve"> </w:t>
      </w:r>
      <w:r>
        <w:rPr>
          <w:lang w:val="es-ES"/>
        </w:rPr>
        <w:t>de</w:t>
      </w:r>
      <w:r>
        <w:rPr>
          <w:sz w:val="18"/>
          <w:lang w:val="es-ES"/>
        </w:rPr>
        <w:t xml:space="preserve"> </w:t>
      </w:r>
      <w:r>
        <w:rPr>
          <w:lang w:val="es-ES"/>
        </w:rPr>
        <w:t>la</w:t>
      </w:r>
      <w:r>
        <w:rPr>
          <w:sz w:val="18"/>
          <w:lang w:val="es-ES"/>
        </w:rPr>
        <w:t xml:space="preserve"> </w:t>
      </w:r>
      <w:r>
        <w:rPr>
          <w:lang w:val="es-ES"/>
        </w:rPr>
        <w:t>potencia</w:t>
      </w:r>
      <w:r>
        <w:rPr>
          <w:sz w:val="18"/>
          <w:lang w:val="es-ES"/>
        </w:rPr>
        <w:t xml:space="preserve"> </w:t>
      </w:r>
      <w:r>
        <w:rPr>
          <w:lang w:val="es-ES"/>
        </w:rPr>
        <w:t>de</w:t>
      </w:r>
      <w:r>
        <w:rPr>
          <w:sz w:val="18"/>
          <w:lang w:val="es-ES"/>
        </w:rPr>
        <w:t xml:space="preserve"> </w:t>
      </w:r>
      <w:r>
        <w:rPr>
          <w:lang w:val="es-ES"/>
        </w:rPr>
        <w:t>las</w:t>
      </w:r>
      <w:r>
        <w:rPr>
          <w:sz w:val="18"/>
          <w:lang w:val="es-ES"/>
        </w:rPr>
        <w:t xml:space="preserve"> </w:t>
      </w:r>
      <w:r>
        <w:rPr>
          <w:lang w:val="es-ES"/>
        </w:rPr>
        <w:t>emisiones en el dominio no esencial aplicada</w:t>
      </w:r>
      <w:r>
        <w:rPr>
          <w:sz w:val="18"/>
          <w:lang w:val="es-ES"/>
        </w:rPr>
        <w:t xml:space="preserve"> </w:t>
      </w:r>
      <w:r>
        <w:rPr>
          <w:lang w:val="es-ES"/>
        </w:rPr>
        <w:t>al</w:t>
      </w:r>
      <w:r>
        <w:rPr>
          <w:sz w:val="18"/>
          <w:lang w:val="es-ES"/>
        </w:rPr>
        <w:t xml:space="preserve"> </w:t>
      </w:r>
      <w:r>
        <w:rPr>
          <w:lang w:val="es-ES"/>
        </w:rPr>
        <w:t>terminal</w:t>
      </w:r>
      <w:r>
        <w:rPr>
          <w:sz w:val="18"/>
          <w:lang w:val="es-ES"/>
        </w:rPr>
        <w:t xml:space="preserve"> </w:t>
      </w:r>
      <w:r>
        <w:rPr>
          <w:lang w:val="es-ES"/>
        </w:rPr>
        <w:t>de</w:t>
      </w:r>
      <w:r>
        <w:rPr>
          <w:sz w:val="18"/>
          <w:lang w:val="es-ES"/>
        </w:rPr>
        <w:t xml:space="preserve"> </w:t>
      </w:r>
      <w:r>
        <w:rPr>
          <w:lang w:val="es-ES"/>
        </w:rPr>
        <w:t>antena</w:t>
      </w:r>
      <w:bookmarkEnd w:id="55"/>
    </w:p>
    <w:p w:rsidR="002E5EB0" w:rsidRDefault="002E5EB0" w:rsidP="002E5EB0">
      <w:pPr>
        <w:rPr>
          <w:lang w:val="es-ES"/>
        </w:rPr>
      </w:pPr>
      <w:r>
        <w:rPr>
          <w:lang w:val="es-ES"/>
        </w:rPr>
        <w:t>No es necesario utilizar un emplazamiento de prueba o recinto anecoico pues la interferencia electromagnética no debería afectar los resultados de las pruebas. Siempre que sea posible, la medición deberá incluir el cable de alimentación. Este método no tiene en cuenta la atenuación debida a la desadaptación de antena e ineficiencias de radiación presentadas a cualquier radiación parásita, o la generación activa de radiaciones parásitas producidas por la propia antena.</w:t>
      </w:r>
    </w:p>
    <w:p w:rsidR="002E5EB0" w:rsidRDefault="002E5EB0" w:rsidP="002E5EB0">
      <w:pPr>
        <w:pStyle w:val="Heading3"/>
        <w:rPr>
          <w:lang w:val="es-ES"/>
        </w:rPr>
      </w:pPr>
      <w:r>
        <w:rPr>
          <w:lang w:val="es-ES"/>
        </w:rPr>
        <w:t>3.2.1</w:t>
      </w:r>
      <w:r>
        <w:rPr>
          <w:lang w:val="es-ES"/>
        </w:rPr>
        <w:tab/>
        <w:t>Método 1a – Medición utilizando un filtro de rechazo fundamental</w:t>
      </w:r>
    </w:p>
    <w:p w:rsidR="002E5EB0" w:rsidRDefault="002E5EB0" w:rsidP="002E5EB0">
      <w:pPr>
        <w:rPr>
          <w:lang w:val="es-ES"/>
        </w:rPr>
      </w:pPr>
      <w:r>
        <w:rPr>
          <w:lang w:val="es-ES"/>
        </w:rPr>
        <w:t>En la Fig. 1a se muestra el diagrama de bloques de la disposición de montaje empleado para realizar la medición de la potencia de la emisión en el dominio no esencial inyectada al terminal de la antena.</w:t>
      </w:r>
    </w:p>
    <w:p w:rsidR="002E5EB0" w:rsidRDefault="002E5EB0" w:rsidP="000C144E">
      <w:pPr>
        <w:pStyle w:val="FigureNo"/>
        <w:rPr>
          <w:lang w:val="es-ES"/>
        </w:rPr>
      </w:pPr>
      <w:r>
        <w:rPr>
          <w:noProof/>
          <w:lang w:val="es-ES_tradnl" w:eastAsia="zh-CN"/>
        </w:rPr>
        <w:drawing>
          <wp:inline distT="0" distB="0" distL="0" distR="0" wp14:anchorId="438BC511" wp14:editId="6413FE48">
            <wp:extent cx="3759835" cy="42792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9835" cy="4279265"/>
                    </a:xfrm>
                    <a:prstGeom prst="rect">
                      <a:avLst/>
                    </a:prstGeom>
                    <a:noFill/>
                    <a:ln>
                      <a:noFill/>
                    </a:ln>
                  </pic:spPr>
                </pic:pic>
              </a:graphicData>
            </a:graphic>
          </wp:inline>
        </w:drawing>
      </w:r>
    </w:p>
    <w:p w:rsidR="00CC2082" w:rsidRDefault="00CC2082" w:rsidP="00CC2082">
      <w:pPr>
        <w:rPr>
          <w:lang w:val="es-ES"/>
        </w:rPr>
      </w:pPr>
    </w:p>
    <w:p w:rsidR="002E5EB0" w:rsidRDefault="002E5EB0" w:rsidP="000C144E">
      <w:pPr>
        <w:pStyle w:val="Heading4"/>
        <w:rPr>
          <w:lang w:val="es-ES"/>
        </w:rPr>
      </w:pPr>
      <w:r>
        <w:rPr>
          <w:lang w:val="es-ES"/>
        </w:rPr>
        <w:t>3.2.1.1</w:t>
      </w:r>
      <w:r>
        <w:rPr>
          <w:lang w:val="es-ES"/>
        </w:rPr>
        <w:tab/>
        <w:t>Esquema de conducción directa</w:t>
      </w:r>
    </w:p>
    <w:p w:rsidR="002E5EB0" w:rsidRDefault="002E5EB0" w:rsidP="000C144E">
      <w:pPr>
        <w:rPr>
          <w:lang w:val="es-ES"/>
        </w:rPr>
      </w:pPr>
      <w:r>
        <w:rPr>
          <w:lang w:val="es-ES"/>
        </w:rPr>
        <w:t xml:space="preserve">En este esquema, se requiere calibrar individualmente todos los componentes de medición (filtro o filtros, acoplador, cables), o calibrar estos dispositivos de conexión en forma global. En cualquier caso, la calibración se efectúa mediante un generador calibrado de nivel ajustable conectado a la entrada del receptor de medición. En cada frecuencia, </w:t>
      </w:r>
      <w:r w:rsidRPr="003B4B83">
        <w:rPr>
          <w:i/>
          <w:iCs/>
          <w:lang w:val="es-ES"/>
        </w:rPr>
        <w:t>f</w:t>
      </w:r>
      <w:r>
        <w:rPr>
          <w:lang w:val="es-ES"/>
        </w:rPr>
        <w:t xml:space="preserve">, el factor de calibración, </w:t>
      </w:r>
      <w:r>
        <w:rPr>
          <w:i/>
          <w:lang w:val="es-ES"/>
        </w:rPr>
        <w:t>k</w:t>
      </w:r>
      <w:r>
        <w:rPr>
          <w:i/>
          <w:vertAlign w:val="subscript"/>
          <w:lang w:val="es-ES"/>
        </w:rPr>
        <w:t>f</w:t>
      </w:r>
      <w:r>
        <w:rPr>
          <w:lang w:val="es-ES"/>
        </w:rPr>
        <w:t>, se determina mediante la siguiente expresión:</w:t>
      </w:r>
    </w:p>
    <w:p w:rsidR="00CC2082" w:rsidRPr="001C121E" w:rsidRDefault="00CC2082" w:rsidP="00CC2082">
      <w:pPr>
        <w:pStyle w:val="Blanc"/>
        <w:rPr>
          <w:lang w:val="es-ES_tradnl"/>
        </w:rPr>
      </w:pPr>
    </w:p>
    <w:p w:rsidR="002E5EB0" w:rsidRPr="003B4B83" w:rsidRDefault="002E5EB0" w:rsidP="00495E2E">
      <w:pPr>
        <w:pStyle w:val="Equation"/>
        <w:rPr>
          <w:lang w:val="es-ES"/>
        </w:rPr>
      </w:pPr>
      <w:r w:rsidRPr="003B4B83">
        <w:rPr>
          <w:lang w:val="es-ES"/>
        </w:rPr>
        <w:tab/>
      </w:r>
      <w:r w:rsidRPr="003B4B83">
        <w:rPr>
          <w:lang w:val="es-ES"/>
        </w:rPr>
        <w:tab/>
      </w:r>
      <w:r w:rsidRPr="003B4B83">
        <w:rPr>
          <w:i/>
          <w:lang w:val="es-ES"/>
        </w:rPr>
        <w:t>k</w:t>
      </w:r>
      <w:r w:rsidRPr="003B4B83">
        <w:rPr>
          <w:i/>
          <w:iCs/>
          <w:vertAlign w:val="subscript"/>
          <w:lang w:val="es-ES"/>
        </w:rPr>
        <w:t>f</w:t>
      </w:r>
      <w:r w:rsidRPr="003B4B83">
        <w:rPr>
          <w:lang w:val="es-ES"/>
        </w:rPr>
        <w:t xml:space="preserve">  </w:t>
      </w:r>
      <w:r w:rsidR="009E4D54">
        <w:rPr>
          <w:lang w:val="es-ES"/>
        </w:rPr>
        <w:t>=</w:t>
      </w:r>
      <w:r w:rsidRPr="003B4B83">
        <w:rPr>
          <w:lang w:val="es-ES"/>
        </w:rPr>
        <w:t xml:space="preserve">  </w:t>
      </w:r>
      <w:r w:rsidRPr="003B4B83">
        <w:rPr>
          <w:i/>
          <w:lang w:val="es-ES"/>
        </w:rPr>
        <w:t>I</w:t>
      </w:r>
      <w:r w:rsidRPr="003B4B83">
        <w:rPr>
          <w:i/>
          <w:iCs/>
          <w:vertAlign w:val="subscript"/>
          <w:lang w:val="es-ES"/>
        </w:rPr>
        <w:t>f</w:t>
      </w:r>
      <w:r w:rsidRPr="003B4B83">
        <w:rPr>
          <w:lang w:val="es-ES"/>
        </w:rPr>
        <w:t xml:space="preserve">  – </w:t>
      </w:r>
      <w:r w:rsidR="00495E2E">
        <w:rPr>
          <w:lang w:val="es-ES"/>
        </w:rPr>
        <w:t xml:space="preserve"> </w:t>
      </w:r>
      <w:r w:rsidRPr="003B4B83">
        <w:rPr>
          <w:i/>
          <w:lang w:val="es-ES"/>
        </w:rPr>
        <w:t>O</w:t>
      </w:r>
      <w:r w:rsidRPr="003B4B83">
        <w:rPr>
          <w:i/>
          <w:iCs/>
          <w:vertAlign w:val="subscript"/>
          <w:lang w:val="es-ES"/>
        </w:rPr>
        <w:t>f</w:t>
      </w:r>
    </w:p>
    <w:p w:rsidR="002E5EB0" w:rsidRPr="003B4B83" w:rsidRDefault="002E5EB0" w:rsidP="0007426D">
      <w:pPr>
        <w:keepNext/>
        <w:keepLines/>
        <w:rPr>
          <w:lang w:val="es-ES"/>
        </w:rPr>
      </w:pPr>
      <w:r w:rsidRPr="003B4B83">
        <w:rPr>
          <w:lang w:val="es-ES"/>
        </w:rPr>
        <w:lastRenderedPageBreak/>
        <w:t>donde:</w:t>
      </w:r>
    </w:p>
    <w:p w:rsidR="002E5EB0" w:rsidRDefault="002E5EB0" w:rsidP="000C144E">
      <w:pPr>
        <w:pStyle w:val="Equationlegend"/>
        <w:rPr>
          <w:lang w:val="es-ES"/>
        </w:rPr>
      </w:pPr>
      <w:r w:rsidRPr="003B4B83">
        <w:rPr>
          <w:lang w:val="es-ES"/>
        </w:rPr>
        <w:tab/>
      </w:r>
      <w:r>
        <w:rPr>
          <w:i/>
          <w:lang w:val="es-ES"/>
        </w:rPr>
        <w:t>k</w:t>
      </w:r>
      <w:r>
        <w:rPr>
          <w:i/>
          <w:vertAlign w:val="subscript"/>
          <w:lang w:val="es-ES"/>
        </w:rPr>
        <w:t>f</w:t>
      </w:r>
      <w:r>
        <w:rPr>
          <w:sz w:val="12"/>
          <w:lang w:val="es-ES"/>
        </w:rPr>
        <w:t> </w:t>
      </w:r>
      <w:r>
        <w:rPr>
          <w:lang w:val="es-ES"/>
        </w:rPr>
        <w:t>:</w:t>
      </w:r>
      <w:r>
        <w:rPr>
          <w:lang w:val="es-ES"/>
        </w:rPr>
        <w:tab/>
        <w:t xml:space="preserve">factor de calibración (dB) a la frecuencia </w:t>
      </w:r>
      <w:r>
        <w:rPr>
          <w:i/>
          <w:lang w:val="es-ES"/>
        </w:rPr>
        <w:t>f</w:t>
      </w:r>
    </w:p>
    <w:p w:rsidR="002E5EB0" w:rsidRDefault="002E5EB0" w:rsidP="000C144E">
      <w:pPr>
        <w:pStyle w:val="Equationlegend"/>
        <w:rPr>
          <w:lang w:val="es-ES"/>
        </w:rPr>
      </w:pPr>
      <w:r>
        <w:rPr>
          <w:lang w:val="es-ES"/>
        </w:rPr>
        <w:tab/>
      </w:r>
      <w:r>
        <w:rPr>
          <w:i/>
          <w:iCs/>
          <w:lang w:val="es-ES"/>
        </w:rPr>
        <w:t>I</w:t>
      </w:r>
      <w:r>
        <w:rPr>
          <w:i/>
          <w:vertAlign w:val="subscript"/>
          <w:lang w:val="es-ES"/>
        </w:rPr>
        <w:t>f</w:t>
      </w:r>
      <w:r>
        <w:rPr>
          <w:sz w:val="12"/>
          <w:lang w:val="es-ES"/>
        </w:rPr>
        <w:t> </w:t>
      </w:r>
      <w:r>
        <w:rPr>
          <w:lang w:val="es-ES"/>
        </w:rPr>
        <w:t>:</w:t>
      </w:r>
      <w:r>
        <w:rPr>
          <w:lang w:val="es-ES"/>
        </w:rPr>
        <w:tab/>
        <w:t xml:space="preserve">potencia de entrada (entregada por el generador calibrado) (dBW) o (dBm), a la frecuencia </w:t>
      </w:r>
      <w:r>
        <w:rPr>
          <w:i/>
          <w:iCs/>
          <w:lang w:val="es-ES"/>
        </w:rPr>
        <w:t>f</w:t>
      </w:r>
    </w:p>
    <w:p w:rsidR="002E5EB0" w:rsidRDefault="002E5EB0" w:rsidP="000C144E">
      <w:pPr>
        <w:pStyle w:val="Equationlegend"/>
        <w:rPr>
          <w:lang w:val="es-ES"/>
        </w:rPr>
      </w:pPr>
      <w:r>
        <w:rPr>
          <w:lang w:val="es-ES"/>
        </w:rPr>
        <w:tab/>
      </w:r>
      <w:r>
        <w:rPr>
          <w:i/>
          <w:iCs/>
          <w:lang w:val="es-ES"/>
        </w:rPr>
        <w:t>O</w:t>
      </w:r>
      <w:r>
        <w:rPr>
          <w:i/>
          <w:vertAlign w:val="subscript"/>
          <w:lang w:val="es-ES"/>
        </w:rPr>
        <w:t>f</w:t>
      </w:r>
      <w:r>
        <w:rPr>
          <w:sz w:val="12"/>
          <w:lang w:val="es-ES"/>
        </w:rPr>
        <w:t> </w:t>
      </w:r>
      <w:r>
        <w:rPr>
          <w:lang w:val="es-ES"/>
        </w:rPr>
        <w:t>:</w:t>
      </w:r>
      <w:r>
        <w:rPr>
          <w:lang w:val="es-ES"/>
        </w:rPr>
        <w:tab/>
        <w:t xml:space="preserve">potencia de salida (determinada por el receptor de medición) en la misma unidad que </w:t>
      </w:r>
      <w:r>
        <w:rPr>
          <w:i/>
          <w:iCs/>
          <w:lang w:val="es-ES"/>
        </w:rPr>
        <w:t>I</w:t>
      </w:r>
      <w:r>
        <w:rPr>
          <w:i/>
          <w:vertAlign w:val="subscript"/>
          <w:lang w:val="es-ES"/>
        </w:rPr>
        <w:t>f</w:t>
      </w:r>
      <w:r>
        <w:rPr>
          <w:lang w:val="es-ES"/>
        </w:rPr>
        <w:t xml:space="preserve">, a la frecuencia </w:t>
      </w:r>
      <w:r>
        <w:rPr>
          <w:i/>
          <w:iCs/>
          <w:lang w:val="es-ES"/>
        </w:rPr>
        <w:t>f</w:t>
      </w:r>
      <w:r>
        <w:rPr>
          <w:lang w:val="es-ES"/>
        </w:rPr>
        <w:t>.</w:t>
      </w:r>
    </w:p>
    <w:p w:rsidR="002E5EB0" w:rsidRDefault="002E5EB0" w:rsidP="000C144E">
      <w:pPr>
        <w:rPr>
          <w:lang w:val="es-ES"/>
        </w:rPr>
      </w:pPr>
      <w:r>
        <w:rPr>
          <w:lang w:val="es-ES"/>
        </w:rPr>
        <w:t>Este factor de calibración representa la pérdida de inserción total de todos los dispositivos conectados entre el generador y el receptor de medición.</w:t>
      </w:r>
    </w:p>
    <w:p w:rsidR="002E5EB0" w:rsidRDefault="002E5EB0" w:rsidP="00CC2082">
      <w:pPr>
        <w:keepNext/>
        <w:keepLines/>
        <w:rPr>
          <w:lang w:val="es-ES"/>
        </w:rPr>
      </w:pPr>
      <w:r>
        <w:rPr>
          <w:lang w:val="es-ES"/>
        </w:rPr>
        <w:t>Si se efectúan mediciones de calibración individual de los dispositivos, la calibración del montaje de medida en su totalidad se obtiene mediante la siguiente ecuación:</w:t>
      </w:r>
    </w:p>
    <w:p w:rsidR="00CC2082" w:rsidRPr="001C121E" w:rsidRDefault="00CC2082" w:rsidP="00CC2082">
      <w:pPr>
        <w:pStyle w:val="Blanc"/>
        <w:rPr>
          <w:lang w:val="es-ES_tradnl"/>
        </w:rPr>
      </w:pPr>
    </w:p>
    <w:p w:rsidR="002E5EB0" w:rsidRDefault="002E5EB0" w:rsidP="00CC2082">
      <w:pPr>
        <w:pStyle w:val="Equation"/>
        <w:keepNext/>
        <w:keepLines/>
      </w:pPr>
      <w:r w:rsidRPr="003B4B83">
        <w:rPr>
          <w:lang w:val="es-ES"/>
        </w:rPr>
        <w:tab/>
      </w:r>
      <w:r w:rsidRPr="003B4B83">
        <w:rPr>
          <w:lang w:val="es-ES"/>
        </w:rPr>
        <w:tab/>
      </w:r>
      <w:r w:rsidR="009E4D54" w:rsidRPr="009E4D54">
        <w:rPr>
          <w:position w:val="-32"/>
        </w:rPr>
        <w:object w:dxaOrig="1500" w:dyaOrig="580">
          <v:shape id="_x0000_i1026" type="#_x0000_t75" style="width:75.5pt;height:29pt" o:ole="">
            <v:imagedata r:id="rId18" o:title=""/>
          </v:shape>
          <o:OLEObject Type="Embed" ProgID="Equation.3" ShapeID="_x0000_i1026" DrawAspect="Content" ObjectID="_1377341904" r:id="rId19"/>
        </w:object>
      </w:r>
    </w:p>
    <w:p w:rsidR="00D90E80" w:rsidRPr="001C121E" w:rsidRDefault="00D90E80" w:rsidP="00D90E80">
      <w:pPr>
        <w:pStyle w:val="Blanc"/>
        <w:rPr>
          <w:lang w:val="es-ES_tradnl"/>
        </w:rPr>
      </w:pPr>
    </w:p>
    <w:p w:rsidR="002E5EB0" w:rsidRDefault="002E5EB0" w:rsidP="00CC2082">
      <w:pPr>
        <w:keepNext/>
        <w:keepLines/>
        <w:rPr>
          <w:lang w:val="es-ES"/>
        </w:rPr>
      </w:pPr>
      <w:r>
        <w:rPr>
          <w:lang w:val="es-ES"/>
        </w:rPr>
        <w:t>donde:</w:t>
      </w:r>
    </w:p>
    <w:p w:rsidR="002E5EB0" w:rsidRDefault="002E5EB0" w:rsidP="000C144E">
      <w:pPr>
        <w:pStyle w:val="Equationlegend"/>
        <w:rPr>
          <w:lang w:val="es-ES"/>
        </w:rPr>
      </w:pPr>
      <w:r>
        <w:rPr>
          <w:i/>
          <w:lang w:val="es-ES"/>
        </w:rPr>
        <w:tab/>
        <w:t>k</w:t>
      </w:r>
      <w:r>
        <w:rPr>
          <w:i/>
          <w:vertAlign w:val="subscript"/>
          <w:lang w:val="es-ES"/>
        </w:rPr>
        <w:t>ms</w:t>
      </w:r>
      <w:r w:rsidRPr="003B4B83">
        <w:rPr>
          <w:vertAlign w:val="subscript"/>
          <w:lang w:val="es-ES"/>
        </w:rPr>
        <w:t>,</w:t>
      </w:r>
      <w:r>
        <w:rPr>
          <w:i/>
          <w:iCs/>
          <w:position w:val="-4"/>
          <w:sz w:val="20"/>
          <w:lang w:val="es-ES"/>
        </w:rPr>
        <w:t> </w:t>
      </w:r>
      <w:r>
        <w:rPr>
          <w:i/>
          <w:vertAlign w:val="subscript"/>
          <w:lang w:val="es-ES"/>
        </w:rPr>
        <w:t>f</w:t>
      </w:r>
      <w:r>
        <w:rPr>
          <w:sz w:val="12"/>
          <w:lang w:val="es-ES"/>
        </w:rPr>
        <w:t> </w:t>
      </w:r>
      <w:r>
        <w:rPr>
          <w:lang w:val="es-ES"/>
        </w:rPr>
        <w:t>:</w:t>
      </w:r>
      <w:r>
        <w:rPr>
          <w:lang w:val="es-ES"/>
        </w:rPr>
        <w:tab/>
        <w:t xml:space="preserve">factor de calibración (dB) del montaje de medida, a la frecuencia, </w:t>
      </w:r>
      <w:r>
        <w:rPr>
          <w:i/>
          <w:lang w:val="es-ES"/>
        </w:rPr>
        <w:t>f</w:t>
      </w:r>
    </w:p>
    <w:p w:rsidR="002E5EB0" w:rsidRDefault="002E5EB0" w:rsidP="000C144E">
      <w:pPr>
        <w:pStyle w:val="Equationlegend"/>
        <w:rPr>
          <w:lang w:val="es-ES"/>
        </w:rPr>
      </w:pPr>
      <w:r>
        <w:rPr>
          <w:i/>
          <w:lang w:val="es-ES"/>
        </w:rPr>
        <w:tab/>
        <w:t>k</w:t>
      </w:r>
      <w:r>
        <w:rPr>
          <w:i/>
          <w:vertAlign w:val="subscript"/>
          <w:lang w:val="es-ES"/>
        </w:rPr>
        <w:t>i</w:t>
      </w:r>
      <w:r w:rsidRPr="003B4B83">
        <w:rPr>
          <w:vertAlign w:val="subscript"/>
          <w:lang w:val="es-ES"/>
        </w:rPr>
        <w:t>,</w:t>
      </w:r>
      <w:r>
        <w:rPr>
          <w:i/>
          <w:iCs/>
          <w:position w:val="-4"/>
          <w:sz w:val="20"/>
          <w:lang w:val="es-ES"/>
        </w:rPr>
        <w:t> </w:t>
      </w:r>
      <w:r>
        <w:rPr>
          <w:i/>
          <w:vertAlign w:val="subscript"/>
          <w:lang w:val="es-ES"/>
        </w:rPr>
        <w:t>f</w:t>
      </w:r>
      <w:r>
        <w:rPr>
          <w:sz w:val="12"/>
          <w:lang w:val="es-ES"/>
        </w:rPr>
        <w:t> </w:t>
      </w:r>
      <w:r>
        <w:rPr>
          <w:lang w:val="es-ES"/>
        </w:rPr>
        <w:t>:</w:t>
      </w:r>
      <w:r>
        <w:rPr>
          <w:lang w:val="es-ES"/>
        </w:rPr>
        <w:tab/>
        <w:t>factor de calibración individual (dB) de cada dispositivo en la cadena de medición, a la frecuencia, </w:t>
      </w:r>
      <w:r>
        <w:rPr>
          <w:i/>
          <w:lang w:val="es-ES"/>
        </w:rPr>
        <w:t>f</w:t>
      </w:r>
      <w:r>
        <w:rPr>
          <w:lang w:val="es-ES"/>
        </w:rPr>
        <w:t>.</w:t>
      </w:r>
    </w:p>
    <w:p w:rsidR="002E5EB0" w:rsidRDefault="002E5EB0" w:rsidP="002E5EB0">
      <w:pPr>
        <w:rPr>
          <w:lang w:val="es-ES"/>
        </w:rPr>
      </w:pPr>
      <w:r>
        <w:rPr>
          <w:lang w:val="es-ES"/>
        </w:rPr>
        <w:t xml:space="preserve">Durante la medición de los niveles no esenciales reales, </w:t>
      </w:r>
      <w:r>
        <w:rPr>
          <w:i/>
          <w:lang w:val="es-ES"/>
        </w:rPr>
        <w:t>P</w:t>
      </w:r>
      <w:r>
        <w:rPr>
          <w:i/>
          <w:vertAlign w:val="subscript"/>
          <w:lang w:val="es-ES"/>
        </w:rPr>
        <w:t>r</w:t>
      </w:r>
      <w:r>
        <w:rPr>
          <w:position w:val="-4"/>
          <w:sz w:val="20"/>
          <w:lang w:val="es-ES"/>
        </w:rPr>
        <w:t>,</w:t>
      </w:r>
      <w:r>
        <w:rPr>
          <w:i/>
          <w:iCs/>
          <w:position w:val="-4"/>
          <w:sz w:val="20"/>
          <w:lang w:val="es-ES"/>
        </w:rPr>
        <w:t> </w:t>
      </w:r>
      <w:r>
        <w:rPr>
          <w:i/>
          <w:vertAlign w:val="subscript"/>
          <w:lang w:val="es-ES"/>
        </w:rPr>
        <w:t>f</w:t>
      </w:r>
      <w:r>
        <w:rPr>
          <w:sz w:val="8"/>
          <w:lang w:val="es-ES"/>
        </w:rPr>
        <w:t> </w:t>
      </w:r>
      <w:r>
        <w:rPr>
          <w:lang w:val="es-ES"/>
        </w:rPr>
        <w:t xml:space="preserve"> (dBW) o (dBm) es la potencia (indicada en el receptor de medición) de la emisión en el dominio no esencial en la frecuencia </w:t>
      </w:r>
      <w:r>
        <w:rPr>
          <w:i/>
          <w:lang w:val="es-ES"/>
        </w:rPr>
        <w:t>f</w:t>
      </w:r>
      <w:r>
        <w:rPr>
          <w:lang w:val="es-ES"/>
        </w:rPr>
        <w:t xml:space="preserve">. La potencia de la emisión en el dominio no esencial, </w:t>
      </w:r>
      <w:r>
        <w:rPr>
          <w:i/>
          <w:lang w:val="es-ES"/>
        </w:rPr>
        <w:t>P</w:t>
      </w:r>
      <w:r>
        <w:rPr>
          <w:i/>
          <w:vertAlign w:val="subscript"/>
          <w:lang w:val="es-ES"/>
        </w:rPr>
        <w:t>s</w:t>
      </w:r>
      <w:r>
        <w:rPr>
          <w:position w:val="-4"/>
          <w:sz w:val="20"/>
          <w:lang w:val="es-ES"/>
        </w:rPr>
        <w:t>,</w:t>
      </w:r>
      <w:r>
        <w:rPr>
          <w:i/>
          <w:iCs/>
          <w:position w:val="-4"/>
          <w:sz w:val="20"/>
          <w:lang w:val="es-ES"/>
        </w:rPr>
        <w:t> </w:t>
      </w:r>
      <w:r>
        <w:rPr>
          <w:i/>
          <w:vertAlign w:val="subscript"/>
          <w:lang w:val="es-ES"/>
        </w:rPr>
        <w:t>f</w:t>
      </w:r>
      <w:r>
        <w:rPr>
          <w:sz w:val="8"/>
          <w:lang w:val="es-ES"/>
        </w:rPr>
        <w:t> </w:t>
      </w:r>
      <w:r>
        <w:rPr>
          <w:lang w:val="es-ES"/>
        </w:rPr>
        <w:t xml:space="preserve"> (la misma unidad que para </w:t>
      </w:r>
      <w:r>
        <w:rPr>
          <w:i/>
          <w:lang w:val="es-ES"/>
        </w:rPr>
        <w:t>P</w:t>
      </w:r>
      <w:r>
        <w:rPr>
          <w:i/>
          <w:vertAlign w:val="subscript"/>
          <w:lang w:val="es-ES"/>
        </w:rPr>
        <w:t>r</w:t>
      </w:r>
      <w:r>
        <w:rPr>
          <w:position w:val="-4"/>
          <w:sz w:val="20"/>
          <w:lang w:val="es-ES"/>
        </w:rPr>
        <w:t>,</w:t>
      </w:r>
      <w:r>
        <w:rPr>
          <w:i/>
          <w:iCs/>
          <w:position w:val="-4"/>
          <w:sz w:val="20"/>
          <w:lang w:val="es-ES"/>
        </w:rPr>
        <w:t> </w:t>
      </w:r>
      <w:r>
        <w:rPr>
          <w:i/>
          <w:vertAlign w:val="subscript"/>
          <w:lang w:val="es-ES"/>
        </w:rPr>
        <w:t>f</w:t>
      </w:r>
      <w:r>
        <w:rPr>
          <w:sz w:val="8"/>
          <w:lang w:val="es-ES"/>
        </w:rPr>
        <w:t> </w:t>
      </w:r>
      <w:r>
        <w:rPr>
          <w:lang w:val="es-ES"/>
        </w:rPr>
        <w:t xml:space="preserve">) en la frecuencia, </w:t>
      </w:r>
      <w:r>
        <w:rPr>
          <w:i/>
          <w:lang w:val="es-ES"/>
        </w:rPr>
        <w:t>f</w:t>
      </w:r>
      <w:r>
        <w:rPr>
          <w:lang w:val="es-ES"/>
        </w:rPr>
        <w:t>, se calcula mediante la siguiente ecuación:</w:t>
      </w:r>
    </w:p>
    <w:p w:rsidR="00CC2082" w:rsidRPr="001C121E" w:rsidRDefault="00CC2082" w:rsidP="00CC2082">
      <w:pPr>
        <w:pStyle w:val="Blanc"/>
        <w:rPr>
          <w:lang w:val="es-ES_tradnl"/>
        </w:rPr>
      </w:pPr>
      <w:bookmarkStart w:id="56" w:name="_Toc393697866"/>
    </w:p>
    <w:p w:rsidR="002E5EB0" w:rsidRPr="00ED6AC7" w:rsidRDefault="002E5EB0" w:rsidP="009E4D54">
      <w:pPr>
        <w:pStyle w:val="Equation"/>
        <w:rPr>
          <w:lang w:val="es-ES_tradnl"/>
        </w:rPr>
      </w:pPr>
      <w:r w:rsidRPr="003B4B83">
        <w:rPr>
          <w:lang w:val="es-ES"/>
        </w:rPr>
        <w:tab/>
      </w:r>
      <w:r w:rsidRPr="003B4B83">
        <w:rPr>
          <w:lang w:val="es-ES"/>
        </w:rPr>
        <w:tab/>
      </w:r>
      <w:r w:rsidRPr="00ED6AC7">
        <w:rPr>
          <w:i/>
          <w:lang w:val="es-ES_tradnl"/>
        </w:rPr>
        <w:t>P</w:t>
      </w:r>
      <w:r w:rsidRPr="00ED6AC7">
        <w:rPr>
          <w:i/>
          <w:iCs/>
          <w:vertAlign w:val="subscript"/>
          <w:lang w:val="es-ES_tradnl"/>
        </w:rPr>
        <w:t>s</w:t>
      </w:r>
      <w:r w:rsidRPr="00ED6AC7">
        <w:rPr>
          <w:vertAlign w:val="subscript"/>
          <w:lang w:val="es-ES_tradnl"/>
        </w:rPr>
        <w:t>,</w:t>
      </w:r>
      <w:r w:rsidRPr="00ED6AC7">
        <w:rPr>
          <w:i/>
          <w:iCs/>
          <w:vertAlign w:val="subscript"/>
          <w:lang w:val="es-ES_tradnl"/>
        </w:rPr>
        <w:t> f</w:t>
      </w:r>
      <w:r w:rsidRPr="00ED6AC7">
        <w:rPr>
          <w:lang w:val="es-ES_tradnl"/>
        </w:rPr>
        <w:t>  </w:t>
      </w:r>
      <w:r w:rsidR="009E4D54" w:rsidRPr="00ED6AC7">
        <w:rPr>
          <w:lang w:val="es-ES_tradnl"/>
        </w:rPr>
        <w:t>=</w:t>
      </w:r>
      <w:r w:rsidRPr="00ED6AC7">
        <w:rPr>
          <w:lang w:val="es-ES_tradnl"/>
        </w:rPr>
        <w:t> </w:t>
      </w:r>
      <w:r w:rsidR="00495E2E">
        <w:rPr>
          <w:lang w:val="es-ES_tradnl"/>
        </w:rPr>
        <w:t> </w:t>
      </w:r>
      <w:r w:rsidRPr="00ED6AC7">
        <w:rPr>
          <w:i/>
          <w:lang w:val="es-ES_tradnl"/>
        </w:rPr>
        <w:t>P</w:t>
      </w:r>
      <w:r w:rsidRPr="00ED6AC7">
        <w:rPr>
          <w:i/>
          <w:iCs/>
          <w:vertAlign w:val="subscript"/>
          <w:lang w:val="es-ES_tradnl"/>
        </w:rPr>
        <w:t>r</w:t>
      </w:r>
      <w:r w:rsidRPr="00ED6AC7">
        <w:rPr>
          <w:vertAlign w:val="subscript"/>
          <w:lang w:val="es-ES_tradnl"/>
        </w:rPr>
        <w:t>,</w:t>
      </w:r>
      <w:r w:rsidRPr="00ED6AC7">
        <w:rPr>
          <w:i/>
          <w:iCs/>
          <w:vertAlign w:val="subscript"/>
          <w:lang w:val="es-ES_tradnl"/>
        </w:rPr>
        <w:t> f</w:t>
      </w:r>
      <w:r w:rsidRPr="00ED6AC7">
        <w:rPr>
          <w:lang w:val="es-ES_tradnl"/>
        </w:rPr>
        <w:t>  </w:t>
      </w:r>
      <w:r w:rsidR="009E4D54" w:rsidRPr="00ED6AC7">
        <w:rPr>
          <w:lang w:val="es-ES_tradnl"/>
        </w:rPr>
        <w:t>+</w:t>
      </w:r>
      <w:r w:rsidRPr="00ED6AC7">
        <w:rPr>
          <w:lang w:val="es-ES_tradnl"/>
        </w:rPr>
        <w:t>  </w:t>
      </w:r>
      <w:r w:rsidRPr="00ED6AC7">
        <w:rPr>
          <w:i/>
          <w:lang w:val="es-ES_tradnl"/>
        </w:rPr>
        <w:t>k</w:t>
      </w:r>
      <w:r w:rsidRPr="00ED6AC7">
        <w:rPr>
          <w:i/>
          <w:iCs/>
          <w:vertAlign w:val="subscript"/>
          <w:lang w:val="es-ES_tradnl"/>
        </w:rPr>
        <w:t>ms</w:t>
      </w:r>
      <w:r w:rsidRPr="00ED6AC7">
        <w:rPr>
          <w:vertAlign w:val="subscript"/>
          <w:lang w:val="es-ES_tradnl"/>
        </w:rPr>
        <w:t>,</w:t>
      </w:r>
      <w:r w:rsidRPr="00ED6AC7">
        <w:rPr>
          <w:i/>
          <w:iCs/>
          <w:vertAlign w:val="subscript"/>
          <w:lang w:val="es-ES_tradnl"/>
        </w:rPr>
        <w:t> f</w:t>
      </w:r>
    </w:p>
    <w:p w:rsidR="00CC2082" w:rsidRPr="00ED6AC7" w:rsidRDefault="00CC2082" w:rsidP="00CC2082">
      <w:pPr>
        <w:pStyle w:val="Blanc"/>
        <w:rPr>
          <w:lang w:val="es-ES_tradnl"/>
        </w:rPr>
      </w:pPr>
    </w:p>
    <w:p w:rsidR="002E5EB0" w:rsidRDefault="002E5EB0" w:rsidP="002E5EB0">
      <w:pPr>
        <w:pStyle w:val="Note"/>
        <w:rPr>
          <w:lang w:val="es-ES"/>
        </w:rPr>
      </w:pPr>
      <w:r>
        <w:rPr>
          <w:lang w:val="es-ES"/>
        </w:rPr>
        <w:t>NOTA 1– La calibración de componentes individuales conduce normalmente a una incertidumbre superior de la medición debido a la atenuación de desadaptación.</w:t>
      </w:r>
    </w:p>
    <w:p w:rsidR="002E5EB0" w:rsidRDefault="002E5EB0" w:rsidP="000C144E">
      <w:pPr>
        <w:pStyle w:val="Heading3"/>
        <w:rPr>
          <w:lang w:val="es-ES"/>
        </w:rPr>
      </w:pPr>
      <w:r>
        <w:rPr>
          <w:lang w:val="es-ES"/>
        </w:rPr>
        <w:t>3.2.1.2</w:t>
      </w:r>
      <w:r>
        <w:rPr>
          <w:lang w:val="es-ES"/>
        </w:rPr>
        <w:tab/>
        <w:t>Esquema de sustitución</w:t>
      </w:r>
      <w:bookmarkEnd w:id="56"/>
    </w:p>
    <w:p w:rsidR="002E5EB0" w:rsidRDefault="002E5EB0" w:rsidP="002E5EB0">
      <w:pPr>
        <w:rPr>
          <w:lang w:val="es-ES"/>
        </w:rPr>
      </w:pPr>
      <w:r>
        <w:rPr>
          <w:lang w:val="es-ES"/>
        </w:rPr>
        <w:t>Este método no requiere calibración de todos los componentes de medición, sino que se registra la potencia de salida de la radiación no esencial producida por el dispositivo de medición. Este nivel de potencia se lo hace coincidir con una señal producida por un generador de señales calibrado que se sustituye para el equipo sometido a prueba. La potencia suministrada por el generador será igual entonces a la potencia de la emisión en el dominio no esencial.</w:t>
      </w:r>
    </w:p>
    <w:p w:rsidR="002E5EB0" w:rsidRDefault="002E5EB0" w:rsidP="002E5EB0">
      <w:pPr>
        <w:pStyle w:val="Heading3"/>
        <w:rPr>
          <w:lang w:val="es-ES"/>
        </w:rPr>
      </w:pPr>
      <w:r>
        <w:rPr>
          <w:lang w:val="es-ES"/>
        </w:rPr>
        <w:t>3.2.2</w:t>
      </w:r>
      <w:r>
        <w:rPr>
          <w:lang w:val="es-ES"/>
        </w:rPr>
        <w:tab/>
        <w:t>Método 1b – Medición sin filtro de rechazo fundamental</w:t>
      </w:r>
    </w:p>
    <w:p w:rsidR="002E5EB0" w:rsidRDefault="002E5EB0" w:rsidP="002E5EB0">
      <w:pPr>
        <w:rPr>
          <w:lang w:val="es-ES"/>
        </w:rPr>
      </w:pPr>
      <w:r>
        <w:rPr>
          <w:lang w:val="es-ES"/>
        </w:rPr>
        <w:t>Este enfoque proporciona una manera sencilla de realizar una medición cuando no se dispone de filtro de rechazo fundamental. En la Fig. 1b se muestra el diagrama de bloques de la disposición de montaje empleado para realizar la medición de la potencia de la emisión en el dominio no esencial inyectada al terminal de la antena.</w:t>
      </w:r>
    </w:p>
    <w:p w:rsidR="002E5EB0" w:rsidRDefault="002E5EB0" w:rsidP="000C144E">
      <w:pPr>
        <w:pStyle w:val="FigureNo"/>
        <w:rPr>
          <w:lang w:val="es-ES"/>
        </w:rPr>
      </w:pPr>
      <w:r>
        <w:rPr>
          <w:noProof/>
          <w:lang w:val="es-ES_tradnl" w:eastAsia="zh-CN"/>
        </w:rPr>
        <w:lastRenderedPageBreak/>
        <w:drawing>
          <wp:inline distT="0" distB="0" distL="0" distR="0" wp14:anchorId="6E0EF994" wp14:editId="4F899268">
            <wp:extent cx="3759835" cy="4279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9835" cy="4279265"/>
                    </a:xfrm>
                    <a:prstGeom prst="rect">
                      <a:avLst/>
                    </a:prstGeom>
                    <a:noFill/>
                    <a:ln>
                      <a:noFill/>
                    </a:ln>
                  </pic:spPr>
                </pic:pic>
              </a:graphicData>
            </a:graphic>
          </wp:inline>
        </w:drawing>
      </w:r>
    </w:p>
    <w:p w:rsidR="00CC2082" w:rsidRDefault="00CC2082" w:rsidP="00CC2082">
      <w:pPr>
        <w:rPr>
          <w:lang w:val="es-ES"/>
        </w:rPr>
      </w:pPr>
    </w:p>
    <w:p w:rsidR="002E5EB0" w:rsidRDefault="002E5EB0" w:rsidP="002E5EB0">
      <w:pPr>
        <w:pStyle w:val="Heading4"/>
        <w:rPr>
          <w:lang w:val="es-ES"/>
        </w:rPr>
      </w:pPr>
      <w:r>
        <w:rPr>
          <w:lang w:val="es-ES"/>
        </w:rPr>
        <w:t>3.2.2.1</w:t>
      </w:r>
      <w:r>
        <w:rPr>
          <w:lang w:val="es-ES"/>
        </w:rPr>
        <w:tab/>
        <w:t>Enfoque de conducción directa</w:t>
      </w:r>
    </w:p>
    <w:p w:rsidR="002E5EB0" w:rsidRDefault="002E5EB0" w:rsidP="000C144E">
      <w:pPr>
        <w:rPr>
          <w:lang w:val="es-ES"/>
        </w:rPr>
      </w:pPr>
      <w:r>
        <w:rPr>
          <w:lang w:val="es-ES"/>
        </w:rPr>
        <w:t>El resultado de la medición puede darse directamente utilizando el procedimiento siguiente:</w:t>
      </w:r>
    </w:p>
    <w:p w:rsidR="002E5EB0" w:rsidRDefault="002E5EB0" w:rsidP="002E5EB0">
      <w:pPr>
        <w:pStyle w:val="enumlev1"/>
        <w:rPr>
          <w:lang w:val="es-ES"/>
        </w:rPr>
      </w:pPr>
      <w:r>
        <w:rPr>
          <w:lang w:val="es-ES"/>
        </w:rPr>
        <w:t>a)</w:t>
      </w:r>
      <w:r>
        <w:rPr>
          <w:lang w:val="es-ES"/>
        </w:rPr>
        <w:tab/>
        <w:t>Medición del nivel relativo para el tipo de equipo de la Categoría A</w:t>
      </w:r>
    </w:p>
    <w:p w:rsidR="002E5EB0" w:rsidRDefault="002E5EB0" w:rsidP="00D90E80">
      <w:pPr>
        <w:pStyle w:val="enumlev2"/>
        <w:rPr>
          <w:lang w:val="es-ES"/>
        </w:rPr>
      </w:pPr>
      <w:r>
        <w:rPr>
          <w:lang w:val="es-ES"/>
        </w:rPr>
        <w:t xml:space="preserve">Atenuación relativa a la potencia de la envolvente media o de cresta total </w:t>
      </w:r>
      <w:r w:rsidR="00D90E80">
        <w:rPr>
          <w:lang w:val="es-ES"/>
        </w:rPr>
        <w:t>=</w:t>
      </w:r>
      <w:r>
        <w:rPr>
          <w:lang w:val="es-ES"/>
        </w:rPr>
        <w:t xml:space="preserve"> </w:t>
      </w:r>
      <w:r>
        <w:rPr>
          <w:i/>
          <w:iCs/>
          <w:lang w:val="es-ES"/>
        </w:rPr>
        <w:t>B</w:t>
      </w:r>
      <w:r>
        <w:rPr>
          <w:lang w:val="es-ES"/>
        </w:rPr>
        <w:t xml:space="preserve"> – </w:t>
      </w:r>
      <w:r>
        <w:rPr>
          <w:i/>
          <w:iCs/>
          <w:lang w:val="es-ES"/>
        </w:rPr>
        <w:t>D</w:t>
      </w:r>
    </w:p>
    <w:p w:rsidR="002E5EB0" w:rsidRDefault="002E5EB0" w:rsidP="002E5EB0">
      <w:pPr>
        <w:pStyle w:val="enumlev2"/>
        <w:rPr>
          <w:lang w:val="es-ES"/>
        </w:rPr>
      </w:pPr>
      <w:r>
        <w:rPr>
          <w:lang w:val="es-ES"/>
        </w:rPr>
        <w:t>donde:</w:t>
      </w:r>
    </w:p>
    <w:p w:rsidR="002E5EB0" w:rsidRDefault="002E5EB0" w:rsidP="002E5EB0">
      <w:pPr>
        <w:pStyle w:val="enumlev2"/>
        <w:rPr>
          <w:lang w:val="es-ES"/>
        </w:rPr>
      </w:pPr>
      <w:r>
        <w:rPr>
          <w:i/>
          <w:iCs/>
          <w:lang w:val="es-ES"/>
        </w:rPr>
        <w:t>B</w:t>
      </w:r>
      <w:r>
        <w:rPr>
          <w:lang w:val="es-ES"/>
        </w:rPr>
        <w:t>:</w:t>
      </w:r>
      <w:r>
        <w:rPr>
          <w:lang w:val="es-ES"/>
        </w:rPr>
        <w:tab/>
        <w:t>potencia de la envolvente media o de cresta de la emisión fundamental que indica el receptor de medición</w:t>
      </w:r>
    </w:p>
    <w:p w:rsidR="002E5EB0" w:rsidRDefault="002E5EB0" w:rsidP="002E5EB0">
      <w:pPr>
        <w:pStyle w:val="enumlev2"/>
        <w:rPr>
          <w:lang w:val="es-ES"/>
        </w:rPr>
      </w:pPr>
      <w:r>
        <w:rPr>
          <w:i/>
          <w:iCs/>
          <w:lang w:val="es-ES"/>
        </w:rPr>
        <w:t>D</w:t>
      </w:r>
      <w:r>
        <w:rPr>
          <w:lang w:val="es-ES"/>
        </w:rPr>
        <w:t>:</w:t>
      </w:r>
      <w:r>
        <w:rPr>
          <w:lang w:val="es-ES"/>
        </w:rPr>
        <w:tab/>
        <w:t>potencia máxima de la emisión en el dominio no esencial que indica el receptor de medida; el valor de (</w:t>
      </w:r>
      <w:r>
        <w:rPr>
          <w:i/>
          <w:iCs/>
          <w:lang w:val="es-ES"/>
        </w:rPr>
        <w:t>B</w:t>
      </w:r>
      <w:r>
        <w:rPr>
          <w:lang w:val="es-ES"/>
        </w:rPr>
        <w:t xml:space="preserve"> – </w:t>
      </w:r>
      <w:r>
        <w:rPr>
          <w:i/>
          <w:iCs/>
          <w:lang w:val="es-ES"/>
        </w:rPr>
        <w:t>D</w:t>
      </w:r>
      <w:r>
        <w:rPr>
          <w:lang w:val="es-ES"/>
        </w:rPr>
        <w:t>) puede compararse directamente con los límites relativos de la categoría A.</w:t>
      </w:r>
    </w:p>
    <w:p w:rsidR="002E5EB0" w:rsidRDefault="002E5EB0" w:rsidP="002E5EB0">
      <w:pPr>
        <w:pStyle w:val="enumlev1"/>
        <w:rPr>
          <w:lang w:val="es-ES"/>
        </w:rPr>
      </w:pPr>
      <w:r>
        <w:rPr>
          <w:lang w:val="es-ES"/>
        </w:rPr>
        <w:t>b)</w:t>
      </w:r>
      <w:r>
        <w:rPr>
          <w:lang w:val="es-ES"/>
        </w:rPr>
        <w:tab/>
        <w:t>Medición del nivel absoluto para los tipos de equipo de las Categorías A y B</w:t>
      </w:r>
    </w:p>
    <w:p w:rsidR="002E5EB0" w:rsidRDefault="002E5EB0" w:rsidP="009E4D54">
      <w:pPr>
        <w:pStyle w:val="enumlev2"/>
        <w:rPr>
          <w:lang w:val="es-ES"/>
        </w:rPr>
      </w:pPr>
      <w:r>
        <w:rPr>
          <w:lang w:val="es-ES"/>
        </w:rPr>
        <w:t xml:space="preserve">Potencia de emisión en el dominio no esencial </w:t>
      </w:r>
      <w:r w:rsidR="00D90E80">
        <w:rPr>
          <w:lang w:val="es-ES"/>
        </w:rPr>
        <w:t>=</w:t>
      </w:r>
      <w:r>
        <w:rPr>
          <w:lang w:val="es-ES"/>
        </w:rPr>
        <w:t xml:space="preserve"> </w:t>
      </w:r>
      <w:r>
        <w:rPr>
          <w:i/>
          <w:iCs/>
          <w:lang w:val="es-ES"/>
        </w:rPr>
        <w:t>D</w:t>
      </w:r>
      <w:r>
        <w:rPr>
          <w:lang w:val="es-ES"/>
        </w:rPr>
        <w:t xml:space="preserve"> </w:t>
      </w:r>
      <w:r w:rsidR="009E4D54">
        <w:rPr>
          <w:lang w:val="es-ES"/>
        </w:rPr>
        <w:t>+</w:t>
      </w:r>
      <w:r>
        <w:rPr>
          <w:lang w:val="es-ES"/>
        </w:rPr>
        <w:t xml:space="preserve"> </w:t>
      </w:r>
      <w:r>
        <w:rPr>
          <w:i/>
          <w:iCs/>
          <w:lang w:val="es-ES"/>
        </w:rPr>
        <w:t>C</w:t>
      </w:r>
    </w:p>
    <w:p w:rsidR="002E5EB0" w:rsidRDefault="002E5EB0" w:rsidP="002E5EB0">
      <w:pPr>
        <w:pStyle w:val="enumlev2"/>
        <w:rPr>
          <w:lang w:val="es-ES"/>
        </w:rPr>
      </w:pPr>
      <w:r>
        <w:rPr>
          <w:lang w:val="es-ES"/>
        </w:rPr>
        <w:t>donde:</w:t>
      </w:r>
    </w:p>
    <w:p w:rsidR="002E5EB0" w:rsidRDefault="002E5EB0" w:rsidP="002E5EB0">
      <w:pPr>
        <w:pStyle w:val="enumlev2"/>
        <w:rPr>
          <w:lang w:val="es-ES"/>
        </w:rPr>
      </w:pPr>
      <w:r>
        <w:rPr>
          <w:i/>
          <w:iCs/>
          <w:lang w:val="es-ES"/>
        </w:rPr>
        <w:t>C</w:t>
      </w:r>
      <w:r>
        <w:rPr>
          <w:lang w:val="es-ES"/>
        </w:rPr>
        <w:t>:</w:t>
      </w:r>
      <w:r>
        <w:rPr>
          <w:lang w:val="es-ES"/>
        </w:rPr>
        <w:tab/>
        <w:t>factor de acoplamiento del dispositivo de acoplamiento a la frecuencia de la emisión en el dominio no esencial</w:t>
      </w:r>
    </w:p>
    <w:p w:rsidR="002E5EB0" w:rsidRDefault="002E5EB0" w:rsidP="002E5EB0">
      <w:pPr>
        <w:pStyle w:val="enumlev2"/>
        <w:rPr>
          <w:lang w:val="es-ES"/>
        </w:rPr>
      </w:pPr>
      <w:r>
        <w:rPr>
          <w:i/>
          <w:iCs/>
          <w:lang w:val="es-ES"/>
        </w:rPr>
        <w:t>D</w:t>
      </w:r>
      <w:r>
        <w:rPr>
          <w:lang w:val="es-ES"/>
        </w:rPr>
        <w:t>:</w:t>
      </w:r>
      <w:r>
        <w:rPr>
          <w:lang w:val="es-ES"/>
        </w:rPr>
        <w:tab/>
        <w:t>potencia máxima de la emisión en el dominio no esencial que indica el receptor de medición.</w:t>
      </w:r>
    </w:p>
    <w:p w:rsidR="002E5EB0" w:rsidRDefault="00495E2E" w:rsidP="00495E2E">
      <w:pPr>
        <w:pStyle w:val="enumlev1"/>
        <w:rPr>
          <w:lang w:val="es-ES"/>
        </w:rPr>
      </w:pPr>
      <w:r>
        <w:rPr>
          <w:lang w:val="es-ES"/>
        </w:rPr>
        <w:tab/>
      </w:r>
      <w:r w:rsidR="002E5EB0">
        <w:rPr>
          <w:lang w:val="es-ES"/>
        </w:rPr>
        <w:t>El valor de (</w:t>
      </w:r>
      <w:r w:rsidR="002E5EB0">
        <w:rPr>
          <w:i/>
          <w:iCs/>
          <w:lang w:val="es-ES"/>
        </w:rPr>
        <w:t>D</w:t>
      </w:r>
      <w:r w:rsidR="002E5EB0">
        <w:rPr>
          <w:lang w:val="es-ES"/>
        </w:rPr>
        <w:t xml:space="preserve"> </w:t>
      </w:r>
      <w:r w:rsidR="00D90E80">
        <w:rPr>
          <w:lang w:val="es-ES"/>
        </w:rPr>
        <w:t>+</w:t>
      </w:r>
      <w:r w:rsidR="002E5EB0">
        <w:rPr>
          <w:lang w:val="es-ES"/>
        </w:rPr>
        <w:t xml:space="preserve"> </w:t>
      </w:r>
      <w:r w:rsidR="002E5EB0">
        <w:rPr>
          <w:i/>
          <w:iCs/>
          <w:lang w:val="es-ES"/>
        </w:rPr>
        <w:t>C</w:t>
      </w:r>
      <w:r w:rsidR="002E5EB0">
        <w:rPr>
          <w:lang w:val="es-ES"/>
        </w:rPr>
        <w:t>) puede compararse directamente con los límites absolutos de las Categorías A y B.</w:t>
      </w:r>
    </w:p>
    <w:p w:rsidR="002E5EB0" w:rsidRDefault="002E5EB0" w:rsidP="002E5EB0">
      <w:pPr>
        <w:pStyle w:val="Heading4"/>
        <w:rPr>
          <w:lang w:val="es-ES"/>
        </w:rPr>
      </w:pPr>
      <w:r>
        <w:rPr>
          <w:lang w:val="es-ES"/>
        </w:rPr>
        <w:lastRenderedPageBreak/>
        <w:t>3.2.2.2</w:t>
      </w:r>
      <w:r>
        <w:rPr>
          <w:lang w:val="es-ES"/>
        </w:rPr>
        <w:tab/>
        <w:t>Esquema de sustitución</w:t>
      </w:r>
    </w:p>
    <w:p w:rsidR="002E5EB0" w:rsidRDefault="002E5EB0" w:rsidP="002E5EB0">
      <w:pPr>
        <w:rPr>
          <w:lang w:val="es-ES"/>
        </w:rPr>
      </w:pPr>
      <w:bookmarkStart w:id="57" w:name="_Toc393697867"/>
      <w:r>
        <w:rPr>
          <w:lang w:val="es-ES"/>
        </w:rPr>
        <w:t>El Método 1b puede también utilizarse utilizando el esquema de sustitución descrito en el § 3.2.1.2. para las mediciones del nivel absoluto.</w:t>
      </w:r>
    </w:p>
    <w:p w:rsidR="002E5EB0" w:rsidRDefault="002E5EB0" w:rsidP="000C144E">
      <w:pPr>
        <w:pStyle w:val="Heading2"/>
        <w:rPr>
          <w:lang w:val="es-ES"/>
        </w:rPr>
      </w:pPr>
      <w:r>
        <w:rPr>
          <w:lang w:val="es-ES"/>
        </w:rPr>
        <w:t>3.3</w:t>
      </w:r>
      <w:r>
        <w:rPr>
          <w:lang w:val="es-ES"/>
        </w:rPr>
        <w:tab/>
        <w:t>Método 2 – Medición de la p.i.r.e. de emisiones en el dominio no esencial</w:t>
      </w:r>
      <w:bookmarkEnd w:id="57"/>
    </w:p>
    <w:p w:rsidR="002E5EB0" w:rsidRDefault="002E5EB0" w:rsidP="002E5EB0">
      <w:pPr>
        <w:rPr>
          <w:lang w:val="es-ES"/>
        </w:rPr>
      </w:pPr>
      <w:r>
        <w:rPr>
          <w:lang w:val="es-ES"/>
        </w:rPr>
        <w:t>En la Fig. 2 se muestra el diagrama de bloques de la disposición de montaje para la medición de la p.i.r.e. de emisiones en el dominio no esencial.</w:t>
      </w:r>
    </w:p>
    <w:p w:rsidR="002E5EB0" w:rsidRDefault="002E5EB0" w:rsidP="00674B4A">
      <w:pPr>
        <w:rPr>
          <w:lang w:val="es-ES"/>
        </w:rPr>
      </w:pPr>
      <w:r>
        <w:rPr>
          <w:lang w:val="es-ES"/>
        </w:rPr>
        <w:t>Las mediciones se deben efectuar en el campo lejano, que a menudo es muy difícil de obtener en frecuencias muy bajas o en determinadas combinaciones de frecuencia y tamaño de antena (por ejemplo, las transmisiones en 14 GHz que utilizan una antena parabólica de 1,2 m requieren unos 140 m para alcanzar el campo lejano). Las mediciones de la p.i.r.e. de las emisiones en el dominio no esencial en cualquier dirección, en diversas polarizaciones y para cualquier frecuencia podrían ocupar mucho tiempo, aunque las técnicas para verificar su cumplimiento pueden reducir esta carga de trabajo. El empleo de este método para medir radar</w:t>
      </w:r>
      <w:r w:rsidR="00CC2082">
        <w:rPr>
          <w:lang w:val="es-ES"/>
        </w:rPr>
        <w:t>es se debe guiar por la Recomen</w:t>
      </w:r>
      <w:r>
        <w:rPr>
          <w:lang w:val="es-ES"/>
        </w:rPr>
        <w:t>dación</w:t>
      </w:r>
      <w:r w:rsidR="00674B4A">
        <w:rPr>
          <w:lang w:val="es-ES"/>
        </w:rPr>
        <w:t xml:space="preserve"> </w:t>
      </w:r>
      <w:r>
        <w:rPr>
          <w:lang w:val="es-ES"/>
        </w:rPr>
        <w:t>UIT</w:t>
      </w:r>
      <w:r>
        <w:rPr>
          <w:lang w:val="es-ES"/>
        </w:rPr>
        <w:noBreakHyphen/>
        <w:t>R M.1177.</w:t>
      </w:r>
    </w:p>
    <w:p w:rsidR="002E5EB0" w:rsidRDefault="002E5EB0" w:rsidP="002E5EB0">
      <w:pPr>
        <w:pStyle w:val="FigureNo"/>
        <w:rPr>
          <w:lang w:val="es-ES"/>
        </w:rPr>
      </w:pPr>
      <w:r>
        <w:rPr>
          <w:noProof/>
          <w:lang w:val="es-ES_tradnl" w:eastAsia="zh-CN"/>
        </w:rPr>
        <w:drawing>
          <wp:inline distT="0" distB="0" distL="0" distR="0" wp14:anchorId="6BC29258" wp14:editId="22752FC2">
            <wp:extent cx="5157470" cy="36652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7470" cy="3665220"/>
                    </a:xfrm>
                    <a:prstGeom prst="rect">
                      <a:avLst/>
                    </a:prstGeom>
                    <a:noFill/>
                    <a:ln>
                      <a:noFill/>
                    </a:ln>
                  </pic:spPr>
                </pic:pic>
              </a:graphicData>
            </a:graphic>
          </wp:inline>
        </w:drawing>
      </w:r>
    </w:p>
    <w:p w:rsidR="00674B4A" w:rsidRDefault="00674B4A" w:rsidP="00674B4A">
      <w:pPr>
        <w:rPr>
          <w:lang w:val="es-ES"/>
        </w:rPr>
      </w:pPr>
      <w:bookmarkStart w:id="58" w:name="_Toc393697868"/>
    </w:p>
    <w:p w:rsidR="002E5EB0" w:rsidRDefault="002E5EB0" w:rsidP="000C144E">
      <w:pPr>
        <w:pStyle w:val="Heading3"/>
        <w:rPr>
          <w:lang w:val="es-ES"/>
        </w:rPr>
      </w:pPr>
      <w:r>
        <w:rPr>
          <w:lang w:val="es-ES"/>
        </w:rPr>
        <w:t>3.3.1</w:t>
      </w:r>
      <w:r>
        <w:rPr>
          <w:lang w:val="es-ES"/>
        </w:rPr>
        <w:tab/>
        <w:t>Emplazamiento de medición para mediciones radiadas</w:t>
      </w:r>
      <w:bookmarkEnd w:id="58"/>
    </w:p>
    <w:p w:rsidR="002E5EB0" w:rsidRDefault="002E5EB0" w:rsidP="009E4D54">
      <w:pPr>
        <w:rPr>
          <w:lang w:val="es-ES"/>
        </w:rPr>
      </w:pPr>
      <w:r>
        <w:rPr>
          <w:lang w:val="es-ES"/>
        </w:rPr>
        <w:t>En la gama de frecuencias comprendidas entre 30 y 1</w:t>
      </w:r>
      <w:r>
        <w:rPr>
          <w:rFonts w:ascii="Tms Rmn" w:hAnsi="Tms Rmn"/>
          <w:sz w:val="12"/>
          <w:lang w:val="es-ES"/>
        </w:rPr>
        <w:t> </w:t>
      </w:r>
      <w:r>
        <w:rPr>
          <w:lang w:val="es-ES"/>
        </w:rPr>
        <w:t>000 MHz, los emplazamientos de prueba se validarán efectuando mediciones de atenuación del emplazamiento para campos con ambas polarizaciones, horizontal y vertical. Un emplazamiento de medición se considera aceptable si las mediciones de atenuación del emplazamiento en los campos horizontal y vertical están dentro de </w:t>
      </w:r>
      <w:r w:rsidR="009E4D54">
        <w:rPr>
          <w:lang w:val="es-ES"/>
        </w:rPr>
        <w:sym w:font="Symbol" w:char="F0B1"/>
      </w:r>
      <w:r>
        <w:rPr>
          <w:sz w:val="4"/>
          <w:lang w:val="es-ES"/>
        </w:rPr>
        <w:t> </w:t>
      </w:r>
      <w:r>
        <w:rPr>
          <w:lang w:val="es-ES"/>
        </w:rPr>
        <w:t>4 dB de la atenuación teórica del emplazamiento.</w:t>
      </w:r>
    </w:p>
    <w:p w:rsidR="002E5EB0" w:rsidRDefault="002E5EB0" w:rsidP="00D90E80">
      <w:pPr>
        <w:rPr>
          <w:lang w:val="es-ES"/>
        </w:rPr>
      </w:pPr>
      <w:r>
        <w:rPr>
          <w:lang w:val="es-ES"/>
        </w:rPr>
        <w:t xml:space="preserve">El emplazamiento de prueba será característicamente plano, libre de conductores aéreos y de estructuras reflectoras cercanas, suficientemente amplio para permitir ubicar la antena a la distancia especificada y proporcionar una separación adecuada entre la antena, el equipo sometido a prueba y </w:t>
      </w:r>
      <w:r>
        <w:rPr>
          <w:lang w:val="es-ES"/>
        </w:rPr>
        <w:lastRenderedPageBreak/>
        <w:t xml:space="preserve">las estructuras reflectoras. Se dice que una estructura es reflectora cuando su material de construcción es principalmente conductor. El emplazamiento de prueba debe estar provisto de un plano de tierra metálico horizontal, y debe satisfacer los requisitos de atenuación del emplazamiento que figuran en la Publicación </w:t>
      </w:r>
      <w:r w:rsidR="00D90E80">
        <w:rPr>
          <w:lang w:val="es-ES"/>
        </w:rPr>
        <w:t>N.</w:t>
      </w:r>
      <w:r w:rsidR="00D90E80">
        <w:rPr>
          <w:lang w:val="es-ES"/>
        </w:rPr>
        <w:sym w:font="Symbol" w:char="F0B0"/>
      </w:r>
      <w:r>
        <w:rPr>
          <w:lang w:val="es-ES"/>
        </w:rPr>
        <w:t> 16</w:t>
      </w:r>
      <w:r>
        <w:rPr>
          <w:lang w:val="es-ES"/>
        </w:rPr>
        <w:noBreakHyphen/>
        <w:t>1 del CEI/CISPR para EPZA.</w:t>
      </w:r>
    </w:p>
    <w:p w:rsidR="002E5EB0" w:rsidRDefault="002E5EB0" w:rsidP="0067378A">
      <w:pPr>
        <w:rPr>
          <w:lang w:val="es-ES"/>
        </w:rPr>
      </w:pPr>
      <w:r>
        <w:rPr>
          <w:lang w:val="es-ES"/>
        </w:rPr>
        <w:t xml:space="preserve">Las pruebas también se pueden realizar en una cámara semianecoica (SAR, </w:t>
      </w:r>
      <w:r>
        <w:rPr>
          <w:i/>
          <w:iCs/>
          <w:lang w:val="es-ES"/>
        </w:rPr>
        <w:t>semi-anechoic room</w:t>
      </w:r>
      <w:r>
        <w:rPr>
          <w:lang w:val="es-ES"/>
        </w:rPr>
        <w:t xml:space="preserve">). En este caso, las paredes y el techo de una sala blindada están cubiertas con materiales absorbentes que garantizan un bajo nivel de reflexión de las ondas. Las mediciones de validación de estas cámaras anecoicas son muy importantes para asegurar que las mediciones de atenuación del emplazamiento se puedan efectuar dentro de los criterios de </w:t>
      </w:r>
      <w:r w:rsidR="00D90E80">
        <w:rPr>
          <w:lang w:val="es-ES"/>
        </w:rPr>
        <w:sym w:font="Symbol" w:char="F0B1"/>
      </w:r>
      <w:r>
        <w:rPr>
          <w:lang w:val="es-ES"/>
        </w:rPr>
        <w:t>4</w:t>
      </w:r>
      <w:r w:rsidR="0067378A">
        <w:rPr>
          <w:lang w:val="es-ES"/>
        </w:rPr>
        <w:t> </w:t>
      </w:r>
      <w:r>
        <w:rPr>
          <w:lang w:val="es-ES"/>
        </w:rPr>
        <w:t xml:space="preserve">dB (véanse también las Publicaciones </w:t>
      </w:r>
      <w:r w:rsidR="00D90E80">
        <w:rPr>
          <w:lang w:val="es-ES"/>
        </w:rPr>
        <w:t>N.</w:t>
      </w:r>
      <w:r w:rsidR="00D90E80">
        <w:rPr>
          <w:lang w:val="es-ES"/>
        </w:rPr>
        <w:sym w:font="Symbol" w:char="F0B0"/>
      </w:r>
      <w:r>
        <w:rPr>
          <w:lang w:val="es-ES"/>
        </w:rPr>
        <w:t> 16</w:t>
      </w:r>
      <w:r>
        <w:rPr>
          <w:lang w:val="es-ES"/>
        </w:rPr>
        <w:noBreakHyphen/>
        <w:t>1 y 22 del CEI/CISPR).</w:t>
      </w:r>
    </w:p>
    <w:p w:rsidR="002E5EB0" w:rsidRDefault="002E5EB0" w:rsidP="000C144E">
      <w:pPr>
        <w:rPr>
          <w:lang w:val="es-ES"/>
        </w:rPr>
      </w:pPr>
      <w:r>
        <w:rPr>
          <w:lang w:val="es-ES"/>
        </w:rPr>
        <w:t>Tanto para OATS como para SAR, el plano de tierra conductor se debe extender 1 m como mínimo de la periferia del equipo sometido a prueba y de la antena de medición más grande, y abarcar la zona entera entre el equipo sometido a prueba y la antena. Debe ser de metal sin orificios ni aberturas, con dimensiones mayores que un décimo de la longitud de onda a la frecuencia más elevada de medición. Si los requisitos de atenuación del emplazamiento de prueba no se satisfacen, puede ser necesario un plano de tierra conductor de mayor dimensión. Estos requisitos también se aplican en el caso de SAR.</w:t>
      </w:r>
    </w:p>
    <w:p w:rsidR="002E5EB0" w:rsidRDefault="002E5EB0" w:rsidP="00955A33">
      <w:pPr>
        <w:rPr>
          <w:lang w:val="es-ES"/>
        </w:rPr>
      </w:pPr>
      <w:r>
        <w:rPr>
          <w:lang w:val="es-ES"/>
        </w:rPr>
        <w:t xml:space="preserve">Actualmente se dispone de equipos adicionales como emplazamientos para las mediciones de emisiones en el dominio no esencial. Se trata de diversos tipos de cámaras, tales como cámaras anecoicas completas (FAR, </w:t>
      </w:r>
      <w:r>
        <w:rPr>
          <w:i/>
          <w:iCs/>
          <w:lang w:val="es-ES"/>
        </w:rPr>
        <w:t>fully anechoic room</w:t>
      </w:r>
      <w:r>
        <w:rPr>
          <w:lang w:val="es-ES"/>
        </w:rPr>
        <w:t>), cámaras en modo de propagación excitado (SMC,</w:t>
      </w:r>
      <w:r w:rsidR="00955A33">
        <w:rPr>
          <w:lang w:val="es-ES"/>
        </w:rPr>
        <w:t> </w:t>
      </w:r>
      <w:r>
        <w:rPr>
          <w:i/>
          <w:iCs/>
          <w:lang w:val="es-ES"/>
        </w:rPr>
        <w:t>stirred mode chambers</w:t>
      </w:r>
      <w:r>
        <w:rPr>
          <w:lang w:val="es-ES"/>
        </w:rPr>
        <w:t xml:space="preserve">), y sistemas de ondas electromagnéticas transversales (TEM, </w:t>
      </w:r>
      <w:r>
        <w:rPr>
          <w:i/>
          <w:iCs/>
          <w:lang w:val="es-ES"/>
        </w:rPr>
        <w:t>transverse electromagnetic</w:t>
      </w:r>
      <w:r>
        <w:rPr>
          <w:lang w:val="es-ES"/>
        </w:rPr>
        <w:t>) o TEM en gigahertzios (GTEM). El recinto SMC se describe en la Publicación</w:t>
      </w:r>
      <w:r w:rsidR="006130A6">
        <w:rPr>
          <w:lang w:val="es-ES"/>
        </w:rPr>
        <w:t xml:space="preserve"> </w:t>
      </w:r>
      <w:r w:rsidR="00D90E80">
        <w:rPr>
          <w:lang w:val="es-ES"/>
        </w:rPr>
        <w:t>N.</w:t>
      </w:r>
      <w:r w:rsidR="00D90E80">
        <w:rPr>
          <w:lang w:val="es-ES"/>
        </w:rPr>
        <w:sym w:font="Symbol" w:char="F0B0"/>
      </w:r>
      <w:r>
        <w:rPr>
          <w:rFonts w:hint="eastAsia"/>
          <w:lang w:val="es-ES"/>
        </w:rPr>
        <w:t> </w:t>
      </w:r>
      <w:r>
        <w:rPr>
          <w:lang w:val="es-ES"/>
        </w:rPr>
        <w:t>16</w:t>
      </w:r>
      <w:r>
        <w:rPr>
          <w:lang w:val="es-ES"/>
        </w:rPr>
        <w:noBreakHyphen/>
        <w:t>1 del CEI/CISPR. Estos sistemas de medición relativamente nuevos no están todavía aceptados universalmente por todas las organizaciones de normalización. Se han publicado proyectos de textos (en el otoño de 2000) de los Documentos 61000-4-20 (TEM) y 61000</w:t>
      </w:r>
      <w:r>
        <w:rPr>
          <w:lang w:val="es-ES"/>
        </w:rPr>
        <w:noBreakHyphen/>
        <w:t>4</w:t>
      </w:r>
      <w:r>
        <w:rPr>
          <w:lang w:val="es-ES"/>
        </w:rPr>
        <w:noBreakHyphen/>
        <w:t>21 (SMC) de la CEI. Las técnicas utilizadas con estos sistemas se deberán reexaminar cuando se vuelva a actu</w:t>
      </w:r>
      <w:r w:rsidR="006130A6">
        <w:rPr>
          <w:lang w:val="es-ES"/>
        </w:rPr>
        <w:t>a</w:t>
      </w:r>
      <w:r>
        <w:rPr>
          <w:lang w:val="es-ES"/>
        </w:rPr>
        <w:softHyphen/>
        <w:t>lizar esta Recomendación, con la intención de incorporar detalles de su utilización.</w:t>
      </w:r>
    </w:p>
    <w:p w:rsidR="002E5EB0" w:rsidRDefault="002E5EB0" w:rsidP="002E5EB0">
      <w:pPr>
        <w:pStyle w:val="Heading3"/>
        <w:rPr>
          <w:lang w:val="es-ES"/>
        </w:rPr>
      </w:pPr>
      <w:bookmarkStart w:id="59" w:name="_Toc393697869"/>
      <w:r>
        <w:rPr>
          <w:lang w:val="es-ES"/>
        </w:rPr>
        <w:t>3.3.2</w:t>
      </w:r>
      <w:r>
        <w:rPr>
          <w:lang w:val="es-ES"/>
        </w:rPr>
        <w:tab/>
        <w:t>Esquema directo</w:t>
      </w:r>
      <w:bookmarkEnd w:id="59"/>
    </w:p>
    <w:p w:rsidR="002E5EB0" w:rsidRDefault="002E5EB0" w:rsidP="002E5EB0">
      <w:pPr>
        <w:rPr>
          <w:lang w:val="es-ES"/>
        </w:rPr>
      </w:pPr>
      <w:r>
        <w:rPr>
          <w:lang w:val="es-ES"/>
        </w:rPr>
        <w:t xml:space="preserve">En este esquema, se requiere calibrar individualmente todos los componentes de medición (filtro o filtros, cables), o calibrar el conjunto de medición en su totalidad. Para la determinación del factor de calibración del conjunto de medición en la frecuencia </w:t>
      </w:r>
      <w:r>
        <w:rPr>
          <w:i/>
          <w:lang w:val="es-ES"/>
        </w:rPr>
        <w:t>f</w:t>
      </w:r>
      <w:r>
        <w:rPr>
          <w:lang w:val="es-ES"/>
        </w:rPr>
        <w:t>, refiérase al § 3.2.1 sobre esquema directo anterior.</w:t>
      </w:r>
    </w:p>
    <w:p w:rsidR="002E5EB0" w:rsidRDefault="002E5EB0" w:rsidP="002E5EB0">
      <w:pPr>
        <w:rPr>
          <w:lang w:val="es-ES"/>
        </w:rPr>
      </w:pPr>
      <w:r>
        <w:rPr>
          <w:lang w:val="es-ES"/>
        </w:rPr>
        <w:t xml:space="preserve">La p.i.r.e. de la emisión en el dominio no esencial, </w:t>
      </w:r>
      <w:r>
        <w:rPr>
          <w:i/>
          <w:lang w:val="es-ES"/>
        </w:rPr>
        <w:t>P</w:t>
      </w:r>
      <w:r>
        <w:rPr>
          <w:i/>
          <w:iCs/>
          <w:vertAlign w:val="subscript"/>
          <w:lang w:val="es-ES"/>
        </w:rPr>
        <w:t>s</w:t>
      </w:r>
      <w:r>
        <w:rPr>
          <w:vertAlign w:val="subscript"/>
          <w:lang w:val="es-ES"/>
        </w:rPr>
        <w:t>,</w:t>
      </w:r>
      <w:r>
        <w:rPr>
          <w:i/>
          <w:iCs/>
          <w:vertAlign w:val="subscript"/>
          <w:lang w:val="es-ES"/>
        </w:rPr>
        <w:t> f</w:t>
      </w:r>
      <w:r>
        <w:rPr>
          <w:lang w:val="es-ES"/>
        </w:rPr>
        <w:t xml:space="preserve">, a la frecuencia </w:t>
      </w:r>
      <w:r>
        <w:rPr>
          <w:i/>
          <w:lang w:val="es-ES"/>
        </w:rPr>
        <w:t>f</w:t>
      </w:r>
      <w:r>
        <w:rPr>
          <w:lang w:val="es-ES"/>
        </w:rPr>
        <w:t>, para las condiciones en el espacio libre viene dada por la siguiente ecuación:</w:t>
      </w:r>
    </w:p>
    <w:p w:rsidR="006130A6" w:rsidRPr="001C121E" w:rsidRDefault="006130A6" w:rsidP="006130A6">
      <w:pPr>
        <w:pStyle w:val="Blanc"/>
        <w:rPr>
          <w:lang w:val="es-ES_tradnl"/>
        </w:rPr>
      </w:pPr>
    </w:p>
    <w:p w:rsidR="002E5EB0" w:rsidRPr="003B4B83" w:rsidRDefault="002E5EB0" w:rsidP="009E4D54">
      <w:pPr>
        <w:pStyle w:val="Equation"/>
        <w:rPr>
          <w:lang w:val="es-ES"/>
        </w:rPr>
      </w:pPr>
      <w:r>
        <w:rPr>
          <w:lang w:val="es-ES"/>
        </w:rPr>
        <w:tab/>
      </w:r>
      <w:r>
        <w:rPr>
          <w:lang w:val="es-ES"/>
        </w:rPr>
        <w:tab/>
      </w:r>
      <w:r w:rsidRPr="003B4B83">
        <w:rPr>
          <w:i/>
          <w:lang w:val="es-ES"/>
        </w:rPr>
        <w:t>P</w:t>
      </w:r>
      <w:r w:rsidRPr="003B4B83">
        <w:rPr>
          <w:i/>
          <w:iCs/>
          <w:vertAlign w:val="subscript"/>
          <w:lang w:val="es-ES"/>
        </w:rPr>
        <w:t>s</w:t>
      </w:r>
      <w:r w:rsidRPr="003B4B83">
        <w:rPr>
          <w:vertAlign w:val="subscript"/>
          <w:lang w:val="es-ES"/>
        </w:rPr>
        <w:t>,</w:t>
      </w:r>
      <w:r w:rsidRPr="003B4B83">
        <w:rPr>
          <w:i/>
          <w:iCs/>
          <w:vertAlign w:val="subscript"/>
          <w:lang w:val="es-ES"/>
        </w:rPr>
        <w:t xml:space="preserve"> f</w:t>
      </w:r>
      <w:r w:rsidRPr="003B4B83">
        <w:rPr>
          <w:lang w:val="es-ES"/>
        </w:rPr>
        <w:t xml:space="preserve">  </w:t>
      </w:r>
      <w:r w:rsidR="009E4D54">
        <w:rPr>
          <w:lang w:val="es-ES"/>
        </w:rPr>
        <w:t>=</w:t>
      </w:r>
      <w:r w:rsidRPr="003B4B83">
        <w:rPr>
          <w:lang w:val="es-ES"/>
        </w:rPr>
        <w:t xml:space="preserve">  </w:t>
      </w:r>
      <w:r w:rsidRPr="003B4B83">
        <w:rPr>
          <w:i/>
          <w:lang w:val="es-ES"/>
        </w:rPr>
        <w:t>P</w:t>
      </w:r>
      <w:r w:rsidRPr="003B4B83">
        <w:rPr>
          <w:i/>
          <w:iCs/>
          <w:vertAlign w:val="subscript"/>
          <w:lang w:val="es-ES"/>
        </w:rPr>
        <w:t>r</w:t>
      </w:r>
      <w:r w:rsidRPr="003B4B83">
        <w:rPr>
          <w:vertAlign w:val="subscript"/>
          <w:lang w:val="es-ES"/>
        </w:rPr>
        <w:t>,</w:t>
      </w:r>
      <w:r w:rsidRPr="003B4B83">
        <w:rPr>
          <w:i/>
          <w:iCs/>
          <w:vertAlign w:val="subscript"/>
          <w:lang w:val="es-ES"/>
        </w:rPr>
        <w:t xml:space="preserve"> f</w:t>
      </w:r>
      <w:r w:rsidRPr="003B4B83">
        <w:rPr>
          <w:lang w:val="es-ES"/>
        </w:rPr>
        <w:t xml:space="preserve">  </w:t>
      </w:r>
      <w:r w:rsidR="009E4D54">
        <w:rPr>
          <w:lang w:val="es-ES"/>
        </w:rPr>
        <w:t>+</w:t>
      </w:r>
      <w:r w:rsidRPr="003B4B83">
        <w:rPr>
          <w:lang w:val="es-ES"/>
        </w:rPr>
        <w:t xml:space="preserve">  </w:t>
      </w:r>
      <w:r w:rsidRPr="003B4B83">
        <w:rPr>
          <w:i/>
          <w:lang w:val="es-ES"/>
        </w:rPr>
        <w:t>k</w:t>
      </w:r>
      <w:r w:rsidRPr="003B4B83">
        <w:rPr>
          <w:i/>
          <w:iCs/>
          <w:vertAlign w:val="subscript"/>
          <w:lang w:val="es-ES"/>
        </w:rPr>
        <w:t>ms</w:t>
      </w:r>
      <w:r w:rsidRPr="003B4B83">
        <w:rPr>
          <w:vertAlign w:val="subscript"/>
          <w:lang w:val="es-ES"/>
        </w:rPr>
        <w:t>,</w:t>
      </w:r>
      <w:r w:rsidRPr="003B4B83">
        <w:rPr>
          <w:i/>
          <w:iCs/>
          <w:vertAlign w:val="subscript"/>
          <w:lang w:val="es-ES"/>
        </w:rPr>
        <w:t xml:space="preserve"> f</w:t>
      </w:r>
      <w:r w:rsidRPr="003B4B83">
        <w:rPr>
          <w:lang w:val="es-ES"/>
        </w:rPr>
        <w:t xml:space="preserve">  –  </w:t>
      </w:r>
      <w:r w:rsidRPr="003B4B83">
        <w:rPr>
          <w:i/>
          <w:lang w:val="es-ES"/>
        </w:rPr>
        <w:t>G</w:t>
      </w:r>
      <w:r w:rsidRPr="003B4B83">
        <w:rPr>
          <w:i/>
          <w:iCs/>
          <w:vertAlign w:val="subscript"/>
          <w:lang w:val="es-ES"/>
        </w:rPr>
        <w:t>f</w:t>
      </w:r>
      <w:r w:rsidRPr="003B4B83">
        <w:rPr>
          <w:lang w:val="es-ES"/>
        </w:rPr>
        <w:t xml:space="preserve">  </w:t>
      </w:r>
      <w:r w:rsidR="009E4D54">
        <w:rPr>
          <w:lang w:val="es-ES"/>
        </w:rPr>
        <w:t>+</w:t>
      </w:r>
      <w:r w:rsidRPr="003B4B83">
        <w:rPr>
          <w:lang w:val="es-ES"/>
        </w:rPr>
        <w:t xml:space="preserve">  20 log </w:t>
      </w:r>
      <w:r w:rsidRPr="003B4B83">
        <w:rPr>
          <w:i/>
          <w:lang w:val="es-ES"/>
        </w:rPr>
        <w:t>f</w:t>
      </w:r>
      <w:r w:rsidRPr="003B4B83">
        <w:rPr>
          <w:lang w:val="es-ES"/>
        </w:rPr>
        <w:t xml:space="preserve">  </w:t>
      </w:r>
      <w:r w:rsidR="009E4D54">
        <w:rPr>
          <w:lang w:val="es-ES"/>
        </w:rPr>
        <w:t>+</w:t>
      </w:r>
      <w:r w:rsidRPr="003B4B83">
        <w:rPr>
          <w:lang w:val="es-ES"/>
        </w:rPr>
        <w:t xml:space="preserve">  20 log </w:t>
      </w:r>
      <w:r w:rsidRPr="003B4B83">
        <w:rPr>
          <w:i/>
          <w:lang w:val="es-ES"/>
        </w:rPr>
        <w:t>d</w:t>
      </w:r>
      <w:r w:rsidRPr="003B4B83">
        <w:rPr>
          <w:lang w:val="es-ES"/>
        </w:rPr>
        <w:t xml:space="preserve">  –  27,6</w:t>
      </w:r>
    </w:p>
    <w:p w:rsidR="006130A6" w:rsidRPr="001C121E" w:rsidRDefault="006130A6" w:rsidP="006130A6">
      <w:pPr>
        <w:pStyle w:val="Blanc"/>
        <w:rPr>
          <w:lang w:val="es-ES"/>
        </w:rPr>
      </w:pPr>
    </w:p>
    <w:p w:rsidR="002E5EB0" w:rsidRDefault="002E5EB0" w:rsidP="000C144E">
      <w:pPr>
        <w:rPr>
          <w:lang w:val="es-ES"/>
        </w:rPr>
      </w:pPr>
      <w:r>
        <w:rPr>
          <w:lang w:val="es-ES"/>
        </w:rPr>
        <w:t>donde:</w:t>
      </w:r>
    </w:p>
    <w:p w:rsidR="002E5EB0" w:rsidRDefault="002E5EB0" w:rsidP="000C144E">
      <w:pPr>
        <w:pStyle w:val="Equationlegend"/>
        <w:rPr>
          <w:lang w:val="es-ES"/>
        </w:rPr>
      </w:pPr>
      <w:r>
        <w:rPr>
          <w:lang w:val="es-ES"/>
        </w:rPr>
        <w:tab/>
      </w:r>
      <w:r>
        <w:rPr>
          <w:i/>
          <w:lang w:val="es-ES"/>
        </w:rPr>
        <w:t>P</w:t>
      </w:r>
      <w:r>
        <w:rPr>
          <w:i/>
          <w:vertAlign w:val="subscript"/>
          <w:lang w:val="es-ES"/>
        </w:rPr>
        <w:t>r</w:t>
      </w:r>
      <w:r>
        <w:rPr>
          <w:position w:val="-4"/>
          <w:sz w:val="20"/>
          <w:lang w:val="es-ES"/>
        </w:rPr>
        <w:t>,</w:t>
      </w:r>
      <w:r>
        <w:rPr>
          <w:i/>
          <w:iCs/>
          <w:position w:val="-4"/>
          <w:sz w:val="20"/>
          <w:lang w:val="es-ES"/>
        </w:rPr>
        <w:t> </w:t>
      </w:r>
      <w:r>
        <w:rPr>
          <w:i/>
          <w:vertAlign w:val="subscript"/>
          <w:lang w:val="es-ES"/>
        </w:rPr>
        <w:t>f</w:t>
      </w:r>
      <w:r>
        <w:rPr>
          <w:sz w:val="12"/>
          <w:lang w:val="es-ES"/>
        </w:rPr>
        <w:t>  </w:t>
      </w:r>
      <w:r>
        <w:rPr>
          <w:lang w:val="es-ES"/>
        </w:rPr>
        <w:t>:</w:t>
      </w:r>
      <w:r>
        <w:rPr>
          <w:lang w:val="es-ES"/>
        </w:rPr>
        <w:tab/>
        <w:t xml:space="preserve">potencia de la emisión en el dominio no esencial indicada por el receptor de medición en la frecuencia </w:t>
      </w:r>
      <w:r>
        <w:rPr>
          <w:i/>
          <w:lang w:val="es-ES"/>
        </w:rPr>
        <w:t>f</w:t>
      </w:r>
      <w:r>
        <w:rPr>
          <w:lang w:val="es-ES"/>
        </w:rPr>
        <w:t xml:space="preserve"> (dBW o dBm, mismas unidades que </w:t>
      </w:r>
      <w:r>
        <w:rPr>
          <w:i/>
          <w:lang w:val="es-ES"/>
        </w:rPr>
        <w:t>P</w:t>
      </w:r>
      <w:r>
        <w:rPr>
          <w:i/>
          <w:vertAlign w:val="subscript"/>
          <w:lang w:val="es-ES"/>
        </w:rPr>
        <w:t>s</w:t>
      </w:r>
      <w:r>
        <w:rPr>
          <w:i/>
          <w:iCs/>
          <w:position w:val="-4"/>
          <w:sz w:val="20"/>
          <w:lang w:val="es-ES"/>
        </w:rPr>
        <w:t>, </w:t>
      </w:r>
      <w:r>
        <w:rPr>
          <w:i/>
          <w:vertAlign w:val="subscript"/>
          <w:lang w:val="es-ES"/>
        </w:rPr>
        <w:t>f</w:t>
      </w:r>
      <w:r>
        <w:rPr>
          <w:sz w:val="8"/>
          <w:lang w:val="es-ES"/>
        </w:rPr>
        <w:t> </w:t>
      </w:r>
      <w:r>
        <w:rPr>
          <w:lang w:val="es-ES"/>
        </w:rPr>
        <w:t>)</w:t>
      </w:r>
    </w:p>
    <w:p w:rsidR="002E5EB0" w:rsidRDefault="002E5EB0" w:rsidP="000C144E">
      <w:pPr>
        <w:pStyle w:val="Equationlegend"/>
        <w:rPr>
          <w:lang w:val="es-ES"/>
        </w:rPr>
      </w:pPr>
      <w:r>
        <w:rPr>
          <w:lang w:val="es-ES"/>
        </w:rPr>
        <w:tab/>
      </w:r>
      <w:r>
        <w:rPr>
          <w:i/>
          <w:iCs/>
          <w:lang w:val="es-ES"/>
        </w:rPr>
        <w:t>k</w:t>
      </w:r>
      <w:r>
        <w:rPr>
          <w:i/>
          <w:iCs/>
          <w:vertAlign w:val="subscript"/>
          <w:lang w:val="es-ES"/>
        </w:rPr>
        <w:t>ms</w:t>
      </w:r>
      <w:r>
        <w:rPr>
          <w:position w:val="-4"/>
          <w:sz w:val="20"/>
          <w:lang w:val="es-ES"/>
        </w:rPr>
        <w:t>,</w:t>
      </w:r>
      <w:r>
        <w:rPr>
          <w:i/>
          <w:iCs/>
          <w:position w:val="-4"/>
          <w:sz w:val="20"/>
          <w:lang w:val="es-ES"/>
        </w:rPr>
        <w:t> </w:t>
      </w:r>
      <w:r>
        <w:rPr>
          <w:i/>
          <w:iCs/>
          <w:vertAlign w:val="subscript"/>
          <w:lang w:val="es-ES"/>
        </w:rPr>
        <w:t>f</w:t>
      </w:r>
      <w:r>
        <w:rPr>
          <w:sz w:val="12"/>
          <w:lang w:val="es-ES"/>
        </w:rPr>
        <w:t>  </w:t>
      </w:r>
      <w:r>
        <w:rPr>
          <w:lang w:val="es-ES"/>
        </w:rPr>
        <w:t>:</w:t>
      </w:r>
      <w:r>
        <w:rPr>
          <w:lang w:val="es-ES"/>
        </w:rPr>
        <w:tab/>
        <w:t xml:space="preserve">factor de calibración del conjunto de medición en la frecuencia </w:t>
      </w:r>
      <w:r>
        <w:rPr>
          <w:i/>
          <w:iCs/>
          <w:lang w:val="es-ES"/>
        </w:rPr>
        <w:t>f</w:t>
      </w:r>
      <w:r>
        <w:rPr>
          <w:lang w:val="es-ES"/>
        </w:rPr>
        <w:t xml:space="preserve"> (dB) (en general positivo)</w:t>
      </w:r>
    </w:p>
    <w:p w:rsidR="002E5EB0" w:rsidRDefault="002E5EB0" w:rsidP="000C144E">
      <w:pPr>
        <w:pStyle w:val="Equationlegend"/>
        <w:rPr>
          <w:lang w:val="es-ES"/>
        </w:rPr>
      </w:pPr>
      <w:r>
        <w:rPr>
          <w:lang w:val="es-ES"/>
        </w:rPr>
        <w:tab/>
      </w:r>
      <w:r>
        <w:rPr>
          <w:i/>
          <w:lang w:val="es-ES"/>
        </w:rPr>
        <w:t>G</w:t>
      </w:r>
      <w:r>
        <w:rPr>
          <w:i/>
          <w:vertAlign w:val="subscript"/>
          <w:lang w:val="es-ES"/>
        </w:rPr>
        <w:t>f</w:t>
      </w:r>
      <w:r>
        <w:rPr>
          <w:sz w:val="12"/>
          <w:lang w:val="es-ES"/>
        </w:rPr>
        <w:t>  </w:t>
      </w:r>
      <w:r>
        <w:rPr>
          <w:lang w:val="es-ES"/>
        </w:rPr>
        <w:t>:</w:t>
      </w:r>
      <w:r>
        <w:rPr>
          <w:lang w:val="es-ES"/>
        </w:rPr>
        <w:tab/>
        <w:t>ganancia de la antena de medición calibrada en la frecuencia  </w:t>
      </w:r>
      <w:r>
        <w:rPr>
          <w:i/>
          <w:lang w:val="es-ES"/>
        </w:rPr>
        <w:t>f</w:t>
      </w:r>
      <w:r>
        <w:rPr>
          <w:lang w:val="es-ES"/>
        </w:rPr>
        <w:t xml:space="preserve"> (dBi)</w:t>
      </w:r>
    </w:p>
    <w:p w:rsidR="002E5EB0" w:rsidRDefault="002E5EB0" w:rsidP="000C144E">
      <w:pPr>
        <w:pStyle w:val="Equationlegend"/>
        <w:rPr>
          <w:lang w:val="es-ES"/>
        </w:rPr>
      </w:pPr>
      <w:r>
        <w:rPr>
          <w:lang w:val="es-ES"/>
        </w:rPr>
        <w:tab/>
      </w:r>
      <w:r>
        <w:rPr>
          <w:i/>
          <w:lang w:val="es-ES"/>
        </w:rPr>
        <w:t>f</w:t>
      </w:r>
      <w:r>
        <w:rPr>
          <w:sz w:val="12"/>
          <w:lang w:val="es-ES"/>
        </w:rPr>
        <w:t> </w:t>
      </w:r>
      <w:r>
        <w:rPr>
          <w:lang w:val="es-ES"/>
        </w:rPr>
        <w:t>:</w:t>
      </w:r>
      <w:r>
        <w:rPr>
          <w:lang w:val="es-ES"/>
        </w:rPr>
        <w:tab/>
        <w:t>frecuencia de la emisión en el dominio no esencial (MHz)</w:t>
      </w:r>
    </w:p>
    <w:p w:rsidR="002E5EB0" w:rsidRDefault="002E5EB0" w:rsidP="000C144E">
      <w:pPr>
        <w:pStyle w:val="Equationlegend"/>
        <w:rPr>
          <w:lang w:val="es-ES"/>
        </w:rPr>
      </w:pPr>
      <w:r>
        <w:rPr>
          <w:lang w:val="es-ES"/>
        </w:rPr>
        <w:tab/>
      </w:r>
      <w:r>
        <w:rPr>
          <w:i/>
          <w:lang w:val="es-ES"/>
        </w:rPr>
        <w:t>d</w:t>
      </w:r>
      <w:r>
        <w:rPr>
          <w:sz w:val="12"/>
          <w:lang w:val="es-ES"/>
        </w:rPr>
        <w:t> </w:t>
      </w:r>
      <w:r>
        <w:rPr>
          <w:lang w:val="es-ES"/>
        </w:rPr>
        <w:t>:</w:t>
      </w:r>
      <w:r>
        <w:rPr>
          <w:lang w:val="es-ES"/>
        </w:rPr>
        <w:tab/>
        <w:t>distancia (m) entre la antena transmisora y la antena de medición calibrada.</w:t>
      </w:r>
    </w:p>
    <w:p w:rsidR="002E5EB0" w:rsidRDefault="002E5EB0" w:rsidP="002E5EB0">
      <w:pPr>
        <w:rPr>
          <w:lang w:val="es-ES"/>
        </w:rPr>
      </w:pPr>
      <w:r>
        <w:rPr>
          <w:lang w:val="es-ES"/>
        </w:rPr>
        <w:t>Además, cuando se utiliza un EPZA debe tenerse en cuenta la ganancia de reflexión.</w:t>
      </w:r>
    </w:p>
    <w:p w:rsidR="002E5EB0" w:rsidRDefault="002E5EB0" w:rsidP="002E5EB0">
      <w:pPr>
        <w:pStyle w:val="Heading3"/>
        <w:rPr>
          <w:lang w:val="es-ES"/>
        </w:rPr>
      </w:pPr>
      <w:bookmarkStart w:id="60" w:name="_Toc393697870"/>
      <w:r>
        <w:rPr>
          <w:lang w:val="es-ES"/>
        </w:rPr>
        <w:lastRenderedPageBreak/>
        <w:t>3.3.3</w:t>
      </w:r>
      <w:r>
        <w:rPr>
          <w:lang w:val="es-ES"/>
        </w:rPr>
        <w:tab/>
        <w:t>Esquema de sustitución</w:t>
      </w:r>
      <w:bookmarkEnd w:id="60"/>
    </w:p>
    <w:p w:rsidR="002E5EB0" w:rsidRDefault="002E5EB0" w:rsidP="002E5EB0">
      <w:pPr>
        <w:rPr>
          <w:lang w:val="es-ES"/>
        </w:rPr>
      </w:pPr>
      <w:r>
        <w:rPr>
          <w:lang w:val="es-ES"/>
        </w:rPr>
        <w:t>En este esquema, se utiliza una antena de sustitución calibrada y un generador calibrado; la fuente de prueba se ajusta a la misma señal no esencial recibida.</w:t>
      </w:r>
    </w:p>
    <w:p w:rsidR="002E5EB0" w:rsidRDefault="002E5EB0" w:rsidP="000C144E">
      <w:pPr>
        <w:pStyle w:val="Heading2"/>
        <w:rPr>
          <w:lang w:val="es-ES"/>
        </w:rPr>
      </w:pPr>
      <w:bookmarkStart w:id="61" w:name="_Toc393697871"/>
      <w:r>
        <w:rPr>
          <w:lang w:val="es-ES"/>
        </w:rPr>
        <w:t>3.4</w:t>
      </w:r>
      <w:r>
        <w:rPr>
          <w:lang w:val="es-ES"/>
        </w:rPr>
        <w:tab/>
        <w:t>Medición de la radiación del bastidor del equipo</w:t>
      </w:r>
      <w:bookmarkEnd w:id="61"/>
    </w:p>
    <w:p w:rsidR="002E5EB0" w:rsidRDefault="002E5EB0" w:rsidP="002E5EB0">
      <w:pPr>
        <w:rPr>
          <w:lang w:val="es-ES"/>
        </w:rPr>
      </w:pPr>
      <w:r>
        <w:rPr>
          <w:lang w:val="es-ES"/>
        </w:rPr>
        <w:t>Para medir las radiaciones no esenciales del bastidor del transmisor, se puede utilizar el Método 2. Este método requiere el reemplazo de la antena del equipo sometido a prueba por una carga terminal calibrada, y continuar con los esquemas enumerados anteriormente para el Método 2, para obtener el caso p.i.r.e. La carga artificial de terminación se debe colocar en un pequeño recinto blindado separado de modo tal que las radiaciones reflejadas procedentes de la carga no interfieran la medición de la radiación procedente del bastidor sometido a prueba. Asimismo, los cables de conexión pueden emitir energía y afectar las mediciones en forma adversa; esto se puede evitar utilizando cables de blindaje doble o emplear el recinto blindado también para los cables.</w:t>
      </w:r>
    </w:p>
    <w:p w:rsidR="006130A6" w:rsidRDefault="006130A6" w:rsidP="006130A6">
      <w:pPr>
        <w:rPr>
          <w:lang w:val="es-ES"/>
        </w:rPr>
      </w:pPr>
    </w:p>
    <w:p w:rsidR="006130A6" w:rsidRDefault="006130A6" w:rsidP="006130A6">
      <w:pPr>
        <w:rPr>
          <w:lang w:val="es-ES"/>
        </w:rPr>
      </w:pPr>
    </w:p>
    <w:p w:rsidR="002E5EB0" w:rsidRDefault="002E5EB0" w:rsidP="002E5EB0">
      <w:pPr>
        <w:pStyle w:val="AnnexNoTitle"/>
        <w:rPr>
          <w:lang w:val="es-ES"/>
        </w:rPr>
      </w:pPr>
      <w:r>
        <w:rPr>
          <w:lang w:val="es-ES"/>
        </w:rPr>
        <w:t>Anexo 3</w:t>
      </w:r>
      <w:r>
        <w:rPr>
          <w:lang w:val="es-ES"/>
        </w:rPr>
        <w:br/>
      </w:r>
      <w:r>
        <w:rPr>
          <w:lang w:val="es-ES"/>
        </w:rPr>
        <w:br/>
        <w:t>Niveles umbrales de interferencia para el servicio de radioastronomía y</w:t>
      </w:r>
      <w:r>
        <w:rPr>
          <w:lang w:val="es-ES"/>
        </w:rPr>
        <w:br/>
        <w:t>servicios espaciales que utilizan sensores pasivos</w:t>
      </w:r>
    </w:p>
    <w:p w:rsidR="002E5EB0" w:rsidRDefault="002E5EB0" w:rsidP="000C144E">
      <w:pPr>
        <w:pStyle w:val="Heading1"/>
        <w:rPr>
          <w:lang w:val="es-ES"/>
        </w:rPr>
      </w:pPr>
      <w:bookmarkStart w:id="62" w:name="_Toc393697872"/>
      <w:r>
        <w:rPr>
          <w:lang w:val="es-ES"/>
        </w:rPr>
        <w:t>1</w:t>
      </w:r>
      <w:r>
        <w:rPr>
          <w:lang w:val="es-ES"/>
        </w:rPr>
        <w:tab/>
        <w:t>Introducción</w:t>
      </w:r>
      <w:bookmarkEnd w:id="62"/>
    </w:p>
    <w:p w:rsidR="002E5EB0" w:rsidRDefault="002E5EB0" w:rsidP="006130A6">
      <w:pPr>
        <w:rPr>
          <w:lang w:val="es-ES"/>
        </w:rPr>
      </w:pPr>
      <w:r>
        <w:rPr>
          <w:lang w:val="es-ES"/>
        </w:rPr>
        <w:t>Los niveles umbrales de interferencia para el servicio de radioastronomía, servicio de exploración de la Tierra por satélite y servicio meteorológico por satélite que utilizan sensores pasivos figuran en las Recomendaciones UIT</w:t>
      </w:r>
      <w:r>
        <w:rPr>
          <w:lang w:val="es-ES"/>
        </w:rPr>
        <w:noBreakHyphen/>
        <w:t xml:space="preserve">R RA.769 y UIT-R SA.1029. Este </w:t>
      </w:r>
      <w:r w:rsidR="006130A6">
        <w:rPr>
          <w:lang w:val="es-ES"/>
        </w:rPr>
        <w:t>a</w:t>
      </w:r>
      <w:r>
        <w:rPr>
          <w:lang w:val="es-ES"/>
        </w:rPr>
        <w:t>nexo resume los niveles suministrados en esas Recomendaciones.</w:t>
      </w:r>
    </w:p>
    <w:p w:rsidR="002E5EB0" w:rsidRDefault="002E5EB0" w:rsidP="000C144E">
      <w:pPr>
        <w:pStyle w:val="Heading1"/>
        <w:rPr>
          <w:lang w:val="es-ES"/>
        </w:rPr>
      </w:pPr>
      <w:bookmarkStart w:id="63" w:name="_Toc393697873"/>
      <w:r>
        <w:rPr>
          <w:lang w:val="es-ES"/>
        </w:rPr>
        <w:t>2</w:t>
      </w:r>
      <w:r>
        <w:rPr>
          <w:lang w:val="es-ES"/>
        </w:rPr>
        <w:tab/>
        <w:t>Servicio de radioastronomía (véase la Recomendación UIT-R RA.769)</w:t>
      </w:r>
      <w:bookmarkEnd w:id="63"/>
    </w:p>
    <w:p w:rsidR="002E5EB0" w:rsidRDefault="002E5EB0" w:rsidP="0067378A">
      <w:pPr>
        <w:rPr>
          <w:lang w:val="es-ES"/>
        </w:rPr>
      </w:pPr>
      <w:r>
        <w:rPr>
          <w:lang w:val="es-ES"/>
        </w:rPr>
        <w:t>En el Cuadro 8 figuran los niveles umbrales de dfp para la interferencia perjudicial al servicio de radioastronomía que figuran en la Recomendación UIT</w:t>
      </w:r>
      <w:r>
        <w:rPr>
          <w:lang w:val="es-ES"/>
        </w:rPr>
        <w:noBreakHyphen/>
        <w:t>R RA.769 correspondientes a las bandas de frecuencias enumeradas en dicha Recomendación; se incluyen todas las bandas atribuidas al servicio de radioastronomía con carácter primario, excepto las ocho bandas atribuidas mediante el número 5.555 del RR. Estos valores fueron calculados por observaciones con una sola antena y recepción en lóbulos laterales de 0 dBi de ganancia y un tiempo de integración de 2</w:t>
      </w:r>
      <w:r>
        <w:rPr>
          <w:rFonts w:ascii="Tms Rmn" w:hAnsi="Tms Rmn"/>
          <w:sz w:val="12"/>
          <w:lang w:val="es-ES"/>
        </w:rPr>
        <w:t> </w:t>
      </w:r>
      <w:r>
        <w:rPr>
          <w:lang w:val="es-ES"/>
        </w:rPr>
        <w:t>000 s. Por lo general, se aplican los valores de dfp que figuran en el Cuadro</w:t>
      </w:r>
      <w:r w:rsidR="0067378A">
        <w:rPr>
          <w:lang w:val="es-ES"/>
        </w:rPr>
        <w:t> </w:t>
      </w:r>
      <w:r>
        <w:rPr>
          <w:lang w:val="es-ES"/>
        </w:rPr>
        <w:t>8, salvo para satélites geoestacionarios para los cuales la dfp es 15 dB más estricta que la indicada (véase la Recomendación</w:t>
      </w:r>
      <w:r w:rsidR="00D90E80">
        <w:rPr>
          <w:lang w:val="es-ES"/>
        </w:rPr>
        <w:t xml:space="preserve"> </w:t>
      </w:r>
      <w:r>
        <w:rPr>
          <w:lang w:val="es-ES"/>
        </w:rPr>
        <w:t>UIT</w:t>
      </w:r>
      <w:r>
        <w:rPr>
          <w:lang w:val="es-ES"/>
        </w:rPr>
        <w:noBreakHyphen/>
        <w:t>R RA.769).</w:t>
      </w:r>
    </w:p>
    <w:p w:rsidR="002E5EB0" w:rsidRDefault="002E5EB0" w:rsidP="002E5EB0">
      <w:pPr>
        <w:rPr>
          <w:spacing w:val="-2"/>
          <w:lang w:val="es-ES"/>
        </w:rPr>
      </w:pPr>
      <w:r>
        <w:rPr>
          <w:spacing w:val="-2"/>
          <w:lang w:val="es-ES"/>
        </w:rPr>
        <w:t>El Anexo 1 a la Recomendación UIT-R RA.769 describe la metodología para calcular la sensibilidad de diversos sistemas de radioastronomía actualmente en uso. Proporciona también, para valores supuestos de parámetros de sistemas, niveles tabulados de interferencia combinada que son perjudiciales a las mediciones del continuum y de raya espectral para diversas bandas atribuidas al servicio de radioastronomía.</w:t>
      </w:r>
    </w:p>
    <w:p w:rsidR="002E5EB0" w:rsidRDefault="002E5EB0" w:rsidP="002E5EB0">
      <w:pPr>
        <w:rPr>
          <w:spacing w:val="-2"/>
          <w:lang w:val="es-ES"/>
        </w:rPr>
      </w:pPr>
      <w:r>
        <w:rPr>
          <w:spacing w:val="-2"/>
          <w:lang w:val="es-ES"/>
        </w:rPr>
        <w:t xml:space="preserve">Los parámetros supuestos utilizados para obtener estos niveles son representativos de muchos tipos de sistemas y mediciones de radioastronomía y constituyen modelos aceptables convenidos en el servicio de radioastronomía. Sin embargo, pueden existir circunstancias en coordinación con un sistema de </w:t>
      </w:r>
      <w:r>
        <w:rPr>
          <w:spacing w:val="-2"/>
          <w:lang w:val="es-ES"/>
        </w:rPr>
        <w:lastRenderedPageBreak/>
        <w:t>radioastronomía específico, que funciona en un tiempo y ubicación determinados y en una banda determinada, mientras otros valores de esos parámetros se pueden utilizar con la misma metodología para obtener un nivel más apropiado de interferencia perjudicial. Además, para estudio de la interferencia procedente de determinados tipos de sistemas (por ejemplo satélites geoestacionarios o sistema de múltiples satélites) puede ser garantizado un ajuste sistemático de los niveles en la Recomendación UIT-R RA.769. En consecuencia, cuando se aplican o refieren a los niveles contenidos en el Cuadro 8, se deberán tener en cuenta las suposiciones utilizadas para obtener sus valores.</w:t>
      </w:r>
    </w:p>
    <w:p w:rsidR="002E5EB0" w:rsidRDefault="008A294A" w:rsidP="006130A6">
      <w:pPr>
        <w:pStyle w:val="TableNo"/>
        <w:rPr>
          <w:lang w:val="es-ES"/>
        </w:rPr>
      </w:pPr>
      <w:r>
        <w:rPr>
          <w:lang w:val="es-ES"/>
        </w:rPr>
        <w:t xml:space="preserve">CUADRO </w:t>
      </w:r>
      <w:r w:rsidR="002E5EB0">
        <w:rPr>
          <w:lang w:val="es-ES"/>
        </w:rPr>
        <w:t>8</w:t>
      </w:r>
    </w:p>
    <w:p w:rsidR="002E5EB0" w:rsidRDefault="002E5EB0" w:rsidP="002E5EB0">
      <w:pPr>
        <w:pStyle w:val="Tabletitle"/>
        <w:rPr>
          <w:lang w:val="es-ES"/>
        </w:rPr>
      </w:pPr>
      <w:r>
        <w:rPr>
          <w:lang w:val="es-ES"/>
        </w:rPr>
        <w:t>Niveles umbrales de dfp de interferencia perjudicial</w:t>
      </w:r>
      <w:r>
        <w:rPr>
          <w:lang w:val="es-ES"/>
        </w:rPr>
        <w:br/>
        <w:t>para el servicio de radioastronomía</w:t>
      </w:r>
      <w:r>
        <w:rPr>
          <w:rFonts w:ascii="Times New Roman Bold" w:hAnsi="Times New Roman Bold"/>
          <w:vertAlign w:val="superscript"/>
          <w:lang w:val="es-ES"/>
        </w:rPr>
        <w:t>*</w:t>
      </w:r>
    </w:p>
    <w:p w:rsidR="002E5EB0" w:rsidRDefault="002E5EB0" w:rsidP="002E5EB0">
      <w:pPr>
        <w:pStyle w:val="Blanc"/>
        <w:rPr>
          <w:sz w:val="8"/>
          <w:lang w:val="es-ES"/>
        </w:rPr>
      </w:pPr>
    </w:p>
    <w:tbl>
      <w:tblPr>
        <w:tblW w:w="9639" w:type="dxa"/>
        <w:jc w:val="center"/>
        <w:tblBorders>
          <w:top w:val="single" w:sz="4" w:space="0" w:color="auto"/>
          <w:left w:val="single" w:sz="4" w:space="0" w:color="auto"/>
          <w:bottom w:val="single" w:sz="6"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2E5EB0" w:rsidTr="006130A6">
        <w:trPr>
          <w:cantSplit/>
          <w:jc w:val="center"/>
        </w:trPr>
        <w:tc>
          <w:tcPr>
            <w:tcW w:w="2463" w:type="dxa"/>
          </w:tcPr>
          <w:p w:rsidR="002E5EB0" w:rsidRDefault="002E5EB0" w:rsidP="006130A6">
            <w:pPr>
              <w:pStyle w:val="Tabletext"/>
              <w:jc w:val="center"/>
              <w:rPr>
                <w:lang w:val="es-ES"/>
              </w:rPr>
            </w:pPr>
          </w:p>
        </w:tc>
        <w:tc>
          <w:tcPr>
            <w:tcW w:w="3389" w:type="dxa"/>
            <w:gridSpan w:val="2"/>
          </w:tcPr>
          <w:p w:rsidR="002E5EB0" w:rsidRDefault="002E5EB0" w:rsidP="006130A6">
            <w:pPr>
              <w:pStyle w:val="Tablehead"/>
              <w:rPr>
                <w:lang w:val="es-ES"/>
              </w:rPr>
            </w:pPr>
            <w:r>
              <w:rPr>
                <w:lang w:val="es-ES"/>
              </w:rPr>
              <w:t>Observaciones del continuum</w:t>
            </w:r>
          </w:p>
        </w:tc>
        <w:tc>
          <w:tcPr>
            <w:tcW w:w="3787" w:type="dxa"/>
            <w:gridSpan w:val="2"/>
          </w:tcPr>
          <w:p w:rsidR="002E5EB0" w:rsidRDefault="002E5EB0" w:rsidP="006130A6">
            <w:pPr>
              <w:pStyle w:val="Tablehead"/>
              <w:rPr>
                <w:lang w:val="es-ES"/>
              </w:rPr>
            </w:pPr>
            <w:r>
              <w:rPr>
                <w:lang w:val="es-ES"/>
              </w:rPr>
              <w:t>Observaciones de rayas espectrales</w:t>
            </w:r>
          </w:p>
        </w:tc>
      </w:tr>
      <w:tr w:rsidR="002E5EB0" w:rsidRPr="00DD03A6" w:rsidTr="006130A6">
        <w:trPr>
          <w:cantSplit/>
          <w:jc w:val="center"/>
        </w:trPr>
        <w:tc>
          <w:tcPr>
            <w:tcW w:w="2463" w:type="dxa"/>
          </w:tcPr>
          <w:p w:rsidR="002E5EB0" w:rsidRDefault="002E5EB0" w:rsidP="006130A6">
            <w:pPr>
              <w:pStyle w:val="Tablehead"/>
              <w:rPr>
                <w:lang w:val="es-ES"/>
              </w:rPr>
            </w:pPr>
            <w:r>
              <w:rPr>
                <w:lang w:val="es-ES"/>
              </w:rPr>
              <w:t xml:space="preserve">Banda de </w:t>
            </w:r>
            <w:r>
              <w:rPr>
                <w:lang w:val="es-ES"/>
              </w:rPr>
              <w:br/>
              <w:t>radioastronomía</w:t>
            </w:r>
            <w:r>
              <w:rPr>
                <w:rFonts w:ascii="Times New Roman Bold" w:hAnsi="Times New Roman Bold"/>
                <w:vertAlign w:val="superscript"/>
                <w:lang w:val="es-ES"/>
              </w:rPr>
              <w:t>(1)</w:t>
            </w:r>
            <w:r>
              <w:rPr>
                <w:lang w:val="es-ES"/>
              </w:rPr>
              <w:br/>
              <w:t>(MHz)</w:t>
            </w:r>
          </w:p>
        </w:tc>
        <w:tc>
          <w:tcPr>
            <w:tcW w:w="1541" w:type="dxa"/>
          </w:tcPr>
          <w:p w:rsidR="002E5EB0" w:rsidRDefault="002E5EB0" w:rsidP="006130A6">
            <w:pPr>
              <w:pStyle w:val="Tablehead"/>
              <w:rPr>
                <w:lang w:val="en-US"/>
              </w:rPr>
            </w:pPr>
            <w:r>
              <w:rPr>
                <w:lang w:val="en-US"/>
              </w:rPr>
              <w:t>dfp</w:t>
            </w:r>
            <w:r>
              <w:rPr>
                <w:lang w:val="en-US"/>
              </w:rPr>
              <w:br/>
              <w:t>(dB(W/m</w:t>
            </w:r>
            <w:r>
              <w:rPr>
                <w:rFonts w:ascii="Times New Roman Bold" w:hAnsi="Times New Roman Bold"/>
                <w:vertAlign w:val="superscript"/>
                <w:lang w:val="en-US"/>
              </w:rPr>
              <w:t>2</w:t>
            </w:r>
            <w:r>
              <w:rPr>
                <w:lang w:val="en-US"/>
              </w:rPr>
              <w:t>))</w:t>
            </w:r>
          </w:p>
        </w:tc>
        <w:tc>
          <w:tcPr>
            <w:tcW w:w="1848" w:type="dxa"/>
          </w:tcPr>
          <w:p w:rsidR="002E5EB0" w:rsidRDefault="002E5EB0" w:rsidP="006130A6">
            <w:pPr>
              <w:pStyle w:val="Tablehead"/>
              <w:rPr>
                <w:lang w:val="es-ES"/>
              </w:rPr>
            </w:pPr>
            <w:r>
              <w:rPr>
                <w:lang w:val="es-ES"/>
              </w:rPr>
              <w:t>Anchura de banda supuesta</w:t>
            </w:r>
            <w:r>
              <w:rPr>
                <w:lang w:val="es-ES"/>
              </w:rPr>
              <w:br/>
              <w:t>(MHz)</w:t>
            </w:r>
          </w:p>
        </w:tc>
        <w:tc>
          <w:tcPr>
            <w:tcW w:w="1541" w:type="dxa"/>
          </w:tcPr>
          <w:p w:rsidR="002E5EB0" w:rsidRDefault="002E5EB0" w:rsidP="006130A6">
            <w:pPr>
              <w:pStyle w:val="Tablehead"/>
              <w:rPr>
                <w:lang w:val="en-US"/>
              </w:rPr>
            </w:pPr>
            <w:r>
              <w:rPr>
                <w:lang w:val="en-US"/>
              </w:rPr>
              <w:t>dfp</w:t>
            </w:r>
            <w:r>
              <w:rPr>
                <w:lang w:val="en-US"/>
              </w:rPr>
              <w:br/>
              <w:t>(dB(W/m</w:t>
            </w:r>
            <w:r>
              <w:rPr>
                <w:rFonts w:ascii="Times New Roman Bold" w:hAnsi="Times New Roman Bold"/>
                <w:vertAlign w:val="superscript"/>
                <w:lang w:val="en-US"/>
              </w:rPr>
              <w:t>2</w:t>
            </w:r>
            <w:r>
              <w:rPr>
                <w:lang w:val="en-US"/>
              </w:rPr>
              <w:t>))</w:t>
            </w:r>
          </w:p>
        </w:tc>
        <w:tc>
          <w:tcPr>
            <w:tcW w:w="2246" w:type="dxa"/>
          </w:tcPr>
          <w:p w:rsidR="002E5EB0" w:rsidRDefault="002E5EB0" w:rsidP="006130A6">
            <w:pPr>
              <w:pStyle w:val="Tablehead"/>
              <w:rPr>
                <w:lang w:val="es-ES"/>
              </w:rPr>
            </w:pPr>
            <w:r>
              <w:rPr>
                <w:lang w:val="es-ES"/>
              </w:rPr>
              <w:t>Anchura de banda del canal de la raya espectral supuesta</w:t>
            </w:r>
            <w:r>
              <w:rPr>
                <w:lang w:val="es-ES"/>
              </w:rPr>
              <w:br/>
              <w:t>(kHz)</w:t>
            </w:r>
          </w:p>
        </w:tc>
      </w:tr>
      <w:tr w:rsidR="002E5EB0" w:rsidTr="006130A6">
        <w:trPr>
          <w:cantSplit/>
          <w:jc w:val="center"/>
        </w:trPr>
        <w:tc>
          <w:tcPr>
            <w:tcW w:w="2463" w:type="dxa"/>
          </w:tcPr>
          <w:p w:rsidR="002E5EB0" w:rsidRDefault="002E5EB0" w:rsidP="006130A6">
            <w:pPr>
              <w:pStyle w:val="Tabletext"/>
              <w:jc w:val="center"/>
            </w:pPr>
            <w:r>
              <w:t>13,36-13,41</w:t>
            </w:r>
          </w:p>
        </w:tc>
        <w:tc>
          <w:tcPr>
            <w:tcW w:w="1541" w:type="dxa"/>
          </w:tcPr>
          <w:p w:rsidR="002E5EB0" w:rsidRDefault="002E5EB0" w:rsidP="006130A6">
            <w:pPr>
              <w:pStyle w:val="Tabletext"/>
              <w:jc w:val="center"/>
            </w:pPr>
            <w:r>
              <w:t>–201</w:t>
            </w:r>
          </w:p>
        </w:tc>
        <w:tc>
          <w:tcPr>
            <w:tcW w:w="1848" w:type="dxa"/>
          </w:tcPr>
          <w:p w:rsidR="002E5EB0" w:rsidRDefault="002E5EB0" w:rsidP="006130A6">
            <w:pPr>
              <w:pStyle w:val="Tabletext"/>
              <w:jc w:val="center"/>
            </w:pPr>
            <w:r>
              <w:t>0,05</w:t>
            </w:r>
          </w:p>
        </w:tc>
        <w:tc>
          <w:tcPr>
            <w:tcW w:w="1541" w:type="dxa"/>
          </w:tcPr>
          <w:p w:rsidR="002E5EB0" w:rsidRDefault="002E5EB0" w:rsidP="006130A6">
            <w:pPr>
              <w:pStyle w:val="Tabletext"/>
              <w:jc w:val="cente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25,55-25,67</w:t>
            </w:r>
          </w:p>
        </w:tc>
        <w:tc>
          <w:tcPr>
            <w:tcW w:w="1541" w:type="dxa"/>
          </w:tcPr>
          <w:p w:rsidR="002E5EB0" w:rsidRDefault="002E5EB0" w:rsidP="006130A6">
            <w:pPr>
              <w:pStyle w:val="Tabletext"/>
              <w:jc w:val="center"/>
            </w:pPr>
            <w:r>
              <w:t>–199</w:t>
            </w:r>
          </w:p>
        </w:tc>
        <w:tc>
          <w:tcPr>
            <w:tcW w:w="1848" w:type="dxa"/>
          </w:tcPr>
          <w:p w:rsidR="002E5EB0" w:rsidRDefault="002E5EB0" w:rsidP="006130A6">
            <w:pPr>
              <w:pStyle w:val="Tabletext"/>
              <w:jc w:val="center"/>
            </w:pPr>
            <w:r>
              <w:t>0,120</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73,0-74,6</w:t>
            </w:r>
          </w:p>
        </w:tc>
        <w:tc>
          <w:tcPr>
            <w:tcW w:w="1541" w:type="dxa"/>
          </w:tcPr>
          <w:p w:rsidR="002E5EB0" w:rsidRDefault="002E5EB0" w:rsidP="006130A6">
            <w:pPr>
              <w:pStyle w:val="Tabletext"/>
              <w:jc w:val="center"/>
            </w:pPr>
            <w:r>
              <w:t>–196</w:t>
            </w:r>
          </w:p>
        </w:tc>
        <w:tc>
          <w:tcPr>
            <w:tcW w:w="1848" w:type="dxa"/>
          </w:tcPr>
          <w:p w:rsidR="002E5EB0" w:rsidRDefault="002E5EB0" w:rsidP="006130A6">
            <w:pPr>
              <w:pStyle w:val="Tabletext"/>
              <w:jc w:val="center"/>
            </w:pPr>
            <w:r>
              <w:t>1,6</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150,05-153,0</w:t>
            </w:r>
          </w:p>
        </w:tc>
        <w:tc>
          <w:tcPr>
            <w:tcW w:w="1541" w:type="dxa"/>
          </w:tcPr>
          <w:p w:rsidR="002E5EB0" w:rsidRDefault="002E5EB0" w:rsidP="006130A6">
            <w:pPr>
              <w:pStyle w:val="Tabletext"/>
              <w:jc w:val="center"/>
            </w:pPr>
            <w:r>
              <w:t>–194</w:t>
            </w:r>
          </w:p>
        </w:tc>
        <w:tc>
          <w:tcPr>
            <w:tcW w:w="1848" w:type="dxa"/>
          </w:tcPr>
          <w:p w:rsidR="002E5EB0" w:rsidRDefault="002E5EB0" w:rsidP="006130A6">
            <w:pPr>
              <w:pStyle w:val="Tabletext"/>
              <w:jc w:val="center"/>
            </w:pPr>
            <w:r>
              <w:t>2,95</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322,0-328,6</w:t>
            </w:r>
          </w:p>
        </w:tc>
        <w:tc>
          <w:tcPr>
            <w:tcW w:w="1541" w:type="dxa"/>
          </w:tcPr>
          <w:p w:rsidR="002E5EB0" w:rsidRDefault="002E5EB0" w:rsidP="006130A6">
            <w:pPr>
              <w:pStyle w:val="Tabletext"/>
              <w:jc w:val="center"/>
            </w:pPr>
            <w:r>
              <w:t>–189</w:t>
            </w:r>
          </w:p>
        </w:tc>
        <w:tc>
          <w:tcPr>
            <w:tcW w:w="1848" w:type="dxa"/>
          </w:tcPr>
          <w:p w:rsidR="002E5EB0" w:rsidRDefault="002E5EB0" w:rsidP="006130A6">
            <w:pPr>
              <w:pStyle w:val="Tabletext"/>
              <w:jc w:val="center"/>
            </w:pPr>
            <w:r>
              <w:t>6,6</w:t>
            </w:r>
          </w:p>
        </w:tc>
        <w:tc>
          <w:tcPr>
            <w:tcW w:w="1541" w:type="dxa"/>
          </w:tcPr>
          <w:p w:rsidR="002E5EB0" w:rsidRDefault="002E5EB0" w:rsidP="006130A6">
            <w:pPr>
              <w:pStyle w:val="Tabletext"/>
              <w:jc w:val="center"/>
            </w:pPr>
            <w:r>
              <w:t>–204</w:t>
            </w:r>
          </w:p>
        </w:tc>
        <w:tc>
          <w:tcPr>
            <w:tcW w:w="2246" w:type="dxa"/>
          </w:tcPr>
          <w:p w:rsidR="002E5EB0" w:rsidRDefault="002E5EB0" w:rsidP="006130A6">
            <w:pPr>
              <w:pStyle w:val="Tabletext"/>
              <w:jc w:val="center"/>
            </w:pPr>
            <w:r>
              <w:t>10</w:t>
            </w:r>
          </w:p>
        </w:tc>
      </w:tr>
      <w:tr w:rsidR="002E5EB0" w:rsidTr="006130A6">
        <w:trPr>
          <w:cantSplit/>
          <w:jc w:val="center"/>
        </w:trPr>
        <w:tc>
          <w:tcPr>
            <w:tcW w:w="2463" w:type="dxa"/>
          </w:tcPr>
          <w:p w:rsidR="002E5EB0" w:rsidRDefault="002E5EB0" w:rsidP="006130A6">
            <w:pPr>
              <w:pStyle w:val="Tabletext"/>
              <w:jc w:val="center"/>
            </w:pPr>
            <w:r>
              <w:t>406,1-410,0</w:t>
            </w:r>
          </w:p>
        </w:tc>
        <w:tc>
          <w:tcPr>
            <w:tcW w:w="1541" w:type="dxa"/>
          </w:tcPr>
          <w:p w:rsidR="002E5EB0" w:rsidRDefault="002E5EB0" w:rsidP="006130A6">
            <w:pPr>
              <w:pStyle w:val="Tabletext"/>
              <w:jc w:val="center"/>
            </w:pPr>
            <w:r>
              <w:t>–189</w:t>
            </w:r>
          </w:p>
        </w:tc>
        <w:tc>
          <w:tcPr>
            <w:tcW w:w="1848" w:type="dxa"/>
          </w:tcPr>
          <w:p w:rsidR="002E5EB0" w:rsidRDefault="002E5EB0" w:rsidP="006130A6">
            <w:pPr>
              <w:pStyle w:val="Tabletext"/>
              <w:jc w:val="center"/>
            </w:pPr>
            <w:r>
              <w:t>3,9</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608-614</w:t>
            </w:r>
          </w:p>
        </w:tc>
        <w:tc>
          <w:tcPr>
            <w:tcW w:w="1541" w:type="dxa"/>
          </w:tcPr>
          <w:p w:rsidR="002E5EB0" w:rsidRDefault="002E5EB0" w:rsidP="006130A6">
            <w:pPr>
              <w:pStyle w:val="Tabletext"/>
              <w:jc w:val="center"/>
            </w:pPr>
            <w:r>
              <w:t>–185</w:t>
            </w:r>
          </w:p>
        </w:tc>
        <w:tc>
          <w:tcPr>
            <w:tcW w:w="1848" w:type="dxa"/>
          </w:tcPr>
          <w:p w:rsidR="002E5EB0" w:rsidRDefault="002E5EB0" w:rsidP="006130A6">
            <w:pPr>
              <w:pStyle w:val="Tabletext"/>
              <w:jc w:val="center"/>
            </w:pPr>
            <w:r>
              <w:t>6</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1</w:t>
            </w:r>
            <w:r>
              <w:rPr>
                <w:rFonts w:ascii="Tms Rmn" w:hAnsi="Tms Rmn"/>
                <w:sz w:val="12"/>
              </w:rPr>
              <w:t> </w:t>
            </w:r>
            <w:r>
              <w:t>400-1</w:t>
            </w:r>
            <w:r>
              <w:rPr>
                <w:rFonts w:ascii="Tms Rmn" w:hAnsi="Tms Rmn"/>
                <w:sz w:val="12"/>
              </w:rPr>
              <w:t> </w:t>
            </w:r>
            <w:r>
              <w:t>427</w:t>
            </w:r>
          </w:p>
        </w:tc>
        <w:tc>
          <w:tcPr>
            <w:tcW w:w="1541" w:type="dxa"/>
          </w:tcPr>
          <w:p w:rsidR="002E5EB0" w:rsidRDefault="002E5EB0" w:rsidP="006130A6">
            <w:pPr>
              <w:pStyle w:val="Tabletext"/>
              <w:jc w:val="center"/>
            </w:pPr>
            <w:r>
              <w:t>–180</w:t>
            </w:r>
          </w:p>
        </w:tc>
        <w:tc>
          <w:tcPr>
            <w:tcW w:w="1848" w:type="dxa"/>
          </w:tcPr>
          <w:p w:rsidR="002E5EB0" w:rsidRDefault="002E5EB0" w:rsidP="006130A6">
            <w:pPr>
              <w:pStyle w:val="Tabletext"/>
              <w:jc w:val="center"/>
            </w:pPr>
            <w:r>
              <w:t>27</w:t>
            </w:r>
          </w:p>
        </w:tc>
        <w:tc>
          <w:tcPr>
            <w:tcW w:w="1541" w:type="dxa"/>
          </w:tcPr>
          <w:p w:rsidR="002E5EB0" w:rsidRDefault="002E5EB0" w:rsidP="006130A6">
            <w:pPr>
              <w:pStyle w:val="Tabletext"/>
              <w:jc w:val="center"/>
            </w:pPr>
            <w:r>
              <w:t>–196</w:t>
            </w:r>
          </w:p>
        </w:tc>
        <w:tc>
          <w:tcPr>
            <w:tcW w:w="2246" w:type="dxa"/>
          </w:tcPr>
          <w:p w:rsidR="002E5EB0" w:rsidRDefault="002E5EB0" w:rsidP="006130A6">
            <w:pPr>
              <w:pStyle w:val="Tabletext"/>
              <w:jc w:val="center"/>
            </w:pPr>
            <w:r>
              <w:t>20</w:t>
            </w:r>
          </w:p>
        </w:tc>
      </w:tr>
      <w:tr w:rsidR="002E5EB0" w:rsidTr="006130A6">
        <w:trPr>
          <w:cantSplit/>
          <w:jc w:val="center"/>
        </w:trPr>
        <w:tc>
          <w:tcPr>
            <w:tcW w:w="2463" w:type="dxa"/>
          </w:tcPr>
          <w:p w:rsidR="002E5EB0" w:rsidRDefault="002E5EB0" w:rsidP="006130A6">
            <w:pPr>
              <w:pStyle w:val="Tabletext"/>
              <w:jc w:val="center"/>
            </w:pPr>
            <w:r>
              <w:t>1</w:t>
            </w:r>
            <w:r>
              <w:rPr>
                <w:rFonts w:ascii="Tms Rmn" w:hAnsi="Tms Rmn"/>
                <w:sz w:val="12"/>
              </w:rPr>
              <w:t> </w:t>
            </w:r>
            <w:r>
              <w:t>610,6-1</w:t>
            </w:r>
            <w:r>
              <w:rPr>
                <w:rFonts w:ascii="Tms Rmn" w:hAnsi="Tms Rmn"/>
                <w:sz w:val="12"/>
              </w:rPr>
              <w:t> </w:t>
            </w:r>
            <w:r>
              <w:t>613,8</w:t>
            </w:r>
          </w:p>
        </w:tc>
        <w:tc>
          <w:tcPr>
            <w:tcW w:w="1541" w:type="dxa"/>
          </w:tcPr>
          <w:p w:rsidR="002E5EB0" w:rsidRDefault="002E5EB0" w:rsidP="006130A6">
            <w:pPr>
              <w:pStyle w:val="Tabletext"/>
              <w:jc w:val="center"/>
            </w:pPr>
            <w:r>
              <w:rPr>
                <w:vertAlign w:val="superscript"/>
              </w:rPr>
              <w:t>(3)</w:t>
            </w:r>
          </w:p>
        </w:tc>
        <w:tc>
          <w:tcPr>
            <w:tcW w:w="1848" w:type="dxa"/>
          </w:tcPr>
          <w:p w:rsidR="002E5EB0" w:rsidRDefault="002E5EB0" w:rsidP="006130A6">
            <w:pPr>
              <w:pStyle w:val="Tabletext"/>
              <w:jc w:val="center"/>
            </w:pPr>
            <w:r>
              <w:rPr>
                <w:vertAlign w:val="superscript"/>
              </w:rPr>
              <w:t>(3)</w:t>
            </w:r>
          </w:p>
        </w:tc>
        <w:tc>
          <w:tcPr>
            <w:tcW w:w="1541" w:type="dxa"/>
          </w:tcPr>
          <w:p w:rsidR="002E5EB0" w:rsidRDefault="002E5EB0" w:rsidP="006130A6">
            <w:pPr>
              <w:pStyle w:val="Tabletext"/>
              <w:jc w:val="center"/>
            </w:pPr>
            <w:r>
              <w:t>–194</w:t>
            </w:r>
          </w:p>
        </w:tc>
        <w:tc>
          <w:tcPr>
            <w:tcW w:w="2246" w:type="dxa"/>
          </w:tcPr>
          <w:p w:rsidR="002E5EB0" w:rsidRDefault="002E5EB0" w:rsidP="006130A6">
            <w:pPr>
              <w:pStyle w:val="Tabletext"/>
              <w:jc w:val="center"/>
            </w:pPr>
            <w:r>
              <w:t>20</w:t>
            </w:r>
          </w:p>
        </w:tc>
      </w:tr>
      <w:tr w:rsidR="002E5EB0" w:rsidTr="006130A6">
        <w:trPr>
          <w:cantSplit/>
          <w:jc w:val="center"/>
        </w:trPr>
        <w:tc>
          <w:tcPr>
            <w:tcW w:w="2463" w:type="dxa"/>
          </w:tcPr>
          <w:p w:rsidR="002E5EB0" w:rsidRDefault="002E5EB0" w:rsidP="006130A6">
            <w:pPr>
              <w:pStyle w:val="Tabletext"/>
              <w:jc w:val="center"/>
            </w:pPr>
            <w:r>
              <w:t>1</w:t>
            </w:r>
            <w:r>
              <w:rPr>
                <w:rFonts w:ascii="Tms Rmn" w:hAnsi="Tms Rmn"/>
                <w:sz w:val="12"/>
              </w:rPr>
              <w:t> </w:t>
            </w:r>
            <w:r>
              <w:t>660-1</w:t>
            </w:r>
            <w:r>
              <w:rPr>
                <w:rFonts w:ascii="Tms Rmn" w:hAnsi="Tms Rmn"/>
                <w:sz w:val="12"/>
              </w:rPr>
              <w:t> </w:t>
            </w:r>
            <w:r>
              <w:t>670</w:t>
            </w:r>
          </w:p>
        </w:tc>
        <w:tc>
          <w:tcPr>
            <w:tcW w:w="1541" w:type="dxa"/>
          </w:tcPr>
          <w:p w:rsidR="002E5EB0" w:rsidRDefault="002E5EB0" w:rsidP="006130A6">
            <w:pPr>
              <w:pStyle w:val="Tabletext"/>
              <w:jc w:val="center"/>
            </w:pPr>
            <w:r>
              <w:t>–181</w:t>
            </w:r>
          </w:p>
        </w:tc>
        <w:tc>
          <w:tcPr>
            <w:tcW w:w="1848" w:type="dxa"/>
          </w:tcPr>
          <w:p w:rsidR="002E5EB0" w:rsidRDefault="002E5EB0" w:rsidP="006130A6">
            <w:pPr>
              <w:pStyle w:val="Tabletext"/>
              <w:jc w:val="center"/>
            </w:pPr>
            <w:r>
              <w:t>10</w:t>
            </w:r>
          </w:p>
        </w:tc>
        <w:tc>
          <w:tcPr>
            <w:tcW w:w="1541" w:type="dxa"/>
          </w:tcPr>
          <w:p w:rsidR="002E5EB0" w:rsidRDefault="002E5EB0" w:rsidP="006130A6">
            <w:pPr>
              <w:pStyle w:val="Tabletext"/>
              <w:jc w:val="center"/>
            </w:pPr>
            <w:r>
              <w:t>–194</w:t>
            </w:r>
          </w:p>
        </w:tc>
        <w:tc>
          <w:tcPr>
            <w:tcW w:w="2246" w:type="dxa"/>
          </w:tcPr>
          <w:p w:rsidR="002E5EB0" w:rsidRDefault="002E5EB0" w:rsidP="006130A6">
            <w:pPr>
              <w:pStyle w:val="Tabletext"/>
              <w:jc w:val="center"/>
            </w:pPr>
            <w:r>
              <w:t>20</w:t>
            </w:r>
          </w:p>
        </w:tc>
      </w:tr>
      <w:tr w:rsidR="002E5EB0" w:rsidTr="006130A6">
        <w:trPr>
          <w:cantSplit/>
          <w:jc w:val="center"/>
        </w:trPr>
        <w:tc>
          <w:tcPr>
            <w:tcW w:w="2463" w:type="dxa"/>
          </w:tcPr>
          <w:p w:rsidR="002E5EB0" w:rsidRDefault="002E5EB0" w:rsidP="006130A6">
            <w:pPr>
              <w:pStyle w:val="Tabletext"/>
              <w:jc w:val="center"/>
            </w:pPr>
            <w:r>
              <w:t>2</w:t>
            </w:r>
            <w:r>
              <w:rPr>
                <w:rFonts w:ascii="Tms Rmn" w:hAnsi="Tms Rmn"/>
                <w:sz w:val="12"/>
              </w:rPr>
              <w:t> </w:t>
            </w:r>
            <w:r>
              <w:t>690-2</w:t>
            </w:r>
            <w:r>
              <w:rPr>
                <w:rFonts w:ascii="Tms Rmn" w:hAnsi="Tms Rmn"/>
                <w:sz w:val="12"/>
              </w:rPr>
              <w:t> </w:t>
            </w:r>
            <w:r>
              <w:t>700</w:t>
            </w:r>
          </w:p>
        </w:tc>
        <w:tc>
          <w:tcPr>
            <w:tcW w:w="1541" w:type="dxa"/>
          </w:tcPr>
          <w:p w:rsidR="002E5EB0" w:rsidRDefault="002E5EB0" w:rsidP="006130A6">
            <w:pPr>
              <w:pStyle w:val="Tabletext"/>
              <w:jc w:val="center"/>
            </w:pPr>
            <w:r>
              <w:t>–177</w:t>
            </w:r>
          </w:p>
        </w:tc>
        <w:tc>
          <w:tcPr>
            <w:tcW w:w="1848" w:type="dxa"/>
          </w:tcPr>
          <w:p w:rsidR="002E5EB0" w:rsidRDefault="002E5EB0" w:rsidP="006130A6">
            <w:pPr>
              <w:pStyle w:val="Tabletext"/>
              <w:jc w:val="center"/>
            </w:pPr>
            <w:r>
              <w:t>10</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4</w:t>
            </w:r>
            <w:r>
              <w:rPr>
                <w:rFonts w:ascii="Tms Rmn" w:hAnsi="Tms Rmn"/>
                <w:sz w:val="12"/>
              </w:rPr>
              <w:t> </w:t>
            </w:r>
            <w:r>
              <w:t>990-5</w:t>
            </w:r>
            <w:r>
              <w:rPr>
                <w:rFonts w:ascii="Tms Rmn" w:hAnsi="Tms Rmn"/>
                <w:sz w:val="12"/>
              </w:rPr>
              <w:t> </w:t>
            </w:r>
            <w:r>
              <w:t>000</w:t>
            </w:r>
          </w:p>
        </w:tc>
        <w:tc>
          <w:tcPr>
            <w:tcW w:w="1541" w:type="dxa"/>
          </w:tcPr>
          <w:p w:rsidR="002E5EB0" w:rsidRDefault="002E5EB0" w:rsidP="006130A6">
            <w:pPr>
              <w:pStyle w:val="Tabletext"/>
              <w:jc w:val="center"/>
            </w:pPr>
            <w:r>
              <w:t>–171</w:t>
            </w:r>
          </w:p>
        </w:tc>
        <w:tc>
          <w:tcPr>
            <w:tcW w:w="1848" w:type="dxa"/>
          </w:tcPr>
          <w:p w:rsidR="002E5EB0" w:rsidRDefault="002E5EB0" w:rsidP="006130A6">
            <w:pPr>
              <w:pStyle w:val="Tabletext"/>
              <w:jc w:val="center"/>
            </w:pPr>
            <w:r>
              <w:t>10</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(GHz)</w:t>
            </w:r>
          </w:p>
        </w:tc>
        <w:tc>
          <w:tcPr>
            <w:tcW w:w="1541" w:type="dxa"/>
          </w:tcPr>
          <w:p w:rsidR="002E5EB0" w:rsidRDefault="002E5EB0" w:rsidP="006130A6">
            <w:pPr>
              <w:pStyle w:val="TableText0"/>
              <w:jc w:val="center"/>
            </w:pPr>
          </w:p>
        </w:tc>
        <w:tc>
          <w:tcPr>
            <w:tcW w:w="1848" w:type="dxa"/>
          </w:tcPr>
          <w:p w:rsidR="002E5EB0" w:rsidRDefault="002E5EB0" w:rsidP="006130A6">
            <w:pPr>
              <w:pStyle w:val="Tabletext"/>
              <w:jc w:val="center"/>
            </w:pPr>
          </w:p>
        </w:tc>
        <w:tc>
          <w:tcPr>
            <w:tcW w:w="1541" w:type="dxa"/>
          </w:tcPr>
          <w:p w:rsidR="002E5EB0" w:rsidRDefault="002E5EB0" w:rsidP="006130A6">
            <w:pPr>
              <w:pStyle w:val="TableText0"/>
              <w:jc w:val="center"/>
            </w:pPr>
          </w:p>
        </w:tc>
        <w:tc>
          <w:tcPr>
            <w:tcW w:w="2246" w:type="dxa"/>
          </w:tcPr>
          <w:p w:rsidR="002E5EB0" w:rsidRDefault="002E5EB0" w:rsidP="006130A6">
            <w:pPr>
              <w:pStyle w:val="Tabletext"/>
              <w:jc w:val="center"/>
            </w:pPr>
          </w:p>
        </w:tc>
      </w:tr>
      <w:tr w:rsidR="002E5EB0" w:rsidTr="006130A6">
        <w:trPr>
          <w:cantSplit/>
          <w:jc w:val="center"/>
        </w:trPr>
        <w:tc>
          <w:tcPr>
            <w:tcW w:w="2463" w:type="dxa"/>
          </w:tcPr>
          <w:p w:rsidR="002E5EB0" w:rsidRDefault="002E5EB0" w:rsidP="006130A6">
            <w:pPr>
              <w:pStyle w:val="Tabletext"/>
              <w:jc w:val="center"/>
            </w:pPr>
            <w:r>
              <w:t>10,6-10,7</w:t>
            </w:r>
          </w:p>
        </w:tc>
        <w:tc>
          <w:tcPr>
            <w:tcW w:w="1541" w:type="dxa"/>
          </w:tcPr>
          <w:p w:rsidR="002E5EB0" w:rsidRDefault="002E5EB0" w:rsidP="006130A6">
            <w:pPr>
              <w:pStyle w:val="Tabletext"/>
              <w:jc w:val="center"/>
            </w:pPr>
            <w:r>
              <w:t>–160</w:t>
            </w:r>
          </w:p>
        </w:tc>
        <w:tc>
          <w:tcPr>
            <w:tcW w:w="1848" w:type="dxa"/>
          </w:tcPr>
          <w:p w:rsidR="002E5EB0" w:rsidRDefault="002E5EB0" w:rsidP="006130A6">
            <w:pPr>
              <w:pStyle w:val="Tabletext"/>
              <w:jc w:val="center"/>
            </w:pPr>
            <w:r>
              <w:t>100</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15,35-15,4</w:t>
            </w:r>
          </w:p>
        </w:tc>
        <w:tc>
          <w:tcPr>
            <w:tcW w:w="1541" w:type="dxa"/>
          </w:tcPr>
          <w:p w:rsidR="002E5EB0" w:rsidRDefault="002E5EB0" w:rsidP="006130A6">
            <w:pPr>
              <w:pStyle w:val="Tabletext"/>
              <w:jc w:val="center"/>
            </w:pPr>
            <w:r>
              <w:t>–156</w:t>
            </w:r>
          </w:p>
        </w:tc>
        <w:tc>
          <w:tcPr>
            <w:tcW w:w="1848" w:type="dxa"/>
          </w:tcPr>
          <w:p w:rsidR="002E5EB0" w:rsidRDefault="002E5EB0" w:rsidP="006130A6">
            <w:pPr>
              <w:pStyle w:val="Tabletext"/>
              <w:jc w:val="center"/>
            </w:pPr>
            <w:r>
              <w:t>50</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22,21-22,5</w:t>
            </w:r>
          </w:p>
        </w:tc>
        <w:tc>
          <w:tcPr>
            <w:tcW w:w="1541" w:type="dxa"/>
          </w:tcPr>
          <w:p w:rsidR="002E5EB0" w:rsidRDefault="002E5EB0" w:rsidP="006130A6">
            <w:pPr>
              <w:pStyle w:val="Tabletext"/>
              <w:jc w:val="center"/>
            </w:pPr>
            <w:r>
              <w:rPr>
                <w:vertAlign w:val="superscript"/>
              </w:rPr>
              <w:t>(3)</w:t>
            </w:r>
          </w:p>
        </w:tc>
        <w:tc>
          <w:tcPr>
            <w:tcW w:w="1848" w:type="dxa"/>
          </w:tcPr>
          <w:p w:rsidR="002E5EB0" w:rsidRDefault="002E5EB0" w:rsidP="006130A6">
            <w:pPr>
              <w:pStyle w:val="Tabletext"/>
              <w:jc w:val="center"/>
            </w:pPr>
            <w:r>
              <w:rPr>
                <w:vertAlign w:val="superscript"/>
              </w:rPr>
              <w:t>(3)</w:t>
            </w:r>
          </w:p>
        </w:tc>
        <w:tc>
          <w:tcPr>
            <w:tcW w:w="1541" w:type="dxa"/>
          </w:tcPr>
          <w:p w:rsidR="002E5EB0" w:rsidRDefault="002E5EB0" w:rsidP="006130A6">
            <w:pPr>
              <w:pStyle w:val="Tabletext"/>
              <w:jc w:val="center"/>
            </w:pPr>
            <w:r>
              <w:t>–162</w:t>
            </w:r>
          </w:p>
        </w:tc>
        <w:tc>
          <w:tcPr>
            <w:tcW w:w="2246" w:type="dxa"/>
          </w:tcPr>
          <w:p w:rsidR="002E5EB0" w:rsidRDefault="002E5EB0" w:rsidP="006130A6">
            <w:pPr>
              <w:pStyle w:val="Tabletext"/>
              <w:jc w:val="center"/>
            </w:pPr>
            <w:r>
              <w:t>250</w:t>
            </w:r>
          </w:p>
        </w:tc>
      </w:tr>
      <w:tr w:rsidR="002E5EB0" w:rsidTr="006130A6">
        <w:trPr>
          <w:cantSplit/>
          <w:jc w:val="center"/>
        </w:trPr>
        <w:tc>
          <w:tcPr>
            <w:tcW w:w="2463" w:type="dxa"/>
          </w:tcPr>
          <w:p w:rsidR="002E5EB0" w:rsidRDefault="002E5EB0" w:rsidP="006130A6">
            <w:pPr>
              <w:pStyle w:val="Tabletext"/>
              <w:jc w:val="center"/>
            </w:pPr>
            <w:r>
              <w:t>23,6-24,0</w:t>
            </w:r>
          </w:p>
        </w:tc>
        <w:tc>
          <w:tcPr>
            <w:tcW w:w="1541" w:type="dxa"/>
          </w:tcPr>
          <w:p w:rsidR="002E5EB0" w:rsidRDefault="002E5EB0" w:rsidP="006130A6">
            <w:pPr>
              <w:pStyle w:val="Tabletext"/>
              <w:jc w:val="center"/>
            </w:pPr>
            <w:r>
              <w:t>–147</w:t>
            </w:r>
          </w:p>
        </w:tc>
        <w:tc>
          <w:tcPr>
            <w:tcW w:w="1848" w:type="dxa"/>
          </w:tcPr>
          <w:p w:rsidR="002E5EB0" w:rsidRDefault="002E5EB0" w:rsidP="006130A6">
            <w:pPr>
              <w:pStyle w:val="Tabletext"/>
              <w:jc w:val="center"/>
            </w:pPr>
            <w:r>
              <w:t>400</w:t>
            </w:r>
          </w:p>
        </w:tc>
        <w:tc>
          <w:tcPr>
            <w:tcW w:w="1541" w:type="dxa"/>
          </w:tcPr>
          <w:p w:rsidR="002E5EB0" w:rsidRDefault="002E5EB0" w:rsidP="006130A6">
            <w:pPr>
              <w:pStyle w:val="Tabletext"/>
              <w:jc w:val="center"/>
            </w:pPr>
            <w:r>
              <w:t>–161</w:t>
            </w:r>
          </w:p>
        </w:tc>
        <w:tc>
          <w:tcPr>
            <w:tcW w:w="2246" w:type="dxa"/>
          </w:tcPr>
          <w:p w:rsidR="002E5EB0" w:rsidRDefault="002E5EB0" w:rsidP="006130A6">
            <w:pPr>
              <w:pStyle w:val="Tabletext"/>
              <w:jc w:val="center"/>
            </w:pPr>
            <w:r>
              <w:t>250</w:t>
            </w:r>
          </w:p>
        </w:tc>
      </w:tr>
      <w:tr w:rsidR="002E5EB0" w:rsidTr="006130A6">
        <w:trPr>
          <w:cantSplit/>
          <w:jc w:val="center"/>
        </w:trPr>
        <w:tc>
          <w:tcPr>
            <w:tcW w:w="2463" w:type="dxa"/>
          </w:tcPr>
          <w:p w:rsidR="002E5EB0" w:rsidRDefault="002E5EB0" w:rsidP="006130A6">
            <w:pPr>
              <w:pStyle w:val="Tabletext"/>
              <w:jc w:val="center"/>
            </w:pPr>
            <w:r>
              <w:t>31,3-31,8</w:t>
            </w:r>
          </w:p>
        </w:tc>
        <w:tc>
          <w:tcPr>
            <w:tcW w:w="1541" w:type="dxa"/>
          </w:tcPr>
          <w:p w:rsidR="002E5EB0" w:rsidRDefault="002E5EB0" w:rsidP="006130A6">
            <w:pPr>
              <w:pStyle w:val="Tabletext"/>
              <w:jc w:val="center"/>
            </w:pPr>
            <w:r>
              <w:t>–141</w:t>
            </w:r>
          </w:p>
        </w:tc>
        <w:tc>
          <w:tcPr>
            <w:tcW w:w="1848" w:type="dxa"/>
          </w:tcPr>
          <w:p w:rsidR="002E5EB0" w:rsidRDefault="002E5EB0" w:rsidP="006130A6">
            <w:pPr>
              <w:pStyle w:val="Tabletext"/>
              <w:jc w:val="center"/>
            </w:pPr>
            <w:r>
              <w:t>500</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42,5-43,5</w:t>
            </w:r>
          </w:p>
        </w:tc>
        <w:tc>
          <w:tcPr>
            <w:tcW w:w="1541" w:type="dxa"/>
          </w:tcPr>
          <w:p w:rsidR="002E5EB0" w:rsidRDefault="002E5EB0" w:rsidP="006130A6">
            <w:pPr>
              <w:pStyle w:val="Tabletext"/>
              <w:jc w:val="center"/>
            </w:pPr>
            <w:r>
              <w:t>–137</w:t>
            </w:r>
          </w:p>
        </w:tc>
        <w:tc>
          <w:tcPr>
            <w:tcW w:w="1848" w:type="dxa"/>
          </w:tcPr>
          <w:p w:rsidR="002E5EB0" w:rsidRDefault="002E5EB0" w:rsidP="006130A6">
            <w:pPr>
              <w:pStyle w:val="Tabletext"/>
              <w:jc w:val="center"/>
            </w:pPr>
            <w:r>
              <w:t>1</w:t>
            </w:r>
            <w:r>
              <w:rPr>
                <w:rFonts w:ascii="Tms Rmn" w:hAnsi="Tms Rmn"/>
                <w:sz w:val="12"/>
              </w:rPr>
              <w:t> </w:t>
            </w:r>
            <w:r>
              <w:t>000</w:t>
            </w:r>
          </w:p>
        </w:tc>
        <w:tc>
          <w:tcPr>
            <w:tcW w:w="1541" w:type="dxa"/>
          </w:tcPr>
          <w:p w:rsidR="002E5EB0" w:rsidRDefault="002E5EB0" w:rsidP="006130A6">
            <w:pPr>
              <w:pStyle w:val="Tabletext"/>
              <w:jc w:val="center"/>
            </w:pPr>
            <w:r>
              <w:t>–153</w:t>
            </w:r>
          </w:p>
        </w:tc>
        <w:tc>
          <w:tcPr>
            <w:tcW w:w="2246" w:type="dxa"/>
          </w:tcPr>
          <w:p w:rsidR="002E5EB0" w:rsidRDefault="002E5EB0" w:rsidP="006130A6">
            <w:pPr>
              <w:pStyle w:val="Tabletext"/>
              <w:jc w:val="center"/>
            </w:pPr>
            <w:r>
              <w:t>500</w:t>
            </w:r>
          </w:p>
        </w:tc>
      </w:tr>
      <w:tr w:rsidR="002E5EB0" w:rsidTr="006130A6">
        <w:trPr>
          <w:cantSplit/>
          <w:jc w:val="center"/>
        </w:trPr>
        <w:tc>
          <w:tcPr>
            <w:tcW w:w="2463" w:type="dxa"/>
          </w:tcPr>
          <w:p w:rsidR="002E5EB0" w:rsidRDefault="002E5EB0" w:rsidP="006130A6">
            <w:pPr>
              <w:pStyle w:val="Tabletext"/>
              <w:jc w:val="center"/>
            </w:pPr>
            <w:r>
              <w:t>86-92</w:t>
            </w:r>
          </w:p>
        </w:tc>
        <w:tc>
          <w:tcPr>
            <w:tcW w:w="1541" w:type="dxa"/>
          </w:tcPr>
          <w:p w:rsidR="002E5EB0" w:rsidRDefault="002E5EB0" w:rsidP="006130A6">
            <w:pPr>
              <w:pStyle w:val="Tabletext"/>
              <w:jc w:val="center"/>
            </w:pPr>
            <w:r>
              <w:t>–125</w:t>
            </w:r>
          </w:p>
        </w:tc>
        <w:tc>
          <w:tcPr>
            <w:tcW w:w="1848" w:type="dxa"/>
          </w:tcPr>
          <w:p w:rsidR="002E5EB0" w:rsidRDefault="002E5EB0" w:rsidP="006130A6">
            <w:pPr>
              <w:pStyle w:val="Tabletext"/>
              <w:jc w:val="center"/>
            </w:pPr>
            <w:r>
              <w:t>6</w:t>
            </w:r>
            <w:r>
              <w:rPr>
                <w:rFonts w:ascii="Tms Rmn" w:hAnsi="Tms Rmn"/>
                <w:sz w:val="12"/>
              </w:rPr>
              <w:t> </w:t>
            </w:r>
            <w:r>
              <w:t>000</w:t>
            </w:r>
          </w:p>
        </w:tc>
        <w:tc>
          <w:tcPr>
            <w:tcW w:w="1541" w:type="dxa"/>
          </w:tcPr>
          <w:p w:rsidR="002E5EB0" w:rsidRDefault="002E5EB0" w:rsidP="006130A6">
            <w:pPr>
              <w:pStyle w:val="Tabletext"/>
              <w:jc w:val="center"/>
            </w:pPr>
            <w:r>
              <w:t>–144</w:t>
            </w:r>
          </w:p>
        </w:tc>
        <w:tc>
          <w:tcPr>
            <w:tcW w:w="2246" w:type="dxa"/>
          </w:tcPr>
          <w:p w:rsidR="002E5EB0" w:rsidRDefault="002E5EB0" w:rsidP="006130A6">
            <w:pPr>
              <w:pStyle w:val="Tabletext"/>
              <w:jc w:val="center"/>
            </w:pPr>
            <w:r>
              <w:t>1</w:t>
            </w:r>
            <w:r>
              <w:rPr>
                <w:rFonts w:ascii="Tms Rmn" w:hAnsi="Tms Rmn"/>
                <w:sz w:val="12"/>
              </w:rPr>
              <w:t> </w:t>
            </w:r>
            <w:r>
              <w:t>000</w:t>
            </w:r>
          </w:p>
        </w:tc>
      </w:tr>
      <w:tr w:rsidR="002E5EB0" w:rsidTr="006130A6">
        <w:trPr>
          <w:cantSplit/>
          <w:jc w:val="center"/>
        </w:trPr>
        <w:tc>
          <w:tcPr>
            <w:tcW w:w="2463" w:type="dxa"/>
          </w:tcPr>
          <w:p w:rsidR="002E5EB0" w:rsidRDefault="002E5EB0" w:rsidP="006130A6">
            <w:pPr>
              <w:pStyle w:val="Tabletext"/>
              <w:jc w:val="center"/>
            </w:pPr>
            <w:r>
              <w:t>105-116</w:t>
            </w:r>
          </w:p>
        </w:tc>
        <w:tc>
          <w:tcPr>
            <w:tcW w:w="1541" w:type="dxa"/>
          </w:tcPr>
          <w:p w:rsidR="002E5EB0" w:rsidRDefault="002E5EB0" w:rsidP="006130A6">
            <w:pPr>
              <w:pStyle w:val="Tabletext"/>
              <w:jc w:val="center"/>
            </w:pPr>
            <w:r>
              <w:t>–121</w:t>
            </w:r>
          </w:p>
        </w:tc>
        <w:tc>
          <w:tcPr>
            <w:tcW w:w="1848" w:type="dxa"/>
          </w:tcPr>
          <w:p w:rsidR="002E5EB0" w:rsidRDefault="002E5EB0" w:rsidP="006130A6">
            <w:pPr>
              <w:pStyle w:val="Tabletext"/>
              <w:jc w:val="center"/>
            </w:pPr>
            <w:r>
              <w:t>11</w:t>
            </w:r>
            <w:r>
              <w:rPr>
                <w:rFonts w:ascii="Tms Rmn" w:hAnsi="Tms Rmn"/>
                <w:sz w:val="12"/>
              </w:rPr>
              <w:t> </w:t>
            </w:r>
            <w:r>
              <w:t>000</w:t>
            </w:r>
          </w:p>
        </w:tc>
        <w:tc>
          <w:tcPr>
            <w:tcW w:w="1541" w:type="dxa"/>
          </w:tcPr>
          <w:p w:rsidR="002E5EB0" w:rsidRDefault="002E5EB0" w:rsidP="006130A6">
            <w:pPr>
              <w:pStyle w:val="Tabletext"/>
              <w:jc w:val="center"/>
            </w:pPr>
            <w:r>
              <w:t>–141</w:t>
            </w:r>
          </w:p>
        </w:tc>
        <w:tc>
          <w:tcPr>
            <w:tcW w:w="2246" w:type="dxa"/>
          </w:tcPr>
          <w:p w:rsidR="002E5EB0" w:rsidRDefault="002E5EB0" w:rsidP="006130A6">
            <w:pPr>
              <w:pStyle w:val="Tabletext"/>
              <w:jc w:val="center"/>
            </w:pPr>
            <w:r>
              <w:t>1</w:t>
            </w:r>
            <w:r>
              <w:rPr>
                <w:rFonts w:ascii="Tms Rmn" w:hAnsi="Tms Rmn"/>
                <w:sz w:val="12"/>
              </w:rPr>
              <w:t> </w:t>
            </w:r>
            <w:r>
              <w:t>000</w:t>
            </w:r>
          </w:p>
        </w:tc>
      </w:tr>
      <w:tr w:rsidR="002E5EB0" w:rsidTr="006130A6">
        <w:trPr>
          <w:cantSplit/>
          <w:jc w:val="center"/>
        </w:trPr>
        <w:tc>
          <w:tcPr>
            <w:tcW w:w="2463" w:type="dxa"/>
          </w:tcPr>
          <w:p w:rsidR="002E5EB0" w:rsidRDefault="002E5EB0" w:rsidP="006130A6">
            <w:pPr>
              <w:pStyle w:val="Tabletext"/>
              <w:jc w:val="center"/>
            </w:pPr>
            <w:r>
              <w:t>164-168</w:t>
            </w:r>
          </w:p>
        </w:tc>
        <w:tc>
          <w:tcPr>
            <w:tcW w:w="1541" w:type="dxa"/>
          </w:tcPr>
          <w:p w:rsidR="002E5EB0" w:rsidRDefault="002E5EB0" w:rsidP="006130A6">
            <w:pPr>
              <w:pStyle w:val="Tabletext"/>
              <w:jc w:val="center"/>
            </w:pPr>
            <w:r>
              <w:t>–120</w:t>
            </w:r>
          </w:p>
        </w:tc>
        <w:tc>
          <w:tcPr>
            <w:tcW w:w="1848" w:type="dxa"/>
          </w:tcPr>
          <w:p w:rsidR="002E5EB0" w:rsidRDefault="002E5EB0" w:rsidP="006130A6">
            <w:pPr>
              <w:pStyle w:val="Tabletext"/>
              <w:jc w:val="center"/>
            </w:pPr>
            <w:r>
              <w:t>4</w:t>
            </w:r>
            <w:r>
              <w:rPr>
                <w:rFonts w:ascii="Tms Rmn" w:hAnsi="Tms Rmn"/>
                <w:sz w:val="12"/>
              </w:rPr>
              <w:t> </w:t>
            </w:r>
            <w:r>
              <w:t>000</w:t>
            </w:r>
          </w:p>
        </w:tc>
        <w:tc>
          <w:tcPr>
            <w:tcW w:w="1541" w:type="dxa"/>
          </w:tcPr>
          <w:p w:rsidR="002E5EB0" w:rsidRDefault="002E5EB0" w:rsidP="006130A6">
            <w:pPr>
              <w:pStyle w:val="Tabletext"/>
              <w:jc w:val="center"/>
              <w:rPr>
                <w:position w:val="6"/>
                <w:sz w:val="18"/>
              </w:rPr>
            </w:pPr>
            <w:r>
              <w:rPr>
                <w:vertAlign w:val="superscript"/>
              </w:rPr>
              <w:t>(2)</w:t>
            </w:r>
          </w:p>
        </w:tc>
        <w:tc>
          <w:tcPr>
            <w:tcW w:w="2246" w:type="dxa"/>
          </w:tcPr>
          <w:p w:rsidR="002E5EB0" w:rsidRDefault="002E5EB0" w:rsidP="006130A6">
            <w:pPr>
              <w:pStyle w:val="Tabletext"/>
              <w:jc w:val="center"/>
              <w:rPr>
                <w:position w:val="6"/>
                <w:sz w:val="18"/>
              </w:rPr>
            </w:pPr>
            <w:r>
              <w:rPr>
                <w:vertAlign w:val="superscript"/>
              </w:rPr>
              <w:t>(2)</w:t>
            </w:r>
          </w:p>
        </w:tc>
      </w:tr>
      <w:tr w:rsidR="002E5EB0" w:rsidTr="006130A6">
        <w:trPr>
          <w:cantSplit/>
          <w:jc w:val="center"/>
        </w:trPr>
        <w:tc>
          <w:tcPr>
            <w:tcW w:w="2463" w:type="dxa"/>
          </w:tcPr>
          <w:p w:rsidR="002E5EB0" w:rsidRDefault="002E5EB0" w:rsidP="006130A6">
            <w:pPr>
              <w:pStyle w:val="Tabletext"/>
              <w:jc w:val="center"/>
            </w:pPr>
            <w:r>
              <w:t>182-185</w:t>
            </w:r>
          </w:p>
        </w:tc>
        <w:tc>
          <w:tcPr>
            <w:tcW w:w="1541" w:type="dxa"/>
          </w:tcPr>
          <w:p w:rsidR="002E5EB0" w:rsidRDefault="002E5EB0" w:rsidP="006130A6">
            <w:pPr>
              <w:pStyle w:val="Tabletext"/>
              <w:jc w:val="center"/>
            </w:pPr>
            <w:r>
              <w:rPr>
                <w:vertAlign w:val="superscript"/>
              </w:rPr>
              <w:t>(3)</w:t>
            </w:r>
          </w:p>
        </w:tc>
        <w:tc>
          <w:tcPr>
            <w:tcW w:w="1848" w:type="dxa"/>
          </w:tcPr>
          <w:p w:rsidR="002E5EB0" w:rsidRDefault="002E5EB0" w:rsidP="006130A6">
            <w:pPr>
              <w:pStyle w:val="Tabletext"/>
              <w:jc w:val="center"/>
            </w:pPr>
            <w:r>
              <w:rPr>
                <w:vertAlign w:val="superscript"/>
              </w:rPr>
              <w:t>(3)</w:t>
            </w:r>
          </w:p>
        </w:tc>
        <w:tc>
          <w:tcPr>
            <w:tcW w:w="1541" w:type="dxa"/>
          </w:tcPr>
          <w:p w:rsidR="002E5EB0" w:rsidRDefault="002E5EB0" w:rsidP="006130A6">
            <w:pPr>
              <w:pStyle w:val="Tabletext"/>
              <w:jc w:val="center"/>
            </w:pPr>
            <w:r>
              <w:t>–136</w:t>
            </w:r>
          </w:p>
        </w:tc>
        <w:tc>
          <w:tcPr>
            <w:tcW w:w="2246" w:type="dxa"/>
          </w:tcPr>
          <w:p w:rsidR="002E5EB0" w:rsidRDefault="002E5EB0" w:rsidP="006130A6">
            <w:pPr>
              <w:pStyle w:val="Tabletext"/>
              <w:jc w:val="center"/>
            </w:pPr>
            <w:r>
              <w:t>1</w:t>
            </w:r>
            <w:r>
              <w:rPr>
                <w:rFonts w:ascii="Tms Rmn" w:hAnsi="Tms Rmn"/>
                <w:sz w:val="12"/>
              </w:rPr>
              <w:t> </w:t>
            </w:r>
            <w:r>
              <w:t>500</w:t>
            </w:r>
          </w:p>
        </w:tc>
      </w:tr>
      <w:tr w:rsidR="002E5EB0" w:rsidTr="006130A6">
        <w:trPr>
          <w:cantSplit/>
          <w:jc w:val="center"/>
        </w:trPr>
        <w:tc>
          <w:tcPr>
            <w:tcW w:w="2463" w:type="dxa"/>
          </w:tcPr>
          <w:p w:rsidR="002E5EB0" w:rsidRDefault="002E5EB0" w:rsidP="006130A6">
            <w:pPr>
              <w:pStyle w:val="Tabletext"/>
              <w:jc w:val="center"/>
            </w:pPr>
            <w:r>
              <w:t>217-231</w:t>
            </w:r>
          </w:p>
        </w:tc>
        <w:tc>
          <w:tcPr>
            <w:tcW w:w="1541" w:type="dxa"/>
          </w:tcPr>
          <w:p w:rsidR="002E5EB0" w:rsidRDefault="002E5EB0" w:rsidP="006130A6">
            <w:pPr>
              <w:pStyle w:val="Tabletext"/>
              <w:jc w:val="center"/>
            </w:pPr>
            <w:r>
              <w:t>–114</w:t>
            </w:r>
          </w:p>
        </w:tc>
        <w:tc>
          <w:tcPr>
            <w:tcW w:w="1848" w:type="dxa"/>
          </w:tcPr>
          <w:p w:rsidR="002E5EB0" w:rsidRDefault="002E5EB0" w:rsidP="006130A6">
            <w:pPr>
              <w:pStyle w:val="Tabletext"/>
              <w:jc w:val="center"/>
            </w:pPr>
            <w:r>
              <w:t>14</w:t>
            </w:r>
            <w:r>
              <w:rPr>
                <w:rFonts w:ascii="Tms Rmn" w:hAnsi="Tms Rmn"/>
                <w:sz w:val="12"/>
              </w:rPr>
              <w:t> </w:t>
            </w:r>
            <w:r>
              <w:t>000</w:t>
            </w:r>
          </w:p>
        </w:tc>
        <w:tc>
          <w:tcPr>
            <w:tcW w:w="1541" w:type="dxa"/>
          </w:tcPr>
          <w:p w:rsidR="002E5EB0" w:rsidRDefault="002E5EB0" w:rsidP="006130A6">
            <w:pPr>
              <w:pStyle w:val="Tabletext"/>
              <w:jc w:val="center"/>
            </w:pPr>
            <w:r>
              <w:t>–133</w:t>
            </w:r>
          </w:p>
        </w:tc>
        <w:tc>
          <w:tcPr>
            <w:tcW w:w="2246" w:type="dxa"/>
          </w:tcPr>
          <w:p w:rsidR="002E5EB0" w:rsidRDefault="002E5EB0" w:rsidP="006130A6">
            <w:pPr>
              <w:pStyle w:val="Tabletext"/>
              <w:jc w:val="center"/>
            </w:pPr>
            <w:r>
              <w:t>2</w:t>
            </w:r>
            <w:r>
              <w:rPr>
                <w:rFonts w:ascii="Tms Rmn" w:hAnsi="Tms Rmn"/>
                <w:sz w:val="12"/>
              </w:rPr>
              <w:t> </w:t>
            </w:r>
            <w:r>
              <w:t>500</w:t>
            </w:r>
          </w:p>
        </w:tc>
      </w:tr>
      <w:tr w:rsidR="002E5EB0" w:rsidTr="006130A6">
        <w:trPr>
          <w:cantSplit/>
          <w:jc w:val="center"/>
        </w:trPr>
        <w:tc>
          <w:tcPr>
            <w:tcW w:w="2463" w:type="dxa"/>
          </w:tcPr>
          <w:p w:rsidR="002E5EB0" w:rsidRDefault="002E5EB0" w:rsidP="006130A6">
            <w:pPr>
              <w:pStyle w:val="Tabletext"/>
              <w:jc w:val="center"/>
            </w:pPr>
            <w:r>
              <w:t>265-275</w:t>
            </w:r>
          </w:p>
        </w:tc>
        <w:tc>
          <w:tcPr>
            <w:tcW w:w="1541" w:type="dxa"/>
          </w:tcPr>
          <w:p w:rsidR="002E5EB0" w:rsidRDefault="002E5EB0" w:rsidP="006130A6">
            <w:pPr>
              <w:pStyle w:val="Tabletext"/>
              <w:jc w:val="center"/>
            </w:pPr>
            <w:r>
              <w:t>–113</w:t>
            </w:r>
          </w:p>
        </w:tc>
        <w:tc>
          <w:tcPr>
            <w:tcW w:w="1848" w:type="dxa"/>
          </w:tcPr>
          <w:p w:rsidR="002E5EB0" w:rsidRDefault="002E5EB0" w:rsidP="006130A6">
            <w:pPr>
              <w:pStyle w:val="Tabletext"/>
              <w:jc w:val="center"/>
            </w:pPr>
            <w:r>
              <w:t>10</w:t>
            </w:r>
            <w:r>
              <w:rPr>
                <w:rFonts w:ascii="Tms Rmn" w:hAnsi="Tms Rmn"/>
                <w:sz w:val="12"/>
              </w:rPr>
              <w:t> </w:t>
            </w:r>
            <w:r>
              <w:t>000</w:t>
            </w:r>
          </w:p>
        </w:tc>
        <w:tc>
          <w:tcPr>
            <w:tcW w:w="1541" w:type="dxa"/>
          </w:tcPr>
          <w:p w:rsidR="002E5EB0" w:rsidRDefault="002E5EB0" w:rsidP="006130A6">
            <w:pPr>
              <w:pStyle w:val="Tabletext"/>
              <w:jc w:val="center"/>
            </w:pPr>
            <w:r>
              <w:t>–131</w:t>
            </w:r>
          </w:p>
        </w:tc>
        <w:tc>
          <w:tcPr>
            <w:tcW w:w="2246" w:type="dxa"/>
          </w:tcPr>
          <w:p w:rsidR="002E5EB0" w:rsidRDefault="002E5EB0" w:rsidP="006130A6">
            <w:pPr>
              <w:pStyle w:val="Tabletext"/>
              <w:jc w:val="center"/>
            </w:pPr>
            <w:r>
              <w:t>2</w:t>
            </w:r>
            <w:r>
              <w:rPr>
                <w:rFonts w:ascii="Tms Rmn" w:hAnsi="Tms Rmn"/>
                <w:sz w:val="12"/>
              </w:rPr>
              <w:t> </w:t>
            </w:r>
            <w:r>
              <w:t>500</w:t>
            </w:r>
          </w:p>
        </w:tc>
      </w:tr>
    </w:tbl>
    <w:p w:rsidR="006130A6" w:rsidRPr="006130A6" w:rsidRDefault="006130A6">
      <w:pPr>
        <w:tabs>
          <w:tab w:val="clear" w:pos="794"/>
          <w:tab w:val="clear" w:pos="1191"/>
          <w:tab w:val="clear" w:pos="1588"/>
          <w:tab w:val="clear" w:pos="1985"/>
        </w:tabs>
        <w:overflowPunct/>
        <w:autoSpaceDE/>
        <w:autoSpaceDN/>
        <w:adjustRightInd/>
        <w:spacing w:before="0"/>
        <w:jc w:val="left"/>
        <w:textAlignment w:val="auto"/>
        <w:rPr>
          <w:sz w:val="10"/>
          <w:szCs w:val="10"/>
        </w:rPr>
      </w:pPr>
    </w:p>
    <w:tbl>
      <w:tblPr>
        <w:tblW w:w="9639" w:type="dxa"/>
        <w:jc w:val="center"/>
        <w:tblLayout w:type="fixed"/>
        <w:tblCellMar>
          <w:left w:w="107" w:type="dxa"/>
          <w:right w:w="107" w:type="dxa"/>
        </w:tblCellMar>
        <w:tblLook w:val="0000" w:firstRow="0" w:lastRow="0" w:firstColumn="0" w:lastColumn="0" w:noHBand="0" w:noVBand="0"/>
      </w:tblPr>
      <w:tblGrid>
        <w:gridCol w:w="9639"/>
      </w:tblGrid>
      <w:tr w:rsidR="002E5EB0" w:rsidRPr="00DD03A6" w:rsidTr="006130A6">
        <w:trPr>
          <w:cantSplit/>
          <w:jc w:val="center"/>
        </w:trPr>
        <w:tc>
          <w:tcPr>
            <w:tcW w:w="9639" w:type="dxa"/>
          </w:tcPr>
          <w:p w:rsidR="006130A6" w:rsidRPr="00ED6AC7" w:rsidRDefault="006130A6" w:rsidP="0067378A">
            <w:pPr>
              <w:pStyle w:val="Tablelegend"/>
              <w:ind w:left="0" w:firstLine="0"/>
              <w:rPr>
                <w:i/>
                <w:iCs/>
                <w:lang w:val="es-ES_tradnl"/>
              </w:rPr>
            </w:pPr>
            <w:r w:rsidRPr="00ED6AC7">
              <w:rPr>
                <w:i/>
                <w:iCs/>
                <w:lang w:val="es-ES_tradnl"/>
              </w:rPr>
              <w:lastRenderedPageBreak/>
              <w:t>Notas relativas al Cuadro 8:</w:t>
            </w:r>
          </w:p>
          <w:p w:rsidR="002E5EB0" w:rsidRPr="00ED6AC7" w:rsidRDefault="002E5EB0" w:rsidP="00D90E80">
            <w:pPr>
              <w:pStyle w:val="Tablelegend"/>
              <w:ind w:hanging="284"/>
              <w:rPr>
                <w:lang w:val="es-ES_tradnl"/>
              </w:rPr>
            </w:pPr>
            <w:r w:rsidRPr="00ED6AC7">
              <w:rPr>
                <w:lang w:val="es-ES_tradnl"/>
              </w:rPr>
              <w:t>*</w:t>
            </w:r>
            <w:r w:rsidRPr="00ED6AC7">
              <w:rPr>
                <w:lang w:val="es-ES_tradnl"/>
              </w:rPr>
              <w:tab/>
              <w:t>Los niveles se calculan con las hipótesis específicas que figuran en la Recomendación UIT</w:t>
            </w:r>
            <w:r w:rsidRPr="00ED6AC7">
              <w:rPr>
                <w:lang w:val="es-ES_tradnl"/>
              </w:rPr>
              <w:noBreakHyphen/>
              <w:t>R RA.769, en particular con un tiempo de integración de 2 000 s.</w:t>
            </w:r>
          </w:p>
          <w:p w:rsidR="002E5EB0" w:rsidRPr="00ED6AC7" w:rsidRDefault="002E5EB0" w:rsidP="00D90E80">
            <w:pPr>
              <w:pStyle w:val="Tablelegend"/>
              <w:ind w:hanging="284"/>
              <w:rPr>
                <w:lang w:val="es-ES_tradnl"/>
              </w:rPr>
            </w:pPr>
            <w:r w:rsidRPr="00ED6AC7">
              <w:rPr>
                <w:vertAlign w:val="superscript"/>
                <w:lang w:val="es-ES_tradnl"/>
              </w:rPr>
              <w:t>(1)</w:t>
            </w:r>
            <w:r w:rsidRPr="00ED6AC7">
              <w:rPr>
                <w:lang w:val="es-ES_tradnl"/>
              </w:rPr>
              <w:tab/>
              <w:t>Estas son las bandas de frecuencia enumeradas en la Recomendación UIT</w:t>
            </w:r>
            <w:r w:rsidRPr="00ED6AC7">
              <w:rPr>
                <w:lang w:val="es-ES_tradnl"/>
              </w:rPr>
              <w:noBreakHyphen/>
              <w:t>R RA.769; hay otras ocho bandas atribuidas al servicio de radioastronomía con carácter primario mediante el número 5.555 del RR.</w:t>
            </w:r>
          </w:p>
          <w:p w:rsidR="002E5EB0" w:rsidRPr="00ED6AC7" w:rsidRDefault="002E5EB0" w:rsidP="00D90E80">
            <w:pPr>
              <w:pStyle w:val="Tablelegend"/>
              <w:ind w:left="0" w:firstLine="0"/>
              <w:rPr>
                <w:lang w:val="es-ES_tradnl"/>
              </w:rPr>
            </w:pPr>
            <w:r w:rsidRPr="00ED6AC7">
              <w:rPr>
                <w:vertAlign w:val="superscript"/>
                <w:lang w:val="es-ES_tradnl"/>
              </w:rPr>
              <w:t>(2)</w:t>
            </w:r>
            <w:r w:rsidRPr="00ED6AC7">
              <w:rPr>
                <w:lang w:val="es-ES_tradnl"/>
              </w:rPr>
              <w:tab/>
              <w:t>No indicada en el Cuadro 2 de la Recomendación UIT</w:t>
            </w:r>
            <w:r w:rsidRPr="00ED6AC7">
              <w:rPr>
                <w:lang w:val="es-ES_tradnl"/>
              </w:rPr>
              <w:noBreakHyphen/>
              <w:t>R RA.769.</w:t>
            </w:r>
          </w:p>
          <w:p w:rsidR="002E5EB0" w:rsidRPr="006130A6" w:rsidRDefault="002E5EB0" w:rsidP="00D90E80">
            <w:pPr>
              <w:pStyle w:val="Tablelegend"/>
              <w:ind w:left="0" w:firstLine="0"/>
              <w:rPr>
                <w:lang w:val="es-ES"/>
              </w:rPr>
            </w:pPr>
            <w:r w:rsidRPr="00ED6AC7">
              <w:rPr>
                <w:vertAlign w:val="superscript"/>
                <w:lang w:val="es-ES_tradnl"/>
              </w:rPr>
              <w:t>(3)</w:t>
            </w:r>
            <w:r w:rsidRPr="00ED6AC7">
              <w:rPr>
                <w:lang w:val="es-ES_tradnl"/>
              </w:rPr>
              <w:tab/>
              <w:t>No indicada en el Cuadro 1 de la Recomendación UIT</w:t>
            </w:r>
            <w:r w:rsidRPr="00ED6AC7">
              <w:rPr>
                <w:lang w:val="es-ES_tradnl"/>
              </w:rPr>
              <w:noBreakHyphen/>
              <w:t>R RA.769.</w:t>
            </w:r>
          </w:p>
        </w:tc>
      </w:tr>
    </w:tbl>
    <w:p w:rsidR="002E5EB0" w:rsidRDefault="002E5EB0" w:rsidP="002E5EB0">
      <w:pPr>
        <w:pStyle w:val="Tablefin"/>
        <w:rPr>
          <w:lang w:val="es-ES"/>
        </w:rPr>
      </w:pPr>
    </w:p>
    <w:p w:rsidR="002E5EB0" w:rsidRDefault="002E5EB0" w:rsidP="002E5EB0">
      <w:pPr>
        <w:pStyle w:val="Heading1"/>
        <w:rPr>
          <w:lang w:val="es-ES"/>
        </w:rPr>
      </w:pPr>
      <w:bookmarkStart w:id="64" w:name="_Toc393697874"/>
      <w:r>
        <w:rPr>
          <w:lang w:val="es-ES"/>
        </w:rPr>
        <w:t>3</w:t>
      </w:r>
      <w:r>
        <w:rPr>
          <w:lang w:val="es-ES"/>
        </w:rPr>
        <w:tab/>
        <w:t>Detección pasiva por satélites del servicio de exploración de la Tierra y por satélites meteorológicos (véase la Recomendación UIT-R SA.1029)</w:t>
      </w:r>
      <w:bookmarkEnd w:id="64"/>
    </w:p>
    <w:p w:rsidR="002E5EB0" w:rsidRDefault="002E5EB0" w:rsidP="006130A6">
      <w:pPr>
        <w:rPr>
          <w:lang w:val="es-ES"/>
        </w:rPr>
      </w:pPr>
      <w:r>
        <w:rPr>
          <w:lang w:val="es-ES"/>
        </w:rPr>
        <w:t>Los niveles de interferencia admisibles que figuran en el Cuadro 9 se basan en la Recomendación</w:t>
      </w:r>
      <w:r w:rsidR="006130A6">
        <w:rPr>
          <w:lang w:val="es-ES"/>
        </w:rPr>
        <w:t xml:space="preserve"> </w:t>
      </w:r>
      <w:r>
        <w:rPr>
          <w:lang w:val="es-ES"/>
        </w:rPr>
        <w:t>UIT</w:t>
      </w:r>
      <w:r>
        <w:rPr>
          <w:lang w:val="es-ES"/>
        </w:rPr>
        <w:noBreakHyphen/>
        <w:t>R SA.1029. Se refieren a los niveles de potencia a la entrada del receptor y no incluye la característica de la antena receptora. La ganancia de la antena receptora se puede inferir de los valores de resolución (km) indicados en el Cuadro 2 de la Recomendación UIT-R SA.515 y el conocimiento que una altitud orbital típica para la teledetección desde vehículos espaciales está en el orden de unos 500 km. Se debe observar que para la teledetección desde vehículos espaciales, la antena de detección está normalmente dirigida a la superficie de la Tierra. Cabe señalar que los niveles que figuran en el Cuadro 9 descritos como admisibles satisfacen los criterios de interferencia de los sensores pasivos. Sin embargo, la utilización de un nivel admisible puede no necesariamente satisfacer una definición reglamentaria estricta.</w:t>
      </w:r>
    </w:p>
    <w:p w:rsidR="002E5EB0" w:rsidRDefault="008A294A" w:rsidP="002E5EB0">
      <w:pPr>
        <w:pStyle w:val="TableNo"/>
        <w:rPr>
          <w:lang w:val="es-ES"/>
        </w:rPr>
      </w:pPr>
      <w:r>
        <w:rPr>
          <w:lang w:val="es-ES"/>
        </w:rPr>
        <w:t xml:space="preserve">CUADRO </w:t>
      </w:r>
      <w:r w:rsidR="002E5EB0">
        <w:rPr>
          <w:lang w:val="es-ES"/>
        </w:rPr>
        <w:t>9</w:t>
      </w:r>
    </w:p>
    <w:p w:rsidR="002E5EB0" w:rsidRDefault="002E5EB0" w:rsidP="002E5EB0">
      <w:pPr>
        <w:pStyle w:val="Tabletitle"/>
        <w:rPr>
          <w:lang w:val="es-ES"/>
        </w:rPr>
      </w:pPr>
      <w:r>
        <w:rPr>
          <w:lang w:val="es-ES"/>
        </w:rPr>
        <w:t>Niveles de interferencia admisibles a la entrada del receptor</w:t>
      </w:r>
      <w:r>
        <w:rPr>
          <w:lang w:val="es-ES"/>
        </w:rPr>
        <w:br/>
        <w:t>para detección pasiva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2E5EB0" w:rsidRPr="00DD03A6" w:rsidTr="00D90E80">
        <w:trPr>
          <w:jc w:val="center"/>
        </w:trPr>
        <w:tc>
          <w:tcPr>
            <w:tcW w:w="2552" w:type="dxa"/>
          </w:tcPr>
          <w:p w:rsidR="002E5EB0" w:rsidRDefault="002E5EB0" w:rsidP="006130A6">
            <w:pPr>
              <w:pStyle w:val="Tablehead"/>
              <w:rPr>
                <w:lang w:val="es-ES"/>
              </w:rPr>
            </w:pPr>
            <w:r>
              <w:rPr>
                <w:lang w:val="es-ES"/>
              </w:rPr>
              <w:t>Frecuencia</w:t>
            </w:r>
            <w:r>
              <w:rPr>
                <w:lang w:val="es-ES"/>
              </w:rPr>
              <w:br/>
              <w:t>(GHz)</w:t>
            </w:r>
          </w:p>
        </w:tc>
        <w:tc>
          <w:tcPr>
            <w:tcW w:w="2552" w:type="dxa"/>
          </w:tcPr>
          <w:p w:rsidR="002E5EB0" w:rsidRDefault="002E5EB0" w:rsidP="006130A6">
            <w:pPr>
              <w:pStyle w:val="Tablehead"/>
              <w:rPr>
                <w:lang w:val="es-ES"/>
              </w:rPr>
            </w:pPr>
            <w:r>
              <w:rPr>
                <w:lang w:val="es-ES"/>
              </w:rPr>
              <w:t>Nivel de interferencia</w:t>
            </w:r>
            <w:r>
              <w:rPr>
                <w:lang w:val="es-ES"/>
              </w:rPr>
              <w:br/>
              <w:t>(dBW)</w:t>
            </w:r>
          </w:p>
        </w:tc>
        <w:tc>
          <w:tcPr>
            <w:tcW w:w="2552" w:type="dxa"/>
          </w:tcPr>
          <w:p w:rsidR="002E5EB0" w:rsidRDefault="002E5EB0" w:rsidP="006130A6">
            <w:pPr>
              <w:pStyle w:val="Tablehead"/>
              <w:rPr>
                <w:lang w:val="es-ES"/>
              </w:rPr>
            </w:pPr>
            <w:r>
              <w:rPr>
                <w:lang w:val="es-ES"/>
              </w:rPr>
              <w:t>Anchura de banda</w:t>
            </w:r>
            <w:r>
              <w:rPr>
                <w:lang w:val="es-ES"/>
              </w:rPr>
              <w:br/>
              <w:t>de interferencia</w:t>
            </w:r>
            <w:r>
              <w:rPr>
                <w:lang w:val="es-ES"/>
              </w:rPr>
              <w:br/>
              <w:t>de referencia</w:t>
            </w:r>
            <w:r>
              <w:rPr>
                <w:lang w:val="es-ES"/>
              </w:rPr>
              <w:br/>
              <w:t>(MHz)</w:t>
            </w:r>
          </w:p>
        </w:tc>
      </w:tr>
      <w:tr w:rsidR="002E5EB0" w:rsidTr="00D90E80">
        <w:trPr>
          <w:jc w:val="center"/>
        </w:trPr>
        <w:tc>
          <w:tcPr>
            <w:tcW w:w="2552" w:type="dxa"/>
          </w:tcPr>
          <w:p w:rsidR="002E5EB0" w:rsidRDefault="002E5EB0" w:rsidP="006130A6">
            <w:pPr>
              <w:pStyle w:val="Tabletext"/>
              <w:jc w:val="center"/>
              <w:rPr>
                <w:lang w:val="es-ES"/>
              </w:rPr>
            </w:pPr>
            <w:r>
              <w:rPr>
                <w:lang w:val="es-ES"/>
              </w:rPr>
              <w:t>1,4-1,427</w:t>
            </w:r>
          </w:p>
        </w:tc>
        <w:tc>
          <w:tcPr>
            <w:tcW w:w="2552" w:type="dxa"/>
          </w:tcPr>
          <w:p w:rsidR="002E5EB0" w:rsidRDefault="002E5EB0" w:rsidP="006130A6">
            <w:pPr>
              <w:pStyle w:val="Tabletext"/>
              <w:jc w:val="center"/>
              <w:rPr>
                <w:lang w:val="es-ES"/>
              </w:rPr>
            </w:pPr>
            <w:r>
              <w:rPr>
                <w:lang w:val="es-ES"/>
              </w:rPr>
              <w:t>–171</w:t>
            </w:r>
          </w:p>
        </w:tc>
        <w:tc>
          <w:tcPr>
            <w:tcW w:w="2552" w:type="dxa"/>
          </w:tcPr>
          <w:p w:rsidR="002E5EB0" w:rsidRDefault="002E5EB0" w:rsidP="006130A6">
            <w:pPr>
              <w:pStyle w:val="Tabletext"/>
              <w:jc w:val="center"/>
              <w:rPr>
                <w:lang w:val="es-ES"/>
              </w:rPr>
            </w:pPr>
            <w:r>
              <w:rPr>
                <w:lang w:val="es-ES"/>
              </w:rPr>
              <w:t>27</w:t>
            </w:r>
          </w:p>
        </w:tc>
      </w:tr>
      <w:tr w:rsidR="002E5EB0" w:rsidTr="00D90E80">
        <w:trPr>
          <w:jc w:val="center"/>
        </w:trPr>
        <w:tc>
          <w:tcPr>
            <w:tcW w:w="2552" w:type="dxa"/>
          </w:tcPr>
          <w:p w:rsidR="002E5EB0" w:rsidRDefault="002E5EB0" w:rsidP="006130A6">
            <w:pPr>
              <w:pStyle w:val="Tabletext"/>
              <w:jc w:val="center"/>
              <w:rPr>
                <w:lang w:val="es-ES"/>
              </w:rPr>
            </w:pPr>
            <w:r>
              <w:rPr>
                <w:lang w:val="es-ES"/>
              </w:rPr>
              <w:t>2,69-2,7</w:t>
            </w:r>
          </w:p>
        </w:tc>
        <w:tc>
          <w:tcPr>
            <w:tcW w:w="2552" w:type="dxa"/>
          </w:tcPr>
          <w:p w:rsidR="002E5EB0" w:rsidRDefault="002E5EB0" w:rsidP="006130A6">
            <w:pPr>
              <w:pStyle w:val="Tabletext"/>
              <w:jc w:val="center"/>
              <w:rPr>
                <w:lang w:val="es-ES"/>
              </w:rPr>
            </w:pPr>
            <w:r>
              <w:rPr>
                <w:lang w:val="es-ES"/>
              </w:rPr>
              <w:t>–174</w:t>
            </w:r>
          </w:p>
        </w:tc>
        <w:tc>
          <w:tcPr>
            <w:tcW w:w="2552" w:type="dxa"/>
          </w:tcPr>
          <w:p w:rsidR="002E5EB0" w:rsidRDefault="002E5EB0" w:rsidP="006130A6">
            <w:pPr>
              <w:pStyle w:val="Tabletext"/>
              <w:jc w:val="center"/>
              <w:rPr>
                <w:lang w:val="es-ES"/>
              </w:rPr>
            </w:pPr>
            <w:r>
              <w:rPr>
                <w:lang w:val="es-ES"/>
              </w:rPr>
              <w:t>10</w:t>
            </w:r>
          </w:p>
        </w:tc>
      </w:tr>
      <w:tr w:rsidR="002E5EB0" w:rsidTr="00D90E80">
        <w:trPr>
          <w:jc w:val="center"/>
        </w:trPr>
        <w:tc>
          <w:tcPr>
            <w:tcW w:w="2552" w:type="dxa"/>
          </w:tcPr>
          <w:p w:rsidR="002E5EB0" w:rsidRDefault="002E5EB0" w:rsidP="006130A6">
            <w:pPr>
              <w:pStyle w:val="Tabletext"/>
              <w:jc w:val="center"/>
              <w:rPr>
                <w:lang w:val="es-ES"/>
              </w:rPr>
            </w:pPr>
            <w:r>
              <w:rPr>
                <w:lang w:val="es-ES"/>
              </w:rPr>
              <w:t>4,2-4,4</w:t>
            </w:r>
          </w:p>
        </w:tc>
        <w:tc>
          <w:tcPr>
            <w:tcW w:w="2552" w:type="dxa"/>
          </w:tcPr>
          <w:p w:rsidR="002E5EB0" w:rsidRDefault="002E5EB0" w:rsidP="006130A6">
            <w:pPr>
              <w:pStyle w:val="Tabletext"/>
              <w:jc w:val="center"/>
              <w:rPr>
                <w:lang w:val="es-ES"/>
              </w:rPr>
            </w:pPr>
            <w:r>
              <w:rPr>
                <w:lang w:val="es-ES"/>
              </w:rPr>
              <w:t>–161</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6,5-6,7</w:t>
            </w:r>
          </w:p>
        </w:tc>
        <w:tc>
          <w:tcPr>
            <w:tcW w:w="2552" w:type="dxa"/>
          </w:tcPr>
          <w:p w:rsidR="002E5EB0" w:rsidRDefault="002E5EB0" w:rsidP="006130A6">
            <w:pPr>
              <w:pStyle w:val="Tabletext"/>
              <w:jc w:val="center"/>
              <w:rPr>
                <w:lang w:val="es-ES"/>
              </w:rPr>
            </w:pPr>
            <w:r>
              <w:rPr>
                <w:lang w:val="es-ES"/>
              </w:rPr>
              <w:t>–164</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10,6-10,7</w:t>
            </w:r>
          </w:p>
        </w:tc>
        <w:tc>
          <w:tcPr>
            <w:tcW w:w="2552" w:type="dxa"/>
          </w:tcPr>
          <w:p w:rsidR="002E5EB0" w:rsidRDefault="002E5EB0" w:rsidP="006130A6">
            <w:pPr>
              <w:pStyle w:val="Tabletext"/>
              <w:jc w:val="center"/>
              <w:rPr>
                <w:lang w:val="es-ES"/>
              </w:rPr>
            </w:pPr>
            <w:r>
              <w:rPr>
                <w:lang w:val="es-ES"/>
              </w:rPr>
              <w:t>–163</w:t>
            </w:r>
          </w:p>
        </w:tc>
        <w:tc>
          <w:tcPr>
            <w:tcW w:w="2552" w:type="dxa"/>
          </w:tcPr>
          <w:p w:rsidR="002E5EB0" w:rsidRDefault="002E5EB0" w:rsidP="006130A6">
            <w:pPr>
              <w:pStyle w:val="Tabletext"/>
              <w:jc w:val="center"/>
              <w:rPr>
                <w:lang w:val="es-ES"/>
              </w:rPr>
            </w:pPr>
            <w:r>
              <w:rPr>
                <w:lang w:val="es-ES"/>
              </w:rPr>
              <w:t>20</w:t>
            </w:r>
          </w:p>
        </w:tc>
      </w:tr>
      <w:tr w:rsidR="002E5EB0" w:rsidTr="00D90E80">
        <w:trPr>
          <w:jc w:val="center"/>
        </w:trPr>
        <w:tc>
          <w:tcPr>
            <w:tcW w:w="2552" w:type="dxa"/>
          </w:tcPr>
          <w:p w:rsidR="002E5EB0" w:rsidRDefault="002E5EB0" w:rsidP="006130A6">
            <w:pPr>
              <w:pStyle w:val="Tabletext"/>
              <w:jc w:val="center"/>
              <w:rPr>
                <w:lang w:val="es-ES"/>
              </w:rPr>
            </w:pPr>
            <w:r>
              <w:rPr>
                <w:lang w:val="es-ES"/>
              </w:rPr>
              <w:t>15,2-15,4</w:t>
            </w:r>
          </w:p>
        </w:tc>
        <w:tc>
          <w:tcPr>
            <w:tcW w:w="2552" w:type="dxa"/>
          </w:tcPr>
          <w:p w:rsidR="002E5EB0" w:rsidRDefault="002E5EB0" w:rsidP="006130A6">
            <w:pPr>
              <w:pStyle w:val="Tabletext"/>
              <w:jc w:val="center"/>
              <w:rPr>
                <w:lang w:val="es-ES"/>
              </w:rPr>
            </w:pPr>
            <w:r>
              <w:rPr>
                <w:lang w:val="es-ES"/>
              </w:rPr>
              <w:t>–166</w:t>
            </w:r>
          </w:p>
        </w:tc>
        <w:tc>
          <w:tcPr>
            <w:tcW w:w="2552" w:type="dxa"/>
          </w:tcPr>
          <w:p w:rsidR="002E5EB0" w:rsidRDefault="002E5EB0" w:rsidP="006130A6">
            <w:pPr>
              <w:pStyle w:val="Tabletext"/>
              <w:jc w:val="center"/>
              <w:rPr>
                <w:lang w:val="es-ES"/>
              </w:rPr>
            </w:pPr>
            <w:r>
              <w:rPr>
                <w:lang w:val="es-ES"/>
              </w:rPr>
              <w:t>50</w:t>
            </w:r>
          </w:p>
        </w:tc>
      </w:tr>
      <w:tr w:rsidR="002E5EB0" w:rsidTr="00D90E80">
        <w:trPr>
          <w:jc w:val="center"/>
        </w:trPr>
        <w:tc>
          <w:tcPr>
            <w:tcW w:w="2552" w:type="dxa"/>
          </w:tcPr>
          <w:p w:rsidR="002E5EB0" w:rsidRDefault="002E5EB0" w:rsidP="006130A6">
            <w:pPr>
              <w:pStyle w:val="Tabletext"/>
              <w:jc w:val="center"/>
              <w:rPr>
                <w:lang w:val="es-ES"/>
              </w:rPr>
            </w:pPr>
            <w:r>
              <w:rPr>
                <w:lang w:val="es-ES"/>
              </w:rPr>
              <w:t>18,6-18,8</w:t>
            </w:r>
          </w:p>
        </w:tc>
        <w:tc>
          <w:tcPr>
            <w:tcW w:w="2552" w:type="dxa"/>
          </w:tcPr>
          <w:p w:rsidR="002E5EB0" w:rsidRDefault="002E5EB0" w:rsidP="006130A6">
            <w:pPr>
              <w:pStyle w:val="Tabletext"/>
              <w:jc w:val="center"/>
              <w:rPr>
                <w:lang w:val="es-ES"/>
              </w:rPr>
            </w:pPr>
            <w:r>
              <w:rPr>
                <w:lang w:val="es-ES"/>
              </w:rPr>
              <w:t>–155</w:t>
            </w:r>
            <w:r>
              <w:rPr>
                <w:vertAlign w:val="superscript"/>
                <w:lang w:val="es-ES"/>
              </w:rPr>
              <w:t>(1)</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21,2-21,4</w:t>
            </w:r>
          </w:p>
        </w:tc>
        <w:tc>
          <w:tcPr>
            <w:tcW w:w="2552" w:type="dxa"/>
          </w:tcPr>
          <w:p w:rsidR="002E5EB0" w:rsidRDefault="002E5EB0" w:rsidP="006130A6">
            <w:pPr>
              <w:pStyle w:val="Tabletext"/>
              <w:jc w:val="center"/>
              <w:rPr>
                <w:lang w:val="es-ES"/>
              </w:rPr>
            </w:pPr>
            <w:r>
              <w:rPr>
                <w:lang w:val="es-ES"/>
              </w:rPr>
              <w:t>–163</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22,21-22,5</w:t>
            </w:r>
          </w:p>
        </w:tc>
        <w:tc>
          <w:tcPr>
            <w:tcW w:w="2552" w:type="dxa"/>
          </w:tcPr>
          <w:p w:rsidR="002E5EB0" w:rsidRDefault="002E5EB0" w:rsidP="006130A6">
            <w:pPr>
              <w:pStyle w:val="Tabletext"/>
              <w:jc w:val="center"/>
              <w:rPr>
                <w:lang w:val="es-ES"/>
              </w:rPr>
            </w:pPr>
            <w:r>
              <w:rPr>
                <w:lang w:val="es-ES"/>
              </w:rPr>
              <w:t>–160</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23,6-24</w:t>
            </w:r>
          </w:p>
        </w:tc>
        <w:tc>
          <w:tcPr>
            <w:tcW w:w="2552" w:type="dxa"/>
          </w:tcPr>
          <w:p w:rsidR="002E5EB0" w:rsidRDefault="002E5EB0" w:rsidP="006130A6">
            <w:pPr>
              <w:pStyle w:val="Tabletext"/>
              <w:jc w:val="center"/>
              <w:rPr>
                <w:lang w:val="es-ES"/>
              </w:rPr>
            </w:pPr>
            <w:r>
              <w:rPr>
                <w:lang w:val="es-ES"/>
              </w:rPr>
              <w:t>–163</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31,3-31,8</w:t>
            </w:r>
          </w:p>
        </w:tc>
        <w:tc>
          <w:tcPr>
            <w:tcW w:w="2552" w:type="dxa"/>
          </w:tcPr>
          <w:p w:rsidR="002E5EB0" w:rsidRDefault="002E5EB0" w:rsidP="006130A6">
            <w:pPr>
              <w:pStyle w:val="Tabletext"/>
              <w:jc w:val="center"/>
              <w:rPr>
                <w:lang w:val="es-ES"/>
              </w:rPr>
            </w:pPr>
            <w:r>
              <w:rPr>
                <w:lang w:val="es-ES"/>
              </w:rPr>
              <w:t>–163</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36-37</w:t>
            </w:r>
          </w:p>
        </w:tc>
        <w:tc>
          <w:tcPr>
            <w:tcW w:w="2552" w:type="dxa"/>
          </w:tcPr>
          <w:p w:rsidR="002E5EB0" w:rsidRDefault="002E5EB0" w:rsidP="006130A6">
            <w:pPr>
              <w:pStyle w:val="Tabletext"/>
              <w:jc w:val="center"/>
              <w:rPr>
                <w:lang w:val="es-ES"/>
              </w:rPr>
            </w:pPr>
            <w:r>
              <w:rPr>
                <w:lang w:val="es-ES"/>
              </w:rPr>
              <w:t>–156</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50,2-50,4</w:t>
            </w:r>
          </w:p>
        </w:tc>
        <w:tc>
          <w:tcPr>
            <w:tcW w:w="2552" w:type="dxa"/>
          </w:tcPr>
          <w:p w:rsidR="002E5EB0" w:rsidRDefault="002E5EB0" w:rsidP="006130A6">
            <w:pPr>
              <w:pStyle w:val="Tabletext"/>
              <w:jc w:val="center"/>
              <w:rPr>
                <w:lang w:val="es-ES"/>
              </w:rPr>
            </w:pPr>
            <w:r>
              <w:rPr>
                <w:lang w:val="es-ES"/>
              </w:rPr>
              <w:t>–161/–166</w:t>
            </w:r>
            <w:r>
              <w:rPr>
                <w:vertAlign w:val="superscript"/>
                <w:lang w:val="es-ES"/>
              </w:rPr>
              <w:t>(2)</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52,6-59</w:t>
            </w:r>
          </w:p>
        </w:tc>
        <w:tc>
          <w:tcPr>
            <w:tcW w:w="2552" w:type="dxa"/>
          </w:tcPr>
          <w:p w:rsidR="002E5EB0" w:rsidRDefault="002E5EB0" w:rsidP="006130A6">
            <w:pPr>
              <w:pStyle w:val="Tabletext"/>
              <w:jc w:val="center"/>
              <w:rPr>
                <w:lang w:val="es-ES"/>
              </w:rPr>
            </w:pPr>
            <w:r>
              <w:rPr>
                <w:lang w:val="es-ES"/>
              </w:rPr>
              <w:t>–161/–166</w:t>
            </w:r>
            <w:r>
              <w:rPr>
                <w:vertAlign w:val="superscript"/>
                <w:lang w:val="es-ES"/>
              </w:rPr>
              <w:t>(2)</w:t>
            </w:r>
          </w:p>
        </w:tc>
        <w:tc>
          <w:tcPr>
            <w:tcW w:w="2552" w:type="dxa"/>
          </w:tcPr>
          <w:p w:rsidR="002E5EB0" w:rsidRDefault="002E5EB0" w:rsidP="006130A6">
            <w:pPr>
              <w:pStyle w:val="Tabletext"/>
              <w:jc w:val="center"/>
              <w:rPr>
                <w:lang w:val="es-ES"/>
              </w:rPr>
            </w:pPr>
            <w:r>
              <w:rPr>
                <w:lang w:val="es-ES"/>
              </w:rPr>
              <w:t>100</w:t>
            </w:r>
          </w:p>
        </w:tc>
      </w:tr>
      <w:tr w:rsidR="002E5EB0" w:rsidTr="00D90E80">
        <w:trPr>
          <w:jc w:val="center"/>
        </w:trPr>
        <w:tc>
          <w:tcPr>
            <w:tcW w:w="2552" w:type="dxa"/>
          </w:tcPr>
          <w:p w:rsidR="002E5EB0" w:rsidRDefault="002E5EB0" w:rsidP="006130A6">
            <w:pPr>
              <w:pStyle w:val="Tabletext"/>
              <w:jc w:val="center"/>
              <w:rPr>
                <w:lang w:val="es-ES"/>
              </w:rPr>
            </w:pPr>
            <w:r>
              <w:rPr>
                <w:lang w:val="es-ES"/>
              </w:rPr>
              <w:t>60,3-61,3</w:t>
            </w:r>
          </w:p>
        </w:tc>
        <w:tc>
          <w:tcPr>
            <w:tcW w:w="2552" w:type="dxa"/>
          </w:tcPr>
          <w:p w:rsidR="002E5EB0" w:rsidRDefault="002E5EB0" w:rsidP="006130A6">
            <w:pPr>
              <w:pStyle w:val="Tabletext"/>
              <w:jc w:val="center"/>
              <w:rPr>
                <w:lang w:val="es-ES"/>
              </w:rPr>
            </w:pPr>
            <w:r>
              <w:rPr>
                <w:lang w:val="es-ES"/>
              </w:rPr>
              <w:t>–161/–166</w:t>
            </w:r>
            <w:r>
              <w:rPr>
                <w:vertAlign w:val="superscript"/>
                <w:lang w:val="es-ES"/>
              </w:rPr>
              <w:t>(2)</w:t>
            </w:r>
          </w:p>
        </w:tc>
        <w:tc>
          <w:tcPr>
            <w:tcW w:w="2552" w:type="dxa"/>
          </w:tcPr>
          <w:p w:rsidR="002E5EB0" w:rsidRDefault="002E5EB0" w:rsidP="006130A6">
            <w:pPr>
              <w:pStyle w:val="Tabletext"/>
              <w:jc w:val="center"/>
              <w:rPr>
                <w:lang w:val="es-ES"/>
              </w:rPr>
            </w:pPr>
            <w:r>
              <w:rPr>
                <w:lang w:val="es-ES"/>
              </w:rPr>
              <w:t>100</w:t>
            </w:r>
          </w:p>
        </w:tc>
      </w:tr>
    </w:tbl>
    <w:p w:rsidR="006130A6" w:rsidRDefault="008A294A" w:rsidP="006130A6">
      <w:pPr>
        <w:pStyle w:val="TableNo"/>
        <w:rPr>
          <w:caps/>
          <w:lang w:val="es-ES"/>
        </w:rPr>
      </w:pPr>
      <w:r>
        <w:rPr>
          <w:lang w:val="es-ES"/>
        </w:rPr>
        <w:lastRenderedPageBreak/>
        <w:t xml:space="preserve">CUADRO </w:t>
      </w:r>
      <w:r w:rsidR="006130A6">
        <w:rPr>
          <w:lang w:val="es-ES"/>
        </w:rPr>
        <w:t>9 (</w:t>
      </w:r>
      <w:r w:rsidR="006130A6">
        <w:rPr>
          <w:i/>
          <w:iCs/>
          <w:lang w:val="es-ES"/>
        </w:rPr>
        <w:t>Fin</w:t>
      </w:r>
      <w:r w:rsidR="006130A6">
        <w:rPr>
          <w:caps/>
          <w:lang w:val="es-ES"/>
        </w:rPr>
        <w:t>)</w:t>
      </w:r>
    </w:p>
    <w:tbl>
      <w:tblPr>
        <w:tblW w:w="0" w:type="auto"/>
        <w:jc w:val="center"/>
        <w:tblBorders>
          <w:top w:val="single" w:sz="6" w:space="0" w:color="auto"/>
          <w:left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6130A6" w:rsidRPr="00DD03A6" w:rsidTr="00D90E80">
        <w:trPr>
          <w:jc w:val="center"/>
        </w:trPr>
        <w:tc>
          <w:tcPr>
            <w:tcW w:w="2552" w:type="dxa"/>
            <w:vAlign w:val="center"/>
          </w:tcPr>
          <w:p w:rsidR="006130A6" w:rsidRDefault="006130A6" w:rsidP="006130A6">
            <w:pPr>
              <w:pStyle w:val="Tablehead"/>
              <w:rPr>
                <w:lang w:val="es-ES"/>
              </w:rPr>
            </w:pPr>
            <w:r>
              <w:rPr>
                <w:lang w:val="es-ES"/>
              </w:rPr>
              <w:t>Frecuencia</w:t>
            </w:r>
            <w:r>
              <w:rPr>
                <w:lang w:val="es-ES"/>
              </w:rPr>
              <w:br/>
              <w:t>(GHz)</w:t>
            </w:r>
          </w:p>
        </w:tc>
        <w:tc>
          <w:tcPr>
            <w:tcW w:w="2552" w:type="dxa"/>
            <w:vAlign w:val="center"/>
          </w:tcPr>
          <w:p w:rsidR="006130A6" w:rsidRDefault="006130A6" w:rsidP="006130A6">
            <w:pPr>
              <w:pStyle w:val="Tablehead"/>
              <w:rPr>
                <w:lang w:val="es-ES"/>
              </w:rPr>
            </w:pPr>
            <w:r>
              <w:rPr>
                <w:lang w:val="es-ES"/>
              </w:rPr>
              <w:t>Nivel de interferencia</w:t>
            </w:r>
            <w:r>
              <w:rPr>
                <w:lang w:val="es-ES"/>
              </w:rPr>
              <w:br/>
              <w:t>(dBW)</w:t>
            </w:r>
          </w:p>
        </w:tc>
        <w:tc>
          <w:tcPr>
            <w:tcW w:w="2552" w:type="dxa"/>
            <w:vAlign w:val="center"/>
          </w:tcPr>
          <w:p w:rsidR="006130A6" w:rsidRDefault="006130A6" w:rsidP="006130A6">
            <w:pPr>
              <w:pStyle w:val="Tablehead"/>
              <w:rPr>
                <w:lang w:val="es-ES"/>
              </w:rPr>
            </w:pPr>
            <w:r>
              <w:rPr>
                <w:lang w:val="es-ES"/>
              </w:rPr>
              <w:t>Anchura de banda</w:t>
            </w:r>
            <w:r>
              <w:rPr>
                <w:lang w:val="es-ES"/>
              </w:rPr>
              <w:br/>
              <w:t>de interferencia</w:t>
            </w:r>
            <w:r>
              <w:rPr>
                <w:lang w:val="es-ES"/>
              </w:rPr>
              <w:br/>
              <w:t>de referencia</w:t>
            </w:r>
            <w:r>
              <w:rPr>
                <w:lang w:val="es-ES"/>
              </w:rPr>
              <w:br/>
              <w:t>(MHz)</w:t>
            </w:r>
          </w:p>
        </w:tc>
      </w:tr>
      <w:tr w:rsidR="002E5EB0" w:rsidTr="00D90E80">
        <w:trPr>
          <w:jc w:val="center"/>
        </w:trPr>
        <w:tc>
          <w:tcPr>
            <w:tcW w:w="2552" w:type="dxa"/>
          </w:tcPr>
          <w:p w:rsidR="002E5EB0" w:rsidRDefault="002E5EB0" w:rsidP="006130A6">
            <w:pPr>
              <w:pStyle w:val="Tabletext"/>
              <w:jc w:val="center"/>
              <w:rPr>
                <w:lang w:val="es-ES"/>
              </w:rPr>
            </w:pPr>
            <w:r>
              <w:rPr>
                <w:lang w:val="es-ES"/>
              </w:rPr>
              <w:t>86-92</w:t>
            </w:r>
          </w:p>
        </w:tc>
        <w:tc>
          <w:tcPr>
            <w:tcW w:w="2552" w:type="dxa"/>
          </w:tcPr>
          <w:p w:rsidR="002E5EB0" w:rsidRDefault="002E5EB0" w:rsidP="006130A6">
            <w:pPr>
              <w:pStyle w:val="Tabletext"/>
              <w:jc w:val="center"/>
              <w:rPr>
                <w:lang w:val="es-ES"/>
              </w:rPr>
            </w:pPr>
            <w:r>
              <w:rPr>
                <w:lang w:val="es-ES"/>
              </w:rPr>
              <w:t>–153</w:t>
            </w:r>
          </w:p>
        </w:tc>
        <w:tc>
          <w:tcPr>
            <w:tcW w:w="2552" w:type="dxa"/>
          </w:tcPr>
          <w:p w:rsidR="002E5EB0" w:rsidRDefault="002E5EB0" w:rsidP="006130A6">
            <w:pPr>
              <w:pStyle w:val="Tabletext"/>
              <w:jc w:val="center"/>
              <w:rPr>
                <w:lang w:val="es-ES"/>
              </w:rPr>
            </w:pPr>
            <w:r>
              <w:rPr>
                <w:lang w:val="es-ES"/>
              </w:rPr>
              <w:t>200</w:t>
            </w:r>
          </w:p>
        </w:tc>
      </w:tr>
      <w:tr w:rsidR="002E5EB0" w:rsidTr="00D90E80">
        <w:trPr>
          <w:jc w:val="center"/>
        </w:trPr>
        <w:tc>
          <w:tcPr>
            <w:tcW w:w="2552" w:type="dxa"/>
          </w:tcPr>
          <w:p w:rsidR="002E5EB0" w:rsidRDefault="002E5EB0" w:rsidP="006130A6">
            <w:pPr>
              <w:pStyle w:val="Tabletext"/>
              <w:jc w:val="center"/>
              <w:rPr>
                <w:lang w:val="es-ES"/>
              </w:rPr>
            </w:pPr>
            <w:r>
              <w:rPr>
                <w:lang w:val="es-ES"/>
              </w:rPr>
              <w:t>100-102</w:t>
            </w:r>
          </w:p>
        </w:tc>
        <w:tc>
          <w:tcPr>
            <w:tcW w:w="2552" w:type="dxa"/>
          </w:tcPr>
          <w:p w:rsidR="002E5EB0" w:rsidRDefault="002E5EB0" w:rsidP="006130A6">
            <w:pPr>
              <w:pStyle w:val="Tabletext"/>
              <w:jc w:val="center"/>
              <w:rPr>
                <w:lang w:val="es-ES"/>
              </w:rPr>
            </w:pPr>
            <w:r>
              <w:rPr>
                <w:lang w:val="es-ES"/>
              </w:rPr>
              <w:t>–160</w:t>
            </w:r>
          </w:p>
        </w:tc>
        <w:tc>
          <w:tcPr>
            <w:tcW w:w="2552" w:type="dxa"/>
          </w:tcPr>
          <w:p w:rsidR="002E5EB0" w:rsidRDefault="002E5EB0" w:rsidP="006130A6">
            <w:pPr>
              <w:pStyle w:val="Tabletext"/>
              <w:jc w:val="center"/>
              <w:rPr>
                <w:lang w:val="es-ES"/>
              </w:rPr>
            </w:pPr>
            <w:r>
              <w:rPr>
                <w:lang w:val="es-ES"/>
              </w:rPr>
              <w:t>200</w:t>
            </w:r>
          </w:p>
        </w:tc>
      </w:tr>
      <w:tr w:rsidR="002E5EB0" w:rsidTr="00D90E80">
        <w:trPr>
          <w:jc w:val="center"/>
        </w:trPr>
        <w:tc>
          <w:tcPr>
            <w:tcW w:w="2552" w:type="dxa"/>
          </w:tcPr>
          <w:p w:rsidR="002E5EB0" w:rsidRDefault="002E5EB0" w:rsidP="006130A6">
            <w:pPr>
              <w:pStyle w:val="Tabletext"/>
              <w:jc w:val="center"/>
              <w:rPr>
                <w:lang w:val="es-ES"/>
              </w:rPr>
            </w:pPr>
            <w:r>
              <w:rPr>
                <w:lang w:val="es-ES"/>
              </w:rPr>
              <w:t>105-126</w:t>
            </w:r>
          </w:p>
        </w:tc>
        <w:tc>
          <w:tcPr>
            <w:tcW w:w="2552" w:type="dxa"/>
          </w:tcPr>
          <w:p w:rsidR="002E5EB0" w:rsidRDefault="002E5EB0" w:rsidP="006130A6">
            <w:pPr>
              <w:pStyle w:val="Tabletext"/>
              <w:jc w:val="center"/>
              <w:rPr>
                <w:lang w:val="es-ES"/>
              </w:rPr>
            </w:pPr>
            <w:r>
              <w:rPr>
                <w:lang w:val="es-ES"/>
              </w:rPr>
              <w:t>–160</w:t>
            </w:r>
          </w:p>
        </w:tc>
        <w:tc>
          <w:tcPr>
            <w:tcW w:w="2552" w:type="dxa"/>
          </w:tcPr>
          <w:p w:rsidR="002E5EB0" w:rsidRDefault="002E5EB0" w:rsidP="006130A6">
            <w:pPr>
              <w:pStyle w:val="Tabletext"/>
              <w:jc w:val="center"/>
              <w:rPr>
                <w:lang w:val="es-ES"/>
              </w:rPr>
            </w:pPr>
            <w:r>
              <w:rPr>
                <w:lang w:val="es-ES"/>
              </w:rPr>
              <w:t>200</w:t>
            </w:r>
          </w:p>
        </w:tc>
      </w:tr>
      <w:tr w:rsidR="002E5EB0" w:rsidTr="00D90E80">
        <w:trPr>
          <w:jc w:val="center"/>
        </w:trPr>
        <w:tc>
          <w:tcPr>
            <w:tcW w:w="2552" w:type="dxa"/>
          </w:tcPr>
          <w:p w:rsidR="002E5EB0" w:rsidRDefault="002E5EB0" w:rsidP="006130A6">
            <w:pPr>
              <w:pStyle w:val="Tabletext"/>
              <w:jc w:val="center"/>
              <w:rPr>
                <w:lang w:val="es-ES"/>
              </w:rPr>
            </w:pPr>
            <w:r>
              <w:rPr>
                <w:lang w:val="es-ES"/>
              </w:rPr>
              <w:t>150-151</w:t>
            </w:r>
          </w:p>
        </w:tc>
        <w:tc>
          <w:tcPr>
            <w:tcW w:w="2552" w:type="dxa"/>
          </w:tcPr>
          <w:p w:rsidR="002E5EB0" w:rsidRDefault="002E5EB0" w:rsidP="006130A6">
            <w:pPr>
              <w:pStyle w:val="Tabletext"/>
              <w:jc w:val="center"/>
              <w:rPr>
                <w:lang w:val="es-ES"/>
              </w:rPr>
            </w:pPr>
            <w:r>
              <w:rPr>
                <w:lang w:val="es-ES"/>
              </w:rPr>
              <w:t>–160</w:t>
            </w:r>
          </w:p>
        </w:tc>
        <w:tc>
          <w:tcPr>
            <w:tcW w:w="2552" w:type="dxa"/>
          </w:tcPr>
          <w:p w:rsidR="002E5EB0" w:rsidRDefault="002E5EB0" w:rsidP="006130A6">
            <w:pPr>
              <w:pStyle w:val="Tabletext"/>
              <w:jc w:val="center"/>
              <w:rPr>
                <w:lang w:val="es-ES"/>
              </w:rPr>
            </w:pPr>
            <w:r>
              <w:rPr>
                <w:lang w:val="es-ES"/>
              </w:rPr>
              <w:t>200</w:t>
            </w:r>
          </w:p>
        </w:tc>
      </w:tr>
      <w:tr w:rsidR="002E5EB0" w:rsidTr="00D90E80">
        <w:trPr>
          <w:jc w:val="center"/>
        </w:trPr>
        <w:tc>
          <w:tcPr>
            <w:tcW w:w="2552" w:type="dxa"/>
          </w:tcPr>
          <w:p w:rsidR="002E5EB0" w:rsidRDefault="002E5EB0" w:rsidP="006130A6">
            <w:pPr>
              <w:pStyle w:val="Tabletext"/>
              <w:jc w:val="center"/>
              <w:rPr>
                <w:lang w:val="es-ES"/>
              </w:rPr>
            </w:pPr>
            <w:r>
              <w:rPr>
                <w:lang w:val="es-ES"/>
              </w:rPr>
              <w:t>155,5-158,5</w:t>
            </w:r>
          </w:p>
        </w:tc>
        <w:tc>
          <w:tcPr>
            <w:tcW w:w="2552" w:type="dxa"/>
          </w:tcPr>
          <w:p w:rsidR="002E5EB0" w:rsidRDefault="002E5EB0" w:rsidP="006130A6">
            <w:pPr>
              <w:pStyle w:val="Tabletext"/>
              <w:jc w:val="center"/>
              <w:rPr>
                <w:lang w:val="es-ES"/>
              </w:rPr>
            </w:pPr>
            <w:r>
              <w:rPr>
                <w:lang w:val="es-ES"/>
              </w:rPr>
              <w:t>–160</w:t>
            </w:r>
          </w:p>
        </w:tc>
        <w:tc>
          <w:tcPr>
            <w:tcW w:w="2552" w:type="dxa"/>
          </w:tcPr>
          <w:p w:rsidR="002E5EB0" w:rsidRDefault="002E5EB0" w:rsidP="006130A6">
            <w:pPr>
              <w:pStyle w:val="Tabletext"/>
              <w:jc w:val="center"/>
              <w:rPr>
                <w:lang w:val="es-ES"/>
              </w:rPr>
            </w:pPr>
            <w:r>
              <w:rPr>
                <w:lang w:val="es-ES"/>
              </w:rPr>
              <w:t>200</w:t>
            </w:r>
          </w:p>
        </w:tc>
      </w:tr>
      <w:tr w:rsidR="002E5EB0" w:rsidTr="00D90E80">
        <w:trPr>
          <w:jc w:val="center"/>
        </w:trPr>
        <w:tc>
          <w:tcPr>
            <w:tcW w:w="2552" w:type="dxa"/>
          </w:tcPr>
          <w:p w:rsidR="002E5EB0" w:rsidRDefault="002E5EB0" w:rsidP="006130A6">
            <w:pPr>
              <w:pStyle w:val="Tabletext"/>
              <w:jc w:val="center"/>
              <w:rPr>
                <w:lang w:val="es-ES"/>
              </w:rPr>
            </w:pPr>
            <w:r>
              <w:rPr>
                <w:lang w:val="es-ES"/>
              </w:rPr>
              <w:t>164-168</w:t>
            </w:r>
          </w:p>
        </w:tc>
        <w:tc>
          <w:tcPr>
            <w:tcW w:w="2552" w:type="dxa"/>
          </w:tcPr>
          <w:p w:rsidR="002E5EB0" w:rsidRDefault="002E5EB0" w:rsidP="006130A6">
            <w:pPr>
              <w:pStyle w:val="Tabletext"/>
              <w:jc w:val="center"/>
              <w:rPr>
                <w:lang w:val="es-ES"/>
              </w:rPr>
            </w:pPr>
            <w:r>
              <w:rPr>
                <w:lang w:val="es-ES"/>
              </w:rPr>
              <w:t>–160</w:t>
            </w:r>
          </w:p>
        </w:tc>
        <w:tc>
          <w:tcPr>
            <w:tcW w:w="2552" w:type="dxa"/>
          </w:tcPr>
          <w:p w:rsidR="002E5EB0" w:rsidRDefault="002E5EB0" w:rsidP="006130A6">
            <w:pPr>
              <w:pStyle w:val="Tabletext"/>
              <w:jc w:val="center"/>
              <w:rPr>
                <w:lang w:val="es-ES"/>
              </w:rPr>
            </w:pPr>
            <w:r>
              <w:rPr>
                <w:lang w:val="es-ES"/>
              </w:rPr>
              <w:t>200</w:t>
            </w:r>
          </w:p>
        </w:tc>
      </w:tr>
      <w:tr w:rsidR="002E5EB0" w:rsidTr="00D90E80">
        <w:trPr>
          <w:jc w:val="center"/>
        </w:trPr>
        <w:tc>
          <w:tcPr>
            <w:tcW w:w="2552" w:type="dxa"/>
          </w:tcPr>
          <w:p w:rsidR="002E5EB0" w:rsidRDefault="002E5EB0" w:rsidP="006130A6">
            <w:pPr>
              <w:pStyle w:val="Tabletext"/>
              <w:jc w:val="center"/>
              <w:rPr>
                <w:lang w:val="es-ES"/>
              </w:rPr>
            </w:pPr>
            <w:r>
              <w:rPr>
                <w:lang w:val="es-ES"/>
              </w:rPr>
              <w:t>175-192</w:t>
            </w:r>
          </w:p>
        </w:tc>
        <w:tc>
          <w:tcPr>
            <w:tcW w:w="2552" w:type="dxa"/>
          </w:tcPr>
          <w:p w:rsidR="002E5EB0" w:rsidRDefault="002E5EB0" w:rsidP="006130A6">
            <w:pPr>
              <w:pStyle w:val="Tabletext"/>
              <w:jc w:val="center"/>
              <w:rPr>
                <w:lang w:val="es-ES"/>
              </w:rPr>
            </w:pPr>
            <w:r>
              <w:rPr>
                <w:lang w:val="es-ES"/>
              </w:rPr>
              <w:t>–160</w:t>
            </w:r>
          </w:p>
        </w:tc>
        <w:tc>
          <w:tcPr>
            <w:tcW w:w="2552" w:type="dxa"/>
          </w:tcPr>
          <w:p w:rsidR="002E5EB0" w:rsidRDefault="002E5EB0" w:rsidP="006130A6">
            <w:pPr>
              <w:pStyle w:val="Tabletext"/>
              <w:jc w:val="center"/>
              <w:rPr>
                <w:lang w:val="es-ES"/>
              </w:rPr>
            </w:pPr>
            <w:r>
              <w:rPr>
                <w:lang w:val="es-ES"/>
              </w:rPr>
              <w:t>200</w:t>
            </w:r>
          </w:p>
        </w:tc>
      </w:tr>
      <w:tr w:rsidR="002E5EB0" w:rsidTr="00D90E80">
        <w:trPr>
          <w:jc w:val="center"/>
        </w:trPr>
        <w:tc>
          <w:tcPr>
            <w:tcW w:w="2552" w:type="dxa"/>
          </w:tcPr>
          <w:p w:rsidR="002E5EB0" w:rsidRDefault="002E5EB0" w:rsidP="006130A6">
            <w:pPr>
              <w:pStyle w:val="Tabletext"/>
              <w:jc w:val="center"/>
            </w:pPr>
            <w:r>
              <w:t>200-202</w:t>
            </w:r>
          </w:p>
        </w:tc>
        <w:tc>
          <w:tcPr>
            <w:tcW w:w="2552" w:type="dxa"/>
          </w:tcPr>
          <w:p w:rsidR="002E5EB0" w:rsidRDefault="002E5EB0" w:rsidP="006130A6">
            <w:pPr>
              <w:pStyle w:val="Tabletext"/>
              <w:jc w:val="center"/>
            </w:pPr>
            <w:r>
              <w:t>–160</w:t>
            </w:r>
          </w:p>
        </w:tc>
        <w:tc>
          <w:tcPr>
            <w:tcW w:w="2552" w:type="dxa"/>
          </w:tcPr>
          <w:p w:rsidR="002E5EB0" w:rsidRDefault="002E5EB0" w:rsidP="006130A6">
            <w:pPr>
              <w:pStyle w:val="Tabletext"/>
              <w:jc w:val="center"/>
            </w:pPr>
            <w:r>
              <w:t>200</w:t>
            </w:r>
          </w:p>
        </w:tc>
      </w:tr>
      <w:tr w:rsidR="002E5EB0" w:rsidTr="00D90E80">
        <w:trPr>
          <w:jc w:val="center"/>
        </w:trPr>
        <w:tc>
          <w:tcPr>
            <w:tcW w:w="2552" w:type="dxa"/>
          </w:tcPr>
          <w:p w:rsidR="002E5EB0" w:rsidRDefault="002E5EB0" w:rsidP="006130A6">
            <w:pPr>
              <w:pStyle w:val="Tabletext"/>
              <w:jc w:val="center"/>
            </w:pPr>
            <w:r>
              <w:t>217-231</w:t>
            </w:r>
          </w:p>
        </w:tc>
        <w:tc>
          <w:tcPr>
            <w:tcW w:w="2552" w:type="dxa"/>
          </w:tcPr>
          <w:p w:rsidR="002E5EB0" w:rsidRDefault="002E5EB0" w:rsidP="006130A6">
            <w:pPr>
              <w:pStyle w:val="Tabletext"/>
              <w:jc w:val="center"/>
            </w:pPr>
            <w:r>
              <w:t>–160</w:t>
            </w:r>
          </w:p>
        </w:tc>
        <w:tc>
          <w:tcPr>
            <w:tcW w:w="2552" w:type="dxa"/>
          </w:tcPr>
          <w:p w:rsidR="002E5EB0" w:rsidRDefault="002E5EB0" w:rsidP="006130A6">
            <w:pPr>
              <w:pStyle w:val="Tabletext"/>
              <w:jc w:val="center"/>
            </w:pPr>
            <w:r>
              <w:t>200</w:t>
            </w:r>
          </w:p>
        </w:tc>
      </w:tr>
      <w:tr w:rsidR="002E5EB0" w:rsidTr="00D90E80">
        <w:trPr>
          <w:jc w:val="center"/>
        </w:trPr>
        <w:tc>
          <w:tcPr>
            <w:tcW w:w="2552" w:type="dxa"/>
          </w:tcPr>
          <w:p w:rsidR="002E5EB0" w:rsidRDefault="002E5EB0" w:rsidP="006130A6">
            <w:pPr>
              <w:pStyle w:val="Tabletext"/>
              <w:jc w:val="center"/>
            </w:pPr>
            <w:r>
              <w:t>235-238</w:t>
            </w:r>
          </w:p>
        </w:tc>
        <w:tc>
          <w:tcPr>
            <w:tcW w:w="2552" w:type="dxa"/>
          </w:tcPr>
          <w:p w:rsidR="002E5EB0" w:rsidRDefault="002E5EB0" w:rsidP="006130A6">
            <w:pPr>
              <w:pStyle w:val="Tabletext"/>
              <w:jc w:val="center"/>
            </w:pPr>
            <w:r>
              <w:t>–160</w:t>
            </w:r>
          </w:p>
        </w:tc>
        <w:tc>
          <w:tcPr>
            <w:tcW w:w="2552" w:type="dxa"/>
          </w:tcPr>
          <w:p w:rsidR="002E5EB0" w:rsidRDefault="002E5EB0" w:rsidP="006130A6">
            <w:pPr>
              <w:pStyle w:val="Tabletext"/>
              <w:jc w:val="center"/>
            </w:pPr>
            <w:r>
              <w:t>200</w:t>
            </w:r>
          </w:p>
        </w:tc>
      </w:tr>
      <w:tr w:rsidR="002E5EB0" w:rsidTr="00D90E80">
        <w:trPr>
          <w:jc w:val="center"/>
        </w:trPr>
        <w:tc>
          <w:tcPr>
            <w:tcW w:w="2552" w:type="dxa"/>
          </w:tcPr>
          <w:p w:rsidR="002E5EB0" w:rsidRDefault="002E5EB0" w:rsidP="006130A6">
            <w:pPr>
              <w:pStyle w:val="Tabletext"/>
              <w:jc w:val="center"/>
            </w:pPr>
            <w:r>
              <w:t>250-252</w:t>
            </w:r>
          </w:p>
        </w:tc>
        <w:tc>
          <w:tcPr>
            <w:tcW w:w="2552" w:type="dxa"/>
          </w:tcPr>
          <w:p w:rsidR="002E5EB0" w:rsidRDefault="002E5EB0" w:rsidP="006130A6">
            <w:pPr>
              <w:pStyle w:val="Tabletext"/>
              <w:jc w:val="center"/>
            </w:pPr>
            <w:r>
              <w:t>–160</w:t>
            </w:r>
          </w:p>
        </w:tc>
        <w:tc>
          <w:tcPr>
            <w:tcW w:w="2552" w:type="dxa"/>
          </w:tcPr>
          <w:p w:rsidR="002E5EB0" w:rsidRDefault="002E5EB0" w:rsidP="006130A6">
            <w:pPr>
              <w:pStyle w:val="Tabletext"/>
              <w:jc w:val="center"/>
            </w:pPr>
            <w:r>
              <w:t>200</w:t>
            </w:r>
          </w:p>
        </w:tc>
      </w:tr>
      <w:tr w:rsidR="002E5EB0" w:rsidTr="00D90E80">
        <w:trPr>
          <w:jc w:val="center"/>
        </w:trPr>
        <w:tc>
          <w:tcPr>
            <w:tcW w:w="2552" w:type="dxa"/>
          </w:tcPr>
          <w:p w:rsidR="002E5EB0" w:rsidRDefault="002E5EB0" w:rsidP="006130A6">
            <w:pPr>
              <w:pStyle w:val="Tabletext"/>
              <w:jc w:val="center"/>
            </w:pPr>
            <w:r>
              <w:t>275-277</w:t>
            </w:r>
          </w:p>
        </w:tc>
        <w:tc>
          <w:tcPr>
            <w:tcW w:w="2552" w:type="dxa"/>
          </w:tcPr>
          <w:p w:rsidR="002E5EB0" w:rsidRDefault="002E5EB0" w:rsidP="006130A6">
            <w:pPr>
              <w:pStyle w:val="Tabletext"/>
              <w:jc w:val="center"/>
            </w:pPr>
            <w:r>
              <w:t>–160</w:t>
            </w:r>
          </w:p>
        </w:tc>
        <w:tc>
          <w:tcPr>
            <w:tcW w:w="2552" w:type="dxa"/>
          </w:tcPr>
          <w:p w:rsidR="002E5EB0" w:rsidRDefault="002E5EB0" w:rsidP="006130A6">
            <w:pPr>
              <w:pStyle w:val="Tabletext"/>
              <w:jc w:val="center"/>
            </w:pPr>
            <w:r>
              <w:t>200</w:t>
            </w:r>
          </w:p>
        </w:tc>
      </w:tr>
      <w:tr w:rsidR="002E5EB0" w:rsidTr="00D90E80">
        <w:trPr>
          <w:jc w:val="center"/>
        </w:trPr>
        <w:tc>
          <w:tcPr>
            <w:tcW w:w="2552" w:type="dxa"/>
          </w:tcPr>
          <w:p w:rsidR="002E5EB0" w:rsidRDefault="002E5EB0" w:rsidP="006130A6">
            <w:pPr>
              <w:pStyle w:val="Tabletext"/>
              <w:jc w:val="center"/>
            </w:pPr>
            <w:r>
              <w:t>300-302</w:t>
            </w:r>
          </w:p>
        </w:tc>
        <w:tc>
          <w:tcPr>
            <w:tcW w:w="2552" w:type="dxa"/>
          </w:tcPr>
          <w:p w:rsidR="002E5EB0" w:rsidRDefault="002E5EB0" w:rsidP="006130A6">
            <w:pPr>
              <w:pStyle w:val="Tabletext"/>
              <w:jc w:val="center"/>
            </w:pPr>
            <w:r>
              <w:t>–160</w:t>
            </w:r>
          </w:p>
        </w:tc>
        <w:tc>
          <w:tcPr>
            <w:tcW w:w="2552" w:type="dxa"/>
          </w:tcPr>
          <w:p w:rsidR="002E5EB0" w:rsidRDefault="002E5EB0" w:rsidP="006130A6">
            <w:pPr>
              <w:pStyle w:val="Tabletext"/>
              <w:jc w:val="center"/>
            </w:pPr>
            <w:r>
              <w:t>200</w:t>
            </w:r>
          </w:p>
        </w:tc>
      </w:tr>
      <w:tr w:rsidR="002E5EB0" w:rsidTr="00D90E80">
        <w:trPr>
          <w:jc w:val="center"/>
        </w:trPr>
        <w:tc>
          <w:tcPr>
            <w:tcW w:w="2552" w:type="dxa"/>
          </w:tcPr>
          <w:p w:rsidR="002E5EB0" w:rsidRDefault="002E5EB0" w:rsidP="006130A6">
            <w:pPr>
              <w:pStyle w:val="Tabletext"/>
              <w:jc w:val="center"/>
            </w:pPr>
            <w:r>
              <w:t>324-326</w:t>
            </w:r>
          </w:p>
        </w:tc>
        <w:tc>
          <w:tcPr>
            <w:tcW w:w="2552" w:type="dxa"/>
          </w:tcPr>
          <w:p w:rsidR="002E5EB0" w:rsidRDefault="002E5EB0" w:rsidP="006130A6">
            <w:pPr>
              <w:pStyle w:val="Tabletext"/>
              <w:jc w:val="center"/>
            </w:pPr>
            <w:r>
              <w:t>–160</w:t>
            </w:r>
          </w:p>
        </w:tc>
        <w:tc>
          <w:tcPr>
            <w:tcW w:w="2552" w:type="dxa"/>
          </w:tcPr>
          <w:p w:rsidR="002E5EB0" w:rsidRDefault="002E5EB0" w:rsidP="006130A6">
            <w:pPr>
              <w:pStyle w:val="Tabletext"/>
              <w:jc w:val="center"/>
            </w:pPr>
            <w:r>
              <w:t>200</w:t>
            </w:r>
          </w:p>
        </w:tc>
      </w:tr>
      <w:tr w:rsidR="002E5EB0" w:rsidTr="00D90E80">
        <w:trPr>
          <w:jc w:val="center"/>
        </w:trPr>
        <w:tc>
          <w:tcPr>
            <w:tcW w:w="2552" w:type="dxa"/>
          </w:tcPr>
          <w:p w:rsidR="002E5EB0" w:rsidRDefault="002E5EB0" w:rsidP="006130A6">
            <w:pPr>
              <w:pStyle w:val="Tabletext"/>
              <w:jc w:val="center"/>
            </w:pPr>
            <w:r>
              <w:t>345-347</w:t>
            </w:r>
          </w:p>
        </w:tc>
        <w:tc>
          <w:tcPr>
            <w:tcW w:w="2552" w:type="dxa"/>
          </w:tcPr>
          <w:p w:rsidR="002E5EB0" w:rsidRDefault="002E5EB0" w:rsidP="006130A6">
            <w:pPr>
              <w:pStyle w:val="Tabletext"/>
              <w:jc w:val="center"/>
            </w:pPr>
            <w:r>
              <w:t>–160</w:t>
            </w:r>
          </w:p>
        </w:tc>
        <w:tc>
          <w:tcPr>
            <w:tcW w:w="2552" w:type="dxa"/>
          </w:tcPr>
          <w:p w:rsidR="002E5EB0" w:rsidRDefault="002E5EB0" w:rsidP="006130A6">
            <w:pPr>
              <w:pStyle w:val="Tabletext"/>
              <w:jc w:val="center"/>
            </w:pPr>
            <w:r>
              <w:t>200</w:t>
            </w:r>
          </w:p>
        </w:tc>
      </w:tr>
      <w:tr w:rsidR="002E5EB0" w:rsidTr="00D90E80">
        <w:trPr>
          <w:jc w:val="center"/>
        </w:trPr>
        <w:tc>
          <w:tcPr>
            <w:tcW w:w="2552" w:type="dxa"/>
          </w:tcPr>
          <w:p w:rsidR="002E5EB0" w:rsidRDefault="002E5EB0" w:rsidP="006130A6">
            <w:pPr>
              <w:pStyle w:val="Tabletext"/>
              <w:jc w:val="center"/>
            </w:pPr>
            <w:r>
              <w:t>363-365</w:t>
            </w:r>
          </w:p>
        </w:tc>
        <w:tc>
          <w:tcPr>
            <w:tcW w:w="2552" w:type="dxa"/>
          </w:tcPr>
          <w:p w:rsidR="002E5EB0" w:rsidRDefault="002E5EB0" w:rsidP="006130A6">
            <w:pPr>
              <w:pStyle w:val="Tabletext"/>
              <w:jc w:val="center"/>
            </w:pPr>
            <w:r>
              <w:t>–160</w:t>
            </w:r>
          </w:p>
        </w:tc>
        <w:tc>
          <w:tcPr>
            <w:tcW w:w="2552" w:type="dxa"/>
          </w:tcPr>
          <w:p w:rsidR="002E5EB0" w:rsidRDefault="002E5EB0" w:rsidP="006130A6">
            <w:pPr>
              <w:pStyle w:val="Tabletext"/>
              <w:jc w:val="center"/>
            </w:pPr>
            <w:r>
              <w:t>200</w:t>
            </w:r>
          </w:p>
        </w:tc>
      </w:tr>
      <w:tr w:rsidR="002E5EB0" w:rsidTr="00D90E80">
        <w:trPr>
          <w:jc w:val="center"/>
        </w:trPr>
        <w:tc>
          <w:tcPr>
            <w:tcW w:w="2552" w:type="dxa"/>
            <w:tcBorders>
              <w:bottom w:val="single" w:sz="2" w:space="0" w:color="auto"/>
            </w:tcBorders>
          </w:tcPr>
          <w:p w:rsidR="002E5EB0" w:rsidRDefault="002E5EB0" w:rsidP="006130A6">
            <w:pPr>
              <w:pStyle w:val="Tabletext"/>
              <w:jc w:val="center"/>
            </w:pPr>
            <w:r>
              <w:t>379-381</w:t>
            </w:r>
          </w:p>
        </w:tc>
        <w:tc>
          <w:tcPr>
            <w:tcW w:w="2552" w:type="dxa"/>
            <w:tcBorders>
              <w:bottom w:val="single" w:sz="2" w:space="0" w:color="auto"/>
            </w:tcBorders>
          </w:tcPr>
          <w:p w:rsidR="002E5EB0" w:rsidRDefault="002E5EB0" w:rsidP="006130A6">
            <w:pPr>
              <w:pStyle w:val="Tabletext"/>
              <w:jc w:val="center"/>
            </w:pPr>
            <w:r>
              <w:t>–160</w:t>
            </w:r>
          </w:p>
        </w:tc>
        <w:tc>
          <w:tcPr>
            <w:tcW w:w="2552" w:type="dxa"/>
            <w:tcBorders>
              <w:bottom w:val="single" w:sz="2" w:space="0" w:color="auto"/>
            </w:tcBorders>
          </w:tcPr>
          <w:p w:rsidR="002E5EB0" w:rsidRDefault="002E5EB0" w:rsidP="006130A6">
            <w:pPr>
              <w:pStyle w:val="Tabletext"/>
              <w:jc w:val="center"/>
            </w:pPr>
            <w:r>
              <w:t>200</w:t>
            </w:r>
          </w:p>
        </w:tc>
      </w:tr>
      <w:tr w:rsidR="002E5EB0" w:rsidRPr="00DD03A6" w:rsidTr="00D90E80">
        <w:trPr>
          <w:jc w:val="center"/>
        </w:trPr>
        <w:tc>
          <w:tcPr>
            <w:tcW w:w="7656" w:type="dxa"/>
            <w:gridSpan w:val="3"/>
            <w:tcBorders>
              <w:top w:val="single" w:sz="2" w:space="0" w:color="auto"/>
              <w:left w:val="nil"/>
              <w:bottom w:val="nil"/>
              <w:right w:val="nil"/>
            </w:tcBorders>
          </w:tcPr>
          <w:p w:rsidR="002E5EB0" w:rsidRPr="00ED6AC7" w:rsidRDefault="002E5EB0" w:rsidP="00D90E80">
            <w:pPr>
              <w:pStyle w:val="Tablelegend"/>
              <w:ind w:left="0" w:firstLine="0"/>
              <w:rPr>
                <w:lang w:val="es-ES_tradnl"/>
              </w:rPr>
            </w:pPr>
            <w:r w:rsidRPr="00ED6AC7">
              <w:rPr>
                <w:vertAlign w:val="superscript"/>
                <w:lang w:val="es-ES_tradnl"/>
              </w:rPr>
              <w:t>(1)</w:t>
            </w:r>
            <w:r w:rsidRPr="00ED6AC7">
              <w:rPr>
                <w:lang w:val="es-ES_tradnl"/>
              </w:rPr>
              <w:tab/>
              <w:t>Este valor se está estudiando.</w:t>
            </w:r>
          </w:p>
          <w:p w:rsidR="002E5EB0" w:rsidRDefault="002E5EB0" w:rsidP="00D90E80">
            <w:pPr>
              <w:pStyle w:val="Tablelegend"/>
              <w:ind w:left="0" w:firstLine="0"/>
              <w:rPr>
                <w:sz w:val="18"/>
                <w:lang w:val="es-ES"/>
              </w:rPr>
            </w:pPr>
            <w:r w:rsidRPr="00ED6AC7">
              <w:rPr>
                <w:vertAlign w:val="superscript"/>
                <w:lang w:val="es-ES_tradnl"/>
              </w:rPr>
              <w:t>(2)</w:t>
            </w:r>
            <w:r w:rsidRPr="00ED6AC7">
              <w:rPr>
                <w:lang w:val="es-ES_tradnl"/>
              </w:rPr>
              <w:tab/>
              <w:t>La segunda magnitud se utiliza para sensores con barrido transversal.</w:t>
            </w:r>
          </w:p>
        </w:tc>
      </w:tr>
    </w:tbl>
    <w:p w:rsidR="00ED6AC7" w:rsidRDefault="00ED6AC7" w:rsidP="00ED6AC7">
      <w:pPr>
        <w:rPr>
          <w:lang w:val="es-ES"/>
        </w:rPr>
      </w:pPr>
    </w:p>
    <w:p w:rsidR="0007426D" w:rsidRDefault="0007426D" w:rsidP="0007426D">
      <w:pPr>
        <w:rPr>
          <w:lang w:val="es-ES"/>
        </w:rPr>
      </w:pPr>
    </w:p>
    <w:p w:rsidR="002E5EB0" w:rsidRDefault="002E5EB0" w:rsidP="006E4DBB">
      <w:pPr>
        <w:pStyle w:val="AnnexNoTitle"/>
        <w:rPr>
          <w:lang w:val="es-ES"/>
        </w:rPr>
      </w:pPr>
      <w:r>
        <w:rPr>
          <w:lang w:val="es-ES"/>
        </w:rPr>
        <w:t>Anexo 4</w:t>
      </w:r>
      <w:r w:rsidR="006130A6">
        <w:rPr>
          <w:lang w:val="es-ES"/>
        </w:rPr>
        <w:br/>
      </w:r>
      <w:r w:rsidR="006130A6">
        <w:rPr>
          <w:lang w:val="es-ES"/>
        </w:rPr>
        <w:br/>
      </w:r>
      <w:r>
        <w:rPr>
          <w:lang w:val="es-ES"/>
        </w:rPr>
        <w:t>Lista de Recomendaciones UIT-R referidas a emisiones no esenciales</w:t>
      </w:r>
      <w:r w:rsidR="006E4DBB">
        <w:rPr>
          <w:lang w:val="es-ES"/>
        </w:rPr>
        <w:br/>
      </w:r>
      <w:r>
        <w:rPr>
          <w:lang w:val="es-ES"/>
        </w:rPr>
        <w:t>para ciertos servicios concretos</w:t>
      </w:r>
    </w:p>
    <w:p w:rsidR="0067378A" w:rsidRPr="00D11FE4" w:rsidRDefault="0067378A" w:rsidP="0067378A">
      <w:pPr>
        <w:pStyle w:val="Blanc"/>
        <w:rPr>
          <w:lang w:val="es-ES_tradnl"/>
        </w:rPr>
      </w:pPr>
    </w:p>
    <w:p w:rsidR="002E5EB0" w:rsidRDefault="002E5EB0" w:rsidP="006130A6">
      <w:pPr>
        <w:ind w:left="3600" w:hanging="3600"/>
        <w:rPr>
          <w:lang w:val="es-ES"/>
        </w:rPr>
      </w:pPr>
      <w:r>
        <w:rPr>
          <w:lang w:val="es-ES"/>
        </w:rPr>
        <w:t>Recomendación UIT-R SM.239</w:t>
      </w:r>
      <w:r>
        <w:rPr>
          <w:lang w:val="es-ES"/>
        </w:rPr>
        <w:tab/>
        <w:t>Emisiones no esenciales producidas por los receptores de radiodifusión sonora y de televisión</w:t>
      </w:r>
    </w:p>
    <w:p w:rsidR="002E5EB0" w:rsidRDefault="002E5EB0" w:rsidP="006130A6">
      <w:pPr>
        <w:ind w:left="3600" w:hanging="3600"/>
        <w:rPr>
          <w:lang w:val="es-ES"/>
        </w:rPr>
      </w:pPr>
      <w:r>
        <w:rPr>
          <w:lang w:val="es-ES"/>
        </w:rPr>
        <w:t>Recomendación UIT-R S.726</w:t>
      </w:r>
      <w:r w:rsidR="006130A6">
        <w:rPr>
          <w:lang w:val="es-ES"/>
        </w:rPr>
        <w:tab/>
      </w:r>
      <w:r>
        <w:rPr>
          <w:lang w:val="es-ES"/>
        </w:rPr>
        <w:t>Nivel máximo admisible de emisiones no esenciales procedentes de estaciones terminales de apertura muy pequeña (VSAT)</w:t>
      </w:r>
    </w:p>
    <w:p w:rsidR="002E5EB0" w:rsidRDefault="002E5EB0" w:rsidP="006130A6">
      <w:pPr>
        <w:ind w:left="3600" w:hanging="3600"/>
        <w:rPr>
          <w:lang w:val="es-ES"/>
        </w:rPr>
      </w:pPr>
      <w:r>
        <w:rPr>
          <w:lang w:val="es-ES"/>
        </w:rPr>
        <w:t>Recomendación UIT-R RA.611</w:t>
      </w:r>
      <w:r>
        <w:rPr>
          <w:lang w:val="es-ES"/>
        </w:rPr>
        <w:tab/>
        <w:t>Protección del servicio de radioastronomía contra las emisiones no esenciales</w:t>
      </w:r>
    </w:p>
    <w:p w:rsidR="002E5EB0" w:rsidRPr="003B4B83" w:rsidRDefault="002E5EB0" w:rsidP="006130A6">
      <w:pPr>
        <w:ind w:left="3600" w:hanging="3600"/>
        <w:rPr>
          <w:lang w:val="es-ES"/>
        </w:rPr>
      </w:pPr>
      <w:r>
        <w:rPr>
          <w:lang w:val="es-ES"/>
        </w:rPr>
        <w:t>Recomendación UIT-R M.1177</w:t>
      </w:r>
      <w:r>
        <w:rPr>
          <w:lang w:val="es-ES"/>
        </w:rPr>
        <w:tab/>
        <w:t xml:space="preserve">Técnicas para la medición de emisiones no deseadas en los </w:t>
      </w:r>
      <w:r w:rsidRPr="003B4B83">
        <w:rPr>
          <w:lang w:val="es-ES"/>
        </w:rPr>
        <w:t>sistemas de radar</w:t>
      </w:r>
    </w:p>
    <w:p w:rsidR="002E5EB0" w:rsidRDefault="002E5EB0" w:rsidP="006130A6">
      <w:pPr>
        <w:ind w:left="3600" w:hanging="3600"/>
        <w:rPr>
          <w:lang w:val="es-ES"/>
        </w:rPr>
      </w:pPr>
      <w:r>
        <w:rPr>
          <w:lang w:val="es-ES"/>
        </w:rPr>
        <w:lastRenderedPageBreak/>
        <w:t>Recomendación UIT-R F.1191</w:t>
      </w:r>
      <w:r>
        <w:rPr>
          <w:lang w:val="es-ES"/>
        </w:rPr>
        <w:tab/>
        <w:t xml:space="preserve">Anchuras de banda y emisiones no deseadas de los sistemas digitales del servicio fijo </w:t>
      </w:r>
    </w:p>
    <w:p w:rsidR="002E5EB0" w:rsidRPr="001C121E" w:rsidRDefault="002E5EB0" w:rsidP="006130A6">
      <w:pPr>
        <w:ind w:left="3600" w:hanging="3600"/>
        <w:rPr>
          <w:lang w:val="es-ES_tradnl"/>
        </w:rPr>
      </w:pPr>
      <w:r w:rsidRPr="001C121E">
        <w:rPr>
          <w:lang w:val="es-ES_tradnl"/>
        </w:rPr>
        <w:t>Recomendación UIT-R BT.803</w:t>
      </w:r>
      <w:r w:rsidRPr="001C121E">
        <w:rPr>
          <w:lang w:val="es-ES_tradnl"/>
        </w:rPr>
        <w:tab/>
        <w:t>Medidas para evitar la interferencia generada por los equipos de televisión digital de estudio</w:t>
      </w:r>
    </w:p>
    <w:p w:rsidR="002E5EB0" w:rsidRDefault="002E5EB0" w:rsidP="00546C1B">
      <w:pPr>
        <w:ind w:left="3600" w:hanging="3600"/>
        <w:rPr>
          <w:lang w:val="es-ES"/>
        </w:rPr>
      </w:pPr>
      <w:r>
        <w:rPr>
          <w:lang w:val="es-ES"/>
        </w:rPr>
        <w:t>Recomendación UIT-R M.478</w:t>
      </w:r>
      <w:r>
        <w:rPr>
          <w:lang w:val="es-ES"/>
        </w:rPr>
        <w:tab/>
        <w:t>Características técnicas de los equipos y principios para la asignación de canales a las estaciones del servicio móvil terrestre con modulación de frecuencia entre 25</w:t>
      </w:r>
      <w:r w:rsidR="00546C1B">
        <w:rPr>
          <w:lang w:val="es-ES"/>
        </w:rPr>
        <w:t xml:space="preserve"> </w:t>
      </w:r>
      <w:r>
        <w:rPr>
          <w:lang w:val="es-ES"/>
        </w:rPr>
        <w:t>y</w:t>
      </w:r>
      <w:r w:rsidR="00546C1B">
        <w:rPr>
          <w:lang w:val="es-ES"/>
        </w:rPr>
        <w:t xml:space="preserve"> </w:t>
      </w:r>
      <w:r>
        <w:rPr>
          <w:lang w:val="es-ES"/>
        </w:rPr>
        <w:t>3</w:t>
      </w:r>
      <w:r>
        <w:rPr>
          <w:rFonts w:ascii="Tms Rmn" w:hAnsi="Tms Rmn"/>
          <w:sz w:val="12"/>
          <w:lang w:val="es-ES"/>
        </w:rPr>
        <w:t> </w:t>
      </w:r>
      <w:r>
        <w:rPr>
          <w:lang w:val="es-ES"/>
        </w:rPr>
        <w:t>000 MHz</w:t>
      </w:r>
    </w:p>
    <w:p w:rsidR="002E5EB0" w:rsidRDefault="002E5EB0" w:rsidP="006130A6">
      <w:pPr>
        <w:ind w:left="3600" w:hanging="3600"/>
        <w:rPr>
          <w:lang w:val="es-ES"/>
        </w:rPr>
      </w:pPr>
      <w:r>
        <w:rPr>
          <w:lang w:val="es-ES"/>
        </w:rPr>
        <w:t>Recomendación UIT-R M.1343</w:t>
      </w:r>
      <w:r>
        <w:rPr>
          <w:lang w:val="es-ES"/>
        </w:rPr>
        <w:tab/>
        <w:t>Requisitos técnicos fundamentales de las estaciones terrenas móviles que funcionan con sistemas mundiales del servicio móvil por satélite con satélites no geoestacionarios en la banda 1</w:t>
      </w:r>
      <w:r>
        <w:rPr>
          <w:lang w:val="es-ES"/>
        </w:rPr>
        <w:noBreakHyphen/>
        <w:t>3 GHz</w:t>
      </w:r>
      <w:r w:rsidR="009F4E74">
        <w:rPr>
          <w:lang w:val="es-ES"/>
        </w:rPr>
        <w:t>.</w:t>
      </w:r>
    </w:p>
    <w:p w:rsidR="006130A6" w:rsidRDefault="006130A6" w:rsidP="006130A6">
      <w:pPr>
        <w:rPr>
          <w:lang w:val="es-ES"/>
        </w:rPr>
      </w:pPr>
    </w:p>
    <w:p w:rsidR="006130A6" w:rsidRDefault="006130A6" w:rsidP="006130A6">
      <w:pPr>
        <w:rPr>
          <w:lang w:val="es-ES"/>
        </w:rPr>
      </w:pPr>
    </w:p>
    <w:p w:rsidR="002E5EB0" w:rsidRDefault="002E5EB0" w:rsidP="002E5EB0">
      <w:pPr>
        <w:pStyle w:val="AnnexNoTitle"/>
        <w:rPr>
          <w:lang w:val="es-ES"/>
        </w:rPr>
      </w:pPr>
      <w:r>
        <w:rPr>
          <w:lang w:val="es-ES"/>
        </w:rPr>
        <w:t>Anexo 5</w:t>
      </w:r>
      <w:r>
        <w:rPr>
          <w:lang w:val="es-ES"/>
        </w:rPr>
        <w:br/>
      </w:r>
      <w:r>
        <w:rPr>
          <w:lang w:val="es-ES"/>
        </w:rPr>
        <w:br/>
        <w:t>Ejemplos de cálculo de los requisitos de atenuación</w:t>
      </w:r>
      <w:r>
        <w:rPr>
          <w:lang w:val="es-ES"/>
        </w:rPr>
        <w:br/>
        <w:t xml:space="preserve">aplicando el factor 43 </w:t>
      </w:r>
      <w:r>
        <w:rPr>
          <w:rFonts w:ascii="Symbol" w:hAnsi="Symbol"/>
          <w:lang w:val="es-ES"/>
        </w:rPr>
        <w:t></w:t>
      </w:r>
      <w:r>
        <w:rPr>
          <w:lang w:val="es-ES"/>
        </w:rPr>
        <w:t xml:space="preserve"> 10 log </w:t>
      </w:r>
      <w:r>
        <w:rPr>
          <w:i/>
          <w:lang w:val="es-ES"/>
        </w:rPr>
        <w:t>P</w:t>
      </w:r>
    </w:p>
    <w:p w:rsidR="002E5EB0" w:rsidRDefault="002E5EB0" w:rsidP="00D90E80">
      <w:pPr>
        <w:pStyle w:val="Normalaftertitle"/>
        <w:rPr>
          <w:lang w:val="es-ES"/>
        </w:rPr>
      </w:pPr>
      <w:r>
        <w:rPr>
          <w:lang w:val="es-ES"/>
        </w:rPr>
        <w:t xml:space="preserve">Todas las emisiones no deseadas deben estar como mínimo </w:t>
      </w:r>
      <w:r>
        <w:rPr>
          <w:i/>
          <w:lang w:val="es-ES"/>
        </w:rPr>
        <w:t>x</w:t>
      </w:r>
      <w:r>
        <w:rPr>
          <w:lang w:val="es-ES"/>
        </w:rPr>
        <w:t xml:space="preserve"> dB por debajo de la potencia media total </w:t>
      </w:r>
      <w:r>
        <w:rPr>
          <w:i/>
          <w:lang w:val="es-ES"/>
        </w:rPr>
        <w:t>P</w:t>
      </w:r>
      <w:r>
        <w:rPr>
          <w:lang w:val="es-ES"/>
        </w:rPr>
        <w:t>, es decir, –</w:t>
      </w:r>
      <w:r>
        <w:rPr>
          <w:i/>
          <w:lang w:val="es-ES"/>
        </w:rPr>
        <w:t>x</w:t>
      </w:r>
      <w:r>
        <w:rPr>
          <w:lang w:val="es-ES"/>
        </w:rPr>
        <w:t xml:space="preserve"> dBc. La potencia </w:t>
      </w:r>
      <w:r>
        <w:rPr>
          <w:i/>
          <w:lang w:val="es-ES"/>
        </w:rPr>
        <w:t>P</w:t>
      </w:r>
      <w:r>
        <w:rPr>
          <w:lang w:val="es-ES"/>
        </w:rPr>
        <w:t xml:space="preserve"> (W) se debe medir en una anchura de banda suficientemente amplia para incluir la potencia media total. Las emisiones en el dominio no esencial se deben medir en las anchuras de banda de referencia que figuran en esta Recomendación. La medición de la potencia de emisión en el dominio no esencial es independiente del valor de la anchura de banda necesaria. Se debe señalar que la atenuación de 43 </w:t>
      </w:r>
      <w:r w:rsidR="00D90E80">
        <w:rPr>
          <w:lang w:val="es-ES"/>
        </w:rPr>
        <w:t>+</w:t>
      </w:r>
      <w:r>
        <w:rPr>
          <w:lang w:val="es-ES"/>
        </w:rPr>
        <w:t xml:space="preserve"> 10 log </w:t>
      </w:r>
      <w:r>
        <w:rPr>
          <w:i/>
          <w:lang w:val="es-ES"/>
        </w:rPr>
        <w:t>P</w:t>
      </w:r>
      <w:r>
        <w:rPr>
          <w:lang w:val="es-ES"/>
        </w:rPr>
        <w:t xml:space="preserve"> produce siempre un nivel de potencia de emisión en el dominio no esencial absoluto de –</w:t>
      </w:r>
      <w:r>
        <w:rPr>
          <w:rFonts w:ascii="Tms Rmn" w:hAnsi="Tms Rmn"/>
          <w:sz w:val="6"/>
          <w:lang w:val="es-ES"/>
        </w:rPr>
        <w:t> </w:t>
      </w:r>
      <w:r>
        <w:rPr>
          <w:lang w:val="es-ES"/>
        </w:rPr>
        <w:t>43 dBW o –13 dBm. En razón que este límite absoluto de potencia de la emisión puede ser demasiado estricto para transmisores de alta potencia, en el Cuadro 2 se proporcionan también potencias relativas de alternativa.</w:t>
      </w:r>
    </w:p>
    <w:p w:rsidR="002E5EB0" w:rsidRPr="003B4B83" w:rsidRDefault="002E5EB0" w:rsidP="002E5EB0">
      <w:pPr>
        <w:pStyle w:val="Headingi"/>
        <w:rPr>
          <w:lang w:val="es-ES"/>
        </w:rPr>
      </w:pPr>
      <w:r w:rsidRPr="003B4B83">
        <w:rPr>
          <w:lang w:val="es-ES"/>
        </w:rPr>
        <w:t>Ejemplo 1:</w:t>
      </w:r>
    </w:p>
    <w:p w:rsidR="002E5EB0" w:rsidRDefault="002E5EB0" w:rsidP="00D90E80">
      <w:pPr>
        <w:rPr>
          <w:lang w:val="es-ES"/>
        </w:rPr>
      </w:pPr>
      <w:r>
        <w:rPr>
          <w:lang w:val="es-ES"/>
        </w:rPr>
        <w:t xml:space="preserve">Un transmisor móvil terrestre, con cualquier valor de anchura de banda necesario, debe satisfacer una atenuación de emisión en el dominio no esencial de 43 </w:t>
      </w:r>
      <w:r w:rsidR="00D90E80">
        <w:rPr>
          <w:lang w:val="es-ES"/>
        </w:rPr>
        <w:t>+</w:t>
      </w:r>
      <w:r>
        <w:rPr>
          <w:lang w:val="es-ES"/>
        </w:rPr>
        <w:t xml:space="preserve"> 10 log </w:t>
      </w:r>
      <w:r>
        <w:rPr>
          <w:i/>
          <w:lang w:val="es-ES"/>
        </w:rPr>
        <w:t>P</w:t>
      </w:r>
      <w:r>
        <w:rPr>
          <w:lang w:val="es-ES"/>
        </w:rPr>
        <w:t>, o 70 dBc, cualquiera sea la menos estricta. Para medir emisiones en el dominio no esencial en la gama de frecuencias entre 30 y 1</w:t>
      </w:r>
      <w:r>
        <w:rPr>
          <w:rFonts w:ascii="Tms Rmn" w:hAnsi="Tms Rmn"/>
          <w:sz w:val="12"/>
          <w:lang w:val="es-ES"/>
        </w:rPr>
        <w:t> </w:t>
      </w:r>
      <w:r>
        <w:rPr>
          <w:lang w:val="es-ES"/>
        </w:rPr>
        <w:t xml:space="preserve">000 MHz, el </w:t>
      </w:r>
      <w:r>
        <w:rPr>
          <w:i/>
          <w:lang w:val="es-ES"/>
        </w:rPr>
        <w:t xml:space="preserve">recomienda </w:t>
      </w:r>
      <w:r>
        <w:rPr>
          <w:lang w:val="es-ES"/>
        </w:rPr>
        <w:t xml:space="preserve">4.1 indica la utilización de una anchura de banda de referencia de 100 kHz. Para otras gamas de frecuencias, la medición debe emplear las anchuras de banda de referencia apropiadas que figuran en el </w:t>
      </w:r>
      <w:r>
        <w:rPr>
          <w:i/>
          <w:lang w:val="es-ES"/>
        </w:rPr>
        <w:t>recomienda</w:t>
      </w:r>
      <w:r>
        <w:rPr>
          <w:lang w:val="es-ES"/>
        </w:rPr>
        <w:t xml:space="preserve"> 4.1.</w:t>
      </w:r>
    </w:p>
    <w:p w:rsidR="002E5EB0" w:rsidRPr="003B4B83" w:rsidRDefault="002E5EB0" w:rsidP="002E5EB0">
      <w:pPr>
        <w:pStyle w:val="Headingi"/>
        <w:rPr>
          <w:lang w:val="es-ES"/>
        </w:rPr>
      </w:pPr>
      <w:r w:rsidRPr="003B4B83">
        <w:rPr>
          <w:lang w:val="es-ES"/>
        </w:rPr>
        <w:t>Con una potencia media total medida de 10 W:</w:t>
      </w:r>
    </w:p>
    <w:p w:rsidR="002E5EB0" w:rsidRDefault="002E5EB0" w:rsidP="00D90E80">
      <w:pPr>
        <w:pStyle w:val="enumlev1"/>
        <w:rPr>
          <w:lang w:val="es-ES"/>
        </w:rPr>
      </w:pPr>
      <w:r>
        <w:rPr>
          <w:lang w:val="es-ES"/>
        </w:rPr>
        <w:tab/>
        <w:t xml:space="preserve">Atenuación relativa a la potencia media total </w:t>
      </w:r>
      <w:r w:rsidR="00D90E80">
        <w:rPr>
          <w:lang w:val="es-ES"/>
        </w:rPr>
        <w:t>=</w:t>
      </w:r>
      <w:r>
        <w:rPr>
          <w:lang w:val="es-ES"/>
        </w:rPr>
        <w:t xml:space="preserve"> 43 </w:t>
      </w:r>
      <w:r w:rsidR="00D90E80">
        <w:rPr>
          <w:lang w:val="es-ES"/>
        </w:rPr>
        <w:t>+</w:t>
      </w:r>
      <w:r>
        <w:rPr>
          <w:lang w:val="es-ES"/>
        </w:rPr>
        <w:t xml:space="preserve"> 10 log 10 </w:t>
      </w:r>
      <w:r w:rsidR="00D90E80">
        <w:rPr>
          <w:lang w:val="es-ES"/>
        </w:rPr>
        <w:t>=</w:t>
      </w:r>
      <w:r>
        <w:rPr>
          <w:lang w:val="es-ES"/>
        </w:rPr>
        <w:t xml:space="preserve"> 53 dB</w:t>
      </w:r>
    </w:p>
    <w:p w:rsidR="002E5EB0" w:rsidRDefault="002E5EB0" w:rsidP="002E5EB0">
      <w:pPr>
        <w:pStyle w:val="enumlev1"/>
        <w:rPr>
          <w:lang w:val="es-ES"/>
        </w:rPr>
      </w:pPr>
      <w:r>
        <w:rPr>
          <w:lang w:val="es-ES"/>
        </w:rPr>
        <w:tab/>
        <w:t>El valor de 53 dBc es menos estricto que el de 70 dBc, de modo tal que se utiliza el primer valor.</w:t>
      </w:r>
    </w:p>
    <w:p w:rsidR="002E5EB0" w:rsidRDefault="002E5EB0" w:rsidP="002E5EB0">
      <w:pPr>
        <w:rPr>
          <w:lang w:val="es-ES"/>
        </w:rPr>
      </w:pPr>
      <w:r>
        <w:rPr>
          <w:lang w:val="es-ES"/>
        </w:rPr>
        <w:t>Por tanto:</w:t>
      </w:r>
    </w:p>
    <w:p w:rsidR="002E5EB0" w:rsidRDefault="002E5EB0" w:rsidP="002E5EB0">
      <w:pPr>
        <w:pStyle w:val="enumlev1"/>
        <w:rPr>
          <w:lang w:val="es-ES"/>
        </w:rPr>
      </w:pPr>
      <w:r>
        <w:rPr>
          <w:lang w:val="es-ES"/>
        </w:rPr>
        <w:tab/>
        <w:t>Las emisiones en el dominio no esencial no deben rebasar 53 dBc en una anchura de banda de referencia de 100 kHz, o ser convertidas a un nivel absoluto.</w:t>
      </w:r>
    </w:p>
    <w:p w:rsidR="002E5EB0" w:rsidRDefault="002E5EB0" w:rsidP="002E5EB0">
      <w:pPr>
        <w:pStyle w:val="enumlev1"/>
        <w:rPr>
          <w:lang w:val="es-ES"/>
        </w:rPr>
      </w:pPr>
      <w:r>
        <w:rPr>
          <w:lang w:val="es-ES"/>
        </w:rPr>
        <w:tab/>
        <w:t>Las emisiones en el dominio no esencial no deben rebasar 10 dBW – 53 dBc = –</w:t>
      </w:r>
      <w:r>
        <w:rPr>
          <w:sz w:val="4"/>
          <w:lang w:val="es-ES"/>
        </w:rPr>
        <w:t> </w:t>
      </w:r>
      <w:r>
        <w:rPr>
          <w:lang w:val="es-ES"/>
        </w:rPr>
        <w:t>43 dBW en una anchura de banda de referencia de 100 kHz.</w:t>
      </w:r>
    </w:p>
    <w:p w:rsidR="002E5EB0" w:rsidRDefault="002E5EB0" w:rsidP="006130A6">
      <w:pPr>
        <w:keepNext/>
        <w:keepLines/>
        <w:rPr>
          <w:lang w:val="es-ES"/>
        </w:rPr>
      </w:pPr>
      <w:r>
        <w:rPr>
          <w:i/>
          <w:lang w:val="es-ES"/>
        </w:rPr>
        <w:lastRenderedPageBreak/>
        <w:t>Con una potencia media total medida de 1</w:t>
      </w:r>
      <w:r>
        <w:rPr>
          <w:i/>
          <w:sz w:val="12"/>
          <w:lang w:val="es-ES"/>
        </w:rPr>
        <w:t> </w:t>
      </w:r>
      <w:r>
        <w:rPr>
          <w:i/>
          <w:lang w:val="es-ES"/>
        </w:rPr>
        <w:t>000 W</w:t>
      </w:r>
      <w:r>
        <w:rPr>
          <w:lang w:val="es-ES"/>
        </w:rPr>
        <w:t>:</w:t>
      </w:r>
    </w:p>
    <w:p w:rsidR="002E5EB0" w:rsidRDefault="002E5EB0" w:rsidP="00D90E80">
      <w:pPr>
        <w:pStyle w:val="enumlev1"/>
        <w:keepNext/>
        <w:keepLines/>
        <w:rPr>
          <w:lang w:val="es-ES"/>
        </w:rPr>
      </w:pPr>
      <w:r>
        <w:rPr>
          <w:lang w:val="es-ES"/>
        </w:rPr>
        <w:tab/>
        <w:t xml:space="preserve">Atenuación relativa a la potencia media total </w:t>
      </w:r>
      <w:r w:rsidR="00D90E80">
        <w:rPr>
          <w:lang w:val="es-ES"/>
        </w:rPr>
        <w:t>=</w:t>
      </w:r>
      <w:r>
        <w:rPr>
          <w:lang w:val="es-ES"/>
        </w:rPr>
        <w:t xml:space="preserve"> 43 </w:t>
      </w:r>
      <w:r w:rsidR="00D90E80">
        <w:rPr>
          <w:lang w:val="es-ES"/>
        </w:rPr>
        <w:t>+</w:t>
      </w:r>
      <w:r>
        <w:rPr>
          <w:lang w:val="es-ES"/>
        </w:rPr>
        <w:t xml:space="preserve"> 10 log 1</w:t>
      </w:r>
      <w:r>
        <w:rPr>
          <w:sz w:val="12"/>
          <w:lang w:val="es-ES"/>
        </w:rPr>
        <w:t> </w:t>
      </w:r>
      <w:r>
        <w:rPr>
          <w:lang w:val="es-ES"/>
        </w:rPr>
        <w:t xml:space="preserve">000 </w:t>
      </w:r>
      <w:r w:rsidR="00D90E80">
        <w:rPr>
          <w:lang w:val="es-ES"/>
        </w:rPr>
        <w:t>=</w:t>
      </w:r>
      <w:r>
        <w:rPr>
          <w:lang w:val="es-ES"/>
        </w:rPr>
        <w:t xml:space="preserve"> 73 dB.</w:t>
      </w:r>
    </w:p>
    <w:p w:rsidR="002E5EB0" w:rsidRDefault="002E5EB0" w:rsidP="00CD20DB">
      <w:pPr>
        <w:pStyle w:val="enumlev1"/>
        <w:rPr>
          <w:lang w:val="es-ES"/>
        </w:rPr>
      </w:pPr>
      <w:r>
        <w:rPr>
          <w:lang w:val="es-ES"/>
        </w:rPr>
        <w:tab/>
        <w:t>El valor de 73 dBc es más estricto que el límite de 70 dBc, de modo tal que se utiliza este último valor.</w:t>
      </w:r>
    </w:p>
    <w:p w:rsidR="002E5EB0" w:rsidRDefault="002E5EB0" w:rsidP="002E5EB0">
      <w:pPr>
        <w:rPr>
          <w:lang w:val="es-ES"/>
        </w:rPr>
      </w:pPr>
      <w:r>
        <w:rPr>
          <w:lang w:val="es-ES"/>
        </w:rPr>
        <w:t>Por tanto:</w:t>
      </w:r>
    </w:p>
    <w:p w:rsidR="002E5EB0" w:rsidRDefault="002E5EB0" w:rsidP="002E5EB0">
      <w:pPr>
        <w:pStyle w:val="enumlev1"/>
        <w:rPr>
          <w:lang w:val="es-ES"/>
        </w:rPr>
      </w:pPr>
      <w:r>
        <w:rPr>
          <w:lang w:val="es-ES"/>
        </w:rPr>
        <w:tab/>
        <w:t>Las emisiones en el dominio no esencial no deben rebasar 70 dBc en una anchura de banda de referencia de 100 kHz, o ser convertidas a un nivel absoluto.</w:t>
      </w:r>
    </w:p>
    <w:p w:rsidR="002E5EB0" w:rsidRDefault="002E5EB0" w:rsidP="00D90E80">
      <w:pPr>
        <w:pStyle w:val="enumlev1"/>
        <w:rPr>
          <w:lang w:val="es-ES"/>
        </w:rPr>
      </w:pPr>
      <w:r>
        <w:rPr>
          <w:lang w:val="es-ES"/>
        </w:rPr>
        <w:tab/>
        <w:t xml:space="preserve">Las emisiones en el dominio no esencial no deben rebasar 30 dBW – 70 dBc </w:t>
      </w:r>
      <w:r w:rsidR="00D90E80">
        <w:rPr>
          <w:lang w:val="es-ES"/>
        </w:rPr>
        <w:t>=</w:t>
      </w:r>
      <w:r>
        <w:rPr>
          <w:lang w:val="es-ES"/>
        </w:rPr>
        <w:t xml:space="preserve"> –</w:t>
      </w:r>
      <w:r>
        <w:rPr>
          <w:sz w:val="4"/>
          <w:lang w:val="es-ES"/>
        </w:rPr>
        <w:t> </w:t>
      </w:r>
      <w:r>
        <w:rPr>
          <w:lang w:val="es-ES"/>
        </w:rPr>
        <w:t>40 dBW en una anchura de banda de referencia de 100 kHz.</w:t>
      </w:r>
    </w:p>
    <w:p w:rsidR="002E5EB0" w:rsidRPr="003B4B83" w:rsidRDefault="002E5EB0" w:rsidP="002E5EB0">
      <w:pPr>
        <w:pStyle w:val="Headingi"/>
        <w:rPr>
          <w:lang w:val="es-ES"/>
        </w:rPr>
      </w:pPr>
      <w:r w:rsidRPr="003B4B83">
        <w:rPr>
          <w:lang w:val="es-ES"/>
        </w:rPr>
        <w:t>Ejemplo 2:</w:t>
      </w:r>
    </w:p>
    <w:p w:rsidR="002E5EB0" w:rsidRDefault="002E5EB0" w:rsidP="00D90E80">
      <w:pPr>
        <w:rPr>
          <w:lang w:val="es-ES"/>
        </w:rPr>
      </w:pPr>
      <w:r>
        <w:rPr>
          <w:lang w:val="es-ES"/>
        </w:rPr>
        <w:t xml:space="preserve">Un transmisor de servicios espaciales, con cualquier valor de anchura de banda necesaria, debe satisfacer una atenuación de emisiones en el dominio no esencial de 43 </w:t>
      </w:r>
      <w:r w:rsidR="00D90E80">
        <w:rPr>
          <w:lang w:val="es-ES"/>
        </w:rPr>
        <w:t>+</w:t>
      </w:r>
      <w:r>
        <w:rPr>
          <w:lang w:val="es-ES"/>
        </w:rPr>
        <w:t xml:space="preserve"> 10 log </w:t>
      </w:r>
      <w:r>
        <w:rPr>
          <w:i/>
          <w:lang w:val="es-ES"/>
        </w:rPr>
        <w:t>P</w:t>
      </w:r>
      <w:r>
        <w:rPr>
          <w:lang w:val="es-ES"/>
        </w:rPr>
        <w:t>, o 60 dBc, cualquiera sea la menos rigurosa. La Nota de pie de página</w:t>
      </w:r>
      <w:r>
        <w:rPr>
          <w:vertAlign w:val="superscript"/>
          <w:lang w:val="es-ES"/>
        </w:rPr>
        <w:t>(3)</w:t>
      </w:r>
      <w:r>
        <w:rPr>
          <w:lang w:val="es-ES"/>
        </w:rPr>
        <w:t xml:space="preserve"> del Cuadro 2 indica la utilización de una anchura de banda de referencia de 4 kHz para medir emisiones en el dominio no esencial en cualquier frecuencia.</w:t>
      </w:r>
    </w:p>
    <w:p w:rsidR="002E5EB0" w:rsidRPr="003B4B83" w:rsidRDefault="002E5EB0" w:rsidP="002E5EB0">
      <w:pPr>
        <w:pStyle w:val="Headingi"/>
        <w:rPr>
          <w:lang w:val="es-ES"/>
        </w:rPr>
      </w:pPr>
      <w:r w:rsidRPr="003B4B83">
        <w:rPr>
          <w:lang w:val="es-ES"/>
        </w:rPr>
        <w:t>Con una potencia media total medida de 20 W:</w:t>
      </w:r>
    </w:p>
    <w:p w:rsidR="002E5EB0" w:rsidRDefault="002E5EB0" w:rsidP="000C3F64">
      <w:pPr>
        <w:pStyle w:val="enumlev1"/>
        <w:rPr>
          <w:lang w:val="es-ES"/>
        </w:rPr>
      </w:pPr>
      <w:r>
        <w:rPr>
          <w:lang w:val="es-ES"/>
        </w:rPr>
        <w:tab/>
        <w:t xml:space="preserve">Atenuación relativa a la potencia media total </w:t>
      </w:r>
      <w:r w:rsidR="00D90E80">
        <w:rPr>
          <w:lang w:val="es-ES"/>
        </w:rPr>
        <w:t>=</w:t>
      </w:r>
      <w:r>
        <w:rPr>
          <w:lang w:val="es-ES"/>
        </w:rPr>
        <w:t xml:space="preserve"> 43 </w:t>
      </w:r>
      <w:r w:rsidR="00D90E80">
        <w:rPr>
          <w:lang w:val="es-ES"/>
        </w:rPr>
        <w:t>+</w:t>
      </w:r>
      <w:r>
        <w:rPr>
          <w:lang w:val="es-ES"/>
        </w:rPr>
        <w:t xml:space="preserve"> 10 log 20 </w:t>
      </w:r>
      <w:r w:rsidR="000C3F64">
        <w:rPr>
          <w:lang w:val="es-ES"/>
        </w:rPr>
        <w:t>=</w:t>
      </w:r>
      <w:r>
        <w:rPr>
          <w:lang w:val="es-ES"/>
        </w:rPr>
        <w:t xml:space="preserve"> 56 dB.</w:t>
      </w:r>
    </w:p>
    <w:p w:rsidR="002E5EB0" w:rsidRDefault="002E5EB0" w:rsidP="002E5EB0">
      <w:pPr>
        <w:pStyle w:val="enumlev1"/>
        <w:rPr>
          <w:lang w:val="es-ES"/>
        </w:rPr>
      </w:pPr>
      <w:r>
        <w:rPr>
          <w:lang w:val="es-ES"/>
        </w:rPr>
        <w:tab/>
        <w:t>El valor de 56 dBc es menos estricto que el límite de 60 dBc, de modo tal que se utiliza el primer valor.</w:t>
      </w:r>
    </w:p>
    <w:p w:rsidR="002E5EB0" w:rsidRDefault="002E5EB0" w:rsidP="002E5EB0">
      <w:pPr>
        <w:rPr>
          <w:lang w:val="es-ES"/>
        </w:rPr>
      </w:pPr>
      <w:r>
        <w:rPr>
          <w:lang w:val="es-ES"/>
        </w:rPr>
        <w:t>Por tanto:</w:t>
      </w:r>
    </w:p>
    <w:p w:rsidR="002E5EB0" w:rsidRDefault="002E5EB0" w:rsidP="002E5EB0">
      <w:pPr>
        <w:pStyle w:val="enumlev1"/>
        <w:rPr>
          <w:lang w:val="es-ES"/>
        </w:rPr>
      </w:pPr>
      <w:r>
        <w:rPr>
          <w:lang w:val="es-ES"/>
        </w:rPr>
        <w:tab/>
        <w:t>Las emisiones en el dominio no esencial no deben rebasar 56 dBc en una anchura de banda de referencia de 4 kHz o ser convertidas en un nivel absoluto.</w:t>
      </w:r>
    </w:p>
    <w:p w:rsidR="002E5EB0" w:rsidRDefault="002E5EB0" w:rsidP="000C3F64">
      <w:pPr>
        <w:pStyle w:val="enumlev1"/>
        <w:rPr>
          <w:lang w:val="es-ES"/>
        </w:rPr>
      </w:pPr>
      <w:r>
        <w:rPr>
          <w:lang w:val="es-ES"/>
        </w:rPr>
        <w:tab/>
        <w:t xml:space="preserve">Las emisiones en el dominio no esencial no deben rebasar 13 dBW </w:t>
      </w:r>
      <w:r>
        <w:rPr>
          <w:rFonts w:ascii="Symbol" w:hAnsi="Symbol"/>
          <w:lang w:val="es-ES"/>
        </w:rPr>
        <w:t></w:t>
      </w:r>
      <w:r>
        <w:rPr>
          <w:lang w:val="es-ES"/>
        </w:rPr>
        <w:t xml:space="preserve"> 56 dBc </w:t>
      </w:r>
      <w:r w:rsidR="000C3F64">
        <w:rPr>
          <w:lang w:val="es-ES"/>
        </w:rPr>
        <w:t>=</w:t>
      </w:r>
      <w:r>
        <w:rPr>
          <w:lang w:val="es-ES"/>
        </w:rPr>
        <w:t xml:space="preserve"> –</w:t>
      </w:r>
      <w:r>
        <w:rPr>
          <w:sz w:val="4"/>
          <w:lang w:val="es-ES"/>
        </w:rPr>
        <w:t> </w:t>
      </w:r>
      <w:r>
        <w:rPr>
          <w:lang w:val="es-ES"/>
        </w:rPr>
        <w:t>43 dBW en una anchura de banda de referencia de 4 kHz.</w:t>
      </w:r>
    </w:p>
    <w:p w:rsidR="00CD20DB" w:rsidRDefault="00CD20DB" w:rsidP="00CD20DB">
      <w:pPr>
        <w:pStyle w:val="Blanc"/>
        <w:rPr>
          <w:lang w:val="es-ES"/>
        </w:rPr>
      </w:pPr>
    </w:p>
    <w:p w:rsidR="002E5EB0" w:rsidRDefault="008A294A" w:rsidP="002E5EB0">
      <w:pPr>
        <w:pStyle w:val="TableNo"/>
        <w:rPr>
          <w:lang w:val="es-ES"/>
        </w:rPr>
      </w:pPr>
      <w:r>
        <w:rPr>
          <w:lang w:val="es-ES"/>
        </w:rPr>
        <w:t xml:space="preserve">CUADRO </w:t>
      </w:r>
      <w:r w:rsidR="002E5EB0">
        <w:rPr>
          <w:lang w:val="es-ES"/>
        </w:rPr>
        <w:t>10</w:t>
      </w:r>
    </w:p>
    <w:p w:rsidR="002E5EB0" w:rsidRDefault="002E5EB0" w:rsidP="002E5EB0">
      <w:pPr>
        <w:pStyle w:val="Tabletitle"/>
        <w:rPr>
          <w:lang w:val="es-ES"/>
        </w:rPr>
      </w:pPr>
      <w:r>
        <w:rPr>
          <w:lang w:val="es-ES"/>
        </w:rPr>
        <w:t>Niveles absolutos de emisiones en el dominio no esencial – Categoría A</w:t>
      </w:r>
    </w:p>
    <w:p w:rsidR="002E5EB0" w:rsidRDefault="002E5EB0" w:rsidP="002E5EB0">
      <w:pPr>
        <w:pStyle w:val="Blanc"/>
        <w:rPr>
          <w:lang w:val="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4218"/>
        <w:gridCol w:w="5422"/>
      </w:tblGrid>
      <w:tr w:rsidR="002E5EB0" w:rsidRPr="00DD03A6" w:rsidTr="00E87F90">
        <w:trPr>
          <w:jc w:val="center"/>
        </w:trPr>
        <w:tc>
          <w:tcPr>
            <w:tcW w:w="4218" w:type="dxa"/>
            <w:vAlign w:val="center"/>
          </w:tcPr>
          <w:p w:rsidR="002E5EB0" w:rsidRDefault="002E5EB0" w:rsidP="00E87F90">
            <w:pPr>
              <w:pStyle w:val="Tablehead"/>
              <w:rPr>
                <w:lang w:val="es-ES"/>
              </w:rPr>
            </w:pPr>
            <w:r>
              <w:rPr>
                <w:lang w:val="es-ES"/>
              </w:rPr>
              <w:t xml:space="preserve">Categoría de servicio de acuerdo </w:t>
            </w:r>
            <w:r>
              <w:rPr>
                <w:lang w:val="es-ES"/>
              </w:rPr>
              <w:br/>
              <w:t>con el Artículo 1 del RR</w:t>
            </w:r>
            <w:r>
              <w:rPr>
                <w:lang w:val="es-ES"/>
              </w:rPr>
              <w:br/>
              <w:t>o tipo de equipo</w:t>
            </w:r>
            <w:r>
              <w:rPr>
                <w:vertAlign w:val="superscript"/>
                <w:lang w:val="es-ES"/>
              </w:rPr>
              <w:t>(1), (2)</w:t>
            </w:r>
          </w:p>
        </w:tc>
        <w:tc>
          <w:tcPr>
            <w:tcW w:w="5422" w:type="dxa"/>
          </w:tcPr>
          <w:p w:rsidR="002E5EB0" w:rsidRDefault="002E5EB0" w:rsidP="00E87F90">
            <w:pPr>
              <w:pStyle w:val="Tablehead"/>
              <w:rPr>
                <w:lang w:val="es-ES"/>
              </w:rPr>
            </w:pPr>
            <w:r>
              <w:rPr>
                <w:lang w:val="es-ES"/>
              </w:rPr>
              <w:t>Potencia de la emisión en el dominio no esencial máxima admitida en la anchura de banda de</w:t>
            </w:r>
            <w:r w:rsidR="00E87F90">
              <w:rPr>
                <w:lang w:val="es-ES"/>
              </w:rPr>
              <w:br/>
            </w:r>
            <w:r>
              <w:rPr>
                <w:lang w:val="es-ES"/>
              </w:rPr>
              <w:t xml:space="preserve">referencia pertinente (véase el </w:t>
            </w:r>
            <w:r>
              <w:rPr>
                <w:i/>
                <w:iCs/>
                <w:lang w:val="es-ES"/>
              </w:rPr>
              <w:t xml:space="preserve">recomienda </w:t>
            </w:r>
            <w:r>
              <w:rPr>
                <w:lang w:val="es-ES"/>
              </w:rPr>
              <w:t>4.1)</w:t>
            </w:r>
            <w:r>
              <w:rPr>
                <w:lang w:val="es-ES"/>
              </w:rPr>
              <w:br/>
              <w:t xml:space="preserve">(dBm), con </w:t>
            </w:r>
            <w:r>
              <w:rPr>
                <w:i/>
                <w:iCs/>
                <w:lang w:val="es-ES"/>
              </w:rPr>
              <w:t>P</w:t>
            </w:r>
            <w:r>
              <w:rPr>
                <w:lang w:val="es-ES"/>
              </w:rPr>
              <w:t xml:space="preserve">, </w:t>
            </w:r>
            <w:r>
              <w:rPr>
                <w:i/>
                <w:iCs/>
                <w:lang w:val="es-ES"/>
              </w:rPr>
              <w:t>PEP</w:t>
            </w:r>
            <w:r>
              <w:rPr>
                <w:lang w:val="es-ES"/>
              </w:rPr>
              <w:t xml:space="preserve"> o </w:t>
            </w:r>
            <w:r>
              <w:rPr>
                <w:i/>
                <w:iCs/>
                <w:lang w:val="es-ES"/>
              </w:rPr>
              <w:t>X</w:t>
            </w:r>
            <w:r>
              <w:rPr>
                <w:lang w:val="es-ES"/>
              </w:rPr>
              <w:t xml:space="preserve"> (W)</w:t>
            </w:r>
          </w:p>
        </w:tc>
      </w:tr>
      <w:tr w:rsidR="002E5EB0" w:rsidTr="000C3F64">
        <w:trPr>
          <w:jc w:val="center"/>
        </w:trPr>
        <w:tc>
          <w:tcPr>
            <w:tcW w:w="4218" w:type="dxa"/>
          </w:tcPr>
          <w:p w:rsidR="002E5EB0" w:rsidRDefault="002E5EB0" w:rsidP="004D748C">
            <w:pPr>
              <w:pStyle w:val="TableText0"/>
              <w:rPr>
                <w:lang w:val="es-ES"/>
              </w:rPr>
            </w:pPr>
            <w:r>
              <w:rPr>
                <w:lang w:val="es-ES"/>
              </w:rPr>
              <w:t>Todos los servicios salvo los indicados a continuación</w:t>
            </w:r>
          </w:p>
        </w:tc>
        <w:tc>
          <w:tcPr>
            <w:tcW w:w="5422" w:type="dxa"/>
          </w:tcPr>
          <w:p w:rsidR="002E5EB0" w:rsidRDefault="002E5EB0" w:rsidP="004D748C">
            <w:pPr>
              <w:pStyle w:val="Tabletext"/>
              <w:jc w:val="left"/>
            </w:pPr>
            <w:r>
              <w:t>–13 dBm</w:t>
            </w:r>
            <w:r>
              <w:tab/>
            </w:r>
            <w:r>
              <w:tab/>
            </w:r>
            <w:r>
              <w:tab/>
            </w:r>
            <w:r>
              <w:tab/>
              <w:t xml:space="preserve">si </w:t>
            </w:r>
            <w:r>
              <w:rPr>
                <w:i/>
                <w:iCs/>
              </w:rPr>
              <w:t>P</w:t>
            </w:r>
            <w:r>
              <w:t xml:space="preserve"> </w:t>
            </w:r>
            <w:r>
              <w:rPr>
                <w:szCs w:val="18"/>
              </w:rPr>
              <w:sym w:font="Symbol" w:char="F0A3"/>
            </w:r>
            <w:r>
              <w:t xml:space="preserve"> 500 W</w:t>
            </w:r>
            <w:r>
              <w:br/>
              <w:t xml:space="preserve">10 log </w:t>
            </w:r>
            <w:r>
              <w:rPr>
                <w:i/>
                <w:iCs/>
              </w:rPr>
              <w:t>P</w:t>
            </w:r>
            <w:r>
              <w:t> – 40</w:t>
            </w:r>
            <w:r>
              <w:tab/>
            </w:r>
            <w:r>
              <w:tab/>
              <w:t xml:space="preserve">si </w:t>
            </w:r>
            <w:r>
              <w:rPr>
                <w:i/>
                <w:iCs/>
              </w:rPr>
              <w:t>P</w:t>
            </w:r>
            <w:r>
              <w:t xml:space="preserve"> </w:t>
            </w:r>
            <w:r>
              <w:rPr>
                <w:szCs w:val="18"/>
              </w:rPr>
              <w:sym w:font="Symbol" w:char="F03E"/>
            </w:r>
            <w:r>
              <w:t xml:space="preserve"> 500 W</w:t>
            </w:r>
          </w:p>
        </w:tc>
      </w:tr>
      <w:tr w:rsidR="002E5EB0" w:rsidTr="000C3F64">
        <w:trPr>
          <w:jc w:val="center"/>
        </w:trPr>
        <w:tc>
          <w:tcPr>
            <w:tcW w:w="4218" w:type="dxa"/>
          </w:tcPr>
          <w:p w:rsidR="002E5EB0" w:rsidRDefault="002E5EB0" w:rsidP="004D748C">
            <w:pPr>
              <w:pStyle w:val="TableText0"/>
              <w:rPr>
                <w:lang w:val="es-ES"/>
              </w:rPr>
            </w:pPr>
            <w:r>
              <w:rPr>
                <w:lang w:val="es-ES"/>
              </w:rPr>
              <w:t>Servicios espaciales (estaciones terrenas móviles)</w:t>
            </w:r>
            <w:r>
              <w:rPr>
                <w:vertAlign w:val="superscript"/>
                <w:lang w:val="es-ES"/>
              </w:rPr>
              <w:t>(3), (4)</w:t>
            </w:r>
          </w:p>
        </w:tc>
        <w:tc>
          <w:tcPr>
            <w:tcW w:w="5422" w:type="dxa"/>
          </w:tcPr>
          <w:p w:rsidR="002E5EB0" w:rsidRDefault="002E5EB0" w:rsidP="004D748C">
            <w:pPr>
              <w:pStyle w:val="Tabletext"/>
              <w:jc w:val="left"/>
            </w:pPr>
            <w:r>
              <w:t>–13 dBm</w:t>
            </w:r>
            <w:r>
              <w:tab/>
            </w:r>
            <w:r>
              <w:tab/>
            </w:r>
            <w:r>
              <w:tab/>
            </w:r>
            <w:r>
              <w:tab/>
              <w:t xml:space="preserve">si </w:t>
            </w:r>
            <w:r>
              <w:rPr>
                <w:i/>
                <w:iCs/>
              </w:rPr>
              <w:t>P</w:t>
            </w:r>
            <w:r>
              <w:t xml:space="preserve"> </w:t>
            </w:r>
            <w:r>
              <w:rPr>
                <w:szCs w:val="18"/>
              </w:rPr>
              <w:sym w:font="Symbol" w:char="F0A3"/>
            </w:r>
            <w:r>
              <w:t xml:space="preserve"> 50 W</w:t>
            </w:r>
            <w:r>
              <w:br/>
              <w:t xml:space="preserve">10 log </w:t>
            </w:r>
            <w:r>
              <w:rPr>
                <w:i/>
                <w:iCs/>
              </w:rPr>
              <w:t>P</w:t>
            </w:r>
            <w:r>
              <w:t> – 30</w:t>
            </w:r>
            <w:r>
              <w:tab/>
            </w:r>
            <w:r>
              <w:tab/>
              <w:t xml:space="preserve">si </w:t>
            </w:r>
            <w:r>
              <w:rPr>
                <w:i/>
                <w:iCs/>
              </w:rPr>
              <w:t>P</w:t>
            </w:r>
            <w:r>
              <w:t xml:space="preserve"> </w:t>
            </w:r>
            <w:r>
              <w:rPr>
                <w:szCs w:val="18"/>
              </w:rPr>
              <w:sym w:font="Symbol" w:char="F03E"/>
            </w:r>
            <w:r>
              <w:t xml:space="preserve"> 50 W</w:t>
            </w:r>
          </w:p>
        </w:tc>
      </w:tr>
      <w:tr w:rsidR="002E5EB0" w:rsidTr="000C3F64">
        <w:trPr>
          <w:jc w:val="center"/>
        </w:trPr>
        <w:tc>
          <w:tcPr>
            <w:tcW w:w="4218" w:type="dxa"/>
          </w:tcPr>
          <w:p w:rsidR="002E5EB0" w:rsidRDefault="002E5EB0" w:rsidP="004D748C">
            <w:pPr>
              <w:pStyle w:val="TableText0"/>
              <w:rPr>
                <w:vertAlign w:val="superscript"/>
                <w:lang w:val="es-ES"/>
              </w:rPr>
            </w:pPr>
            <w:r>
              <w:rPr>
                <w:lang w:val="es-ES"/>
              </w:rPr>
              <w:t>Servicios espaciales (estaciones terrenas fijas)</w:t>
            </w:r>
            <w:r>
              <w:rPr>
                <w:vertAlign w:val="superscript"/>
                <w:lang w:val="es-ES"/>
              </w:rPr>
              <w:t>(3), (4)</w:t>
            </w:r>
          </w:p>
        </w:tc>
        <w:tc>
          <w:tcPr>
            <w:tcW w:w="5422" w:type="dxa"/>
          </w:tcPr>
          <w:p w:rsidR="002E5EB0" w:rsidRDefault="002E5EB0" w:rsidP="004D748C">
            <w:pPr>
              <w:pStyle w:val="Tabletext"/>
              <w:jc w:val="left"/>
            </w:pPr>
            <w:r>
              <w:t>–13 dBm</w:t>
            </w:r>
            <w:r>
              <w:tab/>
            </w:r>
            <w:r>
              <w:tab/>
            </w:r>
            <w:r>
              <w:tab/>
            </w:r>
            <w:r>
              <w:tab/>
              <w:t xml:space="preserve">si </w:t>
            </w:r>
            <w:r>
              <w:rPr>
                <w:i/>
                <w:iCs/>
              </w:rPr>
              <w:t>P</w:t>
            </w:r>
            <w:r>
              <w:t xml:space="preserve"> </w:t>
            </w:r>
            <w:r>
              <w:rPr>
                <w:szCs w:val="18"/>
              </w:rPr>
              <w:sym w:font="Symbol" w:char="F0A3"/>
            </w:r>
            <w:r>
              <w:t xml:space="preserve"> 50 W</w:t>
            </w:r>
            <w:r>
              <w:br/>
              <w:t xml:space="preserve">10 log </w:t>
            </w:r>
            <w:r>
              <w:rPr>
                <w:i/>
                <w:iCs/>
              </w:rPr>
              <w:t>P</w:t>
            </w:r>
            <w:r>
              <w:t> – 30</w:t>
            </w:r>
            <w:r>
              <w:tab/>
            </w:r>
            <w:r>
              <w:tab/>
              <w:t xml:space="preserve">si </w:t>
            </w:r>
            <w:r>
              <w:rPr>
                <w:i/>
                <w:iCs/>
              </w:rPr>
              <w:t>P</w:t>
            </w:r>
            <w:r>
              <w:t xml:space="preserve"> </w:t>
            </w:r>
            <w:r>
              <w:rPr>
                <w:szCs w:val="18"/>
              </w:rPr>
              <w:sym w:font="Symbol" w:char="F03E"/>
            </w:r>
            <w:r>
              <w:t xml:space="preserve"> 50 W</w:t>
            </w:r>
          </w:p>
        </w:tc>
      </w:tr>
      <w:tr w:rsidR="002E5EB0" w:rsidTr="000C3F64">
        <w:trPr>
          <w:jc w:val="center"/>
        </w:trPr>
        <w:tc>
          <w:tcPr>
            <w:tcW w:w="4218" w:type="dxa"/>
          </w:tcPr>
          <w:p w:rsidR="002E5EB0" w:rsidRDefault="002E5EB0" w:rsidP="004D748C">
            <w:pPr>
              <w:pStyle w:val="TableText0"/>
              <w:rPr>
                <w:vertAlign w:val="superscript"/>
                <w:lang w:val="es-ES"/>
              </w:rPr>
            </w:pPr>
            <w:r>
              <w:rPr>
                <w:lang w:val="es-ES"/>
              </w:rPr>
              <w:t>Servicios espaciales (estaciones</w:t>
            </w:r>
            <w:r>
              <w:rPr>
                <w:lang w:val="es-ES"/>
              </w:rPr>
              <w:br/>
              <w:t>espaciales)</w:t>
            </w:r>
            <w:r>
              <w:rPr>
                <w:vertAlign w:val="superscript"/>
                <w:lang w:val="es-ES"/>
              </w:rPr>
              <w:t>(3), (5), (6)</w:t>
            </w:r>
          </w:p>
        </w:tc>
        <w:tc>
          <w:tcPr>
            <w:tcW w:w="5422" w:type="dxa"/>
          </w:tcPr>
          <w:p w:rsidR="002E5EB0" w:rsidRDefault="002E5EB0" w:rsidP="004D748C">
            <w:pPr>
              <w:pStyle w:val="Tabletext"/>
              <w:jc w:val="left"/>
            </w:pPr>
            <w:r>
              <w:t>–13 dBm</w:t>
            </w:r>
            <w:r>
              <w:tab/>
            </w:r>
            <w:r>
              <w:tab/>
            </w:r>
            <w:r>
              <w:tab/>
            </w:r>
            <w:r>
              <w:tab/>
              <w:t xml:space="preserve">si </w:t>
            </w:r>
            <w:r>
              <w:rPr>
                <w:i/>
                <w:iCs/>
              </w:rPr>
              <w:t>P</w:t>
            </w:r>
            <w:r>
              <w:t xml:space="preserve"> </w:t>
            </w:r>
            <w:r>
              <w:rPr>
                <w:szCs w:val="18"/>
              </w:rPr>
              <w:sym w:font="Symbol" w:char="F0A3"/>
            </w:r>
            <w:r>
              <w:t xml:space="preserve"> 50 W</w:t>
            </w:r>
            <w:r>
              <w:br/>
              <w:t xml:space="preserve">10 log </w:t>
            </w:r>
            <w:r>
              <w:rPr>
                <w:i/>
                <w:iCs/>
              </w:rPr>
              <w:t>P</w:t>
            </w:r>
            <w:r>
              <w:t> – 30</w:t>
            </w:r>
            <w:r>
              <w:tab/>
            </w:r>
            <w:r>
              <w:tab/>
              <w:t xml:space="preserve">si </w:t>
            </w:r>
            <w:r>
              <w:rPr>
                <w:i/>
                <w:iCs/>
              </w:rPr>
              <w:t>P</w:t>
            </w:r>
            <w:r>
              <w:t xml:space="preserve"> </w:t>
            </w:r>
            <w:r>
              <w:rPr>
                <w:szCs w:val="18"/>
              </w:rPr>
              <w:sym w:font="Symbol" w:char="F0B3"/>
            </w:r>
            <w:r>
              <w:t xml:space="preserve"> 50 W</w:t>
            </w:r>
          </w:p>
        </w:tc>
      </w:tr>
      <w:tr w:rsidR="002E5EB0" w:rsidTr="000C3F64">
        <w:trPr>
          <w:jc w:val="center"/>
        </w:trPr>
        <w:tc>
          <w:tcPr>
            <w:tcW w:w="4218" w:type="dxa"/>
          </w:tcPr>
          <w:p w:rsidR="002E5EB0" w:rsidRDefault="002E5EB0" w:rsidP="004D748C">
            <w:pPr>
              <w:pStyle w:val="TableText0"/>
              <w:rPr>
                <w:vertAlign w:val="superscript"/>
                <w:lang w:val="es-ES"/>
              </w:rPr>
            </w:pPr>
            <w:r>
              <w:rPr>
                <w:lang w:val="es-ES"/>
              </w:rPr>
              <w:t>Radiodeterminación</w:t>
            </w:r>
            <w:r>
              <w:rPr>
                <w:vertAlign w:val="superscript"/>
                <w:lang w:val="es-ES"/>
              </w:rPr>
              <w:t>(7)</w:t>
            </w:r>
          </w:p>
        </w:tc>
        <w:tc>
          <w:tcPr>
            <w:tcW w:w="5422" w:type="dxa"/>
          </w:tcPr>
          <w:p w:rsidR="002E5EB0" w:rsidRDefault="002E5EB0" w:rsidP="004D748C">
            <w:pPr>
              <w:pStyle w:val="Tabletext"/>
              <w:jc w:val="left"/>
            </w:pPr>
            <w:r>
              <w:t>–13 dBm</w:t>
            </w:r>
            <w:r>
              <w:tab/>
            </w:r>
            <w:r>
              <w:tab/>
            </w:r>
            <w:r>
              <w:tab/>
            </w:r>
            <w:r>
              <w:tab/>
              <w:t xml:space="preserve">si </w:t>
            </w:r>
            <w:r>
              <w:rPr>
                <w:i/>
                <w:iCs/>
              </w:rPr>
              <w:t>PEP</w:t>
            </w:r>
            <w:r>
              <w:t xml:space="preserve"> </w:t>
            </w:r>
            <w:r>
              <w:rPr>
                <w:szCs w:val="18"/>
              </w:rPr>
              <w:sym w:font="Symbol" w:char="F0A3"/>
            </w:r>
            <w:r>
              <w:t xml:space="preserve"> 50 W</w:t>
            </w:r>
            <w:r>
              <w:br/>
              <w:t xml:space="preserve">10 log </w:t>
            </w:r>
            <w:r>
              <w:rPr>
                <w:i/>
                <w:iCs/>
              </w:rPr>
              <w:t>PEP</w:t>
            </w:r>
            <w:r>
              <w:t> – 30</w:t>
            </w:r>
            <w:r>
              <w:tab/>
              <w:t xml:space="preserve">si </w:t>
            </w:r>
            <w:r>
              <w:rPr>
                <w:i/>
                <w:iCs/>
              </w:rPr>
              <w:t>PEP</w:t>
            </w:r>
            <w:r>
              <w:t xml:space="preserve"> </w:t>
            </w:r>
            <w:r>
              <w:rPr>
                <w:szCs w:val="18"/>
              </w:rPr>
              <w:sym w:font="Symbol" w:char="F03E"/>
            </w:r>
            <w:r>
              <w:t xml:space="preserve"> 50 W</w:t>
            </w:r>
          </w:p>
        </w:tc>
      </w:tr>
    </w:tbl>
    <w:p w:rsidR="004D748C" w:rsidRPr="00DD03A6" w:rsidRDefault="004D748C" w:rsidP="00CD20DB">
      <w:pPr>
        <w:pStyle w:val="Tablefin"/>
        <w:rPr>
          <w:lang w:val="fr-CH"/>
        </w:rPr>
      </w:pPr>
    </w:p>
    <w:p w:rsidR="004D748C" w:rsidRDefault="008A294A" w:rsidP="004D748C">
      <w:pPr>
        <w:pStyle w:val="TableNo"/>
        <w:rPr>
          <w:lang w:val="es-ES"/>
        </w:rPr>
      </w:pPr>
      <w:r>
        <w:rPr>
          <w:lang w:val="es-ES"/>
        </w:rPr>
        <w:lastRenderedPageBreak/>
        <w:t xml:space="preserve">CUADRO </w:t>
      </w:r>
      <w:r w:rsidR="004D748C">
        <w:rPr>
          <w:lang w:val="es-ES"/>
        </w:rPr>
        <w:t>10 (</w:t>
      </w:r>
      <w:r w:rsidR="004D748C">
        <w:rPr>
          <w:i/>
          <w:iCs/>
          <w:lang w:val="es-ES"/>
        </w:rPr>
        <w:t>Fin</w:t>
      </w:r>
      <w:r w:rsidR="004D748C">
        <w:rPr>
          <w:lang w:val="es-ES"/>
        </w:rPr>
        <w:t>)</w:t>
      </w:r>
    </w:p>
    <w:tbl>
      <w:tblPr>
        <w:tblW w:w="0" w:type="auto"/>
        <w:jc w:val="center"/>
        <w:tblBorders>
          <w:top w:val="single" w:sz="6" w:space="0" w:color="auto"/>
          <w:left w:val="single" w:sz="2" w:space="0" w:color="auto"/>
          <w:right w:val="single" w:sz="2" w:space="0" w:color="auto"/>
          <w:insideH w:val="single" w:sz="2"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4D748C" w:rsidRPr="00DD03A6" w:rsidTr="00E87F90">
        <w:trPr>
          <w:jc w:val="center"/>
        </w:trPr>
        <w:tc>
          <w:tcPr>
            <w:tcW w:w="4218" w:type="dxa"/>
            <w:vAlign w:val="center"/>
          </w:tcPr>
          <w:p w:rsidR="004D748C" w:rsidRDefault="004D748C" w:rsidP="00E87F90">
            <w:pPr>
              <w:pStyle w:val="Tablehead"/>
              <w:rPr>
                <w:lang w:val="es-ES"/>
              </w:rPr>
            </w:pPr>
            <w:r>
              <w:rPr>
                <w:lang w:val="es-ES"/>
              </w:rPr>
              <w:t xml:space="preserve">Categoría de servicio de acuerdo </w:t>
            </w:r>
            <w:r>
              <w:rPr>
                <w:lang w:val="es-ES"/>
              </w:rPr>
              <w:br/>
              <w:t>con el Artículo 1 del RR</w:t>
            </w:r>
            <w:r>
              <w:rPr>
                <w:lang w:val="es-ES"/>
              </w:rPr>
              <w:br/>
              <w:t>o tipo de equipo</w:t>
            </w:r>
            <w:r>
              <w:rPr>
                <w:vertAlign w:val="superscript"/>
                <w:lang w:val="es-ES"/>
              </w:rPr>
              <w:t>(1), (2)</w:t>
            </w:r>
          </w:p>
        </w:tc>
        <w:tc>
          <w:tcPr>
            <w:tcW w:w="5422" w:type="dxa"/>
          </w:tcPr>
          <w:p w:rsidR="004D748C" w:rsidRDefault="004D748C" w:rsidP="00E87F90">
            <w:pPr>
              <w:pStyle w:val="Tablehead"/>
              <w:rPr>
                <w:lang w:val="es-ES"/>
              </w:rPr>
            </w:pPr>
            <w:r>
              <w:rPr>
                <w:lang w:val="es-ES"/>
              </w:rPr>
              <w:t>Potencia de la emisión en el dominio no esencial máxima admitida en la anchura de banda de</w:t>
            </w:r>
            <w:r w:rsidR="00E87F90">
              <w:rPr>
                <w:lang w:val="es-ES"/>
              </w:rPr>
              <w:br/>
            </w:r>
            <w:r>
              <w:rPr>
                <w:lang w:val="es-ES"/>
              </w:rPr>
              <w:t xml:space="preserve">referencia pertinente (véase el </w:t>
            </w:r>
            <w:r>
              <w:rPr>
                <w:i/>
                <w:iCs/>
                <w:lang w:val="es-ES"/>
              </w:rPr>
              <w:t xml:space="preserve">recomienda </w:t>
            </w:r>
            <w:r>
              <w:rPr>
                <w:lang w:val="es-ES"/>
              </w:rPr>
              <w:t>4.1)</w:t>
            </w:r>
            <w:r>
              <w:rPr>
                <w:lang w:val="es-ES"/>
              </w:rPr>
              <w:br/>
              <w:t xml:space="preserve">(dBm), con </w:t>
            </w:r>
            <w:r>
              <w:rPr>
                <w:i/>
                <w:iCs/>
                <w:lang w:val="es-ES"/>
              </w:rPr>
              <w:t>P</w:t>
            </w:r>
            <w:r>
              <w:rPr>
                <w:lang w:val="es-ES"/>
              </w:rPr>
              <w:t xml:space="preserve">, </w:t>
            </w:r>
            <w:r>
              <w:rPr>
                <w:i/>
                <w:iCs/>
                <w:lang w:val="es-ES"/>
              </w:rPr>
              <w:t>PEP</w:t>
            </w:r>
            <w:r>
              <w:rPr>
                <w:lang w:val="es-ES"/>
              </w:rPr>
              <w:t xml:space="preserve"> o </w:t>
            </w:r>
            <w:r>
              <w:rPr>
                <w:i/>
                <w:iCs/>
                <w:lang w:val="es-ES"/>
              </w:rPr>
              <w:t>X</w:t>
            </w:r>
            <w:r>
              <w:rPr>
                <w:lang w:val="es-ES"/>
              </w:rPr>
              <w:t xml:space="preserve"> (W)</w:t>
            </w:r>
          </w:p>
        </w:tc>
      </w:tr>
      <w:tr w:rsidR="002E5EB0" w:rsidRPr="00DD03A6" w:rsidTr="000C3F64">
        <w:trPr>
          <w:jc w:val="center"/>
        </w:trPr>
        <w:tc>
          <w:tcPr>
            <w:tcW w:w="4218" w:type="dxa"/>
          </w:tcPr>
          <w:p w:rsidR="002E5EB0" w:rsidRDefault="002E5EB0" w:rsidP="004D748C">
            <w:pPr>
              <w:pStyle w:val="TableText0"/>
              <w:rPr>
                <w:lang w:val="es-ES"/>
              </w:rPr>
            </w:pPr>
            <w:r>
              <w:rPr>
                <w:lang w:val="es-ES"/>
              </w:rPr>
              <w:t>Radiodifusión de televisión</w:t>
            </w:r>
            <w:r>
              <w:rPr>
                <w:vertAlign w:val="superscript"/>
                <w:lang w:val="es-ES"/>
              </w:rPr>
              <w:t>(8)</w:t>
            </w:r>
            <w:r>
              <w:rPr>
                <w:lang w:val="es-ES"/>
              </w:rPr>
              <w:br/>
              <w:t>Transmisores en ondas métricas</w:t>
            </w:r>
          </w:p>
        </w:tc>
        <w:tc>
          <w:tcPr>
            <w:tcW w:w="5422" w:type="dxa"/>
          </w:tcPr>
          <w:p w:rsidR="002E5EB0" w:rsidRDefault="002E5EB0" w:rsidP="004D748C">
            <w:pPr>
              <w:pStyle w:val="Tabletext"/>
              <w:jc w:val="left"/>
              <w:rPr>
                <w:lang w:val="es-ES"/>
              </w:rPr>
            </w:pPr>
            <w:r>
              <w:rPr>
                <w:lang w:val="es-ES"/>
              </w:rPr>
              <w:t>–16 dBm</w:t>
            </w:r>
            <w:r>
              <w:rPr>
                <w:lang w:val="es-ES"/>
              </w:rPr>
              <w:tab/>
            </w:r>
            <w:r>
              <w:rPr>
                <w:lang w:val="es-ES"/>
              </w:rPr>
              <w:tab/>
            </w:r>
            <w:r>
              <w:rPr>
                <w:lang w:val="es-ES"/>
              </w:rPr>
              <w:tab/>
            </w:r>
            <w:r>
              <w:rPr>
                <w:lang w:val="es-ES"/>
              </w:rPr>
              <w:tab/>
              <w:t xml:space="preserve">si </w:t>
            </w:r>
            <w:r>
              <w:rPr>
                <w:i/>
                <w:iCs/>
                <w:lang w:val="es-ES"/>
              </w:rPr>
              <w:t>P</w:t>
            </w:r>
            <w:r>
              <w:rPr>
                <w:lang w:val="es-ES"/>
              </w:rPr>
              <w:t xml:space="preserve"> </w:t>
            </w:r>
            <w:r>
              <w:sym w:font="Symbol" w:char="F0A3"/>
            </w:r>
            <w:r>
              <w:rPr>
                <w:lang w:val="es-ES"/>
              </w:rPr>
              <w:t xml:space="preserve"> 25 W </w:t>
            </w:r>
            <w:r>
              <w:rPr>
                <w:lang w:val="es-ES"/>
              </w:rPr>
              <w:br/>
              <w:t xml:space="preserve">10 log </w:t>
            </w:r>
            <w:r>
              <w:rPr>
                <w:i/>
                <w:iCs/>
                <w:lang w:val="es-ES"/>
              </w:rPr>
              <w:t>P</w:t>
            </w:r>
            <w:r>
              <w:rPr>
                <w:lang w:val="es-ES"/>
              </w:rPr>
              <w:t> – 30</w:t>
            </w:r>
            <w:r>
              <w:rPr>
                <w:lang w:val="es-ES"/>
              </w:rPr>
              <w:tab/>
            </w:r>
            <w:r>
              <w:rPr>
                <w:lang w:val="es-ES"/>
              </w:rPr>
              <w:tab/>
              <w:t xml:space="preserve">si 25 W </w:t>
            </w:r>
            <w:r>
              <w:rPr>
                <w:rFonts w:ascii="Symbol" w:hAnsi="Symbol"/>
              </w:rPr>
              <w:t></w:t>
            </w:r>
            <w:r>
              <w:rPr>
                <w:lang w:val="es-ES"/>
              </w:rPr>
              <w:t xml:space="preserve"> </w:t>
            </w:r>
            <w:r>
              <w:rPr>
                <w:i/>
                <w:iCs/>
                <w:lang w:val="es-ES"/>
              </w:rPr>
              <w:t>P</w:t>
            </w:r>
            <w:r>
              <w:rPr>
                <w:lang w:val="es-ES"/>
              </w:rPr>
              <w:t xml:space="preserve"> </w:t>
            </w:r>
            <w:r>
              <w:rPr>
                <w:rFonts w:ascii="Symbol" w:hAnsi="Symbol"/>
              </w:rPr>
              <w:t></w:t>
            </w:r>
            <w:r>
              <w:rPr>
                <w:lang w:val="es-ES"/>
              </w:rPr>
              <w:t xml:space="preserve"> 1</w:t>
            </w:r>
            <w:r>
              <w:rPr>
                <w:rFonts w:ascii="Tms Rmn" w:hAnsi="Tms Rmn"/>
                <w:sz w:val="12"/>
                <w:lang w:val="es-ES"/>
              </w:rPr>
              <w:t> </w:t>
            </w:r>
            <w:r>
              <w:rPr>
                <w:lang w:val="es-ES"/>
              </w:rPr>
              <w:t>000 W</w:t>
            </w:r>
            <w:r>
              <w:rPr>
                <w:lang w:val="es-ES"/>
              </w:rPr>
              <w:br/>
              <w:t>0 dBm</w:t>
            </w:r>
            <w:r>
              <w:rPr>
                <w:lang w:val="es-ES"/>
              </w:rPr>
              <w:tab/>
            </w:r>
            <w:r>
              <w:rPr>
                <w:lang w:val="es-ES"/>
              </w:rPr>
              <w:tab/>
            </w:r>
            <w:r>
              <w:rPr>
                <w:lang w:val="es-ES"/>
              </w:rPr>
              <w:tab/>
            </w:r>
            <w:r>
              <w:rPr>
                <w:lang w:val="es-ES"/>
              </w:rPr>
              <w:tab/>
              <w:t xml:space="preserve">si </w:t>
            </w:r>
            <w:r>
              <w:rPr>
                <w:i/>
                <w:iCs/>
                <w:lang w:val="es-ES"/>
              </w:rPr>
              <w:t>P</w:t>
            </w:r>
            <w:r>
              <w:rPr>
                <w:lang w:val="es-ES"/>
              </w:rPr>
              <w:t xml:space="preserve"> </w:t>
            </w:r>
            <w:r>
              <w:rPr>
                <w:rFonts w:ascii="Symbol" w:hAnsi="Symbol"/>
              </w:rPr>
              <w:t></w:t>
            </w:r>
            <w:r>
              <w:rPr>
                <w:lang w:val="es-ES"/>
              </w:rPr>
              <w:t xml:space="preserve"> 1</w:t>
            </w:r>
            <w:r>
              <w:rPr>
                <w:rFonts w:ascii="Tms Rmn" w:hAnsi="Tms Rmn"/>
                <w:sz w:val="12"/>
                <w:lang w:val="es-ES"/>
              </w:rPr>
              <w:t> </w:t>
            </w:r>
            <w:r>
              <w:rPr>
                <w:lang w:val="es-ES"/>
              </w:rPr>
              <w:t>000 W</w:t>
            </w:r>
          </w:p>
        </w:tc>
      </w:tr>
      <w:tr w:rsidR="002E5EB0" w:rsidRPr="00DD03A6" w:rsidTr="000C3F64">
        <w:trPr>
          <w:jc w:val="center"/>
        </w:trPr>
        <w:tc>
          <w:tcPr>
            <w:tcW w:w="4218" w:type="dxa"/>
          </w:tcPr>
          <w:p w:rsidR="002E5EB0" w:rsidRDefault="002E5EB0" w:rsidP="004D748C">
            <w:pPr>
              <w:pStyle w:val="TableText0"/>
              <w:rPr>
                <w:lang w:val="es-ES"/>
              </w:rPr>
            </w:pPr>
            <w:r>
              <w:rPr>
                <w:lang w:val="es-ES"/>
              </w:rPr>
              <w:t>Radiodifusión de televisión</w:t>
            </w:r>
            <w:r>
              <w:rPr>
                <w:vertAlign w:val="superscript"/>
                <w:lang w:val="es-ES"/>
              </w:rPr>
              <w:t>(8)</w:t>
            </w:r>
            <w:r>
              <w:rPr>
                <w:lang w:val="es-ES"/>
              </w:rPr>
              <w:br/>
              <w:t>Transmisores en ondas decimétricas</w:t>
            </w:r>
          </w:p>
        </w:tc>
        <w:tc>
          <w:tcPr>
            <w:tcW w:w="5422" w:type="dxa"/>
          </w:tcPr>
          <w:p w:rsidR="002E5EB0" w:rsidRDefault="002E5EB0" w:rsidP="004D748C">
            <w:pPr>
              <w:pStyle w:val="Tabletext"/>
              <w:jc w:val="left"/>
              <w:rPr>
                <w:lang w:val="es-ES"/>
              </w:rPr>
            </w:pPr>
            <w:r>
              <w:rPr>
                <w:lang w:val="es-ES"/>
              </w:rPr>
              <w:t>–16 dBm</w:t>
            </w:r>
            <w:r>
              <w:rPr>
                <w:lang w:val="es-ES"/>
              </w:rPr>
              <w:tab/>
            </w:r>
            <w:r>
              <w:rPr>
                <w:lang w:val="es-ES"/>
              </w:rPr>
              <w:tab/>
            </w:r>
            <w:r>
              <w:rPr>
                <w:lang w:val="es-ES"/>
              </w:rPr>
              <w:tab/>
            </w:r>
            <w:r>
              <w:rPr>
                <w:lang w:val="es-ES"/>
              </w:rPr>
              <w:tab/>
              <w:t xml:space="preserve">si </w:t>
            </w:r>
            <w:r>
              <w:rPr>
                <w:i/>
                <w:iCs/>
                <w:lang w:val="es-ES"/>
              </w:rPr>
              <w:t>P</w:t>
            </w:r>
            <w:r>
              <w:rPr>
                <w:lang w:val="es-ES"/>
              </w:rPr>
              <w:t xml:space="preserve"> </w:t>
            </w:r>
            <w:r>
              <w:rPr>
                <w:rFonts w:ascii="Symbol" w:hAnsi="Symbol"/>
              </w:rPr>
              <w:t></w:t>
            </w:r>
            <w:r>
              <w:rPr>
                <w:lang w:val="es-ES"/>
              </w:rPr>
              <w:t xml:space="preserve"> 25 W</w:t>
            </w:r>
            <w:r>
              <w:rPr>
                <w:lang w:val="es-ES"/>
              </w:rPr>
              <w:br/>
              <w:t xml:space="preserve">10 log </w:t>
            </w:r>
            <w:r>
              <w:rPr>
                <w:i/>
                <w:iCs/>
                <w:lang w:val="es-ES"/>
              </w:rPr>
              <w:t>P</w:t>
            </w:r>
            <w:r>
              <w:rPr>
                <w:lang w:val="es-ES"/>
              </w:rPr>
              <w:t> – 30</w:t>
            </w:r>
            <w:r>
              <w:rPr>
                <w:lang w:val="es-ES"/>
              </w:rPr>
              <w:tab/>
            </w:r>
            <w:r>
              <w:rPr>
                <w:lang w:val="es-ES"/>
              </w:rPr>
              <w:tab/>
              <w:t xml:space="preserve">si 25 W </w:t>
            </w:r>
            <w:r>
              <w:rPr>
                <w:rFonts w:ascii="Symbol" w:hAnsi="Symbol"/>
              </w:rPr>
              <w:t></w:t>
            </w:r>
            <w:r>
              <w:rPr>
                <w:lang w:val="es-ES"/>
              </w:rPr>
              <w:t xml:space="preserve"> </w:t>
            </w:r>
            <w:r>
              <w:rPr>
                <w:i/>
                <w:iCs/>
                <w:lang w:val="es-ES"/>
              </w:rPr>
              <w:t>P</w:t>
            </w:r>
            <w:r>
              <w:rPr>
                <w:lang w:val="es-ES"/>
              </w:rPr>
              <w:t xml:space="preserve"> </w:t>
            </w:r>
            <w:r>
              <w:rPr>
                <w:rFonts w:ascii="Symbol" w:hAnsi="Symbol"/>
              </w:rPr>
              <w:t></w:t>
            </w:r>
            <w:r>
              <w:rPr>
                <w:lang w:val="es-ES"/>
              </w:rPr>
              <w:t xml:space="preserve"> 12</w:t>
            </w:r>
            <w:r>
              <w:rPr>
                <w:rFonts w:ascii="Tms Rmn" w:hAnsi="Tms Rmn"/>
                <w:sz w:val="12"/>
                <w:lang w:val="es-ES"/>
              </w:rPr>
              <w:t> </w:t>
            </w:r>
            <w:r>
              <w:rPr>
                <w:lang w:val="es-ES"/>
              </w:rPr>
              <w:t>000 W</w:t>
            </w:r>
            <w:r>
              <w:rPr>
                <w:lang w:val="es-ES"/>
              </w:rPr>
              <w:br/>
              <w:t>10,8 dBm</w:t>
            </w:r>
            <w:r>
              <w:rPr>
                <w:lang w:val="es-ES"/>
              </w:rPr>
              <w:tab/>
            </w:r>
            <w:r>
              <w:rPr>
                <w:lang w:val="es-ES"/>
              </w:rPr>
              <w:tab/>
            </w:r>
            <w:r>
              <w:rPr>
                <w:lang w:val="es-ES"/>
              </w:rPr>
              <w:tab/>
              <w:t xml:space="preserve">si </w:t>
            </w:r>
            <w:r>
              <w:rPr>
                <w:i/>
                <w:iCs/>
                <w:lang w:val="es-ES"/>
              </w:rPr>
              <w:t>P</w:t>
            </w:r>
            <w:r>
              <w:rPr>
                <w:lang w:val="es-ES"/>
              </w:rPr>
              <w:t xml:space="preserve"> </w:t>
            </w:r>
            <w:r>
              <w:rPr>
                <w:rFonts w:ascii="Symbol" w:hAnsi="Symbol"/>
                <w:lang w:val="es-ES"/>
              </w:rPr>
              <w:t></w:t>
            </w:r>
            <w:r>
              <w:rPr>
                <w:lang w:val="es-ES"/>
              </w:rPr>
              <w:t xml:space="preserve"> 12</w:t>
            </w:r>
            <w:r>
              <w:rPr>
                <w:rFonts w:ascii="Tms Rmn" w:hAnsi="Tms Rmn"/>
                <w:sz w:val="12"/>
                <w:lang w:val="es-ES"/>
              </w:rPr>
              <w:t> </w:t>
            </w:r>
            <w:r>
              <w:rPr>
                <w:lang w:val="es-ES"/>
              </w:rPr>
              <w:t>000 W</w:t>
            </w:r>
          </w:p>
        </w:tc>
      </w:tr>
      <w:tr w:rsidR="002E5EB0" w:rsidRPr="00DD03A6" w:rsidTr="000C3F64">
        <w:trPr>
          <w:jc w:val="center"/>
        </w:trPr>
        <w:tc>
          <w:tcPr>
            <w:tcW w:w="4218" w:type="dxa"/>
          </w:tcPr>
          <w:p w:rsidR="002E5EB0" w:rsidRDefault="002E5EB0" w:rsidP="004D748C">
            <w:pPr>
              <w:pStyle w:val="TableText0"/>
              <w:rPr>
                <w:lang w:val="es-ES"/>
              </w:rPr>
            </w:pPr>
            <w:r>
              <w:rPr>
                <w:lang w:val="es-ES"/>
              </w:rPr>
              <w:t>Radiodifusión en MF</w:t>
            </w:r>
          </w:p>
        </w:tc>
        <w:tc>
          <w:tcPr>
            <w:tcW w:w="5422" w:type="dxa"/>
          </w:tcPr>
          <w:p w:rsidR="002E5EB0" w:rsidRDefault="002E5EB0" w:rsidP="004D748C">
            <w:pPr>
              <w:pStyle w:val="Tabletext"/>
              <w:jc w:val="left"/>
              <w:rPr>
                <w:lang w:val="es-ES"/>
              </w:rPr>
            </w:pPr>
            <w:r>
              <w:rPr>
                <w:lang w:val="es-ES"/>
              </w:rPr>
              <w:t>–16 dBm</w:t>
            </w:r>
            <w:r>
              <w:rPr>
                <w:lang w:val="es-ES"/>
              </w:rPr>
              <w:tab/>
            </w:r>
            <w:r>
              <w:rPr>
                <w:lang w:val="es-ES"/>
              </w:rPr>
              <w:tab/>
            </w:r>
            <w:r>
              <w:rPr>
                <w:lang w:val="es-ES"/>
              </w:rPr>
              <w:tab/>
            </w:r>
            <w:r>
              <w:rPr>
                <w:lang w:val="es-ES"/>
              </w:rPr>
              <w:tab/>
              <w:t xml:space="preserve">si </w:t>
            </w:r>
            <w:r>
              <w:rPr>
                <w:i/>
                <w:iCs/>
                <w:lang w:val="es-ES"/>
              </w:rPr>
              <w:t>P</w:t>
            </w:r>
            <w:r>
              <w:rPr>
                <w:lang w:val="es-ES"/>
              </w:rPr>
              <w:t xml:space="preserve"> </w:t>
            </w:r>
            <w:r>
              <w:rPr>
                <w:rFonts w:ascii="Symbol" w:hAnsi="Symbol"/>
              </w:rPr>
              <w:t></w:t>
            </w:r>
            <w:r>
              <w:rPr>
                <w:lang w:val="es-ES"/>
              </w:rPr>
              <w:t xml:space="preserve"> 250 W</w:t>
            </w:r>
            <w:r>
              <w:rPr>
                <w:lang w:val="es-ES"/>
              </w:rPr>
              <w:br/>
              <w:t xml:space="preserve">10 log </w:t>
            </w:r>
            <w:r>
              <w:rPr>
                <w:i/>
                <w:iCs/>
                <w:lang w:val="es-ES"/>
              </w:rPr>
              <w:t>P</w:t>
            </w:r>
            <w:r>
              <w:rPr>
                <w:lang w:val="es-ES"/>
              </w:rPr>
              <w:t> – 40</w:t>
            </w:r>
            <w:r>
              <w:rPr>
                <w:lang w:val="es-ES"/>
              </w:rPr>
              <w:tab/>
            </w:r>
            <w:r>
              <w:rPr>
                <w:lang w:val="es-ES"/>
              </w:rPr>
              <w:tab/>
              <w:t xml:space="preserve">si 250 W </w:t>
            </w:r>
            <w:r>
              <w:rPr>
                <w:rFonts w:ascii="Symbol" w:hAnsi="Symbol"/>
                <w:lang w:val="es-ES"/>
              </w:rPr>
              <w:t></w:t>
            </w:r>
            <w:r>
              <w:rPr>
                <w:lang w:val="es-ES"/>
              </w:rPr>
              <w:t xml:space="preserve"> </w:t>
            </w:r>
            <w:r>
              <w:rPr>
                <w:i/>
                <w:iCs/>
                <w:lang w:val="es-ES"/>
              </w:rPr>
              <w:t>P</w:t>
            </w:r>
            <w:r>
              <w:rPr>
                <w:lang w:val="es-ES"/>
              </w:rPr>
              <w:t xml:space="preserve"> </w:t>
            </w:r>
            <w:r>
              <w:rPr>
                <w:rFonts w:ascii="Symbol" w:hAnsi="Symbol"/>
              </w:rPr>
              <w:t></w:t>
            </w:r>
            <w:r>
              <w:rPr>
                <w:lang w:val="es-ES"/>
              </w:rPr>
              <w:t xml:space="preserve"> 10</w:t>
            </w:r>
            <w:r>
              <w:rPr>
                <w:rFonts w:ascii="Tms Rmn" w:hAnsi="Tms Rmn"/>
                <w:sz w:val="12"/>
                <w:lang w:val="es-ES"/>
              </w:rPr>
              <w:t> </w:t>
            </w:r>
            <w:r>
              <w:rPr>
                <w:lang w:val="es-ES"/>
              </w:rPr>
              <w:t>000 W</w:t>
            </w:r>
            <w:r>
              <w:rPr>
                <w:lang w:val="es-ES"/>
              </w:rPr>
              <w:br/>
              <w:t>0 dBm</w:t>
            </w:r>
            <w:r>
              <w:rPr>
                <w:lang w:val="es-ES"/>
              </w:rPr>
              <w:tab/>
            </w:r>
            <w:r>
              <w:rPr>
                <w:lang w:val="es-ES"/>
              </w:rPr>
              <w:tab/>
            </w:r>
            <w:r>
              <w:rPr>
                <w:lang w:val="es-ES"/>
              </w:rPr>
              <w:tab/>
            </w:r>
            <w:r>
              <w:rPr>
                <w:lang w:val="es-ES"/>
              </w:rPr>
              <w:tab/>
              <w:t xml:space="preserve">si </w:t>
            </w:r>
            <w:r>
              <w:rPr>
                <w:i/>
                <w:iCs/>
                <w:lang w:val="es-ES"/>
              </w:rPr>
              <w:t>P</w:t>
            </w:r>
            <w:r>
              <w:rPr>
                <w:lang w:val="es-ES"/>
              </w:rPr>
              <w:t xml:space="preserve"> </w:t>
            </w:r>
            <w:r>
              <w:rPr>
                <w:rFonts w:ascii="Symbol" w:hAnsi="Symbol"/>
              </w:rPr>
              <w:t></w:t>
            </w:r>
            <w:r>
              <w:rPr>
                <w:lang w:val="es-ES"/>
              </w:rPr>
              <w:t xml:space="preserve"> 10</w:t>
            </w:r>
            <w:r>
              <w:rPr>
                <w:rFonts w:ascii="Tms Rmn" w:hAnsi="Tms Rmn"/>
                <w:sz w:val="12"/>
                <w:lang w:val="es-ES"/>
              </w:rPr>
              <w:t> </w:t>
            </w:r>
            <w:r>
              <w:rPr>
                <w:lang w:val="es-ES"/>
              </w:rPr>
              <w:t>000 W</w:t>
            </w:r>
          </w:p>
        </w:tc>
      </w:tr>
      <w:tr w:rsidR="002E5EB0" w:rsidTr="000C3F64">
        <w:trPr>
          <w:jc w:val="center"/>
        </w:trPr>
        <w:tc>
          <w:tcPr>
            <w:tcW w:w="4218" w:type="dxa"/>
          </w:tcPr>
          <w:p w:rsidR="002E5EB0" w:rsidRDefault="002E5EB0" w:rsidP="004D748C">
            <w:pPr>
              <w:pStyle w:val="TableText0"/>
              <w:rPr>
                <w:lang w:val="es-ES"/>
              </w:rPr>
            </w:pPr>
            <w:r>
              <w:rPr>
                <w:lang w:val="es-ES"/>
              </w:rPr>
              <w:t>Radiodifusión en ondas hectométricas/ decamétricas</w:t>
            </w:r>
          </w:p>
        </w:tc>
        <w:tc>
          <w:tcPr>
            <w:tcW w:w="5422" w:type="dxa"/>
          </w:tcPr>
          <w:p w:rsidR="002E5EB0" w:rsidRDefault="002E5EB0" w:rsidP="004D748C">
            <w:pPr>
              <w:pStyle w:val="Tabletext"/>
              <w:jc w:val="left"/>
            </w:pPr>
            <w:r>
              <w:t xml:space="preserve">10 log </w:t>
            </w:r>
            <w:r>
              <w:rPr>
                <w:i/>
                <w:iCs/>
              </w:rPr>
              <w:t>P</w:t>
            </w:r>
            <w:r>
              <w:t> – 20</w:t>
            </w:r>
            <w:r>
              <w:tab/>
            </w:r>
            <w:r>
              <w:tab/>
              <w:t xml:space="preserve">si </w:t>
            </w:r>
            <w:r>
              <w:rPr>
                <w:i/>
                <w:iCs/>
              </w:rPr>
              <w:t>P</w:t>
            </w:r>
            <w:r>
              <w:t xml:space="preserve"> </w:t>
            </w:r>
            <w:r>
              <w:rPr>
                <w:rFonts w:ascii="Symbol" w:hAnsi="Symbol"/>
              </w:rPr>
              <w:t></w:t>
            </w:r>
            <w:r>
              <w:t xml:space="preserve"> 5</w:t>
            </w:r>
            <w:r>
              <w:rPr>
                <w:rFonts w:ascii="Tms Rmn" w:hAnsi="Tms Rmn"/>
                <w:sz w:val="12"/>
              </w:rPr>
              <w:t> </w:t>
            </w:r>
            <w:r>
              <w:t>000 W</w:t>
            </w:r>
            <w:r>
              <w:br/>
              <w:t>17 dBm</w:t>
            </w:r>
            <w:r>
              <w:tab/>
            </w:r>
            <w:r>
              <w:tab/>
            </w:r>
            <w:r>
              <w:tab/>
            </w:r>
            <w:r>
              <w:tab/>
              <w:t xml:space="preserve">si </w:t>
            </w:r>
            <w:r>
              <w:rPr>
                <w:i/>
                <w:iCs/>
              </w:rPr>
              <w:t>P</w:t>
            </w:r>
            <w:r>
              <w:t xml:space="preserve"> </w:t>
            </w:r>
            <w:r>
              <w:rPr>
                <w:rFonts w:ascii="Symbol" w:hAnsi="Symbol"/>
              </w:rPr>
              <w:t></w:t>
            </w:r>
            <w:r>
              <w:t xml:space="preserve"> 5</w:t>
            </w:r>
            <w:r>
              <w:rPr>
                <w:rFonts w:ascii="Tms Rmn" w:hAnsi="Tms Rmn"/>
                <w:sz w:val="12"/>
              </w:rPr>
              <w:t> </w:t>
            </w:r>
            <w:r>
              <w:t>000 W</w:t>
            </w:r>
          </w:p>
        </w:tc>
      </w:tr>
      <w:tr w:rsidR="002E5EB0" w:rsidTr="000C3F64">
        <w:trPr>
          <w:jc w:val="center"/>
        </w:trPr>
        <w:tc>
          <w:tcPr>
            <w:tcW w:w="4218" w:type="dxa"/>
          </w:tcPr>
          <w:p w:rsidR="002E5EB0" w:rsidRDefault="002E5EB0" w:rsidP="004D748C">
            <w:pPr>
              <w:pStyle w:val="TableText0"/>
              <w:rPr>
                <w:lang w:val="es-ES"/>
              </w:rPr>
            </w:pPr>
            <w:r>
              <w:rPr>
                <w:lang w:val="es-ES"/>
              </w:rPr>
              <w:t>BLU para estaciones móviles</w:t>
            </w:r>
            <w:r>
              <w:rPr>
                <w:vertAlign w:val="superscript"/>
                <w:lang w:val="es-ES"/>
              </w:rPr>
              <w:t>(9)</w:t>
            </w:r>
          </w:p>
        </w:tc>
        <w:tc>
          <w:tcPr>
            <w:tcW w:w="5422" w:type="dxa"/>
          </w:tcPr>
          <w:p w:rsidR="002E5EB0" w:rsidRDefault="002E5EB0" w:rsidP="004D748C">
            <w:pPr>
              <w:pStyle w:val="Tabletext"/>
              <w:jc w:val="left"/>
            </w:pPr>
            <w:r>
              <w:t xml:space="preserve">10 log </w:t>
            </w:r>
            <w:r>
              <w:rPr>
                <w:i/>
                <w:iCs/>
              </w:rPr>
              <w:t>PEP</w:t>
            </w:r>
            <w:r>
              <w:t> – 13</w:t>
            </w:r>
          </w:p>
        </w:tc>
      </w:tr>
      <w:tr w:rsidR="002E5EB0" w:rsidTr="000C3F64">
        <w:trPr>
          <w:jc w:val="center"/>
        </w:trPr>
        <w:tc>
          <w:tcPr>
            <w:tcW w:w="4218" w:type="dxa"/>
          </w:tcPr>
          <w:p w:rsidR="002E5EB0" w:rsidRDefault="002E5EB0" w:rsidP="004D748C">
            <w:pPr>
              <w:pStyle w:val="TableText0"/>
              <w:rPr>
                <w:lang w:val="es-ES"/>
              </w:rPr>
            </w:pPr>
            <w:r>
              <w:rPr>
                <w:lang w:val="es-ES"/>
              </w:rPr>
              <w:t>Servicios de radioaficionados que funcionan por debajo de 30 MHz (incluidos aficionados en BLU)</w:t>
            </w:r>
            <w:r>
              <w:rPr>
                <w:vertAlign w:val="superscript"/>
                <w:lang w:val="es-ES"/>
              </w:rPr>
              <w:t>(9)</w:t>
            </w:r>
          </w:p>
        </w:tc>
        <w:tc>
          <w:tcPr>
            <w:tcW w:w="5422" w:type="dxa"/>
          </w:tcPr>
          <w:p w:rsidR="002E5EB0" w:rsidRDefault="002E5EB0" w:rsidP="004D748C">
            <w:pPr>
              <w:pStyle w:val="Tabletext"/>
              <w:jc w:val="left"/>
              <w:rPr>
                <w:lang w:val="es-ES"/>
              </w:rPr>
            </w:pPr>
            <w:r>
              <w:rPr>
                <w:lang w:val="es-ES"/>
              </w:rPr>
              <w:t>–13 dBm</w:t>
            </w:r>
            <w:r>
              <w:rPr>
                <w:lang w:val="es-ES"/>
              </w:rPr>
              <w:tab/>
            </w:r>
            <w:r>
              <w:rPr>
                <w:lang w:val="es-ES"/>
              </w:rPr>
              <w:tab/>
            </w:r>
            <w:r>
              <w:rPr>
                <w:lang w:val="es-ES"/>
              </w:rPr>
              <w:tab/>
            </w:r>
            <w:r>
              <w:rPr>
                <w:lang w:val="es-ES"/>
              </w:rPr>
              <w:tab/>
              <w:t xml:space="preserve">si </w:t>
            </w:r>
            <w:r>
              <w:rPr>
                <w:i/>
                <w:iCs/>
                <w:lang w:val="es-ES"/>
              </w:rPr>
              <w:t>PEP</w:t>
            </w:r>
            <w:r>
              <w:rPr>
                <w:lang w:val="es-ES"/>
              </w:rPr>
              <w:t xml:space="preserve"> </w:t>
            </w:r>
            <w:r>
              <w:rPr>
                <w:rFonts w:ascii="Symbol" w:hAnsi="Symbol"/>
              </w:rPr>
              <w:t></w:t>
            </w:r>
            <w:r>
              <w:rPr>
                <w:lang w:val="es-ES"/>
              </w:rPr>
              <w:t xml:space="preserve"> 5 W</w:t>
            </w:r>
            <w:r>
              <w:rPr>
                <w:lang w:val="es-ES"/>
              </w:rPr>
              <w:br/>
              <w:t xml:space="preserve">10 log </w:t>
            </w:r>
            <w:r>
              <w:rPr>
                <w:i/>
                <w:iCs/>
                <w:lang w:val="es-ES"/>
              </w:rPr>
              <w:t>PEP</w:t>
            </w:r>
            <w:r>
              <w:rPr>
                <w:lang w:val="es-ES"/>
              </w:rPr>
              <w:t> – 20</w:t>
            </w:r>
            <w:r>
              <w:rPr>
                <w:lang w:val="es-ES"/>
              </w:rPr>
              <w:tab/>
              <w:t xml:space="preserve">si </w:t>
            </w:r>
            <w:r>
              <w:rPr>
                <w:i/>
                <w:iCs/>
                <w:lang w:val="es-ES"/>
              </w:rPr>
              <w:t>PEP</w:t>
            </w:r>
            <w:r>
              <w:rPr>
                <w:lang w:val="es-ES"/>
              </w:rPr>
              <w:t xml:space="preserve"> </w:t>
            </w:r>
            <w:r>
              <w:rPr>
                <w:rFonts w:ascii="Symbol" w:hAnsi="Symbol"/>
              </w:rPr>
              <w:t></w:t>
            </w:r>
            <w:r>
              <w:rPr>
                <w:lang w:val="es-ES"/>
              </w:rPr>
              <w:t xml:space="preserve"> 5 W</w:t>
            </w:r>
          </w:p>
        </w:tc>
      </w:tr>
      <w:tr w:rsidR="002E5EB0" w:rsidRPr="00DD03A6" w:rsidTr="000C3F64">
        <w:trPr>
          <w:jc w:val="center"/>
        </w:trPr>
        <w:tc>
          <w:tcPr>
            <w:tcW w:w="4218" w:type="dxa"/>
          </w:tcPr>
          <w:p w:rsidR="002E5EB0" w:rsidRDefault="002E5EB0" w:rsidP="004D748C">
            <w:pPr>
              <w:pStyle w:val="TableText0"/>
              <w:rPr>
                <w:lang w:val="es-ES"/>
              </w:rPr>
            </w:pPr>
            <w:r>
              <w:rPr>
                <w:lang w:val="es-ES"/>
              </w:rPr>
              <w:t>Servicios que funcionan por debajo de 30 MHz</w:t>
            </w:r>
            <w:r w:rsidR="004D748C">
              <w:rPr>
                <w:lang w:val="es-ES"/>
              </w:rPr>
              <w:t xml:space="preserve"> salvo los espaciales, de radio</w:t>
            </w:r>
            <w:r>
              <w:rPr>
                <w:lang w:val="es-ES"/>
              </w:rPr>
              <w:t>determinación, de radiodifusión, los que utilizan la BLU desde estaciones móviles y de aficionados</w:t>
            </w:r>
            <w:r>
              <w:rPr>
                <w:vertAlign w:val="superscript"/>
                <w:lang w:val="es-ES"/>
              </w:rPr>
              <w:t>(9)</w:t>
            </w:r>
          </w:p>
        </w:tc>
        <w:tc>
          <w:tcPr>
            <w:tcW w:w="5422" w:type="dxa"/>
          </w:tcPr>
          <w:p w:rsidR="002E5EB0" w:rsidRPr="004D748C" w:rsidRDefault="002E5EB0" w:rsidP="004D748C">
            <w:pPr>
              <w:pStyle w:val="Tabletext"/>
              <w:jc w:val="left"/>
              <w:rPr>
                <w:lang w:val="es-ES_tradnl"/>
              </w:rPr>
            </w:pPr>
            <w:r w:rsidRPr="004D748C">
              <w:rPr>
                <w:lang w:val="es-ES_tradnl"/>
              </w:rPr>
              <w:t>–13 dBm</w:t>
            </w:r>
            <w:r w:rsidRPr="004D748C">
              <w:rPr>
                <w:lang w:val="es-ES_tradnl"/>
              </w:rPr>
              <w:tab/>
            </w:r>
            <w:r w:rsidRPr="004D748C">
              <w:rPr>
                <w:lang w:val="es-ES_tradnl"/>
              </w:rPr>
              <w:tab/>
            </w:r>
            <w:r w:rsidRPr="004D748C">
              <w:rPr>
                <w:lang w:val="es-ES_tradnl"/>
              </w:rPr>
              <w:tab/>
            </w:r>
            <w:r w:rsidRPr="004D748C">
              <w:rPr>
                <w:lang w:val="es-ES_tradnl"/>
              </w:rPr>
              <w:tab/>
              <w:t xml:space="preserve">si </w:t>
            </w:r>
            <w:r w:rsidRPr="004D748C">
              <w:rPr>
                <w:i/>
                <w:iCs/>
                <w:lang w:val="es-ES_tradnl"/>
              </w:rPr>
              <w:t>X</w:t>
            </w:r>
            <w:r w:rsidRPr="004D748C">
              <w:rPr>
                <w:lang w:val="es-ES_tradnl"/>
              </w:rPr>
              <w:t xml:space="preserve"> </w:t>
            </w:r>
            <w:r>
              <w:rPr>
                <w:rFonts w:ascii="Symbol" w:hAnsi="Symbol"/>
              </w:rPr>
              <w:t></w:t>
            </w:r>
            <w:r w:rsidRPr="004D748C">
              <w:rPr>
                <w:sz w:val="18"/>
                <w:lang w:val="es-ES_tradnl"/>
              </w:rPr>
              <w:t xml:space="preserve"> </w:t>
            </w:r>
            <w:r w:rsidRPr="004D748C">
              <w:rPr>
                <w:lang w:val="es-ES_tradnl"/>
              </w:rPr>
              <w:t xml:space="preserve"> 50 W</w:t>
            </w:r>
            <w:r w:rsidRPr="004D748C">
              <w:rPr>
                <w:lang w:val="es-ES_tradnl"/>
              </w:rPr>
              <w:br/>
              <w:t xml:space="preserve">10 log </w:t>
            </w:r>
            <w:r w:rsidRPr="004D748C">
              <w:rPr>
                <w:i/>
                <w:iCs/>
                <w:lang w:val="es-ES_tradnl"/>
              </w:rPr>
              <w:t>X</w:t>
            </w:r>
            <w:r w:rsidRPr="004D748C">
              <w:rPr>
                <w:lang w:val="es-ES_tradnl"/>
              </w:rPr>
              <w:t> – 30</w:t>
            </w:r>
            <w:r w:rsidRPr="004D748C">
              <w:rPr>
                <w:lang w:val="es-ES_tradnl"/>
              </w:rPr>
              <w:tab/>
            </w:r>
            <w:r w:rsidRPr="004D748C">
              <w:rPr>
                <w:lang w:val="es-ES_tradnl"/>
              </w:rPr>
              <w:tab/>
              <w:t xml:space="preserve">si </w:t>
            </w:r>
            <w:r w:rsidRPr="004D748C">
              <w:rPr>
                <w:i/>
                <w:iCs/>
                <w:lang w:val="es-ES_tradnl"/>
              </w:rPr>
              <w:t>X</w:t>
            </w:r>
            <w:r w:rsidRPr="004D748C">
              <w:rPr>
                <w:lang w:val="es-ES_tradnl"/>
              </w:rPr>
              <w:t xml:space="preserve"> </w:t>
            </w:r>
            <w:r>
              <w:rPr>
                <w:rFonts w:ascii="Symbol" w:hAnsi="Symbol"/>
              </w:rPr>
              <w:t></w:t>
            </w:r>
            <w:r w:rsidRPr="004D748C">
              <w:rPr>
                <w:lang w:val="es-ES_tradnl"/>
              </w:rPr>
              <w:t xml:space="preserve"> 50 W</w:t>
            </w:r>
            <w:r w:rsidRPr="004D748C">
              <w:rPr>
                <w:lang w:val="es-ES_tradnl"/>
              </w:rPr>
              <w:br/>
              <w:t>o:</w:t>
            </w:r>
          </w:p>
          <w:p w:rsidR="002E5EB0" w:rsidRDefault="002E5EB0" w:rsidP="004D748C">
            <w:pPr>
              <w:pStyle w:val="Tabletext"/>
              <w:tabs>
                <w:tab w:val="clear" w:pos="1701"/>
                <w:tab w:val="left" w:pos="1703"/>
              </w:tabs>
              <w:jc w:val="left"/>
              <w:rPr>
                <w:lang w:val="es-ES"/>
              </w:rPr>
            </w:pPr>
            <w:r w:rsidRPr="004D748C">
              <w:rPr>
                <w:i/>
                <w:lang w:val="es-ES_tradnl"/>
              </w:rPr>
              <w:tab/>
            </w:r>
            <w:r w:rsidR="004D748C" w:rsidRPr="004D748C">
              <w:rPr>
                <w:i/>
                <w:lang w:val="es-ES_tradnl"/>
              </w:rPr>
              <w:tab/>
            </w:r>
            <w:r w:rsidR="004D748C" w:rsidRPr="004D748C">
              <w:rPr>
                <w:i/>
                <w:lang w:val="es-ES_tradnl"/>
              </w:rPr>
              <w:tab/>
            </w:r>
            <w:r w:rsidR="004D748C" w:rsidRPr="004D748C">
              <w:rPr>
                <w:i/>
                <w:lang w:val="es-ES_tradnl"/>
              </w:rPr>
              <w:tab/>
            </w:r>
            <w:r w:rsidR="004D748C" w:rsidRPr="004D748C">
              <w:rPr>
                <w:i/>
                <w:lang w:val="es-ES_tradnl"/>
              </w:rPr>
              <w:tab/>
            </w:r>
            <w:r w:rsidR="004D748C" w:rsidRPr="004D748C">
              <w:rPr>
                <w:i/>
                <w:lang w:val="es-ES_tradnl"/>
              </w:rPr>
              <w:tab/>
            </w:r>
            <w:r>
              <w:rPr>
                <w:i/>
                <w:lang w:val="es-ES"/>
              </w:rPr>
              <w:t>X</w:t>
            </w:r>
            <w:r>
              <w:rPr>
                <w:lang w:val="es-ES"/>
              </w:rPr>
              <w:t xml:space="preserve">  </w:t>
            </w:r>
            <w:r>
              <w:rPr>
                <w:rFonts w:ascii="Symbol" w:hAnsi="Symbol"/>
              </w:rPr>
              <w:t></w:t>
            </w:r>
            <w:r>
              <w:rPr>
                <w:lang w:val="es-ES"/>
              </w:rPr>
              <w:t xml:space="preserve"> </w:t>
            </w:r>
            <w:r>
              <w:rPr>
                <w:i/>
                <w:lang w:val="es-ES"/>
              </w:rPr>
              <w:t>PEP</w:t>
            </w:r>
            <w:r>
              <w:rPr>
                <w:lang w:val="es-ES"/>
              </w:rPr>
              <w:t xml:space="preserve"> para modulación en BLU</w:t>
            </w:r>
            <w:r>
              <w:rPr>
                <w:lang w:val="es-ES"/>
              </w:rPr>
              <w:br/>
            </w:r>
            <w:r>
              <w:rPr>
                <w:lang w:val="es-ES"/>
              </w:rPr>
              <w:tab/>
            </w:r>
            <w:r w:rsidR="004D748C">
              <w:rPr>
                <w:lang w:val="es-ES"/>
              </w:rPr>
              <w:tab/>
            </w:r>
            <w:r w:rsidR="004D748C">
              <w:rPr>
                <w:lang w:val="es-ES"/>
              </w:rPr>
              <w:tab/>
            </w:r>
            <w:r w:rsidR="004D748C">
              <w:rPr>
                <w:lang w:val="es-ES"/>
              </w:rPr>
              <w:tab/>
            </w:r>
            <w:r w:rsidR="004D748C">
              <w:rPr>
                <w:lang w:val="es-ES"/>
              </w:rPr>
              <w:tab/>
            </w:r>
            <w:r w:rsidR="004D748C">
              <w:rPr>
                <w:lang w:val="es-ES"/>
              </w:rPr>
              <w:tab/>
            </w:r>
            <w:r>
              <w:rPr>
                <w:i/>
                <w:lang w:val="es-ES"/>
              </w:rPr>
              <w:t>X</w:t>
            </w:r>
            <w:r>
              <w:rPr>
                <w:lang w:val="es-ES"/>
              </w:rPr>
              <w:t xml:space="preserve">  </w:t>
            </w:r>
            <w:r>
              <w:rPr>
                <w:rFonts w:ascii="Symbol" w:hAnsi="Symbol"/>
              </w:rPr>
              <w:t></w:t>
            </w:r>
            <w:r>
              <w:rPr>
                <w:lang w:val="es-ES"/>
              </w:rPr>
              <w:t xml:space="preserve"> </w:t>
            </w:r>
            <w:r>
              <w:rPr>
                <w:i/>
                <w:lang w:val="es-ES"/>
              </w:rPr>
              <w:t>P</w:t>
            </w:r>
            <w:r>
              <w:rPr>
                <w:lang w:val="es-ES"/>
              </w:rPr>
              <w:t xml:space="preserve"> para otros tipos de modulación</w:t>
            </w:r>
          </w:p>
        </w:tc>
      </w:tr>
      <w:tr w:rsidR="002E5EB0" w:rsidTr="000C3F64">
        <w:trPr>
          <w:jc w:val="center"/>
        </w:trPr>
        <w:tc>
          <w:tcPr>
            <w:tcW w:w="4218" w:type="dxa"/>
          </w:tcPr>
          <w:p w:rsidR="002E5EB0" w:rsidRDefault="002E5EB0" w:rsidP="004D748C">
            <w:pPr>
              <w:pStyle w:val="TableText0"/>
              <w:rPr>
                <w:lang w:val="es-ES"/>
              </w:rPr>
            </w:pPr>
            <w:r>
              <w:rPr>
                <w:lang w:val="es-ES"/>
              </w:rPr>
              <w:t>Equipos radioeléctricos de baja potencia</w:t>
            </w:r>
            <w:r>
              <w:rPr>
                <w:vertAlign w:val="superscript"/>
                <w:lang w:val="es-ES"/>
              </w:rPr>
              <w:t>(10)</w:t>
            </w:r>
          </w:p>
        </w:tc>
        <w:tc>
          <w:tcPr>
            <w:tcW w:w="5422" w:type="dxa"/>
          </w:tcPr>
          <w:p w:rsidR="002E5EB0" w:rsidRDefault="002E5EB0" w:rsidP="004D748C">
            <w:pPr>
              <w:pStyle w:val="Tabletext"/>
              <w:jc w:val="left"/>
            </w:pPr>
            <w:r>
              <w:t>–26 dBm</w:t>
            </w:r>
            <w:r>
              <w:tab/>
            </w:r>
            <w:r>
              <w:tab/>
            </w:r>
            <w:r>
              <w:tab/>
            </w:r>
            <w:r>
              <w:tab/>
              <w:t xml:space="preserve">si </w:t>
            </w:r>
            <w:r>
              <w:rPr>
                <w:i/>
              </w:rPr>
              <w:t>P</w:t>
            </w:r>
            <w:r>
              <w:t xml:space="preserve"> </w:t>
            </w:r>
            <w:r>
              <w:rPr>
                <w:rFonts w:ascii="Symbol" w:hAnsi="Symbol"/>
              </w:rPr>
              <w:t></w:t>
            </w:r>
            <w:r>
              <w:t xml:space="preserve"> 0,025 W</w:t>
            </w:r>
            <w:r>
              <w:br/>
              <w:t xml:space="preserve">10 log </w:t>
            </w:r>
            <w:r>
              <w:rPr>
                <w:i/>
                <w:iCs/>
              </w:rPr>
              <w:t>P</w:t>
            </w:r>
            <w:r>
              <w:t> – 10</w:t>
            </w:r>
            <w:r>
              <w:tab/>
            </w:r>
            <w:r>
              <w:tab/>
              <w:t xml:space="preserve">si 0,025 W </w:t>
            </w:r>
            <w:r>
              <w:rPr>
                <w:rFonts w:ascii="Symbol" w:hAnsi="Symbol"/>
              </w:rPr>
              <w:t></w:t>
            </w:r>
            <w:r>
              <w:t xml:space="preserve"> </w:t>
            </w:r>
            <w:r>
              <w:rPr>
                <w:i/>
              </w:rPr>
              <w:t>P</w:t>
            </w:r>
            <w:r>
              <w:t xml:space="preserve"> </w:t>
            </w:r>
            <w:r>
              <w:rPr>
                <w:rFonts w:ascii="Symbol" w:hAnsi="Symbol"/>
              </w:rPr>
              <w:t></w:t>
            </w:r>
            <w:r>
              <w:t xml:space="preserve"> 0,100 W</w:t>
            </w:r>
          </w:p>
        </w:tc>
      </w:tr>
      <w:tr w:rsidR="002E5EB0" w:rsidTr="000C3F64">
        <w:trPr>
          <w:jc w:val="center"/>
        </w:trPr>
        <w:tc>
          <w:tcPr>
            <w:tcW w:w="4218" w:type="dxa"/>
            <w:tcBorders>
              <w:bottom w:val="single" w:sz="2" w:space="0" w:color="auto"/>
            </w:tcBorders>
          </w:tcPr>
          <w:p w:rsidR="002E5EB0" w:rsidRDefault="002E5EB0" w:rsidP="004D748C">
            <w:pPr>
              <w:pStyle w:val="TableText0"/>
              <w:rPr>
                <w:lang w:val="es-ES"/>
              </w:rPr>
            </w:pPr>
            <w:r>
              <w:rPr>
                <w:lang w:val="es-ES"/>
              </w:rPr>
              <w:t>RLS, ELT, PLB, SART, transmisores de emergencia de barcos, de botes salvavidas y de embarcación de salvamento, transmisores terrestres, aeronáuticos o marítimos utilizados en emergencias</w:t>
            </w:r>
          </w:p>
        </w:tc>
        <w:tc>
          <w:tcPr>
            <w:tcW w:w="5422" w:type="dxa"/>
            <w:tcBorders>
              <w:bottom w:val="single" w:sz="2" w:space="0" w:color="auto"/>
            </w:tcBorders>
          </w:tcPr>
          <w:p w:rsidR="002E5EB0" w:rsidRDefault="002E5EB0" w:rsidP="004D748C">
            <w:pPr>
              <w:pStyle w:val="Tabletext"/>
              <w:jc w:val="left"/>
              <w:rPr>
                <w:lang w:val="es-ES"/>
              </w:rPr>
            </w:pPr>
            <w:r>
              <w:rPr>
                <w:lang w:val="es-ES"/>
              </w:rPr>
              <w:t>Sin límites</w:t>
            </w:r>
          </w:p>
        </w:tc>
      </w:tr>
      <w:tr w:rsidR="002E5EB0" w:rsidRPr="00DD03A6" w:rsidTr="000C3F64">
        <w:trPr>
          <w:cantSplit/>
          <w:jc w:val="center"/>
        </w:trPr>
        <w:tc>
          <w:tcPr>
            <w:tcW w:w="9640" w:type="dxa"/>
            <w:gridSpan w:val="2"/>
            <w:tcBorders>
              <w:top w:val="single" w:sz="2" w:space="0" w:color="auto"/>
              <w:left w:val="nil"/>
              <w:bottom w:val="nil"/>
              <w:right w:val="nil"/>
            </w:tcBorders>
          </w:tcPr>
          <w:p w:rsidR="002E5EB0" w:rsidRPr="004D748C" w:rsidRDefault="002E5EB0" w:rsidP="004D748C">
            <w:pPr>
              <w:pStyle w:val="Tablelegend"/>
              <w:ind w:left="567" w:hanging="567"/>
              <w:rPr>
                <w:sz w:val="20"/>
                <w:lang w:val="es-ES"/>
              </w:rPr>
            </w:pPr>
            <w:r w:rsidRPr="004D748C">
              <w:rPr>
                <w:i/>
                <w:iCs/>
                <w:sz w:val="20"/>
                <w:lang w:val="es-ES"/>
              </w:rPr>
              <w:t>P</w:t>
            </w:r>
            <w:r w:rsidRPr="004D748C">
              <w:rPr>
                <w:sz w:val="20"/>
                <w:lang w:val="es-ES"/>
              </w:rPr>
              <w:t>:</w:t>
            </w:r>
            <w:r w:rsidRPr="004D748C">
              <w:rPr>
                <w:sz w:val="20"/>
                <w:lang w:val="es-ES"/>
              </w:rPr>
              <w:tab/>
            </w:r>
            <w:r w:rsidRPr="004D748C">
              <w:rPr>
                <w:sz w:val="20"/>
                <w:lang w:val="es-ES"/>
              </w:rPr>
              <w:tab/>
              <w:t xml:space="preserve">potencia media (W) en la línea de transmisión de la antena, conforme al número 1.158 del RR. Cuando se utiliza transmisión en ráfagas, la potencia media </w:t>
            </w:r>
            <w:r w:rsidRPr="004D748C">
              <w:rPr>
                <w:i/>
                <w:sz w:val="20"/>
                <w:lang w:val="es-ES"/>
              </w:rPr>
              <w:t>P</w:t>
            </w:r>
            <w:r w:rsidRPr="004D748C">
              <w:rPr>
                <w:sz w:val="20"/>
                <w:lang w:val="es-ES"/>
              </w:rPr>
              <w:t xml:space="preserve"> y la potencia media de cualquier emisión en el dominio no esencial se miden utilizando el promedio de potencia con respecto a la duración de la ráfaga.</w:t>
            </w:r>
          </w:p>
          <w:p w:rsidR="002E5EB0" w:rsidRPr="004D748C" w:rsidRDefault="002E5EB0" w:rsidP="004D748C">
            <w:pPr>
              <w:pStyle w:val="Tablelegend"/>
              <w:ind w:left="567" w:hanging="567"/>
              <w:rPr>
                <w:sz w:val="20"/>
                <w:lang w:val="es-ES"/>
              </w:rPr>
            </w:pPr>
            <w:r w:rsidRPr="004D748C">
              <w:rPr>
                <w:i/>
                <w:iCs/>
                <w:sz w:val="20"/>
                <w:lang w:val="es-ES"/>
              </w:rPr>
              <w:t>PEP</w:t>
            </w:r>
            <w:r w:rsidRPr="004D748C">
              <w:rPr>
                <w:sz w:val="20"/>
                <w:lang w:val="es-ES"/>
              </w:rPr>
              <w:t>:</w:t>
            </w:r>
            <w:r w:rsidRPr="004D748C">
              <w:rPr>
                <w:sz w:val="20"/>
                <w:lang w:val="es-ES"/>
              </w:rPr>
              <w:tab/>
              <w:t>potencia en la cresta de la envolvente (W), en la línea de transmisión de la antena, conforme al número 1.157 del RR.</w:t>
            </w:r>
          </w:p>
          <w:p w:rsidR="000C3F64" w:rsidRDefault="002E5EB0" w:rsidP="004D748C">
            <w:pPr>
              <w:pStyle w:val="Tablelegend"/>
              <w:ind w:left="567" w:hanging="567"/>
              <w:rPr>
                <w:lang w:val="es-ES"/>
              </w:rPr>
            </w:pPr>
            <w:r w:rsidRPr="004D748C">
              <w:rPr>
                <w:sz w:val="20"/>
                <w:lang w:val="es-ES"/>
              </w:rPr>
              <w:tab/>
            </w:r>
            <w:r w:rsidRPr="004D748C">
              <w:rPr>
                <w:sz w:val="20"/>
                <w:lang w:val="es-ES"/>
              </w:rPr>
              <w:tab/>
              <w:t>Cuando se utiliza el término P, la potencia suministrada a la línea de transmisión de la antena y las emisiones en el dominio no esencial deben evaluarse en términos de potencia media y de potencia media en la anchura de banda de referencia, respectivamente. Cuando se utiliza el término PEP, la potencia suministrada a la línea de transmisión de la antena y las emisiones en el dominio no esencial deben evaluarse en términos de potencia en la cresta de la envolvente y de potencia en la cresta de la envolvente en la anchura de banda de referencia, respectivamente. No obstante, cuando la medición de las emisiones en el dominio no esencial en términos de la PEP sea difícil debido al carácter de la emisión en el dominio no esencial (por ejemplo, ruido gaussiano) se permite evaluar la potencia suministrada a la línea de transmisión de la antena y la potencia de la emisión en el dominio no esencial en términos de la potencia media (véase el Anexo 2).</w:t>
            </w:r>
            <w:r w:rsidR="000C3F64">
              <w:rPr>
                <w:lang w:val="es-ES"/>
              </w:rPr>
              <w:t xml:space="preserve"> </w:t>
            </w:r>
          </w:p>
          <w:p w:rsidR="002E5EB0" w:rsidRDefault="000C3F64" w:rsidP="004D748C">
            <w:pPr>
              <w:pStyle w:val="Tablelegend"/>
              <w:ind w:left="567" w:hanging="567"/>
              <w:rPr>
                <w:lang w:val="es-ES"/>
              </w:rPr>
            </w:pPr>
            <w:r>
              <w:rPr>
                <w:lang w:val="es-ES"/>
              </w:rPr>
              <w:t>dBc:</w:t>
            </w:r>
            <w:r>
              <w:rPr>
                <w:lang w:val="es-ES"/>
              </w:rPr>
              <w:tab/>
              <w:t xml:space="preserve">decibelios respecto a la potencia de la portadora no modulada de la emisión. En los casos en que no hay una portadora, por ejemplo, en algunos esquemas de modulación digital en los que la portadora no está accesible para la medición, el nivel de referencia equivalente al de dBc es el de decibelios respecto a la potencia media, </w:t>
            </w:r>
            <w:r>
              <w:rPr>
                <w:i/>
                <w:iCs/>
                <w:lang w:val="es-ES"/>
              </w:rPr>
              <w:t>P</w:t>
            </w:r>
            <w:r>
              <w:rPr>
                <w:lang w:val="es-ES"/>
              </w:rPr>
              <w:t>.</w:t>
            </w:r>
          </w:p>
        </w:tc>
      </w:tr>
      <w:tr w:rsidR="000C3F64" w:rsidRPr="00DD03A6" w:rsidTr="000C3F64">
        <w:trPr>
          <w:cantSplit/>
          <w:jc w:val="center"/>
        </w:trPr>
        <w:tc>
          <w:tcPr>
            <w:tcW w:w="9640" w:type="dxa"/>
            <w:gridSpan w:val="2"/>
            <w:tcBorders>
              <w:top w:val="nil"/>
              <w:left w:val="nil"/>
              <w:bottom w:val="nil"/>
              <w:right w:val="nil"/>
            </w:tcBorders>
          </w:tcPr>
          <w:p w:rsidR="000C3F64" w:rsidRPr="00C8656E" w:rsidRDefault="000C3F64" w:rsidP="000C3F64">
            <w:pPr>
              <w:pStyle w:val="Tablelegend"/>
              <w:ind w:left="567" w:hanging="567"/>
              <w:rPr>
                <w:i/>
                <w:iCs/>
                <w:lang w:val="es-ES"/>
              </w:rPr>
            </w:pPr>
            <w:r w:rsidRPr="00C8656E">
              <w:rPr>
                <w:i/>
                <w:iCs/>
                <w:lang w:val="es-ES"/>
              </w:rPr>
              <w:lastRenderedPageBreak/>
              <w:t>Notas relativas al Cuadro 10 (Fin):</w:t>
            </w:r>
          </w:p>
          <w:p w:rsidR="000C3F64" w:rsidRDefault="000C3F64" w:rsidP="000C3F64">
            <w:pPr>
              <w:pStyle w:val="Tablelegend"/>
              <w:ind w:left="567" w:hanging="567"/>
              <w:rPr>
                <w:lang w:val="es-ES"/>
              </w:rPr>
            </w:pPr>
            <w:r>
              <w:rPr>
                <w:vertAlign w:val="superscript"/>
                <w:lang w:val="es-ES"/>
              </w:rPr>
              <w:t>(1)</w:t>
            </w:r>
            <w:r>
              <w:rPr>
                <w:lang w:val="es-ES"/>
              </w:rPr>
              <w:tab/>
            </w:r>
            <w:r>
              <w:rPr>
                <w:lang w:val="es-ES"/>
              </w:rPr>
              <w:tab/>
              <w:t xml:space="preserve">En algunos casos de modulación digital y transmisores de alta potencia en banda estrecha para todas las categorías de servicios, podrían existir dificultades en cumplir los límites cercanos a </w:t>
            </w:r>
            <w:r>
              <w:rPr>
                <w:lang w:val="es-ES"/>
              </w:rPr>
              <w:sym w:font="Symbol" w:char="F0B1"/>
            </w:r>
            <w:r>
              <w:rPr>
                <w:lang w:val="es-ES"/>
              </w:rPr>
              <w:t>250% de la anchura de banda necesaria.</w:t>
            </w:r>
          </w:p>
          <w:p w:rsidR="000C3F64" w:rsidRDefault="000C3F64" w:rsidP="000C3F64">
            <w:pPr>
              <w:pStyle w:val="Tablelegend"/>
              <w:ind w:left="567" w:hanging="567"/>
              <w:rPr>
                <w:lang w:val="es-ES"/>
              </w:rPr>
            </w:pPr>
            <w:r>
              <w:rPr>
                <w:vertAlign w:val="superscript"/>
                <w:lang w:val="es-ES"/>
              </w:rPr>
              <w:t>(2)</w:t>
            </w:r>
            <w:r>
              <w:rPr>
                <w:lang w:val="es-ES"/>
              </w:rPr>
              <w:tab/>
            </w:r>
            <w:r>
              <w:rPr>
                <w:lang w:val="es-ES"/>
              </w:rPr>
              <w:tab/>
              <w:t>Cuando no es práctico acceder a la transición entre el transmisor y la línea de transmisión de la antena, se podrá usar el método de la p.i.r.e. que figura en el § 3.3 del Anexo 2.</w:t>
            </w:r>
          </w:p>
          <w:p w:rsidR="000C3F64" w:rsidRDefault="000C3F64" w:rsidP="000C3F64">
            <w:pPr>
              <w:pStyle w:val="Tablelegend"/>
              <w:ind w:left="567" w:hanging="567"/>
              <w:rPr>
                <w:lang w:val="es-ES"/>
              </w:rPr>
            </w:pPr>
            <w:r>
              <w:rPr>
                <w:vertAlign w:val="superscript"/>
                <w:lang w:val="es-ES"/>
              </w:rPr>
              <w:t>(3)</w:t>
            </w:r>
            <w:r>
              <w:rPr>
                <w:lang w:val="es-ES"/>
              </w:rPr>
              <w:tab/>
            </w:r>
            <w:r>
              <w:rPr>
                <w:lang w:val="es-ES"/>
              </w:rPr>
              <w:tab/>
              <w:t>Los límites de las emisiones en el dominio no esencial para todos los servicios espaciales están establecidos en una anchura de banda de referencia de 4 kHz.</w:t>
            </w:r>
          </w:p>
          <w:p w:rsidR="000C3F64" w:rsidRDefault="000C3F64" w:rsidP="000C3F64">
            <w:pPr>
              <w:pStyle w:val="Tablelegend"/>
              <w:ind w:left="567" w:hanging="567"/>
              <w:rPr>
                <w:lang w:val="es-ES"/>
              </w:rPr>
            </w:pPr>
            <w:r>
              <w:rPr>
                <w:vertAlign w:val="superscript"/>
                <w:lang w:val="es-ES"/>
              </w:rPr>
              <w:t>(4)</w:t>
            </w:r>
            <w:r>
              <w:rPr>
                <w:lang w:val="es-ES"/>
              </w:rPr>
              <w:tab/>
            </w:r>
            <w:r>
              <w:rPr>
                <w:lang w:val="es-ES"/>
              </w:rPr>
              <w:tab/>
              <w:t>Las estaciones terrenas del servicio de aficionados por satélite que funcionan por debajo de 30 MHz se incluyen en la categoría de servicio «servicios de aficionado por debajo de 30 MHz (incluyendo la BLU)».</w:t>
            </w:r>
          </w:p>
          <w:p w:rsidR="000C3F64" w:rsidRDefault="000C3F64" w:rsidP="000C3F64">
            <w:pPr>
              <w:pStyle w:val="Tablelegend"/>
              <w:ind w:left="567" w:hanging="567"/>
              <w:rPr>
                <w:lang w:val="es-ES"/>
              </w:rPr>
            </w:pPr>
            <w:r>
              <w:rPr>
                <w:vertAlign w:val="superscript"/>
                <w:lang w:val="es-ES"/>
              </w:rPr>
              <w:t>(5)</w:t>
            </w:r>
            <w:r>
              <w:rPr>
                <w:lang w:val="es-ES"/>
              </w:rPr>
              <w:tab/>
            </w:r>
            <w:r>
              <w:rPr>
                <w:lang w:val="es-ES"/>
              </w:rPr>
              <w:tab/>
              <w:t>Para el caso de un satélite que utilice más de un transpondedor en la misma zona de servicio, y cuando se consideren los límites de las emisiones en el dominio no esencial, tal como se indica en el Cuadro 10, las emisiones en el dominio no esencial de un transpondedor pueden caer en una frecuencia a la que transmite otro de los transpondedores. En estas situaciones, el nivel de las emisiones en el dominio no esencial procedentes del primer transpondedor es ampliamente superado por las emisiones fundamen</w:t>
            </w:r>
            <w:r>
              <w:rPr>
                <w:lang w:val="es-ES"/>
              </w:rPr>
              <w:softHyphen/>
              <w:t>tales o en el dominio fuera de banda del segundo transpondedor. Por tanto, no deben aplicarse los límites a estas emisiones en el dominio no esencial de un satélite que caigan dentro de la anchura de banda necesaria o en el dominio fuera de banda de otro transpondedor del mismo satélite y que cubra la misma zona de servicio (véase el Apéndice 3 del RR).</w:t>
            </w:r>
          </w:p>
          <w:p w:rsidR="000C3F64" w:rsidRDefault="000C3F64" w:rsidP="000C3F64">
            <w:pPr>
              <w:pStyle w:val="Tablelegend"/>
              <w:ind w:left="567" w:hanging="567"/>
              <w:rPr>
                <w:lang w:val="es-ES"/>
              </w:rPr>
            </w:pPr>
            <w:r>
              <w:rPr>
                <w:vertAlign w:val="superscript"/>
                <w:lang w:val="es-ES"/>
              </w:rPr>
              <w:t>(6)</w:t>
            </w:r>
            <w:r>
              <w:rPr>
                <w:lang w:val="es-ES"/>
              </w:rPr>
              <w:tab/>
            </w:r>
            <w:r>
              <w:rPr>
                <w:lang w:val="es-ES"/>
              </w:rPr>
              <w:tab/>
              <w:t>Las estaciones espaciales del servicio de investigación espacial destinadas a funcionar en el espacio profundo, tal como se define en el número 1.177 del RR, están exentas de los límites de las emisiones en el dominio no esencial.</w:t>
            </w:r>
          </w:p>
          <w:p w:rsidR="000C3F64" w:rsidRDefault="000C3F64" w:rsidP="000C3F64">
            <w:pPr>
              <w:pStyle w:val="Tablelegend"/>
              <w:ind w:left="567" w:hanging="567"/>
              <w:rPr>
                <w:lang w:val="es-ES"/>
              </w:rPr>
            </w:pPr>
            <w:r>
              <w:rPr>
                <w:vertAlign w:val="superscript"/>
                <w:lang w:val="es-ES"/>
              </w:rPr>
              <w:t>(7)</w:t>
            </w:r>
            <w:r>
              <w:rPr>
                <w:lang w:val="es-ES"/>
              </w:rPr>
              <w:tab/>
            </w:r>
            <w:r>
              <w:rPr>
                <w:lang w:val="es-ES"/>
              </w:rPr>
              <w:tab/>
              <w:t>La atenuación de las emisiones en el dominio no esencial (dB) de los sistemas de radiodeterminación (radar, tal como se define en el número 1.100 del RR) se determinan para los niveles de emisión radiada, y no para los existentes en la línea de transmisión de la antena. El método de medida para determinar los niveles de emisión radiada en el dominio no esencial de sistemas radar debe atenerse a las directrices de la Recomendación UIT-R M.1117.</w:t>
            </w:r>
          </w:p>
          <w:p w:rsidR="000C3F64" w:rsidRDefault="000C3F64" w:rsidP="000C3F64">
            <w:pPr>
              <w:pStyle w:val="Tablelegend"/>
              <w:ind w:left="567" w:hanging="567"/>
              <w:rPr>
                <w:lang w:val="es-ES"/>
              </w:rPr>
            </w:pPr>
            <w:r>
              <w:rPr>
                <w:vertAlign w:val="superscript"/>
                <w:lang w:val="es-ES"/>
              </w:rPr>
              <w:t>(8)</w:t>
            </w:r>
            <w:r>
              <w:rPr>
                <w:lang w:val="es-ES"/>
              </w:rPr>
              <w:tab/>
            </w:r>
            <w:r>
              <w:rPr>
                <w:lang w:val="es-ES"/>
              </w:rPr>
              <w:tab/>
              <w:t>Para transmisiones de televisión analógicas, el nivel de potencia medio se define con una modulación de la señal de vídeo especificada. Esta señal de vídeo se debe determinar de modo tal que se suministre el máximo nivel de potencia media (por ejemplo, el nivel de supresión de la señal de vídeo para señales de televisión moduladas negativamente) a la línea de transmisión de la antena.</w:t>
            </w:r>
          </w:p>
          <w:p w:rsidR="000C3F64" w:rsidRDefault="000C3F64" w:rsidP="000C3F64">
            <w:pPr>
              <w:pStyle w:val="Tablelegend"/>
              <w:ind w:left="567" w:hanging="567"/>
              <w:rPr>
                <w:lang w:val="es-ES"/>
              </w:rPr>
            </w:pPr>
            <w:r>
              <w:rPr>
                <w:vertAlign w:val="superscript"/>
                <w:lang w:val="es-ES"/>
              </w:rPr>
              <w:t>(9)</w:t>
            </w:r>
            <w:r>
              <w:rPr>
                <w:lang w:val="es-ES"/>
              </w:rPr>
              <w:tab/>
            </w:r>
            <w:r>
              <w:rPr>
                <w:lang w:val="es-ES"/>
              </w:rPr>
              <w:tab/>
              <w:t>Todas las clases de emisión que utilizan banda lateral única se incluyen en la categoría BLU.</w:t>
            </w:r>
          </w:p>
          <w:p w:rsidR="000C3F64" w:rsidRPr="004D748C" w:rsidRDefault="000C3F64" w:rsidP="000C3F64">
            <w:pPr>
              <w:pStyle w:val="Tablelegend"/>
              <w:ind w:left="567" w:hanging="567"/>
              <w:rPr>
                <w:i/>
                <w:iCs/>
                <w:sz w:val="20"/>
                <w:lang w:val="es-ES"/>
              </w:rPr>
            </w:pPr>
            <w:r>
              <w:rPr>
                <w:vertAlign w:val="superscript"/>
                <w:lang w:val="es-ES"/>
              </w:rPr>
              <w:t>(10)</w:t>
            </w:r>
            <w:r>
              <w:rPr>
                <w:lang w:val="es-ES"/>
              </w:rPr>
              <w:tab/>
            </w:r>
            <w:r>
              <w:rPr>
                <w:lang w:val="es-ES"/>
              </w:rPr>
              <w:tab/>
              <w:t>Dispositivos radioeléctricos que tengan una potencia de salida menor que 100 mW y estén destinados a comunicaciones de corto alcance o fines de control (estos equipos están, por lo general, exentos del otorgamiento de licencia).</w:t>
            </w:r>
          </w:p>
        </w:tc>
      </w:tr>
    </w:tbl>
    <w:p w:rsidR="000C3F64" w:rsidRPr="000C3F64" w:rsidRDefault="000C3F64" w:rsidP="002E5EB0">
      <w:pPr>
        <w:pStyle w:val="Tablefin"/>
        <w:rPr>
          <w:lang w:val="es-ES_tradnl"/>
        </w:rPr>
      </w:pPr>
    </w:p>
    <w:p w:rsidR="000C3F64" w:rsidRDefault="000C3F64" w:rsidP="000C3F64">
      <w:pPr>
        <w:rPr>
          <w:lang w:val="es-ES"/>
        </w:rPr>
      </w:pPr>
    </w:p>
    <w:p w:rsidR="000C3F64" w:rsidRDefault="000C3F64" w:rsidP="000C3F64">
      <w:pPr>
        <w:rPr>
          <w:lang w:val="es-ES"/>
        </w:rPr>
      </w:pPr>
    </w:p>
    <w:p w:rsidR="002E5EB0" w:rsidRDefault="002E5EB0" w:rsidP="000C3F64">
      <w:pPr>
        <w:pStyle w:val="AnnexNoTitle"/>
        <w:rPr>
          <w:lang w:val="es-ES"/>
        </w:rPr>
      </w:pPr>
      <w:r>
        <w:rPr>
          <w:lang w:val="es-ES"/>
        </w:rPr>
        <w:lastRenderedPageBreak/>
        <w:t>Anexo 6</w:t>
      </w:r>
      <w:r>
        <w:rPr>
          <w:lang w:val="es-ES"/>
        </w:rPr>
        <w:br/>
      </w:r>
      <w:r>
        <w:rPr>
          <w:lang w:val="es-ES"/>
        </w:rPr>
        <w:br/>
        <w:t>Anchura de banda de referencia para los límites de la Categoría B</w:t>
      </w:r>
      <w:r>
        <w:rPr>
          <w:lang w:val="es-ES"/>
        </w:rPr>
        <w:br/>
        <w:t>Caso del servicio fijo</w:t>
      </w:r>
    </w:p>
    <w:p w:rsidR="002E5EB0" w:rsidRDefault="002E5EB0" w:rsidP="000C3F64">
      <w:pPr>
        <w:pStyle w:val="Normalaftertitle"/>
        <w:keepNext/>
        <w:keepLines/>
        <w:rPr>
          <w:lang w:val="es-ES"/>
        </w:rPr>
      </w:pPr>
      <w:r>
        <w:rPr>
          <w:lang w:val="es-ES"/>
        </w:rPr>
        <w:t>Los sistemas de radioenlaces con modulación analógica y digital, aunque generalmente ofrecen una buena eficacia espectral, son incapaces de cumplir los límites de la Categoría B en las frecuencias próximas debido al ruido de banda ancha generado por dichos sistemas. Por tanto, es necesario establecer pasos genéricos de anchura de banda de referencia con el fin de establecer una zona de transición conveniente para la densidad espectral.</w:t>
      </w:r>
    </w:p>
    <w:p w:rsidR="002E5EB0" w:rsidRDefault="002E5EB0" w:rsidP="000C3F64">
      <w:pPr>
        <w:rPr>
          <w:lang w:val="es-ES"/>
        </w:rPr>
      </w:pPr>
      <w:r>
        <w:rPr>
          <w:lang w:val="es-ES"/>
        </w:rPr>
        <w:t xml:space="preserve">Los contornos de referencia genéricos se representan en la Fig. 3, siendo los puntos de corte función de la separación de canales (CS, </w:t>
      </w:r>
      <w:r>
        <w:rPr>
          <w:i/>
          <w:iCs/>
          <w:lang w:val="es-ES"/>
        </w:rPr>
        <w:t>channel separation</w:t>
      </w:r>
      <w:r>
        <w:rPr>
          <w:lang w:val="es-ES"/>
        </w:rPr>
        <w:t>) o de la anchura de banda necesaria (NB,</w:t>
      </w:r>
      <w:r w:rsidR="000C3F64">
        <w:rPr>
          <w:lang w:val="es-ES"/>
        </w:rPr>
        <w:t> </w:t>
      </w:r>
      <w:r>
        <w:rPr>
          <w:i/>
          <w:iCs/>
          <w:lang w:val="es-ES"/>
        </w:rPr>
        <w:t>necessary bandwidth</w:t>
      </w:r>
      <w:r>
        <w:rPr>
          <w:lang w:val="es-ES"/>
        </w:rPr>
        <w:t>) del Cuadro 11.</w:t>
      </w:r>
    </w:p>
    <w:p w:rsidR="002E5EB0" w:rsidRDefault="002E5EB0" w:rsidP="002E5EB0">
      <w:pPr>
        <w:pStyle w:val="FigureNo"/>
      </w:pPr>
      <w:r>
        <w:rPr>
          <w:noProof/>
          <w:lang w:val="es-ES_tradnl" w:eastAsia="zh-CN"/>
        </w:rPr>
        <w:drawing>
          <wp:inline distT="0" distB="0" distL="0" distR="0" wp14:anchorId="04B5EDA3" wp14:editId="526A369E">
            <wp:extent cx="5925185" cy="5010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185" cy="5010785"/>
                    </a:xfrm>
                    <a:prstGeom prst="rect">
                      <a:avLst/>
                    </a:prstGeom>
                    <a:noFill/>
                    <a:ln>
                      <a:noFill/>
                    </a:ln>
                  </pic:spPr>
                </pic:pic>
              </a:graphicData>
            </a:graphic>
          </wp:inline>
        </w:drawing>
      </w:r>
    </w:p>
    <w:p w:rsidR="002E5EB0" w:rsidRDefault="002E5EB0" w:rsidP="002E5EB0"/>
    <w:p w:rsidR="002E5EB0" w:rsidRDefault="008A294A" w:rsidP="002E5EB0">
      <w:pPr>
        <w:pStyle w:val="TableNo"/>
        <w:rPr>
          <w:lang w:val="es-ES"/>
        </w:rPr>
      </w:pPr>
      <w:r>
        <w:rPr>
          <w:lang w:val="es-ES"/>
        </w:rPr>
        <w:lastRenderedPageBreak/>
        <w:t xml:space="preserve">CUADRO </w:t>
      </w:r>
      <w:r w:rsidR="002E5EB0">
        <w:rPr>
          <w:lang w:val="es-ES"/>
        </w:rPr>
        <w:t>11</w:t>
      </w:r>
    </w:p>
    <w:p w:rsidR="002E5EB0" w:rsidRDefault="002E5EB0" w:rsidP="000C3F64">
      <w:pPr>
        <w:pStyle w:val="Tabletitle"/>
        <w:rPr>
          <w:lang w:val="es-ES"/>
        </w:rPr>
      </w:pPr>
      <w:r>
        <w:rPr>
          <w:lang w:val="es-ES"/>
        </w:rPr>
        <w:t xml:space="preserve">Contornos del servicio fijo de Categoría B genéricos para </w:t>
      </w:r>
      <w:r w:rsidR="000C3F64">
        <w:rPr>
          <w:lang w:val="es-ES"/>
        </w:rPr>
        <w:br/>
      </w:r>
      <w:r>
        <w:rPr>
          <w:lang w:val="es-ES"/>
        </w:rPr>
        <w:t>emisiones no deseadas</w:t>
      </w:r>
      <w:r w:rsidR="000C3F64">
        <w:rPr>
          <w:lang w:val="es-ES"/>
        </w:rPr>
        <w:t xml:space="preserve"> </w:t>
      </w:r>
      <w:r>
        <w:rPr>
          <w:lang w:val="es-ES"/>
        </w:rPr>
        <w:t>en el dominio no esencial</w:t>
      </w:r>
    </w:p>
    <w:p w:rsidR="002E5EB0" w:rsidRDefault="002E5EB0" w:rsidP="002E5EB0">
      <w:pPr>
        <w:pStyle w:val="Tabletitle"/>
        <w:rPr>
          <w:b w:val="0"/>
          <w:bCs/>
          <w:lang w:val="fr-CH"/>
        </w:rPr>
      </w:pPr>
      <w:r>
        <w:rPr>
          <w:b w:val="0"/>
          <w:bCs/>
          <w:lang w:val="fr-CH"/>
        </w:rPr>
        <w:t>(véase la Fig. 3)</w:t>
      </w:r>
    </w:p>
    <w:tbl>
      <w:tblPr>
        <w:tblW w:w="9639" w:type="dxa"/>
        <w:jc w:val="center"/>
        <w:tblBorders>
          <w:top w:val="single" w:sz="4" w:space="0" w:color="auto"/>
          <w:left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44"/>
        <w:gridCol w:w="1417"/>
        <w:gridCol w:w="1587"/>
        <w:gridCol w:w="1247"/>
        <w:gridCol w:w="1247"/>
        <w:gridCol w:w="1247"/>
        <w:gridCol w:w="1250"/>
      </w:tblGrid>
      <w:tr w:rsidR="002E5EB0" w:rsidRPr="00DD03A6" w:rsidTr="00CB45BF">
        <w:trPr>
          <w:jc w:val="center"/>
        </w:trPr>
        <w:tc>
          <w:tcPr>
            <w:tcW w:w="1644" w:type="dxa"/>
            <w:vMerge w:val="restart"/>
            <w:vAlign w:val="center"/>
          </w:tcPr>
          <w:p w:rsidR="002E5EB0" w:rsidRPr="00ED6AC7" w:rsidRDefault="002E5EB0" w:rsidP="000D6E37">
            <w:pPr>
              <w:pStyle w:val="Tablehead"/>
              <w:rPr>
                <w:rFonts w:asciiTheme="majorBidi" w:hAnsiTheme="majorBidi" w:cstheme="majorBidi"/>
                <w:sz w:val="20"/>
                <w:lang w:val="es-ES_tradnl"/>
              </w:rPr>
            </w:pPr>
            <w:r w:rsidRPr="00ED6AC7">
              <w:rPr>
                <w:rFonts w:asciiTheme="majorBidi" w:hAnsiTheme="majorBidi" w:cstheme="majorBidi"/>
                <w:sz w:val="20"/>
                <w:lang w:val="es-ES_tradnl"/>
              </w:rPr>
              <w:t>Frecuencia</w:t>
            </w:r>
            <w:r w:rsidR="000D6E37">
              <w:rPr>
                <w:rFonts w:asciiTheme="majorBidi" w:hAnsiTheme="majorBidi" w:cstheme="majorBidi"/>
                <w:sz w:val="20"/>
                <w:lang w:val="es-ES_tradnl"/>
              </w:rPr>
              <w:br/>
              <w:t xml:space="preserve">de la </w:t>
            </w:r>
            <w:r w:rsidRPr="00ED6AC7">
              <w:rPr>
                <w:rFonts w:asciiTheme="majorBidi" w:hAnsiTheme="majorBidi" w:cstheme="majorBidi"/>
                <w:sz w:val="20"/>
                <w:lang w:val="es-ES_tradnl"/>
              </w:rPr>
              <w:t>emisión fundamental</w:t>
            </w:r>
          </w:p>
        </w:tc>
        <w:tc>
          <w:tcPr>
            <w:tcW w:w="1417" w:type="dxa"/>
            <w:vMerge w:val="restart"/>
            <w:vAlign w:val="center"/>
          </w:tcPr>
          <w:p w:rsidR="002E5EB0" w:rsidRPr="000C3F64" w:rsidRDefault="002E5EB0" w:rsidP="000D6E37">
            <w:pPr>
              <w:pStyle w:val="Tablehead"/>
              <w:rPr>
                <w:rFonts w:asciiTheme="majorBidi" w:hAnsiTheme="majorBidi" w:cstheme="majorBidi"/>
                <w:sz w:val="20"/>
              </w:rPr>
            </w:pPr>
            <w:r w:rsidRPr="000C3F64">
              <w:rPr>
                <w:rFonts w:asciiTheme="majorBidi" w:hAnsiTheme="majorBidi" w:cstheme="majorBidi"/>
                <w:sz w:val="20"/>
              </w:rPr>
              <w:t>CS</w:t>
            </w:r>
            <w:r w:rsidRPr="000C3F64">
              <w:rPr>
                <w:rFonts w:asciiTheme="majorBidi" w:hAnsiTheme="majorBidi" w:cstheme="majorBidi"/>
                <w:sz w:val="20"/>
              </w:rPr>
              <w:br/>
              <w:t>(MHz)</w:t>
            </w:r>
          </w:p>
        </w:tc>
        <w:tc>
          <w:tcPr>
            <w:tcW w:w="1587" w:type="dxa"/>
            <w:vMerge w:val="restart"/>
            <w:vAlign w:val="center"/>
          </w:tcPr>
          <w:p w:rsidR="002E5EB0" w:rsidRPr="000C3F64" w:rsidRDefault="002E5EB0" w:rsidP="000D6E37">
            <w:pPr>
              <w:pStyle w:val="Tablehead"/>
              <w:rPr>
                <w:rFonts w:asciiTheme="majorBidi" w:hAnsiTheme="majorBidi" w:cstheme="majorBidi"/>
                <w:sz w:val="20"/>
                <w:lang w:val="es-ES_tradnl"/>
              </w:rPr>
            </w:pPr>
            <w:r w:rsidRPr="000C3F64">
              <w:rPr>
                <w:rFonts w:asciiTheme="majorBidi" w:hAnsiTheme="majorBidi" w:cstheme="majorBidi"/>
                <w:sz w:val="20"/>
                <w:lang w:val="es-ES_tradnl"/>
              </w:rPr>
              <w:t xml:space="preserve">Frecuencia típica de símbolos </w:t>
            </w:r>
            <w:r w:rsidRPr="000C3F64">
              <w:rPr>
                <w:rFonts w:asciiTheme="majorBidi" w:hAnsiTheme="majorBidi" w:cstheme="majorBidi"/>
                <w:sz w:val="20"/>
                <w:lang w:val="es-ES_tradnl"/>
              </w:rPr>
              <w:br/>
              <w:t>(</w:t>
            </w:r>
            <w:r w:rsidR="000C3F64" w:rsidRPr="000C3F64">
              <w:rPr>
                <w:rFonts w:asciiTheme="majorBidi" w:hAnsiTheme="majorBidi" w:cstheme="majorBidi"/>
                <w:sz w:val="20"/>
              </w:rPr>
              <w:sym w:font="Symbol" w:char="F07E"/>
            </w:r>
            <w:r w:rsidRPr="000C3F64">
              <w:rPr>
                <w:rFonts w:asciiTheme="majorBidi" w:hAnsiTheme="majorBidi" w:cstheme="majorBidi"/>
                <w:sz w:val="20"/>
                <w:lang w:val="es-ES_tradnl"/>
              </w:rPr>
              <w:t>Mbit/s)</w:t>
            </w:r>
          </w:p>
        </w:tc>
        <w:tc>
          <w:tcPr>
            <w:tcW w:w="1247" w:type="dxa"/>
            <w:vAlign w:val="center"/>
          </w:tcPr>
          <w:p w:rsidR="002E5EB0" w:rsidRPr="00ED6AC7" w:rsidRDefault="002E5EB0" w:rsidP="000D6E37">
            <w:pPr>
              <w:pStyle w:val="Tablehead"/>
              <w:rPr>
                <w:rFonts w:asciiTheme="majorBidi" w:hAnsiTheme="majorBidi" w:cstheme="majorBidi"/>
                <w:sz w:val="20"/>
                <w:lang w:val="es-ES_tradnl"/>
              </w:rPr>
            </w:pPr>
            <w:r w:rsidRPr="00ED6AC7">
              <w:rPr>
                <w:rFonts w:asciiTheme="majorBidi" w:hAnsiTheme="majorBidi" w:cstheme="majorBidi"/>
                <w:sz w:val="20"/>
                <w:lang w:val="es-ES_tradnl"/>
              </w:rPr>
              <w:t>Anchura de banda de referencia</w:t>
            </w:r>
            <w:r w:rsidRPr="00ED6AC7">
              <w:rPr>
                <w:rFonts w:asciiTheme="majorBidi" w:hAnsiTheme="majorBidi" w:cstheme="majorBidi"/>
                <w:sz w:val="20"/>
                <w:lang w:val="es-ES_tradnl"/>
              </w:rPr>
              <w:br/>
              <w:t>0,3 kHz</w:t>
            </w:r>
          </w:p>
        </w:tc>
        <w:tc>
          <w:tcPr>
            <w:tcW w:w="1247" w:type="dxa"/>
            <w:vAlign w:val="center"/>
          </w:tcPr>
          <w:p w:rsidR="002E5EB0" w:rsidRPr="00ED6AC7" w:rsidRDefault="002E5EB0" w:rsidP="000D6E37">
            <w:pPr>
              <w:pStyle w:val="Tablehead"/>
              <w:rPr>
                <w:rFonts w:asciiTheme="majorBidi" w:hAnsiTheme="majorBidi" w:cstheme="majorBidi"/>
                <w:sz w:val="20"/>
                <w:lang w:val="es-ES_tradnl"/>
              </w:rPr>
            </w:pPr>
            <w:r w:rsidRPr="00ED6AC7">
              <w:rPr>
                <w:rFonts w:asciiTheme="majorBidi" w:hAnsiTheme="majorBidi" w:cstheme="majorBidi"/>
                <w:sz w:val="20"/>
                <w:lang w:val="es-ES_tradnl"/>
              </w:rPr>
              <w:t>Anchura de banda de referencia</w:t>
            </w:r>
            <w:r w:rsidRPr="00ED6AC7">
              <w:rPr>
                <w:rFonts w:asciiTheme="majorBidi" w:hAnsiTheme="majorBidi" w:cstheme="majorBidi"/>
                <w:sz w:val="20"/>
                <w:lang w:val="es-ES_tradnl"/>
              </w:rPr>
              <w:br/>
              <w:t>1 kHz</w:t>
            </w:r>
          </w:p>
        </w:tc>
        <w:tc>
          <w:tcPr>
            <w:tcW w:w="1247" w:type="dxa"/>
            <w:vAlign w:val="center"/>
          </w:tcPr>
          <w:p w:rsidR="002E5EB0" w:rsidRPr="00ED6AC7" w:rsidRDefault="002E5EB0" w:rsidP="000D6E37">
            <w:pPr>
              <w:pStyle w:val="Tablehead"/>
              <w:rPr>
                <w:rFonts w:asciiTheme="majorBidi" w:hAnsiTheme="majorBidi" w:cstheme="majorBidi"/>
                <w:sz w:val="20"/>
                <w:lang w:val="es-ES_tradnl"/>
              </w:rPr>
            </w:pPr>
            <w:r w:rsidRPr="00ED6AC7">
              <w:rPr>
                <w:rFonts w:asciiTheme="majorBidi" w:hAnsiTheme="majorBidi" w:cstheme="majorBidi"/>
                <w:sz w:val="20"/>
                <w:lang w:val="es-ES_tradnl"/>
              </w:rPr>
              <w:t>Anchura de banda de referencia</w:t>
            </w:r>
            <w:r w:rsidRPr="00ED6AC7">
              <w:rPr>
                <w:rFonts w:asciiTheme="majorBidi" w:hAnsiTheme="majorBidi" w:cstheme="majorBidi"/>
                <w:sz w:val="20"/>
                <w:lang w:val="es-ES_tradnl"/>
              </w:rPr>
              <w:br/>
              <w:t>10 kHz</w:t>
            </w:r>
          </w:p>
        </w:tc>
        <w:tc>
          <w:tcPr>
            <w:tcW w:w="1247" w:type="dxa"/>
            <w:vAlign w:val="center"/>
          </w:tcPr>
          <w:p w:rsidR="002E5EB0" w:rsidRPr="00ED6AC7" w:rsidRDefault="002E5EB0" w:rsidP="000D6E37">
            <w:pPr>
              <w:pStyle w:val="Tablehead"/>
              <w:rPr>
                <w:rFonts w:asciiTheme="majorBidi" w:hAnsiTheme="majorBidi" w:cstheme="majorBidi"/>
                <w:sz w:val="20"/>
                <w:lang w:val="es-ES_tradnl"/>
              </w:rPr>
            </w:pPr>
            <w:r w:rsidRPr="00ED6AC7">
              <w:rPr>
                <w:rFonts w:asciiTheme="majorBidi" w:hAnsiTheme="majorBidi" w:cstheme="majorBidi"/>
                <w:sz w:val="20"/>
                <w:lang w:val="es-ES_tradnl"/>
              </w:rPr>
              <w:t>Anchura de banda de referencia</w:t>
            </w:r>
            <w:r w:rsidRPr="00ED6AC7">
              <w:rPr>
                <w:rFonts w:asciiTheme="majorBidi" w:hAnsiTheme="majorBidi" w:cstheme="majorBidi"/>
                <w:sz w:val="20"/>
                <w:lang w:val="es-ES_tradnl"/>
              </w:rPr>
              <w:br/>
              <w:t>100 kHz</w:t>
            </w:r>
          </w:p>
        </w:tc>
      </w:tr>
      <w:tr w:rsidR="002E5EB0" w:rsidRPr="000C3F64" w:rsidTr="00CB45BF">
        <w:trPr>
          <w:jc w:val="center"/>
        </w:trPr>
        <w:tc>
          <w:tcPr>
            <w:tcW w:w="1644" w:type="dxa"/>
            <w:vMerge/>
            <w:vAlign w:val="center"/>
          </w:tcPr>
          <w:p w:rsidR="002E5EB0" w:rsidRPr="00ED6AC7" w:rsidRDefault="002E5EB0" w:rsidP="000D6E37">
            <w:pPr>
              <w:pStyle w:val="Tablehead"/>
              <w:rPr>
                <w:rFonts w:asciiTheme="majorBidi" w:hAnsiTheme="majorBidi" w:cstheme="majorBidi"/>
                <w:sz w:val="20"/>
                <w:lang w:val="es-ES_tradnl"/>
              </w:rPr>
            </w:pPr>
          </w:p>
        </w:tc>
        <w:tc>
          <w:tcPr>
            <w:tcW w:w="1417" w:type="dxa"/>
            <w:vMerge/>
            <w:vAlign w:val="center"/>
          </w:tcPr>
          <w:p w:rsidR="002E5EB0" w:rsidRPr="00ED6AC7" w:rsidRDefault="002E5EB0" w:rsidP="000D6E37">
            <w:pPr>
              <w:pStyle w:val="Tablehead"/>
              <w:rPr>
                <w:rFonts w:asciiTheme="majorBidi" w:hAnsiTheme="majorBidi" w:cstheme="majorBidi"/>
                <w:sz w:val="20"/>
                <w:lang w:val="es-ES_tradnl"/>
              </w:rPr>
            </w:pPr>
          </w:p>
        </w:tc>
        <w:tc>
          <w:tcPr>
            <w:tcW w:w="1587" w:type="dxa"/>
            <w:vMerge/>
            <w:vAlign w:val="center"/>
          </w:tcPr>
          <w:p w:rsidR="002E5EB0" w:rsidRPr="00ED6AC7" w:rsidRDefault="002E5EB0" w:rsidP="000D6E37">
            <w:pPr>
              <w:pStyle w:val="Tablehead"/>
              <w:rPr>
                <w:rFonts w:asciiTheme="majorBidi" w:hAnsiTheme="majorBidi" w:cstheme="majorBidi"/>
                <w:sz w:val="20"/>
                <w:lang w:val="es-ES_tradnl"/>
              </w:rPr>
            </w:pPr>
          </w:p>
        </w:tc>
        <w:tc>
          <w:tcPr>
            <w:tcW w:w="1247" w:type="dxa"/>
            <w:vAlign w:val="center"/>
          </w:tcPr>
          <w:p w:rsidR="002E5EB0" w:rsidRPr="000C3F64" w:rsidRDefault="002E5EB0" w:rsidP="000D6E37">
            <w:pPr>
              <w:pStyle w:val="Tablehead"/>
              <w:rPr>
                <w:rFonts w:asciiTheme="majorBidi" w:hAnsiTheme="majorBidi" w:cstheme="majorBidi"/>
                <w:sz w:val="20"/>
              </w:rPr>
            </w:pPr>
            <w:r w:rsidRPr="000C3F64">
              <w:rPr>
                <w:rFonts w:asciiTheme="majorBidi" w:hAnsiTheme="majorBidi" w:cstheme="majorBidi"/>
                <w:sz w:val="20"/>
              </w:rPr>
              <w:t>Fa</w:t>
            </w:r>
            <w:r w:rsidRPr="000C3F64">
              <w:rPr>
                <w:rFonts w:asciiTheme="majorBidi" w:hAnsiTheme="majorBidi" w:cstheme="majorBidi"/>
                <w:sz w:val="20"/>
              </w:rPr>
              <w:br/>
              <w:t>(MHz)</w:t>
            </w:r>
          </w:p>
        </w:tc>
        <w:tc>
          <w:tcPr>
            <w:tcW w:w="1247" w:type="dxa"/>
            <w:vAlign w:val="center"/>
          </w:tcPr>
          <w:p w:rsidR="002E5EB0" w:rsidRPr="000C3F64" w:rsidRDefault="002E5EB0" w:rsidP="000D6E37">
            <w:pPr>
              <w:pStyle w:val="Tablehead"/>
              <w:rPr>
                <w:rFonts w:asciiTheme="majorBidi" w:hAnsiTheme="majorBidi" w:cstheme="majorBidi"/>
                <w:sz w:val="20"/>
              </w:rPr>
            </w:pPr>
            <w:r w:rsidRPr="000C3F64">
              <w:rPr>
                <w:rFonts w:asciiTheme="majorBidi" w:hAnsiTheme="majorBidi" w:cstheme="majorBidi"/>
                <w:sz w:val="20"/>
              </w:rPr>
              <w:t>Fb</w:t>
            </w:r>
            <w:r w:rsidRPr="000C3F64">
              <w:rPr>
                <w:rFonts w:asciiTheme="majorBidi" w:hAnsiTheme="majorBidi" w:cstheme="majorBidi"/>
                <w:sz w:val="20"/>
              </w:rPr>
              <w:br/>
              <w:t>(MHz)</w:t>
            </w:r>
          </w:p>
        </w:tc>
        <w:tc>
          <w:tcPr>
            <w:tcW w:w="1247" w:type="dxa"/>
            <w:vAlign w:val="center"/>
          </w:tcPr>
          <w:p w:rsidR="002E5EB0" w:rsidRPr="000C3F64" w:rsidRDefault="002E5EB0" w:rsidP="000D6E37">
            <w:pPr>
              <w:pStyle w:val="Tablehead"/>
              <w:rPr>
                <w:rFonts w:asciiTheme="majorBidi" w:hAnsiTheme="majorBidi" w:cstheme="majorBidi"/>
                <w:sz w:val="20"/>
              </w:rPr>
            </w:pPr>
            <w:r w:rsidRPr="000C3F64">
              <w:rPr>
                <w:rFonts w:asciiTheme="majorBidi" w:hAnsiTheme="majorBidi" w:cstheme="majorBidi"/>
                <w:sz w:val="20"/>
              </w:rPr>
              <w:t>Fc</w:t>
            </w:r>
            <w:r w:rsidRPr="000C3F64">
              <w:rPr>
                <w:rFonts w:asciiTheme="majorBidi" w:hAnsiTheme="majorBidi" w:cstheme="majorBidi"/>
                <w:sz w:val="20"/>
              </w:rPr>
              <w:br/>
              <w:t>(MHz)</w:t>
            </w:r>
          </w:p>
        </w:tc>
        <w:tc>
          <w:tcPr>
            <w:tcW w:w="1247" w:type="dxa"/>
            <w:vAlign w:val="center"/>
          </w:tcPr>
          <w:p w:rsidR="002E5EB0" w:rsidRPr="000C3F64" w:rsidRDefault="002E5EB0" w:rsidP="000D6E37">
            <w:pPr>
              <w:pStyle w:val="Tablehead"/>
              <w:rPr>
                <w:rFonts w:asciiTheme="majorBidi" w:hAnsiTheme="majorBidi" w:cstheme="majorBidi"/>
                <w:sz w:val="20"/>
              </w:rPr>
            </w:pPr>
            <w:r w:rsidRPr="000C3F64">
              <w:rPr>
                <w:rFonts w:asciiTheme="majorBidi" w:hAnsiTheme="majorBidi" w:cstheme="majorBidi"/>
                <w:sz w:val="20"/>
              </w:rPr>
              <w:t>Fd</w:t>
            </w:r>
            <w:r w:rsidRPr="000C3F64">
              <w:rPr>
                <w:rFonts w:asciiTheme="majorBidi" w:hAnsiTheme="majorBidi" w:cstheme="majorBidi"/>
                <w:sz w:val="20"/>
              </w:rPr>
              <w:br/>
              <w:t>(MHz)</w:t>
            </w:r>
          </w:p>
        </w:tc>
      </w:tr>
      <w:tr w:rsidR="006E0DD4" w:rsidRPr="000C3F64" w:rsidTr="00CB45BF">
        <w:trPr>
          <w:jc w:val="center"/>
        </w:trPr>
        <w:tc>
          <w:tcPr>
            <w:tcW w:w="1644" w:type="dxa"/>
            <w:vMerge w:val="restart"/>
          </w:tcPr>
          <w:p w:rsidR="006E0DD4" w:rsidRPr="000C3F64" w:rsidRDefault="006E0DD4" w:rsidP="00954A89">
            <w:pPr>
              <w:pStyle w:val="Tabletext"/>
              <w:jc w:val="center"/>
              <w:rPr>
                <w:rFonts w:asciiTheme="majorBidi" w:hAnsiTheme="majorBidi" w:cstheme="majorBidi"/>
                <w:sz w:val="20"/>
                <w:lang w:val="es-ES"/>
              </w:rPr>
            </w:pPr>
            <w:r w:rsidRPr="000C3F64">
              <w:rPr>
                <w:rFonts w:asciiTheme="majorBidi" w:hAnsiTheme="majorBidi" w:cstheme="majorBidi"/>
                <w:sz w:val="20"/>
                <w:lang w:val="es-ES"/>
              </w:rPr>
              <w:t>Por debajo de</w:t>
            </w:r>
            <w:r w:rsidRPr="000C3F64">
              <w:rPr>
                <w:rFonts w:asciiTheme="majorBidi" w:hAnsiTheme="majorBidi" w:cstheme="majorBidi"/>
                <w:sz w:val="20"/>
                <w:lang w:val="es-ES"/>
              </w:rPr>
              <w:br/>
              <w:t>21,2 GHz</w:t>
            </w:r>
            <w:r w:rsidR="00954A89">
              <w:rPr>
                <w:rFonts w:asciiTheme="majorBidi" w:hAnsiTheme="majorBidi" w:cstheme="majorBidi"/>
                <w:sz w:val="20"/>
                <w:lang w:val="es-ES"/>
              </w:rPr>
              <w:br/>
            </w:r>
            <w:r w:rsidRPr="000C3F64">
              <w:rPr>
                <w:rFonts w:asciiTheme="majorBidi" w:hAnsiTheme="majorBidi" w:cstheme="majorBidi"/>
                <w:sz w:val="20"/>
                <w:lang w:val="es-ES"/>
              </w:rPr>
              <w:t>(estaciones terminales)</w:t>
            </w:r>
          </w:p>
        </w:tc>
        <w:tc>
          <w:tcPr>
            <w:tcW w:w="141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0,01 </w:t>
            </w:r>
            <w:r w:rsidRPr="000C3F64">
              <w:rPr>
                <w:rFonts w:asciiTheme="majorBidi" w:hAnsiTheme="majorBidi" w:cstheme="majorBidi"/>
                <w:sz w:val="20"/>
              </w:rPr>
              <w:sym w:font="Symbol" w:char="F0A3"/>
            </w:r>
            <w:r w:rsidRPr="000C3F64">
              <w:rPr>
                <w:rFonts w:asciiTheme="majorBidi" w:hAnsiTheme="majorBidi" w:cstheme="majorBidi"/>
                <w:sz w:val="20"/>
              </w:rPr>
              <w:t xml:space="preserve"> CS </w:t>
            </w:r>
            <w:r w:rsidRPr="000C3F64">
              <w:rPr>
                <w:rFonts w:asciiTheme="majorBidi" w:hAnsiTheme="majorBidi" w:cstheme="majorBidi"/>
                <w:sz w:val="20"/>
              </w:rPr>
              <w:sym w:font="Symbol" w:char="F03C"/>
            </w:r>
            <w:r w:rsidRPr="000C3F64">
              <w:rPr>
                <w:rFonts w:asciiTheme="majorBidi" w:hAnsiTheme="majorBidi" w:cstheme="majorBidi"/>
                <w:sz w:val="20"/>
              </w:rPr>
              <w:t xml:space="preserve"> 1</w:t>
            </w:r>
          </w:p>
        </w:tc>
        <w:tc>
          <w:tcPr>
            <w:tcW w:w="158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Fs </w:t>
            </w:r>
            <w:r w:rsidRPr="000C3F64">
              <w:rPr>
                <w:rFonts w:asciiTheme="majorBidi" w:hAnsiTheme="majorBidi" w:cstheme="majorBidi"/>
                <w:sz w:val="20"/>
              </w:rPr>
              <w:sym w:font="Symbol" w:char="F040"/>
            </w:r>
            <w:r w:rsidRPr="000C3F64">
              <w:rPr>
                <w:rFonts w:asciiTheme="majorBidi" w:hAnsiTheme="majorBidi" w:cstheme="majorBidi"/>
                <w:sz w:val="20"/>
              </w:rPr>
              <w:t xml:space="preserve"> 0,006 </w:t>
            </w:r>
            <w:r w:rsidRPr="000C3F64">
              <w:rPr>
                <w:rFonts w:asciiTheme="majorBidi" w:hAnsiTheme="majorBidi" w:cstheme="majorBidi"/>
                <w:sz w:val="20"/>
              </w:rPr>
              <w:sym w:font="Symbol" w:char="F02D"/>
            </w:r>
            <w:r w:rsidRPr="000C3F64">
              <w:rPr>
                <w:rFonts w:asciiTheme="majorBidi" w:hAnsiTheme="majorBidi" w:cstheme="majorBidi"/>
                <w:sz w:val="20"/>
              </w:rPr>
              <w:t xml:space="preserve"> 0,8</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14</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70</w:t>
            </w:r>
          </w:p>
        </w:tc>
      </w:tr>
      <w:tr w:rsidR="006E0DD4" w:rsidRPr="000C3F64" w:rsidTr="00CB45BF">
        <w:trPr>
          <w:jc w:val="center"/>
        </w:trPr>
        <w:tc>
          <w:tcPr>
            <w:tcW w:w="1644" w:type="dxa"/>
            <w:vMerge/>
          </w:tcPr>
          <w:p w:rsidR="006E0DD4" w:rsidRPr="000C3F64" w:rsidRDefault="006E0DD4" w:rsidP="006E0DD4">
            <w:pPr>
              <w:pStyle w:val="Tabletext"/>
              <w:jc w:val="center"/>
              <w:rPr>
                <w:rFonts w:asciiTheme="majorBidi" w:hAnsiTheme="majorBidi" w:cstheme="majorBidi"/>
                <w:sz w:val="20"/>
              </w:rPr>
            </w:pPr>
          </w:p>
        </w:tc>
        <w:tc>
          <w:tcPr>
            <w:tcW w:w="141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1 </w:t>
            </w:r>
            <w:r w:rsidRPr="000C3F64">
              <w:rPr>
                <w:rFonts w:asciiTheme="majorBidi" w:hAnsiTheme="majorBidi" w:cstheme="majorBidi"/>
                <w:sz w:val="20"/>
              </w:rPr>
              <w:sym w:font="Symbol" w:char="F0A3"/>
            </w:r>
            <w:r w:rsidRPr="000C3F64">
              <w:rPr>
                <w:rFonts w:asciiTheme="majorBidi" w:hAnsiTheme="majorBidi" w:cstheme="majorBidi"/>
                <w:sz w:val="20"/>
              </w:rPr>
              <w:t xml:space="preserve"> CS </w:t>
            </w:r>
            <w:r w:rsidRPr="000C3F64">
              <w:rPr>
                <w:rFonts w:asciiTheme="majorBidi" w:hAnsiTheme="majorBidi" w:cstheme="majorBidi"/>
                <w:sz w:val="20"/>
              </w:rPr>
              <w:sym w:font="Symbol" w:char="F03C"/>
            </w:r>
            <w:r w:rsidRPr="000C3F64">
              <w:rPr>
                <w:rFonts w:asciiTheme="majorBidi" w:hAnsiTheme="majorBidi" w:cstheme="majorBidi"/>
                <w:sz w:val="20"/>
              </w:rPr>
              <w:t xml:space="preserve"> 10</w:t>
            </w:r>
          </w:p>
        </w:tc>
        <w:tc>
          <w:tcPr>
            <w:tcW w:w="158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Fs </w:t>
            </w:r>
            <w:r w:rsidRPr="000C3F64">
              <w:rPr>
                <w:rFonts w:asciiTheme="majorBidi" w:hAnsiTheme="majorBidi" w:cstheme="majorBidi"/>
                <w:sz w:val="20"/>
              </w:rPr>
              <w:sym w:font="Symbol" w:char="F040"/>
            </w:r>
            <w:r w:rsidRPr="000C3F64">
              <w:rPr>
                <w:rFonts w:asciiTheme="majorBidi" w:hAnsiTheme="majorBidi" w:cstheme="majorBidi"/>
                <w:sz w:val="20"/>
              </w:rPr>
              <w:t xml:space="preserve"> 0,6 </w:t>
            </w:r>
            <w:r w:rsidRPr="000C3F64">
              <w:rPr>
                <w:rFonts w:asciiTheme="majorBidi" w:hAnsiTheme="majorBidi" w:cstheme="majorBidi"/>
                <w:sz w:val="20"/>
              </w:rPr>
              <w:sym w:font="Symbol" w:char="F02D"/>
            </w:r>
            <w:r w:rsidRPr="000C3F64">
              <w:rPr>
                <w:rFonts w:asciiTheme="majorBidi" w:hAnsiTheme="majorBidi" w:cstheme="majorBidi"/>
                <w:sz w:val="20"/>
              </w:rPr>
              <w:t xml:space="preserve"> 8</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28</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70</w:t>
            </w:r>
          </w:p>
        </w:tc>
      </w:tr>
      <w:tr w:rsidR="006E0DD4" w:rsidRPr="000C3F64" w:rsidTr="00CB45BF">
        <w:trPr>
          <w:jc w:val="center"/>
        </w:trPr>
        <w:tc>
          <w:tcPr>
            <w:tcW w:w="1644" w:type="dxa"/>
            <w:vMerge/>
          </w:tcPr>
          <w:p w:rsidR="006E0DD4" w:rsidRPr="000C3F64" w:rsidRDefault="006E0DD4" w:rsidP="006E0DD4">
            <w:pPr>
              <w:pStyle w:val="Tabletext"/>
              <w:jc w:val="center"/>
              <w:rPr>
                <w:rFonts w:asciiTheme="majorBidi" w:hAnsiTheme="majorBidi" w:cstheme="majorBidi"/>
                <w:sz w:val="20"/>
              </w:rPr>
            </w:pPr>
          </w:p>
        </w:tc>
        <w:tc>
          <w:tcPr>
            <w:tcW w:w="141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CS </w:t>
            </w:r>
            <w:r w:rsidRPr="000C3F64">
              <w:rPr>
                <w:rFonts w:asciiTheme="majorBidi" w:hAnsiTheme="majorBidi" w:cstheme="majorBidi"/>
                <w:sz w:val="20"/>
              </w:rPr>
              <w:sym w:font="Symbol" w:char="F0B3"/>
            </w:r>
            <w:r w:rsidRPr="000C3F64">
              <w:rPr>
                <w:rFonts w:asciiTheme="majorBidi" w:hAnsiTheme="majorBidi" w:cstheme="majorBidi"/>
                <w:sz w:val="20"/>
              </w:rPr>
              <w:t xml:space="preserve"> 10</w:t>
            </w:r>
          </w:p>
        </w:tc>
        <w:tc>
          <w:tcPr>
            <w:tcW w:w="158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Fs </w:t>
            </w:r>
            <w:r w:rsidRPr="000C3F64">
              <w:rPr>
                <w:rFonts w:asciiTheme="majorBidi" w:hAnsiTheme="majorBidi" w:cstheme="majorBidi"/>
                <w:sz w:val="20"/>
              </w:rPr>
              <w:sym w:font="Symbol" w:char="F07E"/>
            </w:r>
            <w:r w:rsidRPr="000C3F64">
              <w:rPr>
                <w:rFonts w:asciiTheme="majorBidi" w:hAnsiTheme="majorBidi" w:cstheme="majorBidi"/>
                <w:sz w:val="20"/>
              </w:rPr>
              <w:t xml:space="preserve"> &gt; 6</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49</w:t>
            </w:r>
            <w:r w:rsidRPr="000C3F64">
              <w:rPr>
                <w:rFonts w:asciiTheme="majorBidi" w:hAnsiTheme="majorBidi" w:cstheme="majorBidi"/>
                <w:sz w:val="20"/>
                <w:vertAlign w:val="superscript"/>
              </w:rPr>
              <w:t>(1)</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70</w:t>
            </w:r>
            <w:r w:rsidRPr="000C3F64">
              <w:rPr>
                <w:rFonts w:asciiTheme="majorBidi" w:hAnsiTheme="majorBidi" w:cstheme="majorBidi"/>
                <w:sz w:val="20"/>
                <w:vertAlign w:val="superscript"/>
              </w:rPr>
              <w:t>(1)</w:t>
            </w:r>
          </w:p>
        </w:tc>
      </w:tr>
      <w:tr w:rsidR="006E0DD4" w:rsidRPr="000C3F64" w:rsidTr="00CB45BF">
        <w:trPr>
          <w:jc w:val="center"/>
        </w:trPr>
        <w:tc>
          <w:tcPr>
            <w:tcW w:w="1644" w:type="dxa"/>
            <w:vMerge w:val="restart"/>
          </w:tcPr>
          <w:p w:rsidR="006E0DD4" w:rsidRPr="000C3F64" w:rsidRDefault="006E0DD4" w:rsidP="00954A89">
            <w:pPr>
              <w:pStyle w:val="Tabletext"/>
              <w:jc w:val="center"/>
              <w:rPr>
                <w:rFonts w:asciiTheme="majorBidi" w:hAnsiTheme="majorBidi" w:cstheme="majorBidi"/>
                <w:sz w:val="20"/>
                <w:lang w:val="es-ES"/>
              </w:rPr>
            </w:pPr>
            <w:r w:rsidRPr="000C3F64">
              <w:rPr>
                <w:rFonts w:asciiTheme="majorBidi" w:hAnsiTheme="majorBidi" w:cstheme="majorBidi"/>
                <w:sz w:val="20"/>
                <w:lang w:val="es-ES"/>
              </w:rPr>
              <w:t>Por debajo de</w:t>
            </w:r>
            <w:r w:rsidRPr="000C3F64">
              <w:rPr>
                <w:rFonts w:asciiTheme="majorBidi" w:hAnsiTheme="majorBidi" w:cstheme="majorBidi"/>
                <w:sz w:val="20"/>
                <w:lang w:val="es-ES"/>
              </w:rPr>
              <w:br/>
              <w:t>21,2 GHz</w:t>
            </w:r>
            <w:r w:rsidR="00954A89">
              <w:rPr>
                <w:rFonts w:asciiTheme="majorBidi" w:hAnsiTheme="majorBidi" w:cstheme="majorBidi"/>
                <w:sz w:val="20"/>
                <w:lang w:val="es-ES"/>
              </w:rPr>
              <w:br/>
            </w:r>
            <w:r w:rsidRPr="000C3F64">
              <w:rPr>
                <w:rFonts w:asciiTheme="majorBidi" w:hAnsiTheme="majorBidi" w:cstheme="majorBidi"/>
                <w:sz w:val="20"/>
                <w:lang w:val="es-ES"/>
              </w:rPr>
              <w:t>(otras estaciones)</w:t>
            </w:r>
          </w:p>
        </w:tc>
        <w:tc>
          <w:tcPr>
            <w:tcW w:w="141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0,01 </w:t>
            </w:r>
            <w:r w:rsidRPr="000C3F64">
              <w:rPr>
                <w:rFonts w:asciiTheme="majorBidi" w:hAnsiTheme="majorBidi" w:cstheme="majorBidi"/>
                <w:sz w:val="20"/>
              </w:rPr>
              <w:sym w:font="Symbol" w:char="F0A3"/>
            </w:r>
            <w:r w:rsidRPr="000C3F64">
              <w:rPr>
                <w:rFonts w:asciiTheme="majorBidi" w:hAnsiTheme="majorBidi" w:cstheme="majorBidi"/>
                <w:sz w:val="20"/>
              </w:rPr>
              <w:t xml:space="preserve"> CS </w:t>
            </w:r>
            <w:r w:rsidRPr="000C3F64">
              <w:rPr>
                <w:rFonts w:asciiTheme="majorBidi" w:hAnsiTheme="majorBidi" w:cstheme="majorBidi"/>
                <w:sz w:val="20"/>
              </w:rPr>
              <w:sym w:font="Symbol" w:char="F03C"/>
            </w:r>
            <w:r w:rsidRPr="000C3F64">
              <w:rPr>
                <w:rFonts w:asciiTheme="majorBidi" w:hAnsiTheme="majorBidi" w:cstheme="majorBidi"/>
                <w:sz w:val="20"/>
              </w:rPr>
              <w:t xml:space="preserve"> 1</w:t>
            </w:r>
          </w:p>
        </w:tc>
        <w:tc>
          <w:tcPr>
            <w:tcW w:w="158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Fs </w:t>
            </w:r>
            <w:r w:rsidRPr="000C3F64">
              <w:rPr>
                <w:rFonts w:asciiTheme="majorBidi" w:hAnsiTheme="majorBidi" w:cstheme="majorBidi"/>
                <w:sz w:val="20"/>
              </w:rPr>
              <w:sym w:font="Symbol" w:char="F040"/>
            </w:r>
            <w:r w:rsidRPr="000C3F64">
              <w:rPr>
                <w:rFonts w:asciiTheme="majorBidi" w:hAnsiTheme="majorBidi" w:cstheme="majorBidi"/>
                <w:sz w:val="20"/>
              </w:rPr>
              <w:t xml:space="preserve"> 0,006 </w:t>
            </w:r>
            <w:r w:rsidRPr="000C3F64">
              <w:rPr>
                <w:rFonts w:asciiTheme="majorBidi" w:hAnsiTheme="majorBidi" w:cstheme="majorBidi"/>
                <w:sz w:val="20"/>
              </w:rPr>
              <w:sym w:font="Symbol" w:char="F02D"/>
            </w:r>
            <w:r w:rsidRPr="000C3F64">
              <w:rPr>
                <w:rFonts w:asciiTheme="majorBidi" w:hAnsiTheme="majorBidi" w:cstheme="majorBidi"/>
                <w:sz w:val="20"/>
              </w:rPr>
              <w:t xml:space="preserve"> 0,8</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3,5</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7</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14</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70</w:t>
            </w:r>
          </w:p>
        </w:tc>
      </w:tr>
      <w:tr w:rsidR="006E0DD4" w:rsidRPr="000C3F64" w:rsidTr="00CB45BF">
        <w:trPr>
          <w:jc w:val="center"/>
        </w:trPr>
        <w:tc>
          <w:tcPr>
            <w:tcW w:w="1644" w:type="dxa"/>
            <w:vMerge/>
          </w:tcPr>
          <w:p w:rsidR="006E0DD4" w:rsidRPr="000C3F64" w:rsidRDefault="006E0DD4" w:rsidP="006E0DD4">
            <w:pPr>
              <w:pStyle w:val="Tabletext"/>
              <w:jc w:val="center"/>
              <w:rPr>
                <w:rFonts w:asciiTheme="majorBidi" w:hAnsiTheme="majorBidi" w:cstheme="majorBidi"/>
                <w:sz w:val="20"/>
              </w:rPr>
            </w:pPr>
          </w:p>
        </w:tc>
        <w:tc>
          <w:tcPr>
            <w:tcW w:w="141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1 </w:t>
            </w:r>
            <w:r w:rsidRPr="000C3F64">
              <w:rPr>
                <w:rFonts w:asciiTheme="majorBidi" w:hAnsiTheme="majorBidi" w:cstheme="majorBidi"/>
                <w:sz w:val="20"/>
              </w:rPr>
              <w:sym w:font="Symbol" w:char="F0A3"/>
            </w:r>
            <w:r w:rsidRPr="000C3F64">
              <w:rPr>
                <w:rFonts w:asciiTheme="majorBidi" w:hAnsiTheme="majorBidi" w:cstheme="majorBidi"/>
                <w:sz w:val="20"/>
              </w:rPr>
              <w:t xml:space="preserve"> CS </w:t>
            </w:r>
            <w:r w:rsidRPr="000C3F64">
              <w:rPr>
                <w:rFonts w:asciiTheme="majorBidi" w:hAnsiTheme="majorBidi" w:cstheme="majorBidi"/>
                <w:sz w:val="20"/>
              </w:rPr>
              <w:sym w:font="Symbol" w:char="F03C"/>
            </w:r>
            <w:r w:rsidRPr="000C3F64">
              <w:rPr>
                <w:rFonts w:asciiTheme="majorBidi" w:hAnsiTheme="majorBidi" w:cstheme="majorBidi"/>
                <w:sz w:val="20"/>
              </w:rPr>
              <w:t xml:space="preserve"> 10</w:t>
            </w:r>
          </w:p>
        </w:tc>
        <w:tc>
          <w:tcPr>
            <w:tcW w:w="158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Fs </w:t>
            </w:r>
            <w:r w:rsidRPr="000C3F64">
              <w:rPr>
                <w:rFonts w:asciiTheme="majorBidi" w:hAnsiTheme="majorBidi" w:cstheme="majorBidi"/>
                <w:sz w:val="20"/>
              </w:rPr>
              <w:sym w:font="Symbol" w:char="F040"/>
            </w:r>
            <w:r w:rsidRPr="000C3F64">
              <w:rPr>
                <w:rFonts w:asciiTheme="majorBidi" w:hAnsiTheme="majorBidi" w:cstheme="majorBidi"/>
                <w:sz w:val="20"/>
              </w:rPr>
              <w:t xml:space="preserve"> 0,6 </w:t>
            </w:r>
            <w:r w:rsidRPr="000C3F64">
              <w:rPr>
                <w:rFonts w:asciiTheme="majorBidi" w:hAnsiTheme="majorBidi" w:cstheme="majorBidi"/>
                <w:sz w:val="20"/>
              </w:rPr>
              <w:sym w:font="Symbol" w:char="F02D"/>
            </w:r>
            <w:r w:rsidRPr="000C3F64">
              <w:rPr>
                <w:rFonts w:asciiTheme="majorBidi" w:hAnsiTheme="majorBidi" w:cstheme="majorBidi"/>
                <w:sz w:val="20"/>
              </w:rPr>
              <w:t xml:space="preserve"> 8</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14</w:t>
            </w:r>
            <w:r w:rsidRPr="000C3F64">
              <w:rPr>
                <w:rFonts w:asciiTheme="majorBidi" w:hAnsiTheme="majorBidi" w:cstheme="majorBidi"/>
                <w:sz w:val="20"/>
                <w:vertAlign w:val="superscript"/>
              </w:rPr>
              <w:t>(1)</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28</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70</w:t>
            </w:r>
          </w:p>
        </w:tc>
      </w:tr>
      <w:tr w:rsidR="006E0DD4" w:rsidRPr="000C3F64" w:rsidTr="00CB45BF">
        <w:trPr>
          <w:jc w:val="center"/>
        </w:trPr>
        <w:tc>
          <w:tcPr>
            <w:tcW w:w="1644" w:type="dxa"/>
            <w:vMerge/>
          </w:tcPr>
          <w:p w:rsidR="006E0DD4" w:rsidRPr="000C3F64" w:rsidRDefault="006E0DD4" w:rsidP="006E0DD4">
            <w:pPr>
              <w:pStyle w:val="Tabletext"/>
              <w:jc w:val="center"/>
              <w:rPr>
                <w:rFonts w:asciiTheme="majorBidi" w:hAnsiTheme="majorBidi" w:cstheme="majorBidi"/>
                <w:sz w:val="20"/>
              </w:rPr>
            </w:pPr>
          </w:p>
        </w:tc>
        <w:tc>
          <w:tcPr>
            <w:tcW w:w="141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CS </w:t>
            </w:r>
            <w:r w:rsidRPr="000C3F64">
              <w:rPr>
                <w:rFonts w:asciiTheme="majorBidi" w:hAnsiTheme="majorBidi" w:cstheme="majorBidi"/>
                <w:sz w:val="20"/>
              </w:rPr>
              <w:sym w:font="Symbol" w:char="F0B3"/>
            </w:r>
            <w:r w:rsidRPr="000C3F64">
              <w:rPr>
                <w:rFonts w:asciiTheme="majorBidi" w:hAnsiTheme="majorBidi" w:cstheme="majorBidi"/>
                <w:sz w:val="20"/>
              </w:rPr>
              <w:t xml:space="preserve"> 10</w:t>
            </w:r>
          </w:p>
        </w:tc>
        <w:tc>
          <w:tcPr>
            <w:tcW w:w="158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Fs </w:t>
            </w:r>
            <w:r w:rsidRPr="000C3F64">
              <w:rPr>
                <w:rFonts w:asciiTheme="majorBidi" w:hAnsiTheme="majorBidi" w:cstheme="majorBidi"/>
                <w:sz w:val="20"/>
              </w:rPr>
              <w:sym w:font="Symbol" w:char="F07E"/>
            </w:r>
            <w:r w:rsidRPr="000C3F64">
              <w:rPr>
                <w:rFonts w:asciiTheme="majorBidi" w:hAnsiTheme="majorBidi" w:cstheme="majorBidi"/>
                <w:sz w:val="20"/>
              </w:rPr>
              <w:t xml:space="preserve"> &gt; 6</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49</w:t>
            </w:r>
            <w:r w:rsidRPr="000C3F64">
              <w:rPr>
                <w:rFonts w:asciiTheme="majorBidi" w:hAnsiTheme="majorBidi" w:cstheme="majorBidi"/>
                <w:sz w:val="20"/>
                <w:vertAlign w:val="superscript"/>
              </w:rPr>
              <w:t>(1)</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70</w:t>
            </w:r>
            <w:r w:rsidRPr="000C3F64">
              <w:rPr>
                <w:rFonts w:asciiTheme="majorBidi" w:hAnsiTheme="majorBidi" w:cstheme="majorBidi"/>
                <w:sz w:val="20"/>
                <w:vertAlign w:val="superscript"/>
              </w:rPr>
              <w:t>(1)</w:t>
            </w:r>
          </w:p>
        </w:tc>
      </w:tr>
      <w:tr w:rsidR="006E0DD4" w:rsidRPr="000C3F64" w:rsidTr="00CB45BF">
        <w:trPr>
          <w:jc w:val="center"/>
        </w:trPr>
        <w:tc>
          <w:tcPr>
            <w:tcW w:w="1644" w:type="dxa"/>
            <w:vMerge w:val="restart"/>
          </w:tcPr>
          <w:p w:rsidR="006E0DD4" w:rsidRPr="000C3F64" w:rsidRDefault="006E0DD4" w:rsidP="00954A89">
            <w:pPr>
              <w:pStyle w:val="Tabletext"/>
              <w:jc w:val="center"/>
              <w:rPr>
                <w:rFonts w:asciiTheme="majorBidi" w:hAnsiTheme="majorBidi" w:cstheme="majorBidi"/>
                <w:sz w:val="20"/>
                <w:lang w:val="es-ES"/>
              </w:rPr>
            </w:pPr>
            <w:r w:rsidRPr="000C3F64">
              <w:rPr>
                <w:rFonts w:asciiTheme="majorBidi" w:hAnsiTheme="majorBidi" w:cstheme="majorBidi"/>
                <w:sz w:val="20"/>
                <w:lang w:val="es-ES"/>
              </w:rPr>
              <w:t>Por encima de 21,2 GHz</w:t>
            </w:r>
            <w:r w:rsidR="00954A89">
              <w:rPr>
                <w:rFonts w:asciiTheme="majorBidi" w:hAnsiTheme="majorBidi" w:cstheme="majorBidi"/>
                <w:sz w:val="20"/>
                <w:lang w:val="es-ES"/>
              </w:rPr>
              <w:br/>
            </w:r>
            <w:r w:rsidRPr="000C3F64">
              <w:rPr>
                <w:rFonts w:asciiTheme="majorBidi" w:hAnsiTheme="majorBidi" w:cstheme="majorBidi"/>
                <w:sz w:val="20"/>
                <w:lang w:val="es-ES"/>
              </w:rPr>
              <w:t>(todas las estaciones)</w:t>
            </w:r>
          </w:p>
        </w:tc>
        <w:tc>
          <w:tcPr>
            <w:tcW w:w="141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1 </w:t>
            </w:r>
            <w:r w:rsidRPr="000C3F64">
              <w:rPr>
                <w:rFonts w:asciiTheme="majorBidi" w:hAnsiTheme="majorBidi" w:cstheme="majorBidi"/>
                <w:sz w:val="20"/>
              </w:rPr>
              <w:sym w:font="Symbol" w:char="F0A3"/>
            </w:r>
            <w:r w:rsidRPr="000C3F64">
              <w:rPr>
                <w:rFonts w:asciiTheme="majorBidi" w:hAnsiTheme="majorBidi" w:cstheme="majorBidi"/>
                <w:sz w:val="20"/>
              </w:rPr>
              <w:t xml:space="preserve"> CS </w:t>
            </w:r>
            <w:r w:rsidRPr="000C3F64">
              <w:rPr>
                <w:rFonts w:asciiTheme="majorBidi" w:hAnsiTheme="majorBidi" w:cstheme="majorBidi"/>
                <w:sz w:val="20"/>
              </w:rPr>
              <w:sym w:font="Symbol" w:char="F03C"/>
            </w:r>
            <w:r w:rsidRPr="000C3F64">
              <w:rPr>
                <w:rFonts w:asciiTheme="majorBidi" w:hAnsiTheme="majorBidi" w:cstheme="majorBidi"/>
                <w:sz w:val="20"/>
              </w:rPr>
              <w:t xml:space="preserve"> 10</w:t>
            </w:r>
          </w:p>
        </w:tc>
        <w:tc>
          <w:tcPr>
            <w:tcW w:w="158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Fs </w:t>
            </w:r>
            <w:r w:rsidRPr="000C3F64">
              <w:rPr>
                <w:rFonts w:asciiTheme="majorBidi" w:hAnsiTheme="majorBidi" w:cstheme="majorBidi"/>
                <w:sz w:val="20"/>
              </w:rPr>
              <w:sym w:font="Symbol" w:char="F040"/>
            </w:r>
            <w:r w:rsidRPr="000C3F64">
              <w:rPr>
                <w:rFonts w:asciiTheme="majorBidi" w:hAnsiTheme="majorBidi" w:cstheme="majorBidi"/>
                <w:sz w:val="20"/>
              </w:rPr>
              <w:t xml:space="preserve"> 0,6 </w:t>
            </w:r>
            <w:r w:rsidRPr="000C3F64">
              <w:rPr>
                <w:rFonts w:asciiTheme="majorBidi" w:hAnsiTheme="majorBidi" w:cstheme="majorBidi"/>
                <w:sz w:val="20"/>
              </w:rPr>
              <w:sym w:font="Symbol" w:char="F02D"/>
            </w:r>
            <w:r w:rsidRPr="000C3F64">
              <w:rPr>
                <w:rFonts w:asciiTheme="majorBidi" w:hAnsiTheme="majorBidi" w:cstheme="majorBidi"/>
                <w:sz w:val="20"/>
              </w:rPr>
              <w:t xml:space="preserve"> 8</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70</w:t>
            </w:r>
          </w:p>
        </w:tc>
      </w:tr>
      <w:tr w:rsidR="006E0DD4" w:rsidRPr="000C3F64" w:rsidTr="00CB45BF">
        <w:trPr>
          <w:jc w:val="center"/>
        </w:trPr>
        <w:tc>
          <w:tcPr>
            <w:tcW w:w="1644" w:type="dxa"/>
            <w:vMerge/>
            <w:tcBorders>
              <w:bottom w:val="single" w:sz="6" w:space="0" w:color="auto"/>
            </w:tcBorders>
          </w:tcPr>
          <w:p w:rsidR="006E0DD4" w:rsidRPr="000C3F64" w:rsidRDefault="006E0DD4" w:rsidP="006E0DD4">
            <w:pPr>
              <w:pStyle w:val="Tabletext"/>
              <w:jc w:val="center"/>
              <w:rPr>
                <w:rFonts w:asciiTheme="majorBidi" w:hAnsiTheme="majorBidi" w:cstheme="majorBidi"/>
                <w:sz w:val="20"/>
                <w:lang w:val="es-ES"/>
              </w:rPr>
            </w:pPr>
          </w:p>
        </w:tc>
        <w:tc>
          <w:tcPr>
            <w:tcW w:w="141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CS </w:t>
            </w:r>
            <w:r w:rsidRPr="000C3F64">
              <w:rPr>
                <w:rFonts w:asciiTheme="majorBidi" w:hAnsiTheme="majorBidi" w:cstheme="majorBidi"/>
                <w:sz w:val="20"/>
              </w:rPr>
              <w:sym w:font="Symbol" w:char="F0B3"/>
            </w:r>
            <w:r w:rsidRPr="000C3F64">
              <w:rPr>
                <w:rFonts w:asciiTheme="majorBidi" w:hAnsiTheme="majorBidi" w:cstheme="majorBidi"/>
                <w:sz w:val="20"/>
              </w:rPr>
              <w:t xml:space="preserve"> 10</w:t>
            </w:r>
          </w:p>
        </w:tc>
        <w:tc>
          <w:tcPr>
            <w:tcW w:w="158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 xml:space="preserve">Fs  &gt; </w:t>
            </w:r>
            <w:r w:rsidRPr="000C3F64">
              <w:rPr>
                <w:rFonts w:asciiTheme="majorBidi" w:hAnsiTheme="majorBidi" w:cstheme="majorBidi"/>
                <w:sz w:val="20"/>
              </w:rPr>
              <w:sym w:font="Symbol" w:char="F07E"/>
            </w:r>
            <w:r w:rsidRPr="000C3F64">
              <w:rPr>
                <w:rFonts w:asciiTheme="majorBidi" w:hAnsiTheme="majorBidi" w:cstheme="majorBidi"/>
                <w:sz w:val="20"/>
              </w:rPr>
              <w:t xml:space="preserve"> 6</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c>
          <w:tcPr>
            <w:tcW w:w="1247" w:type="dxa"/>
          </w:tcPr>
          <w:p w:rsidR="006E0DD4" w:rsidRPr="000C3F64" w:rsidRDefault="006E0DD4" w:rsidP="006E0DD4">
            <w:pPr>
              <w:pStyle w:val="Tabletext"/>
              <w:jc w:val="center"/>
              <w:rPr>
                <w:rFonts w:asciiTheme="majorBidi" w:hAnsiTheme="majorBidi" w:cstheme="majorBidi"/>
                <w:sz w:val="20"/>
              </w:rPr>
            </w:pPr>
            <w:r w:rsidRPr="000C3F64">
              <w:rPr>
                <w:rFonts w:asciiTheme="majorBidi" w:hAnsiTheme="majorBidi" w:cstheme="majorBidi"/>
                <w:sz w:val="20"/>
              </w:rPr>
              <w:t>–</w:t>
            </w:r>
          </w:p>
        </w:tc>
      </w:tr>
      <w:tr w:rsidR="002E5EB0" w:rsidRPr="00DD03A6" w:rsidTr="00CB45BF">
        <w:trPr>
          <w:jc w:val="center"/>
        </w:trPr>
        <w:tc>
          <w:tcPr>
            <w:tcW w:w="9639" w:type="dxa"/>
            <w:gridSpan w:val="7"/>
            <w:tcBorders>
              <w:top w:val="single" w:sz="6" w:space="0" w:color="auto"/>
              <w:left w:val="nil"/>
              <w:bottom w:val="nil"/>
              <w:right w:val="nil"/>
            </w:tcBorders>
          </w:tcPr>
          <w:p w:rsidR="002E5EB0" w:rsidRPr="000C3F64" w:rsidRDefault="00CB45BF" w:rsidP="00CB45BF">
            <w:pPr>
              <w:pStyle w:val="Tablelegend"/>
              <w:ind w:left="0" w:firstLine="0"/>
              <w:rPr>
                <w:rFonts w:asciiTheme="majorBidi" w:hAnsiTheme="majorBidi" w:cstheme="majorBidi"/>
                <w:sz w:val="20"/>
                <w:lang w:val="es-ES"/>
              </w:rPr>
            </w:pPr>
            <w:r w:rsidRPr="000C3F64">
              <w:rPr>
                <w:rFonts w:asciiTheme="majorBidi" w:hAnsiTheme="majorBidi" w:cstheme="majorBidi"/>
                <w:sz w:val="20"/>
                <w:vertAlign w:val="superscript"/>
                <w:lang w:val="es-ES"/>
              </w:rPr>
              <w:t xml:space="preserve"> </w:t>
            </w:r>
            <w:r w:rsidR="002E5EB0" w:rsidRPr="000C3F64">
              <w:rPr>
                <w:rFonts w:asciiTheme="majorBidi" w:hAnsiTheme="majorBidi" w:cstheme="majorBidi"/>
                <w:sz w:val="20"/>
                <w:vertAlign w:val="superscript"/>
                <w:lang w:val="es-ES"/>
              </w:rPr>
              <w:t>(1)</w:t>
            </w:r>
            <w:r w:rsidR="002E5EB0" w:rsidRPr="000C3F64">
              <w:rPr>
                <w:rFonts w:asciiTheme="majorBidi" w:hAnsiTheme="majorBidi" w:cstheme="majorBidi"/>
                <w:sz w:val="20"/>
                <w:lang w:val="es-ES"/>
              </w:rPr>
              <w:tab/>
              <w:t>No aplicable a las CS que rebasan el 250% de estos valores.</w:t>
            </w:r>
          </w:p>
        </w:tc>
      </w:tr>
    </w:tbl>
    <w:p w:rsidR="006E0DD4" w:rsidRDefault="006E0DD4" w:rsidP="006E0DD4">
      <w:pPr>
        <w:rPr>
          <w:lang w:val="es-ES"/>
        </w:rPr>
      </w:pPr>
    </w:p>
    <w:p w:rsidR="006E0DD4" w:rsidRDefault="006E0DD4" w:rsidP="0007426D">
      <w:pPr>
        <w:rPr>
          <w:lang w:val="es-ES"/>
        </w:rPr>
      </w:pPr>
    </w:p>
    <w:p w:rsidR="0007426D" w:rsidRDefault="0007426D" w:rsidP="0007426D">
      <w:pPr>
        <w:rPr>
          <w:lang w:val="es-ES"/>
        </w:rPr>
      </w:pPr>
    </w:p>
    <w:p w:rsidR="0007426D" w:rsidRDefault="0007426D" w:rsidP="0007426D">
      <w:pPr>
        <w:rPr>
          <w:lang w:val="es-ES"/>
        </w:rPr>
      </w:pPr>
    </w:p>
    <w:p w:rsidR="002E5EB0" w:rsidRDefault="002E5EB0" w:rsidP="002E5EB0">
      <w:pPr>
        <w:pStyle w:val="AnnexNoTitle"/>
        <w:rPr>
          <w:lang w:val="es-ES"/>
        </w:rPr>
      </w:pPr>
      <w:r>
        <w:rPr>
          <w:lang w:val="es-ES"/>
        </w:rPr>
        <w:t>Anexo 7</w:t>
      </w:r>
      <w:r>
        <w:rPr>
          <w:lang w:val="es-ES"/>
        </w:rPr>
        <w:br/>
      </w:r>
      <w:r>
        <w:rPr>
          <w:lang w:val="es-ES"/>
        </w:rPr>
        <w:br/>
        <w:t xml:space="preserve">Anchura de banda de referencia para los límites de la Categoría B </w:t>
      </w:r>
      <w:r>
        <w:rPr>
          <w:lang w:val="es-ES"/>
        </w:rPr>
        <w:br/>
        <w:t>Caso del servicio móvil terrestre</w:t>
      </w:r>
    </w:p>
    <w:p w:rsidR="002E5EB0" w:rsidRDefault="002E5EB0" w:rsidP="002E5EB0">
      <w:pPr>
        <w:pStyle w:val="Normalaftertitle"/>
        <w:rPr>
          <w:lang w:val="es-ES"/>
        </w:rPr>
      </w:pPr>
      <w:r>
        <w:rPr>
          <w:lang w:val="es-ES"/>
        </w:rPr>
        <w:t>Los sistemas con modulación analógica en banda estrecha del servicio móvil terrestre cuya potencia de salida es superior a 1 W y que funciona por encima de 30 MHz, así como los sistemas con modulación digital del servicio móvil terrestre, aunque generalmente ofrecen una buena eficacia espectral, son incapaces de cumplir los límites de la Categoría B en las frecuencias próximas debido al ruido de banda ancha generado por dichos sistemas. Por tanto, es necesario establecer pasos genéricos de anchura de banda de referencia con el fin de establecer una zona de transición conveniente para la densidad espectral.</w:t>
      </w:r>
    </w:p>
    <w:p w:rsidR="002E5EB0" w:rsidRDefault="002E5EB0" w:rsidP="002E5EB0">
      <w:pPr>
        <w:rPr>
          <w:lang w:val="es-ES"/>
        </w:rPr>
      </w:pPr>
      <w:r>
        <w:rPr>
          <w:lang w:val="es-ES"/>
        </w:rPr>
        <w:t>El contorno de la anchura de banda de referencia genérica se representa en la Fig. 4, siendo los puntos de corte función de la CS o de la NB del Cuadro 12 para frecuencias inferiores a 1 GHz, y en la Fig. 5, siendo los puntos de corte función de la CS o de la NB del Cuadro 13, para frecuencias superiores a 1 GHz.</w:t>
      </w:r>
    </w:p>
    <w:p w:rsidR="002E5EB0" w:rsidRDefault="002E5EB0" w:rsidP="002E5EB0">
      <w:pPr>
        <w:rPr>
          <w:lang w:val="es-ES"/>
        </w:rPr>
      </w:pPr>
      <w:r>
        <w:rPr>
          <w:lang w:val="es-ES"/>
        </w:rPr>
        <w:t>Estos contornos se aplicarán a los terminales móviles y a las estaciones de base.</w:t>
      </w:r>
    </w:p>
    <w:p w:rsidR="002E5EB0" w:rsidRDefault="002E5EB0" w:rsidP="002E5EB0">
      <w:pPr>
        <w:pStyle w:val="FigureNo"/>
      </w:pPr>
      <w:r>
        <w:rPr>
          <w:noProof/>
          <w:lang w:val="es-ES_tradnl" w:eastAsia="zh-CN"/>
        </w:rPr>
        <w:lastRenderedPageBreak/>
        <w:drawing>
          <wp:inline distT="0" distB="0" distL="0" distR="0" wp14:anchorId="4FBE3246" wp14:editId="4E9B9054">
            <wp:extent cx="5501005" cy="374523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1005" cy="3745230"/>
                    </a:xfrm>
                    <a:prstGeom prst="rect">
                      <a:avLst/>
                    </a:prstGeom>
                    <a:noFill/>
                    <a:ln>
                      <a:noFill/>
                    </a:ln>
                  </pic:spPr>
                </pic:pic>
              </a:graphicData>
            </a:graphic>
          </wp:inline>
        </w:drawing>
      </w:r>
    </w:p>
    <w:p w:rsidR="002E5EB0" w:rsidRDefault="002E5EB0" w:rsidP="002E5EB0"/>
    <w:p w:rsidR="002E5EB0" w:rsidRDefault="002E5EB0" w:rsidP="002E5EB0"/>
    <w:p w:rsidR="002E5EB0" w:rsidRDefault="002E5EB0" w:rsidP="002E5EB0"/>
    <w:p w:rsidR="002E5EB0" w:rsidRDefault="008A294A" w:rsidP="002E5EB0">
      <w:pPr>
        <w:pStyle w:val="TableNo"/>
        <w:rPr>
          <w:lang w:val="es-ES"/>
        </w:rPr>
      </w:pPr>
      <w:r>
        <w:rPr>
          <w:lang w:val="es-ES"/>
        </w:rPr>
        <w:t xml:space="preserve">CUADRO </w:t>
      </w:r>
      <w:r w:rsidR="002E5EB0">
        <w:rPr>
          <w:lang w:val="es-ES"/>
        </w:rPr>
        <w:t>12</w:t>
      </w:r>
    </w:p>
    <w:p w:rsidR="002E5EB0" w:rsidRDefault="002E5EB0" w:rsidP="002E5EB0">
      <w:pPr>
        <w:pStyle w:val="Tabletitle"/>
        <w:rPr>
          <w:lang w:val="es-ES"/>
        </w:rPr>
      </w:pPr>
      <w:r>
        <w:rPr>
          <w:lang w:val="es-ES"/>
        </w:rPr>
        <w:t>Contornos del servicio móvil terrestre de Categoría B genéricos</w:t>
      </w:r>
      <w:r>
        <w:rPr>
          <w:lang w:val="es-ES"/>
        </w:rPr>
        <w:br/>
        <w:t>por encima de 1 GHz para emisiones no deseadas</w:t>
      </w:r>
      <w:r>
        <w:rPr>
          <w:lang w:val="es-ES"/>
        </w:rPr>
        <w:br/>
        <w:t>en el dominio no esencial</w:t>
      </w:r>
    </w:p>
    <w:p w:rsidR="002E5EB0" w:rsidRDefault="002E5EB0" w:rsidP="002E5EB0">
      <w:pPr>
        <w:pStyle w:val="Tabletitle"/>
        <w:rPr>
          <w:b w:val="0"/>
          <w:bCs/>
          <w:lang w:val="fr-CH"/>
        </w:rPr>
      </w:pPr>
      <w:r w:rsidRPr="00B2371E">
        <w:rPr>
          <w:b w:val="0"/>
          <w:bCs/>
          <w:lang w:val="es-ES_tradnl"/>
        </w:rPr>
        <w:t>(véase</w:t>
      </w:r>
      <w:r>
        <w:rPr>
          <w:b w:val="0"/>
          <w:bCs/>
          <w:lang w:val="fr-CH"/>
        </w:rPr>
        <w:t xml:space="preserve"> la Fig. 4)</w:t>
      </w:r>
    </w:p>
    <w:p w:rsidR="002E5EB0" w:rsidRDefault="002E5EB0" w:rsidP="002E5EB0">
      <w:pPr>
        <w:pStyle w:val="Blanc"/>
        <w:rPr>
          <w:lang w:val="fr-F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1701"/>
        <w:gridCol w:w="5670"/>
      </w:tblGrid>
      <w:tr w:rsidR="002E5EB0" w:rsidRPr="00DD03A6" w:rsidTr="009E4D54">
        <w:trPr>
          <w:jc w:val="center"/>
        </w:trPr>
        <w:tc>
          <w:tcPr>
            <w:tcW w:w="1701" w:type="dxa"/>
          </w:tcPr>
          <w:p w:rsidR="002E5EB0" w:rsidRDefault="002E5EB0" w:rsidP="009E4D54">
            <w:pPr>
              <w:pStyle w:val="TableText0"/>
              <w:jc w:val="center"/>
              <w:rPr>
                <w:lang w:val="fr-FR"/>
              </w:rPr>
            </w:pPr>
            <w:r>
              <w:rPr>
                <w:lang w:val="fr-FR"/>
              </w:rPr>
              <w:t>Fa</w:t>
            </w:r>
          </w:p>
        </w:tc>
        <w:tc>
          <w:tcPr>
            <w:tcW w:w="5670" w:type="dxa"/>
          </w:tcPr>
          <w:p w:rsidR="002E5EB0" w:rsidRDefault="002E5EB0" w:rsidP="000C144E">
            <w:pPr>
              <w:pStyle w:val="TableText0"/>
              <w:rPr>
                <w:lang w:val="es-ES"/>
              </w:rPr>
            </w:pPr>
            <w:r>
              <w:rPr>
                <w:lang w:val="es-ES"/>
              </w:rPr>
              <w:t>El mayor de 100 kHz o 4 veces la NB</w:t>
            </w:r>
          </w:p>
        </w:tc>
      </w:tr>
      <w:tr w:rsidR="002E5EB0" w:rsidRPr="00DD03A6" w:rsidTr="009E4D54">
        <w:trPr>
          <w:jc w:val="center"/>
        </w:trPr>
        <w:tc>
          <w:tcPr>
            <w:tcW w:w="1701" w:type="dxa"/>
          </w:tcPr>
          <w:p w:rsidR="002E5EB0" w:rsidRDefault="002E5EB0" w:rsidP="009E4D54">
            <w:pPr>
              <w:pStyle w:val="TableText0"/>
              <w:jc w:val="center"/>
              <w:rPr>
                <w:lang w:val="fr-FR"/>
              </w:rPr>
            </w:pPr>
            <w:r>
              <w:rPr>
                <w:lang w:val="fr-FR"/>
              </w:rPr>
              <w:t>Fb</w:t>
            </w:r>
          </w:p>
        </w:tc>
        <w:tc>
          <w:tcPr>
            <w:tcW w:w="5670" w:type="dxa"/>
          </w:tcPr>
          <w:p w:rsidR="002E5EB0" w:rsidRDefault="002E5EB0" w:rsidP="000C144E">
            <w:pPr>
              <w:pStyle w:val="TableText0"/>
              <w:rPr>
                <w:lang w:val="es-ES"/>
              </w:rPr>
            </w:pPr>
            <w:r>
              <w:rPr>
                <w:lang w:val="es-ES"/>
              </w:rPr>
              <w:t>El mayor de 500 kHz o 10 veces la NB</w:t>
            </w:r>
          </w:p>
        </w:tc>
      </w:tr>
    </w:tbl>
    <w:p w:rsidR="002E5EB0" w:rsidRDefault="002E5EB0" w:rsidP="002E5EB0">
      <w:pPr>
        <w:pStyle w:val="Tablefin"/>
        <w:rPr>
          <w:lang w:val="es-ES"/>
        </w:rPr>
      </w:pPr>
    </w:p>
    <w:p w:rsidR="002E5EB0" w:rsidRDefault="002E5EB0" w:rsidP="002E5EB0">
      <w:pPr>
        <w:pStyle w:val="FigureNo"/>
        <w:rPr>
          <w:lang w:val="es-ES"/>
        </w:rPr>
      </w:pPr>
      <w:r>
        <w:rPr>
          <w:noProof/>
          <w:lang w:val="es-ES_tradnl" w:eastAsia="zh-CN"/>
        </w:rPr>
        <w:lastRenderedPageBreak/>
        <w:drawing>
          <wp:inline distT="0" distB="0" distL="0" distR="0" wp14:anchorId="40FCCBBE" wp14:editId="3D212113">
            <wp:extent cx="5201285" cy="3774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1285" cy="3774440"/>
                    </a:xfrm>
                    <a:prstGeom prst="rect">
                      <a:avLst/>
                    </a:prstGeom>
                    <a:noFill/>
                    <a:ln>
                      <a:noFill/>
                    </a:ln>
                  </pic:spPr>
                </pic:pic>
              </a:graphicData>
            </a:graphic>
          </wp:inline>
        </w:drawing>
      </w:r>
    </w:p>
    <w:p w:rsidR="002E5EB0" w:rsidRDefault="002E5EB0" w:rsidP="002E5EB0">
      <w:pPr>
        <w:rPr>
          <w:lang w:val="es-ES"/>
        </w:rPr>
      </w:pPr>
    </w:p>
    <w:p w:rsidR="002E5EB0" w:rsidRDefault="002E5EB0" w:rsidP="002E5EB0">
      <w:pPr>
        <w:rPr>
          <w:lang w:val="es-ES"/>
        </w:rPr>
      </w:pPr>
    </w:p>
    <w:p w:rsidR="002E5EB0" w:rsidRDefault="002E5EB0" w:rsidP="002E5EB0">
      <w:pPr>
        <w:rPr>
          <w:lang w:val="es-ES"/>
        </w:rPr>
      </w:pPr>
    </w:p>
    <w:p w:rsidR="002E5EB0" w:rsidRDefault="008A294A" w:rsidP="002E5EB0">
      <w:pPr>
        <w:pStyle w:val="TableNo"/>
        <w:rPr>
          <w:lang w:val="es-ES"/>
        </w:rPr>
      </w:pPr>
      <w:r>
        <w:rPr>
          <w:lang w:val="es-ES"/>
        </w:rPr>
        <w:t xml:space="preserve">CUADRO </w:t>
      </w:r>
      <w:r w:rsidR="002E5EB0">
        <w:rPr>
          <w:lang w:val="es-ES"/>
        </w:rPr>
        <w:t>13</w:t>
      </w:r>
    </w:p>
    <w:p w:rsidR="002E5EB0" w:rsidRDefault="002E5EB0" w:rsidP="002E5EB0">
      <w:pPr>
        <w:pStyle w:val="Tabletitle"/>
        <w:rPr>
          <w:lang w:val="es-ES"/>
        </w:rPr>
      </w:pPr>
      <w:r>
        <w:rPr>
          <w:lang w:val="es-ES"/>
        </w:rPr>
        <w:t>Contornos del servicio móvil terrestre de Categoría B genéricos</w:t>
      </w:r>
      <w:r>
        <w:rPr>
          <w:lang w:val="es-ES"/>
        </w:rPr>
        <w:br/>
        <w:t>por encima de 1 GHz para emisiones no deseadas</w:t>
      </w:r>
      <w:r>
        <w:rPr>
          <w:lang w:val="es-ES"/>
        </w:rPr>
        <w:br/>
        <w:t>en el dominio no esencial</w:t>
      </w:r>
    </w:p>
    <w:p w:rsidR="002E5EB0" w:rsidRDefault="002E5EB0" w:rsidP="002E5EB0">
      <w:pPr>
        <w:pStyle w:val="Tabletitle"/>
        <w:rPr>
          <w:b w:val="0"/>
          <w:bCs/>
        </w:rPr>
      </w:pPr>
      <w:r w:rsidRPr="00AD57E9">
        <w:rPr>
          <w:b w:val="0"/>
          <w:bCs/>
          <w:lang w:val="es-ES_tradnl"/>
        </w:rPr>
        <w:t>(véase</w:t>
      </w:r>
      <w:r>
        <w:rPr>
          <w:b w:val="0"/>
          <w:bCs/>
        </w:rPr>
        <w:t xml:space="preserve"> la Fig. 5)</w:t>
      </w:r>
    </w:p>
    <w:p w:rsidR="002E5EB0" w:rsidRDefault="002E5EB0" w:rsidP="002E5EB0">
      <w:pPr>
        <w:pStyle w:val="Blanc"/>
        <w:rPr>
          <w:lang w:val="fr-FR"/>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1701"/>
        <w:gridCol w:w="5670"/>
      </w:tblGrid>
      <w:tr w:rsidR="002E5EB0" w:rsidRPr="00DD03A6" w:rsidTr="009E4D54">
        <w:trPr>
          <w:jc w:val="center"/>
        </w:trPr>
        <w:tc>
          <w:tcPr>
            <w:tcW w:w="1701" w:type="dxa"/>
          </w:tcPr>
          <w:p w:rsidR="002E5EB0" w:rsidRDefault="002E5EB0" w:rsidP="009E4D54">
            <w:pPr>
              <w:pStyle w:val="TableText0"/>
              <w:jc w:val="center"/>
              <w:rPr>
                <w:lang w:val="fr-FR"/>
              </w:rPr>
            </w:pPr>
            <w:r>
              <w:rPr>
                <w:lang w:val="fr-FR"/>
              </w:rPr>
              <w:t>Fa</w:t>
            </w:r>
          </w:p>
        </w:tc>
        <w:tc>
          <w:tcPr>
            <w:tcW w:w="5670" w:type="dxa"/>
          </w:tcPr>
          <w:p w:rsidR="002E5EB0" w:rsidRDefault="002E5EB0" w:rsidP="000C144E">
            <w:pPr>
              <w:pStyle w:val="TableText0"/>
              <w:rPr>
                <w:lang w:val="es-ES"/>
              </w:rPr>
            </w:pPr>
            <w:r>
              <w:rPr>
                <w:lang w:val="es-ES"/>
              </w:rPr>
              <w:t>El mayor de 500 kHz o 10 veces la NB</w:t>
            </w:r>
          </w:p>
        </w:tc>
      </w:tr>
      <w:tr w:rsidR="002E5EB0" w:rsidRPr="00DD03A6" w:rsidTr="009E4D54">
        <w:trPr>
          <w:jc w:val="center"/>
        </w:trPr>
        <w:tc>
          <w:tcPr>
            <w:tcW w:w="1701" w:type="dxa"/>
          </w:tcPr>
          <w:p w:rsidR="002E5EB0" w:rsidRDefault="002E5EB0" w:rsidP="009E4D54">
            <w:pPr>
              <w:pStyle w:val="TableText0"/>
              <w:jc w:val="center"/>
              <w:rPr>
                <w:lang w:val="fr-FR"/>
              </w:rPr>
            </w:pPr>
            <w:r>
              <w:rPr>
                <w:lang w:val="fr-FR"/>
              </w:rPr>
              <w:t>Fb</w:t>
            </w:r>
          </w:p>
        </w:tc>
        <w:tc>
          <w:tcPr>
            <w:tcW w:w="5670" w:type="dxa"/>
          </w:tcPr>
          <w:p w:rsidR="002E5EB0" w:rsidRDefault="002E5EB0" w:rsidP="000C144E">
            <w:pPr>
              <w:pStyle w:val="TableText0"/>
              <w:rPr>
                <w:lang w:val="es-ES"/>
              </w:rPr>
            </w:pPr>
            <w:r>
              <w:rPr>
                <w:lang w:val="es-ES"/>
              </w:rPr>
              <w:t>El mayor de 1 MHz o 12 veces la NB</w:t>
            </w:r>
          </w:p>
        </w:tc>
      </w:tr>
    </w:tbl>
    <w:p w:rsidR="002E5EB0" w:rsidRDefault="002E5EB0" w:rsidP="002E5EB0">
      <w:pPr>
        <w:pStyle w:val="Tablefin"/>
        <w:rPr>
          <w:lang w:val="es-ES"/>
        </w:rPr>
      </w:pPr>
    </w:p>
    <w:p w:rsidR="00A6617B" w:rsidRDefault="00A6617B" w:rsidP="00A6617B">
      <w:pPr>
        <w:rPr>
          <w:lang w:val="es-ES_tradnl"/>
        </w:rPr>
      </w:pPr>
    </w:p>
    <w:p w:rsidR="006E0DD4" w:rsidRPr="00ED6AC7" w:rsidRDefault="006E0DD4" w:rsidP="00A6617B">
      <w:pPr>
        <w:rPr>
          <w:lang w:val="es-ES_tradnl"/>
        </w:rPr>
      </w:pPr>
    </w:p>
    <w:p w:rsidR="006E0DD4" w:rsidRPr="00ED6AC7" w:rsidRDefault="006E0DD4" w:rsidP="006E0DD4">
      <w:pPr>
        <w:pStyle w:val="Line"/>
        <w:rPr>
          <w:lang w:val="es-ES_tradnl"/>
        </w:rPr>
      </w:pPr>
    </w:p>
    <w:sectPr w:rsidR="006E0DD4" w:rsidRPr="00ED6AC7" w:rsidSect="00955A33">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5D3" w:rsidRDefault="00AD45D3">
      <w:r>
        <w:separator/>
      </w:r>
    </w:p>
  </w:endnote>
  <w:endnote w:type="continuationSeparator" w:id="0">
    <w:p w:rsidR="00AD45D3" w:rsidRDefault="00AD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5D3" w:rsidRDefault="00AD45D3">
      <w:r>
        <w:separator/>
      </w:r>
    </w:p>
  </w:footnote>
  <w:footnote w:type="continuationSeparator" w:id="0">
    <w:p w:rsidR="00AD45D3" w:rsidRDefault="00AD45D3">
      <w:r>
        <w:continuationSeparator/>
      </w:r>
    </w:p>
  </w:footnote>
  <w:footnote w:id="1">
    <w:p w:rsidR="00AD45D3" w:rsidRDefault="00AD45D3" w:rsidP="002E5EB0">
      <w:pPr>
        <w:pStyle w:val="FootnoteText"/>
        <w:rPr>
          <w:lang w:val="es-ES"/>
        </w:rPr>
      </w:pPr>
      <w:r>
        <w:rPr>
          <w:rStyle w:val="FootnoteReference"/>
          <w:lang w:val="es-ES"/>
        </w:rPr>
        <w:t>*</w:t>
      </w:r>
      <w:r>
        <w:rPr>
          <w:lang w:val="es-ES"/>
        </w:rPr>
        <w:tab/>
        <w:t>Los límites que aparecen en esta Recomendación se aplican a cualquier emisión fuera de banda o no esencial en el dominio no esencial. En dicho dominio no esencial predominan normalmente las emisiones no esenciales.</w:t>
      </w:r>
    </w:p>
  </w:footnote>
  <w:footnote w:id="2">
    <w:p w:rsidR="00AD45D3" w:rsidRDefault="00AD45D3" w:rsidP="002E5EB0">
      <w:pPr>
        <w:pStyle w:val="FootnoteText"/>
        <w:rPr>
          <w:lang w:val="es-ES"/>
        </w:rPr>
      </w:pPr>
      <w:r>
        <w:rPr>
          <w:rStyle w:val="FootnoteReference"/>
          <w:lang w:val="es-ES"/>
        </w:rPr>
        <w:t>1</w:t>
      </w:r>
      <w:r>
        <w:rPr>
          <w:lang w:val="es-ES"/>
        </w:rPr>
        <w:tab/>
        <w:t>Las emisiones en el dominio no esencial son emisiones no deseadas en frecuencias dentro del dominio no esencial.</w:t>
      </w:r>
    </w:p>
  </w:footnote>
  <w:footnote w:id="3">
    <w:p w:rsidR="00AD45D3" w:rsidRDefault="00AD45D3" w:rsidP="002E5EB0">
      <w:pPr>
        <w:pStyle w:val="FootnoteText"/>
        <w:rPr>
          <w:lang w:val="es-ES"/>
        </w:rPr>
      </w:pPr>
      <w:r>
        <w:rPr>
          <w:rStyle w:val="FootnoteReference"/>
          <w:lang w:val="es-ES"/>
        </w:rPr>
        <w:t>2</w:t>
      </w:r>
      <w:r>
        <w:rPr>
          <w:lang w:val="es-ES"/>
        </w:rPr>
        <w:tab/>
        <w:t>Los términos «dominio fuera de banda» y «dominio no esencial» se han introducido a fin de eliminar algunas inconsistencias que actualmente existen entre, por una parte, las definiciones de los términos «emisiones fuera de banda» y «emisiones no esenciales» que figuran en el Artículo 1 del RR y, por otra, la utilización que realmente se hace de dichos términos en el Apéndice 3 del RR, revisado en la Conferencia Mundial de Radiocomunicaciones (Estambul, 2000) (CMR</w:t>
      </w:r>
      <w:r>
        <w:rPr>
          <w:lang w:val="es-ES"/>
        </w:rPr>
        <w:noBreakHyphen/>
        <w:t>2000). Los límites de las emisiones en el dominio fuera de banda y los límites de las emisiones en el dominio no esencial se aplican a todas las emisiones no deseadas en el dominio fuera de banda y el dominio no esencial,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5D3" w:rsidRDefault="00AD45D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5D3" w:rsidRDefault="00AD45D3" w:rsidP="000C144E">
    <w:pPr>
      <w:pStyle w:val="Header"/>
      <w:ind w:right="360" w:firstLine="360"/>
    </w:pPr>
    <w:r>
      <w:rPr>
        <w:noProof/>
        <w:lang w:val="es-ES_tradnl" w:eastAsia="zh-CN"/>
      </w:rPr>
      <w:drawing>
        <wp:anchor distT="0" distB="0" distL="114300" distR="114300" simplePos="0" relativeHeight="251659264" behindDoc="1" locked="0" layoutInCell="1" allowOverlap="1" wp14:anchorId="1A3A9E48" wp14:editId="55D6FB7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5D3" w:rsidRDefault="00AD45D3" w:rsidP="000C144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D03A6">
      <w:rPr>
        <w:rStyle w:val="PageNumber"/>
        <w:b/>
        <w:bCs/>
        <w:noProof/>
      </w:rPr>
      <w:t>ii</w:t>
    </w:r>
    <w:r>
      <w:rPr>
        <w:rStyle w:val="PageNumber"/>
        <w:b/>
        <w:bCs/>
      </w:rPr>
      <w:fldChar w:fldCharType="end"/>
    </w:r>
    <w:r>
      <w:tab/>
    </w:r>
    <w:r w:rsidR="00DD03A6">
      <w:fldChar w:fldCharType="begin"/>
    </w:r>
    <w:r w:rsidR="00DD03A6">
      <w:instrText xml:space="preserve"> DOCPROPERTY "Header" \* MERGEFORMAT </w:instrText>
    </w:r>
    <w:r w:rsidR="00DD03A6">
      <w:fldChar w:fldCharType="separate"/>
    </w:r>
    <w:r w:rsidR="00E87F90" w:rsidRPr="00E87F90">
      <w:rPr>
        <w:b/>
        <w:bCs/>
        <w:lang w:val="fr-CH"/>
      </w:rPr>
      <w:t xml:space="preserve">Rec. </w:t>
    </w:r>
    <w:r w:rsidR="00DD03A6">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DD03A6">
      <w:rPr>
        <w:b/>
        <w:bCs/>
        <w:noProof/>
      </w:rPr>
      <w:t>UIT-R  SM.329-11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5D3" w:rsidRDefault="00AD45D3">
    <w:pPr>
      <w:pStyle w:val="Header"/>
    </w:pPr>
    <w:r>
      <w:tab/>
    </w:r>
    <w:r w:rsidR="00DD03A6">
      <w:fldChar w:fldCharType="begin"/>
    </w:r>
    <w:r w:rsidR="00DD03A6">
      <w:instrText xml:space="preserve"> DOCPROPERTY "Header" \* MERGEFORMAT </w:instrText>
    </w:r>
    <w:r w:rsidR="00DD03A6">
      <w:fldChar w:fldCharType="separate"/>
    </w:r>
    <w:r w:rsidR="00E87F90" w:rsidRPr="00E87F90">
      <w:rPr>
        <w:lang w:val="en-US"/>
      </w:rPr>
      <w:t xml:space="preserve">Rec. </w:t>
    </w:r>
    <w:r w:rsidR="00DD03A6">
      <w:rPr>
        <w:lang w:val="en-US"/>
      </w:rPr>
      <w:fldChar w:fldCharType="end"/>
    </w:r>
    <w:r>
      <w:rPr>
        <w:b/>
        <w:bCs/>
      </w:rPr>
      <w:t xml:space="preserve">  </w:t>
    </w:r>
    <w:r>
      <w:rPr>
        <w:b/>
        <w:bCs/>
      </w:rPr>
      <w:fldChar w:fldCharType="begin"/>
    </w:r>
    <w:r>
      <w:rPr>
        <w:b/>
        <w:bCs/>
      </w:rPr>
      <w:instrText>styleref href</w:instrText>
    </w:r>
    <w:r>
      <w:rPr>
        <w:b/>
        <w:bCs/>
      </w:rPr>
      <w:fldChar w:fldCharType="separate"/>
    </w:r>
    <w:r w:rsidR="00E87F90">
      <w:rPr>
        <w:b/>
        <w:bCs/>
        <w:noProof/>
      </w:rPr>
      <w:t>UIT-R  SM.329-11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55A33">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5D3" w:rsidRDefault="00AD45D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03A6">
      <w:rPr>
        <w:rStyle w:val="PageNumber"/>
        <w:b/>
        <w:bCs/>
        <w:noProof/>
        <w:lang w:val="en-US"/>
      </w:rPr>
      <w:t>2</w:t>
    </w:r>
    <w:r>
      <w:rPr>
        <w:rStyle w:val="PageNumber"/>
        <w:b/>
        <w:bCs/>
      </w:rPr>
      <w:fldChar w:fldCharType="end"/>
    </w:r>
    <w:r>
      <w:rPr>
        <w:lang w:val="en-US"/>
      </w:rPr>
      <w:tab/>
    </w:r>
    <w:r w:rsidR="00DD03A6">
      <w:fldChar w:fldCharType="begin"/>
    </w:r>
    <w:r w:rsidR="00DD03A6">
      <w:instrText xml:space="preserve"> DOCPROPERTY "Header" \* MERGEFORMAT </w:instrText>
    </w:r>
    <w:r w:rsidR="00DD03A6">
      <w:fldChar w:fldCharType="separate"/>
    </w:r>
    <w:r w:rsidR="00E87F90" w:rsidRPr="00E87F90">
      <w:rPr>
        <w:b/>
        <w:bCs/>
        <w:lang w:val="en-US"/>
      </w:rPr>
      <w:t xml:space="preserve">Rec. </w:t>
    </w:r>
    <w:r w:rsidR="00DD03A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D03A6">
      <w:rPr>
        <w:b/>
        <w:bCs/>
        <w:noProof/>
      </w:rPr>
      <w:t>UIT-R  SM.329-11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5D3" w:rsidRDefault="00AD45D3">
    <w:pPr>
      <w:pStyle w:val="Header"/>
    </w:pPr>
    <w:r>
      <w:tab/>
    </w:r>
    <w:r w:rsidR="00DD03A6">
      <w:fldChar w:fldCharType="begin"/>
    </w:r>
    <w:r w:rsidR="00DD03A6">
      <w:instrText xml:space="preserve"> DOCPROPERTY "Header" \* MERGEFORMAT </w:instrText>
    </w:r>
    <w:r w:rsidR="00DD03A6">
      <w:fldChar w:fldCharType="separate"/>
    </w:r>
    <w:r w:rsidR="00E87F90" w:rsidRPr="00E87F90">
      <w:rPr>
        <w:b/>
        <w:bCs/>
      </w:rPr>
      <w:t xml:space="preserve">Rec. </w:t>
    </w:r>
    <w:r w:rsidR="00DD03A6">
      <w:rPr>
        <w:b/>
        <w:bCs/>
      </w:rPr>
      <w:fldChar w:fldCharType="end"/>
    </w:r>
    <w:r>
      <w:rPr>
        <w:b/>
        <w:bCs/>
      </w:rPr>
      <w:t xml:space="preserve"> </w:t>
    </w:r>
    <w:r>
      <w:rPr>
        <w:b/>
        <w:bCs/>
      </w:rPr>
      <w:fldChar w:fldCharType="begin"/>
    </w:r>
    <w:r>
      <w:rPr>
        <w:b/>
        <w:bCs/>
      </w:rPr>
      <w:instrText>styleref href</w:instrText>
    </w:r>
    <w:r>
      <w:rPr>
        <w:b/>
        <w:bCs/>
      </w:rPr>
      <w:fldChar w:fldCharType="separate"/>
    </w:r>
    <w:r w:rsidR="00DD03A6">
      <w:rPr>
        <w:b/>
        <w:bCs/>
        <w:noProof/>
      </w:rPr>
      <w:t>UIT-R  SM.329-11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D03A6">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FC85FC"/>
    <w:lvl w:ilvl="0">
      <w:start w:val="1"/>
      <w:numFmt w:val="decimal"/>
      <w:lvlText w:val="%1."/>
      <w:lvlJc w:val="left"/>
      <w:pPr>
        <w:tabs>
          <w:tab w:val="num" w:pos="1492"/>
        </w:tabs>
        <w:ind w:left="1492" w:hanging="360"/>
      </w:pPr>
    </w:lvl>
  </w:abstractNum>
  <w:abstractNum w:abstractNumId="1">
    <w:nsid w:val="FFFFFF7D"/>
    <w:multiLevelType w:val="singleLevel"/>
    <w:tmpl w:val="1B166734"/>
    <w:lvl w:ilvl="0">
      <w:start w:val="1"/>
      <w:numFmt w:val="decimal"/>
      <w:lvlText w:val="%1."/>
      <w:lvlJc w:val="left"/>
      <w:pPr>
        <w:tabs>
          <w:tab w:val="num" w:pos="1209"/>
        </w:tabs>
        <w:ind w:left="1209" w:hanging="360"/>
      </w:pPr>
    </w:lvl>
  </w:abstractNum>
  <w:abstractNum w:abstractNumId="2">
    <w:nsid w:val="FFFFFF7E"/>
    <w:multiLevelType w:val="singleLevel"/>
    <w:tmpl w:val="44C2165C"/>
    <w:lvl w:ilvl="0">
      <w:start w:val="1"/>
      <w:numFmt w:val="decimal"/>
      <w:lvlText w:val="%1."/>
      <w:lvlJc w:val="left"/>
      <w:pPr>
        <w:tabs>
          <w:tab w:val="num" w:pos="926"/>
        </w:tabs>
        <w:ind w:left="926" w:hanging="360"/>
      </w:pPr>
    </w:lvl>
  </w:abstractNum>
  <w:abstractNum w:abstractNumId="3">
    <w:nsid w:val="FFFFFF7F"/>
    <w:multiLevelType w:val="singleLevel"/>
    <w:tmpl w:val="4CBE8E80"/>
    <w:lvl w:ilvl="0">
      <w:start w:val="1"/>
      <w:numFmt w:val="decimal"/>
      <w:lvlText w:val="%1."/>
      <w:lvlJc w:val="left"/>
      <w:pPr>
        <w:tabs>
          <w:tab w:val="num" w:pos="643"/>
        </w:tabs>
        <w:ind w:left="643" w:hanging="360"/>
      </w:pPr>
    </w:lvl>
  </w:abstractNum>
  <w:abstractNum w:abstractNumId="4">
    <w:nsid w:val="FFFFFF80"/>
    <w:multiLevelType w:val="singleLevel"/>
    <w:tmpl w:val="380225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F832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9E0BD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6CB6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9C1CFC"/>
    <w:lvl w:ilvl="0">
      <w:start w:val="1"/>
      <w:numFmt w:val="decimal"/>
      <w:lvlText w:val="%1."/>
      <w:lvlJc w:val="left"/>
      <w:pPr>
        <w:tabs>
          <w:tab w:val="num" w:pos="360"/>
        </w:tabs>
        <w:ind w:left="360" w:hanging="360"/>
      </w:pPr>
    </w:lvl>
  </w:abstractNum>
  <w:abstractNum w:abstractNumId="9">
    <w:nsid w:val="FFFFFF89"/>
    <w:multiLevelType w:val="singleLevel"/>
    <w:tmpl w:val="07EA15C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EB0"/>
    <w:rsid w:val="00066C0F"/>
    <w:rsid w:val="0007426D"/>
    <w:rsid w:val="000C144E"/>
    <w:rsid w:val="000C3F64"/>
    <w:rsid w:val="000D6E37"/>
    <w:rsid w:val="0011563C"/>
    <w:rsid w:val="0016543C"/>
    <w:rsid w:val="0018704C"/>
    <w:rsid w:val="0019173C"/>
    <w:rsid w:val="001A4BE3"/>
    <w:rsid w:val="001C121E"/>
    <w:rsid w:val="00217EBF"/>
    <w:rsid w:val="002325D8"/>
    <w:rsid w:val="002D76C4"/>
    <w:rsid w:val="002E13EE"/>
    <w:rsid w:val="002E5EB0"/>
    <w:rsid w:val="003425F4"/>
    <w:rsid w:val="00437120"/>
    <w:rsid w:val="00495E2E"/>
    <w:rsid w:val="004A0FDD"/>
    <w:rsid w:val="004D748C"/>
    <w:rsid w:val="004E3D40"/>
    <w:rsid w:val="00501B00"/>
    <w:rsid w:val="00546799"/>
    <w:rsid w:val="00546C1B"/>
    <w:rsid w:val="005713D5"/>
    <w:rsid w:val="00607D68"/>
    <w:rsid w:val="006130A6"/>
    <w:rsid w:val="0067378A"/>
    <w:rsid w:val="00674B4A"/>
    <w:rsid w:val="00693242"/>
    <w:rsid w:val="006B6EEE"/>
    <w:rsid w:val="006E0DD4"/>
    <w:rsid w:val="006E4DBB"/>
    <w:rsid w:val="00705CBA"/>
    <w:rsid w:val="007468DA"/>
    <w:rsid w:val="00816CB1"/>
    <w:rsid w:val="00823ADA"/>
    <w:rsid w:val="008A294A"/>
    <w:rsid w:val="008D0D1D"/>
    <w:rsid w:val="008D56EB"/>
    <w:rsid w:val="00902B2B"/>
    <w:rsid w:val="0090386D"/>
    <w:rsid w:val="00915745"/>
    <w:rsid w:val="00954A89"/>
    <w:rsid w:val="00955A33"/>
    <w:rsid w:val="009E4D54"/>
    <w:rsid w:val="009F4E74"/>
    <w:rsid w:val="00A35210"/>
    <w:rsid w:val="00A6617B"/>
    <w:rsid w:val="00A87A51"/>
    <w:rsid w:val="00AB0DC8"/>
    <w:rsid w:val="00AD45D3"/>
    <w:rsid w:val="00B376A2"/>
    <w:rsid w:val="00B44E24"/>
    <w:rsid w:val="00B67936"/>
    <w:rsid w:val="00C13689"/>
    <w:rsid w:val="00C8656E"/>
    <w:rsid w:val="00C917DD"/>
    <w:rsid w:val="00CB45BF"/>
    <w:rsid w:val="00CC2082"/>
    <w:rsid w:val="00CD20DB"/>
    <w:rsid w:val="00D11FE4"/>
    <w:rsid w:val="00D90E80"/>
    <w:rsid w:val="00DC7034"/>
    <w:rsid w:val="00DD03A6"/>
    <w:rsid w:val="00DF4176"/>
    <w:rsid w:val="00E35AF0"/>
    <w:rsid w:val="00E41EA3"/>
    <w:rsid w:val="00E706E3"/>
    <w:rsid w:val="00E87F90"/>
    <w:rsid w:val="00ED6AC7"/>
    <w:rsid w:val="00F05147"/>
    <w:rsid w:val="00F37195"/>
    <w:rsid w:val="00FB2E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5EB0"/>
    <w:rPr>
      <w:b/>
      <w:sz w:val="24"/>
      <w:lang w:val="fr-FR" w:eastAsia="en-US"/>
    </w:rPr>
  </w:style>
  <w:style w:type="character" w:customStyle="1" w:styleId="Heading2Char">
    <w:name w:val="Heading 2 Char"/>
    <w:basedOn w:val="DefaultParagraphFont"/>
    <w:link w:val="Heading2"/>
    <w:rsid w:val="002E5EB0"/>
    <w:rPr>
      <w:b/>
      <w:sz w:val="24"/>
      <w:lang w:val="fr-FR" w:eastAsia="en-US"/>
    </w:rPr>
  </w:style>
  <w:style w:type="character" w:customStyle="1" w:styleId="Heading3Char">
    <w:name w:val="Heading 3 Char"/>
    <w:basedOn w:val="DefaultParagraphFont"/>
    <w:link w:val="Heading3"/>
    <w:rsid w:val="002E5EB0"/>
    <w:rPr>
      <w:b/>
      <w:sz w:val="24"/>
      <w:lang w:val="fr-FR" w:eastAsia="en-US"/>
    </w:rPr>
  </w:style>
  <w:style w:type="character" w:customStyle="1" w:styleId="Heading4Char">
    <w:name w:val="Heading 4 Char"/>
    <w:basedOn w:val="DefaultParagraphFont"/>
    <w:link w:val="Heading4"/>
    <w:rsid w:val="002E5EB0"/>
    <w:rPr>
      <w:b/>
      <w:sz w:val="24"/>
      <w:lang w:val="fr-FR" w:eastAsia="en-US"/>
    </w:rPr>
  </w:style>
  <w:style w:type="character" w:customStyle="1" w:styleId="Heading5Char">
    <w:name w:val="Heading 5 Char"/>
    <w:basedOn w:val="DefaultParagraphFont"/>
    <w:link w:val="Heading5"/>
    <w:rsid w:val="002E5EB0"/>
    <w:rPr>
      <w:b/>
      <w:sz w:val="24"/>
      <w:lang w:val="fr-FR" w:eastAsia="en-US"/>
    </w:rPr>
  </w:style>
  <w:style w:type="character" w:customStyle="1" w:styleId="Heading6Char">
    <w:name w:val="Heading 6 Char"/>
    <w:basedOn w:val="DefaultParagraphFont"/>
    <w:link w:val="Heading6"/>
    <w:rsid w:val="002E5EB0"/>
    <w:rPr>
      <w:b/>
      <w:sz w:val="24"/>
      <w:lang w:val="fr-FR" w:eastAsia="en-US"/>
    </w:rPr>
  </w:style>
  <w:style w:type="character" w:customStyle="1" w:styleId="Heading7Char">
    <w:name w:val="Heading 7 Char"/>
    <w:basedOn w:val="DefaultParagraphFont"/>
    <w:link w:val="Heading7"/>
    <w:rsid w:val="002E5EB0"/>
    <w:rPr>
      <w:b/>
      <w:sz w:val="24"/>
      <w:lang w:val="fr-FR" w:eastAsia="en-US"/>
    </w:rPr>
  </w:style>
  <w:style w:type="character" w:customStyle="1" w:styleId="Heading8Char">
    <w:name w:val="Heading 8 Char"/>
    <w:basedOn w:val="DefaultParagraphFont"/>
    <w:link w:val="Heading8"/>
    <w:rsid w:val="002E5EB0"/>
    <w:rPr>
      <w:b/>
      <w:sz w:val="24"/>
      <w:lang w:val="fr-FR" w:eastAsia="en-US"/>
    </w:rPr>
  </w:style>
  <w:style w:type="character" w:customStyle="1" w:styleId="Heading9Char">
    <w:name w:val="Heading 9 Char"/>
    <w:basedOn w:val="DefaultParagraphFont"/>
    <w:link w:val="Heading9"/>
    <w:rsid w:val="002E5EB0"/>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2E5EB0"/>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E5EB0"/>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2E5EB0"/>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2E5EB0"/>
    <w:rPr>
      <w:color w:val="0000FF"/>
      <w:u w:val="single"/>
    </w:rPr>
  </w:style>
  <w:style w:type="table" w:styleId="TableGrid">
    <w:name w:val="Table Grid"/>
    <w:basedOn w:val="TableNormal"/>
    <w:rsid w:val="002E5E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rsid w:val="002E5EB0"/>
    <w:rPr>
      <w:rFonts w:ascii="Tahoma" w:hAnsi="Tahoma" w:cs="Tahoma"/>
      <w:sz w:val="16"/>
      <w:szCs w:val="16"/>
      <w:lang w:val="fr-FR" w:eastAsia="en-US"/>
    </w:rPr>
  </w:style>
  <w:style w:type="paragraph" w:styleId="BalloonText">
    <w:name w:val="Balloon Text"/>
    <w:basedOn w:val="Normal"/>
    <w:link w:val="BalloonTextChar"/>
    <w:uiPriority w:val="99"/>
    <w:unhideWhenUsed/>
    <w:rsid w:val="002E5EB0"/>
    <w:pPr>
      <w:spacing w:before="0"/>
    </w:pPr>
    <w:rPr>
      <w:rFonts w:ascii="Tahoma" w:hAnsi="Tahoma" w:cs="Tahoma"/>
      <w:sz w:val="16"/>
      <w:szCs w:val="16"/>
    </w:rPr>
  </w:style>
  <w:style w:type="paragraph" w:customStyle="1" w:styleId="TableText0">
    <w:name w:val="Table_Text"/>
    <w:basedOn w:val="Normal"/>
    <w:rsid w:val="002E5E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lang w:val="es-ES_tradnl"/>
    </w:rPr>
  </w:style>
  <w:style w:type="paragraph" w:customStyle="1" w:styleId="TableLegend0">
    <w:name w:val="Table_Legend"/>
    <w:basedOn w:val="TableText0"/>
    <w:rsid w:val="002E5EB0"/>
    <w:pPr>
      <w:overflowPunct/>
      <w:autoSpaceDE/>
      <w:autoSpaceDN/>
      <w:adjustRightInd/>
      <w:spacing w:before="120"/>
      <w:textAlignment w:val="auto"/>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5EB0"/>
    <w:rPr>
      <w:b/>
      <w:sz w:val="24"/>
      <w:lang w:val="fr-FR" w:eastAsia="en-US"/>
    </w:rPr>
  </w:style>
  <w:style w:type="character" w:customStyle="1" w:styleId="Heading2Char">
    <w:name w:val="Heading 2 Char"/>
    <w:basedOn w:val="DefaultParagraphFont"/>
    <w:link w:val="Heading2"/>
    <w:rsid w:val="002E5EB0"/>
    <w:rPr>
      <w:b/>
      <w:sz w:val="24"/>
      <w:lang w:val="fr-FR" w:eastAsia="en-US"/>
    </w:rPr>
  </w:style>
  <w:style w:type="character" w:customStyle="1" w:styleId="Heading3Char">
    <w:name w:val="Heading 3 Char"/>
    <w:basedOn w:val="DefaultParagraphFont"/>
    <w:link w:val="Heading3"/>
    <w:rsid w:val="002E5EB0"/>
    <w:rPr>
      <w:b/>
      <w:sz w:val="24"/>
      <w:lang w:val="fr-FR" w:eastAsia="en-US"/>
    </w:rPr>
  </w:style>
  <w:style w:type="character" w:customStyle="1" w:styleId="Heading4Char">
    <w:name w:val="Heading 4 Char"/>
    <w:basedOn w:val="DefaultParagraphFont"/>
    <w:link w:val="Heading4"/>
    <w:rsid w:val="002E5EB0"/>
    <w:rPr>
      <w:b/>
      <w:sz w:val="24"/>
      <w:lang w:val="fr-FR" w:eastAsia="en-US"/>
    </w:rPr>
  </w:style>
  <w:style w:type="character" w:customStyle="1" w:styleId="Heading5Char">
    <w:name w:val="Heading 5 Char"/>
    <w:basedOn w:val="DefaultParagraphFont"/>
    <w:link w:val="Heading5"/>
    <w:rsid w:val="002E5EB0"/>
    <w:rPr>
      <w:b/>
      <w:sz w:val="24"/>
      <w:lang w:val="fr-FR" w:eastAsia="en-US"/>
    </w:rPr>
  </w:style>
  <w:style w:type="character" w:customStyle="1" w:styleId="Heading6Char">
    <w:name w:val="Heading 6 Char"/>
    <w:basedOn w:val="DefaultParagraphFont"/>
    <w:link w:val="Heading6"/>
    <w:rsid w:val="002E5EB0"/>
    <w:rPr>
      <w:b/>
      <w:sz w:val="24"/>
      <w:lang w:val="fr-FR" w:eastAsia="en-US"/>
    </w:rPr>
  </w:style>
  <w:style w:type="character" w:customStyle="1" w:styleId="Heading7Char">
    <w:name w:val="Heading 7 Char"/>
    <w:basedOn w:val="DefaultParagraphFont"/>
    <w:link w:val="Heading7"/>
    <w:rsid w:val="002E5EB0"/>
    <w:rPr>
      <w:b/>
      <w:sz w:val="24"/>
      <w:lang w:val="fr-FR" w:eastAsia="en-US"/>
    </w:rPr>
  </w:style>
  <w:style w:type="character" w:customStyle="1" w:styleId="Heading8Char">
    <w:name w:val="Heading 8 Char"/>
    <w:basedOn w:val="DefaultParagraphFont"/>
    <w:link w:val="Heading8"/>
    <w:rsid w:val="002E5EB0"/>
    <w:rPr>
      <w:b/>
      <w:sz w:val="24"/>
      <w:lang w:val="fr-FR" w:eastAsia="en-US"/>
    </w:rPr>
  </w:style>
  <w:style w:type="character" w:customStyle="1" w:styleId="Heading9Char">
    <w:name w:val="Heading 9 Char"/>
    <w:basedOn w:val="DefaultParagraphFont"/>
    <w:link w:val="Heading9"/>
    <w:rsid w:val="002E5EB0"/>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2E5EB0"/>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E5EB0"/>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2E5EB0"/>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2E5EB0"/>
    <w:rPr>
      <w:color w:val="0000FF"/>
      <w:u w:val="single"/>
    </w:rPr>
  </w:style>
  <w:style w:type="table" w:styleId="TableGrid">
    <w:name w:val="Table Grid"/>
    <w:basedOn w:val="TableNormal"/>
    <w:rsid w:val="002E5E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rsid w:val="002E5EB0"/>
    <w:rPr>
      <w:rFonts w:ascii="Tahoma" w:hAnsi="Tahoma" w:cs="Tahoma"/>
      <w:sz w:val="16"/>
      <w:szCs w:val="16"/>
      <w:lang w:val="fr-FR" w:eastAsia="en-US"/>
    </w:rPr>
  </w:style>
  <w:style w:type="paragraph" w:styleId="BalloonText">
    <w:name w:val="Balloon Text"/>
    <w:basedOn w:val="Normal"/>
    <w:link w:val="BalloonTextChar"/>
    <w:uiPriority w:val="99"/>
    <w:unhideWhenUsed/>
    <w:rsid w:val="002E5EB0"/>
    <w:pPr>
      <w:spacing w:before="0"/>
    </w:pPr>
    <w:rPr>
      <w:rFonts w:ascii="Tahoma" w:hAnsi="Tahoma" w:cs="Tahoma"/>
      <w:sz w:val="16"/>
      <w:szCs w:val="16"/>
    </w:rPr>
  </w:style>
  <w:style w:type="paragraph" w:customStyle="1" w:styleId="TableText0">
    <w:name w:val="Table_Text"/>
    <w:basedOn w:val="Normal"/>
    <w:rsid w:val="002E5E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lang w:val="es-ES_tradnl"/>
    </w:rPr>
  </w:style>
  <w:style w:type="paragraph" w:customStyle="1" w:styleId="TableLegend0">
    <w:name w:val="Table_Legend"/>
    <w:basedOn w:val="TableText0"/>
    <w:rsid w:val="002E5EB0"/>
    <w:pPr>
      <w:overflowPunct/>
      <w:autoSpaceDE/>
      <w:autoSpaceDN/>
      <w:adjustRightInd/>
      <w:spacing w:before="120"/>
      <w:textAlignment w:val="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FCF38-8C72-43F8-9327-99EA1CF3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387</TotalTime>
  <Pages>42</Pages>
  <Words>16931</Words>
  <Characters>84555</Characters>
  <Application>Microsoft Office Word</Application>
  <DocSecurity>0</DocSecurity>
  <Lines>2415</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50</cp:revision>
  <cp:lastPrinted>2005-02-10T15:54:00Z</cp:lastPrinted>
  <dcterms:created xsi:type="dcterms:W3CDTF">2011-09-07T07:17:00Z</dcterms:created>
  <dcterms:modified xsi:type="dcterms:W3CDTF">2011-09-12T12:10:00Z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