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561441" w14:textId="77777777" w:rsidR="00B1717A" w:rsidRPr="00575CB8" w:rsidRDefault="00B1717A" w:rsidP="00B1717A">
      <w:pPr>
        <w:rPr>
          <w:lang w:val="en-US"/>
        </w:rPr>
      </w:pPr>
      <w:bookmarkStart w:id="0" w:name="dbreak"/>
      <w:bookmarkEnd w:id="0"/>
    </w:p>
    <w:p w14:paraId="5853E9D6" w14:textId="77777777" w:rsidR="00B1717A" w:rsidRDefault="00B1717A" w:rsidP="00B1717A"/>
    <w:p w14:paraId="263EA9FC" w14:textId="77777777" w:rsidR="00B1717A" w:rsidRDefault="00B1717A" w:rsidP="00B1717A"/>
    <w:p w14:paraId="4D0BE9F5" w14:textId="77777777" w:rsidR="00B1717A" w:rsidRDefault="00B1717A" w:rsidP="00B1717A"/>
    <w:p w14:paraId="5D1B4BCC" w14:textId="77777777" w:rsidR="00B1717A" w:rsidRDefault="00B1717A" w:rsidP="00B1717A"/>
    <w:p w14:paraId="7B37AB3F" w14:textId="77777777" w:rsidR="00B1717A" w:rsidRDefault="00B1717A" w:rsidP="00B1717A"/>
    <w:p w14:paraId="21B17D6F" w14:textId="77777777" w:rsidR="00B1717A" w:rsidRDefault="00B1717A" w:rsidP="00B1717A"/>
    <w:p w14:paraId="3125D461" w14:textId="77777777" w:rsidR="00B1717A" w:rsidRDefault="00B1717A" w:rsidP="00B1717A"/>
    <w:p w14:paraId="13516AE7" w14:textId="77777777" w:rsidR="00B1717A" w:rsidRDefault="00B1717A" w:rsidP="00B1717A"/>
    <w:p w14:paraId="357ED558" w14:textId="77777777" w:rsidR="00B1717A" w:rsidRDefault="00B1717A" w:rsidP="00B1717A"/>
    <w:p w14:paraId="5DCB5800" w14:textId="77777777" w:rsidR="00B1717A" w:rsidRDefault="00B1717A" w:rsidP="00B1717A"/>
    <w:p w14:paraId="5CFBD955" w14:textId="77777777"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3462E6" w14:paraId="408C4120" w14:textId="77777777" w:rsidTr="00D62884">
        <w:tc>
          <w:tcPr>
            <w:tcW w:w="10089" w:type="dxa"/>
          </w:tcPr>
          <w:p w14:paraId="44CD69D8" w14:textId="77777777" w:rsidR="00B1717A" w:rsidRPr="0010336F" w:rsidRDefault="00B1717A" w:rsidP="00D62884">
            <w:pPr>
              <w:spacing w:before="380" w:line="280" w:lineRule="exact"/>
              <w:jc w:val="right"/>
              <w:rPr>
                <w:rFonts w:ascii="Tahoma" w:hAnsi="Tahoma" w:cs="Tahoma"/>
                <w:b/>
                <w:bCs/>
                <w:iCs/>
                <w:color w:val="243285"/>
                <w:sz w:val="32"/>
                <w:szCs w:val="32"/>
                <w:lang w:val="en-US"/>
              </w:rPr>
            </w:pPr>
          </w:p>
          <w:p w14:paraId="176266C0" w14:textId="770F6689" w:rsidR="00B1717A" w:rsidRPr="0010336F" w:rsidRDefault="00B1717A" w:rsidP="00E3040B">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877A2D" w:rsidRPr="00877A2D">
              <w:rPr>
                <w:rFonts w:ascii="Tahoma" w:hAnsi="Tahoma" w:cs="Tahoma"/>
                <w:b/>
                <w:bCs/>
                <w:iCs/>
                <w:color w:val="243285"/>
                <w:sz w:val="36"/>
                <w:szCs w:val="36"/>
                <w:lang w:val="es-ES_tradnl"/>
              </w:rPr>
              <w:t>SM.2152-0</w:t>
            </w:r>
          </w:p>
          <w:p w14:paraId="350CA114" w14:textId="620BF795" w:rsidR="00B1717A" w:rsidRPr="0010336F" w:rsidRDefault="00B1717A" w:rsidP="006C347C">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4B77F1">
              <w:rPr>
                <w:rFonts w:ascii="Tahoma" w:hAnsi="Tahoma" w:cs="Tahoma"/>
                <w:b/>
                <w:bCs/>
                <w:iCs/>
                <w:color w:val="243285"/>
                <w:szCs w:val="24"/>
                <w:lang w:val="es-ES_tradnl"/>
              </w:rPr>
              <w:t>0</w:t>
            </w:r>
            <w:r w:rsidR="00877A2D">
              <w:rPr>
                <w:rFonts w:ascii="Tahoma" w:hAnsi="Tahoma" w:cs="Tahoma"/>
                <w:b/>
                <w:bCs/>
                <w:iCs/>
                <w:color w:val="243285"/>
                <w:szCs w:val="24"/>
                <w:lang w:val="es-ES_tradnl"/>
              </w:rPr>
              <w:t>9</w:t>
            </w:r>
            <w:r w:rsidRPr="0010336F">
              <w:rPr>
                <w:rFonts w:ascii="Tahoma" w:hAnsi="Tahoma" w:cs="Tahoma"/>
                <w:b/>
                <w:bCs/>
                <w:iCs/>
                <w:color w:val="243285"/>
                <w:szCs w:val="24"/>
                <w:lang w:val="es-ES_tradnl"/>
              </w:rPr>
              <w:t>/</w:t>
            </w:r>
            <w:r w:rsidR="00656AEE">
              <w:rPr>
                <w:rFonts w:ascii="Tahoma" w:hAnsi="Tahoma" w:cs="Tahoma"/>
                <w:b/>
                <w:bCs/>
                <w:iCs/>
                <w:color w:val="243285"/>
                <w:szCs w:val="24"/>
                <w:lang w:val="es-ES_tradnl"/>
              </w:rPr>
              <w:t>20</w:t>
            </w:r>
            <w:r w:rsidR="00DF1B8B">
              <w:rPr>
                <w:rFonts w:ascii="Tahoma" w:hAnsi="Tahoma" w:cs="Tahoma"/>
                <w:b/>
                <w:bCs/>
                <w:iCs/>
                <w:color w:val="243285"/>
                <w:szCs w:val="24"/>
                <w:lang w:val="es-ES_tradnl"/>
              </w:rPr>
              <w:t>22</w:t>
            </w:r>
            <w:r w:rsidRPr="0010336F">
              <w:rPr>
                <w:rFonts w:ascii="Tahoma" w:hAnsi="Tahoma" w:cs="Tahoma"/>
                <w:b/>
                <w:bCs/>
                <w:iCs/>
                <w:color w:val="243285"/>
                <w:szCs w:val="24"/>
                <w:lang w:val="es-ES_tradnl"/>
              </w:rPr>
              <w:t>)</w:t>
            </w:r>
          </w:p>
        </w:tc>
      </w:tr>
      <w:tr w:rsidR="00B1717A" w:rsidRPr="0013555A" w14:paraId="627FE86C" w14:textId="77777777" w:rsidTr="00D62884">
        <w:tc>
          <w:tcPr>
            <w:tcW w:w="10089" w:type="dxa"/>
          </w:tcPr>
          <w:p w14:paraId="5FAB3FB1" w14:textId="77777777" w:rsidR="00B1717A" w:rsidRPr="0010336F" w:rsidRDefault="00B1717A" w:rsidP="00D62884">
            <w:pPr>
              <w:spacing w:before="80" w:line="500" w:lineRule="exact"/>
              <w:jc w:val="right"/>
              <w:rPr>
                <w:rFonts w:ascii="Tahoma" w:hAnsi="Tahoma" w:cs="Tahoma"/>
                <w:b/>
                <w:bCs/>
                <w:iCs/>
                <w:color w:val="243285"/>
                <w:sz w:val="44"/>
                <w:szCs w:val="44"/>
                <w:lang w:val="es-ES_tradnl"/>
              </w:rPr>
            </w:pPr>
          </w:p>
          <w:p w14:paraId="47B745B0" w14:textId="6D78C977" w:rsidR="00B1717A" w:rsidRDefault="00877A2D" w:rsidP="00E3040B">
            <w:pPr>
              <w:spacing w:before="80" w:line="500" w:lineRule="exact"/>
              <w:jc w:val="right"/>
              <w:rPr>
                <w:rFonts w:ascii="Tahoma" w:hAnsi="Tahoma" w:cs="Tahoma"/>
                <w:b/>
                <w:bCs/>
                <w:color w:val="243285"/>
                <w:sz w:val="44"/>
                <w:szCs w:val="44"/>
                <w:lang w:val="es-ES_tradnl"/>
              </w:rPr>
            </w:pPr>
            <w:r w:rsidRPr="00877A2D">
              <w:rPr>
                <w:rFonts w:ascii="Tahoma" w:hAnsi="Tahoma" w:cs="Tahoma"/>
                <w:b/>
                <w:bCs/>
                <w:color w:val="243285"/>
                <w:sz w:val="44"/>
                <w:szCs w:val="44"/>
                <w:lang w:val="es-ES_tradnl"/>
              </w:rPr>
              <w:t xml:space="preserve">Complemento de los actuales mecanismos de distribución de radiofrecuencias utilizando la comunicación </w:t>
            </w:r>
            <w:r w:rsidR="001D3C8A">
              <w:rPr>
                <w:rFonts w:ascii="Tahoma" w:hAnsi="Tahoma" w:cs="Tahoma"/>
                <w:b/>
                <w:bCs/>
                <w:color w:val="243285"/>
                <w:sz w:val="44"/>
                <w:szCs w:val="44"/>
                <w:lang w:val="es-ES_tradnl"/>
              </w:rPr>
              <w:br/>
            </w:r>
            <w:r w:rsidRPr="00877A2D">
              <w:rPr>
                <w:rFonts w:ascii="Tahoma" w:hAnsi="Tahoma" w:cs="Tahoma"/>
                <w:b/>
                <w:bCs/>
                <w:color w:val="243285"/>
                <w:sz w:val="44"/>
                <w:szCs w:val="44"/>
                <w:lang w:val="es-ES_tradnl"/>
              </w:rPr>
              <w:t>óptica inalámbrica</w:t>
            </w:r>
          </w:p>
          <w:p w14:paraId="5CF9495A" w14:textId="77777777"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13555A" w14:paraId="18CCE358" w14:textId="77777777" w:rsidTr="00D62884">
        <w:tc>
          <w:tcPr>
            <w:tcW w:w="10089" w:type="dxa"/>
          </w:tcPr>
          <w:p w14:paraId="60045232" w14:textId="77777777" w:rsidR="00B1717A" w:rsidRPr="0010336F" w:rsidRDefault="00B1717A" w:rsidP="00D62884">
            <w:pPr>
              <w:spacing w:before="80" w:line="280" w:lineRule="exact"/>
              <w:ind w:right="640"/>
              <w:rPr>
                <w:rFonts w:ascii="Tahoma" w:hAnsi="Tahoma" w:cs="Tahoma"/>
                <w:b/>
                <w:bCs/>
                <w:iCs/>
                <w:color w:val="243285"/>
                <w:sz w:val="32"/>
                <w:szCs w:val="32"/>
                <w:lang w:val="es-ES_tradnl"/>
              </w:rPr>
            </w:pPr>
          </w:p>
          <w:p w14:paraId="20D235A3" w14:textId="77777777" w:rsidR="00B1717A" w:rsidRPr="0010336F" w:rsidRDefault="00B1717A" w:rsidP="00D62884">
            <w:pPr>
              <w:spacing w:before="80" w:line="280" w:lineRule="exact"/>
              <w:ind w:right="640"/>
              <w:rPr>
                <w:rFonts w:ascii="Tahoma" w:hAnsi="Tahoma" w:cs="Tahoma"/>
                <w:b/>
                <w:bCs/>
                <w:iCs/>
                <w:color w:val="243285"/>
                <w:sz w:val="32"/>
                <w:szCs w:val="32"/>
                <w:lang w:val="es-ES_tradnl"/>
              </w:rPr>
            </w:pPr>
          </w:p>
          <w:p w14:paraId="3B607027" w14:textId="77777777"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14:paraId="7DBB5C02" w14:textId="3D4EF167" w:rsidR="00B1717A" w:rsidRPr="0010336F" w:rsidRDefault="00B1717A" w:rsidP="00366CEE">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877A2D">
              <w:rPr>
                <w:rFonts w:ascii="Tahoma" w:hAnsi="Tahoma" w:cs="Tahoma"/>
                <w:b/>
                <w:bCs/>
                <w:iCs/>
                <w:color w:val="243285"/>
                <w:sz w:val="36"/>
                <w:szCs w:val="36"/>
                <w:lang w:val="es-ES_tradnl"/>
              </w:rPr>
              <w:t>SM</w:t>
            </w:r>
          </w:p>
          <w:p w14:paraId="17C5C2BF" w14:textId="7A9E0B6A" w:rsidR="00B1717A" w:rsidRPr="0010336F" w:rsidRDefault="00877A2D" w:rsidP="00D62884">
            <w:pPr>
              <w:spacing w:before="80" w:line="420" w:lineRule="exact"/>
              <w:jc w:val="right"/>
              <w:rPr>
                <w:rFonts w:ascii="Tahoma" w:hAnsi="Tahoma" w:cs="Tahoma"/>
                <w:b/>
                <w:bCs/>
                <w:iCs/>
                <w:color w:val="243285"/>
                <w:sz w:val="36"/>
                <w:szCs w:val="36"/>
                <w:lang w:val="es-ES_tradnl"/>
              </w:rPr>
            </w:pPr>
            <w:r w:rsidRPr="00877A2D">
              <w:rPr>
                <w:rFonts w:ascii="Tahoma" w:hAnsi="Tahoma" w:cs="Tahoma"/>
                <w:b/>
                <w:bCs/>
                <w:iCs/>
                <w:color w:val="243285"/>
                <w:sz w:val="36"/>
                <w:szCs w:val="36"/>
                <w:lang w:val="es-ES_tradnl"/>
              </w:rPr>
              <w:t>Gestión del espectro</w:t>
            </w:r>
          </w:p>
        </w:tc>
      </w:tr>
    </w:tbl>
    <w:p w14:paraId="073A652A" w14:textId="77777777" w:rsidR="00B1717A" w:rsidRPr="0026666F" w:rsidRDefault="00B1717A" w:rsidP="00B1717A">
      <w:pPr>
        <w:spacing w:before="80"/>
        <w:rPr>
          <w:i/>
          <w:sz w:val="22"/>
          <w:lang w:val="es-ES_tradnl"/>
        </w:rPr>
      </w:pPr>
    </w:p>
    <w:p w14:paraId="6647A697" w14:textId="77777777" w:rsidR="00B1717A" w:rsidRPr="0026666F" w:rsidRDefault="00B1717A" w:rsidP="00B1717A">
      <w:pPr>
        <w:spacing w:before="80"/>
        <w:rPr>
          <w:i/>
          <w:sz w:val="22"/>
          <w:lang w:val="es-ES_tradnl"/>
        </w:rPr>
      </w:pPr>
    </w:p>
    <w:p w14:paraId="65CEE0BF" w14:textId="77777777" w:rsidR="00B1717A" w:rsidRPr="0026666F" w:rsidRDefault="00B1717A" w:rsidP="00B1717A">
      <w:pPr>
        <w:spacing w:before="80"/>
        <w:rPr>
          <w:i/>
          <w:sz w:val="22"/>
          <w:lang w:val="es-ES_tradnl"/>
        </w:rPr>
      </w:pPr>
    </w:p>
    <w:p w14:paraId="4C90DCD2" w14:textId="77777777" w:rsidR="00B1717A" w:rsidRPr="0026666F" w:rsidRDefault="00B1717A" w:rsidP="00B1717A">
      <w:pPr>
        <w:spacing w:before="80"/>
        <w:rPr>
          <w:i/>
          <w:sz w:val="22"/>
          <w:lang w:val="es-ES_tradnl"/>
        </w:rPr>
      </w:pPr>
    </w:p>
    <w:p w14:paraId="6C745188" w14:textId="77777777" w:rsidR="00B1717A" w:rsidRPr="0026666F" w:rsidRDefault="00B1717A" w:rsidP="00B1717A">
      <w:pPr>
        <w:spacing w:before="80"/>
        <w:rPr>
          <w:i/>
          <w:sz w:val="22"/>
          <w:lang w:val="es-ES_tradnl"/>
        </w:rPr>
      </w:pPr>
    </w:p>
    <w:p w14:paraId="4568C82A" w14:textId="77777777" w:rsidR="00B1717A" w:rsidRPr="0026666F" w:rsidRDefault="00B1717A" w:rsidP="00B1717A">
      <w:pPr>
        <w:spacing w:before="80"/>
        <w:rPr>
          <w:i/>
          <w:sz w:val="22"/>
          <w:lang w:val="es-ES_tradnl"/>
        </w:rPr>
      </w:pPr>
    </w:p>
    <w:p w14:paraId="5FD3D38A" w14:textId="77777777"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rsidSect="00877A2D">
          <w:headerReference w:type="even" r:id="rId8"/>
          <w:headerReference w:type="default" r:id="rId9"/>
          <w:pgSz w:w="11907" w:h="16840" w:code="9"/>
          <w:pgMar w:top="1089" w:right="1089" w:bottom="284" w:left="1089" w:header="567" w:footer="284" w:gutter="0"/>
          <w:pgNumType w:start="1"/>
          <w:cols w:space="720"/>
        </w:sectPr>
      </w:pPr>
    </w:p>
    <w:p w14:paraId="5C673EA1" w14:textId="77777777" w:rsidR="00B1717A" w:rsidRPr="006C718C" w:rsidRDefault="00B1717A" w:rsidP="000D5F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1" w:name="c2tope"/>
      <w:bookmarkEnd w:id="1"/>
      <w:r w:rsidRPr="006C718C">
        <w:rPr>
          <w:bCs/>
          <w:sz w:val="24"/>
          <w:szCs w:val="24"/>
          <w:lang w:val="es-ES_tradnl"/>
        </w:rPr>
        <w:lastRenderedPageBreak/>
        <w:t>Prólogo</w:t>
      </w:r>
    </w:p>
    <w:p w14:paraId="7FDA9D19" w14:textId="71C8940A" w:rsidR="00B1717A" w:rsidRPr="006C718C" w:rsidRDefault="00877A2D" w:rsidP="00877A2D">
      <w:pPr>
        <w:spacing w:before="180"/>
        <w:rPr>
          <w:sz w:val="20"/>
          <w:lang w:val="es-ES_tradnl"/>
        </w:rPr>
      </w:pPr>
      <w:r w:rsidRPr="00877A2D">
        <w:rPr>
          <w:sz w:val="20"/>
          <w:lang w:val="es-ES"/>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00C9B688" w14:textId="77777777"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556C28FE" w14:textId="77777777"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14:paraId="316D6AD9" w14:textId="77777777" w:rsidR="00B1717A" w:rsidRPr="00021E8A" w:rsidRDefault="00B1717A" w:rsidP="0037356D">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14:paraId="4DA8CC37" w14:textId="77777777" w:rsidR="00B1717A" w:rsidRPr="007C36CA" w:rsidRDefault="00B1717A" w:rsidP="00B1717A">
      <w:pPr>
        <w:spacing w:before="0"/>
        <w:jc w:val="center"/>
        <w:rPr>
          <w:sz w:val="22"/>
          <w:lang w:val="es-ES_tradnl"/>
        </w:rPr>
      </w:pPr>
    </w:p>
    <w:p w14:paraId="5FAF3B76" w14:textId="77777777"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13555A" w14:paraId="73934362" w14:textId="77777777" w:rsidTr="00D62884">
        <w:tc>
          <w:tcPr>
            <w:tcW w:w="9360" w:type="dxa"/>
            <w:gridSpan w:val="2"/>
          </w:tcPr>
          <w:p w14:paraId="608903C5" w14:textId="29FA196C"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Series de las Recomendaciones UIT-R</w:t>
            </w:r>
          </w:p>
          <w:p w14:paraId="0362779C" w14:textId="77777777"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14:paraId="2C6B2775" w14:textId="77777777" w:rsidTr="004532F7">
        <w:tc>
          <w:tcPr>
            <w:tcW w:w="1140" w:type="dxa"/>
            <w:tcBorders>
              <w:bottom w:val="nil"/>
            </w:tcBorders>
          </w:tcPr>
          <w:p w14:paraId="738CEAC7" w14:textId="77777777"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14:paraId="0017CEF4" w14:textId="77777777" w:rsidR="00B1717A" w:rsidRPr="00B312B0"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
              </w:rPr>
            </w:pPr>
            <w:r w:rsidRPr="00B312B0">
              <w:rPr>
                <w:bCs/>
                <w:sz w:val="20"/>
                <w:lang w:val="es-ES"/>
              </w:rPr>
              <w:t>Título</w:t>
            </w:r>
          </w:p>
        </w:tc>
      </w:tr>
      <w:tr w:rsidR="00B1717A" w:rsidRPr="004532F7" w14:paraId="1C811ABE" w14:textId="77777777" w:rsidTr="004532F7">
        <w:tc>
          <w:tcPr>
            <w:tcW w:w="1140" w:type="dxa"/>
            <w:tcBorders>
              <w:top w:val="nil"/>
              <w:bottom w:val="nil"/>
            </w:tcBorders>
            <w:shd w:val="clear" w:color="auto" w:fill="auto"/>
          </w:tcPr>
          <w:p w14:paraId="25D56B8E" w14:textId="77777777"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14:paraId="078BE29B" w14:textId="77777777" w:rsidR="00B1717A" w:rsidRPr="009A5619" w:rsidRDefault="00B1717A" w:rsidP="00877A2D">
            <w:pPr>
              <w:spacing w:before="30" w:after="30"/>
              <w:jc w:val="left"/>
              <w:rPr>
                <w:sz w:val="20"/>
                <w:lang w:val="es-ES"/>
              </w:rPr>
            </w:pPr>
            <w:r w:rsidRPr="009A5619">
              <w:rPr>
                <w:sz w:val="20"/>
                <w:lang w:val="es-ES"/>
              </w:rPr>
              <w:t>Distribución por satélite</w:t>
            </w:r>
          </w:p>
        </w:tc>
      </w:tr>
      <w:tr w:rsidR="00B1717A" w:rsidRPr="0013555A" w14:paraId="4BDDADD3" w14:textId="77777777" w:rsidTr="00847DD5">
        <w:tc>
          <w:tcPr>
            <w:tcW w:w="1140" w:type="dxa"/>
            <w:tcBorders>
              <w:top w:val="nil"/>
              <w:bottom w:val="nil"/>
            </w:tcBorders>
            <w:shd w:val="clear" w:color="auto" w:fill="auto"/>
          </w:tcPr>
          <w:p w14:paraId="1FEBBAF9" w14:textId="77777777"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14:paraId="3170B507" w14:textId="77777777" w:rsidR="00B1717A" w:rsidRPr="009A5619" w:rsidRDefault="00B1717A" w:rsidP="00877A2D">
            <w:pPr>
              <w:spacing w:before="30" w:after="30"/>
              <w:jc w:val="left"/>
              <w:rPr>
                <w:sz w:val="20"/>
                <w:lang w:val="es-ES"/>
              </w:rPr>
            </w:pPr>
            <w:r w:rsidRPr="009A5619">
              <w:rPr>
                <w:sz w:val="20"/>
                <w:lang w:val="es-ES"/>
              </w:rPr>
              <w:t>Registro para producción, archivo y reproducción; películas en televisión</w:t>
            </w:r>
          </w:p>
        </w:tc>
      </w:tr>
      <w:tr w:rsidR="00B1717A" w:rsidRPr="00847DD5" w14:paraId="25AF01F4" w14:textId="77777777" w:rsidTr="00847DD5">
        <w:tc>
          <w:tcPr>
            <w:tcW w:w="1140" w:type="dxa"/>
            <w:tcBorders>
              <w:top w:val="nil"/>
              <w:bottom w:val="nil"/>
            </w:tcBorders>
            <w:shd w:val="clear" w:color="auto" w:fill="auto"/>
          </w:tcPr>
          <w:p w14:paraId="12626128" w14:textId="77777777"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14:paraId="6335E56A" w14:textId="77777777" w:rsidR="00B1717A" w:rsidRPr="009A5619" w:rsidRDefault="00654F04" w:rsidP="00877A2D">
            <w:pPr>
              <w:spacing w:before="30" w:after="30"/>
              <w:jc w:val="left"/>
              <w:rPr>
                <w:sz w:val="20"/>
                <w:lang w:val="es-ES"/>
              </w:rPr>
            </w:pPr>
            <w:r w:rsidRPr="009A5619">
              <w:rPr>
                <w:sz w:val="20"/>
                <w:lang w:val="es-ES"/>
              </w:rPr>
              <w:t>Servicio de radiodifusión (sonora)</w:t>
            </w:r>
          </w:p>
        </w:tc>
      </w:tr>
      <w:tr w:rsidR="00B1717A" w:rsidRPr="00ED2695" w14:paraId="135A8E1A" w14:textId="77777777" w:rsidTr="00366CEE">
        <w:tc>
          <w:tcPr>
            <w:tcW w:w="1140" w:type="dxa"/>
            <w:tcBorders>
              <w:top w:val="nil"/>
              <w:bottom w:val="nil"/>
            </w:tcBorders>
            <w:shd w:val="clear" w:color="auto" w:fill="auto"/>
          </w:tcPr>
          <w:p w14:paraId="45EABD70" w14:textId="77777777"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59725CAF" w14:textId="77777777" w:rsidR="00B1717A" w:rsidRPr="009A5619" w:rsidRDefault="00B1717A" w:rsidP="00877A2D">
            <w:pPr>
              <w:spacing w:before="30" w:after="30"/>
              <w:jc w:val="left"/>
              <w:rPr>
                <w:sz w:val="20"/>
                <w:lang w:val="es-ES"/>
              </w:rPr>
            </w:pPr>
            <w:r w:rsidRPr="009A5619">
              <w:rPr>
                <w:sz w:val="20"/>
                <w:lang w:val="es-ES"/>
              </w:rPr>
              <w:t>Servicio de radiodifusión (televisión)</w:t>
            </w:r>
          </w:p>
        </w:tc>
      </w:tr>
      <w:tr w:rsidR="00B1717A" w:rsidRPr="00366CEE" w14:paraId="6D47F069" w14:textId="77777777" w:rsidTr="00366CEE">
        <w:tc>
          <w:tcPr>
            <w:tcW w:w="1140" w:type="dxa"/>
            <w:tcBorders>
              <w:top w:val="nil"/>
              <w:bottom w:val="nil"/>
            </w:tcBorders>
            <w:shd w:val="clear" w:color="auto" w:fill="auto"/>
          </w:tcPr>
          <w:p w14:paraId="140A3DD6" w14:textId="77777777" w:rsidR="00B1717A" w:rsidRPr="00366CEE" w:rsidRDefault="00B1717A"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14:paraId="67F2EBAB" w14:textId="77777777" w:rsidR="00B1717A" w:rsidRPr="009A5619" w:rsidRDefault="00B1717A" w:rsidP="00877A2D">
            <w:pPr>
              <w:spacing w:before="30" w:after="30"/>
              <w:jc w:val="left"/>
              <w:rPr>
                <w:sz w:val="20"/>
                <w:lang w:val="es-ES"/>
              </w:rPr>
            </w:pPr>
            <w:r w:rsidRPr="009A5619">
              <w:rPr>
                <w:sz w:val="20"/>
                <w:lang w:val="es-ES"/>
              </w:rPr>
              <w:t>Servicio fijo</w:t>
            </w:r>
          </w:p>
        </w:tc>
      </w:tr>
      <w:tr w:rsidR="00B1717A" w:rsidRPr="0013555A" w14:paraId="7D2797D0" w14:textId="77777777" w:rsidTr="00877A2D">
        <w:tc>
          <w:tcPr>
            <w:tcW w:w="1140" w:type="dxa"/>
            <w:tcBorders>
              <w:top w:val="nil"/>
              <w:bottom w:val="nil"/>
            </w:tcBorders>
            <w:shd w:val="clear" w:color="auto" w:fill="auto"/>
          </w:tcPr>
          <w:p w14:paraId="7BDEDE8F" w14:textId="77777777"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14:paraId="300CFBE0" w14:textId="77777777" w:rsidR="00B1717A" w:rsidRPr="009A5619" w:rsidRDefault="00B1717A" w:rsidP="00877A2D">
            <w:pPr>
              <w:spacing w:before="30" w:after="30"/>
              <w:jc w:val="left"/>
              <w:rPr>
                <w:sz w:val="20"/>
                <w:lang w:val="es-ES"/>
              </w:rPr>
            </w:pPr>
            <w:r w:rsidRPr="009A5619">
              <w:rPr>
                <w:sz w:val="20"/>
                <w:lang w:val="es-ES"/>
              </w:rPr>
              <w:t>Servicios móviles, de radiodeterminación, de aficionados y otros servicios por satélite conexos</w:t>
            </w:r>
          </w:p>
        </w:tc>
      </w:tr>
      <w:tr w:rsidR="00B1717A" w:rsidRPr="0013555A" w14:paraId="7E3EF000" w14:textId="77777777" w:rsidTr="00877A2D">
        <w:tc>
          <w:tcPr>
            <w:tcW w:w="1140" w:type="dxa"/>
            <w:tcBorders>
              <w:top w:val="nil"/>
              <w:bottom w:val="nil"/>
            </w:tcBorders>
            <w:shd w:val="clear" w:color="auto" w:fill="auto"/>
          </w:tcPr>
          <w:p w14:paraId="72F805CA" w14:textId="77777777" w:rsidR="00B1717A" w:rsidRPr="00877A2D" w:rsidRDefault="00B1717A" w:rsidP="00D62884">
            <w:pPr>
              <w:spacing w:before="30" w:after="30"/>
              <w:ind w:left="57"/>
              <w:jc w:val="left"/>
              <w:rPr>
                <w:b/>
                <w:bCs/>
                <w:sz w:val="20"/>
                <w:lang w:val="fr-CH"/>
              </w:rPr>
            </w:pPr>
            <w:r w:rsidRPr="00877A2D">
              <w:rPr>
                <w:b/>
                <w:bCs/>
                <w:sz w:val="20"/>
                <w:lang w:val="fr-CH"/>
              </w:rPr>
              <w:t>P</w:t>
            </w:r>
          </w:p>
        </w:tc>
        <w:tc>
          <w:tcPr>
            <w:tcW w:w="8220" w:type="dxa"/>
            <w:tcBorders>
              <w:top w:val="nil"/>
              <w:bottom w:val="nil"/>
            </w:tcBorders>
            <w:shd w:val="clear" w:color="auto" w:fill="auto"/>
          </w:tcPr>
          <w:p w14:paraId="300300B5" w14:textId="77777777" w:rsidR="00B1717A" w:rsidRPr="009A5619" w:rsidRDefault="00B1717A" w:rsidP="00D62884">
            <w:pPr>
              <w:spacing w:before="30" w:after="30"/>
              <w:jc w:val="left"/>
              <w:rPr>
                <w:sz w:val="20"/>
                <w:lang w:val="es-ES"/>
              </w:rPr>
            </w:pPr>
            <w:r w:rsidRPr="009A5619">
              <w:rPr>
                <w:sz w:val="20"/>
                <w:lang w:val="es-ES"/>
              </w:rPr>
              <w:t>Propagación de las ondas radioeléctricas</w:t>
            </w:r>
          </w:p>
        </w:tc>
      </w:tr>
      <w:tr w:rsidR="00B1717A" w:rsidRPr="00036EE3" w14:paraId="328C815B" w14:textId="77777777" w:rsidTr="00366CEE">
        <w:tc>
          <w:tcPr>
            <w:tcW w:w="1140" w:type="dxa"/>
            <w:tcBorders>
              <w:top w:val="nil"/>
            </w:tcBorders>
          </w:tcPr>
          <w:p w14:paraId="4F8A1E72" w14:textId="77777777" w:rsidR="00B1717A" w:rsidRPr="00036EE3" w:rsidRDefault="00B1717A" w:rsidP="00D62884">
            <w:pPr>
              <w:spacing w:before="30" w:after="30"/>
              <w:ind w:left="57"/>
              <w:jc w:val="left"/>
              <w:rPr>
                <w:b/>
                <w:bCs/>
                <w:sz w:val="20"/>
                <w:lang w:val="en-US"/>
              </w:rPr>
            </w:pPr>
            <w:r w:rsidRPr="00036EE3">
              <w:rPr>
                <w:b/>
                <w:bCs/>
                <w:sz w:val="20"/>
                <w:lang w:val="en-US"/>
              </w:rPr>
              <w:t>RA</w:t>
            </w:r>
          </w:p>
        </w:tc>
        <w:tc>
          <w:tcPr>
            <w:tcW w:w="8220" w:type="dxa"/>
            <w:tcBorders>
              <w:top w:val="nil"/>
            </w:tcBorders>
          </w:tcPr>
          <w:p w14:paraId="00BECB5E" w14:textId="77777777" w:rsidR="00B1717A" w:rsidRPr="009A5619" w:rsidRDefault="00E3040B" w:rsidP="00877A2D">
            <w:pPr>
              <w:spacing w:before="30" w:after="30"/>
              <w:jc w:val="left"/>
              <w:rPr>
                <w:sz w:val="20"/>
                <w:lang w:val="es-ES"/>
              </w:rPr>
            </w:pPr>
            <w:r w:rsidRPr="009A5619">
              <w:rPr>
                <w:sz w:val="20"/>
                <w:lang w:val="es-ES"/>
              </w:rPr>
              <w:t>Radio</w:t>
            </w:r>
            <w:r w:rsidR="00B1717A" w:rsidRPr="009A5619">
              <w:rPr>
                <w:sz w:val="20"/>
                <w:lang w:val="es-ES"/>
              </w:rPr>
              <w:t>astronomía</w:t>
            </w:r>
          </w:p>
        </w:tc>
      </w:tr>
      <w:tr w:rsidR="00B1717A" w:rsidRPr="0013555A" w14:paraId="7B57BF2A" w14:textId="77777777" w:rsidTr="00D62884">
        <w:tc>
          <w:tcPr>
            <w:tcW w:w="1140" w:type="dxa"/>
          </w:tcPr>
          <w:p w14:paraId="534B6057" w14:textId="77777777" w:rsidR="00B1717A" w:rsidRPr="00036EE3" w:rsidRDefault="00B1717A" w:rsidP="00D62884">
            <w:pPr>
              <w:spacing w:before="30" w:after="30"/>
              <w:ind w:left="57"/>
              <w:jc w:val="left"/>
              <w:rPr>
                <w:b/>
                <w:bCs/>
                <w:sz w:val="20"/>
                <w:lang w:val="en-US"/>
              </w:rPr>
            </w:pPr>
            <w:r w:rsidRPr="00036EE3">
              <w:rPr>
                <w:b/>
                <w:bCs/>
                <w:sz w:val="20"/>
                <w:lang w:val="en-US"/>
              </w:rPr>
              <w:t>RS</w:t>
            </w:r>
          </w:p>
        </w:tc>
        <w:tc>
          <w:tcPr>
            <w:tcW w:w="8220" w:type="dxa"/>
          </w:tcPr>
          <w:p w14:paraId="0DBBDE9C" w14:textId="77777777" w:rsidR="00B1717A" w:rsidRPr="009A5619" w:rsidRDefault="00B1717A" w:rsidP="00877A2D">
            <w:pPr>
              <w:spacing w:before="30" w:after="30"/>
              <w:jc w:val="left"/>
              <w:rPr>
                <w:sz w:val="20"/>
                <w:lang w:val="es-ES"/>
              </w:rPr>
            </w:pPr>
            <w:r w:rsidRPr="009A5619">
              <w:rPr>
                <w:sz w:val="20"/>
                <w:lang w:val="es-ES"/>
              </w:rPr>
              <w:t>Sistemas de detección a distancia</w:t>
            </w:r>
          </w:p>
        </w:tc>
      </w:tr>
      <w:tr w:rsidR="00B1717A" w:rsidRPr="00036EE3" w14:paraId="5A9F6BDF" w14:textId="77777777" w:rsidTr="00D62884">
        <w:tc>
          <w:tcPr>
            <w:tcW w:w="1140" w:type="dxa"/>
          </w:tcPr>
          <w:p w14:paraId="704DACCF" w14:textId="77777777" w:rsidR="00B1717A" w:rsidRPr="00036EE3" w:rsidRDefault="00B1717A" w:rsidP="00D62884">
            <w:pPr>
              <w:spacing w:before="30" w:after="30"/>
              <w:ind w:left="57"/>
              <w:jc w:val="left"/>
              <w:rPr>
                <w:b/>
                <w:bCs/>
                <w:sz w:val="20"/>
                <w:lang w:val="en-US"/>
              </w:rPr>
            </w:pPr>
            <w:r w:rsidRPr="00036EE3">
              <w:rPr>
                <w:b/>
                <w:bCs/>
                <w:sz w:val="20"/>
                <w:lang w:val="en-US"/>
              </w:rPr>
              <w:t>S</w:t>
            </w:r>
          </w:p>
        </w:tc>
        <w:tc>
          <w:tcPr>
            <w:tcW w:w="8220" w:type="dxa"/>
          </w:tcPr>
          <w:p w14:paraId="6EEB7975" w14:textId="77777777" w:rsidR="00B1717A" w:rsidRPr="009A5619" w:rsidRDefault="00B1717A" w:rsidP="00D62884">
            <w:pPr>
              <w:spacing w:before="30" w:after="30"/>
              <w:jc w:val="left"/>
              <w:rPr>
                <w:sz w:val="20"/>
                <w:lang w:val="es-ES"/>
              </w:rPr>
            </w:pPr>
            <w:r w:rsidRPr="009A5619">
              <w:rPr>
                <w:sz w:val="20"/>
                <w:lang w:val="es-ES"/>
              </w:rPr>
              <w:t>Servicio fijo por satélite</w:t>
            </w:r>
          </w:p>
        </w:tc>
      </w:tr>
      <w:tr w:rsidR="00B1717A" w:rsidRPr="00036EE3" w14:paraId="2B02F1C5" w14:textId="77777777" w:rsidTr="00D62884">
        <w:tc>
          <w:tcPr>
            <w:tcW w:w="1140" w:type="dxa"/>
          </w:tcPr>
          <w:p w14:paraId="30FA3948" w14:textId="77777777"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Pr>
          <w:p w14:paraId="0A744EE2" w14:textId="77777777" w:rsidR="00B1717A" w:rsidRPr="009A5619" w:rsidRDefault="00B1717A" w:rsidP="00D62884">
            <w:pPr>
              <w:spacing w:before="30" w:after="30"/>
              <w:jc w:val="left"/>
              <w:rPr>
                <w:sz w:val="20"/>
                <w:lang w:val="es-ES"/>
              </w:rPr>
            </w:pPr>
            <w:r w:rsidRPr="009A5619">
              <w:rPr>
                <w:sz w:val="20"/>
                <w:lang w:val="es-ES"/>
              </w:rPr>
              <w:t>Aplicaciones espaciales y meteorología</w:t>
            </w:r>
          </w:p>
        </w:tc>
      </w:tr>
      <w:tr w:rsidR="00B1717A" w:rsidRPr="0013555A" w14:paraId="01ADFD12" w14:textId="77777777" w:rsidTr="00877A2D">
        <w:tc>
          <w:tcPr>
            <w:tcW w:w="1140" w:type="dxa"/>
            <w:tcBorders>
              <w:bottom w:val="nil"/>
            </w:tcBorders>
          </w:tcPr>
          <w:p w14:paraId="2B01D8DA" w14:textId="77777777"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Borders>
              <w:bottom w:val="nil"/>
            </w:tcBorders>
          </w:tcPr>
          <w:p w14:paraId="00E8E536" w14:textId="77777777" w:rsidR="00B1717A" w:rsidRPr="009A5619" w:rsidRDefault="00B1717A" w:rsidP="00D62884">
            <w:pPr>
              <w:spacing w:before="30" w:after="30"/>
              <w:jc w:val="left"/>
              <w:rPr>
                <w:sz w:val="20"/>
                <w:lang w:val="es-ES"/>
              </w:rPr>
            </w:pPr>
            <w:r w:rsidRPr="009A5619">
              <w:rPr>
                <w:sz w:val="20"/>
                <w:lang w:val="es-ES"/>
              </w:rPr>
              <w:t>Compartición de frecuencias y coordinación entre los sistemas del servicio fijo por satélite y del servicio fijo</w:t>
            </w:r>
          </w:p>
        </w:tc>
      </w:tr>
      <w:tr w:rsidR="00B1717A" w:rsidRPr="00036EE3" w14:paraId="5FE71FDC" w14:textId="77777777" w:rsidTr="00877A2D">
        <w:tc>
          <w:tcPr>
            <w:tcW w:w="1140" w:type="dxa"/>
            <w:tcBorders>
              <w:top w:val="nil"/>
              <w:bottom w:val="nil"/>
            </w:tcBorders>
            <w:shd w:val="clear" w:color="auto" w:fill="F3F3F3"/>
          </w:tcPr>
          <w:p w14:paraId="0AD254B7" w14:textId="77777777" w:rsidR="00B1717A" w:rsidRPr="001240BC" w:rsidRDefault="00B1717A" w:rsidP="00D62884">
            <w:pPr>
              <w:spacing w:before="30" w:after="30"/>
              <w:ind w:left="57"/>
              <w:jc w:val="left"/>
              <w:rPr>
                <w:b/>
                <w:bCs/>
                <w:sz w:val="20"/>
                <w:lang w:val="en-US"/>
              </w:rPr>
            </w:pPr>
            <w:r w:rsidRPr="00877A2D">
              <w:rPr>
                <w:b/>
                <w:bCs/>
                <w:color w:val="000080"/>
                <w:sz w:val="20"/>
                <w:lang w:val="en-US"/>
              </w:rPr>
              <w:t>SM</w:t>
            </w:r>
          </w:p>
        </w:tc>
        <w:tc>
          <w:tcPr>
            <w:tcW w:w="8220" w:type="dxa"/>
            <w:tcBorders>
              <w:top w:val="nil"/>
              <w:bottom w:val="nil"/>
            </w:tcBorders>
            <w:shd w:val="clear" w:color="auto" w:fill="F3F3F3"/>
          </w:tcPr>
          <w:p w14:paraId="42089FCC" w14:textId="77777777" w:rsidR="00B1717A" w:rsidRPr="009A5619" w:rsidRDefault="00B1717A" w:rsidP="00D62884">
            <w:pPr>
              <w:spacing w:before="30" w:after="30"/>
              <w:jc w:val="left"/>
              <w:rPr>
                <w:b/>
                <w:bCs/>
                <w:sz w:val="20"/>
                <w:lang w:val="es-ES"/>
              </w:rPr>
            </w:pPr>
            <w:r w:rsidRPr="009A5619">
              <w:rPr>
                <w:b/>
                <w:bCs/>
                <w:color w:val="000080"/>
                <w:sz w:val="20"/>
                <w:lang w:val="es-ES"/>
              </w:rPr>
              <w:t>Gestión del espectro</w:t>
            </w:r>
          </w:p>
        </w:tc>
      </w:tr>
      <w:tr w:rsidR="00B1717A" w:rsidRPr="00036EE3" w14:paraId="52B79A47" w14:textId="77777777" w:rsidTr="00877A2D">
        <w:tc>
          <w:tcPr>
            <w:tcW w:w="1140" w:type="dxa"/>
            <w:tcBorders>
              <w:top w:val="nil"/>
            </w:tcBorders>
          </w:tcPr>
          <w:p w14:paraId="40BE17FC" w14:textId="77777777"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Borders>
              <w:top w:val="nil"/>
            </w:tcBorders>
          </w:tcPr>
          <w:p w14:paraId="57AAE8F3" w14:textId="77777777" w:rsidR="00B1717A" w:rsidRPr="009A5619" w:rsidRDefault="00B1717A" w:rsidP="00D62884">
            <w:pPr>
              <w:spacing w:before="30" w:after="30"/>
              <w:jc w:val="left"/>
              <w:rPr>
                <w:bCs/>
                <w:sz w:val="20"/>
                <w:lang w:val="es-ES"/>
              </w:rPr>
            </w:pPr>
            <w:r w:rsidRPr="009A5619">
              <w:rPr>
                <w:bCs/>
                <w:sz w:val="20"/>
                <w:lang w:val="es-ES"/>
              </w:rPr>
              <w:t>Periodismo electrónico por satélite</w:t>
            </w:r>
          </w:p>
        </w:tc>
      </w:tr>
      <w:tr w:rsidR="00B1717A" w:rsidRPr="0013555A" w14:paraId="2D4B9E83" w14:textId="77777777" w:rsidTr="00D62884">
        <w:tc>
          <w:tcPr>
            <w:tcW w:w="1140" w:type="dxa"/>
          </w:tcPr>
          <w:p w14:paraId="68A67420" w14:textId="77777777"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14:paraId="54C1E3C3" w14:textId="77777777" w:rsidR="00B1717A" w:rsidRPr="009A5619" w:rsidRDefault="00B1717A" w:rsidP="00D62884">
            <w:pPr>
              <w:spacing w:before="30" w:after="30"/>
              <w:jc w:val="left"/>
              <w:rPr>
                <w:bCs/>
                <w:sz w:val="20"/>
                <w:lang w:val="es-ES"/>
              </w:rPr>
            </w:pPr>
            <w:r w:rsidRPr="009A5619">
              <w:rPr>
                <w:bCs/>
                <w:sz w:val="20"/>
                <w:lang w:val="es-ES"/>
              </w:rPr>
              <w:t>Emisiones de frecuencias patrón y señales horarias</w:t>
            </w:r>
          </w:p>
        </w:tc>
      </w:tr>
      <w:tr w:rsidR="00B1717A" w:rsidRPr="00036EE3" w14:paraId="737FF45D" w14:textId="77777777" w:rsidTr="00D62884">
        <w:tc>
          <w:tcPr>
            <w:tcW w:w="1140" w:type="dxa"/>
          </w:tcPr>
          <w:p w14:paraId="490CC5EE" w14:textId="77777777"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14:paraId="0A121A19" w14:textId="77777777" w:rsidR="00B1717A" w:rsidRPr="009A5619" w:rsidRDefault="00B1717A" w:rsidP="00D62884">
            <w:pPr>
              <w:spacing w:before="30" w:after="140"/>
              <w:jc w:val="left"/>
              <w:rPr>
                <w:bCs/>
                <w:sz w:val="20"/>
                <w:lang w:val="es-ES"/>
              </w:rPr>
            </w:pPr>
            <w:r w:rsidRPr="009A5619">
              <w:rPr>
                <w:bCs/>
                <w:sz w:val="20"/>
                <w:lang w:val="es-ES"/>
              </w:rPr>
              <w:t>Vocabulario y cuestiones afines</w:t>
            </w:r>
          </w:p>
        </w:tc>
      </w:tr>
    </w:tbl>
    <w:p w14:paraId="0ECE9856" w14:textId="77777777"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14:paraId="5002650C" w14:textId="77777777" w:rsidTr="00D62884">
        <w:tc>
          <w:tcPr>
            <w:tcW w:w="720" w:type="dxa"/>
          </w:tcPr>
          <w:p w14:paraId="26B6DB28" w14:textId="77777777"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13555A" w14:paraId="0E6306DB" w14:textId="77777777" w:rsidTr="00D62884">
        <w:tc>
          <w:tcPr>
            <w:tcW w:w="9360" w:type="dxa"/>
          </w:tcPr>
          <w:p w14:paraId="06EB5D32" w14:textId="77777777" w:rsidR="00B1717A" w:rsidRPr="00763D08" w:rsidRDefault="00B1717A" w:rsidP="000D5F99">
            <w:pPr>
              <w:spacing w:before="92" w:after="92"/>
              <w:jc w:val="left"/>
              <w:rPr>
                <w:i/>
                <w:iCs/>
                <w:sz w:val="20"/>
                <w:lang w:val="es-ES_tradnl"/>
              </w:rPr>
            </w:pPr>
            <w:r w:rsidRPr="00763D08">
              <w:rPr>
                <w:b/>
                <w:bCs/>
                <w:i/>
                <w:iCs/>
                <w:sz w:val="20"/>
                <w:lang w:val="es-ES_tradnl"/>
              </w:rPr>
              <w:t>Nota</w:t>
            </w:r>
            <w:r w:rsidRPr="00763D08">
              <w:rPr>
                <w:i/>
                <w:iCs/>
                <w:sz w:val="20"/>
                <w:lang w:val="es-ES_tradnl"/>
              </w:rPr>
              <w:t>: Esta Recomendación UIT-R fue aprobada en inglés conforme al procedimiento detallado en la Resolución</w:t>
            </w:r>
            <w:r w:rsidR="000D5F99">
              <w:rPr>
                <w:i/>
                <w:iCs/>
                <w:sz w:val="20"/>
                <w:lang w:val="es-ES_tradnl"/>
              </w:rPr>
              <w:t> </w:t>
            </w:r>
            <w:r w:rsidRPr="00763D08">
              <w:rPr>
                <w:i/>
                <w:iCs/>
                <w:sz w:val="20"/>
                <w:lang w:val="es-ES_tradnl"/>
              </w:rPr>
              <w:t>UIT-R 1.</w:t>
            </w:r>
          </w:p>
        </w:tc>
      </w:tr>
    </w:tbl>
    <w:p w14:paraId="080AC22C" w14:textId="77777777" w:rsidR="00B1717A" w:rsidRPr="00763D08" w:rsidRDefault="00B1717A" w:rsidP="00B1717A">
      <w:pPr>
        <w:spacing w:before="0"/>
        <w:jc w:val="center"/>
        <w:rPr>
          <w:sz w:val="22"/>
          <w:lang w:val="es-ES_tradnl"/>
        </w:rPr>
      </w:pPr>
    </w:p>
    <w:p w14:paraId="1FC7D7D2" w14:textId="77777777" w:rsidR="00B1717A" w:rsidRPr="00763D08" w:rsidRDefault="00B1717A" w:rsidP="00B1717A">
      <w:pPr>
        <w:spacing w:before="60"/>
        <w:jc w:val="right"/>
        <w:rPr>
          <w:i/>
          <w:iCs/>
          <w:sz w:val="20"/>
          <w:lang w:val="es-ES_tradnl"/>
        </w:rPr>
      </w:pPr>
      <w:r w:rsidRPr="00763D08">
        <w:rPr>
          <w:i/>
          <w:iCs/>
          <w:sz w:val="20"/>
          <w:lang w:val="es-ES_tradnl"/>
        </w:rPr>
        <w:t>Publicación electrónica</w:t>
      </w:r>
    </w:p>
    <w:p w14:paraId="50AF51DA" w14:textId="16506A32" w:rsidR="00B1717A" w:rsidRPr="00763D08" w:rsidRDefault="00B1717A" w:rsidP="001D6CE1">
      <w:pPr>
        <w:spacing w:before="0" w:after="40"/>
        <w:jc w:val="right"/>
        <w:rPr>
          <w:sz w:val="20"/>
          <w:lang w:val="es-ES_tradnl"/>
        </w:rPr>
      </w:pPr>
      <w:r w:rsidRPr="00763D08">
        <w:rPr>
          <w:sz w:val="20"/>
          <w:lang w:val="es-ES_tradnl"/>
        </w:rPr>
        <w:t>Ginebra, 20</w:t>
      </w:r>
      <w:r w:rsidR="00D052FC">
        <w:rPr>
          <w:sz w:val="20"/>
          <w:lang w:val="es-ES_tradnl"/>
        </w:rPr>
        <w:t>2</w:t>
      </w:r>
      <w:r w:rsidR="0013555A">
        <w:rPr>
          <w:sz w:val="20"/>
          <w:lang w:val="es-ES_tradnl"/>
        </w:rPr>
        <w:t>3</w:t>
      </w:r>
    </w:p>
    <w:p w14:paraId="70E40BBB" w14:textId="77777777" w:rsidR="00B1717A" w:rsidRPr="00763D08" w:rsidRDefault="00B1717A" w:rsidP="00B1717A">
      <w:pPr>
        <w:spacing w:before="0"/>
        <w:jc w:val="center"/>
        <w:rPr>
          <w:sz w:val="22"/>
          <w:lang w:val="es-ES_tradnl"/>
        </w:rPr>
      </w:pPr>
    </w:p>
    <w:p w14:paraId="77A30894" w14:textId="58DF5196" w:rsidR="00B1717A" w:rsidRPr="00763D08" w:rsidRDefault="00B1717A" w:rsidP="000D5F99">
      <w:pPr>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9F01EA">
        <w:rPr>
          <w:sz w:val="20"/>
          <w:lang w:val="es-ES_tradnl"/>
        </w:rPr>
        <w:t>2</w:t>
      </w:r>
      <w:r w:rsidR="0013555A">
        <w:rPr>
          <w:sz w:val="20"/>
          <w:lang w:val="es-ES_tradnl"/>
        </w:rPr>
        <w:t>3</w:t>
      </w:r>
    </w:p>
    <w:p w14:paraId="448D1B83" w14:textId="77777777" w:rsidR="00B1717A" w:rsidRPr="006C718C" w:rsidRDefault="00B1717A" w:rsidP="000D5F99">
      <w:pPr>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74655344" w14:textId="77777777" w:rsidR="00B1717A" w:rsidRPr="006C718C" w:rsidRDefault="00B1717A" w:rsidP="00B1717A">
      <w:pPr>
        <w:spacing w:before="160"/>
        <w:rPr>
          <w:i/>
          <w:sz w:val="20"/>
          <w:highlight w:val="yellow"/>
          <w:lang w:val="es-ES_tradnl"/>
        </w:rPr>
        <w:sectPr w:rsidR="00B1717A" w:rsidRPr="006C718C" w:rsidSect="00877A2D">
          <w:headerReference w:type="even" r:id="rId12"/>
          <w:headerReference w:type="default" r:id="rId13"/>
          <w:pgSz w:w="11907" w:h="16834" w:code="9"/>
          <w:pgMar w:top="1418" w:right="1134" w:bottom="1134" w:left="1134" w:header="720" w:footer="482" w:gutter="0"/>
          <w:pgNumType w:fmt="lowerRoman" w:start="2"/>
          <w:cols w:space="720"/>
        </w:sectPr>
      </w:pPr>
    </w:p>
    <w:p w14:paraId="6E38605F" w14:textId="13E108F7" w:rsidR="00B1717A" w:rsidRPr="006C347C" w:rsidRDefault="00DF1B8B" w:rsidP="0019247E">
      <w:pPr>
        <w:pStyle w:val="RecNo"/>
        <w:rPr>
          <w:lang w:val="es-ES_tradnl"/>
        </w:rPr>
      </w:pPr>
      <w:bookmarkStart w:id="3" w:name="irecnoe"/>
      <w:bookmarkEnd w:id="3"/>
      <w:r w:rsidRPr="00877A2D">
        <w:rPr>
          <w:lang w:val="es-ES"/>
        </w:rPr>
        <w:lastRenderedPageBreak/>
        <w:t>RECOMENDACIÓN</w:t>
      </w:r>
      <w:r w:rsidRPr="00DF1B8B">
        <w:rPr>
          <w:lang w:val="es-ES"/>
        </w:rPr>
        <w:t xml:space="preserve">  </w:t>
      </w:r>
      <w:r w:rsidRPr="00DF1B8B">
        <w:rPr>
          <w:rStyle w:val="href"/>
          <w:lang w:val="es-ES"/>
        </w:rPr>
        <w:t xml:space="preserve">UIT-R </w:t>
      </w:r>
      <w:r w:rsidR="0039094C">
        <w:rPr>
          <w:rStyle w:val="href"/>
          <w:lang w:val="es-ES"/>
        </w:rPr>
        <w:t xml:space="preserve"> </w:t>
      </w:r>
      <w:r w:rsidR="00877A2D" w:rsidRPr="00877A2D">
        <w:rPr>
          <w:rStyle w:val="href"/>
          <w:lang w:val="es-ES"/>
        </w:rPr>
        <w:t>SM.2152-0</w:t>
      </w:r>
    </w:p>
    <w:p w14:paraId="5E153B87" w14:textId="69B5330D" w:rsidR="003462E6" w:rsidRPr="00877A2D" w:rsidRDefault="00877A2D" w:rsidP="0019247E">
      <w:pPr>
        <w:pStyle w:val="Rectitle"/>
        <w:rPr>
          <w:lang w:val="es-ES"/>
        </w:rPr>
      </w:pPr>
      <w:r w:rsidRPr="00877A2D">
        <w:rPr>
          <w:lang w:val="es-ES"/>
        </w:rPr>
        <w:t>Complemento de los actuales mecanismos de distribución de radiofrecuencias utilizando la comunicación óptica inalámbrica</w:t>
      </w:r>
    </w:p>
    <w:p w14:paraId="6FC9E23F" w14:textId="1D80F7A3" w:rsidR="003462E6" w:rsidRDefault="00DF1B8B" w:rsidP="00DF1B8B">
      <w:pPr>
        <w:pStyle w:val="Recdate"/>
        <w:rPr>
          <w:lang w:val="es-ES"/>
        </w:rPr>
      </w:pPr>
      <w:r w:rsidRPr="00DF1B8B">
        <w:rPr>
          <w:lang w:val="es-ES"/>
        </w:rPr>
        <w:t>(2022)</w:t>
      </w:r>
    </w:p>
    <w:p w14:paraId="5520CAEE" w14:textId="77777777" w:rsidR="00877A2D" w:rsidRPr="00877A2D" w:rsidRDefault="00877A2D" w:rsidP="00877A2D">
      <w:pPr>
        <w:pStyle w:val="HeadingSum"/>
      </w:pPr>
      <w:r w:rsidRPr="00877A2D">
        <w:t>Cometido</w:t>
      </w:r>
    </w:p>
    <w:p w14:paraId="6615DF8E" w14:textId="77777777" w:rsidR="00877A2D" w:rsidRPr="00877A2D" w:rsidRDefault="00877A2D" w:rsidP="00877A2D">
      <w:pPr>
        <w:pStyle w:val="Summary"/>
      </w:pPr>
      <w:r w:rsidRPr="00877A2D">
        <w:t>Esta Recomendación contiene elementos que deben tenerse en cuenta al implementar la comunicación óptica inalámbrica (OWC) para las comunicaciones de banda ancha. Pueden distinguirse cuatro variantes principales de OWC, a saber, las comunicaciones ópticas en el espacio libre (punto a punto de largo alcance), las comunicaciones inalámbricas de área local con luz (corto alcance, acceso múltiple), las comunicaciones de cámara óptica (unidireccionales con baja velocidad de datos) y las comunicaciones ultravioleta (uv).</w:t>
      </w:r>
      <w:bookmarkStart w:id="4" w:name="OLE_LINK36"/>
      <w:bookmarkEnd w:id="4"/>
    </w:p>
    <w:p w14:paraId="35E4B4E9" w14:textId="77777777" w:rsidR="00877A2D" w:rsidRPr="00877A2D" w:rsidRDefault="00877A2D" w:rsidP="00877A2D">
      <w:pPr>
        <w:pStyle w:val="Headingb"/>
        <w:rPr>
          <w:lang w:val="es-ES"/>
        </w:rPr>
      </w:pPr>
      <w:r w:rsidRPr="00877A2D">
        <w:rPr>
          <w:lang w:val="es-ES"/>
        </w:rPr>
        <w:t>Palabras clave</w:t>
      </w:r>
    </w:p>
    <w:p w14:paraId="21FD1CA6" w14:textId="77777777" w:rsidR="00877A2D" w:rsidRPr="00877A2D" w:rsidRDefault="00877A2D" w:rsidP="00877A2D">
      <w:pPr>
        <w:rPr>
          <w:lang w:val="es-ES"/>
        </w:rPr>
      </w:pPr>
      <w:r w:rsidRPr="00877A2D">
        <w:rPr>
          <w:lang w:val="es-ES"/>
        </w:rPr>
        <w:t>Comunicaciones inalámbricas ópticas, comunicaciones ópticas en el espacio libre, comunicaciones de cámaras ópticas, comunicaciones de luz, frecuencias radioeléctricas</w:t>
      </w:r>
    </w:p>
    <w:p w14:paraId="0640C328" w14:textId="6AD7EC6F" w:rsidR="00877A2D" w:rsidRPr="00877A2D" w:rsidRDefault="00877A2D" w:rsidP="00877A2D">
      <w:pPr>
        <w:pStyle w:val="Headingb"/>
        <w:rPr>
          <w:lang w:val="es-ES"/>
        </w:rPr>
      </w:pPr>
      <w:r w:rsidRPr="00877A2D">
        <w:rPr>
          <w:lang w:val="es-ES"/>
        </w:rPr>
        <w:t>Abreviaturas/Glosario</w:t>
      </w:r>
    </w:p>
    <w:p w14:paraId="7D8B8781" w14:textId="7C9E08F1" w:rsidR="00877A2D" w:rsidRPr="00877A2D" w:rsidRDefault="00877A2D" w:rsidP="00877A2D">
      <w:pPr>
        <w:tabs>
          <w:tab w:val="clear" w:pos="794"/>
        </w:tabs>
        <w:rPr>
          <w:lang w:val="es-ES"/>
        </w:rPr>
      </w:pPr>
      <w:r w:rsidRPr="00877A2D">
        <w:rPr>
          <w:lang w:val="es-ES"/>
        </w:rPr>
        <w:t>D2D</w:t>
      </w:r>
      <w:r w:rsidRPr="00877A2D">
        <w:rPr>
          <w:lang w:val="es-ES"/>
        </w:rPr>
        <w:tab/>
        <w:t>De dispositivo a dispositivo (</w:t>
      </w:r>
      <w:r w:rsidRPr="0013555A">
        <w:rPr>
          <w:i/>
          <w:iCs/>
          <w:lang w:val="es-ES"/>
        </w:rPr>
        <w:t>device to device</w:t>
      </w:r>
      <w:r w:rsidRPr="00877A2D">
        <w:rPr>
          <w:lang w:val="es-ES"/>
        </w:rPr>
        <w:t>)</w:t>
      </w:r>
    </w:p>
    <w:p w14:paraId="6CDA65FC" w14:textId="77777777" w:rsidR="00877A2D" w:rsidRPr="00877A2D" w:rsidRDefault="00877A2D" w:rsidP="00877A2D">
      <w:pPr>
        <w:tabs>
          <w:tab w:val="clear" w:pos="794"/>
        </w:tabs>
        <w:rPr>
          <w:lang w:val="es-ES"/>
        </w:rPr>
      </w:pPr>
      <w:r w:rsidRPr="00877A2D">
        <w:rPr>
          <w:lang w:val="es-ES"/>
        </w:rPr>
        <w:t>EM</w:t>
      </w:r>
      <w:r w:rsidRPr="00877A2D">
        <w:rPr>
          <w:lang w:val="es-ES"/>
        </w:rPr>
        <w:tab/>
        <w:t>Electromagnética (</w:t>
      </w:r>
      <w:r w:rsidRPr="0013555A">
        <w:rPr>
          <w:i/>
          <w:iCs/>
          <w:lang w:val="es-ES"/>
        </w:rPr>
        <w:t>electromagnetic</w:t>
      </w:r>
      <w:r w:rsidRPr="00877A2D">
        <w:rPr>
          <w:lang w:val="es-ES"/>
        </w:rPr>
        <w:t>)</w:t>
      </w:r>
    </w:p>
    <w:p w14:paraId="12F1AE78" w14:textId="77777777" w:rsidR="00877A2D" w:rsidRPr="00877A2D" w:rsidRDefault="00877A2D" w:rsidP="00877A2D">
      <w:pPr>
        <w:tabs>
          <w:tab w:val="clear" w:pos="794"/>
        </w:tabs>
        <w:rPr>
          <w:lang w:val="es-ES"/>
        </w:rPr>
      </w:pPr>
      <w:r w:rsidRPr="00877A2D">
        <w:rPr>
          <w:lang w:val="es-ES"/>
        </w:rPr>
        <w:t>IEC</w:t>
      </w:r>
      <w:r w:rsidRPr="00877A2D">
        <w:rPr>
          <w:lang w:val="es-ES"/>
        </w:rPr>
        <w:tab/>
        <w:t>Comisión Electrotécnica Internacional (</w:t>
      </w:r>
      <w:r w:rsidRPr="0013555A">
        <w:rPr>
          <w:i/>
          <w:iCs/>
          <w:lang w:val="es-ES"/>
        </w:rPr>
        <w:t>International Electrotechnical Commission</w:t>
      </w:r>
      <w:r w:rsidRPr="00877A2D">
        <w:rPr>
          <w:lang w:val="es-ES"/>
        </w:rPr>
        <w:t>)</w:t>
      </w:r>
    </w:p>
    <w:p w14:paraId="5CBEF3FB" w14:textId="77777777" w:rsidR="00877A2D" w:rsidRPr="00877A2D" w:rsidRDefault="00877A2D" w:rsidP="00877A2D">
      <w:pPr>
        <w:tabs>
          <w:tab w:val="clear" w:pos="794"/>
        </w:tabs>
        <w:ind w:left="1191" w:hanging="1191"/>
        <w:rPr>
          <w:lang w:val="es-ES"/>
        </w:rPr>
      </w:pPr>
      <w:r w:rsidRPr="00877A2D">
        <w:rPr>
          <w:lang w:val="es-ES"/>
        </w:rPr>
        <w:t>IEEE</w:t>
      </w:r>
      <w:r w:rsidRPr="00877A2D">
        <w:rPr>
          <w:lang w:val="es-ES"/>
        </w:rPr>
        <w:tab/>
        <w:t>Instituto de Ingenieros Eléctricos y Electrónicos (</w:t>
      </w:r>
      <w:r w:rsidRPr="0013555A">
        <w:rPr>
          <w:i/>
          <w:iCs/>
          <w:lang w:val="es-ES"/>
        </w:rPr>
        <w:t>Institute of Electrical and Electronics Engineers</w:t>
      </w:r>
      <w:r w:rsidRPr="00877A2D">
        <w:rPr>
          <w:lang w:val="es-ES"/>
        </w:rPr>
        <w:t>)</w:t>
      </w:r>
    </w:p>
    <w:p w14:paraId="24A2BB7A" w14:textId="77777777" w:rsidR="00877A2D" w:rsidRPr="00877A2D" w:rsidRDefault="00877A2D" w:rsidP="00877A2D">
      <w:pPr>
        <w:tabs>
          <w:tab w:val="clear" w:pos="794"/>
        </w:tabs>
        <w:rPr>
          <w:lang w:val="es-ES"/>
        </w:rPr>
      </w:pPr>
      <w:r w:rsidRPr="00877A2D">
        <w:rPr>
          <w:lang w:val="es-ES"/>
        </w:rPr>
        <w:t>IoT</w:t>
      </w:r>
      <w:r w:rsidRPr="00877A2D">
        <w:rPr>
          <w:lang w:val="es-ES"/>
        </w:rPr>
        <w:tab/>
        <w:t>Internet de las cosas (</w:t>
      </w:r>
      <w:r w:rsidRPr="0013555A">
        <w:rPr>
          <w:i/>
          <w:iCs/>
          <w:lang w:val="es-ES"/>
        </w:rPr>
        <w:t>Internet of things</w:t>
      </w:r>
      <w:r w:rsidRPr="00877A2D">
        <w:rPr>
          <w:lang w:val="es-ES"/>
        </w:rPr>
        <w:t>)</w:t>
      </w:r>
    </w:p>
    <w:p w14:paraId="11FF0240" w14:textId="77777777" w:rsidR="00877A2D" w:rsidRPr="00877A2D" w:rsidRDefault="00877A2D" w:rsidP="00877A2D">
      <w:pPr>
        <w:tabs>
          <w:tab w:val="clear" w:pos="794"/>
        </w:tabs>
        <w:rPr>
          <w:lang w:val="es-ES"/>
        </w:rPr>
      </w:pPr>
      <w:r w:rsidRPr="00877A2D">
        <w:rPr>
          <w:lang w:val="es-ES"/>
        </w:rPr>
        <w:t>M2M</w:t>
      </w:r>
      <w:r w:rsidRPr="00877A2D">
        <w:rPr>
          <w:lang w:val="es-ES"/>
        </w:rPr>
        <w:tab/>
        <w:t>De máquina a máquina (</w:t>
      </w:r>
      <w:r w:rsidRPr="0013555A">
        <w:rPr>
          <w:i/>
          <w:iCs/>
          <w:lang w:val="es-ES"/>
        </w:rPr>
        <w:t>machine-to-machine</w:t>
      </w:r>
      <w:r w:rsidRPr="00877A2D">
        <w:rPr>
          <w:lang w:val="es-ES"/>
        </w:rPr>
        <w:t>)</w:t>
      </w:r>
    </w:p>
    <w:p w14:paraId="7F061D4C" w14:textId="78D777E9" w:rsidR="00877A2D" w:rsidRPr="00877A2D" w:rsidRDefault="00877A2D" w:rsidP="00877A2D">
      <w:pPr>
        <w:tabs>
          <w:tab w:val="clear" w:pos="794"/>
        </w:tabs>
        <w:rPr>
          <w:lang w:val="es-ES"/>
        </w:rPr>
      </w:pPr>
      <w:r w:rsidRPr="00877A2D">
        <w:rPr>
          <w:lang w:val="es-ES"/>
        </w:rPr>
        <w:t>nm</w:t>
      </w:r>
      <w:r w:rsidRPr="00877A2D">
        <w:rPr>
          <w:lang w:val="es-ES"/>
        </w:rPr>
        <w:tab/>
      </w:r>
      <w:r w:rsidR="00321276" w:rsidRPr="00877A2D">
        <w:rPr>
          <w:lang w:val="es-ES"/>
        </w:rPr>
        <w:t>Nanómetro</w:t>
      </w:r>
    </w:p>
    <w:p w14:paraId="289EFAD3" w14:textId="77777777" w:rsidR="00877A2D" w:rsidRPr="00877A2D" w:rsidRDefault="00877A2D" w:rsidP="00877A2D">
      <w:pPr>
        <w:tabs>
          <w:tab w:val="clear" w:pos="794"/>
        </w:tabs>
        <w:rPr>
          <w:lang w:val="es-ES"/>
        </w:rPr>
      </w:pPr>
      <w:r w:rsidRPr="00877A2D">
        <w:rPr>
          <w:lang w:val="es-ES"/>
        </w:rPr>
        <w:t>OWC</w:t>
      </w:r>
      <w:r w:rsidRPr="00877A2D">
        <w:rPr>
          <w:lang w:val="es-ES"/>
        </w:rPr>
        <w:tab/>
        <w:t>Comunicaciones inalámbricas ópticas (</w:t>
      </w:r>
      <w:r w:rsidRPr="0013555A">
        <w:rPr>
          <w:i/>
          <w:iCs/>
          <w:lang w:val="es-ES"/>
        </w:rPr>
        <w:t>optical wireless communication</w:t>
      </w:r>
      <w:r w:rsidRPr="00877A2D">
        <w:rPr>
          <w:lang w:val="es-ES"/>
        </w:rPr>
        <w:t>)</w:t>
      </w:r>
    </w:p>
    <w:p w14:paraId="76094133" w14:textId="77777777" w:rsidR="00877A2D" w:rsidRPr="00877A2D" w:rsidRDefault="00877A2D" w:rsidP="00877A2D">
      <w:pPr>
        <w:tabs>
          <w:tab w:val="clear" w:pos="794"/>
        </w:tabs>
        <w:rPr>
          <w:lang w:val="es-ES"/>
        </w:rPr>
      </w:pPr>
      <w:r w:rsidRPr="00877A2D">
        <w:rPr>
          <w:lang w:val="es-ES"/>
        </w:rPr>
        <w:t>RF</w:t>
      </w:r>
      <w:r w:rsidRPr="00877A2D">
        <w:rPr>
          <w:lang w:val="es-ES"/>
        </w:rPr>
        <w:tab/>
        <w:t>Radiofrecuencia</w:t>
      </w:r>
    </w:p>
    <w:p w14:paraId="118753C9" w14:textId="24747EAE" w:rsidR="00877A2D" w:rsidRPr="00877A2D" w:rsidRDefault="00877A2D" w:rsidP="00877A2D">
      <w:pPr>
        <w:tabs>
          <w:tab w:val="clear" w:pos="794"/>
        </w:tabs>
        <w:rPr>
          <w:lang w:val="es-ES"/>
        </w:rPr>
      </w:pPr>
      <w:r w:rsidRPr="00877A2D">
        <w:rPr>
          <w:lang w:val="es-ES"/>
        </w:rPr>
        <w:t>UCI</w:t>
      </w:r>
      <w:r w:rsidRPr="00877A2D">
        <w:rPr>
          <w:lang w:val="es-ES"/>
        </w:rPr>
        <w:tab/>
        <w:t>Unidad de cuidados intensivos</w:t>
      </w:r>
    </w:p>
    <w:p w14:paraId="0ACF0EA1" w14:textId="77777777" w:rsidR="00877A2D" w:rsidRPr="00877A2D" w:rsidRDefault="00877A2D" w:rsidP="00877A2D">
      <w:pPr>
        <w:pStyle w:val="Headingb"/>
        <w:rPr>
          <w:lang w:val="es-ES"/>
        </w:rPr>
      </w:pPr>
      <w:r w:rsidRPr="00877A2D">
        <w:rPr>
          <w:lang w:val="es-ES"/>
        </w:rPr>
        <w:t>Recomendaciones e Informes de la UIT relacionados</w:t>
      </w:r>
    </w:p>
    <w:p w14:paraId="4470E552" w14:textId="706E3B4E" w:rsidR="00877A2D" w:rsidRPr="00877A2D" w:rsidRDefault="00877A2D" w:rsidP="00321276">
      <w:pPr>
        <w:pStyle w:val="Reftext"/>
        <w:rPr>
          <w:lang w:val="es-ES"/>
        </w:rPr>
      </w:pPr>
      <w:r w:rsidRPr="00877A2D">
        <w:rPr>
          <w:lang w:val="es-ES"/>
        </w:rPr>
        <w:t xml:space="preserve">Informe UIT-R </w:t>
      </w:r>
      <w:hyperlink r:id="rId14" w:history="1">
        <w:r w:rsidRPr="00321276">
          <w:rPr>
            <w:lang w:val="es-ES"/>
          </w:rPr>
          <w:t>SM.2422</w:t>
        </w:r>
      </w:hyperlink>
      <w:r w:rsidRPr="00877A2D">
        <w:rPr>
          <w:lang w:val="es-ES"/>
        </w:rPr>
        <w:t xml:space="preserve"> </w:t>
      </w:r>
      <w:r w:rsidR="009070FC" w:rsidRPr="009070FC">
        <w:rPr>
          <w:lang w:val="es-ES"/>
        </w:rPr>
        <w:t>–</w:t>
      </w:r>
      <w:r w:rsidRPr="00877A2D">
        <w:rPr>
          <w:lang w:val="es-ES"/>
        </w:rPr>
        <w:t xml:space="preserve"> </w:t>
      </w:r>
      <w:r w:rsidRPr="00321276">
        <w:rPr>
          <w:i/>
          <w:iCs/>
          <w:lang w:val="es-ES"/>
        </w:rPr>
        <w:t>Luz visible para comunicaciones de banda ancha</w:t>
      </w:r>
    </w:p>
    <w:p w14:paraId="2EF96D92" w14:textId="77777777" w:rsidR="003462E6" w:rsidRPr="00105910" w:rsidRDefault="003462E6" w:rsidP="003462E6">
      <w:pPr>
        <w:pStyle w:val="headfoot"/>
        <w:rPr>
          <w:lang w:val="es-ES_tradnl"/>
        </w:rPr>
      </w:pPr>
      <w:r w:rsidRPr="00105910">
        <w:rPr>
          <w:lang w:val="es-ES_tradnl"/>
        </w:rPr>
        <w:t>Rec. UIT-R PN.310-9</w:t>
      </w:r>
    </w:p>
    <w:p w14:paraId="31ED360F" w14:textId="77777777" w:rsidR="003462E6" w:rsidRPr="00105910" w:rsidRDefault="003462E6" w:rsidP="003462E6">
      <w:pPr>
        <w:pStyle w:val="Normalaftertitle"/>
        <w:rPr>
          <w:lang w:val="es-ES_tradnl"/>
        </w:rPr>
      </w:pPr>
      <w:r w:rsidRPr="00105910">
        <w:rPr>
          <w:lang w:val="es-ES_tradnl"/>
        </w:rPr>
        <w:t>La Asamblea de Radiocomunicaciones de la UIT,</w:t>
      </w:r>
    </w:p>
    <w:p w14:paraId="743FA3E1" w14:textId="77777777" w:rsidR="003462E6" w:rsidRPr="00105910" w:rsidRDefault="003462E6" w:rsidP="0084722D">
      <w:pPr>
        <w:pStyle w:val="Call"/>
        <w:rPr>
          <w:lang w:val="es-ES_tradnl"/>
        </w:rPr>
      </w:pPr>
      <w:r w:rsidRPr="00105910">
        <w:rPr>
          <w:lang w:val="es-ES_tradnl"/>
        </w:rPr>
        <w:t>considerando</w:t>
      </w:r>
    </w:p>
    <w:p w14:paraId="2CE26A24" w14:textId="77777777" w:rsidR="00877A2D" w:rsidRPr="00877A2D" w:rsidRDefault="00877A2D" w:rsidP="00877A2D">
      <w:pPr>
        <w:rPr>
          <w:lang w:val="es-ES"/>
        </w:rPr>
      </w:pPr>
      <w:r w:rsidRPr="00877A2D">
        <w:rPr>
          <w:i/>
          <w:iCs/>
          <w:lang w:val="es-ES"/>
        </w:rPr>
        <w:t>a)</w:t>
      </w:r>
      <w:r w:rsidRPr="00877A2D">
        <w:rPr>
          <w:lang w:val="es-ES"/>
        </w:rPr>
        <w:tab/>
        <w:t>que el espectro radioeléctrico constituye un recurso limitado;</w:t>
      </w:r>
    </w:p>
    <w:p w14:paraId="050EAE90" w14:textId="04A3C9CA" w:rsidR="00877A2D" w:rsidRPr="00877A2D" w:rsidRDefault="00877A2D" w:rsidP="00877A2D">
      <w:pPr>
        <w:rPr>
          <w:lang w:val="es-ES"/>
        </w:rPr>
      </w:pPr>
      <w:r w:rsidRPr="00877A2D">
        <w:rPr>
          <w:i/>
          <w:iCs/>
          <w:lang w:val="es-ES"/>
        </w:rPr>
        <w:t>b)</w:t>
      </w:r>
      <w:r w:rsidRPr="00877A2D">
        <w:rPr>
          <w:lang w:val="es-ES"/>
        </w:rPr>
        <w:tab/>
        <w:t>que las ondas electromagnéticas por encima de 3</w:t>
      </w:r>
      <w:r w:rsidR="00321276">
        <w:rPr>
          <w:lang w:val="es-ES"/>
        </w:rPr>
        <w:t> </w:t>
      </w:r>
      <w:r w:rsidRPr="00877A2D">
        <w:rPr>
          <w:lang w:val="es-ES"/>
        </w:rPr>
        <w:t>000</w:t>
      </w:r>
      <w:r w:rsidR="00321276">
        <w:rPr>
          <w:lang w:val="es-ES"/>
        </w:rPr>
        <w:t> </w:t>
      </w:r>
      <w:r w:rsidRPr="00877A2D">
        <w:rPr>
          <w:lang w:val="es-ES"/>
        </w:rPr>
        <w:t>GHz no se incluyen en el Reglamento de Radiocomunicaciones de la UIT;</w:t>
      </w:r>
    </w:p>
    <w:p w14:paraId="1F4B88BB" w14:textId="3003773E" w:rsidR="00877A2D" w:rsidRPr="00877A2D" w:rsidRDefault="00877A2D" w:rsidP="00321276">
      <w:pPr>
        <w:keepNext/>
        <w:keepLines/>
        <w:rPr>
          <w:lang w:val="es-ES"/>
        </w:rPr>
      </w:pPr>
      <w:r w:rsidRPr="00877A2D">
        <w:rPr>
          <w:i/>
          <w:iCs/>
          <w:lang w:val="es-ES"/>
        </w:rPr>
        <w:lastRenderedPageBreak/>
        <w:t>c)</w:t>
      </w:r>
      <w:r w:rsidRPr="00877A2D">
        <w:rPr>
          <w:lang w:val="es-ES"/>
        </w:rPr>
        <w:tab/>
        <w:t>que la comunicación óptica inalámbrica (OWC) utiliza el espectro visible (longitudes de onda comprendidas entre 390</w:t>
      </w:r>
      <w:r w:rsidR="00321276">
        <w:rPr>
          <w:lang w:val="es-ES"/>
        </w:rPr>
        <w:t> </w:t>
      </w:r>
      <w:r w:rsidRPr="00877A2D">
        <w:rPr>
          <w:lang w:val="es-ES"/>
        </w:rPr>
        <w:t>nm y 750</w:t>
      </w:r>
      <w:r w:rsidR="00321276">
        <w:rPr>
          <w:lang w:val="es-ES"/>
        </w:rPr>
        <w:t> </w:t>
      </w:r>
      <w:r w:rsidRPr="00877A2D">
        <w:rPr>
          <w:lang w:val="es-ES"/>
        </w:rPr>
        <w:t>nm) o el espectro infrarrojo (longitudes de onda comprendidas entre 780</w:t>
      </w:r>
      <w:r w:rsidR="00321276">
        <w:rPr>
          <w:lang w:val="es-ES"/>
        </w:rPr>
        <w:t> </w:t>
      </w:r>
      <w:r w:rsidRPr="00877A2D">
        <w:rPr>
          <w:lang w:val="es-ES"/>
        </w:rPr>
        <w:t>nm y 1</w:t>
      </w:r>
      <w:r w:rsidR="00321276">
        <w:rPr>
          <w:lang w:val="es-ES"/>
        </w:rPr>
        <w:t> </w:t>
      </w:r>
      <w:r w:rsidRPr="00877A2D">
        <w:rPr>
          <w:lang w:val="es-ES"/>
        </w:rPr>
        <w:t>mm) o el espectro ultravioleta (longitudes de onda comprendidas entre 200</w:t>
      </w:r>
      <w:r w:rsidR="00321276">
        <w:rPr>
          <w:lang w:val="es-ES"/>
        </w:rPr>
        <w:t> </w:t>
      </w:r>
      <w:r w:rsidRPr="00877A2D">
        <w:rPr>
          <w:lang w:val="es-ES"/>
        </w:rPr>
        <w:t>nm y 280</w:t>
      </w:r>
      <w:r w:rsidR="00321276">
        <w:rPr>
          <w:lang w:val="es-ES"/>
        </w:rPr>
        <w:t> </w:t>
      </w:r>
      <w:r w:rsidRPr="00877A2D">
        <w:rPr>
          <w:lang w:val="es-ES"/>
        </w:rPr>
        <w:t>nm) para proporcionar comunicaciones inalámbricas (se conocen normalmente como frecuencias</w:t>
      </w:r>
      <w:r w:rsidR="00F90017">
        <w:rPr>
          <w:lang w:val="es-ES"/>
        </w:rPr>
        <w:t> </w:t>
      </w:r>
      <w:r w:rsidRPr="00877A2D">
        <w:rPr>
          <w:lang w:val="es-ES"/>
        </w:rPr>
        <w:t>THz);</w:t>
      </w:r>
    </w:p>
    <w:p w14:paraId="2FC92D2D" w14:textId="77777777" w:rsidR="00877A2D" w:rsidRPr="00877A2D" w:rsidRDefault="00877A2D" w:rsidP="00877A2D">
      <w:pPr>
        <w:rPr>
          <w:lang w:val="es-ES"/>
        </w:rPr>
      </w:pPr>
      <w:r w:rsidRPr="00877A2D">
        <w:rPr>
          <w:i/>
          <w:iCs/>
          <w:lang w:val="es-ES"/>
        </w:rPr>
        <w:t>d)</w:t>
      </w:r>
      <w:r w:rsidRPr="00877A2D">
        <w:rPr>
          <w:lang w:val="es-ES"/>
        </w:rPr>
        <w:tab/>
        <w:t>que las OWC pueden reducir la congestión de las bandas inferiores del espectro de radiofrecuencias, ya que el espectro de luz puede utilizarse como espectro adicional para las comunicaciones de banda ancha;</w:t>
      </w:r>
    </w:p>
    <w:p w14:paraId="53D6D683" w14:textId="77777777" w:rsidR="00877A2D" w:rsidRPr="00877A2D" w:rsidRDefault="00877A2D" w:rsidP="00877A2D">
      <w:pPr>
        <w:rPr>
          <w:lang w:val="es-ES"/>
        </w:rPr>
      </w:pPr>
      <w:r w:rsidRPr="00877A2D">
        <w:rPr>
          <w:i/>
          <w:iCs/>
          <w:lang w:val="es-ES"/>
        </w:rPr>
        <w:t>e)</w:t>
      </w:r>
      <w:r w:rsidRPr="00877A2D">
        <w:rPr>
          <w:lang w:val="es-ES"/>
        </w:rPr>
        <w:tab/>
        <w:t>que las OWC pueden considerarse como complementarias de los sistemas de acceso inalámbrico de banda ancha existentes;</w:t>
      </w:r>
    </w:p>
    <w:p w14:paraId="73F03E26" w14:textId="77777777" w:rsidR="00877A2D" w:rsidRPr="00877A2D" w:rsidRDefault="00877A2D" w:rsidP="00877A2D">
      <w:pPr>
        <w:rPr>
          <w:lang w:val="es-ES"/>
        </w:rPr>
      </w:pPr>
      <w:r w:rsidRPr="00877A2D">
        <w:rPr>
          <w:i/>
          <w:iCs/>
          <w:lang w:val="es-ES"/>
        </w:rPr>
        <w:t>f)</w:t>
      </w:r>
      <w:r w:rsidRPr="00877A2D">
        <w:rPr>
          <w:lang w:val="es-ES"/>
        </w:rPr>
        <w:tab/>
        <w:t>que las OWC están sujetas a distintas características de propagación con respecto a las longitudes de onda;</w:t>
      </w:r>
    </w:p>
    <w:p w14:paraId="628D1A7C" w14:textId="77777777" w:rsidR="00877A2D" w:rsidRPr="00877A2D" w:rsidRDefault="00877A2D" w:rsidP="00877A2D">
      <w:pPr>
        <w:rPr>
          <w:lang w:val="es-ES"/>
        </w:rPr>
      </w:pPr>
      <w:r w:rsidRPr="00877A2D">
        <w:rPr>
          <w:i/>
          <w:iCs/>
          <w:lang w:val="es-ES"/>
        </w:rPr>
        <w:t>g)</w:t>
      </w:r>
      <w:r w:rsidRPr="00877A2D">
        <w:rPr>
          <w:lang w:val="es-ES"/>
        </w:rPr>
        <w:tab/>
        <w:t>que las OWC podrían ser especialmente útiles en entornos en los que la utilización del espectro radioeléctrico es (o será) menos viable debido a una combinación de factores, por ejemplo, la escasez del espectro, la necesidad de contar con una capacidad muy elevada, la legislación, entornos hostiles a RF y otros;</w:t>
      </w:r>
    </w:p>
    <w:p w14:paraId="5A3DE96D" w14:textId="10D15FB1" w:rsidR="00877A2D" w:rsidRPr="00877A2D" w:rsidRDefault="00877A2D" w:rsidP="00877A2D">
      <w:pPr>
        <w:rPr>
          <w:lang w:val="es-ES"/>
        </w:rPr>
      </w:pPr>
      <w:r w:rsidRPr="00877A2D">
        <w:rPr>
          <w:i/>
          <w:iCs/>
          <w:lang w:val="es-ES"/>
        </w:rPr>
        <w:t>h)</w:t>
      </w:r>
      <w:r w:rsidRPr="00877A2D">
        <w:rPr>
          <w:lang w:val="es-ES"/>
        </w:rPr>
        <w:tab/>
        <w:t>que las soluciones basadas en OWC pueden aportar ventajas respecto a las soluciones basadas en el espectro de radiofrecuencias con respecto a la idoneidad para el empleo denso, la atenuación de las actuales situaciones de coexistencia, una mayor seguridad y una mayor robustez contra las interferencias deliberadas;</w:t>
      </w:r>
    </w:p>
    <w:p w14:paraId="1430E766" w14:textId="77777777" w:rsidR="00877A2D" w:rsidRPr="00877A2D" w:rsidRDefault="00877A2D" w:rsidP="00877A2D">
      <w:pPr>
        <w:rPr>
          <w:lang w:val="es-ES"/>
        </w:rPr>
      </w:pPr>
      <w:r w:rsidRPr="00877A2D">
        <w:rPr>
          <w:i/>
          <w:iCs/>
          <w:lang w:val="es-ES"/>
        </w:rPr>
        <w:t>i)</w:t>
      </w:r>
      <w:r w:rsidRPr="00877A2D">
        <w:rPr>
          <w:lang w:val="es-ES"/>
        </w:rPr>
        <w:tab/>
        <w:t>que, en el futuro, las OWC interiores de viviendas, oficinas y edificios podrían ser una tecnología instalada;</w:t>
      </w:r>
    </w:p>
    <w:p w14:paraId="3329DDA4" w14:textId="32806B28" w:rsidR="00877A2D" w:rsidRPr="00877A2D" w:rsidRDefault="00877A2D" w:rsidP="00877A2D">
      <w:pPr>
        <w:rPr>
          <w:lang w:val="es-ES"/>
        </w:rPr>
      </w:pPr>
      <w:r w:rsidRPr="00877A2D">
        <w:rPr>
          <w:i/>
          <w:iCs/>
          <w:lang w:val="es-ES"/>
        </w:rPr>
        <w:t>j)</w:t>
      </w:r>
      <w:r w:rsidRPr="00877A2D">
        <w:rPr>
          <w:lang w:val="es-ES"/>
        </w:rPr>
        <w:tab/>
        <w:t>que los entornos sensibles a la interferencia electromagnética (EMI) (por ejemplo, hospitales, especialmente las unidades de cuidados intensivos (UCI), los aviones y ciertas aplicaciones industriales) pueden beneficiarse de soluciones basadas en OWC porque no son sensibles a la radiación EM de los sistemas de radiocomunicaciones;</w:t>
      </w:r>
    </w:p>
    <w:p w14:paraId="6828AF26" w14:textId="77777777" w:rsidR="00877A2D" w:rsidRPr="00877A2D" w:rsidRDefault="00877A2D" w:rsidP="00877A2D">
      <w:pPr>
        <w:rPr>
          <w:lang w:val="es-ES"/>
        </w:rPr>
      </w:pPr>
      <w:r w:rsidRPr="00877A2D">
        <w:rPr>
          <w:i/>
          <w:iCs/>
          <w:lang w:val="es-ES"/>
        </w:rPr>
        <w:t>k)</w:t>
      </w:r>
      <w:r w:rsidRPr="00877A2D">
        <w:rPr>
          <w:lang w:val="es-ES"/>
        </w:rPr>
        <w:tab/>
        <w:t>que las OWC también pueden aplicarse a los sistemas de navegación interiores, a los automóviles conectados y a los vehículos autónomos a fin de dar soporte a la mensajería de los sistemas de transporte inteligentes, las comunicaciones subacuáticas, la cibersanidad, la IoT (fabricación M2M/D2D/inteligente),</w:t>
      </w:r>
    </w:p>
    <w:p w14:paraId="7BD42516" w14:textId="77777777" w:rsidR="00877A2D" w:rsidRPr="00877A2D" w:rsidRDefault="00877A2D" w:rsidP="00877A2D">
      <w:pPr>
        <w:pStyle w:val="Call"/>
        <w:rPr>
          <w:lang w:val="es-ES_tradnl"/>
        </w:rPr>
      </w:pPr>
      <w:r w:rsidRPr="00877A2D">
        <w:rPr>
          <w:lang w:val="es-ES_tradnl"/>
        </w:rPr>
        <w:t>observando</w:t>
      </w:r>
    </w:p>
    <w:p w14:paraId="149FA67F" w14:textId="0D8607B3" w:rsidR="00877A2D" w:rsidRPr="00877A2D" w:rsidRDefault="00877A2D" w:rsidP="00877A2D">
      <w:pPr>
        <w:rPr>
          <w:lang w:val="es-ES"/>
        </w:rPr>
      </w:pPr>
      <w:r w:rsidRPr="00877A2D">
        <w:rPr>
          <w:i/>
          <w:iCs/>
          <w:lang w:val="es-ES"/>
        </w:rPr>
        <w:t>a)</w:t>
      </w:r>
      <w:r w:rsidRPr="00877A2D">
        <w:rPr>
          <w:lang w:val="es-ES"/>
        </w:rPr>
        <w:tab/>
        <w:t>que en lo que respecta a la seguridad ocular, se tenga debidamente en cuenta la información relativa a los límites de seguridad proporcionados por varias organizaciones, por ejemplo</w:t>
      </w:r>
      <w:r w:rsidR="00321276">
        <w:rPr>
          <w:lang w:val="es-ES"/>
        </w:rPr>
        <w:t>,</w:t>
      </w:r>
      <w:r w:rsidRPr="00877A2D">
        <w:rPr>
          <w:lang w:val="es-ES"/>
        </w:rPr>
        <w:t xml:space="preserve"> CEI</w:t>
      </w:r>
      <w:r w:rsidR="00321276">
        <w:rPr>
          <w:lang w:val="es-ES"/>
        </w:rPr>
        <w:t> </w:t>
      </w:r>
      <w:r w:rsidRPr="00877A2D">
        <w:rPr>
          <w:lang w:val="es-ES"/>
        </w:rPr>
        <w:t>60825</w:t>
      </w:r>
      <w:r w:rsidR="00321276">
        <w:rPr>
          <w:lang w:val="es-ES"/>
        </w:rPr>
        <w:noBreakHyphen/>
      </w:r>
      <w:r w:rsidRPr="00877A2D">
        <w:rPr>
          <w:lang w:val="es-ES"/>
        </w:rPr>
        <w:t xml:space="preserve">12:2019 </w:t>
      </w:r>
      <w:r>
        <w:rPr>
          <w:lang w:val="es-ES"/>
        </w:rPr>
        <w:t>«</w:t>
      </w:r>
      <w:r w:rsidRPr="0013555A">
        <w:rPr>
          <w:lang w:val="es-ES"/>
        </w:rPr>
        <w:t>Safety of laser products – Part 12: Safety of free space optical communication systems used for transmission of information</w:t>
      </w:r>
      <w:r>
        <w:rPr>
          <w:lang w:val="es-ES"/>
        </w:rPr>
        <w:t>»</w:t>
      </w:r>
      <w:r w:rsidRPr="00877A2D">
        <w:rPr>
          <w:lang w:val="es-ES"/>
        </w:rPr>
        <w:t xml:space="preserve"> (Seguridad de los productos láser – Parte 12: Seguridad de los sistemas de comunicación óptica en el espacio libre utilizados para la transmisión de información), CEI</w:t>
      </w:r>
      <w:r w:rsidR="00773361">
        <w:rPr>
          <w:lang w:val="es-ES"/>
        </w:rPr>
        <w:t> </w:t>
      </w:r>
      <w:r w:rsidRPr="00877A2D">
        <w:rPr>
          <w:lang w:val="es-ES"/>
        </w:rPr>
        <w:t xml:space="preserve">62471 </w:t>
      </w:r>
      <w:r>
        <w:rPr>
          <w:lang w:val="es-ES"/>
        </w:rPr>
        <w:t>«</w:t>
      </w:r>
      <w:r w:rsidRPr="0013555A">
        <w:rPr>
          <w:lang w:val="es-ES"/>
        </w:rPr>
        <w:t>Photobiological safety of lamps and lamp systems</w:t>
      </w:r>
      <w:r>
        <w:rPr>
          <w:lang w:val="es-ES"/>
        </w:rPr>
        <w:t>»</w:t>
      </w:r>
      <w:r w:rsidRPr="00877A2D">
        <w:rPr>
          <w:lang w:val="es-ES"/>
        </w:rPr>
        <w:t xml:space="preserve"> (Seguridad fotobiológica de las lámparas y los sistemas lámparas), Recomendación UIT-T G.996 Enm.1, </w:t>
      </w:r>
      <w:r w:rsidR="00A332E2">
        <w:rPr>
          <w:lang w:val="es-ES"/>
        </w:rPr>
        <w:t>n</w:t>
      </w:r>
      <w:r w:rsidR="00773361" w:rsidRPr="00877A2D">
        <w:rPr>
          <w:lang w:val="es-ES"/>
        </w:rPr>
        <w:t xml:space="preserve">ormas </w:t>
      </w:r>
      <w:r w:rsidRPr="00877A2D">
        <w:rPr>
          <w:lang w:val="es-ES"/>
        </w:rPr>
        <w:t>nacionales de las administraciones y/o circulares de asesoramiento publicadas por varias autoridades de aviación;</w:t>
      </w:r>
    </w:p>
    <w:p w14:paraId="4BC30005" w14:textId="1EE18727" w:rsidR="00877A2D" w:rsidRPr="00877A2D" w:rsidRDefault="00877A2D" w:rsidP="00877A2D">
      <w:pPr>
        <w:rPr>
          <w:lang w:val="es-ES"/>
        </w:rPr>
      </w:pPr>
      <w:r w:rsidRPr="00877A2D">
        <w:rPr>
          <w:i/>
          <w:iCs/>
          <w:lang w:val="es-ES"/>
        </w:rPr>
        <w:t>b)</w:t>
      </w:r>
      <w:r w:rsidRPr="00877A2D">
        <w:rPr>
          <w:lang w:val="es-ES"/>
        </w:rPr>
        <w:tab/>
        <w:t xml:space="preserve">que el Informe UIT-R </w:t>
      </w:r>
      <w:hyperlink r:id="rId15" w:history="1">
        <w:r w:rsidRPr="00877A2D">
          <w:rPr>
            <w:lang w:val="es-ES"/>
          </w:rPr>
          <w:t>SM.2422</w:t>
        </w:r>
      </w:hyperlink>
      <w:r w:rsidRPr="00877A2D">
        <w:rPr>
          <w:lang w:val="es-ES"/>
        </w:rPr>
        <w:t xml:space="preserve"> versa sobre la luz visible para comunicaciones de banda ancha;</w:t>
      </w:r>
    </w:p>
    <w:p w14:paraId="12E4AE44" w14:textId="042A6CEE" w:rsidR="00877A2D" w:rsidRPr="00877A2D" w:rsidRDefault="00877A2D" w:rsidP="00877A2D">
      <w:pPr>
        <w:rPr>
          <w:lang w:val="es-ES"/>
        </w:rPr>
      </w:pPr>
      <w:r w:rsidRPr="00877A2D">
        <w:rPr>
          <w:i/>
          <w:iCs/>
          <w:lang w:val="es-ES"/>
        </w:rPr>
        <w:t>c)</w:t>
      </w:r>
      <w:r w:rsidRPr="00877A2D">
        <w:rPr>
          <w:lang w:val="es-ES"/>
        </w:rPr>
        <w:tab/>
        <w:t>que los Grupos de Trabajo 802.15 y 802.11 del IEEE son responsables en el LMSC IEEE</w:t>
      </w:r>
      <w:r w:rsidR="00A332E2">
        <w:rPr>
          <w:lang w:val="es-ES"/>
        </w:rPr>
        <w:t> </w:t>
      </w:r>
      <w:r w:rsidRPr="00877A2D">
        <w:rPr>
          <w:lang w:val="es-ES"/>
        </w:rPr>
        <w:t>802 de la elaboración de normas para comunicaciones inalámbricas ópticas,</w:t>
      </w:r>
    </w:p>
    <w:p w14:paraId="69FE1023" w14:textId="77777777" w:rsidR="00877A2D" w:rsidRPr="00877A2D" w:rsidRDefault="00877A2D" w:rsidP="00877A2D">
      <w:pPr>
        <w:pStyle w:val="Call"/>
        <w:rPr>
          <w:lang w:val="es-ES_tradnl"/>
        </w:rPr>
      </w:pPr>
      <w:r w:rsidRPr="00877A2D">
        <w:rPr>
          <w:lang w:val="es-ES_tradnl"/>
        </w:rPr>
        <w:lastRenderedPageBreak/>
        <w:t>recomienda</w:t>
      </w:r>
    </w:p>
    <w:p w14:paraId="52BDF9B6" w14:textId="77777777" w:rsidR="00877A2D" w:rsidRPr="00877A2D" w:rsidRDefault="00877A2D" w:rsidP="00877A2D">
      <w:pPr>
        <w:rPr>
          <w:lang w:val="es-ES"/>
        </w:rPr>
      </w:pPr>
      <w:r w:rsidRPr="00877A2D">
        <w:rPr>
          <w:b/>
          <w:bCs/>
          <w:lang w:val="es-ES"/>
        </w:rPr>
        <w:t>1</w:t>
      </w:r>
      <w:r w:rsidRPr="00877A2D">
        <w:rPr>
          <w:lang w:val="es-ES"/>
        </w:rPr>
        <w:tab/>
        <w:t>que los sistemas OWC cumplan las normas internacionales y al mismo tiempo la legislación y la reglamentación de cada país en el que se utilizan los sistemas y dispositivos;</w:t>
      </w:r>
    </w:p>
    <w:p w14:paraId="5D21A3A4" w14:textId="77777777" w:rsidR="00877A2D" w:rsidRPr="00877A2D" w:rsidRDefault="00877A2D" w:rsidP="00877A2D">
      <w:pPr>
        <w:rPr>
          <w:lang w:val="es-ES"/>
        </w:rPr>
      </w:pPr>
      <w:r w:rsidRPr="00877A2D">
        <w:rPr>
          <w:b/>
          <w:bCs/>
          <w:lang w:val="es-ES"/>
        </w:rPr>
        <w:t>2</w:t>
      </w:r>
      <w:r w:rsidRPr="00877A2D">
        <w:rPr>
          <w:lang w:val="es-ES"/>
        </w:rPr>
        <w:tab/>
        <w:t>que, para mejorar la aceptación y el despliegue de usuarios, las OWC utilicen en la mayor medida posible soluciones y normas existentes;</w:t>
      </w:r>
    </w:p>
    <w:p w14:paraId="6E8FB353" w14:textId="77777777" w:rsidR="00877A2D" w:rsidRPr="00877A2D" w:rsidRDefault="00877A2D" w:rsidP="00877A2D">
      <w:pPr>
        <w:rPr>
          <w:lang w:val="es-ES"/>
        </w:rPr>
      </w:pPr>
      <w:r w:rsidRPr="00877A2D">
        <w:rPr>
          <w:b/>
          <w:bCs/>
          <w:lang w:val="es-ES"/>
        </w:rPr>
        <w:t>3</w:t>
      </w:r>
      <w:r w:rsidRPr="00877A2D">
        <w:rPr>
          <w:lang w:val="es-ES"/>
        </w:rPr>
        <w:tab/>
        <w:t>que, al diseñar y construir infraestructura vial, oficinas, espacios públicos y viviendas, debería considerarse el potencial de las OWC para mejorar y complementar la prestación de servicios de comunicaciones, además de la infraestructura fija (alámbrica) habitual;</w:t>
      </w:r>
    </w:p>
    <w:p w14:paraId="7FE83301" w14:textId="272E9414" w:rsidR="00877A2D" w:rsidRPr="00877A2D" w:rsidRDefault="00877A2D" w:rsidP="00877A2D">
      <w:pPr>
        <w:rPr>
          <w:lang w:val="es-ES"/>
        </w:rPr>
      </w:pPr>
      <w:r w:rsidRPr="00877A2D">
        <w:rPr>
          <w:b/>
          <w:bCs/>
          <w:lang w:val="es-ES"/>
        </w:rPr>
        <w:t>4</w:t>
      </w:r>
      <w:r w:rsidRPr="00877A2D">
        <w:rPr>
          <w:lang w:val="es-ES"/>
        </w:rPr>
        <w:tab/>
        <w:t>que los organismos de normalización que intervienen en las OWC colaboren con los de las aplicaciones radioeléctricas tradicionales, y que los que participan en las aplicaciones radioeléctricas tradicionales colaboren con los que participan en las OWC a fin de mejorar el potencial de esas tecnologías de manera conjunta.</w:t>
      </w:r>
    </w:p>
    <w:p w14:paraId="44EF8037" w14:textId="77777777" w:rsidR="00877A2D" w:rsidRPr="008519BE" w:rsidRDefault="00877A2D" w:rsidP="00DF1B8B">
      <w:pPr>
        <w:rPr>
          <w:lang w:val="es-ES_tradnl"/>
        </w:rPr>
      </w:pPr>
    </w:p>
    <w:p w14:paraId="442497C0" w14:textId="35A28403" w:rsidR="006173B0" w:rsidRDefault="005F53A5" w:rsidP="005F53A5">
      <w:pPr>
        <w:jc w:val="center"/>
        <w:rPr>
          <w:lang w:val="es-ES_tradnl"/>
        </w:rPr>
      </w:pPr>
      <w:r>
        <w:rPr>
          <w:lang w:val="es-ES_tradnl"/>
        </w:rPr>
        <w:t>______________</w:t>
      </w:r>
    </w:p>
    <w:sectPr w:rsidR="006173B0" w:rsidSect="00877A2D">
      <w:headerReference w:type="even" r:id="rId16"/>
      <w:headerReference w:type="default" r:id="rId1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0192A7" w14:textId="77777777" w:rsidR="00431839" w:rsidRDefault="00431839">
      <w:r>
        <w:separator/>
      </w:r>
    </w:p>
  </w:endnote>
  <w:endnote w:type="continuationSeparator" w:id="0">
    <w:p w14:paraId="6FDFEF99" w14:textId="77777777" w:rsidR="00431839" w:rsidRDefault="004318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DE79EA" w14:textId="77777777" w:rsidR="00431839" w:rsidRDefault="00431839">
      <w:r>
        <w:separator/>
      </w:r>
    </w:p>
  </w:footnote>
  <w:footnote w:type="continuationSeparator" w:id="0">
    <w:p w14:paraId="68338F6A" w14:textId="77777777" w:rsidR="00431839" w:rsidRDefault="004318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03149" w14:textId="77777777" w:rsidR="00366CEE" w:rsidRDefault="00366CE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4107B" w14:textId="77777777" w:rsidR="00366CEE" w:rsidRDefault="00C15E7B" w:rsidP="00D62884">
    <w:pPr>
      <w:pStyle w:val="Header"/>
      <w:ind w:right="360" w:firstLine="360"/>
    </w:pPr>
    <w:r>
      <w:rPr>
        <w:noProof/>
        <w:lang w:val="en-GB" w:eastAsia="en-GB"/>
      </w:rPr>
      <w:drawing>
        <wp:anchor distT="0" distB="0" distL="114300" distR="114300" simplePos="0" relativeHeight="251656704" behindDoc="1" locked="0" layoutInCell="1" allowOverlap="1" wp14:anchorId="1FBBFED6" wp14:editId="0A2C2692">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F2708" w14:textId="54277E8E" w:rsidR="00366CEE" w:rsidRDefault="003857C3" w:rsidP="00B1717A">
    <w:pPr>
      <w:pStyle w:val="Header"/>
      <w:jc w:val="left"/>
    </w:pPr>
    <w:r>
      <w:rPr>
        <w:rStyle w:val="PageNumber"/>
        <w:b/>
        <w:bCs/>
      </w:rPr>
      <w:fldChar w:fldCharType="begin"/>
    </w:r>
    <w:r w:rsidR="00366CEE">
      <w:rPr>
        <w:rStyle w:val="PageNumber"/>
        <w:b/>
        <w:bCs/>
      </w:rPr>
      <w:instrText xml:space="preserve"> PAGE </w:instrText>
    </w:r>
    <w:r>
      <w:rPr>
        <w:rStyle w:val="PageNumber"/>
        <w:b/>
        <w:bCs/>
      </w:rPr>
      <w:fldChar w:fldCharType="separate"/>
    </w:r>
    <w:r w:rsidR="0037356D">
      <w:rPr>
        <w:rStyle w:val="PageNumber"/>
        <w:b/>
        <w:bCs/>
        <w:noProof/>
      </w:rPr>
      <w:t>ii</w:t>
    </w:r>
    <w:r>
      <w:rPr>
        <w:rStyle w:val="PageNumber"/>
        <w:b/>
        <w:bCs/>
      </w:rPr>
      <w:fldChar w:fldCharType="end"/>
    </w:r>
    <w:r w:rsidR="00366CEE">
      <w:tab/>
    </w:r>
    <w:r w:rsidR="0037356D">
      <w:rPr>
        <w:b/>
        <w:bCs/>
        <w:lang w:val="fr-CH"/>
      </w:rPr>
      <w:fldChar w:fldCharType="begin"/>
    </w:r>
    <w:r w:rsidR="0037356D">
      <w:rPr>
        <w:b/>
        <w:bCs/>
        <w:lang w:val="fr-CH"/>
      </w:rPr>
      <w:instrText xml:space="preserve"> DOCPROPERTY "Header" \* MERGEFORMAT </w:instrText>
    </w:r>
    <w:r w:rsidR="0037356D">
      <w:rPr>
        <w:b/>
        <w:bCs/>
        <w:lang w:val="fr-CH"/>
      </w:rPr>
      <w:fldChar w:fldCharType="separate"/>
    </w:r>
    <w:r w:rsidR="000B6F80">
      <w:rPr>
        <w:b/>
        <w:bCs/>
        <w:lang w:val="fr-CH"/>
      </w:rPr>
      <w:t xml:space="preserve">Rec. </w:t>
    </w:r>
    <w:r w:rsidR="0037356D">
      <w:rPr>
        <w:b/>
        <w:bCs/>
        <w:lang w:val="fr-CH"/>
      </w:rPr>
      <w:fldChar w:fldCharType="end"/>
    </w:r>
    <w:r w:rsidR="00366CEE">
      <w:rPr>
        <w:b/>
        <w:bCs/>
      </w:rPr>
      <w:t xml:space="preserve"> </w:t>
    </w:r>
    <w:r>
      <w:rPr>
        <w:b/>
        <w:bCs/>
      </w:rPr>
      <w:fldChar w:fldCharType="begin"/>
    </w:r>
    <w:r w:rsidR="00366CEE">
      <w:rPr>
        <w:b/>
        <w:bCs/>
      </w:rPr>
      <w:instrText>styleref href</w:instrText>
    </w:r>
    <w:r>
      <w:rPr>
        <w:b/>
        <w:bCs/>
      </w:rPr>
      <w:fldChar w:fldCharType="separate"/>
    </w:r>
    <w:r w:rsidR="00E00F60">
      <w:rPr>
        <w:b/>
        <w:bCs/>
        <w:noProof/>
      </w:rPr>
      <w:t>UIT-R  SM.2152-0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D6B44" w14:textId="4E217230" w:rsidR="00366CEE" w:rsidRDefault="00366CEE">
    <w:pPr>
      <w:pStyle w:val="Header"/>
    </w:pPr>
    <w:r>
      <w:tab/>
    </w:r>
    <w:r w:rsidR="0037356D">
      <w:rPr>
        <w:lang w:val="en-US"/>
      </w:rPr>
      <w:fldChar w:fldCharType="begin"/>
    </w:r>
    <w:r w:rsidR="0037356D">
      <w:rPr>
        <w:lang w:val="en-US"/>
      </w:rPr>
      <w:instrText xml:space="preserve"> DOCPROPERTY "Header" \* MERGEFORMAT </w:instrText>
    </w:r>
    <w:r w:rsidR="0037356D">
      <w:rPr>
        <w:lang w:val="en-US"/>
      </w:rPr>
      <w:fldChar w:fldCharType="separate"/>
    </w:r>
    <w:r w:rsidR="000B6F80">
      <w:rPr>
        <w:lang w:val="en-US"/>
      </w:rPr>
      <w:t xml:space="preserve">Rec. </w:t>
    </w:r>
    <w:r w:rsidR="0037356D">
      <w:rPr>
        <w:lang w:val="en-US"/>
      </w:rPr>
      <w:fldChar w:fldCharType="end"/>
    </w:r>
    <w:r>
      <w:rPr>
        <w:b/>
        <w:bCs/>
      </w:rPr>
      <w:t xml:space="preserve">  </w:t>
    </w:r>
    <w:r w:rsidR="003857C3">
      <w:rPr>
        <w:b/>
        <w:bCs/>
      </w:rPr>
      <w:fldChar w:fldCharType="begin"/>
    </w:r>
    <w:r>
      <w:rPr>
        <w:b/>
        <w:bCs/>
      </w:rPr>
      <w:instrText>styleref href</w:instrText>
    </w:r>
    <w:r w:rsidR="003857C3">
      <w:rPr>
        <w:b/>
        <w:bCs/>
      </w:rPr>
      <w:fldChar w:fldCharType="separate"/>
    </w:r>
    <w:r w:rsidR="000B6F80">
      <w:rPr>
        <w:b/>
        <w:bCs/>
        <w:noProof/>
      </w:rPr>
      <w:t>UIT-R  SM.2152-0</w:t>
    </w:r>
    <w:r w:rsidR="003857C3">
      <w:rPr>
        <w:b/>
        <w:bCs/>
      </w:rPr>
      <w:fldChar w:fldCharType="end"/>
    </w:r>
    <w:r>
      <w:tab/>
    </w:r>
    <w:r w:rsidR="003857C3">
      <w:rPr>
        <w:rStyle w:val="PageNumber"/>
        <w:b/>
        <w:bCs/>
      </w:rPr>
      <w:fldChar w:fldCharType="begin"/>
    </w:r>
    <w:r>
      <w:rPr>
        <w:rStyle w:val="PageNumber"/>
        <w:b/>
        <w:bCs/>
      </w:rPr>
      <w:instrText xml:space="preserve"> PAGE </w:instrText>
    </w:r>
    <w:r w:rsidR="003857C3">
      <w:rPr>
        <w:rStyle w:val="PageNumber"/>
        <w:b/>
        <w:bCs/>
      </w:rPr>
      <w:fldChar w:fldCharType="separate"/>
    </w:r>
    <w:r>
      <w:rPr>
        <w:rStyle w:val="PageNumber"/>
        <w:b/>
        <w:bCs/>
        <w:noProof/>
      </w:rPr>
      <w:t>1</w:t>
    </w:r>
    <w:r w:rsidR="003857C3">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02C14" w14:textId="113480E7" w:rsidR="00366CEE" w:rsidRDefault="003857C3">
    <w:pPr>
      <w:pStyle w:val="Header"/>
      <w:jc w:val="left"/>
      <w:rPr>
        <w:lang w:val="en-US"/>
      </w:rPr>
    </w:pPr>
    <w:r>
      <w:rPr>
        <w:rStyle w:val="PageNumber"/>
        <w:b/>
        <w:bCs/>
      </w:rPr>
      <w:fldChar w:fldCharType="begin"/>
    </w:r>
    <w:r w:rsidR="00366CEE">
      <w:rPr>
        <w:rStyle w:val="PageNumber"/>
        <w:b/>
        <w:bCs/>
        <w:lang w:val="en-US"/>
      </w:rPr>
      <w:instrText xml:space="preserve"> PAGE </w:instrText>
    </w:r>
    <w:r>
      <w:rPr>
        <w:rStyle w:val="PageNumber"/>
        <w:b/>
        <w:bCs/>
      </w:rPr>
      <w:fldChar w:fldCharType="separate"/>
    </w:r>
    <w:r w:rsidR="006C347C">
      <w:rPr>
        <w:rStyle w:val="PageNumber"/>
        <w:b/>
        <w:bCs/>
        <w:noProof/>
        <w:lang w:val="en-US"/>
      </w:rPr>
      <w:t>2</w:t>
    </w:r>
    <w:r>
      <w:rPr>
        <w:rStyle w:val="PageNumber"/>
        <w:b/>
        <w:bCs/>
      </w:rPr>
      <w:fldChar w:fldCharType="end"/>
    </w:r>
    <w:r w:rsidR="00366CEE">
      <w:rPr>
        <w:lang w:val="en-US"/>
      </w:rPr>
      <w:tab/>
    </w:r>
    <w:r w:rsidR="0037356D">
      <w:rPr>
        <w:b/>
        <w:bCs/>
        <w:lang w:val="en-US"/>
      </w:rPr>
      <w:fldChar w:fldCharType="begin"/>
    </w:r>
    <w:r w:rsidR="0037356D">
      <w:rPr>
        <w:b/>
        <w:bCs/>
        <w:lang w:val="en-US"/>
      </w:rPr>
      <w:instrText xml:space="preserve"> DOCPROPERTY "Header" \* MERGEFORMAT </w:instrText>
    </w:r>
    <w:r w:rsidR="0037356D">
      <w:rPr>
        <w:b/>
        <w:bCs/>
        <w:lang w:val="en-US"/>
      </w:rPr>
      <w:fldChar w:fldCharType="separate"/>
    </w:r>
    <w:r w:rsidR="000B6F80">
      <w:rPr>
        <w:b/>
        <w:bCs/>
        <w:lang w:val="en-US"/>
      </w:rPr>
      <w:t xml:space="preserve">Rec. </w:t>
    </w:r>
    <w:r w:rsidR="0037356D">
      <w:rPr>
        <w:b/>
        <w:bCs/>
        <w:lang w:val="en-US"/>
      </w:rPr>
      <w:fldChar w:fldCharType="end"/>
    </w:r>
    <w:r w:rsidR="00366CEE">
      <w:rPr>
        <w:b/>
        <w:bCs/>
      </w:rPr>
      <w:t xml:space="preserve"> </w:t>
    </w:r>
    <w:r>
      <w:rPr>
        <w:b/>
        <w:bCs/>
      </w:rPr>
      <w:fldChar w:fldCharType="begin"/>
    </w:r>
    <w:r w:rsidR="00366CEE">
      <w:rPr>
        <w:b/>
        <w:bCs/>
        <w:lang w:val="en-US"/>
      </w:rPr>
      <w:instrText>styleref href</w:instrText>
    </w:r>
    <w:r>
      <w:rPr>
        <w:b/>
        <w:bCs/>
      </w:rPr>
      <w:fldChar w:fldCharType="separate"/>
    </w:r>
    <w:r w:rsidR="00E00F60">
      <w:rPr>
        <w:b/>
        <w:bCs/>
        <w:noProof/>
        <w:lang w:val="en-US"/>
      </w:rPr>
      <w:t>UIT-R  SM.2152-0</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931E5" w14:textId="46A05AA3" w:rsidR="00366CEE" w:rsidRDefault="00366CEE">
    <w:pPr>
      <w:pStyle w:val="Header"/>
    </w:pPr>
    <w:r>
      <w:tab/>
    </w:r>
    <w:r w:rsidR="0037356D">
      <w:rPr>
        <w:b/>
        <w:bCs/>
      </w:rPr>
      <w:fldChar w:fldCharType="begin"/>
    </w:r>
    <w:r w:rsidR="0037356D">
      <w:rPr>
        <w:b/>
        <w:bCs/>
      </w:rPr>
      <w:instrText xml:space="preserve"> DOCPROPERTY "Header" \* MERGEFORMAT </w:instrText>
    </w:r>
    <w:r w:rsidR="0037356D">
      <w:rPr>
        <w:b/>
        <w:bCs/>
      </w:rPr>
      <w:fldChar w:fldCharType="separate"/>
    </w:r>
    <w:r w:rsidR="000B6F80">
      <w:rPr>
        <w:b/>
        <w:bCs/>
      </w:rPr>
      <w:t xml:space="preserve">Rec. </w:t>
    </w:r>
    <w:r w:rsidR="0037356D">
      <w:rPr>
        <w:b/>
        <w:bCs/>
      </w:rPr>
      <w:fldChar w:fldCharType="end"/>
    </w:r>
    <w:r>
      <w:rPr>
        <w:b/>
        <w:bCs/>
      </w:rPr>
      <w:t xml:space="preserve"> </w:t>
    </w:r>
    <w:r w:rsidR="003857C3">
      <w:rPr>
        <w:b/>
        <w:bCs/>
      </w:rPr>
      <w:fldChar w:fldCharType="begin"/>
    </w:r>
    <w:r>
      <w:rPr>
        <w:b/>
        <w:bCs/>
      </w:rPr>
      <w:instrText>styleref href</w:instrText>
    </w:r>
    <w:r w:rsidR="003857C3">
      <w:rPr>
        <w:b/>
        <w:bCs/>
      </w:rPr>
      <w:fldChar w:fldCharType="separate"/>
    </w:r>
    <w:r w:rsidR="00E00F60">
      <w:rPr>
        <w:b/>
        <w:bCs/>
        <w:noProof/>
      </w:rPr>
      <w:t>UIT-R  SM.2152-0</w:t>
    </w:r>
    <w:r w:rsidR="003857C3">
      <w:rPr>
        <w:b/>
        <w:bCs/>
      </w:rPr>
      <w:fldChar w:fldCharType="end"/>
    </w:r>
    <w:r>
      <w:tab/>
    </w:r>
    <w:r w:rsidR="003857C3">
      <w:rPr>
        <w:rStyle w:val="PageNumber"/>
        <w:b/>
        <w:bCs/>
      </w:rPr>
      <w:fldChar w:fldCharType="begin"/>
    </w:r>
    <w:r>
      <w:rPr>
        <w:rStyle w:val="PageNumber"/>
        <w:b/>
        <w:bCs/>
      </w:rPr>
      <w:instrText xml:space="preserve"> PAGE </w:instrText>
    </w:r>
    <w:r w:rsidR="003857C3">
      <w:rPr>
        <w:rStyle w:val="PageNumber"/>
        <w:b/>
        <w:bCs/>
      </w:rPr>
      <w:fldChar w:fldCharType="separate"/>
    </w:r>
    <w:r w:rsidR="0037356D">
      <w:rPr>
        <w:rStyle w:val="PageNumber"/>
        <w:b/>
        <w:bCs/>
        <w:noProof/>
      </w:rPr>
      <w:t>1</w:t>
    </w:r>
    <w:r w:rsidR="003857C3">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B06833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F66B8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AB2FD6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88C8EF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D0A4E3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EB09C2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8000A3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492E31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CD006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6042978"/>
    <w:lvl w:ilvl="0">
      <w:start w:val="1"/>
      <w:numFmt w:val="bullet"/>
      <w:lvlText w:val=""/>
      <w:lvlJc w:val="left"/>
      <w:pPr>
        <w:tabs>
          <w:tab w:val="num" w:pos="360"/>
        </w:tabs>
        <w:ind w:left="360" w:hanging="360"/>
      </w:pPr>
      <w:rPr>
        <w:rFonts w:ascii="Symbol" w:hAnsi="Symbol" w:hint="default"/>
      </w:rPr>
    </w:lvl>
  </w:abstractNum>
  <w:num w:numId="1" w16cid:durableId="830215266">
    <w:abstractNumId w:val="9"/>
  </w:num>
  <w:num w:numId="2" w16cid:durableId="1797210434">
    <w:abstractNumId w:val="7"/>
  </w:num>
  <w:num w:numId="3" w16cid:durableId="1287004436">
    <w:abstractNumId w:val="6"/>
  </w:num>
  <w:num w:numId="4" w16cid:durableId="1842815404">
    <w:abstractNumId w:val="5"/>
  </w:num>
  <w:num w:numId="5" w16cid:durableId="865367178">
    <w:abstractNumId w:val="4"/>
  </w:num>
  <w:num w:numId="6" w16cid:durableId="1311592390">
    <w:abstractNumId w:val="8"/>
  </w:num>
  <w:num w:numId="7" w16cid:durableId="1069379353">
    <w:abstractNumId w:val="3"/>
  </w:num>
  <w:num w:numId="8" w16cid:durableId="825630572">
    <w:abstractNumId w:val="2"/>
  </w:num>
  <w:num w:numId="9" w16cid:durableId="1713189044">
    <w:abstractNumId w:val="1"/>
  </w:num>
  <w:num w:numId="10" w16cid:durableId="18385722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mirrorMargins/>
  <w:activeWritingStyle w:appName="MSWord" w:lang="en-US" w:vendorID="64" w:dllVersion="5" w:nlCheck="1" w:checkStyle="0"/>
  <w:activeWritingStyle w:appName="MSWord" w:lang="es-ES_tradnl" w:vendorID="64" w:dllVersion="6"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s-ES" w:vendorID="64" w:dllVersion="0"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17A"/>
    <w:rsid w:val="0001424C"/>
    <w:rsid w:val="0002042E"/>
    <w:rsid w:val="000703E8"/>
    <w:rsid w:val="000B6F80"/>
    <w:rsid w:val="000D5F99"/>
    <w:rsid w:val="000E39C4"/>
    <w:rsid w:val="00110F09"/>
    <w:rsid w:val="0013555A"/>
    <w:rsid w:val="0014224E"/>
    <w:rsid w:val="0019247E"/>
    <w:rsid w:val="001D3C8A"/>
    <w:rsid w:val="001D6CE1"/>
    <w:rsid w:val="002D76C4"/>
    <w:rsid w:val="00321276"/>
    <w:rsid w:val="00343D06"/>
    <w:rsid w:val="003462E6"/>
    <w:rsid w:val="00363835"/>
    <w:rsid w:val="00366CEE"/>
    <w:rsid w:val="0037356D"/>
    <w:rsid w:val="003857C3"/>
    <w:rsid w:val="0039094C"/>
    <w:rsid w:val="00420646"/>
    <w:rsid w:val="00431839"/>
    <w:rsid w:val="004532F7"/>
    <w:rsid w:val="004B77F1"/>
    <w:rsid w:val="00523AE6"/>
    <w:rsid w:val="005A6102"/>
    <w:rsid w:val="005F53A5"/>
    <w:rsid w:val="00607D68"/>
    <w:rsid w:val="006173B0"/>
    <w:rsid w:val="0065216E"/>
    <w:rsid w:val="00654F04"/>
    <w:rsid w:val="00656AEE"/>
    <w:rsid w:val="006B22C3"/>
    <w:rsid w:val="006C347C"/>
    <w:rsid w:val="00715FEE"/>
    <w:rsid w:val="00766C81"/>
    <w:rsid w:val="00773361"/>
    <w:rsid w:val="00812AA7"/>
    <w:rsid w:val="0084722D"/>
    <w:rsid w:val="00847DD5"/>
    <w:rsid w:val="008519BE"/>
    <w:rsid w:val="00877A2D"/>
    <w:rsid w:val="008978F3"/>
    <w:rsid w:val="008E5A61"/>
    <w:rsid w:val="00906ADD"/>
    <w:rsid w:val="009070FC"/>
    <w:rsid w:val="00982220"/>
    <w:rsid w:val="009A5619"/>
    <w:rsid w:val="009F01EA"/>
    <w:rsid w:val="00A332E2"/>
    <w:rsid w:val="00A6617B"/>
    <w:rsid w:val="00AB0DC8"/>
    <w:rsid w:val="00AC762C"/>
    <w:rsid w:val="00B1717A"/>
    <w:rsid w:val="00B312B0"/>
    <w:rsid w:val="00B44E24"/>
    <w:rsid w:val="00B87252"/>
    <w:rsid w:val="00BA710C"/>
    <w:rsid w:val="00BF7841"/>
    <w:rsid w:val="00C15E7B"/>
    <w:rsid w:val="00C16CFC"/>
    <w:rsid w:val="00C430D4"/>
    <w:rsid w:val="00C6072D"/>
    <w:rsid w:val="00D052FC"/>
    <w:rsid w:val="00D42AE3"/>
    <w:rsid w:val="00D62884"/>
    <w:rsid w:val="00D93B36"/>
    <w:rsid w:val="00DC024D"/>
    <w:rsid w:val="00DF1B8B"/>
    <w:rsid w:val="00DF4176"/>
    <w:rsid w:val="00E00F60"/>
    <w:rsid w:val="00E3040B"/>
    <w:rsid w:val="00E5262C"/>
    <w:rsid w:val="00F0313A"/>
    <w:rsid w:val="00F317F6"/>
    <w:rsid w:val="00F90017"/>
    <w:rsid w:val="00FB56BF"/>
    <w:rsid w:val="00FD0414"/>
    <w:rsid w:val="00FF3B5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DEADF0"/>
  <w15:docId w15:val="{4FFAD8FD-E2D4-49E4-8483-C5531C403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462E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3462E6"/>
    <w:pPr>
      <w:keepNext/>
      <w:keepLines/>
      <w:spacing w:before="480"/>
      <w:ind w:left="794" w:hanging="794"/>
      <w:outlineLvl w:val="0"/>
    </w:pPr>
    <w:rPr>
      <w:b/>
    </w:rPr>
  </w:style>
  <w:style w:type="paragraph" w:styleId="Heading2">
    <w:name w:val="heading 2"/>
    <w:basedOn w:val="Heading1"/>
    <w:next w:val="Normal"/>
    <w:qFormat/>
    <w:rsid w:val="003462E6"/>
    <w:pPr>
      <w:spacing w:before="320"/>
      <w:outlineLvl w:val="1"/>
    </w:pPr>
  </w:style>
  <w:style w:type="paragraph" w:styleId="Heading3">
    <w:name w:val="heading 3"/>
    <w:basedOn w:val="Heading1"/>
    <w:next w:val="Normal"/>
    <w:qFormat/>
    <w:rsid w:val="003462E6"/>
    <w:pPr>
      <w:spacing w:before="200"/>
      <w:outlineLvl w:val="2"/>
    </w:pPr>
  </w:style>
  <w:style w:type="paragraph" w:styleId="Heading4">
    <w:name w:val="heading 4"/>
    <w:basedOn w:val="Heading3"/>
    <w:next w:val="Normal"/>
    <w:qFormat/>
    <w:rsid w:val="003462E6"/>
    <w:pPr>
      <w:tabs>
        <w:tab w:val="clear" w:pos="794"/>
        <w:tab w:val="left" w:pos="992"/>
      </w:tabs>
      <w:ind w:left="992" w:hanging="992"/>
      <w:outlineLvl w:val="3"/>
    </w:pPr>
  </w:style>
  <w:style w:type="paragraph" w:styleId="Heading5">
    <w:name w:val="heading 5"/>
    <w:basedOn w:val="Heading4"/>
    <w:next w:val="Normal"/>
    <w:qFormat/>
    <w:rsid w:val="003462E6"/>
    <w:pPr>
      <w:outlineLvl w:val="4"/>
    </w:pPr>
  </w:style>
  <w:style w:type="paragraph" w:styleId="Heading6">
    <w:name w:val="heading 6"/>
    <w:basedOn w:val="Heading4"/>
    <w:next w:val="Normal"/>
    <w:qFormat/>
    <w:rsid w:val="003462E6"/>
    <w:pPr>
      <w:tabs>
        <w:tab w:val="clear" w:pos="992"/>
        <w:tab w:val="clear" w:pos="1191"/>
      </w:tabs>
      <w:ind w:left="1588" w:hanging="1588"/>
      <w:outlineLvl w:val="5"/>
    </w:pPr>
  </w:style>
  <w:style w:type="paragraph" w:styleId="Heading7">
    <w:name w:val="heading 7"/>
    <w:basedOn w:val="Heading6"/>
    <w:next w:val="Normal"/>
    <w:qFormat/>
    <w:rsid w:val="003462E6"/>
    <w:pPr>
      <w:outlineLvl w:val="6"/>
    </w:pPr>
  </w:style>
  <w:style w:type="paragraph" w:styleId="Heading8">
    <w:name w:val="heading 8"/>
    <w:basedOn w:val="Heading6"/>
    <w:next w:val="Normal"/>
    <w:qFormat/>
    <w:rsid w:val="003462E6"/>
    <w:pPr>
      <w:outlineLvl w:val="7"/>
    </w:pPr>
  </w:style>
  <w:style w:type="paragraph" w:styleId="Heading9">
    <w:name w:val="heading 9"/>
    <w:basedOn w:val="Heading6"/>
    <w:next w:val="Normal"/>
    <w:qFormat/>
    <w:rsid w:val="003462E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462E6"/>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3462E6"/>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462E6"/>
  </w:style>
  <w:style w:type="paragraph" w:customStyle="1" w:styleId="Headingb">
    <w:name w:val="Heading_b"/>
    <w:basedOn w:val="Heading3"/>
    <w:next w:val="Normal"/>
    <w:rsid w:val="003462E6"/>
    <w:pPr>
      <w:spacing w:before="160"/>
      <w:ind w:left="0" w:firstLine="0"/>
      <w:outlineLvl w:val="9"/>
    </w:pPr>
  </w:style>
  <w:style w:type="paragraph" w:customStyle="1" w:styleId="Headingi">
    <w:name w:val="Heading_i"/>
    <w:basedOn w:val="Heading3"/>
    <w:next w:val="Normal"/>
    <w:rsid w:val="003462E6"/>
    <w:pPr>
      <w:spacing w:before="160"/>
      <w:ind w:left="0" w:firstLine="0"/>
    </w:pPr>
    <w:rPr>
      <w:b w:val="0"/>
      <w:i/>
    </w:rPr>
  </w:style>
  <w:style w:type="character" w:customStyle="1" w:styleId="href">
    <w:name w:val="href"/>
    <w:basedOn w:val="DefaultParagraphFont"/>
    <w:rsid w:val="003462E6"/>
  </w:style>
  <w:style w:type="paragraph" w:customStyle="1" w:styleId="enumlev1">
    <w:name w:val="enumlev1"/>
    <w:basedOn w:val="Normal"/>
    <w:rsid w:val="003462E6"/>
    <w:pPr>
      <w:spacing w:before="80"/>
      <w:ind w:left="794" w:hanging="794"/>
    </w:pPr>
  </w:style>
  <w:style w:type="paragraph" w:customStyle="1" w:styleId="enumlev2">
    <w:name w:val="enumlev2"/>
    <w:basedOn w:val="enumlev1"/>
    <w:rsid w:val="003462E6"/>
    <w:pPr>
      <w:ind w:left="1191" w:hanging="397"/>
    </w:pPr>
  </w:style>
  <w:style w:type="paragraph" w:customStyle="1" w:styleId="enumlev3">
    <w:name w:val="enumlev3"/>
    <w:basedOn w:val="enumlev2"/>
    <w:rsid w:val="003462E6"/>
    <w:pPr>
      <w:ind w:left="1588"/>
    </w:pPr>
  </w:style>
  <w:style w:type="paragraph" w:customStyle="1" w:styleId="Normalaftertitle">
    <w:name w:val="Normal_after_title"/>
    <w:basedOn w:val="Normal"/>
    <w:next w:val="Normal"/>
    <w:rsid w:val="003462E6"/>
    <w:pPr>
      <w:spacing w:before="320"/>
    </w:pPr>
  </w:style>
  <w:style w:type="paragraph" w:customStyle="1" w:styleId="Note">
    <w:name w:val="Note"/>
    <w:basedOn w:val="Normal"/>
    <w:rsid w:val="003462E6"/>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462E6"/>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3462E6"/>
    <w:pPr>
      <w:spacing w:before="240"/>
    </w:pPr>
    <w:rPr>
      <w:sz w:val="22"/>
      <w:lang w:val="es-ES_tradnl"/>
    </w:rPr>
  </w:style>
  <w:style w:type="paragraph" w:customStyle="1" w:styleId="Recref">
    <w:name w:val="Rec_ref"/>
    <w:basedOn w:val="Normal"/>
    <w:next w:val="Recdate"/>
    <w:rsid w:val="003462E6"/>
    <w:pPr>
      <w:jc w:val="center"/>
    </w:pPr>
  </w:style>
  <w:style w:type="paragraph" w:customStyle="1" w:styleId="Recdate">
    <w:name w:val="Rec_date"/>
    <w:basedOn w:val="Recref"/>
    <w:next w:val="Normalaftertitle"/>
    <w:rsid w:val="003462E6"/>
    <w:pPr>
      <w:jc w:val="right"/>
    </w:pPr>
  </w:style>
  <w:style w:type="paragraph" w:customStyle="1" w:styleId="AnnexNoTitle">
    <w:name w:val="Annex_NoTitle"/>
    <w:basedOn w:val="Normal"/>
    <w:next w:val="Normalaftertitle"/>
    <w:rsid w:val="003462E6"/>
    <w:pPr>
      <w:keepNext/>
      <w:keepLines/>
      <w:spacing w:before="480" w:after="80"/>
      <w:jc w:val="center"/>
    </w:pPr>
    <w:rPr>
      <w:b/>
      <w:sz w:val="28"/>
    </w:rPr>
  </w:style>
  <w:style w:type="paragraph" w:customStyle="1" w:styleId="AppendixNoTitle">
    <w:name w:val="Appendix_NoTitle"/>
    <w:basedOn w:val="AnnexNoTitle"/>
    <w:next w:val="Normal"/>
    <w:rsid w:val="003462E6"/>
  </w:style>
  <w:style w:type="paragraph" w:customStyle="1" w:styleId="Tablefin">
    <w:name w:val="Table_fin"/>
    <w:basedOn w:val="Normal"/>
    <w:next w:val="Normal"/>
    <w:rsid w:val="003462E6"/>
    <w:pPr>
      <w:spacing w:before="0"/>
    </w:pPr>
    <w:rPr>
      <w:sz w:val="20"/>
      <w:lang w:val="en-GB"/>
    </w:rPr>
  </w:style>
  <w:style w:type="paragraph" w:customStyle="1" w:styleId="Tablehead">
    <w:name w:val="Table_head"/>
    <w:basedOn w:val="Normal"/>
    <w:next w:val="Normal"/>
    <w:rsid w:val="003462E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462E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3462E6"/>
    <w:pPr>
      <w:keepNext/>
      <w:spacing w:before="360" w:after="120"/>
      <w:jc w:val="center"/>
    </w:pPr>
  </w:style>
  <w:style w:type="paragraph" w:customStyle="1" w:styleId="Tabletext">
    <w:name w:val="Table_text"/>
    <w:basedOn w:val="Normal"/>
    <w:link w:val="TabletextChar"/>
    <w:rsid w:val="003462E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462E6"/>
    <w:pPr>
      <w:tabs>
        <w:tab w:val="clear" w:pos="1191"/>
        <w:tab w:val="clear" w:pos="1588"/>
        <w:tab w:val="clear" w:pos="1985"/>
        <w:tab w:val="center" w:pos="4820"/>
        <w:tab w:val="right" w:pos="9639"/>
      </w:tabs>
    </w:pPr>
  </w:style>
  <w:style w:type="paragraph" w:customStyle="1" w:styleId="Equationlegend">
    <w:name w:val="Equation_legend"/>
    <w:basedOn w:val="NormalIndent"/>
    <w:rsid w:val="003462E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462E6"/>
    <w:pPr>
      <w:ind w:left="794"/>
    </w:pPr>
  </w:style>
  <w:style w:type="paragraph" w:customStyle="1" w:styleId="Figurelegend">
    <w:name w:val="Figure_legend"/>
    <w:basedOn w:val="Normal"/>
    <w:rsid w:val="003462E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3462E6"/>
    <w:pPr>
      <w:keepNext/>
      <w:keepLines/>
      <w:spacing w:before="480" w:after="80"/>
      <w:jc w:val="center"/>
    </w:pPr>
    <w:rPr>
      <w:caps/>
      <w:sz w:val="18"/>
    </w:rPr>
  </w:style>
  <w:style w:type="paragraph" w:customStyle="1" w:styleId="tocpart">
    <w:name w:val="tocpart"/>
    <w:basedOn w:val="Normal"/>
    <w:rsid w:val="003462E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462E6"/>
    <w:pPr>
      <w:keepNext/>
      <w:keepLines/>
      <w:spacing w:before="480"/>
      <w:jc w:val="center"/>
    </w:pPr>
    <w:rPr>
      <w:sz w:val="28"/>
    </w:rPr>
  </w:style>
  <w:style w:type="paragraph" w:customStyle="1" w:styleId="Arttitle">
    <w:name w:val="Art_title"/>
    <w:basedOn w:val="Normal"/>
    <w:next w:val="Normalaftertitle"/>
    <w:rsid w:val="003462E6"/>
    <w:pPr>
      <w:keepNext/>
      <w:keepLines/>
      <w:spacing w:before="240"/>
      <w:jc w:val="center"/>
    </w:pPr>
    <w:rPr>
      <w:b/>
      <w:sz w:val="28"/>
    </w:rPr>
  </w:style>
  <w:style w:type="paragraph" w:customStyle="1" w:styleId="Blanc">
    <w:name w:val="Blanc"/>
    <w:basedOn w:val="Normal"/>
    <w:next w:val="Tabletext"/>
    <w:rsid w:val="003462E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462E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462E6"/>
    <w:pPr>
      <w:keepNext/>
      <w:keepLines/>
      <w:spacing w:before="160"/>
      <w:ind w:left="794"/>
    </w:pPr>
    <w:rPr>
      <w:i/>
    </w:rPr>
  </w:style>
  <w:style w:type="paragraph" w:customStyle="1" w:styleId="ChapNo">
    <w:name w:val="Chap_No"/>
    <w:basedOn w:val="ArtNo"/>
    <w:next w:val="Chaptitle"/>
    <w:rsid w:val="003462E6"/>
    <w:rPr>
      <w:b/>
    </w:rPr>
  </w:style>
  <w:style w:type="paragraph" w:customStyle="1" w:styleId="Chaptitle">
    <w:name w:val="Chap_title"/>
    <w:basedOn w:val="Arttitle"/>
    <w:next w:val="Normalaftertitle"/>
    <w:rsid w:val="003462E6"/>
  </w:style>
  <w:style w:type="character" w:styleId="FootnoteReference">
    <w:name w:val="footnote reference"/>
    <w:basedOn w:val="DefaultParagraphFont"/>
    <w:semiHidden/>
    <w:rsid w:val="003462E6"/>
    <w:rPr>
      <w:position w:val="6"/>
      <w:sz w:val="18"/>
    </w:rPr>
  </w:style>
  <w:style w:type="paragraph" w:styleId="FootnoteText">
    <w:name w:val="footnote text"/>
    <w:basedOn w:val="Normal"/>
    <w:semiHidden/>
    <w:rsid w:val="003462E6"/>
    <w:pPr>
      <w:keepLines/>
      <w:tabs>
        <w:tab w:val="left" w:pos="255"/>
      </w:tabs>
      <w:ind w:left="255" w:hanging="255"/>
    </w:pPr>
    <w:rPr>
      <w:sz w:val="22"/>
    </w:rPr>
  </w:style>
  <w:style w:type="paragraph" w:styleId="Index1">
    <w:name w:val="index 1"/>
    <w:basedOn w:val="Normal"/>
    <w:next w:val="Normal"/>
    <w:semiHidden/>
    <w:rsid w:val="003462E6"/>
  </w:style>
  <w:style w:type="paragraph" w:styleId="Index2">
    <w:name w:val="index 2"/>
    <w:basedOn w:val="Normal"/>
    <w:next w:val="Normal"/>
    <w:semiHidden/>
    <w:rsid w:val="003462E6"/>
    <w:pPr>
      <w:ind w:left="283"/>
    </w:pPr>
  </w:style>
  <w:style w:type="paragraph" w:styleId="Index3">
    <w:name w:val="index 3"/>
    <w:basedOn w:val="Normal"/>
    <w:next w:val="Normal"/>
    <w:semiHidden/>
    <w:rsid w:val="003462E6"/>
    <w:pPr>
      <w:ind w:left="566"/>
    </w:pPr>
  </w:style>
  <w:style w:type="paragraph" w:styleId="IndexHeading">
    <w:name w:val="index heading"/>
    <w:basedOn w:val="Normal"/>
    <w:next w:val="Index1"/>
    <w:semiHidden/>
    <w:rsid w:val="003462E6"/>
  </w:style>
  <w:style w:type="paragraph" w:customStyle="1" w:styleId="Line">
    <w:name w:val="Line"/>
    <w:basedOn w:val="Normal"/>
    <w:next w:val="Normal"/>
    <w:rsid w:val="003462E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462E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462E6"/>
  </w:style>
  <w:style w:type="paragraph" w:customStyle="1" w:styleId="Partref">
    <w:name w:val="Part_ref"/>
    <w:basedOn w:val="Normal"/>
    <w:next w:val="Normal"/>
    <w:rsid w:val="003462E6"/>
    <w:pPr>
      <w:keepNext/>
      <w:keepLines/>
      <w:spacing w:after="280"/>
      <w:jc w:val="center"/>
    </w:pPr>
  </w:style>
  <w:style w:type="paragraph" w:customStyle="1" w:styleId="Parttitle">
    <w:name w:val="Part_title"/>
    <w:basedOn w:val="Normal"/>
    <w:next w:val="Normalaftertitle"/>
    <w:rsid w:val="003462E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462E6"/>
  </w:style>
  <w:style w:type="paragraph" w:customStyle="1" w:styleId="QuestionNo">
    <w:name w:val="Question_No"/>
    <w:basedOn w:val="RecNo"/>
    <w:next w:val="Normal"/>
    <w:rsid w:val="003462E6"/>
  </w:style>
  <w:style w:type="paragraph" w:customStyle="1" w:styleId="Questionref">
    <w:name w:val="Question_ref"/>
    <w:basedOn w:val="Recref"/>
    <w:next w:val="Questiondate"/>
    <w:rsid w:val="003462E6"/>
  </w:style>
  <w:style w:type="paragraph" w:customStyle="1" w:styleId="Questiontitle">
    <w:name w:val="Question_title"/>
    <w:basedOn w:val="Normal"/>
    <w:next w:val="Questionref"/>
    <w:rsid w:val="003462E6"/>
  </w:style>
  <w:style w:type="paragraph" w:customStyle="1" w:styleId="Reftext">
    <w:name w:val="Ref_text"/>
    <w:basedOn w:val="Normal"/>
    <w:rsid w:val="003462E6"/>
    <w:pPr>
      <w:ind w:left="794" w:hanging="794"/>
    </w:pPr>
    <w:rPr>
      <w:sz w:val="22"/>
    </w:rPr>
  </w:style>
  <w:style w:type="paragraph" w:customStyle="1" w:styleId="Reftitle">
    <w:name w:val="Ref_title"/>
    <w:basedOn w:val="Normal"/>
    <w:next w:val="Reftext"/>
    <w:rsid w:val="003462E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462E6"/>
  </w:style>
  <w:style w:type="paragraph" w:customStyle="1" w:styleId="RepNo">
    <w:name w:val="Rep_No"/>
    <w:basedOn w:val="RecNo"/>
    <w:next w:val="Reptitle"/>
    <w:rsid w:val="003462E6"/>
  </w:style>
  <w:style w:type="paragraph" w:customStyle="1" w:styleId="Repref">
    <w:name w:val="Rep_ref"/>
    <w:basedOn w:val="Recref"/>
    <w:next w:val="Repdate"/>
    <w:rsid w:val="003462E6"/>
  </w:style>
  <w:style w:type="paragraph" w:customStyle="1" w:styleId="Reptitle">
    <w:name w:val="Rep_title"/>
    <w:basedOn w:val="Rectitle"/>
    <w:next w:val="Repref"/>
    <w:rsid w:val="003462E6"/>
  </w:style>
  <w:style w:type="paragraph" w:customStyle="1" w:styleId="Resdate">
    <w:name w:val="Res_date"/>
    <w:basedOn w:val="Recdate"/>
    <w:next w:val="Normalaftertitle"/>
    <w:rsid w:val="003462E6"/>
  </w:style>
  <w:style w:type="paragraph" w:customStyle="1" w:styleId="ResNo">
    <w:name w:val="Res_No"/>
    <w:basedOn w:val="RecNo"/>
    <w:next w:val="Restitle"/>
    <w:rsid w:val="003462E6"/>
  </w:style>
  <w:style w:type="paragraph" w:customStyle="1" w:styleId="Resref">
    <w:name w:val="Res_ref"/>
    <w:basedOn w:val="Recref"/>
    <w:next w:val="Resdate"/>
    <w:rsid w:val="003462E6"/>
  </w:style>
  <w:style w:type="paragraph" w:customStyle="1" w:styleId="Restitle">
    <w:name w:val="Res_title"/>
    <w:basedOn w:val="Normal"/>
    <w:next w:val="Resref"/>
    <w:rsid w:val="003462E6"/>
    <w:pPr>
      <w:spacing w:before="240"/>
      <w:jc w:val="center"/>
    </w:pPr>
    <w:rPr>
      <w:b/>
      <w:sz w:val="28"/>
    </w:rPr>
  </w:style>
  <w:style w:type="paragraph" w:customStyle="1" w:styleId="SectionNo">
    <w:name w:val="Section_No"/>
    <w:basedOn w:val="Normal"/>
    <w:next w:val="Normal"/>
    <w:rsid w:val="003462E6"/>
  </w:style>
  <w:style w:type="paragraph" w:customStyle="1" w:styleId="Sectiontitle">
    <w:name w:val="Section_title"/>
    <w:basedOn w:val="Normal"/>
    <w:next w:val="Normalaftertitle"/>
    <w:rsid w:val="003462E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462E6"/>
    <w:pPr>
      <w:tabs>
        <w:tab w:val="clear" w:pos="794"/>
        <w:tab w:val="clear" w:pos="1191"/>
        <w:tab w:val="clear" w:pos="1588"/>
        <w:tab w:val="clear" w:pos="1985"/>
        <w:tab w:val="right" w:pos="9611"/>
      </w:tabs>
    </w:pPr>
    <w:rPr>
      <w:i/>
    </w:rPr>
  </w:style>
  <w:style w:type="paragraph" w:styleId="TOC1">
    <w:name w:val="toc 1"/>
    <w:basedOn w:val="Normal"/>
    <w:semiHidden/>
    <w:rsid w:val="003462E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3462E6"/>
    <w:pPr>
      <w:tabs>
        <w:tab w:val="clear" w:pos="567"/>
        <w:tab w:val="left" w:pos="1276"/>
      </w:tabs>
      <w:spacing w:before="160"/>
      <w:ind w:left="1276" w:hanging="709"/>
    </w:pPr>
  </w:style>
  <w:style w:type="paragraph" w:styleId="TOC3">
    <w:name w:val="toc 3"/>
    <w:basedOn w:val="TOC2"/>
    <w:semiHidden/>
    <w:rsid w:val="003462E6"/>
    <w:pPr>
      <w:tabs>
        <w:tab w:val="clear" w:pos="1276"/>
        <w:tab w:val="left" w:pos="2155"/>
      </w:tabs>
      <w:ind w:left="2155" w:hanging="879"/>
    </w:pPr>
  </w:style>
  <w:style w:type="paragraph" w:styleId="TOC4">
    <w:name w:val="toc 4"/>
    <w:basedOn w:val="TOC3"/>
    <w:semiHidden/>
    <w:rsid w:val="003462E6"/>
    <w:pPr>
      <w:tabs>
        <w:tab w:val="left" w:pos="3261"/>
      </w:tabs>
      <w:spacing w:before="80"/>
      <w:ind w:left="3261" w:hanging="993"/>
    </w:pPr>
  </w:style>
  <w:style w:type="paragraph" w:styleId="TOC5">
    <w:name w:val="toc 5"/>
    <w:basedOn w:val="TOC4"/>
    <w:semiHidden/>
    <w:rsid w:val="003462E6"/>
  </w:style>
  <w:style w:type="paragraph" w:styleId="TOC6">
    <w:name w:val="toc 6"/>
    <w:basedOn w:val="TOC4"/>
    <w:semiHidden/>
    <w:rsid w:val="003462E6"/>
  </w:style>
  <w:style w:type="paragraph" w:styleId="TOC7">
    <w:name w:val="toc 7"/>
    <w:basedOn w:val="TOC4"/>
    <w:semiHidden/>
    <w:rsid w:val="003462E6"/>
  </w:style>
  <w:style w:type="paragraph" w:styleId="TOC8">
    <w:name w:val="toc 8"/>
    <w:basedOn w:val="TOC4"/>
    <w:semiHidden/>
    <w:rsid w:val="003462E6"/>
  </w:style>
  <w:style w:type="paragraph" w:customStyle="1" w:styleId="Rectitle">
    <w:name w:val="Rec_title"/>
    <w:basedOn w:val="Normal"/>
    <w:next w:val="Recref"/>
    <w:rsid w:val="003462E6"/>
    <w:pPr>
      <w:keepNext/>
      <w:keepLines/>
      <w:spacing w:before="240"/>
      <w:jc w:val="center"/>
    </w:pPr>
    <w:rPr>
      <w:b/>
      <w:sz w:val="28"/>
    </w:rPr>
  </w:style>
  <w:style w:type="paragraph" w:customStyle="1" w:styleId="Annexref">
    <w:name w:val="Annex_ref"/>
    <w:basedOn w:val="Normal"/>
    <w:next w:val="Normalaftertitle"/>
    <w:rsid w:val="003462E6"/>
    <w:pPr>
      <w:keepNext/>
      <w:keepLines/>
      <w:spacing w:after="280"/>
      <w:jc w:val="center"/>
    </w:pPr>
  </w:style>
  <w:style w:type="paragraph" w:customStyle="1" w:styleId="Appendixref">
    <w:name w:val="Appendix_ref"/>
    <w:basedOn w:val="Annexref"/>
    <w:next w:val="Normalaftertitle"/>
    <w:rsid w:val="003462E6"/>
  </w:style>
  <w:style w:type="paragraph" w:customStyle="1" w:styleId="Figuretitle">
    <w:name w:val="Figure_title"/>
    <w:basedOn w:val="Normal"/>
    <w:next w:val="Figure"/>
    <w:rsid w:val="003462E6"/>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3462E6"/>
    <w:pPr>
      <w:keepNext/>
      <w:spacing w:before="0" w:after="120"/>
      <w:jc w:val="center"/>
    </w:pPr>
    <w:rPr>
      <w:b/>
    </w:rPr>
  </w:style>
  <w:style w:type="paragraph" w:customStyle="1" w:styleId="Summary">
    <w:name w:val="Summary"/>
    <w:basedOn w:val="Normal"/>
    <w:next w:val="Normalaftertitle"/>
    <w:autoRedefine/>
    <w:rsid w:val="003462E6"/>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3462E6"/>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3462E6"/>
    <w:pPr>
      <w:ind w:left="-85" w:firstLine="0"/>
    </w:pPr>
    <w:rPr>
      <w:lang w:val="en-US"/>
    </w:rPr>
  </w:style>
  <w:style w:type="paragraph" w:customStyle="1" w:styleId="AnnexTitle">
    <w:name w:val="Annex_Title"/>
    <w:basedOn w:val="Normal"/>
    <w:next w:val="Normalaftertitle0"/>
    <w:rsid w:val="003462E6"/>
    <w:pPr>
      <w:tabs>
        <w:tab w:val="clear" w:pos="794"/>
        <w:tab w:val="clear" w:pos="1191"/>
        <w:tab w:val="clear" w:pos="1588"/>
        <w:tab w:val="clear" w:pos="1985"/>
        <w:tab w:val="left" w:pos="4849"/>
        <w:tab w:val="right" w:pos="9696"/>
      </w:tabs>
      <w:spacing w:before="136" w:after="200"/>
      <w:jc w:val="center"/>
    </w:pPr>
    <w:rPr>
      <w:b/>
      <w:lang w:val="en-GB"/>
    </w:rPr>
  </w:style>
  <w:style w:type="paragraph" w:customStyle="1" w:styleId="RecTitle0">
    <w:name w:val="Rec_Title"/>
    <w:basedOn w:val="Normal"/>
    <w:next w:val="RecTitleRef"/>
    <w:rsid w:val="003462E6"/>
    <w:pPr>
      <w:keepNext/>
      <w:keepLines/>
      <w:tabs>
        <w:tab w:val="clear" w:pos="794"/>
        <w:tab w:val="clear" w:pos="1191"/>
        <w:tab w:val="clear" w:pos="1588"/>
        <w:tab w:val="clear" w:pos="1985"/>
        <w:tab w:val="center" w:pos="4849"/>
        <w:tab w:val="right" w:pos="9696"/>
      </w:tabs>
      <w:spacing w:before="180"/>
      <w:jc w:val="center"/>
    </w:pPr>
    <w:rPr>
      <w:b/>
      <w:sz w:val="20"/>
      <w:lang w:val="en-GB"/>
    </w:rPr>
  </w:style>
  <w:style w:type="paragraph" w:customStyle="1" w:styleId="Normalaftertitle0">
    <w:name w:val="Normal after title"/>
    <w:basedOn w:val="Normal"/>
    <w:next w:val="Normal"/>
    <w:rsid w:val="003462E6"/>
    <w:pPr>
      <w:spacing w:before="480"/>
    </w:pPr>
    <w:rPr>
      <w:sz w:val="20"/>
      <w:lang w:val="en-GB"/>
    </w:rPr>
  </w:style>
  <w:style w:type="paragraph" w:customStyle="1" w:styleId="call0">
    <w:name w:val="call"/>
    <w:basedOn w:val="Normal"/>
    <w:next w:val="Normal"/>
    <w:rsid w:val="003462E6"/>
    <w:pPr>
      <w:keepNext/>
      <w:keepLines/>
      <w:tabs>
        <w:tab w:val="clear" w:pos="1191"/>
        <w:tab w:val="clear" w:pos="1588"/>
        <w:tab w:val="clear" w:pos="1985"/>
      </w:tabs>
      <w:spacing w:before="227"/>
      <w:ind w:left="794"/>
      <w:jc w:val="left"/>
    </w:pPr>
    <w:rPr>
      <w:i/>
      <w:sz w:val="20"/>
      <w:lang w:val="en-GB"/>
    </w:rPr>
  </w:style>
  <w:style w:type="paragraph" w:customStyle="1" w:styleId="RecTitleRef">
    <w:name w:val="Rec_Title/Ref"/>
    <w:basedOn w:val="RecTitle0"/>
    <w:next w:val="RecTitleDate"/>
    <w:rsid w:val="003462E6"/>
    <w:pPr>
      <w:spacing w:before="136"/>
    </w:pPr>
    <w:rPr>
      <w:b w:val="0"/>
    </w:rPr>
  </w:style>
  <w:style w:type="paragraph" w:customStyle="1" w:styleId="RecTitleDate">
    <w:name w:val="Rec_Title/Date"/>
    <w:basedOn w:val="RecTitleRef"/>
    <w:next w:val="headfoot"/>
    <w:rsid w:val="003462E6"/>
    <w:pPr>
      <w:tabs>
        <w:tab w:val="clear" w:pos="4849"/>
      </w:tabs>
      <w:jc w:val="right"/>
    </w:pPr>
  </w:style>
  <w:style w:type="paragraph" w:customStyle="1" w:styleId="headfoot">
    <w:name w:val="head_foot"/>
    <w:basedOn w:val="Normal"/>
    <w:next w:val="Normalaftertitle0"/>
    <w:rsid w:val="003462E6"/>
    <w:pPr>
      <w:tabs>
        <w:tab w:val="clear" w:pos="794"/>
        <w:tab w:val="clear" w:pos="1191"/>
        <w:tab w:val="clear" w:pos="1588"/>
        <w:tab w:val="clear" w:pos="1985"/>
      </w:tabs>
      <w:spacing w:before="0"/>
    </w:pPr>
    <w:rPr>
      <w:b/>
      <w:color w:val="FFFFFF"/>
      <w:sz w:val="8"/>
      <w:lang w:val="en-GB"/>
    </w:rPr>
  </w:style>
  <w:style w:type="character" w:customStyle="1" w:styleId="TabletextChar">
    <w:name w:val="Table_text Char"/>
    <w:basedOn w:val="DefaultParagraphFont"/>
    <w:link w:val="Tabletext"/>
    <w:locked/>
    <w:rsid w:val="003462E6"/>
    <w:rPr>
      <w:sz w:val="22"/>
      <w:lang w:val="fr-FR" w:eastAsia="en-US"/>
    </w:rPr>
  </w:style>
  <w:style w:type="paragraph" w:customStyle="1" w:styleId="Reasons">
    <w:name w:val="Reasons"/>
    <w:basedOn w:val="Normal"/>
    <w:qFormat/>
    <w:rsid w:val="003462E6"/>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styleId="UnresolvedMention">
    <w:name w:val="Unresolved Mention"/>
    <w:basedOn w:val="DefaultParagraphFont"/>
    <w:uiPriority w:val="99"/>
    <w:semiHidden/>
    <w:unhideWhenUsed/>
    <w:rsid w:val="0019247E"/>
    <w:rPr>
      <w:color w:val="605E5C"/>
      <w:shd w:val="clear" w:color="auto" w:fill="E1DFDD"/>
    </w:rPr>
  </w:style>
  <w:style w:type="paragraph" w:styleId="Revision">
    <w:name w:val="Revision"/>
    <w:hidden/>
    <w:uiPriority w:val="99"/>
    <w:semiHidden/>
    <w:rsid w:val="0019247E"/>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5" Type="http://schemas.openxmlformats.org/officeDocument/2006/relationships/webSettings" Target="webSettings.xml"/><Relationship Id="rId15" Type="http://schemas.openxmlformats.org/officeDocument/2006/relationships/hyperlink" Target="https://www.itu.int/pub/R-REP-SM.2422/es" TargetMode="External"/><Relationship Id="rId10" Type="http://schemas.openxmlformats.org/officeDocument/2006/relationships/hyperlink" Target="http://www.itu.int/ITU-R/go/patents/e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tu.int/pub/R-REP-SM.2422/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85E906-D312-4062-BD22-4C12EADCA3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34</TotalTime>
  <Pages>5</Pages>
  <Words>1224</Words>
  <Characters>7669</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RECOMENDACIÓN  UIT-R  P.310-10 - Definición de términos relativos a la propagación en medios no ionizados</vt:lpstr>
    </vt:vector>
  </TitlesOfParts>
  <Manager/>
  <Company>ITU</Company>
  <LinksUpToDate>false</LinksUpToDate>
  <CharactersWithSpaces>8876</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P.310-10 - Definición de términos relativos a la propagación en medios no ionizados</dc:title>
  <dc:subject>Serie P = Propagación de las ondas radioeléctricas</dc:subject>
  <dc:creator>Oficina de Radiocomunicaciones del UIT (BR)</dc:creator>
  <cp:keywords>P,310-10</cp:keywords>
  <dc:description>Gachetc, 03/03/2021, ITU51013811</dc:description>
  <cp:lastModifiedBy>Catalano Moreira, Rossana</cp:lastModifiedBy>
  <cp:revision>8</cp:revision>
  <cp:lastPrinted>2023-02-01T10:44:00Z</cp:lastPrinted>
  <dcterms:created xsi:type="dcterms:W3CDTF">2023-02-01T10:22:00Z</dcterms:created>
  <dcterms:modified xsi:type="dcterms:W3CDTF">2023-02-01T10:56:00Z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Gachetc</vt:lpwstr>
  </property>
  <property fmtid="{D5CDD505-2E9C-101B-9397-08002B2CF9AE}" pid="11" name="Date completed">
    <vt:lpwstr>03 March 2021</vt:lpwstr>
  </property>
</Properties>
</file>