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5639" w14:textId="382CB5F5" w:rsidR="00B1717A" w:rsidRPr="003F0116" w:rsidRDefault="00B1717A" w:rsidP="00B1717A">
      <w:pPr>
        <w:rPr>
          <w:lang w:val="es-ES_tradnl"/>
        </w:rPr>
      </w:pPr>
    </w:p>
    <w:p w14:paraId="3482967C" w14:textId="77777777" w:rsidR="00B1717A" w:rsidRPr="003F0116" w:rsidRDefault="00B1717A" w:rsidP="00B1717A">
      <w:pPr>
        <w:rPr>
          <w:lang w:val="es-ES_tradnl"/>
        </w:rPr>
      </w:pPr>
    </w:p>
    <w:p w14:paraId="10D3DB5B" w14:textId="77777777" w:rsidR="00B1717A" w:rsidRPr="003F0116" w:rsidRDefault="00B1717A" w:rsidP="00B1717A">
      <w:pPr>
        <w:rPr>
          <w:lang w:val="es-ES_tradnl"/>
        </w:rPr>
      </w:pPr>
    </w:p>
    <w:p w14:paraId="2A92F067" w14:textId="77777777" w:rsidR="00B1717A" w:rsidRPr="003F0116" w:rsidRDefault="00B1717A" w:rsidP="00B1717A">
      <w:pPr>
        <w:rPr>
          <w:lang w:val="es-ES_tradnl"/>
        </w:rPr>
      </w:pPr>
    </w:p>
    <w:p w14:paraId="621D57B0" w14:textId="77777777" w:rsidR="00B1717A" w:rsidRPr="003F0116" w:rsidRDefault="00B1717A" w:rsidP="00B1717A">
      <w:pPr>
        <w:rPr>
          <w:lang w:val="es-ES_tradnl"/>
        </w:rPr>
      </w:pPr>
    </w:p>
    <w:p w14:paraId="1AB9E497" w14:textId="77777777" w:rsidR="00B1717A" w:rsidRPr="003F0116" w:rsidRDefault="00B1717A" w:rsidP="00B1717A">
      <w:pPr>
        <w:rPr>
          <w:lang w:val="es-ES_tradnl"/>
        </w:rPr>
      </w:pPr>
    </w:p>
    <w:p w14:paraId="68832CAD" w14:textId="77777777" w:rsidR="00B1717A" w:rsidRPr="003F0116" w:rsidRDefault="00B1717A" w:rsidP="00B1717A">
      <w:pPr>
        <w:rPr>
          <w:lang w:val="es-ES_tradnl"/>
        </w:rPr>
      </w:pPr>
    </w:p>
    <w:p w14:paraId="0B55CF0E" w14:textId="65BB99CF" w:rsidR="00B1717A" w:rsidRPr="003F0116" w:rsidRDefault="00B1717A" w:rsidP="00B1717A">
      <w:pPr>
        <w:rPr>
          <w:lang w:val="es-ES_tradnl"/>
        </w:rPr>
      </w:pPr>
    </w:p>
    <w:p w14:paraId="4BAD8868" w14:textId="77777777" w:rsidR="000406A5" w:rsidRPr="003F0116" w:rsidRDefault="000406A5" w:rsidP="00B1717A">
      <w:pPr>
        <w:rPr>
          <w:lang w:val="es-ES_tradnl"/>
        </w:rPr>
      </w:pPr>
    </w:p>
    <w:p w14:paraId="75F4F645" w14:textId="77777777" w:rsidR="00B1717A" w:rsidRPr="003F0116" w:rsidRDefault="00B1717A" w:rsidP="00B1717A">
      <w:pPr>
        <w:rPr>
          <w:lang w:val="es-ES_tradnl"/>
        </w:rPr>
      </w:pPr>
    </w:p>
    <w:p w14:paraId="51989905" w14:textId="77777777" w:rsidR="00B1717A" w:rsidRPr="003F0116" w:rsidRDefault="00B1717A" w:rsidP="00B1717A">
      <w:pPr>
        <w:rPr>
          <w:lang w:val="es-ES_tradnl"/>
        </w:rPr>
      </w:pPr>
    </w:p>
    <w:p w14:paraId="565DA003" w14:textId="77777777" w:rsidR="00B1717A" w:rsidRPr="003F0116" w:rsidRDefault="00B1717A" w:rsidP="00B1717A">
      <w:pPr>
        <w:rPr>
          <w:lang w:val="es-ES_tradnl"/>
        </w:rPr>
      </w:pPr>
    </w:p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3F0116" w14:paraId="2F1B5791" w14:textId="77777777" w:rsidTr="00D62884">
        <w:tc>
          <w:tcPr>
            <w:tcW w:w="10089" w:type="dxa"/>
          </w:tcPr>
          <w:p w14:paraId="60D06549" w14:textId="77777777" w:rsidR="00B1717A" w:rsidRPr="003F0116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5CA8553" w14:textId="1DBAC2EA" w:rsidR="00B1717A" w:rsidRPr="003F0116" w:rsidRDefault="00B1717A" w:rsidP="000718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DE71F7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500457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2151</w:t>
            </w:r>
            <w:r w:rsidR="005C683C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-0</w:t>
            </w:r>
          </w:p>
          <w:p w14:paraId="356998E5" w14:textId="6E68D1C7" w:rsidR="00B1717A" w:rsidRPr="003F0116" w:rsidRDefault="00B1717A" w:rsidP="00DE5A7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C683C"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500457"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9</w:t>
            </w:r>
            <w:r w:rsidR="005C683C"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/202</w:t>
            </w:r>
            <w:r w:rsidR="00500457"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</w:t>
            </w:r>
            <w:r w:rsidRPr="003F01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3F0116" w14:paraId="28C286BA" w14:textId="77777777" w:rsidTr="00D62884">
        <w:tc>
          <w:tcPr>
            <w:tcW w:w="10089" w:type="dxa"/>
          </w:tcPr>
          <w:p w14:paraId="46FB2F5D" w14:textId="77777777" w:rsidR="00B1717A" w:rsidRPr="003F0116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2D54ECE3" w14:textId="19F87ACD" w:rsidR="009000D8" w:rsidRPr="003F0116" w:rsidRDefault="00500457" w:rsidP="00900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F011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Directrices sobre las gamas de frecuencias para la explotación de la transmisión inalámbrica de potencia por medio de haces de radiofrecuencias para dispositivos móviles y portátiles y redes de sensores</w:t>
            </w:r>
          </w:p>
          <w:p w14:paraId="4967A8C6" w14:textId="77777777" w:rsidR="00B1717A" w:rsidRPr="003F0116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3F0116" w14:paraId="2BBD6F9A" w14:textId="77777777" w:rsidTr="00D62884">
        <w:tc>
          <w:tcPr>
            <w:tcW w:w="10089" w:type="dxa"/>
          </w:tcPr>
          <w:p w14:paraId="49B75C65" w14:textId="77777777" w:rsidR="00B1717A" w:rsidRPr="003F0116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A606BD4" w14:textId="77777777" w:rsidR="00B1717A" w:rsidRPr="003F0116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00157564" w14:textId="77777777" w:rsidR="00B1717A" w:rsidRPr="003F0116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52453AD8" w14:textId="77777777" w:rsidR="00B1717A" w:rsidRPr="003F0116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14:paraId="3CB5274F" w14:textId="77777777" w:rsidR="00B1717A" w:rsidRPr="003F0116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3F01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  <w:p w14:paraId="44EF4F2E" w14:textId="12F0D8AD" w:rsidR="000406A5" w:rsidRPr="003F0116" w:rsidRDefault="000406A5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</w:tc>
      </w:tr>
    </w:tbl>
    <w:p w14:paraId="1D6F4342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50740C6C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0F0D7616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1277DE38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1B94D4FA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37BB2B00" w14:textId="77777777" w:rsidR="00B1717A" w:rsidRPr="003F0116" w:rsidRDefault="00B1717A" w:rsidP="00B1717A">
      <w:pPr>
        <w:spacing w:before="80"/>
        <w:rPr>
          <w:i/>
          <w:sz w:val="22"/>
          <w:lang w:val="es-ES_tradnl"/>
        </w:rPr>
      </w:pPr>
    </w:p>
    <w:p w14:paraId="226D70F9" w14:textId="77777777" w:rsidR="00B1717A" w:rsidRPr="003F0116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3F0116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B93CF5B" w14:textId="77777777" w:rsidR="00B1717A" w:rsidRPr="003F0116" w:rsidRDefault="00B1717A" w:rsidP="00495CB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3F0116">
        <w:rPr>
          <w:bCs/>
          <w:sz w:val="24"/>
          <w:szCs w:val="24"/>
          <w:lang w:val="es-ES_tradnl"/>
        </w:rPr>
        <w:lastRenderedPageBreak/>
        <w:t>Prólogo</w:t>
      </w:r>
    </w:p>
    <w:p w14:paraId="5086BA29" w14:textId="77777777" w:rsidR="00B1717A" w:rsidRPr="003F0116" w:rsidRDefault="00B1717A" w:rsidP="00B1717A">
      <w:pPr>
        <w:spacing w:before="180"/>
        <w:rPr>
          <w:sz w:val="20"/>
          <w:lang w:val="es-ES_tradnl"/>
        </w:rPr>
      </w:pPr>
      <w:r w:rsidRPr="003F0116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5BA0AA82" w14:textId="7AF9A00F" w:rsidR="00B1717A" w:rsidRPr="003F0116" w:rsidRDefault="00B1717A" w:rsidP="00B1717A">
      <w:pPr>
        <w:rPr>
          <w:sz w:val="20"/>
          <w:lang w:val="es-ES_tradnl"/>
        </w:rPr>
      </w:pPr>
      <w:r w:rsidRPr="003F0116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3DBA217B" w14:textId="77777777" w:rsidR="00B1717A" w:rsidRPr="003F0116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3F0116">
        <w:rPr>
          <w:lang w:val="es-ES_tradnl"/>
        </w:rPr>
        <w:t>Política sobre Derechos de Propiedad Intelectual</w:t>
      </w:r>
      <w:r w:rsidRPr="003F0116">
        <w:rPr>
          <w:szCs w:val="24"/>
          <w:lang w:val="es-ES_tradnl"/>
        </w:rPr>
        <w:t xml:space="preserve"> (IPR)</w:t>
      </w:r>
    </w:p>
    <w:p w14:paraId="28A346E0" w14:textId="77777777" w:rsidR="00B1717A" w:rsidRPr="003F0116" w:rsidRDefault="00B1717A" w:rsidP="009D6B3D">
      <w:pPr>
        <w:spacing w:before="180"/>
        <w:rPr>
          <w:sz w:val="20"/>
          <w:lang w:val="es-ES_tradnl"/>
        </w:rPr>
      </w:pPr>
      <w:r w:rsidRPr="003F0116">
        <w:rPr>
          <w:sz w:val="20"/>
          <w:lang w:val="es-ES_tradnl"/>
        </w:rPr>
        <w:t>La política del UIT</w:t>
      </w:r>
      <w:r w:rsidRPr="003F0116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3F0116">
        <w:rPr>
          <w:sz w:val="20"/>
          <w:lang w:val="es-ES_tradnl"/>
        </w:rPr>
        <w:noBreakHyphen/>
        <w:t>T/UIT</w:t>
      </w:r>
      <w:r w:rsidRPr="003F0116">
        <w:rPr>
          <w:sz w:val="20"/>
          <w:lang w:val="es-ES_tradnl"/>
        </w:rPr>
        <w:noBreakHyphen/>
        <w:t>R/ISO/CEI a la que se hace referencia en la Resolución UIT</w:t>
      </w:r>
      <w:r w:rsidRPr="003F0116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3F0116">
          <w:rPr>
            <w:rStyle w:val="Hyperlink"/>
            <w:sz w:val="20"/>
            <w:lang w:val="es-ES_tradnl"/>
          </w:rPr>
          <w:t>http://www.itu.int/ITU-R/go/patents/es</w:t>
        </w:r>
      </w:hyperlink>
      <w:r w:rsidRPr="003F0116">
        <w:rPr>
          <w:sz w:val="20"/>
          <w:lang w:val="es-ES_tradnl"/>
        </w:rPr>
        <w:t>, donde también aparecen las Directrices para la implementación de la Política Común de Patentes UIT</w:t>
      </w:r>
      <w:r w:rsidRPr="003F0116">
        <w:rPr>
          <w:sz w:val="20"/>
          <w:lang w:val="es-ES_tradnl"/>
        </w:rPr>
        <w:noBreakHyphen/>
        <w:t>T/UIT</w:t>
      </w:r>
      <w:r w:rsidRPr="003F0116">
        <w:rPr>
          <w:sz w:val="20"/>
          <w:lang w:val="es-ES_tradnl"/>
        </w:rPr>
        <w:noBreakHyphen/>
        <w:t>R/ISO/CEI y la base de datos sobre información de patentes del UIT</w:t>
      </w:r>
      <w:r w:rsidRPr="003F0116">
        <w:rPr>
          <w:sz w:val="20"/>
          <w:lang w:val="es-ES_tradnl"/>
        </w:rPr>
        <w:noBreakHyphen/>
        <w:t>R sobre este asunto.</w:t>
      </w:r>
    </w:p>
    <w:p w14:paraId="1AE2B507" w14:textId="77777777" w:rsidR="00B1717A" w:rsidRPr="003F0116" w:rsidRDefault="00B1717A" w:rsidP="00B1717A">
      <w:pPr>
        <w:spacing w:before="0"/>
        <w:jc w:val="center"/>
        <w:rPr>
          <w:sz w:val="22"/>
          <w:lang w:val="es-ES_tradnl"/>
        </w:rPr>
      </w:pPr>
    </w:p>
    <w:p w14:paraId="0647831F" w14:textId="77777777" w:rsidR="00B1717A" w:rsidRPr="003F0116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3F0116" w14:paraId="41D66E60" w14:textId="77777777" w:rsidTr="00D62884">
        <w:tc>
          <w:tcPr>
            <w:tcW w:w="9360" w:type="dxa"/>
            <w:gridSpan w:val="2"/>
          </w:tcPr>
          <w:p w14:paraId="007DEADF" w14:textId="0BFE37BC" w:rsidR="00B1717A" w:rsidRPr="003F0116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3F0116">
              <w:rPr>
                <w:sz w:val="22"/>
                <w:szCs w:val="22"/>
                <w:lang w:val="es-ES_tradnl"/>
              </w:rPr>
              <w:t>Series de las Recomendaciones UIT-R</w:t>
            </w:r>
          </w:p>
          <w:p w14:paraId="79A81FBC" w14:textId="77777777" w:rsidR="00B1717A" w:rsidRPr="003F0116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3F0116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2" w:history="1">
              <w:r w:rsidRPr="003F0116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3F0116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3F0116" w14:paraId="31DC6939" w14:textId="77777777" w:rsidTr="004532F7">
        <w:tc>
          <w:tcPr>
            <w:tcW w:w="1140" w:type="dxa"/>
            <w:tcBorders>
              <w:bottom w:val="nil"/>
            </w:tcBorders>
          </w:tcPr>
          <w:p w14:paraId="5A5540A6" w14:textId="77777777" w:rsidR="00B1717A" w:rsidRPr="003F0116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139E101A" w14:textId="77777777" w:rsidR="00B1717A" w:rsidRPr="003F0116" w:rsidRDefault="00B1717A" w:rsidP="002464D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80" w:after="100"/>
              <w:rPr>
                <w:bCs/>
                <w:sz w:val="20"/>
                <w:lang w:val="es-ES_tradnl"/>
              </w:rPr>
            </w:pPr>
            <w:r w:rsidRPr="003F0116">
              <w:rPr>
                <w:bCs/>
                <w:sz w:val="20"/>
                <w:lang w:val="es-ES_tradnl"/>
              </w:rPr>
              <w:t>Título</w:t>
            </w:r>
          </w:p>
        </w:tc>
      </w:tr>
      <w:tr w:rsidR="00B1717A" w:rsidRPr="003F0116" w14:paraId="1928E919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FBD76E3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286D1BC" w14:textId="77777777" w:rsidR="00B1717A" w:rsidRPr="003F0116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3F0116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B1717A" w:rsidRPr="003F0116" w14:paraId="21D4581D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18328B7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FBDDD02" w14:textId="77777777" w:rsidR="00B1717A" w:rsidRPr="003F0116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3F0116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3F0116" w14:paraId="2EB1A1F8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A4527D3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A15BAF1" w14:textId="77777777" w:rsidR="00B1717A" w:rsidRPr="003F0116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3F0116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B1717A" w:rsidRPr="003F0116" w14:paraId="0874371B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F9F68A7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17ECC66" w14:textId="77777777" w:rsidR="00B1717A" w:rsidRPr="003F0116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3F0116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B1717A" w:rsidRPr="003F0116" w14:paraId="0D53C910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D72B650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4C8FB0B" w14:textId="77777777" w:rsidR="00B1717A" w:rsidRPr="003F0116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Servicio fijo</w:t>
            </w:r>
          </w:p>
        </w:tc>
      </w:tr>
      <w:tr w:rsidR="00B1717A" w:rsidRPr="003F0116" w14:paraId="1E1E7CC0" w14:textId="77777777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2552C26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3F0116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88B96A0" w14:textId="77777777" w:rsidR="00B1717A" w:rsidRPr="003F0116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3F0116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3F0116" w14:paraId="772684FB" w14:textId="77777777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2A498B6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F83321E" w14:textId="77777777" w:rsidR="00B1717A" w:rsidRPr="003F011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3F0116" w14:paraId="40C9D760" w14:textId="7777777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BC89A74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9DA24FC" w14:textId="77777777" w:rsidR="00B1717A" w:rsidRPr="003F0116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Radio</w:t>
            </w:r>
            <w:r w:rsidR="00B1717A" w:rsidRPr="003F0116">
              <w:rPr>
                <w:sz w:val="20"/>
                <w:lang w:val="es-ES_tradnl"/>
              </w:rPr>
              <w:t>astronomía</w:t>
            </w:r>
          </w:p>
        </w:tc>
      </w:tr>
      <w:tr w:rsidR="00B1717A" w:rsidRPr="003F0116" w14:paraId="69FBB51E" w14:textId="77777777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A585339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97D60E9" w14:textId="77777777" w:rsidR="00B1717A" w:rsidRPr="003F0116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3F0116" w14:paraId="3EF9DF1D" w14:textId="77777777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8601E01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A6C11F7" w14:textId="77777777" w:rsidR="00B1717A" w:rsidRPr="003F011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Servicio fijo por satélite</w:t>
            </w:r>
          </w:p>
        </w:tc>
      </w:tr>
      <w:tr w:rsidR="00B1717A" w:rsidRPr="003F0116" w14:paraId="7EC1CAD8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2F11FB9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75ABAEC" w14:textId="77777777" w:rsidR="00B1717A" w:rsidRPr="003F011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Aplicaciones espaciales y meteorología</w:t>
            </w:r>
          </w:p>
        </w:tc>
      </w:tr>
      <w:tr w:rsidR="00B1717A" w:rsidRPr="003F0116" w14:paraId="75AE36DC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B8FBBE0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4276083" w14:textId="77777777" w:rsidR="00B1717A" w:rsidRPr="003F011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3F011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3F0116" w14:paraId="1439D18B" w14:textId="77777777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377B9BBF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F0116">
              <w:rPr>
                <w:b/>
                <w:bCs/>
                <w:color w:val="000080"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C12B1C0" w14:textId="77777777" w:rsidR="00B1717A" w:rsidRPr="003F011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F0116">
              <w:rPr>
                <w:b/>
                <w:bCs/>
                <w:color w:val="000080"/>
                <w:sz w:val="20"/>
                <w:lang w:val="es-ES_tradnl"/>
              </w:rPr>
              <w:t>Gestión del espectro</w:t>
            </w:r>
          </w:p>
        </w:tc>
      </w:tr>
      <w:tr w:rsidR="00B1717A" w:rsidRPr="003F0116" w14:paraId="69FCB959" w14:textId="77777777" w:rsidTr="00746AC6">
        <w:tc>
          <w:tcPr>
            <w:tcW w:w="1140" w:type="dxa"/>
            <w:tcBorders>
              <w:top w:val="nil"/>
            </w:tcBorders>
          </w:tcPr>
          <w:p w14:paraId="09287D38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715877E6" w14:textId="77777777" w:rsidR="00B1717A" w:rsidRPr="003F0116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F0116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B1717A" w:rsidRPr="003F0116" w14:paraId="522C451F" w14:textId="77777777" w:rsidTr="00D62884">
        <w:tc>
          <w:tcPr>
            <w:tcW w:w="1140" w:type="dxa"/>
          </w:tcPr>
          <w:p w14:paraId="1F5F82D8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2E2B6772" w14:textId="77777777" w:rsidR="00B1717A" w:rsidRPr="003F0116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3F0116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3F0116" w14:paraId="65106DB0" w14:textId="77777777" w:rsidTr="00D62884">
        <w:tc>
          <w:tcPr>
            <w:tcW w:w="1140" w:type="dxa"/>
          </w:tcPr>
          <w:p w14:paraId="0764A5C2" w14:textId="77777777" w:rsidR="00B1717A" w:rsidRPr="003F011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3F0116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3B37C1BE" w14:textId="77777777" w:rsidR="00B1717A" w:rsidRPr="003F0116" w:rsidRDefault="00B1717A" w:rsidP="00D62884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3F0116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424CE6B5" w14:textId="77777777" w:rsidR="00B1717A" w:rsidRPr="003F0116" w:rsidRDefault="00B1717A" w:rsidP="00B1717A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RPr="003F0116" w14:paraId="5665FD09" w14:textId="77777777" w:rsidTr="00D62884">
        <w:tc>
          <w:tcPr>
            <w:tcW w:w="720" w:type="dxa"/>
          </w:tcPr>
          <w:p w14:paraId="1B3B8B91" w14:textId="77777777" w:rsidR="00B1717A" w:rsidRPr="003F0116" w:rsidRDefault="00B1717A" w:rsidP="00D62884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3F0116" w14:paraId="715A3C50" w14:textId="77777777" w:rsidTr="00D62884">
        <w:tc>
          <w:tcPr>
            <w:tcW w:w="9360" w:type="dxa"/>
          </w:tcPr>
          <w:p w14:paraId="21A9276D" w14:textId="77777777" w:rsidR="00B1717A" w:rsidRPr="003F0116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3F0116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3F0116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3F0116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2DC8C05A" w14:textId="77777777" w:rsidR="00B1717A" w:rsidRPr="003F0116" w:rsidRDefault="00B1717A" w:rsidP="00B1717A">
      <w:pPr>
        <w:spacing w:before="0"/>
        <w:jc w:val="center"/>
        <w:rPr>
          <w:sz w:val="22"/>
          <w:lang w:val="es-ES_tradnl"/>
        </w:rPr>
      </w:pPr>
    </w:p>
    <w:p w14:paraId="0987F6C5" w14:textId="77777777" w:rsidR="00B1717A" w:rsidRPr="003F0116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3F0116">
        <w:rPr>
          <w:i/>
          <w:iCs/>
          <w:sz w:val="20"/>
          <w:lang w:val="es-ES_tradnl"/>
        </w:rPr>
        <w:t>Publicación electrónica</w:t>
      </w:r>
    </w:p>
    <w:p w14:paraId="40128E47" w14:textId="399BC13B" w:rsidR="00B1717A" w:rsidRPr="003F0116" w:rsidRDefault="00B1717A" w:rsidP="00C92346">
      <w:pPr>
        <w:spacing w:before="0" w:after="40"/>
        <w:jc w:val="right"/>
        <w:rPr>
          <w:sz w:val="20"/>
          <w:lang w:val="es-ES_tradnl"/>
        </w:rPr>
      </w:pPr>
      <w:r w:rsidRPr="003F0116">
        <w:rPr>
          <w:sz w:val="20"/>
          <w:lang w:val="es-ES_tradnl"/>
        </w:rPr>
        <w:t>Ginebra, 20</w:t>
      </w:r>
      <w:r w:rsidR="003D7800" w:rsidRPr="003F0116">
        <w:rPr>
          <w:sz w:val="20"/>
          <w:lang w:val="es-ES_tradnl"/>
        </w:rPr>
        <w:t>2</w:t>
      </w:r>
      <w:r w:rsidR="00A6043B" w:rsidRPr="003F0116">
        <w:rPr>
          <w:sz w:val="20"/>
          <w:lang w:val="es-ES_tradnl"/>
        </w:rPr>
        <w:t>3</w:t>
      </w:r>
    </w:p>
    <w:p w14:paraId="22E901CD" w14:textId="77777777" w:rsidR="00B1717A" w:rsidRPr="003F0116" w:rsidRDefault="00B1717A" w:rsidP="00495CB6">
      <w:pPr>
        <w:spacing w:before="0" w:after="120"/>
        <w:jc w:val="center"/>
        <w:rPr>
          <w:sz w:val="22"/>
          <w:lang w:val="es-ES_tradnl"/>
        </w:rPr>
      </w:pPr>
    </w:p>
    <w:p w14:paraId="5FF6DE4D" w14:textId="348425FC" w:rsidR="00B1717A" w:rsidRPr="003F0116" w:rsidRDefault="00B1717A" w:rsidP="007E00FF">
      <w:pPr>
        <w:spacing w:before="0"/>
        <w:jc w:val="center"/>
        <w:rPr>
          <w:sz w:val="20"/>
          <w:lang w:val="es-ES_tradnl"/>
        </w:rPr>
      </w:pPr>
      <w:r w:rsidRPr="003F0116">
        <w:rPr>
          <w:sz w:val="20"/>
          <w:lang w:val="es-ES_tradnl"/>
        </w:rPr>
        <w:sym w:font="Symbol" w:char="F0E3"/>
      </w:r>
      <w:r w:rsidRPr="003F0116">
        <w:rPr>
          <w:sz w:val="20"/>
          <w:lang w:val="es-ES_tradnl"/>
        </w:rPr>
        <w:t xml:space="preserve"> UIT </w:t>
      </w:r>
      <w:bookmarkStart w:id="1" w:name="iiannee"/>
      <w:bookmarkEnd w:id="1"/>
      <w:r w:rsidRPr="003F0116">
        <w:rPr>
          <w:sz w:val="20"/>
          <w:lang w:val="es-ES_tradnl"/>
        </w:rPr>
        <w:t>20</w:t>
      </w:r>
      <w:r w:rsidR="003D7800" w:rsidRPr="003F0116">
        <w:rPr>
          <w:sz w:val="20"/>
          <w:lang w:val="es-ES_tradnl"/>
        </w:rPr>
        <w:t>2</w:t>
      </w:r>
      <w:r w:rsidR="00A6043B" w:rsidRPr="003F0116">
        <w:rPr>
          <w:sz w:val="20"/>
          <w:lang w:val="es-ES_tradnl"/>
        </w:rPr>
        <w:t>3</w:t>
      </w:r>
    </w:p>
    <w:p w14:paraId="1CBB1F18" w14:textId="77777777" w:rsidR="00B1717A" w:rsidRPr="003F0116" w:rsidRDefault="00B1717A" w:rsidP="00B1717A">
      <w:pPr>
        <w:spacing w:before="80"/>
        <w:rPr>
          <w:sz w:val="18"/>
          <w:szCs w:val="18"/>
          <w:lang w:val="es-ES_tradnl"/>
        </w:rPr>
      </w:pPr>
      <w:r w:rsidRPr="003F0116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51A49D81" w14:textId="77777777" w:rsidR="00B1717A" w:rsidRPr="003F0116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3F0116" w:rsidSect="000406A5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33B4A23" w14:textId="24E08800" w:rsidR="003D7800" w:rsidRPr="003F0116" w:rsidRDefault="003D7800" w:rsidP="003D7800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3F0116">
        <w:rPr>
          <w:lang w:val="es-ES_tradnl"/>
        </w:rPr>
        <w:lastRenderedPageBreak/>
        <w:t xml:space="preserve">RECOMENDACIÓN  </w:t>
      </w:r>
      <w:r w:rsidRPr="003F0116">
        <w:rPr>
          <w:rStyle w:val="href"/>
          <w:lang w:val="es-ES_tradnl"/>
        </w:rPr>
        <w:t>UIT-R  SM.</w:t>
      </w:r>
      <w:r w:rsidR="005C683C" w:rsidRPr="003F0116">
        <w:rPr>
          <w:rStyle w:val="href"/>
          <w:lang w:val="es-ES_tradnl"/>
        </w:rPr>
        <w:t>21</w:t>
      </w:r>
      <w:r w:rsidR="00500457" w:rsidRPr="003F0116">
        <w:rPr>
          <w:rStyle w:val="href"/>
          <w:lang w:val="es-ES_tradnl"/>
        </w:rPr>
        <w:t>51</w:t>
      </w:r>
      <w:r w:rsidR="005C683C" w:rsidRPr="003F0116">
        <w:rPr>
          <w:rStyle w:val="href"/>
          <w:lang w:val="es-ES_tradnl"/>
        </w:rPr>
        <w:t>-0</w:t>
      </w:r>
    </w:p>
    <w:p w14:paraId="0F48F056" w14:textId="5F636EB5" w:rsidR="005C683C" w:rsidRPr="003F0116" w:rsidRDefault="00500457" w:rsidP="005C683C">
      <w:pPr>
        <w:pStyle w:val="Rectitle"/>
        <w:rPr>
          <w:lang w:val="es-ES_tradnl" w:eastAsia="zh-CN"/>
        </w:rPr>
      </w:pPr>
      <w:r w:rsidRPr="003F0116">
        <w:rPr>
          <w:lang w:val="es-ES_tradnl" w:eastAsia="zh-CN"/>
        </w:rPr>
        <w:t>Directrices sobre las gamas de frecuencias para la explotación de la transmisión inalámbrica de potencia por medio de haces de radiofrecuencias para dispositivos móviles y portátiles y redes de sensores</w:t>
      </w:r>
    </w:p>
    <w:p w14:paraId="7C38D40D" w14:textId="042A1D83" w:rsidR="005C683C" w:rsidRPr="003F0116" w:rsidRDefault="005C683C" w:rsidP="005C683C">
      <w:pPr>
        <w:pStyle w:val="Recdate"/>
        <w:rPr>
          <w:lang w:val="es-ES_tradnl" w:eastAsia="zh-CN"/>
        </w:rPr>
      </w:pPr>
      <w:r w:rsidRPr="003F0116">
        <w:rPr>
          <w:lang w:val="es-ES_tradnl" w:eastAsia="zh-CN"/>
        </w:rPr>
        <w:t>(202</w:t>
      </w:r>
      <w:r w:rsidR="00500457" w:rsidRPr="003F0116">
        <w:rPr>
          <w:lang w:val="es-ES_tradnl" w:eastAsia="zh-CN"/>
        </w:rPr>
        <w:t>2</w:t>
      </w:r>
      <w:r w:rsidRPr="003F0116">
        <w:rPr>
          <w:lang w:val="es-ES_tradnl" w:eastAsia="zh-CN"/>
        </w:rPr>
        <w:t>)</w:t>
      </w:r>
    </w:p>
    <w:p w14:paraId="515C0BE1" w14:textId="48B65B1E" w:rsidR="005C683C" w:rsidRPr="003F0116" w:rsidRDefault="00663476" w:rsidP="00663476">
      <w:pPr>
        <w:pStyle w:val="HeadingSum"/>
      </w:pPr>
      <w:r w:rsidRPr="003F0116">
        <w:t>Cometido</w:t>
      </w:r>
    </w:p>
    <w:p w14:paraId="5340A149" w14:textId="5D1F3B2B" w:rsidR="005C683C" w:rsidRPr="003F0116" w:rsidRDefault="00500457" w:rsidP="00663476">
      <w:pPr>
        <w:pStyle w:val="Summary"/>
      </w:pPr>
      <w:r w:rsidRPr="003F0116">
        <w:t>En esta Recomendación se facilitan orientaciones sobre las gamas de frecuencias para la explotación de la transmisión inalámbrica de potencia (TIP) a través de haces de radiofrecuencias (TIP a través de haces), incluida la carga inalámbrica de dispositivos móviles/portátiles y la alimentación y carga inalámbricas de redes de sensores, pero sin incluir la TIP para vehículos eléctricos.</w:t>
      </w:r>
    </w:p>
    <w:p w14:paraId="71785298" w14:textId="77777777" w:rsidR="005C683C" w:rsidRPr="003F0116" w:rsidRDefault="005C683C" w:rsidP="005C683C">
      <w:pPr>
        <w:pStyle w:val="Headingb"/>
        <w:rPr>
          <w:lang w:val="es-ES_tradnl"/>
        </w:rPr>
      </w:pPr>
      <w:r w:rsidRPr="003F0116">
        <w:rPr>
          <w:lang w:val="es-ES_tradnl"/>
        </w:rPr>
        <w:t>Palabras clave</w:t>
      </w:r>
    </w:p>
    <w:p w14:paraId="300592B2" w14:textId="5F059973" w:rsidR="005C683C" w:rsidRPr="003F0116" w:rsidRDefault="00500457" w:rsidP="005C683C">
      <w:pPr>
        <w:rPr>
          <w:lang w:val="es-ES_tradnl"/>
        </w:rPr>
      </w:pPr>
      <w:r w:rsidRPr="003F0116">
        <w:rPr>
          <w:lang w:val="es-ES_tradnl"/>
        </w:rPr>
        <w:t>Transmisión inalámbrica de potencia, haz de radiofrecuencia, TIP a través de haces, ICM, dispositivos de corto alcance</w:t>
      </w:r>
    </w:p>
    <w:p w14:paraId="60D98BB5" w14:textId="27702184" w:rsidR="005C683C" w:rsidRPr="003F0116" w:rsidRDefault="00500457" w:rsidP="005C683C">
      <w:pPr>
        <w:pStyle w:val="Headingb"/>
        <w:rPr>
          <w:lang w:val="es-ES_tradnl"/>
        </w:rPr>
      </w:pPr>
      <w:r w:rsidRPr="003F0116">
        <w:rPr>
          <w:lang w:val="es-ES_tradnl"/>
        </w:rPr>
        <w:t>Abreviaturas/Glosario</w:t>
      </w:r>
    </w:p>
    <w:p w14:paraId="48084391" w14:textId="78CD391F" w:rsidR="00D745D5" w:rsidRPr="003F0116" w:rsidRDefault="00D745D5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CEI</w:t>
      </w:r>
      <w:r w:rsidRPr="003F0116">
        <w:rPr>
          <w:lang w:val="es-ES_tradnl"/>
        </w:rPr>
        <w:tab/>
        <w:t>Comisión Electrotécnica Internacional</w:t>
      </w:r>
    </w:p>
    <w:p w14:paraId="42EE8E16" w14:textId="261F232D" w:rsidR="00500457" w:rsidRPr="003F0116" w:rsidRDefault="00500457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CISPR</w:t>
      </w:r>
      <w:r w:rsidRPr="003F0116">
        <w:rPr>
          <w:lang w:val="es-ES_tradnl"/>
        </w:rPr>
        <w:tab/>
      </w:r>
      <w:r w:rsidR="00D745D5" w:rsidRPr="003F0116">
        <w:rPr>
          <w:lang w:val="es-ES_tradnl"/>
        </w:rPr>
        <w:t xml:space="preserve">Comité </w:t>
      </w:r>
      <w:r w:rsidR="00A6043B" w:rsidRPr="003F0116">
        <w:rPr>
          <w:lang w:val="es-ES_tradnl"/>
        </w:rPr>
        <w:t xml:space="preserve">Internacional Especial </w:t>
      </w:r>
      <w:r w:rsidR="00D745D5" w:rsidRPr="003F0116">
        <w:rPr>
          <w:lang w:val="es-ES_tradnl"/>
        </w:rPr>
        <w:t xml:space="preserve">de </w:t>
      </w:r>
      <w:r w:rsidR="00A6043B" w:rsidRPr="003F0116">
        <w:rPr>
          <w:lang w:val="es-ES_tradnl"/>
        </w:rPr>
        <w:t xml:space="preserve">Interferencia Radioeléctrica </w:t>
      </w:r>
      <w:r w:rsidR="00D745D5" w:rsidRPr="003F0116">
        <w:rPr>
          <w:lang w:val="es-ES_tradnl"/>
        </w:rPr>
        <w:t>(</w:t>
      </w:r>
      <w:r w:rsidR="00D745D5" w:rsidRPr="003F0116">
        <w:rPr>
          <w:i/>
          <w:iCs/>
          <w:lang w:val="es-ES_tradnl"/>
        </w:rPr>
        <w:t xml:space="preserve">(en francés) </w:t>
      </w:r>
      <w:r w:rsidRPr="003F0116">
        <w:rPr>
          <w:i/>
          <w:iCs/>
          <w:lang w:val="es-ES_tradnl"/>
        </w:rPr>
        <w:t>Comité International Spécial des Perturbations Radioélectriques</w:t>
      </w:r>
      <w:r w:rsidRPr="003F0116">
        <w:rPr>
          <w:lang w:val="es-ES_tradnl"/>
        </w:rPr>
        <w:t>)</w:t>
      </w:r>
    </w:p>
    <w:p w14:paraId="24538008" w14:textId="0C89ABA2" w:rsidR="00D745D5" w:rsidRPr="003F0116" w:rsidRDefault="00D745D5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ICM</w:t>
      </w:r>
      <w:r w:rsidRPr="003F0116">
        <w:rPr>
          <w:lang w:val="es-ES_tradnl"/>
        </w:rPr>
        <w:tab/>
        <w:t>Industrial, científico y médico</w:t>
      </w:r>
    </w:p>
    <w:p w14:paraId="54CDB9BB" w14:textId="12DAE77E" w:rsidR="00500457" w:rsidRPr="003F0116" w:rsidRDefault="00500457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i/>
          <w:iCs/>
          <w:lang w:val="es-ES_tradnl"/>
        </w:rPr>
      </w:pPr>
      <w:r w:rsidRPr="003F0116">
        <w:rPr>
          <w:lang w:val="es-ES_tradnl"/>
        </w:rPr>
        <w:t>ICNIRP</w:t>
      </w:r>
      <w:r w:rsidRPr="003F0116">
        <w:rPr>
          <w:lang w:val="es-ES_tradnl"/>
        </w:rPr>
        <w:tab/>
        <w:t>Comisión Internacional de Protección contra la Radiación no Ionizante</w:t>
      </w:r>
      <w:r w:rsidR="00D745D5" w:rsidRPr="003F0116">
        <w:rPr>
          <w:lang w:val="es-ES_tradnl"/>
        </w:rPr>
        <w:t xml:space="preserve"> (</w:t>
      </w:r>
      <w:bookmarkStart w:id="3" w:name="lt_pId065"/>
      <w:r w:rsidR="00D745D5" w:rsidRPr="003F0116">
        <w:rPr>
          <w:i/>
          <w:iCs/>
          <w:lang w:val="es-ES_tradnl"/>
        </w:rPr>
        <w:t>International Commission on Non</w:t>
      </w:r>
      <w:r w:rsidR="00D745D5" w:rsidRPr="003F0116">
        <w:rPr>
          <w:i/>
          <w:iCs/>
          <w:lang w:val="es-ES_tradnl"/>
        </w:rPr>
        <w:noBreakHyphen/>
        <w:t>ionizing Radiation Protection</w:t>
      </w:r>
      <w:bookmarkEnd w:id="3"/>
      <w:r w:rsidR="00D745D5" w:rsidRPr="003F0116">
        <w:rPr>
          <w:lang w:val="es-ES_tradnl"/>
        </w:rPr>
        <w:t>)</w:t>
      </w:r>
    </w:p>
    <w:p w14:paraId="6BDA63BA" w14:textId="77777777" w:rsidR="00D745D5" w:rsidRPr="003F0116" w:rsidRDefault="00D745D5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OMS</w:t>
      </w:r>
      <w:r w:rsidRPr="003F0116">
        <w:rPr>
          <w:lang w:val="es-ES_tradnl"/>
        </w:rPr>
        <w:tab/>
        <w:t>Organización Mundial de la Salud</w:t>
      </w:r>
    </w:p>
    <w:p w14:paraId="29268929" w14:textId="77777777" w:rsidR="00500457" w:rsidRPr="003F0116" w:rsidRDefault="00500457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RR</w:t>
      </w:r>
      <w:r w:rsidRPr="003F0116">
        <w:rPr>
          <w:lang w:val="es-ES_tradnl"/>
        </w:rPr>
        <w:tab/>
        <w:t>Reglamento de Radiocomunicaciones</w:t>
      </w:r>
    </w:p>
    <w:p w14:paraId="38A05DB5" w14:textId="77777777" w:rsidR="00500457" w:rsidRPr="003F0116" w:rsidRDefault="00500457" w:rsidP="00A6043B">
      <w:pPr>
        <w:tabs>
          <w:tab w:val="clear" w:pos="794"/>
          <w:tab w:val="clear" w:pos="1191"/>
          <w:tab w:val="left" w:pos="1134"/>
          <w:tab w:val="left" w:pos="1560"/>
        </w:tabs>
        <w:ind w:left="1134" w:hanging="1134"/>
        <w:rPr>
          <w:lang w:val="es-ES_tradnl"/>
        </w:rPr>
      </w:pPr>
      <w:r w:rsidRPr="003F0116">
        <w:rPr>
          <w:lang w:val="es-ES_tradnl"/>
        </w:rPr>
        <w:t>TIP</w:t>
      </w:r>
      <w:r w:rsidRPr="003F0116">
        <w:rPr>
          <w:lang w:val="es-ES_tradnl"/>
        </w:rPr>
        <w:tab/>
        <w:t>Transmisión inalámbrica de potencia</w:t>
      </w:r>
    </w:p>
    <w:p w14:paraId="233E14D9" w14:textId="2A4A8535" w:rsidR="005C683C" w:rsidRPr="003F0116" w:rsidRDefault="00500457" w:rsidP="005C683C">
      <w:pPr>
        <w:pStyle w:val="Headingb"/>
        <w:rPr>
          <w:lang w:val="es-ES_tradnl"/>
        </w:rPr>
      </w:pPr>
      <w:r w:rsidRPr="003F0116">
        <w:rPr>
          <w:bCs/>
          <w:lang w:val="es-ES_tradnl"/>
        </w:rPr>
        <w:t>Recomendaciones e Informes de la UIT conexos</w:t>
      </w:r>
    </w:p>
    <w:p w14:paraId="5BA43BD4" w14:textId="19188B56" w:rsidR="00500457" w:rsidRPr="003F0116" w:rsidRDefault="00500457" w:rsidP="00500457">
      <w:pPr>
        <w:pStyle w:val="Reftext"/>
        <w:rPr>
          <w:rFonts w:eastAsia="Calibri"/>
          <w:lang w:val="es-ES_tradnl"/>
        </w:rPr>
      </w:pPr>
      <w:r w:rsidRPr="003F0116">
        <w:rPr>
          <w:lang w:val="es-ES_tradnl"/>
        </w:rPr>
        <w:t xml:space="preserve">Recomendación UIT-R </w:t>
      </w:r>
      <w:hyperlink r:id="rId15" w:history="1">
        <w:r w:rsidRPr="003F0116">
          <w:rPr>
            <w:rStyle w:val="Hyperlink"/>
            <w:color w:val="auto"/>
            <w:u w:val="none"/>
            <w:lang w:val="es-ES_tradnl"/>
          </w:rPr>
          <w:t>SM.1056</w:t>
        </w:r>
      </w:hyperlink>
    </w:p>
    <w:p w14:paraId="469812BA" w14:textId="1881CFFA" w:rsidR="00500457" w:rsidRPr="003F0116" w:rsidRDefault="00500457" w:rsidP="00500457">
      <w:pPr>
        <w:pStyle w:val="Reftext"/>
        <w:rPr>
          <w:rFonts w:eastAsia="Calibri"/>
          <w:lang w:val="es-ES_tradnl"/>
        </w:rPr>
      </w:pPr>
      <w:r w:rsidRPr="003F0116">
        <w:rPr>
          <w:lang w:val="es-ES_tradnl"/>
        </w:rPr>
        <w:t xml:space="preserve">Recomendación UIT-R </w:t>
      </w:r>
      <w:hyperlink r:id="rId16" w:history="1">
        <w:r w:rsidRPr="003F0116">
          <w:rPr>
            <w:rStyle w:val="Hyperlink"/>
            <w:color w:val="auto"/>
            <w:u w:val="none"/>
            <w:lang w:val="es-ES_tradnl"/>
          </w:rPr>
          <w:t>SM.1896</w:t>
        </w:r>
      </w:hyperlink>
    </w:p>
    <w:p w14:paraId="531333D3" w14:textId="01684F92" w:rsidR="00500457" w:rsidRPr="003F0116" w:rsidRDefault="00500457" w:rsidP="00500457">
      <w:pPr>
        <w:pStyle w:val="Reftext"/>
        <w:rPr>
          <w:rFonts w:eastAsia="Calibri"/>
          <w:lang w:val="es-ES_tradnl"/>
        </w:rPr>
      </w:pPr>
      <w:r w:rsidRPr="003F0116">
        <w:rPr>
          <w:lang w:val="es-ES_tradnl"/>
        </w:rPr>
        <w:t xml:space="preserve">Informe UIT-R </w:t>
      </w:r>
      <w:hyperlink r:id="rId17" w:history="1">
        <w:r w:rsidRPr="003F0116">
          <w:rPr>
            <w:rStyle w:val="Hyperlink"/>
            <w:color w:val="auto"/>
            <w:u w:val="none"/>
            <w:lang w:val="es-ES_tradnl"/>
          </w:rPr>
          <w:t>SM.2153</w:t>
        </w:r>
      </w:hyperlink>
    </w:p>
    <w:p w14:paraId="22B7FFB8" w14:textId="5BBF5072" w:rsidR="00500457" w:rsidRPr="003F0116" w:rsidRDefault="00500457" w:rsidP="00500457">
      <w:pPr>
        <w:pStyle w:val="Reftext"/>
        <w:rPr>
          <w:rFonts w:eastAsia="Calibri"/>
          <w:lang w:val="es-ES_tradnl"/>
        </w:rPr>
      </w:pPr>
      <w:r w:rsidRPr="003F0116">
        <w:rPr>
          <w:lang w:val="es-ES_tradnl"/>
        </w:rPr>
        <w:t xml:space="preserve">Informe UIT-R </w:t>
      </w:r>
      <w:hyperlink r:id="rId18" w:history="1">
        <w:r w:rsidRPr="003F0116">
          <w:rPr>
            <w:rStyle w:val="Hyperlink"/>
            <w:color w:val="auto"/>
            <w:u w:val="none"/>
            <w:lang w:val="es-ES_tradnl"/>
          </w:rPr>
          <w:t>SM.2392</w:t>
        </w:r>
      </w:hyperlink>
    </w:p>
    <w:p w14:paraId="07D9F610" w14:textId="182EA39D" w:rsidR="00500457" w:rsidRPr="003F0116" w:rsidRDefault="00500457" w:rsidP="00500457">
      <w:pPr>
        <w:pStyle w:val="Reftext"/>
        <w:rPr>
          <w:rFonts w:eastAsia="Calibri"/>
          <w:lang w:val="es-ES_tradnl"/>
        </w:rPr>
      </w:pPr>
      <w:r w:rsidRPr="003F0116">
        <w:rPr>
          <w:lang w:val="es-ES_tradnl"/>
        </w:rPr>
        <w:t xml:space="preserve">Informe UIT-R </w:t>
      </w:r>
      <w:hyperlink r:id="rId19" w:history="1">
        <w:r w:rsidRPr="003F0116">
          <w:rPr>
            <w:rStyle w:val="Hyperlink"/>
            <w:color w:val="auto"/>
            <w:u w:val="none"/>
            <w:lang w:val="es-ES_tradnl"/>
          </w:rPr>
          <w:t>SM.2505</w:t>
        </w:r>
      </w:hyperlink>
    </w:p>
    <w:p w14:paraId="573C9EBD" w14:textId="77777777" w:rsidR="005C683C" w:rsidRPr="003F0116" w:rsidRDefault="005C683C" w:rsidP="005C683C">
      <w:pPr>
        <w:pStyle w:val="Normalaftertitle"/>
        <w:keepNext/>
        <w:rPr>
          <w:lang w:val="es-ES_tradnl"/>
        </w:rPr>
      </w:pPr>
      <w:r w:rsidRPr="003F0116">
        <w:rPr>
          <w:lang w:val="es-ES_tradnl"/>
        </w:rPr>
        <w:t>La Asamblea de Radiocomunicaciones de la UIT,</w:t>
      </w:r>
    </w:p>
    <w:p w14:paraId="4BA2A54E" w14:textId="77777777" w:rsidR="005C683C" w:rsidRPr="003F0116" w:rsidRDefault="005C683C" w:rsidP="00A6043B">
      <w:pPr>
        <w:pStyle w:val="Call"/>
        <w:rPr>
          <w:lang w:val="es-ES_tradnl"/>
        </w:rPr>
      </w:pPr>
      <w:r w:rsidRPr="003F0116">
        <w:rPr>
          <w:lang w:val="es-ES_tradnl"/>
        </w:rPr>
        <w:t>considerando</w:t>
      </w:r>
    </w:p>
    <w:p w14:paraId="2C411341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a)</w:t>
      </w:r>
      <w:r w:rsidRPr="003F0116">
        <w:rPr>
          <w:lang w:val="es-ES_tradnl"/>
        </w:rPr>
        <w:tab/>
        <w:t>que por transmisión inalámbrica de potencia (TIP) se entiende la transmisión de potencia desde una fuente de alimentación a una carga eléctrica de manera inalámbrica mediante un campo electromagnético;</w:t>
      </w:r>
    </w:p>
    <w:p w14:paraId="578C64C0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b)</w:t>
      </w:r>
      <w:r w:rsidRPr="003F0116">
        <w:rPr>
          <w:lang w:val="es-ES_tradnl"/>
        </w:rPr>
        <w:tab/>
        <w:t>que las tecnologías de TIP utilizan diversos mecanismos tales como la transmisión a través de radiación de radiofrecuencia en el campo lejano (TIP a través de haces) y la inducción, la resonancia y el acoplamiento capacitivo en el campo cercano (TIP sin haces);</w:t>
      </w:r>
    </w:p>
    <w:p w14:paraId="4002062C" w14:textId="77777777" w:rsidR="00500457" w:rsidRPr="003F0116" w:rsidRDefault="00500457" w:rsidP="00500457">
      <w:pPr>
        <w:rPr>
          <w:szCs w:val="24"/>
          <w:lang w:val="es-ES_tradnl"/>
        </w:rPr>
      </w:pPr>
      <w:r w:rsidRPr="003F0116">
        <w:rPr>
          <w:i/>
          <w:iCs/>
          <w:lang w:val="es-ES_tradnl"/>
        </w:rPr>
        <w:lastRenderedPageBreak/>
        <w:t>c)</w:t>
      </w:r>
      <w:r w:rsidRPr="003F0116">
        <w:rPr>
          <w:lang w:val="es-ES_tradnl"/>
        </w:rPr>
        <w:tab/>
        <w:t>que las tecnologías de TIP a través de haces pueden ser de utilidad en diversas aplicaciones, entre ellas la carga inalámbrica de dispositivos móviles/portátiles y la alimentación y carga inalámbricas de redes de sensores;</w:t>
      </w:r>
    </w:p>
    <w:p w14:paraId="28B39975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d)</w:t>
      </w:r>
      <w:r w:rsidRPr="003F0116">
        <w:rPr>
          <w:lang w:val="es-ES_tradnl"/>
        </w:rPr>
        <w:tab/>
        <w:t>que existe una demanda potencial de tecnologías TIP a través de haces para tales aplicaciones y aplicaciones asociadas por parte de los clientes;</w:t>
      </w:r>
    </w:p>
    <w:p w14:paraId="0D12DE52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e)</w:t>
      </w:r>
      <w:r w:rsidRPr="003F0116">
        <w:rPr>
          <w:lang w:val="es-ES_tradnl"/>
        </w:rPr>
        <w:tab/>
        <w:t>que se están elaborando normas TIP a escala nacional, regional e internacional;</w:t>
      </w:r>
    </w:p>
    <w:p w14:paraId="27E7A7D6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f)</w:t>
      </w:r>
      <w:r w:rsidRPr="003F0116">
        <w:rPr>
          <w:lang w:val="es-ES_tradnl"/>
        </w:rPr>
        <w:tab/>
        <w:t>que algunas TIP a través de haces utilizan bandas de frecuencias designadas para aplicaciones industriales, científicas y médicas (ICM) y algunos sistemas utilizan gamas de frecuencias diferentes;</w:t>
      </w:r>
    </w:p>
    <w:p w14:paraId="7D1E917C" w14:textId="2276DA76" w:rsidR="00500457" w:rsidRPr="003F0116" w:rsidRDefault="00500457" w:rsidP="00500457">
      <w:pPr>
        <w:rPr>
          <w:rFonts w:eastAsia="Calibri"/>
          <w:lang w:val="es-ES_tradnl"/>
        </w:rPr>
      </w:pPr>
      <w:r w:rsidRPr="003F0116">
        <w:rPr>
          <w:i/>
          <w:iCs/>
          <w:lang w:val="es-ES_tradnl"/>
        </w:rPr>
        <w:t>g)</w:t>
      </w:r>
      <w:r w:rsidRPr="003F0116">
        <w:rPr>
          <w:lang w:val="es-ES_tradnl"/>
        </w:rPr>
        <w:tab/>
        <w:t>que diversas organizaciones internacionales estudian las cuestiones relativas a la exposición a radiación no ionizante, como la Organización Mundial de la Salud (OMS), la Comisión Internacional de Protección contra la Radiación no Ionizante (ICNIRP) y el TC106 de la Comisión Electrotécnica Internacional (CEI)</w:t>
      </w:r>
      <w:r w:rsidR="00D745D5" w:rsidRPr="003F0116">
        <w:rPr>
          <w:lang w:val="es-ES_tradnl"/>
        </w:rPr>
        <w:t>;</w:t>
      </w:r>
    </w:p>
    <w:p w14:paraId="18C02C99" w14:textId="77777777" w:rsidR="00500457" w:rsidRPr="003F0116" w:rsidRDefault="00500457" w:rsidP="00500457">
      <w:pPr>
        <w:rPr>
          <w:rFonts w:eastAsia="Calibri"/>
          <w:lang w:val="es-ES_tradnl"/>
        </w:rPr>
      </w:pPr>
      <w:r w:rsidRPr="003F0116">
        <w:rPr>
          <w:i/>
          <w:iCs/>
          <w:lang w:val="es-ES_tradnl"/>
        </w:rPr>
        <w:t>h)</w:t>
      </w:r>
      <w:r w:rsidRPr="003F0116">
        <w:rPr>
          <w:lang w:val="es-ES_tradnl"/>
        </w:rPr>
        <w:tab/>
        <w:t xml:space="preserve">que las administraciones que deseen introducir y poner en servicio aplicaciones TIP a través de haces deberían tener en cuenta los límites de exposición a campos electromagnéticos no ionizantes (véase el </w:t>
      </w:r>
      <w:r w:rsidRPr="003F0116">
        <w:rPr>
          <w:i/>
          <w:iCs/>
          <w:lang w:val="es-ES_tradnl"/>
        </w:rPr>
        <w:t>observando c)</w:t>
      </w:r>
      <w:r w:rsidRPr="003F0116">
        <w:rPr>
          <w:lang w:val="es-ES_tradnl"/>
        </w:rPr>
        <w:t>),</w:t>
      </w:r>
    </w:p>
    <w:p w14:paraId="1F7BA873" w14:textId="77777777" w:rsidR="00500457" w:rsidRPr="003F0116" w:rsidRDefault="00500457" w:rsidP="00500457">
      <w:pPr>
        <w:pStyle w:val="Call"/>
        <w:rPr>
          <w:lang w:val="es-ES_tradnl"/>
        </w:rPr>
      </w:pPr>
      <w:r w:rsidRPr="003F0116">
        <w:rPr>
          <w:iCs/>
          <w:lang w:val="es-ES_tradnl"/>
        </w:rPr>
        <w:t>reconociendo</w:t>
      </w:r>
    </w:p>
    <w:p w14:paraId="65FA0676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a)</w:t>
      </w:r>
      <w:r w:rsidRPr="003F0116">
        <w:rPr>
          <w:lang w:val="es-ES_tradnl"/>
        </w:rPr>
        <w:tab/>
        <w:t xml:space="preserve">que la TIP no tiene categoría en el RR y que, en virtud de los números </w:t>
      </w:r>
      <w:r w:rsidRPr="003F0116">
        <w:rPr>
          <w:b/>
          <w:bCs/>
          <w:lang w:val="es-ES_tradnl"/>
        </w:rPr>
        <w:t>15.12</w:t>
      </w:r>
      <w:r w:rsidRPr="003F0116">
        <w:rPr>
          <w:lang w:val="es-ES_tradnl"/>
        </w:rPr>
        <w:t xml:space="preserve"> y </w:t>
      </w:r>
      <w:r w:rsidRPr="003F0116">
        <w:rPr>
          <w:b/>
          <w:bCs/>
          <w:lang w:val="es-ES_tradnl"/>
        </w:rPr>
        <w:t>15.13</w:t>
      </w:r>
      <w:r w:rsidRPr="003F0116">
        <w:rPr>
          <w:lang w:val="es-ES_tradnl"/>
        </w:rPr>
        <w:t>, las administraciones deberán tomar todas las medidas posibles para garantizar que estos equipos no causen interferencia perjudicial a un servicio de radiocomunicaciones, en particular a un servicio de radionavegación o a cualquier otro servicio de seguridad;</w:t>
      </w:r>
    </w:p>
    <w:p w14:paraId="43D6D008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b)</w:t>
      </w:r>
      <w:r w:rsidRPr="003F0116">
        <w:rPr>
          <w:lang w:val="es-ES_tradnl"/>
        </w:rPr>
        <w:tab/>
        <w:t xml:space="preserve">que cuando se considere la TIP a través de haces como una aplicación ICM, deberían tenerse en cuenta los números </w:t>
      </w:r>
      <w:r w:rsidRPr="003F0116">
        <w:rPr>
          <w:b/>
          <w:bCs/>
          <w:lang w:val="es-ES_tradnl"/>
        </w:rPr>
        <w:t>5.138</w:t>
      </w:r>
      <w:r w:rsidRPr="003F0116">
        <w:rPr>
          <w:lang w:val="es-ES_tradnl"/>
        </w:rPr>
        <w:t xml:space="preserve">, </w:t>
      </w:r>
      <w:r w:rsidRPr="003F0116">
        <w:rPr>
          <w:b/>
          <w:bCs/>
          <w:lang w:val="es-ES_tradnl"/>
        </w:rPr>
        <w:t>5.150</w:t>
      </w:r>
      <w:r w:rsidRPr="003F0116">
        <w:rPr>
          <w:lang w:val="es-ES_tradnl"/>
        </w:rPr>
        <w:t xml:space="preserve"> y </w:t>
      </w:r>
      <w:r w:rsidRPr="003F0116">
        <w:rPr>
          <w:b/>
          <w:bCs/>
          <w:lang w:val="es-ES_tradnl"/>
        </w:rPr>
        <w:t>15.13</w:t>
      </w:r>
      <w:r w:rsidRPr="003F0116">
        <w:rPr>
          <w:lang w:val="es-ES_tradnl"/>
        </w:rPr>
        <w:t xml:space="preserve"> del RR;</w:t>
      </w:r>
    </w:p>
    <w:p w14:paraId="22F7A3B7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c)</w:t>
      </w:r>
      <w:r w:rsidRPr="003F0116">
        <w:rPr>
          <w:lang w:val="es-ES_tradnl"/>
        </w:rPr>
        <w:tab/>
        <w:t>que tanto consumidores como fabricantes pueden beneficiarse de gamas de frecuencias y condiciones técnicas armonizadas para las tecnologías TIP;</w:t>
      </w:r>
    </w:p>
    <w:p w14:paraId="11507109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d)</w:t>
      </w:r>
      <w:r w:rsidRPr="003F0116">
        <w:rPr>
          <w:lang w:val="es-ES_tradnl"/>
        </w:rPr>
        <w:tab/>
        <w:t>que las bandas de frecuencias designadas para aplicaciones ICM se han utilizado satisfactoriamente en el pasado para el desarrollo y proliferación de tecnologías innovadoras de conformidad con el RR;</w:t>
      </w:r>
    </w:p>
    <w:p w14:paraId="560D19AB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e)</w:t>
      </w:r>
      <w:r w:rsidRPr="003F0116">
        <w:rPr>
          <w:lang w:val="es-ES_tradnl"/>
        </w:rPr>
        <w:tab/>
        <w:t>que para la utilización armonizada a escala mundial o regional de aplicaciones de TIP específicas se están examinando bandas distintas de las utilizadas para las aplicaciones ICM;</w:t>
      </w:r>
    </w:p>
    <w:p w14:paraId="4F9EA630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f)</w:t>
      </w:r>
      <w:r w:rsidRPr="003F0116">
        <w:rPr>
          <w:lang w:val="es-ES_tradnl"/>
        </w:rPr>
        <w:tab/>
        <w:t>que la TIP puede ser tratada separadamente de las comunicaciones de datos, especialmente cuando el dispositivo receptor recibe comunicaciones de datos a una frecuencia diferente a la de transmisión de potencia;</w:t>
      </w:r>
    </w:p>
    <w:p w14:paraId="145A5CF3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g)</w:t>
      </w:r>
      <w:r w:rsidRPr="003F0116">
        <w:rPr>
          <w:lang w:val="es-ES_tradnl"/>
        </w:rPr>
        <w:tab/>
        <w:t>que algunas administraciones clasifican la TIP a través de haces como una aplicación ICM, incluso para la explotación fuera de las bandas designadas para aplicaciones ICM;</w:t>
      </w:r>
    </w:p>
    <w:p w14:paraId="69ACA420" w14:textId="57CC954A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h)</w:t>
      </w:r>
      <w:r w:rsidRPr="003F0116">
        <w:rPr>
          <w:lang w:val="es-ES_tradnl"/>
        </w:rPr>
        <w:tab/>
        <w:t xml:space="preserve">que algunas administraciones consideran que la TIP a través de haces es una aplicación radioeléctrica, por ejemplo dispositivos de corto alcance que funcionan en algunas de las bandas enumeradas en la Recomendación UIT-R </w:t>
      </w:r>
      <w:hyperlink r:id="rId20" w:history="1">
        <w:r w:rsidRPr="003F0116">
          <w:rPr>
            <w:rStyle w:val="Hyperlink"/>
            <w:color w:val="auto"/>
            <w:u w:val="none"/>
            <w:lang w:val="es-ES_tradnl"/>
          </w:rPr>
          <w:t>SM.1896</w:t>
        </w:r>
      </w:hyperlink>
      <w:r w:rsidRPr="003F0116">
        <w:rPr>
          <w:lang w:val="es-ES_tradnl"/>
        </w:rPr>
        <w:t xml:space="preserve"> y el Informe UIT-R </w:t>
      </w:r>
      <w:hyperlink r:id="rId21" w:history="1">
        <w:r w:rsidRPr="003F0116">
          <w:rPr>
            <w:rStyle w:val="Hyperlink"/>
            <w:color w:val="auto"/>
            <w:u w:val="none"/>
            <w:lang w:val="es-ES_tradnl"/>
          </w:rPr>
          <w:t>SM.2153</w:t>
        </w:r>
      </w:hyperlink>
      <w:r w:rsidRPr="003F0116">
        <w:rPr>
          <w:lang w:val="es-ES_tradnl"/>
        </w:rPr>
        <w:t>;</w:t>
      </w:r>
    </w:p>
    <w:p w14:paraId="1F215544" w14:textId="17FA7141" w:rsidR="00500457" w:rsidRPr="003F0116" w:rsidRDefault="00500457" w:rsidP="00500457">
      <w:pPr>
        <w:rPr>
          <w:i/>
          <w:iCs/>
          <w:lang w:val="es-ES_tradnl"/>
        </w:rPr>
      </w:pPr>
      <w:r w:rsidRPr="003F0116">
        <w:rPr>
          <w:i/>
          <w:iCs/>
          <w:lang w:val="es-ES_tradnl"/>
        </w:rPr>
        <w:t>i)</w:t>
      </w:r>
      <w:r w:rsidRPr="003F0116">
        <w:rPr>
          <w:lang w:val="es-ES_tradnl"/>
        </w:rPr>
        <w:tab/>
        <w:t>que, a fin de proteger adecuadamente los servicios de radiocomunicaciones contra toda interferencia perjudicial, algunas administraciones pueden clasificar ciertas aplicaciones de explotación de la TIP a través de haces como servicio de radiocomunicaciones;</w:t>
      </w:r>
    </w:p>
    <w:p w14:paraId="5CD0CBEC" w14:textId="77777777" w:rsidR="00500457" w:rsidRPr="003F0116" w:rsidRDefault="00500457" w:rsidP="00500457">
      <w:pPr>
        <w:rPr>
          <w:i/>
          <w:iCs/>
          <w:lang w:val="es-ES_tradnl"/>
        </w:rPr>
      </w:pPr>
      <w:r w:rsidRPr="003F0116">
        <w:rPr>
          <w:i/>
          <w:iCs/>
          <w:lang w:val="es-ES_tradnl"/>
        </w:rPr>
        <w:t>j)</w:t>
      </w:r>
      <w:r w:rsidRPr="003F0116">
        <w:rPr>
          <w:lang w:val="es-ES_tradnl"/>
        </w:rPr>
        <w:tab/>
        <w:t>que pueden atribuirse a la TIP una duración o límites de potencia,</w:t>
      </w:r>
    </w:p>
    <w:p w14:paraId="512BFBBE" w14:textId="77777777" w:rsidR="00500457" w:rsidRPr="003F0116" w:rsidRDefault="00500457" w:rsidP="00500457">
      <w:pPr>
        <w:pStyle w:val="Call"/>
        <w:rPr>
          <w:lang w:val="es-ES_tradnl"/>
        </w:rPr>
      </w:pPr>
      <w:r w:rsidRPr="003F0116">
        <w:rPr>
          <w:iCs/>
          <w:lang w:val="es-ES_tradnl"/>
        </w:rPr>
        <w:lastRenderedPageBreak/>
        <w:t>observando</w:t>
      </w:r>
    </w:p>
    <w:p w14:paraId="1F658E27" w14:textId="08119501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a)</w:t>
      </w:r>
      <w:r w:rsidRPr="003F0116">
        <w:rPr>
          <w:lang w:val="es-ES_tradnl"/>
        </w:rPr>
        <w:tab/>
        <w:t>que la Comisión Electrotécnica Internacional (</w:t>
      </w:r>
      <w:r w:rsidR="003013B0" w:rsidRPr="003F0116">
        <w:rPr>
          <w:lang w:val="es-ES_tradnl"/>
        </w:rPr>
        <w:t>CEI</w:t>
      </w:r>
      <w:r w:rsidRPr="003F0116">
        <w:rPr>
          <w:lang w:val="es-ES_tradnl"/>
        </w:rPr>
        <w:t xml:space="preserve">) ha publicado los Informes Técnicos CEI/TR 62869, </w:t>
      </w:r>
      <w:r w:rsidRPr="003F0116">
        <w:rPr>
          <w:i/>
          <w:iCs/>
          <w:lang w:val="es-ES_tradnl"/>
        </w:rPr>
        <w:t>Activities and considerations related to wireless power transfer (WPT) for audio, video and multimedia systems and equipment</w:t>
      </w:r>
      <w:r w:rsidRPr="003F0116">
        <w:rPr>
          <w:lang w:val="es-ES_tradnl"/>
        </w:rPr>
        <w:t xml:space="preserve"> (Actividades y consideraciones relativas a la transferencia inalámbrica de potencia (TIP) para sistemas y equipos de audio, vídeo y multimedios), y CEI/TR 63231, </w:t>
      </w:r>
      <w:r w:rsidRPr="003F0116">
        <w:rPr>
          <w:i/>
          <w:iCs/>
          <w:lang w:val="es-ES_tradnl"/>
        </w:rPr>
        <w:t>Consideration of energy efficiency in wireless power transfer technology</w:t>
      </w:r>
      <w:r w:rsidRPr="003F0116">
        <w:rPr>
          <w:lang w:val="es-ES_tradnl"/>
        </w:rPr>
        <w:t xml:space="preserve"> (Consideración de la eficiencia energética en la tecnología de transferencia inalámbrica de potencia) y CEI/TR 63239 </w:t>
      </w:r>
      <w:r w:rsidRPr="003F0116">
        <w:rPr>
          <w:i/>
          <w:iCs/>
          <w:lang w:val="es-ES_tradnl"/>
        </w:rPr>
        <w:t>Radio frequency beam wireless power transfer (WPT) for mobile devices</w:t>
      </w:r>
      <w:r w:rsidRPr="003F0116">
        <w:rPr>
          <w:lang w:val="es-ES_tradnl"/>
        </w:rPr>
        <w:t xml:space="preserve"> (Transferencia inalámbrica de potencia en el haz de radiofrecuencias (TIP) para dispositivos móviles) elaborados por TC 100;</w:t>
      </w:r>
    </w:p>
    <w:p w14:paraId="160B37C0" w14:textId="77777777" w:rsidR="00500457" w:rsidRPr="003F0116" w:rsidRDefault="00500457" w:rsidP="00500457">
      <w:pPr>
        <w:rPr>
          <w:lang w:val="es-ES_tradnl"/>
        </w:rPr>
      </w:pPr>
      <w:r w:rsidRPr="003F0116">
        <w:rPr>
          <w:i/>
          <w:iCs/>
          <w:lang w:val="es-ES_tradnl"/>
        </w:rPr>
        <w:t>b)</w:t>
      </w:r>
      <w:r w:rsidRPr="003F0116">
        <w:rPr>
          <w:lang w:val="es-ES_tradnl"/>
        </w:rPr>
        <w:tab/>
        <w:t xml:space="preserve">que la presente Recomendación ayudará a las administraciones a aplicar los números </w:t>
      </w:r>
      <w:r w:rsidRPr="003F0116">
        <w:rPr>
          <w:b/>
          <w:bCs/>
          <w:lang w:val="es-ES_tradnl"/>
        </w:rPr>
        <w:t>15.12</w:t>
      </w:r>
      <w:r w:rsidRPr="003F0116">
        <w:rPr>
          <w:lang w:val="es-ES_tradnl"/>
        </w:rPr>
        <w:t xml:space="preserve"> y </w:t>
      </w:r>
      <w:r w:rsidRPr="003F0116">
        <w:rPr>
          <w:b/>
          <w:bCs/>
          <w:lang w:val="es-ES_tradnl"/>
        </w:rPr>
        <w:t>15.13</w:t>
      </w:r>
      <w:r w:rsidRPr="003F0116">
        <w:rPr>
          <w:lang w:val="es-ES_tradnl"/>
        </w:rPr>
        <w:t xml:space="preserve"> para que no se produzca interferencia perjudicial al servicio de radiocomunicaciones por la explotación de equipos TIP utilizados en aplicaciones no ICM y aplicaciones ICM, respectivamente;</w:t>
      </w:r>
    </w:p>
    <w:p w14:paraId="47668276" w14:textId="29C13BA1" w:rsidR="00500457" w:rsidRPr="003F0116" w:rsidRDefault="00500457" w:rsidP="00500457">
      <w:pPr>
        <w:rPr>
          <w:rFonts w:eastAsia="Calibri"/>
          <w:lang w:val="es-ES_tradnl"/>
        </w:rPr>
      </w:pPr>
      <w:r w:rsidRPr="003F0116">
        <w:rPr>
          <w:i/>
          <w:iCs/>
          <w:lang w:val="es-ES_tradnl"/>
        </w:rPr>
        <w:t>c)</w:t>
      </w:r>
      <w:r w:rsidRPr="003F0116">
        <w:rPr>
          <w:lang w:val="es-ES_tradnl"/>
        </w:rPr>
        <w:tab/>
        <w:t xml:space="preserve">que la Recomendación UIT-R </w:t>
      </w:r>
      <w:hyperlink r:id="rId22" w:history="1">
        <w:r w:rsidRPr="003F0116">
          <w:rPr>
            <w:rStyle w:val="Hyperlink"/>
            <w:color w:val="auto"/>
            <w:u w:val="none"/>
            <w:lang w:val="es-ES_tradnl"/>
          </w:rPr>
          <w:t>SM.1056</w:t>
        </w:r>
      </w:hyperlink>
      <w:r w:rsidRPr="003F0116">
        <w:rPr>
          <w:lang w:val="es-ES_tradnl"/>
        </w:rPr>
        <w:t>, relativa a la limitación de la radiación procedente de equipos ICM, recomienda que las administraciones consideren la utilización de la última edición de la publicación 11 del CISPR;</w:t>
      </w:r>
    </w:p>
    <w:p w14:paraId="42A7CE2C" w14:textId="30DFCDB8" w:rsidR="00500457" w:rsidRPr="003F0116" w:rsidRDefault="00500457" w:rsidP="00500457">
      <w:pPr>
        <w:rPr>
          <w:rFonts w:eastAsia="Calibri"/>
          <w:lang w:val="es-ES_tradnl"/>
        </w:rPr>
      </w:pPr>
      <w:r w:rsidRPr="003F0116">
        <w:rPr>
          <w:i/>
          <w:iCs/>
          <w:lang w:val="es-ES_tradnl"/>
        </w:rPr>
        <w:t>d)</w:t>
      </w:r>
      <w:r w:rsidRPr="003F0116">
        <w:rPr>
          <w:lang w:val="es-ES_tradnl"/>
        </w:rPr>
        <w:tab/>
        <w:t xml:space="preserve">que el Informe UIT-R </w:t>
      </w:r>
      <w:hyperlink r:id="rId23" w:history="1">
        <w:r w:rsidRPr="003F0116">
          <w:rPr>
            <w:rStyle w:val="Hyperlink"/>
            <w:color w:val="auto"/>
            <w:u w:val="none"/>
            <w:lang w:val="es-ES_tradnl"/>
          </w:rPr>
          <w:t>SM.2392</w:t>
        </w:r>
      </w:hyperlink>
      <w:r w:rsidRPr="003F0116">
        <w:rPr>
          <w:lang w:val="es-ES_tradnl"/>
        </w:rPr>
        <w:t xml:space="preserve"> trata las aplicaciones de transmisión inalámbrica de potencia a través de haces de radiofrecuencias;</w:t>
      </w:r>
    </w:p>
    <w:p w14:paraId="3A9D37A4" w14:textId="3F655BC7" w:rsidR="00500457" w:rsidRPr="003F0116" w:rsidRDefault="00500457" w:rsidP="00500457">
      <w:pPr>
        <w:rPr>
          <w:rFonts w:eastAsia="Calibri"/>
          <w:lang w:val="es-ES_tradnl"/>
        </w:rPr>
      </w:pPr>
      <w:r w:rsidRPr="003F0116">
        <w:rPr>
          <w:i/>
          <w:iCs/>
          <w:lang w:val="es-ES_tradnl"/>
        </w:rPr>
        <w:t>e)</w:t>
      </w:r>
      <w:r w:rsidRPr="003F0116">
        <w:rPr>
          <w:lang w:val="es-ES_tradnl"/>
        </w:rPr>
        <w:tab/>
        <w:t xml:space="preserve">que el Informe UIT-R </w:t>
      </w:r>
      <w:hyperlink r:id="rId24" w:history="1">
        <w:r w:rsidRPr="003F0116">
          <w:rPr>
            <w:rStyle w:val="Hyperlink"/>
            <w:color w:val="auto"/>
            <w:u w:val="none"/>
            <w:lang w:val="es-ES_tradnl"/>
          </w:rPr>
          <w:t>SM.2505</w:t>
        </w:r>
      </w:hyperlink>
      <w:r w:rsidRPr="003F0116">
        <w:rPr>
          <w:lang w:val="es-ES_tradnl"/>
        </w:rPr>
        <w:t xml:space="preserve"> contiene información sobre la incidencia de la explotación de algunos haces de TIP,</w:t>
      </w:r>
    </w:p>
    <w:p w14:paraId="3C6C5742" w14:textId="77777777" w:rsidR="00500457" w:rsidRPr="003F0116" w:rsidRDefault="00500457" w:rsidP="00500457">
      <w:pPr>
        <w:pStyle w:val="Call"/>
        <w:rPr>
          <w:lang w:val="es-ES_tradnl"/>
        </w:rPr>
      </w:pPr>
      <w:r w:rsidRPr="003F0116">
        <w:rPr>
          <w:iCs/>
          <w:lang w:val="es-ES_tradnl"/>
        </w:rPr>
        <w:t>recomienda</w:t>
      </w:r>
    </w:p>
    <w:p w14:paraId="235C6029" w14:textId="7B057EA0" w:rsidR="00500457" w:rsidRPr="003F0116" w:rsidRDefault="00500457" w:rsidP="00500457">
      <w:pPr>
        <w:rPr>
          <w:lang w:val="es-ES_tradnl"/>
        </w:rPr>
      </w:pPr>
      <w:r w:rsidRPr="003F0116">
        <w:rPr>
          <w:b/>
          <w:bCs/>
          <w:lang w:val="es-ES_tradnl"/>
        </w:rPr>
        <w:t>1</w:t>
      </w:r>
      <w:r w:rsidRPr="003F0116">
        <w:rPr>
          <w:lang w:val="es-ES_tradnl"/>
        </w:rPr>
        <w:tab/>
        <w:t>que las administraciones consideren como orientación la utilización de la gama de frecuencias indicada en el siguiente Cuadro 1, o porciones de la misma, con miras a la explotación de la TIP a través de haces para dispositivos móviles y portátiles y la carga de redes de sensores;</w:t>
      </w:r>
    </w:p>
    <w:p w14:paraId="29E1CEED" w14:textId="77777777" w:rsidR="00500457" w:rsidRPr="003F0116" w:rsidRDefault="00500457" w:rsidP="00500457">
      <w:pPr>
        <w:rPr>
          <w:lang w:val="es-ES_tradnl"/>
        </w:rPr>
      </w:pPr>
      <w:r w:rsidRPr="003F0116">
        <w:rPr>
          <w:b/>
          <w:bCs/>
          <w:lang w:val="es-ES_tradnl"/>
        </w:rPr>
        <w:t>2</w:t>
      </w:r>
      <w:r w:rsidRPr="003F0116">
        <w:rPr>
          <w:lang w:val="es-ES_tradnl"/>
        </w:rPr>
        <w:tab/>
        <w:t>que deben tomarse las medidas necesarias para garantizar que la TIP a través de haces no cause interferencia perjudicial a los servicios de radiocomunicaciones, de manera que los servicios de radiocomunicaciones se mantengan protegidos de la energía de radiofrecuencias liberada por operaciones TIP en todas las bandas.</w:t>
      </w:r>
    </w:p>
    <w:p w14:paraId="56CC1F41" w14:textId="77777777" w:rsidR="00500457" w:rsidRPr="003F0116" w:rsidRDefault="00500457" w:rsidP="00500457">
      <w:pPr>
        <w:pStyle w:val="TableNo"/>
        <w:rPr>
          <w:lang w:val="es-ES_tradnl"/>
        </w:rPr>
      </w:pPr>
      <w:r w:rsidRPr="003F0116">
        <w:rPr>
          <w:lang w:val="es-ES_tradnl"/>
        </w:rPr>
        <w:t>CUADRO 1</w:t>
      </w:r>
    </w:p>
    <w:p w14:paraId="6FD7F38D" w14:textId="392D6890" w:rsidR="00500457" w:rsidRPr="003F0116" w:rsidRDefault="00500457" w:rsidP="00500457">
      <w:pPr>
        <w:pStyle w:val="Tabletitle"/>
        <w:rPr>
          <w:lang w:val="es-ES_tradnl"/>
        </w:rPr>
      </w:pPr>
      <w:r w:rsidRPr="003F0116">
        <w:rPr>
          <w:bCs/>
          <w:lang w:val="es-ES_tradnl"/>
        </w:rPr>
        <w:t>Gamas de frecuencias para la explotación de la TIP a través de haces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770"/>
        <w:gridCol w:w="4869"/>
      </w:tblGrid>
      <w:tr w:rsidR="00500457" w:rsidRPr="003F0116" w14:paraId="768AF3A9" w14:textId="77777777" w:rsidTr="00A6043B">
        <w:trPr>
          <w:jc w:val="center"/>
        </w:trPr>
        <w:tc>
          <w:tcPr>
            <w:tcW w:w="4765" w:type="dxa"/>
            <w:vAlign w:val="center"/>
            <w:hideMark/>
          </w:tcPr>
          <w:p w14:paraId="4AA75A7D" w14:textId="77777777" w:rsidR="00500457" w:rsidRPr="003F0116" w:rsidRDefault="00500457" w:rsidP="00314265">
            <w:pPr>
              <w:pStyle w:val="Tablehead"/>
              <w:rPr>
                <w:lang w:val="es-ES_tradnl"/>
              </w:rPr>
            </w:pPr>
            <w:r w:rsidRPr="003F0116">
              <w:rPr>
                <w:bCs/>
                <w:lang w:val="es-ES_tradnl"/>
              </w:rPr>
              <w:t>Gama de frecuencias</w:t>
            </w:r>
          </w:p>
        </w:tc>
        <w:tc>
          <w:tcPr>
            <w:tcW w:w="4864" w:type="dxa"/>
            <w:vAlign w:val="center"/>
            <w:hideMark/>
          </w:tcPr>
          <w:p w14:paraId="11474767" w14:textId="3123CFBA" w:rsidR="00500457" w:rsidRPr="003F0116" w:rsidRDefault="00500457" w:rsidP="00314265">
            <w:pPr>
              <w:pStyle w:val="Tablehead"/>
              <w:rPr>
                <w:lang w:val="es-ES_tradnl"/>
              </w:rPr>
            </w:pPr>
            <w:r w:rsidRPr="003F0116">
              <w:rPr>
                <w:bCs/>
                <w:lang w:val="es-ES_tradnl"/>
              </w:rPr>
              <w:t xml:space="preserve">Tecnología y aplicaciones adecuadas de TIP </w:t>
            </w:r>
            <w:r w:rsidR="009E35FF" w:rsidRPr="003F0116">
              <w:rPr>
                <w:bCs/>
                <w:lang w:val="es-ES_tradnl"/>
              </w:rPr>
              <w:br/>
            </w:r>
            <w:r w:rsidRPr="003F0116">
              <w:rPr>
                <w:bCs/>
                <w:lang w:val="es-ES_tradnl"/>
              </w:rPr>
              <w:t>a través de haces</w:t>
            </w:r>
          </w:p>
        </w:tc>
      </w:tr>
      <w:tr w:rsidR="00500457" w:rsidRPr="003F0116" w14:paraId="613EDAF5" w14:textId="77777777" w:rsidTr="00A6043B">
        <w:trPr>
          <w:jc w:val="center"/>
        </w:trPr>
        <w:tc>
          <w:tcPr>
            <w:tcW w:w="4765" w:type="dxa"/>
            <w:vAlign w:val="center"/>
          </w:tcPr>
          <w:p w14:paraId="4BB291E8" w14:textId="77777777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>915-921 MHz</w:t>
            </w:r>
          </w:p>
        </w:tc>
        <w:tc>
          <w:tcPr>
            <w:tcW w:w="4864" w:type="dxa"/>
            <w:vMerge w:val="restart"/>
            <w:vAlign w:val="center"/>
          </w:tcPr>
          <w:p w14:paraId="1C944055" w14:textId="77777777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>Carga inalámbrica de dispositivos móviles/portátiles</w:t>
            </w:r>
          </w:p>
          <w:p w14:paraId="7E74C88E" w14:textId="344072AD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 xml:space="preserve">Alimentación y carga inalámbricas </w:t>
            </w:r>
            <w:r w:rsidR="009E35FF" w:rsidRPr="003F0116">
              <w:rPr>
                <w:lang w:val="es-ES_tradnl"/>
              </w:rPr>
              <w:br/>
            </w:r>
            <w:r w:rsidRPr="003F0116">
              <w:rPr>
                <w:lang w:val="es-ES_tradnl"/>
              </w:rPr>
              <w:t>de redes de sensores</w:t>
            </w:r>
          </w:p>
        </w:tc>
      </w:tr>
      <w:tr w:rsidR="00500457" w:rsidRPr="003F0116" w14:paraId="5CA30C11" w14:textId="77777777" w:rsidTr="00A6043B">
        <w:trPr>
          <w:jc w:val="center"/>
        </w:trPr>
        <w:tc>
          <w:tcPr>
            <w:tcW w:w="4765" w:type="dxa"/>
            <w:vAlign w:val="center"/>
          </w:tcPr>
          <w:p w14:paraId="4362CE15" w14:textId="77777777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>2 410-2 483,5/2 486 MHz</w:t>
            </w:r>
          </w:p>
        </w:tc>
        <w:tc>
          <w:tcPr>
            <w:tcW w:w="4864" w:type="dxa"/>
            <w:vMerge/>
            <w:vAlign w:val="center"/>
          </w:tcPr>
          <w:p w14:paraId="4088D6BE" w14:textId="77777777" w:rsidR="00500457" w:rsidRPr="003F0116" w:rsidRDefault="00500457" w:rsidP="00314265">
            <w:pPr>
              <w:pStyle w:val="Tabletext"/>
              <w:rPr>
                <w:lang w:val="es-ES_tradnl"/>
              </w:rPr>
            </w:pPr>
          </w:p>
        </w:tc>
      </w:tr>
      <w:tr w:rsidR="00500457" w:rsidRPr="003F0116" w14:paraId="799C2B03" w14:textId="77777777" w:rsidTr="00A6043B">
        <w:trPr>
          <w:trHeight w:val="138"/>
          <w:jc w:val="center"/>
        </w:trPr>
        <w:tc>
          <w:tcPr>
            <w:tcW w:w="4765" w:type="dxa"/>
            <w:vAlign w:val="center"/>
          </w:tcPr>
          <w:p w14:paraId="7612C83B" w14:textId="77777777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>5 725-5 875 MHz</w:t>
            </w:r>
          </w:p>
        </w:tc>
        <w:tc>
          <w:tcPr>
            <w:tcW w:w="4864" w:type="dxa"/>
            <w:vMerge/>
          </w:tcPr>
          <w:p w14:paraId="49987A64" w14:textId="77777777" w:rsidR="00500457" w:rsidRPr="003F0116" w:rsidRDefault="00500457" w:rsidP="00314265">
            <w:pPr>
              <w:pStyle w:val="Tabletext"/>
              <w:rPr>
                <w:lang w:val="es-ES_tradnl"/>
              </w:rPr>
            </w:pPr>
          </w:p>
        </w:tc>
      </w:tr>
      <w:tr w:rsidR="00500457" w:rsidRPr="003F0116" w14:paraId="52608438" w14:textId="77777777" w:rsidTr="00A6043B">
        <w:trPr>
          <w:jc w:val="center"/>
        </w:trPr>
        <w:tc>
          <w:tcPr>
            <w:tcW w:w="4765" w:type="dxa"/>
            <w:tcBorders>
              <w:bottom w:val="single" w:sz="4" w:space="0" w:color="auto"/>
            </w:tcBorders>
            <w:vAlign w:val="center"/>
          </w:tcPr>
          <w:p w14:paraId="772B0660" w14:textId="77777777" w:rsidR="00500457" w:rsidRPr="003F0116" w:rsidRDefault="00500457" w:rsidP="00314265">
            <w:pPr>
              <w:pStyle w:val="Tabletext"/>
              <w:jc w:val="center"/>
              <w:rPr>
                <w:lang w:val="es-ES_tradnl"/>
              </w:rPr>
            </w:pPr>
            <w:r w:rsidRPr="003F0116">
              <w:rPr>
                <w:lang w:val="es-ES_tradnl"/>
              </w:rPr>
              <w:t>61-61,5 GHz</w:t>
            </w:r>
          </w:p>
        </w:tc>
        <w:tc>
          <w:tcPr>
            <w:tcW w:w="4864" w:type="dxa"/>
            <w:vMerge/>
            <w:tcBorders>
              <w:bottom w:val="single" w:sz="4" w:space="0" w:color="auto"/>
            </w:tcBorders>
          </w:tcPr>
          <w:p w14:paraId="48A08D7B" w14:textId="77777777" w:rsidR="00500457" w:rsidRPr="003F0116" w:rsidRDefault="00500457" w:rsidP="00314265">
            <w:pPr>
              <w:pStyle w:val="Tabletext"/>
              <w:rPr>
                <w:lang w:val="es-ES_tradnl"/>
              </w:rPr>
            </w:pPr>
          </w:p>
        </w:tc>
      </w:tr>
      <w:tr w:rsidR="00500457" w:rsidRPr="003F0116" w14:paraId="576DBA84" w14:textId="77777777" w:rsidTr="00A6043B">
        <w:trPr>
          <w:jc w:val="center"/>
        </w:trPr>
        <w:tc>
          <w:tcPr>
            <w:tcW w:w="96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BBD3EB2" w14:textId="77777777" w:rsidR="00500457" w:rsidRPr="003F0116" w:rsidRDefault="00500457" w:rsidP="00314265">
            <w:pPr>
              <w:pStyle w:val="Tabletext"/>
              <w:rPr>
                <w:lang w:val="es-ES_tradnl"/>
              </w:rPr>
            </w:pPr>
            <w:r w:rsidRPr="003F0116">
              <w:rPr>
                <w:lang w:val="es-ES_tradnl"/>
              </w:rPr>
              <w:t>NOTA 1 – Las gamas de frecuencias indicadas en este Cuadro indican aquellas que pueden ser utilizadas por la TIP a través de haces, teniendo en cuenta que es posible que algunas gamas de frecuencias no estén designadas para aplicaciones ICM y que no estén disponibles para aplicaciones TIP a través de haces en algunos países, como resultado de las distintas atribuciones nacionales y condiciones reglamentarias.</w:t>
            </w:r>
          </w:p>
          <w:p w14:paraId="061B1127" w14:textId="77777777" w:rsidR="00500457" w:rsidRPr="003F0116" w:rsidRDefault="00500457" w:rsidP="00314265">
            <w:pPr>
              <w:pStyle w:val="Tabletext"/>
              <w:rPr>
                <w:lang w:val="es-ES_tradnl"/>
              </w:rPr>
            </w:pPr>
            <w:r w:rsidRPr="003F0116">
              <w:rPr>
                <w:lang w:val="es-ES_tradnl"/>
              </w:rPr>
              <w:t>NOTA 2 – En algunas administraciones de las Regiones 1 y 3 se está realizando un estudio de compatibilidad de la TIP a través de haces y las gamas de frecuencias disponibles para esta TIP siguen siendo objeto de estudio.</w:t>
            </w:r>
          </w:p>
        </w:tc>
      </w:tr>
    </w:tbl>
    <w:p w14:paraId="188970A5" w14:textId="1482F841" w:rsidR="009E35FF" w:rsidRPr="003F0116" w:rsidRDefault="009E35FF" w:rsidP="009E35FF">
      <w:pPr>
        <w:pStyle w:val="Tablefin"/>
        <w:rPr>
          <w:sz w:val="16"/>
          <w:szCs w:val="16"/>
          <w:lang w:val="es-ES_tradnl"/>
        </w:rPr>
      </w:pPr>
    </w:p>
    <w:p w14:paraId="7F7A9347" w14:textId="77777777" w:rsidR="009E35FF" w:rsidRPr="003F0116" w:rsidRDefault="009E35FF" w:rsidP="009E35FF">
      <w:pPr>
        <w:pStyle w:val="Line"/>
        <w:spacing w:before="0"/>
        <w:rPr>
          <w:lang w:val="es-ES_tradnl"/>
        </w:rPr>
      </w:pPr>
    </w:p>
    <w:sectPr w:rsidR="009E35FF" w:rsidRPr="003F0116" w:rsidSect="007F3B59">
      <w:headerReference w:type="even" r:id="rId25"/>
      <w:headerReference w:type="default" r:id="rId26"/>
      <w:footerReference w:type="even" r:id="rId27"/>
      <w:footerReference w:type="defaul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78AFC" w14:textId="77777777" w:rsidR="001B308E" w:rsidRDefault="001B308E">
      <w:r>
        <w:separator/>
      </w:r>
    </w:p>
  </w:endnote>
  <w:endnote w:type="continuationSeparator" w:id="0">
    <w:p w14:paraId="31A35664" w14:textId="77777777" w:rsidR="001B308E" w:rsidRDefault="001B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78A53" w14:textId="77777777" w:rsidR="000406A5" w:rsidRDefault="000406A5" w:rsidP="007C0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4EF8" w14:textId="77777777" w:rsidR="000406A5" w:rsidRDefault="00040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5F08F" w14:textId="77777777" w:rsidR="001B308E" w:rsidRDefault="001B308E">
      <w:r>
        <w:separator/>
      </w:r>
    </w:p>
  </w:footnote>
  <w:footnote w:type="continuationSeparator" w:id="0">
    <w:p w14:paraId="504EB57D" w14:textId="77777777" w:rsidR="001B308E" w:rsidRDefault="001B3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40D2" w14:textId="77777777" w:rsidR="000406A5" w:rsidRDefault="000406A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0556B" w14:textId="77777777" w:rsidR="000406A5" w:rsidRDefault="000406A5" w:rsidP="00D62884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C0D0540" wp14:editId="3A8F1B5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D1E4" w14:textId="22A70F98" w:rsidR="000406A5" w:rsidRDefault="000406A5" w:rsidP="007F3B59">
    <w:pPr>
      <w:pStyle w:val="Header"/>
      <w:jc w:val="both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1C4EC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C4EC7">
      <w:rPr>
        <w:b/>
        <w:bCs/>
        <w:noProof/>
      </w:rPr>
      <w:t>UIT-R  SM.2151-0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D59D" w14:textId="47F86D56" w:rsidR="000406A5" w:rsidRDefault="000406A5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  <w:lang w:val="fr-CH"/>
      </w:rPr>
      <w:fldChar w:fldCharType="begin"/>
    </w:r>
    <w:r>
      <w:rPr>
        <w:b/>
        <w:bCs/>
        <w:lang w:val="fr-CH"/>
      </w:rPr>
      <w:instrText xml:space="preserve"> DOCPROPERTY "Header" \* MERGEFORMAT </w:instrText>
    </w:r>
    <w:r>
      <w:rPr>
        <w:b/>
        <w:bCs/>
        <w:lang w:val="fr-CH"/>
      </w:rPr>
      <w:fldChar w:fldCharType="separate"/>
    </w:r>
    <w:r w:rsidR="001C4EC7">
      <w:rPr>
        <w:b/>
        <w:bCs/>
        <w:lang w:val="fr-CH"/>
      </w:rPr>
      <w:t xml:space="preserve">Rec. </w:t>
    </w:r>
    <w:r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C4EC7">
      <w:rPr>
        <w:b/>
        <w:bCs/>
        <w:noProof/>
      </w:rPr>
      <w:t>UIT-R  SM.2151-0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02B1" w14:textId="6DD47703" w:rsidR="000406A5" w:rsidRDefault="000406A5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1C4EC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C4EC7">
      <w:rPr>
        <w:b/>
        <w:bCs/>
        <w:noProof/>
      </w:rPr>
      <w:t>UIT-R  SM.2151-0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2301" w14:textId="7B8387DF" w:rsidR="000406A5" w:rsidRDefault="000406A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rPr>
        <w:b/>
        <w:bCs/>
        <w:lang w:val="en-US"/>
      </w:rPr>
      <w:fldChar w:fldCharType="begin"/>
    </w:r>
    <w:r>
      <w:rPr>
        <w:b/>
        <w:bCs/>
        <w:lang w:val="en-US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1C4EC7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C4EC7">
      <w:rPr>
        <w:b/>
        <w:bCs/>
        <w:noProof/>
        <w:lang w:val="en-US"/>
      </w:rPr>
      <w:t>UIT-R  SM.2151-0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24525" w14:textId="2A45CA70" w:rsidR="000406A5" w:rsidRDefault="000406A5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1C4EC7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C4EC7">
      <w:rPr>
        <w:b/>
        <w:bCs/>
        <w:noProof/>
      </w:rPr>
      <w:t>UIT-R  SM.2151-0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C8AF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10B3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24E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9A53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BE55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4ED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52AF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AAB4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E0E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8C31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0F2AA5"/>
    <w:multiLevelType w:val="hybridMultilevel"/>
    <w:tmpl w:val="C854E132"/>
    <w:lvl w:ilvl="0" w:tplc="22E2B9D8">
      <w:start w:val="1"/>
      <w:numFmt w:val="decimal"/>
      <w:lvlText w:val="%1"/>
      <w:lvlJc w:val="left"/>
      <w:pPr>
        <w:ind w:left="1491" w:hanging="113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773489">
    <w:abstractNumId w:val="10"/>
  </w:num>
  <w:num w:numId="2" w16cid:durableId="300380273">
    <w:abstractNumId w:val="9"/>
  </w:num>
  <w:num w:numId="3" w16cid:durableId="1516455973">
    <w:abstractNumId w:val="7"/>
  </w:num>
  <w:num w:numId="4" w16cid:durableId="1991665768">
    <w:abstractNumId w:val="6"/>
  </w:num>
  <w:num w:numId="5" w16cid:durableId="1247349420">
    <w:abstractNumId w:val="5"/>
  </w:num>
  <w:num w:numId="6" w16cid:durableId="1788964000">
    <w:abstractNumId w:val="4"/>
  </w:num>
  <w:num w:numId="7" w16cid:durableId="26151332">
    <w:abstractNumId w:val="8"/>
  </w:num>
  <w:num w:numId="8" w16cid:durableId="721560024">
    <w:abstractNumId w:val="3"/>
  </w:num>
  <w:num w:numId="9" w16cid:durableId="615059666">
    <w:abstractNumId w:val="2"/>
  </w:num>
  <w:num w:numId="10" w16cid:durableId="1450394900">
    <w:abstractNumId w:val="1"/>
  </w:num>
  <w:num w:numId="11" w16cid:durableId="32790411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7A"/>
    <w:rsid w:val="00017762"/>
    <w:rsid w:val="00025336"/>
    <w:rsid w:val="000406A5"/>
    <w:rsid w:val="00044446"/>
    <w:rsid w:val="00071739"/>
    <w:rsid w:val="000718CA"/>
    <w:rsid w:val="00092507"/>
    <w:rsid w:val="000A6D7D"/>
    <w:rsid w:val="000A75F4"/>
    <w:rsid w:val="000B716D"/>
    <w:rsid w:val="000B758D"/>
    <w:rsid w:val="000D5870"/>
    <w:rsid w:val="00135796"/>
    <w:rsid w:val="00153CAB"/>
    <w:rsid w:val="0015495D"/>
    <w:rsid w:val="0015612F"/>
    <w:rsid w:val="0017386A"/>
    <w:rsid w:val="001B308E"/>
    <w:rsid w:val="001B6563"/>
    <w:rsid w:val="001C41C0"/>
    <w:rsid w:val="001C4EC7"/>
    <w:rsid w:val="001C648E"/>
    <w:rsid w:val="001C709B"/>
    <w:rsid w:val="00225B3F"/>
    <w:rsid w:val="00236E9D"/>
    <w:rsid w:val="002464D5"/>
    <w:rsid w:val="00266EDC"/>
    <w:rsid w:val="00281B48"/>
    <w:rsid w:val="00297006"/>
    <w:rsid w:val="002D1080"/>
    <w:rsid w:val="002D76C4"/>
    <w:rsid w:val="00300964"/>
    <w:rsid w:val="003013B0"/>
    <w:rsid w:val="00324E6D"/>
    <w:rsid w:val="003322F2"/>
    <w:rsid w:val="00363835"/>
    <w:rsid w:val="00366CEE"/>
    <w:rsid w:val="003A1524"/>
    <w:rsid w:val="003A25B8"/>
    <w:rsid w:val="003D7800"/>
    <w:rsid w:val="003E1D98"/>
    <w:rsid w:val="003F0116"/>
    <w:rsid w:val="00423B2E"/>
    <w:rsid w:val="004253CE"/>
    <w:rsid w:val="004532F7"/>
    <w:rsid w:val="00454FAB"/>
    <w:rsid w:val="00461F16"/>
    <w:rsid w:val="0047472F"/>
    <w:rsid w:val="00494007"/>
    <w:rsid w:val="00495CB6"/>
    <w:rsid w:val="004A7BF9"/>
    <w:rsid w:val="004A7C73"/>
    <w:rsid w:val="004F3968"/>
    <w:rsid w:val="004F57D5"/>
    <w:rsid w:val="00500457"/>
    <w:rsid w:val="00503D03"/>
    <w:rsid w:val="00535BCD"/>
    <w:rsid w:val="00555FED"/>
    <w:rsid w:val="005933CC"/>
    <w:rsid w:val="005A6102"/>
    <w:rsid w:val="005C05F7"/>
    <w:rsid w:val="005C683C"/>
    <w:rsid w:val="005C6A14"/>
    <w:rsid w:val="00607D68"/>
    <w:rsid w:val="00627A57"/>
    <w:rsid w:val="00653063"/>
    <w:rsid w:val="00663476"/>
    <w:rsid w:val="006A1E18"/>
    <w:rsid w:val="006B22C3"/>
    <w:rsid w:val="00727BD8"/>
    <w:rsid w:val="0074301B"/>
    <w:rsid w:val="00746AC6"/>
    <w:rsid w:val="007A6E14"/>
    <w:rsid w:val="007C0692"/>
    <w:rsid w:val="007D1231"/>
    <w:rsid w:val="007E00FF"/>
    <w:rsid w:val="007F3B59"/>
    <w:rsid w:val="00800572"/>
    <w:rsid w:val="00847DD5"/>
    <w:rsid w:val="00880680"/>
    <w:rsid w:val="00885BF9"/>
    <w:rsid w:val="008A72E4"/>
    <w:rsid w:val="008D23B9"/>
    <w:rsid w:val="008E0E2F"/>
    <w:rsid w:val="008F4273"/>
    <w:rsid w:val="009000D8"/>
    <w:rsid w:val="00902644"/>
    <w:rsid w:val="00906F34"/>
    <w:rsid w:val="00913086"/>
    <w:rsid w:val="00953636"/>
    <w:rsid w:val="0096605B"/>
    <w:rsid w:val="00966DAB"/>
    <w:rsid w:val="00975AEB"/>
    <w:rsid w:val="00980CBF"/>
    <w:rsid w:val="00984566"/>
    <w:rsid w:val="00996B84"/>
    <w:rsid w:val="009A5B1F"/>
    <w:rsid w:val="009D6B3D"/>
    <w:rsid w:val="009D75B0"/>
    <w:rsid w:val="009E35FF"/>
    <w:rsid w:val="00A33A12"/>
    <w:rsid w:val="00A34060"/>
    <w:rsid w:val="00A6043B"/>
    <w:rsid w:val="00A62A60"/>
    <w:rsid w:val="00A6617B"/>
    <w:rsid w:val="00AB0DC8"/>
    <w:rsid w:val="00AB0F7D"/>
    <w:rsid w:val="00AE2E61"/>
    <w:rsid w:val="00B1717A"/>
    <w:rsid w:val="00B44E24"/>
    <w:rsid w:val="00B87252"/>
    <w:rsid w:val="00B97679"/>
    <w:rsid w:val="00BB77E9"/>
    <w:rsid w:val="00BD05CC"/>
    <w:rsid w:val="00BD2749"/>
    <w:rsid w:val="00BF0B90"/>
    <w:rsid w:val="00BF7841"/>
    <w:rsid w:val="00C466B3"/>
    <w:rsid w:val="00C67A5B"/>
    <w:rsid w:val="00C92346"/>
    <w:rsid w:val="00CA7150"/>
    <w:rsid w:val="00CC1207"/>
    <w:rsid w:val="00D12388"/>
    <w:rsid w:val="00D55BD7"/>
    <w:rsid w:val="00D62884"/>
    <w:rsid w:val="00D70E7F"/>
    <w:rsid w:val="00D710E7"/>
    <w:rsid w:val="00D745D5"/>
    <w:rsid w:val="00D748EC"/>
    <w:rsid w:val="00D82CDE"/>
    <w:rsid w:val="00D860F1"/>
    <w:rsid w:val="00DA1B3F"/>
    <w:rsid w:val="00DB6032"/>
    <w:rsid w:val="00DC08D1"/>
    <w:rsid w:val="00DC398E"/>
    <w:rsid w:val="00DC5ADA"/>
    <w:rsid w:val="00DD209F"/>
    <w:rsid w:val="00DD31A0"/>
    <w:rsid w:val="00DE1747"/>
    <w:rsid w:val="00DE5A70"/>
    <w:rsid w:val="00DE71F7"/>
    <w:rsid w:val="00DF4176"/>
    <w:rsid w:val="00E81F24"/>
    <w:rsid w:val="00EB26E6"/>
    <w:rsid w:val="00EF4F7A"/>
    <w:rsid w:val="00EF55D7"/>
    <w:rsid w:val="00F05AE0"/>
    <w:rsid w:val="00F637AF"/>
    <w:rsid w:val="00F95576"/>
    <w:rsid w:val="00FB56BF"/>
    <w:rsid w:val="00FF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20F9276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34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6347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6347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6347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6347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63476"/>
    <w:pPr>
      <w:outlineLvl w:val="4"/>
    </w:pPr>
  </w:style>
  <w:style w:type="paragraph" w:styleId="Heading6">
    <w:name w:val="heading 6"/>
    <w:basedOn w:val="Heading4"/>
    <w:next w:val="Normal"/>
    <w:qFormat/>
    <w:rsid w:val="0066347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63476"/>
    <w:pPr>
      <w:outlineLvl w:val="6"/>
    </w:pPr>
  </w:style>
  <w:style w:type="paragraph" w:styleId="Heading8">
    <w:name w:val="heading 8"/>
    <w:basedOn w:val="Heading6"/>
    <w:next w:val="Normal"/>
    <w:qFormat/>
    <w:rsid w:val="00663476"/>
    <w:pPr>
      <w:outlineLvl w:val="7"/>
    </w:pPr>
  </w:style>
  <w:style w:type="paragraph" w:styleId="Heading9">
    <w:name w:val="heading 9"/>
    <w:basedOn w:val="Heading6"/>
    <w:next w:val="Normal"/>
    <w:qFormat/>
    <w:rsid w:val="0066347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6347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6347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63476"/>
  </w:style>
  <w:style w:type="paragraph" w:customStyle="1" w:styleId="Headingb">
    <w:name w:val="Heading_b"/>
    <w:basedOn w:val="Heading3"/>
    <w:next w:val="Normal"/>
    <w:rsid w:val="0066347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6347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63476"/>
  </w:style>
  <w:style w:type="paragraph" w:customStyle="1" w:styleId="enumlev1">
    <w:name w:val="enumlev1"/>
    <w:basedOn w:val="Normal"/>
    <w:rsid w:val="00663476"/>
    <w:pPr>
      <w:spacing w:before="80"/>
      <w:ind w:left="794" w:hanging="794"/>
    </w:pPr>
  </w:style>
  <w:style w:type="paragraph" w:customStyle="1" w:styleId="enumlev2">
    <w:name w:val="enumlev2"/>
    <w:basedOn w:val="enumlev1"/>
    <w:rsid w:val="00663476"/>
    <w:pPr>
      <w:ind w:left="1191" w:hanging="397"/>
    </w:pPr>
  </w:style>
  <w:style w:type="paragraph" w:customStyle="1" w:styleId="enumlev3">
    <w:name w:val="enumlev3"/>
    <w:basedOn w:val="enumlev2"/>
    <w:rsid w:val="00663476"/>
    <w:pPr>
      <w:ind w:left="1588"/>
    </w:pPr>
  </w:style>
  <w:style w:type="paragraph" w:customStyle="1" w:styleId="Normalaftertitle">
    <w:name w:val="Normal_after_title"/>
    <w:basedOn w:val="Normal"/>
    <w:next w:val="Normal"/>
    <w:rsid w:val="00663476"/>
    <w:pPr>
      <w:spacing w:before="320"/>
    </w:pPr>
  </w:style>
  <w:style w:type="paragraph" w:customStyle="1" w:styleId="Note">
    <w:name w:val="Note"/>
    <w:basedOn w:val="Normal"/>
    <w:rsid w:val="0066347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63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66347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63476"/>
    <w:pPr>
      <w:jc w:val="center"/>
    </w:pPr>
  </w:style>
  <w:style w:type="paragraph" w:customStyle="1" w:styleId="Recdate">
    <w:name w:val="Rec_date"/>
    <w:basedOn w:val="Recref"/>
    <w:next w:val="Normalaftertitle"/>
    <w:rsid w:val="00663476"/>
    <w:pPr>
      <w:jc w:val="right"/>
    </w:pPr>
  </w:style>
  <w:style w:type="paragraph" w:customStyle="1" w:styleId="AnnexNoTitle">
    <w:name w:val="Annex_NoTitle"/>
    <w:basedOn w:val="Normal"/>
    <w:next w:val="Normalaftertitle"/>
    <w:rsid w:val="0066347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63476"/>
  </w:style>
  <w:style w:type="paragraph" w:customStyle="1" w:styleId="Tablefin">
    <w:name w:val="Table_fin"/>
    <w:basedOn w:val="Normal"/>
    <w:next w:val="Normal"/>
    <w:rsid w:val="0066347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6347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634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6347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634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qFormat/>
    <w:rsid w:val="0066347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6347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63476"/>
    <w:pPr>
      <w:ind w:left="794"/>
    </w:pPr>
  </w:style>
  <w:style w:type="paragraph" w:customStyle="1" w:styleId="Figurelegend">
    <w:name w:val="Figure_legend"/>
    <w:basedOn w:val="Normal"/>
    <w:rsid w:val="00663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634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634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6347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6347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63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634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6347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63476"/>
    <w:rPr>
      <w:b/>
    </w:rPr>
  </w:style>
  <w:style w:type="paragraph" w:customStyle="1" w:styleId="Chaptitle">
    <w:name w:val="Chap_title"/>
    <w:basedOn w:val="Arttitle"/>
    <w:next w:val="Normalaftertitle"/>
    <w:rsid w:val="00663476"/>
  </w:style>
  <w:style w:type="character" w:styleId="FootnoteReference">
    <w:name w:val="footnote reference"/>
    <w:basedOn w:val="DefaultParagraphFont"/>
    <w:rsid w:val="0066347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6347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63476"/>
  </w:style>
  <w:style w:type="paragraph" w:styleId="Index2">
    <w:name w:val="index 2"/>
    <w:basedOn w:val="Normal"/>
    <w:next w:val="Normal"/>
    <w:semiHidden/>
    <w:rsid w:val="00663476"/>
    <w:pPr>
      <w:ind w:left="283"/>
    </w:pPr>
  </w:style>
  <w:style w:type="paragraph" w:styleId="Index3">
    <w:name w:val="index 3"/>
    <w:basedOn w:val="Normal"/>
    <w:next w:val="Normal"/>
    <w:semiHidden/>
    <w:rsid w:val="00663476"/>
    <w:pPr>
      <w:ind w:left="566"/>
    </w:pPr>
  </w:style>
  <w:style w:type="paragraph" w:styleId="IndexHeading">
    <w:name w:val="index heading"/>
    <w:basedOn w:val="Normal"/>
    <w:next w:val="Index1"/>
    <w:rsid w:val="00663476"/>
  </w:style>
  <w:style w:type="paragraph" w:customStyle="1" w:styleId="Line">
    <w:name w:val="Line"/>
    <w:basedOn w:val="Normal"/>
    <w:next w:val="Normal"/>
    <w:rsid w:val="0066347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634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63476"/>
  </w:style>
  <w:style w:type="paragraph" w:customStyle="1" w:styleId="Partref">
    <w:name w:val="Part_ref"/>
    <w:basedOn w:val="Normal"/>
    <w:next w:val="Normal"/>
    <w:rsid w:val="0066347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63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63476"/>
  </w:style>
  <w:style w:type="paragraph" w:customStyle="1" w:styleId="QuestionNo">
    <w:name w:val="Question_No"/>
    <w:basedOn w:val="RecNo"/>
    <w:next w:val="Normal"/>
    <w:rsid w:val="00663476"/>
  </w:style>
  <w:style w:type="paragraph" w:customStyle="1" w:styleId="Questionref">
    <w:name w:val="Question_ref"/>
    <w:basedOn w:val="Recref"/>
    <w:next w:val="Questiondate"/>
    <w:rsid w:val="00663476"/>
  </w:style>
  <w:style w:type="paragraph" w:customStyle="1" w:styleId="Questiontitle">
    <w:name w:val="Question_title"/>
    <w:basedOn w:val="Normal"/>
    <w:next w:val="Questionref"/>
    <w:rsid w:val="00663476"/>
  </w:style>
  <w:style w:type="paragraph" w:customStyle="1" w:styleId="Reftext">
    <w:name w:val="Ref_text"/>
    <w:basedOn w:val="Normal"/>
    <w:rsid w:val="0066347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6347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63476"/>
  </w:style>
  <w:style w:type="paragraph" w:customStyle="1" w:styleId="RepNo">
    <w:name w:val="Rep_No"/>
    <w:basedOn w:val="RecNo"/>
    <w:next w:val="Reptitle"/>
    <w:rsid w:val="00663476"/>
  </w:style>
  <w:style w:type="paragraph" w:customStyle="1" w:styleId="Repref">
    <w:name w:val="Rep_ref"/>
    <w:basedOn w:val="Recref"/>
    <w:next w:val="Repdate"/>
    <w:rsid w:val="00663476"/>
  </w:style>
  <w:style w:type="paragraph" w:customStyle="1" w:styleId="Reptitle">
    <w:name w:val="Rep_title"/>
    <w:basedOn w:val="Rectitle"/>
    <w:next w:val="Repref"/>
    <w:rsid w:val="00663476"/>
  </w:style>
  <w:style w:type="paragraph" w:customStyle="1" w:styleId="Resdate">
    <w:name w:val="Res_date"/>
    <w:basedOn w:val="Recdate"/>
    <w:next w:val="Normalaftertitle"/>
    <w:rsid w:val="00663476"/>
  </w:style>
  <w:style w:type="paragraph" w:customStyle="1" w:styleId="ResNo">
    <w:name w:val="Res_No"/>
    <w:basedOn w:val="RecNo"/>
    <w:next w:val="Restitle"/>
    <w:rsid w:val="00663476"/>
  </w:style>
  <w:style w:type="paragraph" w:customStyle="1" w:styleId="Resref">
    <w:name w:val="Res_ref"/>
    <w:basedOn w:val="Recref"/>
    <w:next w:val="Resdate"/>
    <w:rsid w:val="00663476"/>
  </w:style>
  <w:style w:type="paragraph" w:customStyle="1" w:styleId="Restitle">
    <w:name w:val="Res_title"/>
    <w:basedOn w:val="Normal"/>
    <w:next w:val="Resref"/>
    <w:rsid w:val="0066347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63476"/>
  </w:style>
  <w:style w:type="paragraph" w:customStyle="1" w:styleId="Sectiontitle">
    <w:name w:val="Section_title"/>
    <w:basedOn w:val="Normal"/>
    <w:next w:val="Normalaftertitle"/>
    <w:rsid w:val="006634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6347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6347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6347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6347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6347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63476"/>
  </w:style>
  <w:style w:type="paragraph" w:styleId="TOC6">
    <w:name w:val="toc 6"/>
    <w:basedOn w:val="TOC4"/>
    <w:rsid w:val="00663476"/>
  </w:style>
  <w:style w:type="paragraph" w:styleId="TOC7">
    <w:name w:val="toc 7"/>
    <w:basedOn w:val="TOC4"/>
    <w:rsid w:val="00663476"/>
  </w:style>
  <w:style w:type="paragraph" w:styleId="TOC8">
    <w:name w:val="toc 8"/>
    <w:basedOn w:val="TOC4"/>
    <w:rsid w:val="00663476"/>
  </w:style>
  <w:style w:type="paragraph" w:customStyle="1" w:styleId="Rectitle">
    <w:name w:val="Rec_title"/>
    <w:basedOn w:val="Normal"/>
    <w:next w:val="Recref"/>
    <w:rsid w:val="0066347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6347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63476"/>
  </w:style>
  <w:style w:type="paragraph" w:customStyle="1" w:styleId="Figuretitle">
    <w:name w:val="Figure_title"/>
    <w:basedOn w:val="Normal"/>
    <w:next w:val="Figure"/>
    <w:link w:val="FiguretitleChar"/>
    <w:rsid w:val="0066347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6347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663476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663476"/>
    <w:pPr>
      <w:keepNext w:val="0"/>
      <w:spacing w:before="0" w:after="240"/>
    </w:pPr>
  </w:style>
  <w:style w:type="table" w:styleId="TableGrid">
    <w:name w:val="Table Grid"/>
    <w:aliases w:val="修改列表,方欣网格型,定制网格型"/>
    <w:basedOn w:val="TableNormal"/>
    <w:uiPriority w:val="59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663476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5C683C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5C683C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ooterChar">
    <w:name w:val="Footer Char"/>
    <w:basedOn w:val="DefaultParagraphFont"/>
    <w:link w:val="Footer"/>
    <w:rsid w:val="005C683C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5C683C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5C683C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qFormat/>
    <w:rsid w:val="005C683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5C683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Source">
    <w:name w:val="Source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5C683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5C683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5C683C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5C683C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5C683C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5C683C"/>
    <w:rPr>
      <w:b/>
    </w:rPr>
  </w:style>
  <w:style w:type="character" w:customStyle="1" w:styleId="Appdef">
    <w:name w:val="App_def"/>
    <w:basedOn w:val="DefaultParagraphFont"/>
    <w:rsid w:val="005C683C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C683C"/>
  </w:style>
  <w:style w:type="character" w:customStyle="1" w:styleId="Artdef">
    <w:name w:val="Art_def"/>
    <w:basedOn w:val="DefaultParagraphFont"/>
    <w:rsid w:val="005C683C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5C683C"/>
  </w:style>
  <w:style w:type="character" w:customStyle="1" w:styleId="Recdef">
    <w:name w:val="Rec_def"/>
    <w:basedOn w:val="DefaultParagraphFont"/>
    <w:rsid w:val="005C683C"/>
    <w:rPr>
      <w:b/>
    </w:rPr>
  </w:style>
  <w:style w:type="character" w:customStyle="1" w:styleId="Resdef">
    <w:name w:val="Res_def"/>
    <w:basedOn w:val="DefaultParagraphFont"/>
    <w:rsid w:val="005C683C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5C683C"/>
    <w:rPr>
      <w:b/>
      <w:color w:val="auto"/>
      <w:sz w:val="20"/>
    </w:rPr>
  </w:style>
  <w:style w:type="paragraph" w:customStyle="1" w:styleId="Formal">
    <w:name w:val="Formal"/>
    <w:basedOn w:val="ASN1"/>
    <w:rsid w:val="005C683C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5C683C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5C683C"/>
    <w:rPr>
      <w:b w:val="0"/>
      <w:i/>
    </w:rPr>
  </w:style>
  <w:style w:type="character" w:customStyle="1" w:styleId="FiguretitleChar">
    <w:name w:val="Figure_title Char"/>
    <w:basedOn w:val="DefaultParagraphFont"/>
    <w:link w:val="Figuretitle"/>
    <w:rsid w:val="005C683C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5C683C"/>
  </w:style>
  <w:style w:type="paragraph" w:customStyle="1" w:styleId="Appendixtitle">
    <w:name w:val="Appendix_title"/>
    <w:basedOn w:val="Annextitle"/>
    <w:next w:val="Normal"/>
    <w:rsid w:val="005C683C"/>
  </w:style>
  <w:style w:type="paragraph" w:customStyle="1" w:styleId="Border">
    <w:name w:val="Border"/>
    <w:basedOn w:val="Normal"/>
    <w:rsid w:val="005C683C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5C683C"/>
  </w:style>
  <w:style w:type="paragraph" w:customStyle="1" w:styleId="Proposal">
    <w:name w:val="Proposal"/>
    <w:basedOn w:val="Normal"/>
    <w:next w:val="Normal"/>
    <w:rsid w:val="005C683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5C683C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5C683C"/>
    <w:rPr>
      <w:b w:val="0"/>
    </w:rPr>
  </w:style>
  <w:style w:type="paragraph" w:customStyle="1" w:styleId="TableTextS5">
    <w:name w:val="Table_TextS5"/>
    <w:basedOn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n-GB"/>
    </w:rPr>
  </w:style>
  <w:style w:type="paragraph" w:customStyle="1" w:styleId="AppArtNo">
    <w:name w:val="App_Art_No"/>
    <w:basedOn w:val="ArtNo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5C683C"/>
  </w:style>
  <w:style w:type="paragraph" w:customStyle="1" w:styleId="Committee">
    <w:name w:val="Committee"/>
    <w:basedOn w:val="Normal"/>
    <w:qFormat/>
    <w:rsid w:val="005C683C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5C683C"/>
  </w:style>
  <w:style w:type="paragraph" w:customStyle="1" w:styleId="Subsection1">
    <w:name w:val="Subsection_1"/>
    <w:basedOn w:val="Section1"/>
    <w:next w:val="Normalaftertitle0"/>
    <w:qFormat/>
    <w:rsid w:val="005C683C"/>
  </w:style>
  <w:style w:type="paragraph" w:customStyle="1" w:styleId="Volumetitle">
    <w:name w:val="Volume_title"/>
    <w:basedOn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5C683C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5C683C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paragraph" w:customStyle="1" w:styleId="Methodheading1">
    <w:name w:val="Method_heading1"/>
    <w:basedOn w:val="Heading1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lang w:val="en-GB"/>
    </w:rPr>
  </w:style>
  <w:style w:type="paragraph" w:customStyle="1" w:styleId="Methodheading3">
    <w:name w:val="Method_heading3"/>
    <w:basedOn w:val="Heading3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4">
    <w:name w:val="Method_heading4"/>
    <w:basedOn w:val="Heading4"/>
    <w:next w:val="Normal"/>
    <w:qFormat/>
    <w:rsid w:val="005C683C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lang w:val="en-GB"/>
    </w:rPr>
  </w:style>
  <w:style w:type="paragraph" w:customStyle="1" w:styleId="MethodHeadingb">
    <w:name w:val="Method_Headingb"/>
    <w:basedOn w:val="Headingb"/>
    <w:next w:val="Normal"/>
    <w:qFormat/>
    <w:rsid w:val="005C68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jc w:val="left"/>
      <w:textAlignment w:val="auto"/>
    </w:pPr>
    <w:rPr>
      <w:rFonts w:ascii="Times New Roman Bold" w:hAnsi="Times New Roman Bold" w:cs="Times New Roman Bold"/>
      <w:lang w:val="en-GB" w:eastAsia="zh-CN"/>
    </w:rPr>
  </w:style>
  <w:style w:type="paragraph" w:customStyle="1" w:styleId="EditorsNote">
    <w:name w:val="EditorsNote"/>
    <w:basedOn w:val="Normal"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i/>
      <w:iCs/>
      <w:lang w:val="en-GB"/>
    </w:rPr>
  </w:style>
  <w:style w:type="paragraph" w:styleId="Signature">
    <w:name w:val="Signature"/>
    <w:basedOn w:val="Normal"/>
    <w:link w:val="SignatureChar"/>
    <w:unhideWhenUsed/>
    <w:rsid w:val="005C683C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lang w:val="en-GB"/>
    </w:rPr>
  </w:style>
  <w:style w:type="character" w:customStyle="1" w:styleId="SignatureChar">
    <w:name w:val="Signature Char"/>
    <w:basedOn w:val="DefaultParagraphFont"/>
    <w:link w:val="Signature"/>
    <w:rsid w:val="005C683C"/>
    <w:rPr>
      <w:sz w:val="24"/>
      <w:lang w:val="en-GB" w:eastAsia="en-US"/>
    </w:rPr>
  </w:style>
  <w:style w:type="paragraph" w:customStyle="1" w:styleId="Default">
    <w:name w:val="Default"/>
    <w:rsid w:val="005C683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200"/>
      <w:jc w:val="left"/>
    </w:pPr>
    <w:rPr>
      <w:b/>
      <w:bCs/>
      <w:color w:val="4F81BD" w:themeColor="accent1"/>
      <w:sz w:val="18"/>
      <w:szCs w:val="18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83C"/>
    <w:rPr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5C683C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Segoe UI" w:hAnsi="Segoe UI" w:cs="Segoe UI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semiHidden/>
    <w:rsid w:val="005C683C"/>
    <w:rPr>
      <w:rFonts w:ascii="Segoe UI" w:hAnsi="Segoe UI" w:cs="Segoe UI"/>
      <w:sz w:val="18"/>
      <w:szCs w:val="18"/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C683C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683C"/>
    <w:rPr>
      <w:b/>
      <w:bCs/>
    </w:rPr>
  </w:style>
  <w:style w:type="character" w:customStyle="1" w:styleId="CommentSubjectChar1">
    <w:name w:val="Comment Subject Char1"/>
    <w:basedOn w:val="CommentTextChar"/>
    <w:semiHidden/>
    <w:rsid w:val="005C683C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5C683C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lang w:val="en-GB"/>
    </w:rPr>
  </w:style>
  <w:style w:type="character" w:customStyle="1" w:styleId="gmail-msodel">
    <w:name w:val="gmail-msodel"/>
    <w:basedOn w:val="DefaultParagraphFont"/>
    <w:rsid w:val="005C683C"/>
  </w:style>
  <w:style w:type="character" w:customStyle="1" w:styleId="gmail-msoins">
    <w:name w:val="gmail-msoins"/>
    <w:basedOn w:val="DefaultParagraphFont"/>
    <w:rsid w:val="005C683C"/>
  </w:style>
  <w:style w:type="table" w:customStyle="1" w:styleId="1">
    <w:name w:val="表 (格子)1"/>
    <w:basedOn w:val="TableNormal"/>
    <w:uiPriority w:val="39"/>
    <w:rsid w:val="005C683C"/>
    <w:rPr>
      <w:rFonts w:asciiTheme="minorHAnsi" w:eastAsiaTheme="minorEastAsia" w:hAnsiTheme="minorHAnsi" w:cstheme="minorBidi"/>
      <w:kern w:val="2"/>
      <w:sz w:val="21"/>
      <w:szCs w:val="2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683C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683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C68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paragraph" w:customStyle="1" w:styleId="xmsolistparagraph">
    <w:name w:val="x_msolistparagraph"/>
    <w:basedOn w:val="Normal"/>
    <w:rsid w:val="005C683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paragraph" w:styleId="Revision">
    <w:name w:val="Revision"/>
    <w:hidden/>
    <w:uiPriority w:val="99"/>
    <w:semiHidden/>
    <w:rsid w:val="005C683C"/>
    <w:rPr>
      <w:sz w:val="24"/>
      <w:lang w:val="en-GB" w:eastAsia="en-US"/>
    </w:rPr>
  </w:style>
  <w:style w:type="paragraph" w:styleId="NoSpacing">
    <w:name w:val="No Spacing"/>
    <w:uiPriority w:val="1"/>
    <w:qFormat/>
    <w:rsid w:val="005C683C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customStyle="1" w:styleId="Figurewithlegend">
    <w:name w:val="Figure_with_legend"/>
    <w:basedOn w:val="Figurewithouttitle"/>
    <w:rsid w:val="005C683C"/>
    <w:pPr>
      <w:keepNext/>
      <w:spacing w:before="120" w:after="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C683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C683C"/>
    <w:rPr>
      <w:color w:val="808080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C68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C683C"/>
    <w:rPr>
      <w:color w:val="800080" w:themeColor="followedHyperlink"/>
      <w:u w:val="single"/>
    </w:rPr>
  </w:style>
  <w:style w:type="paragraph" w:styleId="TOC9">
    <w:name w:val="toc 9"/>
    <w:basedOn w:val="Normal"/>
    <w:next w:val="Normal"/>
    <w:autoRedefine/>
    <w:unhideWhenUsed/>
    <w:rsid w:val="005C683C"/>
    <w:pPr>
      <w:tabs>
        <w:tab w:val="clear" w:pos="794"/>
        <w:tab w:val="clear" w:pos="1191"/>
        <w:tab w:val="clear" w:pos="1588"/>
        <w:tab w:val="clear" w:pos="1985"/>
      </w:tabs>
      <w:spacing w:before="0"/>
      <w:ind w:left="1920"/>
      <w:jc w:val="left"/>
    </w:pPr>
    <w:rPr>
      <w:rFonts w:asciiTheme="minorHAnsi" w:hAnsiTheme="minorHAnsi" w:cstheme="minorHAnsi"/>
      <w:sz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60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pub/R-REP-SM.2392/es" TargetMode="Externa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yperlink" Target="https://www.itu.int/pub/R-REP-SM.2153/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hyperlink" Target="https://www.itu.int/pub/R-REP-SM.2153/es" TargetMode="Externa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www.itu.int/rec/R-REC-SM.1896/es" TargetMode="External"/><Relationship Id="rId20" Type="http://schemas.openxmlformats.org/officeDocument/2006/relationships/hyperlink" Target="https://www.itu.int/rec/R-REC-SM.1896/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s" TargetMode="External"/><Relationship Id="rId24" Type="http://schemas.openxmlformats.org/officeDocument/2006/relationships/hyperlink" Target="https://www.itu.int/pub/R-REP-SM.2505/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SM.1056/es" TargetMode="External"/><Relationship Id="rId23" Type="http://schemas.openxmlformats.org/officeDocument/2006/relationships/hyperlink" Target="https://www.itu.int/pub/R-REP-SM.2392/es" TargetMode="External"/><Relationship Id="rId28" Type="http://schemas.openxmlformats.org/officeDocument/2006/relationships/footer" Target="footer2.xml"/><Relationship Id="rId10" Type="http://schemas.openxmlformats.org/officeDocument/2006/relationships/header" Target="header3.xml"/><Relationship Id="rId19" Type="http://schemas.openxmlformats.org/officeDocument/2006/relationships/hyperlink" Target="https://www.itu.int/pub/R-REP-SM.2505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yperlink" Target="https://www.itu.int/rec/R-REC-SM.1056/es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E5EFB-5482-426D-850F-C5C26F21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5</Pages>
  <Words>1611</Words>
  <Characters>9401</Characters>
  <Application>Microsoft Office Word</Application>
  <DocSecurity>0</DocSecurity>
  <Lines>229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SM.2140-0 - Evaluación de la calidad de funcionamiento de las unidades móviles de radiogoniometría en entornos operativos</vt:lpstr>
    </vt:vector>
  </TitlesOfParts>
  <Manager/>
  <Company>ITU</Company>
  <LinksUpToDate>false</LinksUpToDate>
  <CharactersWithSpaces>10905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SM.2151-0 - Directrices sobre las gamas de frecuencias para la explotación de la transmisión inalámbrica de potencia por medio de haces de radiofrecuencias para dispositivos móviles y portátiles y redes de sensores</dc:title>
  <dc:subject>Serie SM = Gestión del espectro</dc:subject>
  <dc:creator>Oficina de Radiocomunicaciones del UIT (BR)</dc:creator>
  <cp:keywords>SM,2151-0</cp:keywords>
  <dc:description>Saez, 01.02.2023, ITU51013874</dc:description>
  <cp:lastModifiedBy>Saez Grau, Ricardo</cp:lastModifiedBy>
  <cp:revision>8</cp:revision>
  <cp:lastPrinted>2023-02-01T06:04:00Z</cp:lastPrinted>
  <dcterms:created xsi:type="dcterms:W3CDTF">2023-01-31T15:55:00Z</dcterms:created>
  <dcterms:modified xsi:type="dcterms:W3CDTF">2023-02-01T06:05:00Z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