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EDB9" w14:textId="77777777" w:rsidR="00FE79FE" w:rsidRDefault="00FE79FE"/>
    <w:p w14:paraId="3EB780BD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20D2A4C9" w14:textId="0B54AD9D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9F2D88">
        <w:rPr>
          <w:lang w:val="es-ES"/>
        </w:rPr>
        <w:t>S</w:t>
      </w:r>
      <w:r w:rsidR="00E766F1">
        <w:rPr>
          <w:lang w:val="es-ES"/>
        </w:rPr>
        <w:t>M</w:t>
      </w:r>
      <w:r w:rsidRPr="00F111D6">
        <w:rPr>
          <w:lang w:val="es-ES"/>
        </w:rPr>
        <w:t>.</w:t>
      </w:r>
      <w:r w:rsidR="0028108D">
        <w:rPr>
          <w:lang w:val="es-ES"/>
        </w:rPr>
        <w:t>2129-1</w:t>
      </w:r>
    </w:p>
    <w:p w14:paraId="4C08697E" w14:textId="56C05F4F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28108D">
        <w:rPr>
          <w:lang w:val="es-ES"/>
        </w:rPr>
        <w:t>09/2024</w:t>
      </w:r>
      <w:r w:rsidRPr="00F111D6">
        <w:rPr>
          <w:lang w:val="es-ES"/>
        </w:rPr>
        <w:t>)</w:t>
      </w:r>
    </w:p>
    <w:p w14:paraId="79C3E2A2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8B56B2">
        <w:rPr>
          <w:lang w:val="es-ES"/>
        </w:rPr>
        <w:t>S</w:t>
      </w:r>
      <w:r w:rsidR="00E766F1">
        <w:rPr>
          <w:lang w:val="es-ES"/>
        </w:rPr>
        <w:t>M</w:t>
      </w:r>
      <w:r w:rsidR="00D5024B" w:rsidRPr="00F111D6">
        <w:rPr>
          <w:lang w:val="es-ES"/>
        </w:rPr>
        <w:t xml:space="preserve">: </w:t>
      </w:r>
      <w:r w:rsidR="00E766F1" w:rsidRPr="00E766F1">
        <w:rPr>
          <w:lang w:val="es-ES"/>
        </w:rPr>
        <w:t>Gestión del espectro</w:t>
      </w:r>
    </w:p>
    <w:p w14:paraId="6ADA5537" w14:textId="05F2E2CB" w:rsidR="00D5024B" w:rsidRPr="00F111D6" w:rsidRDefault="0028108D" w:rsidP="00D5024B">
      <w:pPr>
        <w:pStyle w:val="CoverTitle"/>
        <w:rPr>
          <w:lang w:val="es-ES"/>
        </w:rPr>
      </w:pPr>
      <w:r w:rsidRPr="0028108D">
        <w:rPr>
          <w:lang w:val="es-ES"/>
        </w:rPr>
        <w:t>Orientaciones sobre las gamas de frecuencias para la explotación de sistemas de transmisión inalámbrica de potencia sin haces radioeléctricos para dispositivos móviles y portátiles</w:t>
      </w:r>
    </w:p>
    <w:p w14:paraId="5503FC44" w14:textId="77777777" w:rsidR="00FE79FE" w:rsidRPr="00F111D6" w:rsidRDefault="00FE79FE" w:rsidP="005373E0"/>
    <w:p w14:paraId="14F19C17" w14:textId="77777777" w:rsidR="00A71FE5" w:rsidRPr="00F111D6" w:rsidRDefault="00A71FE5" w:rsidP="005373E0"/>
    <w:p w14:paraId="13FDDA9A" w14:textId="77777777" w:rsidR="00EE47C4" w:rsidRPr="00F111D6" w:rsidRDefault="00EE47C4" w:rsidP="005373E0">
      <w:pPr>
        <w:sectPr w:rsidR="00EE47C4" w:rsidRPr="00F111D6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0CB7FAEC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0" w:name="c2tope"/>
      <w:bookmarkEnd w:id="0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0921F353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7680647B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369BBEC4" w14:textId="77777777" w:rsidR="0069322D" w:rsidRPr="00021E8A" w:rsidRDefault="0069322D" w:rsidP="0069322D">
      <w:pPr>
        <w:pStyle w:val="Heading1"/>
        <w:spacing w:before="340"/>
        <w:jc w:val="center"/>
        <w:rPr>
          <w:szCs w:val="24"/>
          <w:lang w:val="es-ES_tradnl"/>
        </w:rPr>
      </w:pPr>
      <w:r w:rsidRPr="007C36CA">
        <w:rPr>
          <w:lang w:val="es-ES_tradnl"/>
        </w:rPr>
        <w:t>Política sobre Derechos de Propiedad Intelectual</w:t>
      </w:r>
      <w:r w:rsidRPr="00021E8A">
        <w:rPr>
          <w:szCs w:val="24"/>
          <w:lang w:val="es-ES_tradnl"/>
        </w:rPr>
        <w:t xml:space="preserve"> (IPR)</w:t>
      </w:r>
    </w:p>
    <w:p w14:paraId="0FF23741" w14:textId="3DEFE7C7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las mismas figuran en la dirección web </w:t>
      </w:r>
      <w:hyperlink r:id="rId10" w:history="1">
        <w:r w:rsidR="00F1479D" w:rsidRPr="00763A97">
          <w:rPr>
            <w:rStyle w:val="Hyperlink"/>
            <w:sz w:val="20"/>
            <w:lang w:val="es-ES_tradnl"/>
          </w:rPr>
          <w:t>https://www.itu.int/ITU-R/go/patents/es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5A3E681E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272D26E2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69322D" w:rsidRPr="00E766F1" w14:paraId="41DB37EB" w14:textId="77777777" w:rsidTr="0069322D">
        <w:tc>
          <w:tcPr>
            <w:tcW w:w="9360" w:type="dxa"/>
            <w:gridSpan w:val="2"/>
          </w:tcPr>
          <w:p w14:paraId="0A3979BB" w14:textId="77777777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 xml:space="preserve">Series de las Recomendaciones UIT-R </w:t>
            </w:r>
          </w:p>
          <w:p w14:paraId="59FFB54D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1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34AB575E" w14:textId="77777777" w:rsidTr="00B96572">
        <w:tc>
          <w:tcPr>
            <w:tcW w:w="1140" w:type="dxa"/>
            <w:tcBorders>
              <w:bottom w:val="nil"/>
            </w:tcBorders>
            <w:vAlign w:val="bottom"/>
          </w:tcPr>
          <w:p w14:paraId="11FD1042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34657E4E" w14:textId="77777777" w:rsidR="0069322D" w:rsidRPr="00036EE3" w:rsidRDefault="0069322D" w:rsidP="00B9657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1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21DE07F2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C43939B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7826EB6" w14:textId="77777777" w:rsidR="0069322D" w:rsidRPr="004532F7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4532F7">
              <w:rPr>
                <w:b w:val="0"/>
                <w:sz w:val="20"/>
              </w:rPr>
              <w:t>Distribución por satélite</w:t>
            </w:r>
          </w:p>
        </w:tc>
      </w:tr>
      <w:tr w:rsidR="0069322D" w:rsidRPr="00E766F1" w14:paraId="2CDB7B78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DE3A1DC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0C551B0" w14:textId="77777777" w:rsidR="0069322D" w:rsidRPr="006B22C3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s-ES_tradnl"/>
              </w:rPr>
            </w:pPr>
            <w:r w:rsidRPr="006B22C3">
              <w:rPr>
                <w:b w:val="0"/>
                <w:sz w:val="20"/>
                <w:lang w:val="es-ES_tradnl"/>
              </w:rPr>
              <w:t>Registro para producción, archivo y reproducción; películas en televisión</w:t>
            </w:r>
          </w:p>
        </w:tc>
      </w:tr>
      <w:tr w:rsidR="0069322D" w:rsidRPr="00847DD5" w14:paraId="2A341C8D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B1C7CB7" w14:textId="77777777" w:rsidR="0069322D" w:rsidRPr="00847DD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47DD5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EE960D2" w14:textId="77777777" w:rsidR="0069322D" w:rsidRPr="00847DD5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 xml:space="preserve">Servicio de radiodifusión </w:t>
            </w:r>
            <w:r>
              <w:rPr>
                <w:b w:val="0"/>
                <w:bCs/>
                <w:sz w:val="20"/>
              </w:rPr>
              <w:t>(</w:t>
            </w:r>
            <w:r w:rsidRPr="00021E8A">
              <w:rPr>
                <w:b w:val="0"/>
                <w:bCs/>
                <w:sz w:val="20"/>
              </w:rPr>
              <w:t>sonora</w:t>
            </w:r>
            <w:r>
              <w:rPr>
                <w:b w:val="0"/>
                <w:bCs/>
                <w:sz w:val="20"/>
              </w:rPr>
              <w:t>)</w:t>
            </w:r>
          </w:p>
        </w:tc>
      </w:tr>
      <w:tr w:rsidR="0069322D" w:rsidRPr="00ED2695" w14:paraId="17B4C3DA" w14:textId="77777777" w:rsidTr="008B56B2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C3812E8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E3A2545" w14:textId="77777777" w:rsidR="0069322D" w:rsidRPr="00021E8A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>Servicio de radiodifusión (televisión)</w:t>
            </w:r>
          </w:p>
        </w:tc>
      </w:tr>
      <w:tr w:rsidR="008B56B2" w:rsidRPr="008B56B2" w14:paraId="137390FD" w14:textId="77777777" w:rsidTr="008B56B2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CA385F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8B56B2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E15480" w14:textId="77777777" w:rsidR="0069322D" w:rsidRPr="008B56B2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8B56B2">
              <w:rPr>
                <w:sz w:val="20"/>
              </w:rPr>
              <w:t>Servicio fijo</w:t>
            </w:r>
          </w:p>
        </w:tc>
      </w:tr>
      <w:tr w:rsidR="0069322D" w:rsidRPr="00E766F1" w14:paraId="09435DE0" w14:textId="77777777" w:rsidTr="008B56B2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38DEF42" w14:textId="77777777" w:rsidR="0069322D" w:rsidRPr="0010336F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sz w:val="20"/>
                <w:lang w:val="en-US"/>
              </w:rPr>
            </w:pPr>
            <w:r w:rsidRPr="0010336F">
              <w:rPr>
                <w:rFonts w:hAnsi="Times New Roman Bold"/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7209D68" w14:textId="77777777" w:rsidR="0069322D" w:rsidRPr="0010336F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rFonts w:hAnsi="Times New Roman Bold"/>
                <w:b w:val="0"/>
                <w:sz w:val="20"/>
                <w:lang w:val="es-ES_tradnl"/>
              </w:rPr>
            </w:pP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Servicios m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viles, de radiodeterminaci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n, de aficionados y otros servicios por sat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é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lite conexos</w:t>
            </w:r>
          </w:p>
        </w:tc>
      </w:tr>
      <w:tr w:rsidR="0069322D" w:rsidRPr="00E766F1" w14:paraId="005BF652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8750B9A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D4AF9BF" w14:textId="77777777" w:rsidR="0069322D" w:rsidRPr="00F95576" w:rsidRDefault="0069322D" w:rsidP="000B4BD9">
            <w:pPr>
              <w:spacing w:before="30" w:after="30"/>
              <w:jc w:val="left"/>
              <w:rPr>
                <w:sz w:val="20"/>
                <w:lang w:val="es-ES_tradnl"/>
              </w:rPr>
            </w:pPr>
            <w:r w:rsidRPr="00F95576">
              <w:rPr>
                <w:sz w:val="20"/>
                <w:lang w:val="es-ES_tradnl"/>
              </w:rPr>
              <w:t>Propagación de las ondas radioeléctricas</w:t>
            </w:r>
          </w:p>
        </w:tc>
      </w:tr>
      <w:tr w:rsidR="0069322D" w:rsidRPr="00DE71F7" w14:paraId="20161705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3056AC6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61DE169B" w14:textId="77777777" w:rsidR="0069322D" w:rsidRPr="00DE71F7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E766F1" w14:paraId="487BA386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A7DE513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AC9BD9B" w14:textId="77777777" w:rsidR="0069322D" w:rsidRPr="00D12388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s-ES_tradnl"/>
              </w:rPr>
            </w:pPr>
            <w:r w:rsidRPr="00D12388">
              <w:rPr>
                <w:sz w:val="20"/>
                <w:lang w:val="es-ES_tradnl"/>
              </w:rPr>
              <w:t>Sistemas de detección a distancia</w:t>
            </w:r>
          </w:p>
        </w:tc>
      </w:tr>
      <w:tr w:rsidR="0069322D" w:rsidRPr="00025336" w14:paraId="32BC77FF" w14:textId="77777777" w:rsidTr="00E766F1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A3D18B5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24E9A71B" w14:textId="77777777" w:rsidR="0069322D" w:rsidRPr="00025336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E766F1" w:rsidRPr="00E766F1" w14:paraId="689CAC22" w14:textId="77777777" w:rsidTr="00E766F1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544C87" w14:textId="77777777" w:rsidR="0069322D" w:rsidRPr="00E766F1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766F1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408972E" w14:textId="77777777" w:rsidR="0069322D" w:rsidRPr="00E766F1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E766F1">
              <w:rPr>
                <w:sz w:val="20"/>
              </w:rPr>
              <w:t>Aplicaciones espaciales y meteorología</w:t>
            </w:r>
          </w:p>
        </w:tc>
      </w:tr>
      <w:tr w:rsidR="0069322D" w:rsidRPr="00E766F1" w14:paraId="54C81213" w14:textId="77777777" w:rsidTr="00E766F1">
        <w:tc>
          <w:tcPr>
            <w:tcW w:w="1140" w:type="dxa"/>
            <w:tcBorders>
              <w:top w:val="nil"/>
              <w:bottom w:val="nil"/>
            </w:tcBorders>
          </w:tcPr>
          <w:p w14:paraId="5D847ED3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14:paraId="3F0242C3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E766F1" w:rsidRPr="00E766F1" w14:paraId="50DDF999" w14:textId="77777777" w:rsidTr="00E766F1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6A3793" w14:textId="77777777" w:rsidR="0069322D" w:rsidRPr="00E766F1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E766F1">
              <w:rPr>
                <w:b/>
                <w:bCs/>
                <w:color w:val="000080"/>
                <w:sz w:val="20"/>
                <w:lang w:val="en-US"/>
              </w:rPr>
              <w:t>SM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E2BF9E" w14:textId="77777777" w:rsidR="0069322D" w:rsidRPr="00E766F1" w:rsidRDefault="0069322D" w:rsidP="000B4BD9">
            <w:pPr>
              <w:spacing w:before="30" w:after="30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E766F1">
              <w:rPr>
                <w:b/>
                <w:bCs/>
                <w:color w:val="000080"/>
                <w:sz w:val="20"/>
              </w:rPr>
              <w:t>Gestión del espectro</w:t>
            </w:r>
          </w:p>
        </w:tc>
      </w:tr>
      <w:tr w:rsidR="0069322D" w:rsidRPr="00036EE3" w14:paraId="59E5B082" w14:textId="77777777" w:rsidTr="00E766F1">
        <w:tc>
          <w:tcPr>
            <w:tcW w:w="1140" w:type="dxa"/>
            <w:tcBorders>
              <w:top w:val="nil"/>
            </w:tcBorders>
          </w:tcPr>
          <w:p w14:paraId="6EBD3D51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  <w:tcBorders>
              <w:top w:val="nil"/>
            </w:tcBorders>
          </w:tcPr>
          <w:p w14:paraId="6CE64B5A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E766F1" w14:paraId="31FE622A" w14:textId="77777777" w:rsidTr="0069322D">
        <w:tc>
          <w:tcPr>
            <w:tcW w:w="1140" w:type="dxa"/>
          </w:tcPr>
          <w:p w14:paraId="5BB14BF5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3BBBE2F3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367F6D23" w14:textId="77777777" w:rsidTr="0069322D">
        <w:tc>
          <w:tcPr>
            <w:tcW w:w="1140" w:type="dxa"/>
          </w:tcPr>
          <w:p w14:paraId="0708AF97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7344EE86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518AA544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5AA5F54C" w14:textId="77777777" w:rsidTr="000B4BD9">
        <w:tc>
          <w:tcPr>
            <w:tcW w:w="720" w:type="dxa"/>
          </w:tcPr>
          <w:p w14:paraId="4EF2FB77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E766F1" w14:paraId="09B56D1E" w14:textId="77777777" w:rsidTr="00B96572">
        <w:tc>
          <w:tcPr>
            <w:tcW w:w="9360" w:type="dxa"/>
          </w:tcPr>
          <w:p w14:paraId="2BC0421F" w14:textId="54C71755" w:rsidR="0069322D" w:rsidRPr="00F111D6" w:rsidRDefault="0069322D" w:rsidP="00887896">
            <w:pPr>
              <w:spacing w:before="92" w:after="92"/>
              <w:jc w:val="left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</w:t>
            </w:r>
            <w:r w:rsidR="0088789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1027C0D0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601CA5C8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4610C8AA" w14:textId="2C9944A0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887896">
        <w:rPr>
          <w:sz w:val="20"/>
          <w:lang w:val="es-ES_tradnl"/>
        </w:rPr>
        <w:t>5</w:t>
      </w:r>
    </w:p>
    <w:p w14:paraId="0CEF07E3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490E590B" w14:textId="63DAACAA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1" w:name="iiannee"/>
      <w:bookmarkEnd w:id="1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887896">
        <w:rPr>
          <w:sz w:val="20"/>
          <w:lang w:val="es-ES_tradnl"/>
        </w:rPr>
        <w:t>5</w:t>
      </w:r>
    </w:p>
    <w:p w14:paraId="467AE312" w14:textId="77777777" w:rsidR="00D5024B" w:rsidRPr="00F111D6" w:rsidRDefault="0069322D" w:rsidP="0069322D">
      <w:pPr>
        <w:rPr>
          <w:sz w:val="18"/>
          <w:szCs w:val="18"/>
        </w:r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73660ED7" w14:textId="77777777" w:rsidR="007565CC" w:rsidRPr="00F111D6" w:rsidRDefault="007565CC" w:rsidP="00A971A1">
      <w:pPr>
        <w:spacing w:before="160"/>
        <w:rPr>
          <w:i/>
          <w:sz w:val="20"/>
        </w:rPr>
        <w:sectPr w:rsidR="007565CC" w:rsidRPr="00F111D6" w:rsidSect="002058CE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D543E20" w14:textId="2972FAE2" w:rsidR="00B874C6" w:rsidRPr="00F17CED" w:rsidRDefault="00F17CED" w:rsidP="00A936CB">
      <w:pPr>
        <w:pStyle w:val="RecNo"/>
        <w:spacing w:before="0"/>
      </w:pPr>
      <w:bookmarkStart w:id="2" w:name="irecnoe"/>
      <w:bookmarkEnd w:id="2"/>
      <w:r w:rsidRPr="00F17CED">
        <w:lastRenderedPageBreak/>
        <w:t>RECOMENDACIÓN</w:t>
      </w:r>
      <w:r w:rsidR="00B874C6" w:rsidRPr="00F17CED">
        <w:t xml:space="preserve">  </w:t>
      </w:r>
      <w:r w:rsidR="00A25EE2" w:rsidRPr="00F17CED">
        <w:rPr>
          <w:rStyle w:val="href"/>
        </w:rPr>
        <w:t>UI</w:t>
      </w:r>
      <w:r w:rsidR="00B874C6" w:rsidRPr="00F17CED">
        <w:rPr>
          <w:rStyle w:val="href"/>
        </w:rPr>
        <w:t xml:space="preserve">T-R  </w:t>
      </w:r>
      <w:r w:rsidR="0028108D">
        <w:rPr>
          <w:rStyle w:val="href"/>
          <w:lang w:val="es-ES_tradnl"/>
        </w:rPr>
        <w:t>SM</w:t>
      </w:r>
      <w:r w:rsidR="0028108D" w:rsidRPr="0010336F">
        <w:rPr>
          <w:rStyle w:val="href"/>
          <w:lang w:val="es-ES_tradnl"/>
        </w:rPr>
        <w:t>.</w:t>
      </w:r>
      <w:r w:rsidR="0028108D">
        <w:rPr>
          <w:rStyle w:val="href"/>
          <w:lang w:val="es-ES_tradnl"/>
        </w:rPr>
        <w:t>2129-1</w:t>
      </w:r>
    </w:p>
    <w:p w14:paraId="0708A6AE" w14:textId="77777777" w:rsidR="0028108D" w:rsidRPr="0096484E" w:rsidRDefault="0028108D" w:rsidP="0028108D">
      <w:pPr>
        <w:pStyle w:val="Rectitle"/>
        <w:rPr>
          <w:lang w:val="es-ES_tradnl"/>
        </w:rPr>
      </w:pPr>
      <w:r w:rsidRPr="0096484E">
        <w:rPr>
          <w:lang w:val="es-ES_tradnl"/>
        </w:rPr>
        <w:t xml:space="preserve">Orientaciones sobre las gamas de frecuencias para la explotación de sistemas </w:t>
      </w:r>
      <w:r>
        <w:rPr>
          <w:lang w:val="es-ES_tradnl"/>
        </w:rPr>
        <w:br/>
      </w:r>
      <w:r w:rsidRPr="0096484E">
        <w:rPr>
          <w:lang w:val="es-ES_tradnl"/>
        </w:rPr>
        <w:t xml:space="preserve">de transmisión inalámbrica de potencia sin haces radioeléctricos </w:t>
      </w:r>
      <w:r>
        <w:rPr>
          <w:lang w:val="es-ES_tradnl"/>
        </w:rPr>
        <w:br/>
      </w:r>
      <w:r w:rsidRPr="0096484E">
        <w:rPr>
          <w:lang w:val="es-ES_tradnl"/>
        </w:rPr>
        <w:t>para dispositivos móviles y portátiles</w:t>
      </w:r>
    </w:p>
    <w:p w14:paraId="71EF17FB" w14:textId="77777777" w:rsidR="0028108D" w:rsidRPr="0096484E" w:rsidRDefault="0028108D" w:rsidP="0028108D">
      <w:pPr>
        <w:pStyle w:val="Recdate"/>
        <w:rPr>
          <w:lang w:val="es-ES_tradnl"/>
        </w:rPr>
      </w:pPr>
      <w:r w:rsidRPr="0096484E">
        <w:rPr>
          <w:lang w:val="es-ES_tradnl" w:eastAsia="ko-KR"/>
        </w:rPr>
        <w:t>(2019</w:t>
      </w:r>
      <w:r>
        <w:rPr>
          <w:lang w:val="es-ES_tradnl" w:eastAsia="ko-KR"/>
        </w:rPr>
        <w:t>-2024</w:t>
      </w:r>
      <w:r w:rsidRPr="0096484E">
        <w:rPr>
          <w:lang w:val="es-ES_tradnl" w:eastAsia="ko-KR"/>
        </w:rPr>
        <w:t>)</w:t>
      </w:r>
    </w:p>
    <w:p w14:paraId="7C77EFEA" w14:textId="77777777" w:rsidR="0028108D" w:rsidRPr="0096484E" w:rsidRDefault="0028108D" w:rsidP="00887896">
      <w:pPr>
        <w:pStyle w:val="HeadingSum"/>
      </w:pPr>
      <w:r w:rsidRPr="0096484E">
        <w:t>Cometido</w:t>
      </w:r>
    </w:p>
    <w:p w14:paraId="203BEE67" w14:textId="77777777" w:rsidR="0028108D" w:rsidRPr="0096484E" w:rsidRDefault="0028108D" w:rsidP="00887896">
      <w:pPr>
        <w:pStyle w:val="Summary"/>
      </w:pPr>
      <w:r w:rsidRPr="0096484E">
        <w:t>En esta Recomendación se facilitan directrices para el uso de gama</w:t>
      </w:r>
      <w:r>
        <w:t>s</w:t>
      </w:r>
      <w:r w:rsidRPr="0096484E">
        <w:t xml:space="preserve"> de frecuencias para la explotación de sistemas de transmisión inalámbrica de potencia (TIP) sin haces </w:t>
      </w:r>
      <w:r w:rsidRPr="008A7D22">
        <w:t>radioeléctricos para</w:t>
      </w:r>
      <w:r w:rsidRPr="0096484E">
        <w:t xml:space="preserve"> la carga de dispositivos móviles/portátiles.</w:t>
      </w:r>
    </w:p>
    <w:p w14:paraId="3635ABC7" w14:textId="77777777" w:rsidR="0028108D" w:rsidRPr="0096484E" w:rsidRDefault="0028108D" w:rsidP="0028108D">
      <w:pPr>
        <w:pStyle w:val="Headingb"/>
        <w:rPr>
          <w:lang w:val="es-ES_tradnl"/>
        </w:rPr>
      </w:pPr>
      <w:bookmarkStart w:id="3" w:name="lt_pId061"/>
      <w:bookmarkEnd w:id="3"/>
      <w:r w:rsidRPr="0096484E">
        <w:rPr>
          <w:lang w:val="es-ES_tradnl"/>
        </w:rPr>
        <w:t>Palabras clave</w:t>
      </w:r>
    </w:p>
    <w:p w14:paraId="440BBA46" w14:textId="77777777" w:rsidR="0028108D" w:rsidRPr="0096484E" w:rsidRDefault="0028108D" w:rsidP="0028108D">
      <w:pPr>
        <w:rPr>
          <w:lang w:val="es-ES_tradnl"/>
        </w:rPr>
      </w:pPr>
      <w:bookmarkStart w:id="4" w:name="lt_pId062"/>
      <w:r w:rsidRPr="0096484E">
        <w:rPr>
          <w:lang w:val="es-ES_tradnl" w:eastAsia="ko-KR"/>
        </w:rPr>
        <w:t xml:space="preserve">Dispositivos de corto alcance, </w:t>
      </w:r>
      <w:r w:rsidRPr="0096484E">
        <w:rPr>
          <w:rFonts w:eastAsia="Calibri"/>
          <w:lang w:val="es-ES_tradnl"/>
        </w:rPr>
        <w:t>ISM, sin haces radioeléctricos,</w:t>
      </w:r>
      <w:r w:rsidRPr="0096484E">
        <w:rPr>
          <w:lang w:val="es-ES_tradnl" w:eastAsia="ko-KR"/>
        </w:rPr>
        <w:t xml:space="preserve"> transmisión inalámbrica de potencia</w:t>
      </w:r>
      <w:bookmarkEnd w:id="4"/>
      <w:r w:rsidRPr="0096484E">
        <w:rPr>
          <w:lang w:val="es-ES_tradnl" w:eastAsia="ko-KR"/>
        </w:rPr>
        <w:t>, móvil, portátil</w:t>
      </w:r>
    </w:p>
    <w:p w14:paraId="10F5E620" w14:textId="77777777" w:rsidR="0028108D" w:rsidRPr="0096484E" w:rsidRDefault="0028108D" w:rsidP="0028108D">
      <w:pPr>
        <w:pStyle w:val="Headingb"/>
        <w:rPr>
          <w:bCs/>
          <w:lang w:val="es-ES_tradnl"/>
        </w:rPr>
      </w:pPr>
      <w:bookmarkStart w:id="5" w:name="lt_pId063"/>
      <w:r w:rsidRPr="0096484E">
        <w:rPr>
          <w:lang w:val="es-ES_tradnl"/>
        </w:rPr>
        <w:t>Siglas/</w:t>
      </w:r>
      <w:bookmarkEnd w:id="5"/>
      <w:r w:rsidRPr="0096484E">
        <w:rPr>
          <w:lang w:val="es-ES_tradnl"/>
        </w:rPr>
        <w:t>Glosario</w:t>
      </w:r>
    </w:p>
    <w:p w14:paraId="448A132C" w14:textId="77777777" w:rsidR="0028108D" w:rsidRPr="0096484E" w:rsidRDefault="0028108D" w:rsidP="0028108D">
      <w:pPr>
        <w:tabs>
          <w:tab w:val="clear" w:pos="794"/>
        </w:tabs>
        <w:rPr>
          <w:lang w:val="es-ES_tradnl" w:eastAsia="zh-CN"/>
        </w:rPr>
      </w:pPr>
      <w:bookmarkStart w:id="6" w:name="lt_pId069"/>
      <w:bookmarkStart w:id="7" w:name="lt_pId064"/>
      <w:r w:rsidRPr="0096484E">
        <w:rPr>
          <w:lang w:val="es-ES_tradnl" w:eastAsia="zh-CN"/>
        </w:rPr>
        <w:t>CEI</w:t>
      </w:r>
      <w:bookmarkEnd w:id="6"/>
      <w:r w:rsidRPr="0096484E">
        <w:rPr>
          <w:lang w:val="es-ES_tradnl" w:eastAsia="zh-CN"/>
        </w:rPr>
        <w:tab/>
        <w:t>Comisión Electrotécnica Internacional</w:t>
      </w:r>
    </w:p>
    <w:p w14:paraId="000E45A5" w14:textId="77777777" w:rsidR="0028108D" w:rsidRDefault="0028108D" w:rsidP="0028108D">
      <w:pPr>
        <w:tabs>
          <w:tab w:val="clear" w:pos="794"/>
        </w:tabs>
        <w:ind w:left="1191" w:hanging="1191"/>
        <w:rPr>
          <w:lang w:val="es-ES_tradnl"/>
        </w:rPr>
      </w:pPr>
      <w:r w:rsidRPr="0096484E">
        <w:rPr>
          <w:lang w:val="es-ES_tradnl"/>
        </w:rPr>
        <w:t>CISPR</w:t>
      </w:r>
      <w:bookmarkEnd w:id="7"/>
      <w:r w:rsidRPr="0096484E">
        <w:rPr>
          <w:lang w:val="es-ES_tradnl"/>
        </w:rPr>
        <w:tab/>
      </w:r>
      <w:bookmarkStart w:id="8" w:name="lt_pId065"/>
      <w:r w:rsidRPr="0096484E">
        <w:rPr>
          <w:lang w:val="es-ES_tradnl"/>
        </w:rPr>
        <w:t>Comité Internacional Especial de interferencia radioeléctrica, del francés «</w:t>
      </w:r>
      <w:r w:rsidRPr="0096484E">
        <w:rPr>
          <w:i/>
          <w:iCs/>
          <w:lang w:val="es-ES_tradnl"/>
        </w:rPr>
        <w:t>Comité International Spécial des Perturbations Radioélectriques</w:t>
      </w:r>
      <w:r w:rsidRPr="0096484E">
        <w:rPr>
          <w:lang w:val="es-ES_tradnl"/>
        </w:rPr>
        <w:t>»</w:t>
      </w:r>
      <w:bookmarkEnd w:id="8"/>
    </w:p>
    <w:p w14:paraId="3E92896F" w14:textId="77777777" w:rsidR="0028108D" w:rsidRPr="0096484E" w:rsidRDefault="0028108D" w:rsidP="0028108D">
      <w:pPr>
        <w:tabs>
          <w:tab w:val="clear" w:pos="794"/>
        </w:tabs>
        <w:ind w:left="1191" w:hanging="1191"/>
        <w:rPr>
          <w:lang w:val="es-ES_tradnl"/>
        </w:rPr>
      </w:pPr>
      <w:r>
        <w:rPr>
          <w:lang w:val="es-ES_tradnl"/>
        </w:rPr>
        <w:t>FPSH</w:t>
      </w:r>
      <w:r>
        <w:rPr>
          <w:lang w:val="es-ES_tradnl"/>
        </w:rPr>
        <w:tab/>
        <w:t>Frecuencias patrón y señales horarias</w:t>
      </w:r>
    </w:p>
    <w:p w14:paraId="16AF2D89" w14:textId="77777777" w:rsidR="0028108D" w:rsidRPr="008A7D22" w:rsidRDefault="0028108D" w:rsidP="0028108D">
      <w:pPr>
        <w:tabs>
          <w:tab w:val="clear" w:pos="794"/>
        </w:tabs>
        <w:rPr>
          <w:lang w:val="es-ES_tradnl" w:eastAsia="ko-KR"/>
        </w:rPr>
      </w:pPr>
      <w:bookmarkStart w:id="9" w:name="lt_pId067"/>
      <w:r w:rsidRPr="0096484E">
        <w:rPr>
          <w:rFonts w:eastAsia="Calibri"/>
          <w:lang w:val="es-ES_tradnl"/>
        </w:rPr>
        <w:t>I</w:t>
      </w:r>
      <w:r>
        <w:rPr>
          <w:rFonts w:eastAsia="Calibri"/>
          <w:lang w:val="es-ES_tradnl"/>
        </w:rPr>
        <w:t>C</w:t>
      </w:r>
      <w:r w:rsidRPr="0096484E">
        <w:rPr>
          <w:rFonts w:eastAsia="Calibri"/>
          <w:lang w:val="es-ES_tradnl"/>
        </w:rPr>
        <w:t>M</w:t>
      </w:r>
      <w:r w:rsidRPr="0096484E">
        <w:rPr>
          <w:rFonts w:eastAsia="Calibri"/>
          <w:lang w:val="es-ES_tradnl"/>
        </w:rPr>
        <w:tab/>
      </w:r>
      <w:bookmarkStart w:id="10" w:name="lt_pId074"/>
      <w:r w:rsidRPr="0096484E">
        <w:rPr>
          <w:rFonts w:eastAsia="Calibri"/>
          <w:lang w:val="es-ES_tradnl"/>
        </w:rPr>
        <w:t xml:space="preserve">Industrial, </w:t>
      </w:r>
      <w:r>
        <w:rPr>
          <w:rFonts w:eastAsia="Calibri"/>
          <w:lang w:val="es-ES_tradnl"/>
        </w:rPr>
        <w:t>c</w:t>
      </w:r>
      <w:r w:rsidRPr="0096484E">
        <w:rPr>
          <w:rFonts w:eastAsia="Calibri"/>
          <w:lang w:val="es-ES_tradnl"/>
        </w:rPr>
        <w:t xml:space="preserve">ientífico, </w:t>
      </w:r>
      <w:bookmarkEnd w:id="10"/>
      <w:r>
        <w:rPr>
          <w:rFonts w:eastAsia="Calibri"/>
          <w:lang w:val="es-ES_tradnl"/>
        </w:rPr>
        <w:t>m</w:t>
      </w:r>
      <w:r w:rsidRPr="0096484E">
        <w:rPr>
          <w:rFonts w:eastAsia="Calibri"/>
          <w:lang w:val="es-ES_tradnl"/>
        </w:rPr>
        <w:t>édico</w:t>
      </w:r>
    </w:p>
    <w:p w14:paraId="5972A973" w14:textId="77777777" w:rsidR="0028108D" w:rsidRPr="008A7D22" w:rsidRDefault="0028108D" w:rsidP="0028108D">
      <w:pPr>
        <w:tabs>
          <w:tab w:val="clear" w:pos="794"/>
        </w:tabs>
        <w:ind w:left="1191" w:hanging="1191"/>
        <w:rPr>
          <w:lang w:val="es-ES_tradnl"/>
        </w:rPr>
      </w:pPr>
      <w:r w:rsidRPr="0096484E">
        <w:rPr>
          <w:lang w:val="es-ES_tradnl"/>
        </w:rPr>
        <w:t>ICNIRP</w:t>
      </w:r>
      <w:r w:rsidRPr="0096484E">
        <w:rPr>
          <w:lang w:val="es-ES_tradnl"/>
        </w:rPr>
        <w:tab/>
        <w:t xml:space="preserve">Comisión Internacional de Protección contra la Radiación no Ionizante </w:t>
      </w:r>
      <w:r w:rsidRPr="008A7D22">
        <w:rPr>
          <w:lang w:val="es-ES_tradnl"/>
        </w:rPr>
        <w:t>(</w:t>
      </w:r>
      <w:r w:rsidRPr="008A7D22">
        <w:rPr>
          <w:i/>
          <w:iCs/>
          <w:lang w:val="es-ES_tradnl"/>
        </w:rPr>
        <w:t>International Commission on Non</w:t>
      </w:r>
      <w:r w:rsidRPr="008A7D22">
        <w:rPr>
          <w:i/>
          <w:iCs/>
          <w:lang w:val="es-ES_tradnl"/>
        </w:rPr>
        <w:noBreakHyphen/>
        <w:t>ionizing Radiation Protection</w:t>
      </w:r>
      <w:r w:rsidRPr="008A7D22">
        <w:rPr>
          <w:lang w:val="es-ES_tradnl"/>
        </w:rPr>
        <w:t>)</w:t>
      </w:r>
    </w:p>
    <w:p w14:paraId="1EDB81F6" w14:textId="77777777" w:rsidR="0028108D" w:rsidRPr="008A7D22" w:rsidRDefault="0028108D" w:rsidP="0028108D">
      <w:pPr>
        <w:tabs>
          <w:tab w:val="clear" w:pos="794"/>
        </w:tabs>
        <w:rPr>
          <w:lang w:val="es-ES_tradnl" w:eastAsia="zh-CN"/>
        </w:rPr>
      </w:pPr>
      <w:bookmarkStart w:id="11" w:name="lt_pId071"/>
      <w:bookmarkEnd w:id="9"/>
      <w:r w:rsidRPr="0096484E">
        <w:rPr>
          <w:lang w:val="es-ES_tradnl" w:eastAsia="zh-CN"/>
        </w:rPr>
        <w:t>ISO</w:t>
      </w:r>
      <w:bookmarkEnd w:id="11"/>
      <w:r w:rsidRPr="0096484E">
        <w:rPr>
          <w:lang w:val="es-ES_tradnl" w:eastAsia="zh-CN"/>
        </w:rPr>
        <w:tab/>
        <w:t xml:space="preserve">Organización Internacional de Normalización </w:t>
      </w:r>
      <w:r w:rsidRPr="008A7D22">
        <w:rPr>
          <w:lang w:val="es-ES_tradnl" w:eastAsia="zh-CN"/>
        </w:rPr>
        <w:t>(</w:t>
      </w:r>
      <w:r w:rsidRPr="008A7D22">
        <w:rPr>
          <w:i/>
          <w:lang w:val="es-ES_tradnl" w:eastAsia="zh-CN"/>
        </w:rPr>
        <w:t>International Standard Organization</w:t>
      </w:r>
      <w:r w:rsidRPr="008A7D22">
        <w:rPr>
          <w:lang w:val="es-ES_tradnl" w:eastAsia="zh-CN"/>
        </w:rPr>
        <w:t>)</w:t>
      </w:r>
    </w:p>
    <w:p w14:paraId="66158465" w14:textId="77777777" w:rsidR="0028108D" w:rsidRPr="0096484E" w:rsidRDefault="0028108D" w:rsidP="0028108D">
      <w:pPr>
        <w:tabs>
          <w:tab w:val="clear" w:pos="794"/>
        </w:tabs>
        <w:rPr>
          <w:lang w:val="es-ES_tradnl"/>
        </w:rPr>
      </w:pPr>
      <w:bookmarkStart w:id="12" w:name="lt_pId081"/>
      <w:bookmarkStart w:id="13" w:name="lt_pId077"/>
      <w:r w:rsidRPr="0096484E">
        <w:rPr>
          <w:lang w:val="es-ES_tradnl"/>
        </w:rPr>
        <w:t>OMS</w:t>
      </w:r>
      <w:bookmarkEnd w:id="12"/>
      <w:r w:rsidRPr="0096484E">
        <w:rPr>
          <w:lang w:val="es-ES_tradnl"/>
        </w:rPr>
        <w:tab/>
        <w:t>Organización Mundial de la Salud</w:t>
      </w:r>
    </w:p>
    <w:p w14:paraId="62850236" w14:textId="77777777" w:rsidR="0028108D" w:rsidRPr="0096484E" w:rsidRDefault="0028108D" w:rsidP="0028108D">
      <w:pPr>
        <w:tabs>
          <w:tab w:val="clear" w:pos="794"/>
        </w:tabs>
        <w:rPr>
          <w:lang w:val="es-ES_tradnl"/>
        </w:rPr>
      </w:pPr>
      <w:r w:rsidRPr="0096484E">
        <w:rPr>
          <w:lang w:val="es-ES_tradnl" w:eastAsia="zh-CN"/>
        </w:rPr>
        <w:t>RR</w:t>
      </w:r>
      <w:bookmarkEnd w:id="13"/>
      <w:r w:rsidRPr="0096484E">
        <w:rPr>
          <w:lang w:val="es-ES_tradnl" w:eastAsia="zh-CN"/>
        </w:rPr>
        <w:tab/>
        <w:t>Reglamento de Radiocomunicaciones</w:t>
      </w:r>
    </w:p>
    <w:p w14:paraId="23B2C48F" w14:textId="77777777" w:rsidR="0028108D" w:rsidRPr="008A7D22" w:rsidRDefault="0028108D" w:rsidP="0028108D">
      <w:pPr>
        <w:tabs>
          <w:tab w:val="clear" w:pos="794"/>
        </w:tabs>
        <w:rPr>
          <w:lang w:val="es-ES_tradnl" w:eastAsia="ko-KR"/>
        </w:rPr>
      </w:pPr>
      <w:r w:rsidRPr="0096484E">
        <w:rPr>
          <w:lang w:val="es-ES_tradnl"/>
        </w:rPr>
        <w:t>TIP</w:t>
      </w:r>
      <w:r w:rsidRPr="0096484E">
        <w:rPr>
          <w:lang w:val="es-ES_tradnl"/>
        </w:rPr>
        <w:tab/>
      </w:r>
      <w:bookmarkStart w:id="14" w:name="lt_pId084"/>
      <w:r w:rsidRPr="0096484E">
        <w:rPr>
          <w:lang w:val="es-ES_tradnl"/>
        </w:rPr>
        <w:t>Transmisión inalámbrica de potencia</w:t>
      </w:r>
      <w:bookmarkEnd w:id="14"/>
    </w:p>
    <w:p w14:paraId="1C2B6DDB" w14:textId="77777777" w:rsidR="0028108D" w:rsidRPr="0096484E" w:rsidRDefault="0028108D" w:rsidP="0028108D">
      <w:pPr>
        <w:pStyle w:val="Headingb"/>
        <w:rPr>
          <w:lang w:val="es-ES_tradnl"/>
        </w:rPr>
      </w:pPr>
      <w:bookmarkStart w:id="15" w:name="lt_pId087"/>
      <w:r w:rsidRPr="0096484E">
        <w:rPr>
          <w:lang w:val="es-ES_tradnl"/>
        </w:rPr>
        <w:t>Recomendaciones e Informes UIT</w:t>
      </w:r>
      <w:r>
        <w:rPr>
          <w:lang w:val="es-ES_tradnl"/>
        </w:rPr>
        <w:t>-R</w:t>
      </w:r>
      <w:r w:rsidRPr="0096484E">
        <w:rPr>
          <w:lang w:val="es-ES_tradnl"/>
        </w:rPr>
        <w:t xml:space="preserve"> conexos</w:t>
      </w:r>
      <w:bookmarkEnd w:id="15"/>
    </w:p>
    <w:p w14:paraId="49221E1C" w14:textId="207AAC6F" w:rsidR="0028108D" w:rsidRDefault="0028108D" w:rsidP="009A0265">
      <w:pPr>
        <w:pStyle w:val="Reftext"/>
        <w:tabs>
          <w:tab w:val="clear" w:pos="794"/>
          <w:tab w:val="clear" w:pos="1191"/>
          <w:tab w:val="left" w:pos="1276"/>
        </w:tabs>
        <w:rPr>
          <w:lang w:val="es-ES_tradnl"/>
        </w:rPr>
      </w:pPr>
      <w:bookmarkStart w:id="16" w:name="lt_pId088"/>
      <w:r w:rsidRPr="0096484E">
        <w:rPr>
          <w:lang w:val="es-ES_tradnl"/>
        </w:rPr>
        <w:t xml:space="preserve">Recomendación UIT-R </w:t>
      </w:r>
      <w:hyperlink r:id="rId14" w:history="1">
        <w:r w:rsidRPr="00887896">
          <w:rPr>
            <w:rStyle w:val="Hyperlink"/>
            <w:color w:val="auto"/>
            <w:u w:val="none"/>
            <w:lang w:val="es-ES_tradnl"/>
          </w:rPr>
          <w:t>SM.1056</w:t>
        </w:r>
      </w:hyperlink>
      <w:r>
        <w:rPr>
          <w:lang w:val="es-ES_tradnl"/>
        </w:rPr>
        <w:t xml:space="preserve"> </w:t>
      </w:r>
      <w:r w:rsidR="00896978" w:rsidRPr="00896978">
        <w:rPr>
          <w:lang w:val="es-ES_tradnl"/>
        </w:rPr>
        <w:t>–</w:t>
      </w:r>
      <w:r>
        <w:rPr>
          <w:lang w:val="es-ES_tradnl"/>
        </w:rPr>
        <w:t xml:space="preserve"> Limitación de las radiaciones procedentes de equipos industriales, científicos y médicos (ICM)</w:t>
      </w:r>
      <w:r w:rsidRPr="0096484E">
        <w:rPr>
          <w:lang w:val="es-ES_tradnl"/>
        </w:rPr>
        <w:t xml:space="preserve"> </w:t>
      </w:r>
    </w:p>
    <w:p w14:paraId="3CE9F0D0" w14:textId="5358CFB0" w:rsidR="0028108D" w:rsidRDefault="0028108D" w:rsidP="009A0265">
      <w:pPr>
        <w:pStyle w:val="Reftext"/>
        <w:rPr>
          <w:lang w:val="es-ES_tradnl"/>
        </w:rPr>
      </w:pPr>
      <w:r w:rsidRPr="0096484E">
        <w:rPr>
          <w:lang w:val="es-ES_tradnl"/>
        </w:rPr>
        <w:t xml:space="preserve">Recomendación UIT-R </w:t>
      </w:r>
      <w:hyperlink r:id="rId15" w:history="1">
        <w:r w:rsidRPr="00887896">
          <w:rPr>
            <w:lang w:val="es-ES_tradnl"/>
          </w:rPr>
          <w:t>SM.1896</w:t>
        </w:r>
      </w:hyperlink>
      <w:r>
        <w:rPr>
          <w:lang w:val="es-ES_tradnl"/>
        </w:rPr>
        <w:t xml:space="preserve"> – Gamas de frecuencia para la armonización mundial o regional de los dispositivos de corto alcance</w:t>
      </w:r>
      <w:r w:rsidRPr="0096484E">
        <w:rPr>
          <w:lang w:val="es-ES_tradnl"/>
        </w:rPr>
        <w:t xml:space="preserve"> </w:t>
      </w:r>
    </w:p>
    <w:p w14:paraId="75C830D4" w14:textId="5A69AEB8" w:rsidR="0028108D" w:rsidRDefault="0028108D" w:rsidP="009A0265">
      <w:pPr>
        <w:pStyle w:val="Reftext"/>
      </w:pPr>
      <w:r w:rsidRPr="00803004">
        <w:t xml:space="preserve">Informe UIT-R </w:t>
      </w:r>
      <w:hyperlink r:id="rId16" w:history="1">
        <w:r w:rsidRPr="00887896">
          <w:t>SM.2153</w:t>
        </w:r>
      </w:hyperlink>
      <w:r w:rsidRPr="00803004">
        <w:t xml:space="preserve"> – Parámetros técnico</w:t>
      </w:r>
      <w:r>
        <w:t>s y de funcionamiento de los dispositivos de radiocomunicaciones de corto alcance y utilización del espectro por los mismos</w:t>
      </w:r>
    </w:p>
    <w:p w14:paraId="1C0629FB" w14:textId="351A697F" w:rsidR="0028108D" w:rsidRDefault="0028108D" w:rsidP="009A0265">
      <w:pPr>
        <w:pStyle w:val="Reftext"/>
      </w:pPr>
      <w:r w:rsidRPr="00803004">
        <w:t xml:space="preserve">Informe UIT-R </w:t>
      </w:r>
      <w:hyperlink r:id="rId17" w:history="1">
        <w:r w:rsidRPr="00887896">
          <w:t>SM.2303</w:t>
        </w:r>
      </w:hyperlink>
      <w:r>
        <w:t xml:space="preserve"> – Transmisión inalámbrica de potencia mediante tecnologías distintas de las de haces radioeléctricos</w:t>
      </w:r>
      <w:r w:rsidRPr="00803004">
        <w:t xml:space="preserve"> </w:t>
      </w:r>
    </w:p>
    <w:p w14:paraId="33854A7E" w14:textId="1D01FD8C" w:rsidR="0028108D" w:rsidRPr="00803004" w:rsidRDefault="0028108D" w:rsidP="009A0265">
      <w:pPr>
        <w:pStyle w:val="Reftext"/>
      </w:pPr>
      <w:r w:rsidRPr="00803004">
        <w:t xml:space="preserve">Informe UIT-R </w:t>
      </w:r>
      <w:hyperlink r:id="rId18" w:history="1">
        <w:r w:rsidRPr="00887896">
          <w:t>SM.2449</w:t>
        </w:r>
      </w:hyperlink>
      <w:r>
        <w:t xml:space="preserve"> – Características técnicas de la transmisión inalámbrica de potencia por inducción sin haces radioeléctricos para dispositivos móviles y portátiles y análisis de su incidencia en los servicios de radiocomunicaciones</w:t>
      </w:r>
      <w:bookmarkEnd w:id="16"/>
    </w:p>
    <w:p w14:paraId="1B87821E" w14:textId="77777777" w:rsidR="0028108D" w:rsidRPr="0096484E" w:rsidRDefault="0028108D" w:rsidP="00896978">
      <w:pPr>
        <w:pStyle w:val="Normalaftertitle"/>
        <w:keepNext/>
        <w:keepLines/>
        <w:rPr>
          <w:lang w:val="es-ES_tradnl"/>
        </w:rPr>
      </w:pPr>
      <w:r w:rsidRPr="0096484E">
        <w:rPr>
          <w:lang w:val="es-ES_tradnl"/>
        </w:rPr>
        <w:lastRenderedPageBreak/>
        <w:t>La Asamblea de Radiocomunicaciones de la UIT,</w:t>
      </w:r>
    </w:p>
    <w:p w14:paraId="3897712C" w14:textId="77777777" w:rsidR="0028108D" w:rsidRPr="0096484E" w:rsidRDefault="0028108D" w:rsidP="0028108D">
      <w:pPr>
        <w:pStyle w:val="Call"/>
        <w:rPr>
          <w:lang w:val="es-ES_tradnl" w:eastAsia="ko-KR"/>
        </w:rPr>
      </w:pPr>
      <w:r w:rsidRPr="0096484E">
        <w:rPr>
          <w:lang w:val="es-ES_tradnl"/>
        </w:rPr>
        <w:t>considerando</w:t>
      </w:r>
    </w:p>
    <w:p w14:paraId="24DD6846" w14:textId="77777777" w:rsidR="0028108D" w:rsidRPr="0096484E" w:rsidRDefault="0028108D" w:rsidP="0028108D">
      <w:pPr>
        <w:rPr>
          <w:lang w:val="es-ES_tradnl" w:eastAsia="ko-KR"/>
        </w:rPr>
      </w:pPr>
      <w:r w:rsidRPr="0096484E">
        <w:rPr>
          <w:i/>
          <w:iCs/>
          <w:lang w:val="es-ES_tradnl" w:eastAsia="ko-KR"/>
        </w:rPr>
        <w:t>a)</w:t>
      </w:r>
      <w:r w:rsidRPr="0096484E">
        <w:rPr>
          <w:lang w:val="es-ES_tradnl" w:eastAsia="ko-KR"/>
        </w:rPr>
        <w:tab/>
        <w:t>que por transmisión inalámbrica de potencia (TIP) se entiende la transmisión de potencia desde una fuente de alimentación a una carga eléctrica de manera inalámbrica mediante el campo electromagnético;</w:t>
      </w:r>
    </w:p>
    <w:p w14:paraId="5CF5FD40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b)</w:t>
      </w:r>
      <w:r w:rsidRPr="0096484E">
        <w:rPr>
          <w:lang w:val="es-ES_tradnl" w:eastAsia="zh-CN"/>
        </w:rPr>
        <w:tab/>
        <w:t>que las tecnologías de TIP utilizan diversos mecanismos tales como la transmisión a través de transmisiones de radiofrecuencia radiadas en el campo lejano (TIP</w:t>
      </w:r>
      <w:r>
        <w:rPr>
          <w:lang w:val="es-ES_tradnl" w:eastAsia="zh-CN"/>
        </w:rPr>
        <w:t xml:space="preserve"> con haces</w:t>
      </w:r>
      <w:r w:rsidRPr="0096484E">
        <w:rPr>
          <w:lang w:val="es-ES_tradnl" w:eastAsia="zh-CN"/>
        </w:rPr>
        <w:t>) y la inducción, la resonancia y el acoplamiento capacitivo en el campo cercano (TIP sin haces);</w:t>
      </w:r>
    </w:p>
    <w:p w14:paraId="64016673" w14:textId="77777777" w:rsidR="0028108D" w:rsidRPr="0096484E" w:rsidRDefault="0028108D" w:rsidP="0028108D">
      <w:pPr>
        <w:rPr>
          <w:szCs w:val="24"/>
          <w:lang w:val="es-ES_tradnl"/>
        </w:rPr>
      </w:pPr>
      <w:r w:rsidRPr="0096484E">
        <w:rPr>
          <w:i/>
          <w:iCs/>
          <w:lang w:val="es-ES_tradnl"/>
        </w:rPr>
        <w:t>c)</w:t>
      </w:r>
      <w:r w:rsidRPr="0096484E">
        <w:rPr>
          <w:lang w:val="es-ES_tradnl"/>
        </w:rPr>
        <w:tab/>
        <w:t>que esas tecnologías de transmisión se utilizan en aplicaciones para cargar dispositivos móviles y portátiles</w:t>
      </w:r>
      <w:r w:rsidRPr="0096484E">
        <w:rPr>
          <w:szCs w:val="24"/>
          <w:lang w:val="es-ES_tradnl"/>
        </w:rPr>
        <w:t>;</w:t>
      </w:r>
    </w:p>
    <w:p w14:paraId="24C440B1" w14:textId="77777777" w:rsidR="0028108D" w:rsidRPr="0096484E" w:rsidRDefault="0028108D" w:rsidP="0028108D">
      <w:pPr>
        <w:rPr>
          <w:lang w:val="es-ES_tradnl"/>
        </w:rPr>
      </w:pPr>
      <w:r w:rsidRPr="0096484E">
        <w:rPr>
          <w:i/>
          <w:lang w:val="es-ES_tradnl"/>
        </w:rPr>
        <w:t>d)</w:t>
      </w:r>
      <w:r w:rsidRPr="0096484E">
        <w:rPr>
          <w:lang w:val="es-ES_tradnl"/>
        </w:rPr>
        <w:tab/>
        <w:t>que existe una demanda potencial por parte de los consumidores de tecnologías TIP y aplicaciones asociadas utilizadas para los dispositivos móviles y portátiles;</w:t>
      </w:r>
    </w:p>
    <w:p w14:paraId="17F283E5" w14:textId="77777777" w:rsidR="0028108D" w:rsidRPr="0096484E" w:rsidRDefault="0028108D" w:rsidP="0028108D">
      <w:pPr>
        <w:rPr>
          <w:lang w:val="es-ES_tradnl"/>
        </w:rPr>
      </w:pPr>
      <w:r w:rsidRPr="0096484E">
        <w:rPr>
          <w:i/>
          <w:iCs/>
          <w:lang w:val="es-ES_tradnl"/>
        </w:rPr>
        <w:t>e)</w:t>
      </w:r>
      <w:r w:rsidRPr="0096484E">
        <w:rPr>
          <w:lang w:val="es-ES_tradnl"/>
        </w:rPr>
        <w:tab/>
        <w:t>que se están elaborando normas TIP a escala nacional, regional e internacional;</w:t>
      </w:r>
    </w:p>
    <w:p w14:paraId="4DBAA781" w14:textId="77777777" w:rsidR="0028108D" w:rsidRPr="0096484E" w:rsidRDefault="0028108D" w:rsidP="0028108D">
      <w:pPr>
        <w:rPr>
          <w:lang w:val="es-ES_tradnl"/>
        </w:rPr>
      </w:pPr>
      <w:r w:rsidRPr="0096484E">
        <w:rPr>
          <w:i/>
          <w:iCs/>
          <w:lang w:val="es-ES_tradnl"/>
        </w:rPr>
        <w:t>f)</w:t>
      </w:r>
      <w:r w:rsidRPr="0096484E">
        <w:rPr>
          <w:lang w:val="es-ES_tradnl"/>
        </w:rPr>
        <w:tab/>
        <w:t xml:space="preserve">que varios consorcios, alianzas </w:t>
      </w:r>
      <w:r w:rsidRPr="0096484E">
        <w:rPr>
          <w:lang w:val="es-ES_tradnl" w:eastAsia="ko-KR"/>
        </w:rPr>
        <w:t>industriales e instituciones académicas han investigado diversas bandas de frecuencias para las tecnologías TIP, incluida</w:t>
      </w:r>
      <w:r w:rsidRPr="0096484E">
        <w:rPr>
          <w:color w:val="000000"/>
          <w:lang w:val="es-ES_tradnl"/>
        </w:rPr>
        <w:t xml:space="preserve"> la tecnología de resonancia magnética e inducción aplicada a dispositivos móviles</w:t>
      </w:r>
      <w:r w:rsidRPr="0096484E">
        <w:rPr>
          <w:lang w:val="es-ES_tradnl" w:eastAsia="ko-KR"/>
        </w:rPr>
        <w:t xml:space="preserve"> en varias gamas de frecuencias</w:t>
      </w:r>
      <w:r w:rsidRPr="0096484E">
        <w:rPr>
          <w:lang w:val="es-ES_tradnl"/>
        </w:rPr>
        <w:t>;</w:t>
      </w:r>
    </w:p>
    <w:p w14:paraId="0CB8EC5D" w14:textId="77777777" w:rsidR="0028108D" w:rsidRPr="0096484E" w:rsidRDefault="0028108D" w:rsidP="0028108D">
      <w:pPr>
        <w:rPr>
          <w:lang w:val="es-ES_tradnl"/>
        </w:rPr>
      </w:pPr>
      <w:r w:rsidRPr="0096484E">
        <w:rPr>
          <w:i/>
          <w:iCs/>
          <w:lang w:val="es-ES_tradnl"/>
        </w:rPr>
        <w:t>g)</w:t>
      </w:r>
      <w:r w:rsidRPr="0096484E">
        <w:rPr>
          <w:lang w:val="es-ES_tradnl"/>
        </w:rPr>
        <w:tab/>
        <w:t>que, a efectos de los estudios de TIP, la frecuencia y la señal horaria normales y los servicios de radioastronomía deben tratarse como servicio de radiocomunicación;</w:t>
      </w:r>
    </w:p>
    <w:p w14:paraId="2D505FDD" w14:textId="77777777" w:rsidR="0028108D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h)</w:t>
      </w:r>
      <w:r w:rsidRPr="0096484E">
        <w:rPr>
          <w:lang w:val="es-ES_tradnl" w:eastAsia="zh-CN"/>
        </w:rPr>
        <w:tab/>
        <w:t xml:space="preserve">que </w:t>
      </w:r>
      <w:r>
        <w:rPr>
          <w:lang w:val="es-ES_tradnl" w:eastAsia="zh-CN"/>
        </w:rPr>
        <w:t>el servicio de frecuencias patrón y señales horarias (FPSH) está destinado a la recepción general y puede ser susceptible a la interferencia causada por dispositivos de TIP;</w:t>
      </w:r>
    </w:p>
    <w:p w14:paraId="7F7A5DF9" w14:textId="03E23EFB" w:rsidR="0028108D" w:rsidRPr="0096484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i)</w:t>
      </w:r>
      <w:r>
        <w:rPr>
          <w:i/>
          <w:iCs/>
          <w:lang w:val="es-ES_tradnl" w:eastAsia="zh-CN"/>
        </w:rPr>
        <w:tab/>
      </w:r>
      <w:r>
        <w:rPr>
          <w:lang w:val="es-ES_tradnl" w:eastAsia="zh-CN"/>
        </w:rPr>
        <w:t xml:space="preserve">que </w:t>
      </w:r>
      <w:r w:rsidRPr="0096484E">
        <w:rPr>
          <w:lang w:val="es-ES_tradnl" w:eastAsia="zh-CN"/>
        </w:rPr>
        <w:t>se han realizado estudios sobre la incidencia de la TIP sin haces para dispositivos móviles y portátiles en los servicios de radiocomunicaciones en las gamas de frecuencias 100-148,5</w:t>
      </w:r>
      <w:r w:rsidR="00896978">
        <w:rPr>
          <w:lang w:val="es-ES_tradnl" w:eastAsia="zh-CN"/>
        </w:rPr>
        <w:t> </w:t>
      </w:r>
      <w:r w:rsidRPr="0096484E">
        <w:rPr>
          <w:lang w:val="es-ES_tradnl" w:eastAsia="zh-CN"/>
        </w:rPr>
        <w:t>kHz</w:t>
      </w:r>
      <w:r w:rsidRPr="00803004">
        <w:t>, 315</w:t>
      </w:r>
      <w:r w:rsidR="00896978">
        <w:noBreakHyphen/>
      </w:r>
      <w:r w:rsidRPr="00803004">
        <w:t>405</w:t>
      </w:r>
      <w:r w:rsidR="00896978">
        <w:t> </w:t>
      </w:r>
      <w:r w:rsidRPr="00803004">
        <w:t>kHz, 1 700</w:t>
      </w:r>
      <w:r w:rsidRPr="00803004">
        <w:noBreakHyphen/>
        <w:t>1 800</w:t>
      </w:r>
      <w:r w:rsidR="00F1479D">
        <w:t> </w:t>
      </w:r>
      <w:r w:rsidRPr="00803004">
        <w:t>kHz</w:t>
      </w:r>
      <w:r>
        <w:t xml:space="preserve"> y</w:t>
      </w:r>
      <w:r w:rsidRPr="00803004">
        <w:t xml:space="preserve"> 2 005-2 150</w:t>
      </w:r>
      <w:r w:rsidR="00896978">
        <w:t> </w:t>
      </w:r>
      <w:r w:rsidRPr="00803004">
        <w:t>kHz</w:t>
      </w:r>
      <w:r>
        <w:t>, que pueden encontrarse en el Informe UIT</w:t>
      </w:r>
      <w:r w:rsidR="00896978">
        <w:rPr>
          <w:lang w:eastAsia="ko-KR"/>
        </w:rPr>
        <w:noBreakHyphen/>
      </w:r>
      <w:r w:rsidRPr="00803004">
        <w:rPr>
          <w:lang w:eastAsia="ko-KR"/>
        </w:rPr>
        <w:t>R</w:t>
      </w:r>
      <w:r w:rsidR="00896978">
        <w:rPr>
          <w:lang w:eastAsia="ko-KR"/>
        </w:rPr>
        <w:t> </w:t>
      </w:r>
      <w:r w:rsidRPr="00803004">
        <w:rPr>
          <w:lang w:eastAsia="ko-KR"/>
        </w:rPr>
        <w:t>SM.2449</w:t>
      </w:r>
      <w:r w:rsidRPr="0096484E">
        <w:rPr>
          <w:lang w:val="es-ES_tradnl" w:eastAsia="zh-CN"/>
        </w:rPr>
        <w:t>;</w:t>
      </w:r>
    </w:p>
    <w:p w14:paraId="14741E9C" w14:textId="77777777" w:rsidR="0028108D" w:rsidRPr="0096484E" w:rsidRDefault="0028108D" w:rsidP="0028108D">
      <w:pPr>
        <w:rPr>
          <w:lang w:val="es-ES_tradnl"/>
        </w:rPr>
      </w:pPr>
      <w:r>
        <w:rPr>
          <w:i/>
          <w:iCs/>
          <w:lang w:val="es-ES_tradnl" w:eastAsia="zh-CN"/>
        </w:rPr>
        <w:t>j</w:t>
      </w:r>
      <w:r w:rsidRPr="0096484E">
        <w:rPr>
          <w:i/>
          <w:iCs/>
          <w:lang w:val="es-ES_tradnl" w:eastAsia="zh-CN"/>
        </w:rPr>
        <w:t>)</w:t>
      </w:r>
      <w:r w:rsidRPr="0096484E">
        <w:rPr>
          <w:lang w:val="es-ES_tradnl" w:eastAsia="zh-CN"/>
        </w:rPr>
        <w:tab/>
        <w:t xml:space="preserve">que a medida que proliferan los dispositivos </w:t>
      </w:r>
      <w:r>
        <w:rPr>
          <w:lang w:val="es-ES_tradnl" w:eastAsia="zh-CN"/>
        </w:rPr>
        <w:t xml:space="preserve">de </w:t>
      </w:r>
      <w:r w:rsidRPr="0096484E">
        <w:rPr>
          <w:lang w:val="es-ES_tradnl" w:eastAsia="zh-CN"/>
        </w:rPr>
        <w:t>TIP a escala mundial, el UIT-R está desarrollando orientaciones para reducir al mínimo las repercusiones ligadas a la utilización de tecnologías TIP sobre</w:t>
      </w:r>
      <w:r w:rsidRPr="0096484E">
        <w:rPr>
          <w:lang w:val="es-ES_tradnl" w:eastAsia="ko-KR"/>
        </w:rPr>
        <w:t xml:space="preserve"> los servicios de radiocomunicaciones, en particular el </w:t>
      </w:r>
      <w:r w:rsidRPr="0096484E">
        <w:rPr>
          <w:color w:val="000000"/>
          <w:lang w:val="es-ES_tradnl"/>
        </w:rPr>
        <w:t>servicio de frecuencias patrón y señales horarias y el servicio de radioastronomía</w:t>
      </w:r>
      <w:r w:rsidRPr="0096484E">
        <w:rPr>
          <w:lang w:val="es-ES_tradnl"/>
        </w:rPr>
        <w:t>;</w:t>
      </w:r>
    </w:p>
    <w:p w14:paraId="45C6F19B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k)</w:t>
      </w:r>
      <w:r w:rsidRPr="0096484E">
        <w:rPr>
          <w:lang w:val="es-ES_tradnl" w:eastAsia="zh-CN"/>
        </w:rPr>
        <w:tab/>
        <w:t xml:space="preserve">que para atenuar las repercusiones de los dispositivos </w:t>
      </w:r>
      <w:r>
        <w:rPr>
          <w:lang w:val="es-ES_tradnl" w:eastAsia="zh-CN"/>
        </w:rPr>
        <w:t xml:space="preserve">de </w:t>
      </w:r>
      <w:r w:rsidRPr="0096484E">
        <w:rPr>
          <w:lang w:val="es-ES_tradnl" w:eastAsia="zh-CN"/>
        </w:rPr>
        <w:t>TIP en la explotación de los servicios de radiocomunicaciones, ciertas soluciones utilizan bandas concebidas para aplicaciones industriales, científicas y médicas (ICM);</w:t>
      </w:r>
    </w:p>
    <w:p w14:paraId="7C2FA437" w14:textId="77777777" w:rsidR="0028108D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l)</w:t>
      </w:r>
      <w:r w:rsidRPr="0096484E">
        <w:rPr>
          <w:lang w:val="es-ES_tradnl" w:eastAsia="zh-CN"/>
        </w:rPr>
        <w:tab/>
        <w:t xml:space="preserve">que diversas organizaciones internacionales estudian las cuestiones relativas a la exposición a radiación no ionizante, como la Organización Mundial de la Salud (OMS), </w:t>
      </w:r>
      <w:r>
        <w:rPr>
          <w:lang w:val="es-ES_tradnl" w:eastAsia="zh-CN"/>
        </w:rPr>
        <w:t xml:space="preserve">la </w:t>
      </w:r>
      <w:r w:rsidRPr="0096484E">
        <w:rPr>
          <w:lang w:val="es-ES_tradnl" w:eastAsia="zh-CN"/>
        </w:rPr>
        <w:t>Comisión Internacional de Protección contra la Radiación no Ionizante (ICNIRP) y el TC106 de la Comisión Electrotécnica Internacional (CEI), y que las directrices ICNIRP 2010 e ICNIRP 1998 proporcionan directrices para limitar la exposición hasta 10 MHz y hasta 300 GHz, respectivamente</w:t>
      </w:r>
      <w:r>
        <w:rPr>
          <w:lang w:val="es-ES_tradnl" w:eastAsia="zh-CN"/>
        </w:rPr>
        <w:t>;</w:t>
      </w:r>
    </w:p>
    <w:p w14:paraId="4ABBDB2D" w14:textId="1E2B2B73" w:rsidR="0028108D" w:rsidRPr="0096484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m)</w:t>
      </w:r>
      <w:r>
        <w:rPr>
          <w:i/>
          <w:iCs/>
          <w:lang w:val="es-ES_tradnl" w:eastAsia="zh-CN"/>
        </w:rPr>
        <w:tab/>
      </w:r>
      <w:r>
        <w:rPr>
          <w:lang w:val="es-ES_tradnl" w:eastAsia="zh-CN"/>
        </w:rPr>
        <w:t>que en el Informe UIT-R SM.2449 se presentan los análisis de incidencia de la TIP por inducción sin haces para di</w:t>
      </w:r>
      <w:r w:rsidR="0034041A">
        <w:rPr>
          <w:lang w:val="es-ES_tradnl" w:eastAsia="zh-CN"/>
        </w:rPr>
        <w:t>s</w:t>
      </w:r>
      <w:r>
        <w:rPr>
          <w:lang w:val="es-ES_tradnl" w:eastAsia="zh-CN"/>
        </w:rPr>
        <w:t>positivos móviles y portátiles en los servicios de radiocomunicaciones</w:t>
      </w:r>
      <w:r w:rsidRPr="0096484E">
        <w:rPr>
          <w:lang w:val="es-ES_tradnl" w:eastAsia="zh-CN"/>
        </w:rPr>
        <w:t>,</w:t>
      </w:r>
    </w:p>
    <w:p w14:paraId="23D4174E" w14:textId="77777777" w:rsidR="0028108D" w:rsidRPr="0096484E" w:rsidRDefault="0028108D" w:rsidP="0028108D">
      <w:pPr>
        <w:pStyle w:val="Call"/>
        <w:rPr>
          <w:lang w:val="es-ES_tradnl" w:eastAsia="zh-CN"/>
        </w:rPr>
      </w:pPr>
      <w:r w:rsidRPr="0096484E">
        <w:rPr>
          <w:lang w:val="es-ES_tradnl" w:eastAsia="zh-CN"/>
        </w:rPr>
        <w:t>reconociendo</w:t>
      </w:r>
    </w:p>
    <w:p w14:paraId="1A8EC987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a)</w:t>
      </w:r>
      <w:r w:rsidRPr="0096484E">
        <w:rPr>
          <w:lang w:val="es-ES_tradnl" w:eastAsia="zh-CN"/>
        </w:rPr>
        <w:tab/>
        <w:t xml:space="preserve">que la TIP no es un servicio de radiocomunicaciones ni está consignada en ninguna categoría del Reglamento de Radiocomunicaciones (RR), pero puede considerarse sujeta a los números </w:t>
      </w:r>
      <w:r w:rsidRPr="0096484E">
        <w:rPr>
          <w:b/>
          <w:bCs/>
          <w:lang w:val="es-ES_tradnl" w:eastAsia="zh-CN"/>
        </w:rPr>
        <w:t>15.12</w:t>
      </w:r>
      <w:r w:rsidRPr="0096484E">
        <w:rPr>
          <w:lang w:val="es-ES_tradnl" w:eastAsia="zh-CN"/>
        </w:rPr>
        <w:t xml:space="preserve"> y </w:t>
      </w:r>
      <w:r w:rsidRPr="0096484E">
        <w:rPr>
          <w:b/>
          <w:bCs/>
          <w:lang w:val="es-ES_tradnl" w:eastAsia="zh-CN"/>
        </w:rPr>
        <w:t>15.13</w:t>
      </w:r>
      <w:r w:rsidRPr="0096484E">
        <w:rPr>
          <w:lang w:val="es-ES_tradnl" w:eastAsia="zh-CN"/>
        </w:rPr>
        <w:t>, según sea el caso;</w:t>
      </w:r>
    </w:p>
    <w:p w14:paraId="72D610BD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b)</w:t>
      </w:r>
      <w:r w:rsidRPr="0096484E">
        <w:rPr>
          <w:lang w:val="es-ES_tradnl" w:eastAsia="zh-CN"/>
        </w:rPr>
        <w:tab/>
        <w:t>que los criterios para proteger a los distintos servicios de radiocomunicaciones frente a la interferencia perjudicial se especifican en las Recomendaciones UIT-R existentes;</w:t>
      </w:r>
    </w:p>
    <w:p w14:paraId="194D148E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lastRenderedPageBreak/>
        <w:t>c)</w:t>
      </w:r>
      <w:r w:rsidRPr="0096484E">
        <w:rPr>
          <w:lang w:val="es-ES_tradnl" w:eastAsia="zh-CN"/>
        </w:rPr>
        <w:tab/>
        <w:t>que tanto consumidores como fabricantes pueden beneficiarse de gamas de frecuencias y condiciones técnicas armonizadas para las tecnologías TIP;</w:t>
      </w:r>
    </w:p>
    <w:p w14:paraId="3D1A42A9" w14:textId="77777777" w:rsidR="0028108D" w:rsidRPr="0096484E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d)</w:t>
      </w:r>
      <w:r w:rsidRPr="0096484E">
        <w:rPr>
          <w:lang w:val="es-ES_tradnl" w:eastAsia="zh-CN"/>
        </w:rPr>
        <w:tab/>
        <w:t>que las bandas de frecuencias designadas para aplicaciones ICM se han utilizado satisfactoriamente en el pasado para el desarrollo y proliferación de tecnologías innovadoras de conformidad con el RR;</w:t>
      </w:r>
    </w:p>
    <w:p w14:paraId="337C1447" w14:textId="0E410749" w:rsidR="0028108D" w:rsidRDefault="0028108D" w:rsidP="0028108D">
      <w:pPr>
        <w:rPr>
          <w:lang w:val="es-ES_tradnl" w:eastAsia="zh-CN"/>
        </w:rPr>
      </w:pPr>
      <w:r w:rsidRPr="0096484E">
        <w:rPr>
          <w:i/>
          <w:iCs/>
          <w:lang w:val="es-ES_tradnl" w:eastAsia="zh-CN"/>
        </w:rPr>
        <w:t>e)</w:t>
      </w:r>
      <w:r w:rsidRPr="0096484E">
        <w:rPr>
          <w:lang w:val="es-ES_tradnl" w:eastAsia="zh-CN"/>
        </w:rPr>
        <w:tab/>
        <w:t>que la banda 6</w:t>
      </w:r>
      <w:r w:rsidR="00887896">
        <w:rPr>
          <w:lang w:val="es-ES_tradnl" w:eastAsia="zh-CN"/>
        </w:rPr>
        <w:t> </w:t>
      </w:r>
      <w:r w:rsidRPr="0096484E">
        <w:rPr>
          <w:lang w:val="es-ES_tradnl" w:eastAsia="zh-CN"/>
        </w:rPr>
        <w:t>765</w:t>
      </w:r>
      <w:r w:rsidR="00887896">
        <w:rPr>
          <w:lang w:val="es-ES_tradnl" w:eastAsia="zh-CN"/>
        </w:rPr>
        <w:noBreakHyphen/>
      </w:r>
      <w:r w:rsidRPr="0096484E">
        <w:rPr>
          <w:lang w:val="es-ES_tradnl" w:eastAsia="zh-CN"/>
        </w:rPr>
        <w:t>6</w:t>
      </w:r>
      <w:r w:rsidR="00887896">
        <w:rPr>
          <w:lang w:val="es-ES_tradnl" w:eastAsia="zh-CN"/>
        </w:rPr>
        <w:t> </w:t>
      </w:r>
      <w:r w:rsidRPr="0096484E">
        <w:rPr>
          <w:lang w:val="es-ES_tradnl" w:eastAsia="zh-CN"/>
        </w:rPr>
        <w:t>795</w:t>
      </w:r>
      <w:r w:rsidR="00887896">
        <w:rPr>
          <w:lang w:val="es-ES_tradnl" w:eastAsia="zh-CN"/>
        </w:rPr>
        <w:t> </w:t>
      </w:r>
      <w:r w:rsidRPr="0096484E">
        <w:rPr>
          <w:lang w:val="es-ES_tradnl" w:eastAsia="zh-CN"/>
        </w:rPr>
        <w:t xml:space="preserve">kHz, designada también para ICM en el número </w:t>
      </w:r>
      <w:r w:rsidRPr="0096484E">
        <w:rPr>
          <w:b/>
          <w:bCs/>
          <w:lang w:val="es-ES_tradnl" w:eastAsia="zh-CN"/>
        </w:rPr>
        <w:t>5.138</w:t>
      </w:r>
      <w:r w:rsidRPr="0096484E">
        <w:rPr>
          <w:lang w:val="es-ES_tradnl" w:eastAsia="zh-CN"/>
        </w:rPr>
        <w:t xml:space="preserve"> del RR, presenta ventajas para TIP cuando se utilizan tecnologías de resonancia magnética en aplicaciones de recarga de dispositivos móviles/portátiles;</w:t>
      </w:r>
    </w:p>
    <w:p w14:paraId="3A22BB30" w14:textId="6B8F3B85" w:rsidR="0028108D" w:rsidRPr="00DD69D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f)</w:t>
      </w:r>
      <w:r>
        <w:rPr>
          <w:lang w:val="es-ES_tradnl" w:eastAsia="zh-CN"/>
        </w:rPr>
        <w:tab/>
        <w:t>que se ha descubierto que la banda 13 553-13 567</w:t>
      </w:r>
      <w:r w:rsidR="00896978">
        <w:rPr>
          <w:lang w:val="es-ES_tradnl" w:eastAsia="zh-CN"/>
        </w:rPr>
        <w:t> </w:t>
      </w:r>
      <w:r>
        <w:rPr>
          <w:lang w:val="es-ES_tradnl" w:eastAsia="zh-CN"/>
        </w:rPr>
        <w:t xml:space="preserve">kHz, designada para su utilización para ICM en el número </w:t>
      </w:r>
      <w:r>
        <w:rPr>
          <w:b/>
          <w:bCs/>
          <w:lang w:val="es-ES_tradnl" w:eastAsia="zh-CN"/>
        </w:rPr>
        <w:t>5.150</w:t>
      </w:r>
      <w:r>
        <w:rPr>
          <w:lang w:val="es-ES_tradnl" w:eastAsia="zh-CN"/>
        </w:rPr>
        <w:t xml:space="preserve"> del RR, también es ventajosa para la TIP mediante tecnologías de resonancia magnética en aplicaciones de carta de dispositivos móviles y portátiles;</w:t>
      </w:r>
    </w:p>
    <w:p w14:paraId="617400A5" w14:textId="77777777" w:rsidR="0028108D" w:rsidRPr="0096484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g</w:t>
      </w:r>
      <w:r w:rsidRPr="0096484E">
        <w:rPr>
          <w:i/>
          <w:iCs/>
          <w:lang w:val="es-ES_tradnl" w:eastAsia="zh-CN"/>
        </w:rPr>
        <w:t>)</w:t>
      </w:r>
      <w:r w:rsidRPr="0096484E">
        <w:rPr>
          <w:i/>
          <w:iCs/>
          <w:lang w:val="es-ES_tradnl" w:eastAsia="zh-CN"/>
        </w:rPr>
        <w:tab/>
      </w:r>
      <w:r w:rsidRPr="0096484E">
        <w:rPr>
          <w:lang w:val="es-ES_tradnl" w:eastAsia="zh-CN"/>
        </w:rPr>
        <w:t>que algunas administraciones clasifican la transferencia de energía TIP como una aplicación ICM, incluso para el funcionamiento fuera de las bandas designadas para ICM;</w:t>
      </w:r>
    </w:p>
    <w:p w14:paraId="3A499C79" w14:textId="77777777" w:rsidR="0028108D" w:rsidRPr="0096484E" w:rsidRDefault="0028108D" w:rsidP="0028108D">
      <w:pPr>
        <w:rPr>
          <w:i/>
          <w:iCs/>
          <w:lang w:val="es-ES_tradnl" w:eastAsia="zh-CN"/>
        </w:rPr>
      </w:pPr>
      <w:r>
        <w:rPr>
          <w:i/>
          <w:iCs/>
          <w:lang w:val="es-ES_tradnl" w:eastAsia="zh-CN"/>
        </w:rPr>
        <w:t>h</w:t>
      </w:r>
      <w:r w:rsidRPr="0096484E">
        <w:rPr>
          <w:i/>
          <w:iCs/>
          <w:lang w:val="es-ES_tradnl" w:eastAsia="zh-CN"/>
        </w:rPr>
        <w:t>)</w:t>
      </w:r>
      <w:r w:rsidRPr="0096484E">
        <w:rPr>
          <w:lang w:val="es-ES_tradnl" w:eastAsia="zh-CN"/>
        </w:rPr>
        <w:tab/>
        <w:t xml:space="preserve">que algunas administraciones clasifican </w:t>
      </w:r>
      <w:r>
        <w:rPr>
          <w:lang w:val="es-ES_tradnl" w:eastAsia="zh-CN"/>
        </w:rPr>
        <w:t>la</w:t>
      </w:r>
      <w:r w:rsidRPr="0096484E">
        <w:rPr>
          <w:lang w:val="es-ES_tradnl" w:eastAsia="zh-CN"/>
        </w:rPr>
        <w:t xml:space="preserve"> TIP sin haces </w:t>
      </w:r>
      <w:r>
        <w:rPr>
          <w:lang w:val="es-ES_tradnl" w:eastAsia="zh-CN"/>
        </w:rPr>
        <w:t xml:space="preserve">para dispositivos móviles y portátiles </w:t>
      </w:r>
      <w:r w:rsidRPr="0096484E">
        <w:rPr>
          <w:lang w:val="es-ES_tradnl" w:eastAsia="zh-CN"/>
        </w:rPr>
        <w:t>como aplicaciones radioeléctricas como los dispositivos de corto alcance;</w:t>
      </w:r>
    </w:p>
    <w:p w14:paraId="3504A254" w14:textId="77777777" w:rsidR="0028108D" w:rsidRPr="0096484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i</w:t>
      </w:r>
      <w:r w:rsidRPr="0096484E">
        <w:rPr>
          <w:i/>
          <w:iCs/>
          <w:lang w:val="es-ES_tradnl" w:eastAsia="zh-CN"/>
        </w:rPr>
        <w:t>)</w:t>
      </w:r>
      <w:r w:rsidRPr="0096484E">
        <w:rPr>
          <w:lang w:val="es-ES_tradnl" w:eastAsia="zh-CN"/>
        </w:rPr>
        <w:tab/>
        <w:t xml:space="preserve">que para la utilización armonizada a escala mundial o regional de </w:t>
      </w:r>
      <w:r>
        <w:rPr>
          <w:lang w:val="es-ES_tradnl" w:eastAsia="zh-CN"/>
        </w:rPr>
        <w:t xml:space="preserve">la </w:t>
      </w:r>
      <w:r w:rsidRPr="0096484E">
        <w:rPr>
          <w:lang w:val="es-ES_tradnl" w:eastAsia="zh-CN"/>
        </w:rPr>
        <w:t>TIP</w:t>
      </w:r>
      <w:r>
        <w:rPr>
          <w:lang w:val="es-ES_tradnl" w:eastAsia="zh-CN"/>
        </w:rPr>
        <w:t xml:space="preserve"> sin haces para dispositivos móviles y portátiles</w:t>
      </w:r>
      <w:r w:rsidRPr="0096484E">
        <w:rPr>
          <w:lang w:val="es-ES_tradnl" w:eastAsia="zh-CN"/>
        </w:rPr>
        <w:t xml:space="preserve"> específica se están examinando bandas distintas de las utilizadas para las aplicaciones ICM;</w:t>
      </w:r>
    </w:p>
    <w:p w14:paraId="0DD4383A" w14:textId="77777777" w:rsidR="0028108D" w:rsidRPr="0096484E" w:rsidRDefault="0028108D" w:rsidP="0028108D">
      <w:pPr>
        <w:rPr>
          <w:lang w:val="es-ES_tradnl" w:eastAsia="zh-CN"/>
        </w:rPr>
      </w:pPr>
      <w:r>
        <w:rPr>
          <w:i/>
          <w:iCs/>
          <w:lang w:val="es-ES_tradnl" w:eastAsia="zh-CN"/>
        </w:rPr>
        <w:t>j</w:t>
      </w:r>
      <w:r w:rsidRPr="0096484E">
        <w:rPr>
          <w:i/>
          <w:iCs/>
          <w:lang w:val="es-ES_tradnl" w:eastAsia="zh-CN"/>
        </w:rPr>
        <w:t>)</w:t>
      </w:r>
      <w:r w:rsidRPr="0096484E">
        <w:rPr>
          <w:lang w:val="es-ES_tradnl" w:eastAsia="zh-CN"/>
        </w:rPr>
        <w:tab/>
        <w:t>que la transferencia de energía TIP puede ser tratada separadamente de las comunicaciones de datos, especialmente cuando el dispositivo receptor recibe comunicaciones de datos a una frecuencia diferente a la de transmisión de potencia;</w:t>
      </w:r>
    </w:p>
    <w:p w14:paraId="217DB608" w14:textId="77777777" w:rsidR="0028108D" w:rsidRPr="0096484E" w:rsidRDefault="0028108D" w:rsidP="0028108D">
      <w:pPr>
        <w:rPr>
          <w:i/>
          <w:iCs/>
          <w:lang w:val="es-ES_tradnl" w:eastAsia="ko-KR"/>
        </w:rPr>
      </w:pPr>
      <w:r>
        <w:rPr>
          <w:i/>
          <w:iCs/>
          <w:lang w:val="es-ES_tradnl" w:eastAsia="ko-KR"/>
        </w:rPr>
        <w:t>k</w:t>
      </w:r>
      <w:r w:rsidRPr="0096484E">
        <w:rPr>
          <w:i/>
          <w:iCs/>
          <w:lang w:val="es-ES_tradnl" w:eastAsia="ko-KR"/>
        </w:rPr>
        <w:t>)</w:t>
      </w:r>
      <w:r w:rsidRPr="0096484E">
        <w:rPr>
          <w:i/>
          <w:iCs/>
          <w:lang w:val="es-ES_tradnl" w:eastAsia="ko-KR"/>
        </w:rPr>
        <w:tab/>
      </w:r>
      <w:r w:rsidRPr="0096484E">
        <w:rPr>
          <w:lang w:val="es-ES_tradnl" w:eastAsia="ko-KR"/>
        </w:rPr>
        <w:t>que en ausencia de una carga, la TIP se apaga automáticamente y luego sondea o busca la carga con un ciclo de trabajo muy pequeño</w:t>
      </w:r>
      <w:r w:rsidRPr="0096484E">
        <w:rPr>
          <w:lang w:val="es-ES_tradnl"/>
        </w:rPr>
        <w:t>;</w:t>
      </w:r>
    </w:p>
    <w:p w14:paraId="6EBD03C8" w14:textId="77777777" w:rsidR="0028108D" w:rsidRPr="0096484E" w:rsidRDefault="0028108D" w:rsidP="0028108D">
      <w:pPr>
        <w:rPr>
          <w:lang w:val="es-ES_tradnl" w:eastAsia="ko-KR"/>
        </w:rPr>
      </w:pPr>
      <w:r>
        <w:rPr>
          <w:i/>
          <w:iCs/>
          <w:lang w:val="es-ES_tradnl" w:eastAsia="ko-KR"/>
        </w:rPr>
        <w:t>l</w:t>
      </w:r>
      <w:r w:rsidRPr="0096484E">
        <w:rPr>
          <w:i/>
          <w:iCs/>
          <w:lang w:val="es-ES_tradnl" w:eastAsia="ko-KR"/>
        </w:rPr>
        <w:t>)</w:t>
      </w:r>
      <w:r w:rsidRPr="0096484E">
        <w:rPr>
          <w:lang w:val="es-ES_tradnl" w:eastAsia="ko-KR"/>
        </w:rPr>
        <w:tab/>
        <w:t>que para la TIP (sin haces) la potencia radiada es muy inferior a la potencia RF transferida (la mayor parte de potencia se transfiere al receptor por mecanismos tales como el acoplamiento capacitivo, resonante e inductivo);</w:t>
      </w:r>
    </w:p>
    <w:p w14:paraId="6446F64E" w14:textId="77777777" w:rsidR="0028108D" w:rsidRPr="0096484E" w:rsidRDefault="0028108D" w:rsidP="0028108D">
      <w:pPr>
        <w:rPr>
          <w:i/>
          <w:iCs/>
          <w:lang w:val="es-ES_tradnl" w:eastAsia="ko-KR"/>
        </w:rPr>
      </w:pPr>
      <w:r>
        <w:rPr>
          <w:i/>
          <w:iCs/>
          <w:lang w:val="es-ES_tradnl"/>
        </w:rPr>
        <w:t>m</w:t>
      </w:r>
      <w:r w:rsidRPr="0096484E">
        <w:rPr>
          <w:i/>
          <w:iCs/>
          <w:lang w:val="es-ES_tradnl"/>
        </w:rPr>
        <w:t>)</w:t>
      </w:r>
      <w:r w:rsidRPr="0096484E">
        <w:rPr>
          <w:lang w:val="es-ES_tradnl"/>
        </w:rPr>
        <w:tab/>
        <w:t>que la Recomendación UIT-R SM.1056 relativa a la limitación de la radiación procedente de equipos ICM, recomienda que las administraciones consideren la utilización de la última edición de la publicación 11 del CISPR, y que dichos límites no protegen necesariamente a los servicios de radiocomunicaciones,</w:t>
      </w:r>
    </w:p>
    <w:p w14:paraId="116408D9" w14:textId="77777777" w:rsidR="0028108D" w:rsidRPr="0096484E" w:rsidRDefault="0028108D" w:rsidP="0028108D">
      <w:pPr>
        <w:pStyle w:val="Call"/>
        <w:rPr>
          <w:lang w:val="es-ES_tradnl"/>
        </w:rPr>
      </w:pPr>
      <w:r w:rsidRPr="0096484E">
        <w:rPr>
          <w:lang w:val="es-ES_tradnl"/>
        </w:rPr>
        <w:t>observando</w:t>
      </w:r>
    </w:p>
    <w:p w14:paraId="45B41FA2" w14:textId="77777777" w:rsidR="0028108D" w:rsidRPr="0096484E" w:rsidRDefault="0028108D" w:rsidP="0028108D">
      <w:pPr>
        <w:rPr>
          <w:rFonts w:eastAsia="Calibri"/>
          <w:lang w:val="es-ES_tradnl"/>
        </w:rPr>
      </w:pPr>
      <w:r w:rsidRPr="0096484E">
        <w:rPr>
          <w:lang w:val="es-ES_tradnl" w:eastAsia="zh-CN"/>
        </w:rPr>
        <w:t>que la Comisión Electrotécnica Internacional (CEI) ha publicado el Informe Técnico CEI/TR 62869 sobre transferencia inalámbrica de potencia (TIP) para sistemas y equipos audio, vídeo y multimedios, elaborado por el TC 100</w:t>
      </w:r>
      <w:r w:rsidRPr="0096484E">
        <w:rPr>
          <w:rFonts w:eastAsia="Calibri"/>
          <w:lang w:val="es-ES_tradnl"/>
        </w:rPr>
        <w:t>,</w:t>
      </w:r>
    </w:p>
    <w:p w14:paraId="2A2E6989" w14:textId="77777777" w:rsidR="0028108D" w:rsidRPr="0096484E" w:rsidRDefault="0028108D" w:rsidP="0028108D">
      <w:pPr>
        <w:pStyle w:val="Call"/>
        <w:rPr>
          <w:lang w:val="es-ES_tradnl"/>
        </w:rPr>
      </w:pPr>
      <w:r w:rsidRPr="0096484E">
        <w:rPr>
          <w:lang w:val="es-ES_tradnl"/>
        </w:rPr>
        <w:t>recomienda</w:t>
      </w:r>
    </w:p>
    <w:p w14:paraId="519384E2" w14:textId="77777777" w:rsidR="0028108D" w:rsidRPr="0096484E" w:rsidRDefault="0028108D" w:rsidP="0028108D">
      <w:pPr>
        <w:rPr>
          <w:lang w:val="es-ES_tradnl"/>
        </w:rPr>
      </w:pPr>
      <w:r w:rsidRPr="00887896">
        <w:rPr>
          <w:lang w:val="es-ES_tradnl"/>
        </w:rPr>
        <w:t>1</w:t>
      </w:r>
      <w:r w:rsidRPr="00887896">
        <w:rPr>
          <w:lang w:val="es-ES_tradnl"/>
        </w:rPr>
        <w:tab/>
      </w:r>
      <w:r w:rsidRPr="0096484E">
        <w:rPr>
          <w:lang w:val="es-ES_tradnl"/>
        </w:rPr>
        <w:t xml:space="preserve">que las administraciones consideren a título orientativo la utilización de la gama de frecuencias indicada en el Cuadro 1, o porciones de la misma, </w:t>
      </w:r>
      <w:r>
        <w:rPr>
          <w:lang w:val="es-ES_tradnl"/>
        </w:rPr>
        <w:t>con miras a</w:t>
      </w:r>
      <w:r w:rsidRPr="0096484E">
        <w:rPr>
          <w:lang w:val="es-ES_tradnl"/>
        </w:rPr>
        <w:t xml:space="preserve"> la explotación de </w:t>
      </w:r>
      <w:r>
        <w:rPr>
          <w:lang w:val="es-ES_tradnl"/>
        </w:rPr>
        <w:t xml:space="preserve">la </w:t>
      </w:r>
      <w:r w:rsidRPr="0096484E">
        <w:rPr>
          <w:lang w:val="es-ES_tradnl"/>
        </w:rPr>
        <w:t>TIP sin haces para dispositivos móviles y portátiles;</w:t>
      </w:r>
    </w:p>
    <w:p w14:paraId="235DC352" w14:textId="77777777" w:rsidR="0028108D" w:rsidRPr="0096484E" w:rsidRDefault="0028108D" w:rsidP="0028108D">
      <w:pPr>
        <w:rPr>
          <w:lang w:val="es-ES_tradnl"/>
        </w:rPr>
      </w:pPr>
      <w:r w:rsidRPr="00887896">
        <w:rPr>
          <w:lang w:val="es-ES_tradnl"/>
        </w:rPr>
        <w:t>2</w:t>
      </w:r>
      <w:r w:rsidRPr="00887896">
        <w:rPr>
          <w:lang w:val="es-ES_tradnl"/>
        </w:rPr>
        <w:tab/>
      </w:r>
      <w:r w:rsidRPr="0096484E">
        <w:rPr>
          <w:lang w:val="es-ES_tradnl"/>
        </w:rPr>
        <w:t xml:space="preserve">que deben tomarse las medidas necesarias para garantizar que la TIP sin haces </w:t>
      </w:r>
      <w:r>
        <w:rPr>
          <w:lang w:val="es-ES_tradnl"/>
        </w:rPr>
        <w:t xml:space="preserve">para dispositivos móviles y portátiles </w:t>
      </w:r>
      <w:r w:rsidRPr="0096484E">
        <w:rPr>
          <w:lang w:val="es-ES_tradnl"/>
        </w:rPr>
        <w:t xml:space="preserve">no causan interferencia perjudicial a los servicios de radiocomunicaciones, comprendidos </w:t>
      </w:r>
      <w:r w:rsidRPr="0096484E">
        <w:rPr>
          <w:lang w:val="es-ES_tradnl" w:eastAsia="zh-CN"/>
        </w:rPr>
        <w:t>e</w:t>
      </w:r>
      <w:r w:rsidRPr="0096484E">
        <w:rPr>
          <w:lang w:val="es-ES_tradnl" w:eastAsia="ko-KR"/>
        </w:rPr>
        <w:t xml:space="preserve">l </w:t>
      </w:r>
      <w:r w:rsidRPr="0096484E">
        <w:rPr>
          <w:color w:val="000000"/>
          <w:lang w:val="es-ES_tradnl"/>
        </w:rPr>
        <w:t>servicio de frecuencias patrón y señales horarias y el servicio de radioastronomía, de manera que se mantengan protegidos de la energía de radiofrecuencias liberada por l</w:t>
      </w:r>
      <w:r>
        <w:rPr>
          <w:color w:val="000000"/>
          <w:lang w:val="es-ES_tradnl"/>
        </w:rPr>
        <w:t>a</w:t>
      </w:r>
      <w:r w:rsidRPr="0096484E">
        <w:rPr>
          <w:color w:val="000000"/>
          <w:lang w:val="es-ES_tradnl"/>
        </w:rPr>
        <w:t xml:space="preserve"> TIP </w:t>
      </w:r>
      <w:r>
        <w:rPr>
          <w:color w:val="000000"/>
          <w:lang w:val="es-ES_tradnl"/>
        </w:rPr>
        <w:t xml:space="preserve">para dispositivos móviles y portátiles </w:t>
      </w:r>
      <w:r w:rsidRPr="0096484E">
        <w:rPr>
          <w:lang w:val="es-ES_tradnl"/>
        </w:rPr>
        <w:t>en todas las bandas.</w:t>
      </w:r>
    </w:p>
    <w:p w14:paraId="5F1AE5DF" w14:textId="77777777" w:rsidR="0028108D" w:rsidRPr="0096484E" w:rsidRDefault="0028108D" w:rsidP="0028108D">
      <w:pPr>
        <w:pStyle w:val="TableNo"/>
        <w:rPr>
          <w:lang w:val="es-ES_tradnl"/>
        </w:rPr>
      </w:pPr>
      <w:r w:rsidRPr="0096484E">
        <w:rPr>
          <w:lang w:val="es-ES_tradnl"/>
        </w:rPr>
        <w:lastRenderedPageBreak/>
        <w:t>CUADRO 1</w:t>
      </w:r>
    </w:p>
    <w:p w14:paraId="25F187FC" w14:textId="77777777" w:rsidR="0028108D" w:rsidRPr="0096484E" w:rsidRDefault="0028108D" w:rsidP="0028108D">
      <w:pPr>
        <w:pStyle w:val="Tabletitle"/>
        <w:rPr>
          <w:lang w:val="es-ES_tradnl"/>
        </w:rPr>
      </w:pPr>
      <w:r w:rsidRPr="0096484E">
        <w:rPr>
          <w:lang w:val="es-ES_tradnl"/>
        </w:rPr>
        <w:t>Gama</w:t>
      </w:r>
      <w:r>
        <w:rPr>
          <w:lang w:val="es-ES_tradnl"/>
        </w:rPr>
        <w:t>s</w:t>
      </w:r>
      <w:r w:rsidRPr="0096484E">
        <w:rPr>
          <w:lang w:val="es-ES_tradnl"/>
        </w:rPr>
        <w:t xml:space="preserve"> de frecuencias para la explotación de </w:t>
      </w:r>
      <w:r>
        <w:rPr>
          <w:lang w:val="es-ES_tradnl"/>
        </w:rPr>
        <w:t xml:space="preserve">la </w:t>
      </w:r>
      <w:r w:rsidRPr="0096484E">
        <w:rPr>
          <w:lang w:val="es-ES_tradnl"/>
        </w:rPr>
        <w:t>TIP sin haces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 w:rsidRPr="00CC6083">
        <w:rPr>
          <w:lang w:val="es-ES_tradnl"/>
        </w:rPr>
        <w:t>radioeléctricos para dispositivos móviles y portátiles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569"/>
        <w:gridCol w:w="6070"/>
      </w:tblGrid>
      <w:tr w:rsidR="0028108D" w:rsidRPr="00887896" w14:paraId="30C8A9EE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9E92" w14:textId="77777777" w:rsidR="0028108D" w:rsidRPr="00887896" w:rsidRDefault="0028108D" w:rsidP="00803004">
            <w:pPr>
              <w:pStyle w:val="Tablehead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Gama de frecuencias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094" w14:textId="77777777" w:rsidR="0028108D" w:rsidRPr="00887896" w:rsidRDefault="0028108D" w:rsidP="00803004">
            <w:pPr>
              <w:pStyle w:val="Tablehead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 xml:space="preserve">Tecnología y aplicaciones adecuadas de TIP sin haces </w:t>
            </w:r>
          </w:p>
        </w:tc>
      </w:tr>
      <w:tr w:rsidR="0028108D" w:rsidRPr="00887896" w14:paraId="5C084FE9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2F9" w14:textId="65C48F6C" w:rsidR="0028108D" w:rsidRPr="00887896" w:rsidRDefault="0028108D" w:rsidP="00887896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</w:rPr>
              <w:t>100-148,5</w:t>
            </w:r>
            <w:r w:rsidR="005E71E7" w:rsidRPr="00887896">
              <w:rPr>
                <w:rFonts w:ascii="Times New Roman" w:hAnsi="Times New Roman" w:cs="Times New Roman"/>
              </w:rPr>
              <w:t> </w:t>
            </w:r>
            <w:r w:rsidRPr="00887896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72F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Tecnología inductiva o de resonancia magnética</w:t>
            </w:r>
          </w:p>
        </w:tc>
      </w:tr>
      <w:tr w:rsidR="0028108D" w:rsidRPr="00887896" w14:paraId="76A39B2B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5AE" w14:textId="1F22195F" w:rsidR="0028108D" w:rsidRPr="00887896" w:rsidRDefault="0028108D" w:rsidP="00887896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</w:rPr>
              <w:t>315-405</w:t>
            </w:r>
            <w:r w:rsidR="005E71E7" w:rsidRPr="00887896">
              <w:rPr>
                <w:rFonts w:ascii="Times New Roman" w:hAnsi="Times New Roman" w:cs="Times New Roman"/>
              </w:rPr>
              <w:t> </w:t>
            </w:r>
            <w:r w:rsidRPr="00887896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D99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Tecnología inductiva</w:t>
            </w:r>
          </w:p>
        </w:tc>
      </w:tr>
      <w:tr w:rsidR="0028108D" w:rsidRPr="00887896" w14:paraId="6625D60A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2BC" w14:textId="0470E166" w:rsidR="0028108D" w:rsidRPr="00887896" w:rsidRDefault="0028108D" w:rsidP="00887896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</w:rPr>
              <w:t>1 700-1 800</w:t>
            </w:r>
            <w:r w:rsidR="005E71E7" w:rsidRPr="00887896">
              <w:rPr>
                <w:rFonts w:ascii="Times New Roman" w:hAnsi="Times New Roman" w:cs="Times New Roman"/>
              </w:rPr>
              <w:t> </w:t>
            </w:r>
            <w:r w:rsidRPr="00887896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8B6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Tecnología inductiva</w:t>
            </w:r>
          </w:p>
        </w:tc>
      </w:tr>
      <w:tr w:rsidR="0028108D" w:rsidRPr="00887896" w14:paraId="101B7182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B5D" w14:textId="74BC756F" w:rsidR="0028108D" w:rsidRPr="00887896" w:rsidRDefault="0028108D" w:rsidP="00887896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</w:rPr>
              <w:t>2 005-2 170</w:t>
            </w:r>
            <w:r w:rsidR="005E71E7" w:rsidRPr="00887896">
              <w:rPr>
                <w:rFonts w:ascii="Times New Roman" w:hAnsi="Times New Roman" w:cs="Times New Roman"/>
              </w:rPr>
              <w:t> </w:t>
            </w:r>
            <w:r w:rsidRPr="00887896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0AE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Tecnología inductiva</w:t>
            </w:r>
          </w:p>
        </w:tc>
      </w:tr>
      <w:tr w:rsidR="0028108D" w:rsidRPr="00887896" w14:paraId="5980BC35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4A18" w14:textId="09C6CFC7" w:rsidR="0028108D" w:rsidRPr="00887896" w:rsidRDefault="0028108D" w:rsidP="00887896">
            <w:pPr>
              <w:pStyle w:val="Tabletext"/>
              <w:keepNext/>
              <w:keepLines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6 765</w:t>
            </w:r>
            <w:r w:rsidRPr="00887896">
              <w:rPr>
                <w:rFonts w:ascii="Times New Roman" w:hAnsi="Times New Roman" w:cs="Times New Roman"/>
                <w:lang w:val="es-ES_tradnl"/>
              </w:rPr>
              <w:noBreakHyphen/>
              <w:t>6 795</w:t>
            </w:r>
            <w:r w:rsidR="005E71E7" w:rsidRPr="00887896">
              <w:rPr>
                <w:rFonts w:ascii="Times New Roman" w:hAnsi="Times New Roman" w:cs="Times New Roman"/>
                <w:lang w:val="es-ES_tradnl"/>
              </w:rPr>
              <w:t> </w:t>
            </w:r>
            <w:r w:rsidRPr="00887896">
              <w:rPr>
                <w:rFonts w:ascii="Times New Roman" w:hAnsi="Times New Roman" w:cs="Times New Roman"/>
                <w:lang w:val="es-ES_tradnl"/>
              </w:rPr>
              <w:t>kHz</w:t>
            </w:r>
            <w:r w:rsidRPr="00887896">
              <w:rPr>
                <w:rFonts w:ascii="Times New Roman" w:hAnsi="Times New Roman" w:cs="Times New Roman"/>
                <w:lang w:val="es-ES_tradnl"/>
              </w:rPr>
              <w:br/>
              <w:t xml:space="preserve">Nota: Véase el número </w:t>
            </w:r>
            <w:r w:rsidRPr="00887896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5.138 </w:t>
            </w:r>
            <w:r w:rsidRPr="00887896">
              <w:rPr>
                <w:rFonts w:ascii="Times New Roman" w:hAnsi="Times New Roman" w:cs="Times New Roman"/>
                <w:lang w:val="es-ES_tradnl"/>
              </w:rPr>
              <w:t>del RR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13B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  <w:lang w:val="es-ES_tradnl"/>
              </w:rPr>
            </w:pPr>
            <w:r w:rsidRPr="00887896">
              <w:rPr>
                <w:rFonts w:ascii="Times New Roman" w:hAnsi="Times New Roman" w:cs="Times New Roman"/>
                <w:lang w:val="es-ES_tradnl"/>
              </w:rPr>
              <w:t>Tecnología inductiva o de resonancia magnética</w:t>
            </w:r>
          </w:p>
        </w:tc>
      </w:tr>
      <w:tr w:rsidR="0028108D" w:rsidRPr="00887896" w14:paraId="48698AAF" w14:textId="77777777" w:rsidTr="00887896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D1F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  <w:r w:rsidRPr="00887896">
              <w:rPr>
                <w:rFonts w:ascii="Times New Roman" w:hAnsi="Times New Roman" w:cs="Times New Roman"/>
              </w:rPr>
              <w:t>13 553-13567 kHz</w:t>
            </w:r>
          </w:p>
          <w:p w14:paraId="1FECDF5F" w14:textId="1CAFCD75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  <w:r w:rsidRPr="00887896">
              <w:rPr>
                <w:rFonts w:ascii="Times New Roman" w:hAnsi="Times New Roman" w:cs="Times New Roman"/>
              </w:rPr>
              <w:t xml:space="preserve">Nota: Véase el número </w:t>
            </w:r>
            <w:r w:rsidRPr="00887896">
              <w:rPr>
                <w:rFonts w:ascii="Times New Roman" w:hAnsi="Times New Roman" w:cs="Times New Roman"/>
                <w:b/>
                <w:bCs/>
              </w:rPr>
              <w:t>5.150</w:t>
            </w:r>
            <w:r w:rsidRPr="00887896">
              <w:rPr>
                <w:rFonts w:ascii="Times New Roman" w:hAnsi="Times New Roman" w:cs="Times New Roman"/>
              </w:rPr>
              <w:t xml:space="preserve"> del RR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292" w14:textId="77777777" w:rsidR="0028108D" w:rsidRPr="00887896" w:rsidRDefault="0028108D" w:rsidP="00887896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  <w:r w:rsidRPr="00887896">
              <w:rPr>
                <w:rFonts w:ascii="Times New Roman" w:hAnsi="Times New Roman" w:cs="Times New Roman"/>
              </w:rPr>
              <w:t>Tecnología inductiva o de resonancia magnética</w:t>
            </w:r>
          </w:p>
        </w:tc>
      </w:tr>
      <w:tr w:rsidR="0028108D" w:rsidRPr="00887896" w14:paraId="7ED4CCB7" w14:textId="77777777" w:rsidTr="00887896">
        <w:trPr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A27C8" w14:textId="5AEDFCE6" w:rsidR="0028108D" w:rsidRPr="00887896" w:rsidRDefault="0028108D" w:rsidP="00803004">
            <w:pPr>
              <w:pStyle w:val="Tabletext"/>
              <w:jc w:val="left"/>
              <w:rPr>
                <w:rFonts w:ascii="Times New Roman" w:hAnsi="Times New Roman" w:cs="Times New Roman"/>
              </w:rPr>
            </w:pPr>
            <w:r w:rsidRPr="00887896">
              <w:rPr>
                <w:rFonts w:ascii="Times New Roman" w:hAnsi="Times New Roman" w:cs="Times New Roman"/>
                <w:i/>
                <w:iCs/>
              </w:rPr>
              <w:t>Nota</w:t>
            </w:r>
            <w:r w:rsidRPr="00887896">
              <w:rPr>
                <w:rFonts w:ascii="Times New Roman" w:hAnsi="Times New Roman" w:cs="Times New Roman"/>
              </w:rPr>
              <w:t>: A</w:t>
            </w:r>
            <w:r w:rsidR="0034041A" w:rsidRPr="00887896">
              <w:rPr>
                <w:rFonts w:ascii="Times New Roman" w:hAnsi="Times New Roman" w:cs="Times New Roman"/>
              </w:rPr>
              <w:t>lgu</w:t>
            </w:r>
            <w:r w:rsidRPr="00887896">
              <w:rPr>
                <w:rFonts w:ascii="Times New Roman" w:hAnsi="Times New Roman" w:cs="Times New Roman"/>
              </w:rPr>
              <w:t xml:space="preserve">nas </w:t>
            </w:r>
            <w:r w:rsidR="0034041A" w:rsidRPr="00887896">
              <w:rPr>
                <w:rFonts w:ascii="Times New Roman" w:hAnsi="Times New Roman" w:cs="Times New Roman"/>
              </w:rPr>
              <w:t>d</w:t>
            </w:r>
            <w:r w:rsidRPr="00887896">
              <w:rPr>
                <w:rFonts w:ascii="Times New Roman" w:hAnsi="Times New Roman" w:cs="Times New Roman"/>
              </w:rPr>
              <w:t>e</w:t>
            </w:r>
            <w:r w:rsidR="0034041A" w:rsidRPr="00887896">
              <w:rPr>
                <w:rFonts w:ascii="Times New Roman" w:hAnsi="Times New Roman" w:cs="Times New Roman"/>
              </w:rPr>
              <w:t xml:space="preserve"> </w:t>
            </w:r>
            <w:r w:rsidRPr="00887896">
              <w:rPr>
                <w:rFonts w:ascii="Times New Roman" w:hAnsi="Times New Roman" w:cs="Times New Roman"/>
              </w:rPr>
              <w:t>las gamas de frecuencias (o partes de las mismas) del cuadro anterior pueden no estar disponibles para la TIP sin haces para dispositivos móviles y portátiles en algunos países a casa de las diferentes condiciones reglamentarias y atribuciones nacionales.</w:t>
            </w:r>
          </w:p>
        </w:tc>
      </w:tr>
    </w:tbl>
    <w:p w14:paraId="44BE7700" w14:textId="77777777" w:rsidR="0028108D" w:rsidRDefault="0028108D" w:rsidP="00887896"/>
    <w:p w14:paraId="5ED50FE8" w14:textId="77777777" w:rsidR="00887896" w:rsidRPr="00803004" w:rsidRDefault="00887896" w:rsidP="00887896">
      <w:pPr>
        <w:pStyle w:val="Line"/>
      </w:pPr>
    </w:p>
    <w:sectPr w:rsidR="00887896" w:rsidRPr="00803004" w:rsidSect="007565CC">
      <w:footerReference w:type="default" r:id="rId19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B9CC" w14:textId="77777777" w:rsidR="0028108D" w:rsidRDefault="0028108D">
      <w:r>
        <w:separator/>
      </w:r>
    </w:p>
  </w:endnote>
  <w:endnote w:type="continuationSeparator" w:id="0">
    <w:p w14:paraId="7D989A06" w14:textId="77777777" w:rsidR="0028108D" w:rsidRDefault="002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0778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201A836E" wp14:editId="3430D653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6EB7" w14:textId="77777777" w:rsidR="00C15F3E" w:rsidRDefault="00C1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FF81" w14:textId="77777777" w:rsidR="0028108D" w:rsidRDefault="0028108D">
      <w:r>
        <w:separator/>
      </w:r>
    </w:p>
  </w:footnote>
  <w:footnote w:type="continuationSeparator" w:id="0">
    <w:p w14:paraId="194D3472" w14:textId="77777777" w:rsidR="0028108D" w:rsidRDefault="002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D718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54CDFA9E" w14:textId="77777777" w:rsidTr="0019307B">
      <w:tc>
        <w:tcPr>
          <w:tcW w:w="4634" w:type="dxa"/>
          <w:vAlign w:val="center"/>
        </w:tcPr>
        <w:p w14:paraId="5B7760C4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0DC8360B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16C9C18F" w14:textId="77777777" w:rsidTr="0019307B">
      <w:tc>
        <w:tcPr>
          <w:tcW w:w="4634" w:type="dxa"/>
          <w:vAlign w:val="center"/>
        </w:tcPr>
        <w:p w14:paraId="7D146932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13148F4A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55133CDA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9FADAEB" wp14:editId="77AD1BF2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7" name="Picture 7" descr="ITU Publicaci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 Publicaci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6040E" wp14:editId="32A671B7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41A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E124FFC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655126" wp14:editId="67E6E63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A30C7" id="docshapegroup6" o:spid="_x0000_s1026" alt="Header separator line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2EBF" w14:textId="213720F1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8108D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5D2696">
      <w:rPr>
        <w:b/>
        <w:bCs/>
        <w:noProof/>
        <w:lang w:val="en-US"/>
      </w:rPr>
      <w:t>UIT-R  SM.2129-1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103D" w14:textId="7CB65BC1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28108D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5D2696">
      <w:rPr>
        <w:b/>
        <w:bCs/>
        <w:noProof/>
      </w:rPr>
      <w:t>UIT-R  SM.2129-1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8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8D"/>
    <w:rsid w:val="00013002"/>
    <w:rsid w:val="000246E0"/>
    <w:rsid w:val="00036EE3"/>
    <w:rsid w:val="00072484"/>
    <w:rsid w:val="00095530"/>
    <w:rsid w:val="00096612"/>
    <w:rsid w:val="000A4A32"/>
    <w:rsid w:val="000B1B2B"/>
    <w:rsid w:val="000B7683"/>
    <w:rsid w:val="000C063F"/>
    <w:rsid w:val="000D0677"/>
    <w:rsid w:val="000E0548"/>
    <w:rsid w:val="000E6A6E"/>
    <w:rsid w:val="00102934"/>
    <w:rsid w:val="00120C75"/>
    <w:rsid w:val="00147110"/>
    <w:rsid w:val="001511A6"/>
    <w:rsid w:val="00171C4D"/>
    <w:rsid w:val="0017562F"/>
    <w:rsid w:val="0019307B"/>
    <w:rsid w:val="001B0927"/>
    <w:rsid w:val="001B164E"/>
    <w:rsid w:val="001B7886"/>
    <w:rsid w:val="001F38BB"/>
    <w:rsid w:val="002058CE"/>
    <w:rsid w:val="002165F1"/>
    <w:rsid w:val="00233211"/>
    <w:rsid w:val="00244030"/>
    <w:rsid w:val="00250AFE"/>
    <w:rsid w:val="00260B24"/>
    <w:rsid w:val="0027411A"/>
    <w:rsid w:val="00276D21"/>
    <w:rsid w:val="0028108D"/>
    <w:rsid w:val="00282DCF"/>
    <w:rsid w:val="00296D7F"/>
    <w:rsid w:val="002A5D45"/>
    <w:rsid w:val="002B3CF6"/>
    <w:rsid w:val="002B3E59"/>
    <w:rsid w:val="002C768A"/>
    <w:rsid w:val="002D0BD7"/>
    <w:rsid w:val="002D76C4"/>
    <w:rsid w:val="002F5199"/>
    <w:rsid w:val="00301DB3"/>
    <w:rsid w:val="00305119"/>
    <w:rsid w:val="003157F1"/>
    <w:rsid w:val="0034041A"/>
    <w:rsid w:val="00346EC2"/>
    <w:rsid w:val="00356B5D"/>
    <w:rsid w:val="00357707"/>
    <w:rsid w:val="00362071"/>
    <w:rsid w:val="0036627C"/>
    <w:rsid w:val="003E5516"/>
    <w:rsid w:val="003F4B75"/>
    <w:rsid w:val="00410651"/>
    <w:rsid w:val="00420DFD"/>
    <w:rsid w:val="00421428"/>
    <w:rsid w:val="00425BC7"/>
    <w:rsid w:val="00437A76"/>
    <w:rsid w:val="004604B2"/>
    <w:rsid w:val="00470E28"/>
    <w:rsid w:val="0047379B"/>
    <w:rsid w:val="00474170"/>
    <w:rsid w:val="00477729"/>
    <w:rsid w:val="004842E2"/>
    <w:rsid w:val="00486EB3"/>
    <w:rsid w:val="004934C5"/>
    <w:rsid w:val="004A6FEB"/>
    <w:rsid w:val="004E61FF"/>
    <w:rsid w:val="005373E0"/>
    <w:rsid w:val="00556548"/>
    <w:rsid w:val="00571B1C"/>
    <w:rsid w:val="00576D47"/>
    <w:rsid w:val="00586EF8"/>
    <w:rsid w:val="005B0371"/>
    <w:rsid w:val="005B49AB"/>
    <w:rsid w:val="005B50E7"/>
    <w:rsid w:val="005C47A1"/>
    <w:rsid w:val="005C4BAB"/>
    <w:rsid w:val="005D2696"/>
    <w:rsid w:val="005E12A5"/>
    <w:rsid w:val="005E69F0"/>
    <w:rsid w:val="005E6B1C"/>
    <w:rsid w:val="005E71E7"/>
    <w:rsid w:val="005E7B4F"/>
    <w:rsid w:val="005F003B"/>
    <w:rsid w:val="005F2E73"/>
    <w:rsid w:val="00601882"/>
    <w:rsid w:val="00607D68"/>
    <w:rsid w:val="00613212"/>
    <w:rsid w:val="006149B1"/>
    <w:rsid w:val="00640332"/>
    <w:rsid w:val="00680D2B"/>
    <w:rsid w:val="00681B32"/>
    <w:rsid w:val="0069322D"/>
    <w:rsid w:val="00697887"/>
    <w:rsid w:val="006B1D2B"/>
    <w:rsid w:val="006B1E05"/>
    <w:rsid w:val="006C37D5"/>
    <w:rsid w:val="006E1131"/>
    <w:rsid w:val="006E2037"/>
    <w:rsid w:val="006E6199"/>
    <w:rsid w:val="00712870"/>
    <w:rsid w:val="00714AC0"/>
    <w:rsid w:val="0074147D"/>
    <w:rsid w:val="00743D85"/>
    <w:rsid w:val="00744F8B"/>
    <w:rsid w:val="00747D6E"/>
    <w:rsid w:val="00753CF4"/>
    <w:rsid w:val="007565CC"/>
    <w:rsid w:val="007624B1"/>
    <w:rsid w:val="00763B9A"/>
    <w:rsid w:val="007A6AA8"/>
    <w:rsid w:val="007B1357"/>
    <w:rsid w:val="007B3343"/>
    <w:rsid w:val="008310C9"/>
    <w:rsid w:val="008335F0"/>
    <w:rsid w:val="00834306"/>
    <w:rsid w:val="00853CC5"/>
    <w:rsid w:val="00877E6E"/>
    <w:rsid w:val="00887896"/>
    <w:rsid w:val="00896978"/>
    <w:rsid w:val="008B083A"/>
    <w:rsid w:val="008B56B2"/>
    <w:rsid w:val="008C7848"/>
    <w:rsid w:val="00906589"/>
    <w:rsid w:val="00906AD6"/>
    <w:rsid w:val="00917AF2"/>
    <w:rsid w:val="0092418A"/>
    <w:rsid w:val="00934ED7"/>
    <w:rsid w:val="00940D16"/>
    <w:rsid w:val="009543C3"/>
    <w:rsid w:val="00965E15"/>
    <w:rsid w:val="00966E1B"/>
    <w:rsid w:val="00972F51"/>
    <w:rsid w:val="00984A02"/>
    <w:rsid w:val="009947C0"/>
    <w:rsid w:val="009A0265"/>
    <w:rsid w:val="009A4039"/>
    <w:rsid w:val="009A41F9"/>
    <w:rsid w:val="009D4BBD"/>
    <w:rsid w:val="009F2D2C"/>
    <w:rsid w:val="009F2D88"/>
    <w:rsid w:val="009F5580"/>
    <w:rsid w:val="00A03C0E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6DD2"/>
    <w:rsid w:val="00A936CB"/>
    <w:rsid w:val="00A971A1"/>
    <w:rsid w:val="00AA3AD8"/>
    <w:rsid w:val="00AB0DC8"/>
    <w:rsid w:val="00AB405C"/>
    <w:rsid w:val="00AC015D"/>
    <w:rsid w:val="00AE698D"/>
    <w:rsid w:val="00AF0286"/>
    <w:rsid w:val="00AF5326"/>
    <w:rsid w:val="00B019A2"/>
    <w:rsid w:val="00B0286E"/>
    <w:rsid w:val="00B033C8"/>
    <w:rsid w:val="00B111CE"/>
    <w:rsid w:val="00B33425"/>
    <w:rsid w:val="00B42334"/>
    <w:rsid w:val="00B44E24"/>
    <w:rsid w:val="00B54ECC"/>
    <w:rsid w:val="00B60AC0"/>
    <w:rsid w:val="00B714F3"/>
    <w:rsid w:val="00B75A52"/>
    <w:rsid w:val="00B874C6"/>
    <w:rsid w:val="00B87B6B"/>
    <w:rsid w:val="00B9169E"/>
    <w:rsid w:val="00B96572"/>
    <w:rsid w:val="00BB7886"/>
    <w:rsid w:val="00BC5D77"/>
    <w:rsid w:val="00BD4283"/>
    <w:rsid w:val="00BF487A"/>
    <w:rsid w:val="00BF5544"/>
    <w:rsid w:val="00C15F3E"/>
    <w:rsid w:val="00C46BD9"/>
    <w:rsid w:val="00C55258"/>
    <w:rsid w:val="00C6581B"/>
    <w:rsid w:val="00C73560"/>
    <w:rsid w:val="00C84DB7"/>
    <w:rsid w:val="00C87A35"/>
    <w:rsid w:val="00CB0F14"/>
    <w:rsid w:val="00CD659B"/>
    <w:rsid w:val="00CE0A43"/>
    <w:rsid w:val="00CF130D"/>
    <w:rsid w:val="00D00118"/>
    <w:rsid w:val="00D0483A"/>
    <w:rsid w:val="00D16749"/>
    <w:rsid w:val="00D5024B"/>
    <w:rsid w:val="00D61962"/>
    <w:rsid w:val="00D72623"/>
    <w:rsid w:val="00D83556"/>
    <w:rsid w:val="00DE5556"/>
    <w:rsid w:val="00DF4176"/>
    <w:rsid w:val="00E0095C"/>
    <w:rsid w:val="00E17240"/>
    <w:rsid w:val="00E74595"/>
    <w:rsid w:val="00E766F1"/>
    <w:rsid w:val="00E77485"/>
    <w:rsid w:val="00EB1CB6"/>
    <w:rsid w:val="00EB7C57"/>
    <w:rsid w:val="00ED2695"/>
    <w:rsid w:val="00ED3CA8"/>
    <w:rsid w:val="00EE04BA"/>
    <w:rsid w:val="00EE47C4"/>
    <w:rsid w:val="00EF2D52"/>
    <w:rsid w:val="00F111D6"/>
    <w:rsid w:val="00F1479D"/>
    <w:rsid w:val="00F17CED"/>
    <w:rsid w:val="00F30C9B"/>
    <w:rsid w:val="00F354B1"/>
    <w:rsid w:val="00F354D7"/>
    <w:rsid w:val="00F430AB"/>
    <w:rsid w:val="00F6343F"/>
    <w:rsid w:val="00F72776"/>
    <w:rsid w:val="00F77360"/>
    <w:rsid w:val="00F92A40"/>
    <w:rsid w:val="00FB0E4E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."/>
  <w:listSeparator w:val=","/>
  <w14:docId w14:val="6280BBA1"/>
  <w15:docId w15:val="{256ADFC9-3CEB-4B22-B705-0ACEBDC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8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A936CB"/>
    <w:pPr>
      <w:outlineLvl w:val="4"/>
    </w:pPr>
  </w:style>
  <w:style w:type="paragraph" w:styleId="Heading6">
    <w:name w:val="heading 6"/>
    <w:basedOn w:val="Heading4"/>
    <w:next w:val="Normal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36CB"/>
    <w:pPr>
      <w:outlineLvl w:val="6"/>
    </w:pPr>
  </w:style>
  <w:style w:type="paragraph" w:styleId="Heading8">
    <w:name w:val="heading 8"/>
    <w:basedOn w:val="Heading6"/>
    <w:next w:val="Normal"/>
    <w:qFormat/>
    <w:rsid w:val="00A936CB"/>
    <w:pPr>
      <w:outlineLvl w:val="7"/>
    </w:pPr>
  </w:style>
  <w:style w:type="paragraph" w:styleId="Heading9">
    <w:name w:val="heading 9"/>
    <w:basedOn w:val="Heading6"/>
    <w:next w:val="Normal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link w:val="HeadingbChar"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A936CB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link w:val="RectitleChar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887896"/>
    <w:pPr>
      <w:spacing w:before="240"/>
    </w:pPr>
    <w:rPr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8878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link w:val="TableNoChar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basedOn w:val="DefaultParagraphFont"/>
    <w:semiHidden/>
    <w:rsid w:val="00A936CB"/>
    <w:rPr>
      <w:position w:val="6"/>
      <w:sz w:val="18"/>
    </w:rPr>
  </w:style>
  <w:style w:type="paragraph" w:styleId="FootnoteText">
    <w:name w:val="footnote text"/>
    <w:basedOn w:val="Normal"/>
    <w:semiHidden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semiHidden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A936CB"/>
  </w:style>
  <w:style w:type="paragraph" w:styleId="TOC6">
    <w:name w:val="toc 6"/>
    <w:basedOn w:val="TOC4"/>
    <w:semiHidden/>
    <w:rsid w:val="00A936CB"/>
  </w:style>
  <w:style w:type="paragraph" w:styleId="TOC7">
    <w:name w:val="toc 7"/>
    <w:basedOn w:val="TOC4"/>
    <w:semiHidden/>
    <w:rsid w:val="00A936CB"/>
  </w:style>
  <w:style w:type="paragraph" w:styleId="TOC8">
    <w:name w:val="toc 8"/>
    <w:basedOn w:val="TOC4"/>
    <w:semiHidden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link w:val="TabletitleChar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887896"/>
    <w:pPr>
      <w:spacing w:after="480"/>
    </w:pPr>
    <w:rPr>
      <w:sz w:val="22"/>
      <w:lang w:val="es-ES_tradnl" w:eastAsia="ko-KR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47C4"/>
    <w:rPr>
      <w:sz w:val="24"/>
      <w:lang w:val="fr-FR" w:eastAsia="en-US"/>
    </w:rPr>
  </w:style>
  <w:style w:type="table" w:styleId="TableGrid">
    <w:name w:val="Table Grid"/>
    <w:basedOn w:val="TableNormal"/>
    <w:uiPriority w:val="59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NormalaftertitleChar">
    <w:name w:val="Normal_after_title Char"/>
    <w:link w:val="Normalaftertitle"/>
    <w:locked/>
    <w:rsid w:val="0028108D"/>
    <w:rPr>
      <w:sz w:val="24"/>
      <w:lang w:val="es-ES" w:eastAsia="en-US"/>
    </w:rPr>
  </w:style>
  <w:style w:type="character" w:customStyle="1" w:styleId="CallChar">
    <w:name w:val="Call Char"/>
    <w:link w:val="Call"/>
    <w:locked/>
    <w:rsid w:val="0028108D"/>
    <w:rPr>
      <w:i/>
      <w:sz w:val="24"/>
      <w:lang w:val="es-ES" w:eastAsia="en-US"/>
    </w:rPr>
  </w:style>
  <w:style w:type="character" w:customStyle="1" w:styleId="TabletextChar">
    <w:name w:val="Table_text Char"/>
    <w:link w:val="Tabletext"/>
    <w:locked/>
    <w:rsid w:val="0028108D"/>
    <w:rPr>
      <w:sz w:val="22"/>
      <w:lang w:val="es-ES" w:eastAsia="en-US"/>
    </w:rPr>
  </w:style>
  <w:style w:type="character" w:customStyle="1" w:styleId="HeadingbChar">
    <w:name w:val="Heading_b Char"/>
    <w:link w:val="Headingb"/>
    <w:locked/>
    <w:rsid w:val="0028108D"/>
    <w:rPr>
      <w:b/>
      <w:sz w:val="24"/>
      <w:lang w:val="es-ES" w:eastAsia="en-US"/>
    </w:rPr>
  </w:style>
  <w:style w:type="character" w:customStyle="1" w:styleId="RectitleChar">
    <w:name w:val="Rec_title Char"/>
    <w:basedOn w:val="DefaultParagraphFont"/>
    <w:link w:val="Rectitle"/>
    <w:locked/>
    <w:rsid w:val="0028108D"/>
    <w:rPr>
      <w:b/>
      <w:sz w:val="28"/>
      <w:lang w:val="es-ES" w:eastAsia="en-US"/>
    </w:rPr>
  </w:style>
  <w:style w:type="character" w:customStyle="1" w:styleId="TabletitleChar">
    <w:name w:val="Table_title Char"/>
    <w:basedOn w:val="DefaultParagraphFont"/>
    <w:link w:val="Tabletitle"/>
    <w:rsid w:val="0028108D"/>
    <w:rPr>
      <w:b/>
      <w:sz w:val="24"/>
      <w:lang w:val="es-ES" w:eastAsia="en-US"/>
    </w:rPr>
  </w:style>
  <w:style w:type="character" w:customStyle="1" w:styleId="TableNoChar">
    <w:name w:val="Table_No Char"/>
    <w:basedOn w:val="DefaultParagraphFont"/>
    <w:link w:val="TableNo"/>
    <w:rsid w:val="0028108D"/>
    <w:rPr>
      <w:sz w:val="24"/>
      <w:lang w:val="es-ES" w:eastAsia="en-US"/>
    </w:rPr>
  </w:style>
  <w:style w:type="character" w:customStyle="1" w:styleId="TableheadChar">
    <w:name w:val="Table_head Char"/>
    <w:link w:val="Tablehead"/>
    <w:locked/>
    <w:rsid w:val="00887896"/>
    <w:rPr>
      <w:b/>
      <w:sz w:val="22"/>
      <w:lang w:val="es-ES" w:eastAsia="en-US"/>
    </w:rPr>
  </w:style>
  <w:style w:type="paragraph" w:customStyle="1" w:styleId="Reasons">
    <w:name w:val="Reasons"/>
    <w:basedOn w:val="Normal"/>
    <w:qFormat/>
    <w:rsid w:val="002810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www.itu.int/pub/R-REP-SM.2449/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www.itu.int/pub/R-REP-SM.2303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pub/R-REP-SM.2303/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l/R-REC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SM.1896/es" TargetMode="External"/><Relationship Id="rId10" Type="http://schemas.openxmlformats.org/officeDocument/2006/relationships/hyperlink" Target="https://www.itu.int/ITU-R/go/patents/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rec/R-REC-SM.1056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Local\Temp\e8b03d6c-b9a3-4d2a-a43f-6766edb169f0_Recomendaciones%20Nueva%20carpeta%20comprimida%20(en%20zip).zip.9f0\2023-ITU-R_REC_SM_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2023-ITU-R_REC_SM_S.dotx</Template>
  <TotalTime>233</TotalTime>
  <Pages>6</Pages>
  <Words>1764</Words>
  <Characters>10490</Characters>
  <Application>Microsoft Office Word</Application>
  <DocSecurity>0</DocSecurity>
  <Lines>224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 UIT-R  SM.2129-1 - Orientaciones sobre las gamas de frecuencias para la explotación de sistemas  de transmisión inalámbrica de potencia sin haces radioeléctricos  para dispositivos móviles y portátiles</vt:lpstr>
    </vt:vector>
  </TitlesOfParts>
  <Manager/>
  <Company>ITU</Company>
  <LinksUpToDate>false</LinksUpToDate>
  <CharactersWithSpaces>12142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UIT-R SM.2129-1 (09/2024) - Orientaciones sobre las gamas de frecuencias para la explotación de sistemas de transmisión inalámbrica de potencia sin haces radioeléctricos para dispositivos móviles y portátiles</dc:title>
  <dc:subject>Serie SM = Gestión del espectro</dc:subject>
  <dc:creator>Oficina de Radiocomunicaciones del UIT (BR)</dc:creator>
  <cp:keywords/>
  <dc:description>Saez, 13/02/2025, ITU51017659</dc:description>
  <cp:lastModifiedBy>Saez Grau, Ricardo</cp:lastModifiedBy>
  <cp:revision>10</cp:revision>
  <cp:lastPrinted>2023-03-17T15:41:00Z</cp:lastPrinted>
  <dcterms:created xsi:type="dcterms:W3CDTF">2025-02-13T10:09:00Z</dcterms:created>
  <dcterms:modified xsi:type="dcterms:W3CDTF">2025-02-13T14:30:00Z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Spanish</vt:lpwstr>
  </property>
  <property fmtid="{D5CDD505-2E9C-101B-9397-08002B2CF9AE}" pid="10" name="Typist">
    <vt:lpwstr>Saez</vt:lpwstr>
  </property>
  <property fmtid="{D5CDD505-2E9C-101B-9397-08002B2CF9AE}" pid="11" name="Date completed">
    <vt:lpwstr>13 February 2025</vt:lpwstr>
  </property>
</Properties>
</file>