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91F3" w14:textId="77777777" w:rsidR="00FE79FE" w:rsidRPr="00092B92" w:rsidRDefault="00FE79FE">
      <w:pPr>
        <w:rPr>
          <w:lang w:val="ru-RU"/>
        </w:rPr>
      </w:pPr>
    </w:p>
    <w:p w14:paraId="3DB2CDC0" w14:textId="77777777" w:rsidR="00FE79FE" w:rsidRPr="00092B92" w:rsidRDefault="00FE79FE">
      <w:pPr>
        <w:rPr>
          <w:lang w:val="ru-RU"/>
        </w:rPr>
      </w:pPr>
    </w:p>
    <w:p w14:paraId="0F8C1A9E" w14:textId="77777777" w:rsidR="00FE79FE" w:rsidRPr="00851AE5" w:rsidRDefault="00FE79FE">
      <w:pPr>
        <w:rPr>
          <w:lang w:val="en-US"/>
        </w:rPr>
      </w:pPr>
    </w:p>
    <w:p w14:paraId="7B98DC7C" w14:textId="77777777" w:rsidR="002710AC" w:rsidRPr="00092B92" w:rsidRDefault="002710AC">
      <w:pPr>
        <w:rPr>
          <w:lang w:val="ru-RU"/>
        </w:rPr>
      </w:pPr>
    </w:p>
    <w:p w14:paraId="3A29652F" w14:textId="72B9B148" w:rsidR="002710AC" w:rsidRPr="00092B92" w:rsidRDefault="002710AC" w:rsidP="002710AC">
      <w:pPr>
        <w:pStyle w:val="CoverNumber"/>
        <w:rPr>
          <w:lang w:val="ru-RU"/>
        </w:rPr>
      </w:pPr>
      <w:r w:rsidRPr="00092B92">
        <w:rPr>
          <w:lang w:val="ru-RU"/>
        </w:rPr>
        <w:t>Рекомендация МСЭ-R SM.2129-1</w:t>
      </w:r>
    </w:p>
    <w:p w14:paraId="611B9D68" w14:textId="610CF96E" w:rsidR="002710AC" w:rsidRPr="00092B92" w:rsidRDefault="002710AC" w:rsidP="002710AC">
      <w:pPr>
        <w:pStyle w:val="CoverDate"/>
        <w:rPr>
          <w:lang w:val="ru-RU"/>
        </w:rPr>
      </w:pPr>
      <w:r w:rsidRPr="00092B92">
        <w:rPr>
          <w:lang w:val="ru-RU"/>
        </w:rPr>
        <w:t>(</w:t>
      </w:r>
      <w:r w:rsidRPr="00092B92">
        <w:rPr>
          <w:lang w:val="ru-RU" w:eastAsia="zh-CN"/>
        </w:rPr>
        <w:t>09/2024</w:t>
      </w:r>
      <w:r w:rsidRPr="00092B92">
        <w:rPr>
          <w:lang w:val="ru-RU"/>
        </w:rPr>
        <w:t>)</w:t>
      </w:r>
    </w:p>
    <w:p w14:paraId="7B7276BE" w14:textId="57FB18A6" w:rsidR="002710AC" w:rsidRPr="00092B92" w:rsidRDefault="002710AC" w:rsidP="002710AC">
      <w:pPr>
        <w:pStyle w:val="CoverSeries"/>
        <w:rPr>
          <w:lang w:val="ru-RU"/>
        </w:rPr>
      </w:pPr>
      <w:r w:rsidRPr="00092B92">
        <w:rPr>
          <w:lang w:val="ru-RU"/>
        </w:rPr>
        <w:t>Серия SM: Управление использованием спектра</w:t>
      </w:r>
    </w:p>
    <w:p w14:paraId="714260AA" w14:textId="7B72BE23" w:rsidR="002710AC" w:rsidRPr="00092B92" w:rsidRDefault="002710AC" w:rsidP="002710AC">
      <w:pPr>
        <w:pStyle w:val="CoverTitle"/>
        <w:rPr>
          <w:lang w:val="ru-RU"/>
        </w:rPr>
      </w:pPr>
      <w:r w:rsidRPr="00092B92">
        <w:rPr>
          <w:szCs w:val="44"/>
          <w:lang w:val="ru-RU"/>
        </w:rPr>
        <w:t>Руководство по использованию диапазонов частот для беспроводной передачи энергии без использования луча для мобильных и переносных устройств</w:t>
      </w:r>
    </w:p>
    <w:p w14:paraId="0CE5C70A" w14:textId="77777777" w:rsidR="00FE79FE" w:rsidRPr="00092B92" w:rsidRDefault="00FE79FE">
      <w:pPr>
        <w:rPr>
          <w:lang w:val="ru-RU"/>
        </w:rPr>
      </w:pPr>
    </w:p>
    <w:p w14:paraId="514AC3AB" w14:textId="77777777" w:rsidR="00A71FE5" w:rsidRPr="00092B92" w:rsidRDefault="00A71FE5" w:rsidP="00CD659B">
      <w:pPr>
        <w:spacing w:before="80"/>
        <w:rPr>
          <w:i/>
          <w:lang w:val="ru-RU"/>
        </w:rPr>
      </w:pPr>
    </w:p>
    <w:p w14:paraId="3C4151C9" w14:textId="77777777" w:rsidR="00CD659B" w:rsidRPr="00092B92" w:rsidRDefault="00CD659B" w:rsidP="00CD659B">
      <w:pPr>
        <w:pStyle w:val="Equation"/>
        <w:tabs>
          <w:tab w:val="clear" w:pos="4820"/>
          <w:tab w:val="clear" w:pos="9639"/>
          <w:tab w:val="left" w:pos="1191"/>
          <w:tab w:val="left" w:pos="1588"/>
          <w:tab w:val="left" w:pos="1985"/>
        </w:tabs>
        <w:rPr>
          <w:rFonts w:ascii="Palatino Linotype" w:hAnsi="Palatino Linotype"/>
          <w:lang w:val="ru-RU"/>
        </w:rPr>
        <w:sectPr w:rsidR="00CD659B" w:rsidRPr="00092B92" w:rsidSect="002434B2">
          <w:headerReference w:type="even" r:id="rId8"/>
          <w:headerReference w:type="default" r:id="rId9"/>
          <w:footerReference w:type="default" r:id="rId10"/>
          <w:pgSz w:w="11907" w:h="16840" w:code="9"/>
          <w:pgMar w:top="1089" w:right="1089" w:bottom="284" w:left="1089" w:header="737" w:footer="284" w:gutter="0"/>
          <w:pgNumType w:start="1"/>
          <w:cols w:space="720"/>
        </w:sectPr>
      </w:pPr>
    </w:p>
    <w:p w14:paraId="68A37FD4" w14:textId="77777777" w:rsidR="002710AC" w:rsidRPr="00092B92" w:rsidRDefault="002710AC" w:rsidP="002710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2"/>
          <w:lang w:val="ru-RU"/>
        </w:rPr>
      </w:pPr>
      <w:bookmarkStart w:id="0" w:name="c2tope"/>
      <w:bookmarkEnd w:id="0"/>
      <w:r w:rsidRPr="00092B92">
        <w:rPr>
          <w:b/>
          <w:bCs/>
          <w:szCs w:val="22"/>
          <w:lang w:val="ru-RU"/>
        </w:rPr>
        <w:lastRenderedPageBreak/>
        <w:t>Предисловие</w:t>
      </w:r>
    </w:p>
    <w:p w14:paraId="636BD170" w14:textId="77777777" w:rsidR="002710AC" w:rsidRPr="00092B92" w:rsidRDefault="002710AC" w:rsidP="002710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092B92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3A4EA555" w14:textId="77777777" w:rsidR="002710AC" w:rsidRPr="00092B92" w:rsidRDefault="002710AC" w:rsidP="002710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092B92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радиосвязи. </w:t>
      </w:r>
    </w:p>
    <w:p w14:paraId="76297A14" w14:textId="77777777" w:rsidR="002710AC" w:rsidRPr="00092B92" w:rsidRDefault="002710AC" w:rsidP="002710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szCs w:val="22"/>
          <w:lang w:val="ru-RU"/>
        </w:rPr>
      </w:pPr>
      <w:r w:rsidRPr="00092B92">
        <w:rPr>
          <w:b/>
          <w:bCs/>
          <w:szCs w:val="22"/>
          <w:lang w:val="ru-RU"/>
        </w:rPr>
        <w:t>Политика в области прав интеллектуальной собственности (ПИС)</w:t>
      </w:r>
    </w:p>
    <w:p w14:paraId="303D470E" w14:textId="1A606F6C" w:rsidR="002710AC" w:rsidRPr="00092B92" w:rsidRDefault="002710AC" w:rsidP="002710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092B92">
        <w:rPr>
          <w:sz w:val="20"/>
          <w:lang w:val="ru-RU"/>
        </w:rPr>
        <w:t xml:space="preserve">Политика МСЭ-R в области ПИС излагается в общей патентной политике МСЭ-Т/МСЭ-R/ИСО/МЭК, упоминаемой в Резолюции МСЭ-R 1. 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1" w:history="1">
        <w:r w:rsidR="009A249D" w:rsidRPr="00092B92">
          <w:rPr>
            <w:rFonts w:eastAsia="SimSun"/>
            <w:color w:val="0000FF"/>
            <w:sz w:val="20"/>
            <w:u w:val="single"/>
            <w:lang w:val="ru-RU" w:eastAsia="zh-CN"/>
          </w:rPr>
          <w:t>https://www.itu.int/ITU-R/go/patents/en</w:t>
        </w:r>
      </w:hyperlink>
      <w:r w:rsidRPr="00092B92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МСЭ-Т/МСЭ-R/ИСО/МЭК и база данных патентной информации МСЭ-R.</w:t>
      </w:r>
    </w:p>
    <w:p w14:paraId="39DBAC3E" w14:textId="77777777" w:rsidR="002710AC" w:rsidRPr="00092B92" w:rsidRDefault="002710AC" w:rsidP="002710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eastAsia="SimSun"/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2710AC" w:rsidRPr="00092B92" w14:paraId="3FD62960" w14:textId="77777777" w:rsidTr="00E30F41">
        <w:trPr>
          <w:jc w:val="center"/>
        </w:trPr>
        <w:tc>
          <w:tcPr>
            <w:tcW w:w="8856" w:type="dxa"/>
            <w:gridSpan w:val="2"/>
          </w:tcPr>
          <w:p w14:paraId="3B6B9D4A" w14:textId="77777777" w:rsidR="002710AC" w:rsidRPr="00092B92" w:rsidRDefault="002710AC" w:rsidP="00E30F41">
            <w:pPr>
              <w:spacing w:before="180"/>
              <w:jc w:val="center"/>
              <w:rPr>
                <w:b/>
                <w:bCs/>
                <w:szCs w:val="22"/>
                <w:lang w:val="ru-RU"/>
              </w:rPr>
            </w:pPr>
            <w:r w:rsidRPr="00092B92">
              <w:rPr>
                <w:b/>
                <w:bCs/>
                <w:szCs w:val="22"/>
                <w:lang w:val="ru-RU"/>
              </w:rPr>
              <w:t>Серии Рекомендаций МСЭ-R</w:t>
            </w:r>
          </w:p>
          <w:p w14:paraId="2A7E06C3" w14:textId="2CFF0008" w:rsidR="002710AC" w:rsidRPr="00092B92" w:rsidRDefault="002710AC" w:rsidP="00E30F41">
            <w:pPr>
              <w:spacing w:after="2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92B92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2" w:history="1">
              <w:r w:rsidR="00AA5BB8" w:rsidRPr="00092B92">
                <w:rPr>
                  <w:rStyle w:val="Hyperlink"/>
                  <w:sz w:val="18"/>
                  <w:lang w:val="ru-RU"/>
                </w:rPr>
                <w:t>https://www.itu.int/publ/R-REC/ru</w:t>
              </w:r>
            </w:hyperlink>
            <w:r w:rsidRPr="00092B92">
              <w:rPr>
                <w:sz w:val="18"/>
                <w:szCs w:val="18"/>
                <w:lang w:val="ru-RU"/>
              </w:rPr>
              <w:t>.)</w:t>
            </w:r>
          </w:p>
        </w:tc>
      </w:tr>
      <w:tr w:rsidR="002710AC" w:rsidRPr="00092B92" w14:paraId="6D98FFF0" w14:textId="77777777" w:rsidTr="00E30F41">
        <w:trPr>
          <w:jc w:val="center"/>
        </w:trPr>
        <w:tc>
          <w:tcPr>
            <w:tcW w:w="1188" w:type="dxa"/>
          </w:tcPr>
          <w:p w14:paraId="15FE2D1B" w14:textId="77777777" w:rsidR="002710AC" w:rsidRPr="00092B92" w:rsidRDefault="002710AC" w:rsidP="00E30F41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092B92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5315277E" w14:textId="77777777" w:rsidR="002710AC" w:rsidRPr="00092B92" w:rsidRDefault="002710AC" w:rsidP="00E30F41">
            <w:pPr>
              <w:spacing w:before="40" w:after="40"/>
              <w:jc w:val="center"/>
              <w:rPr>
                <w:rFonts w:eastAsia="SimSun"/>
                <w:b/>
                <w:bCs/>
                <w:sz w:val="20"/>
                <w:lang w:val="ru-RU" w:eastAsia="zh-CN"/>
              </w:rPr>
            </w:pPr>
            <w:r w:rsidRPr="00092B92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2710AC" w:rsidRPr="00092B92" w14:paraId="387D4934" w14:textId="77777777" w:rsidTr="00E30F41">
        <w:trPr>
          <w:jc w:val="center"/>
        </w:trPr>
        <w:tc>
          <w:tcPr>
            <w:tcW w:w="1188" w:type="dxa"/>
          </w:tcPr>
          <w:p w14:paraId="219F7AFF" w14:textId="77777777" w:rsidR="002710AC" w:rsidRPr="00092B92" w:rsidRDefault="002710AC" w:rsidP="00E30F41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092B92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7E3E562F" w14:textId="77777777" w:rsidR="002710AC" w:rsidRPr="00092B92" w:rsidRDefault="002710AC" w:rsidP="00E30F41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092B92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2710AC" w:rsidRPr="00092B92" w14:paraId="64A4A590" w14:textId="77777777" w:rsidTr="00E30F41">
        <w:trPr>
          <w:jc w:val="center"/>
        </w:trPr>
        <w:tc>
          <w:tcPr>
            <w:tcW w:w="1188" w:type="dxa"/>
          </w:tcPr>
          <w:p w14:paraId="396E1ABF" w14:textId="77777777" w:rsidR="002710AC" w:rsidRPr="00092B92" w:rsidRDefault="002710AC" w:rsidP="00E30F41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092B92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</w:tcPr>
          <w:p w14:paraId="5004D678" w14:textId="77777777" w:rsidR="002710AC" w:rsidRPr="00092B92" w:rsidRDefault="002710AC" w:rsidP="00E30F41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092B92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2710AC" w:rsidRPr="00092B92" w14:paraId="3733A5D7" w14:textId="77777777" w:rsidTr="007E069E">
        <w:trPr>
          <w:jc w:val="center"/>
        </w:trPr>
        <w:tc>
          <w:tcPr>
            <w:tcW w:w="1188" w:type="dxa"/>
            <w:shd w:val="clear" w:color="auto" w:fill="auto"/>
          </w:tcPr>
          <w:p w14:paraId="1B707BB4" w14:textId="77777777" w:rsidR="002710AC" w:rsidRPr="00092B92" w:rsidRDefault="002710AC" w:rsidP="00E30F41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092B92">
              <w:rPr>
                <w:b/>
                <w:bCs/>
                <w:sz w:val="20"/>
                <w:lang w:val="ru-RU"/>
              </w:rPr>
              <w:t>BS</w:t>
            </w:r>
          </w:p>
        </w:tc>
        <w:tc>
          <w:tcPr>
            <w:tcW w:w="7668" w:type="dxa"/>
            <w:shd w:val="clear" w:color="auto" w:fill="auto"/>
          </w:tcPr>
          <w:p w14:paraId="45465B91" w14:textId="77777777" w:rsidR="002710AC" w:rsidRPr="00092B92" w:rsidRDefault="002710AC" w:rsidP="00E30F41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092B92">
              <w:rPr>
                <w:sz w:val="20"/>
                <w:lang w:val="ru-RU"/>
              </w:rPr>
              <w:t>Радиовещательная служба (звуковая)</w:t>
            </w:r>
          </w:p>
        </w:tc>
      </w:tr>
      <w:tr w:rsidR="002710AC" w:rsidRPr="00092B92" w14:paraId="1DF84377" w14:textId="77777777" w:rsidTr="00E30F41">
        <w:trPr>
          <w:jc w:val="center"/>
        </w:trPr>
        <w:tc>
          <w:tcPr>
            <w:tcW w:w="1188" w:type="dxa"/>
          </w:tcPr>
          <w:p w14:paraId="536DEC9D" w14:textId="77777777" w:rsidR="002710AC" w:rsidRPr="00092B92" w:rsidRDefault="002710AC" w:rsidP="00E30F41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092B92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7668" w:type="dxa"/>
          </w:tcPr>
          <w:p w14:paraId="3B1B3620" w14:textId="77777777" w:rsidR="002710AC" w:rsidRPr="00092B92" w:rsidRDefault="002710AC" w:rsidP="00E30F41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092B92">
              <w:rPr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2710AC" w:rsidRPr="00092B92" w14:paraId="0FD084ED" w14:textId="77777777" w:rsidTr="00E30F41">
        <w:trPr>
          <w:jc w:val="center"/>
        </w:trPr>
        <w:tc>
          <w:tcPr>
            <w:tcW w:w="1188" w:type="dxa"/>
          </w:tcPr>
          <w:p w14:paraId="5840FDE7" w14:textId="77777777" w:rsidR="002710AC" w:rsidRPr="00092B92" w:rsidRDefault="002710AC" w:rsidP="00E30F41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092B92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</w:tcPr>
          <w:p w14:paraId="5059604F" w14:textId="77777777" w:rsidR="002710AC" w:rsidRPr="00092B92" w:rsidRDefault="002710AC" w:rsidP="00E30F41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092B92">
              <w:rPr>
                <w:sz w:val="20"/>
                <w:lang w:val="ru-RU"/>
              </w:rPr>
              <w:t>Фиксированная служба</w:t>
            </w:r>
          </w:p>
        </w:tc>
      </w:tr>
      <w:tr w:rsidR="002710AC" w:rsidRPr="00092B92" w14:paraId="30B54EDE" w14:textId="77777777" w:rsidTr="00E30F41">
        <w:trPr>
          <w:jc w:val="center"/>
        </w:trPr>
        <w:tc>
          <w:tcPr>
            <w:tcW w:w="1188" w:type="dxa"/>
            <w:shd w:val="clear" w:color="auto" w:fill="FFFFFF"/>
          </w:tcPr>
          <w:p w14:paraId="4D8843DA" w14:textId="77777777" w:rsidR="002710AC" w:rsidRPr="00092B92" w:rsidRDefault="002710AC" w:rsidP="00E30F41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092B92">
              <w:rPr>
                <w:b/>
                <w:bCs/>
                <w:sz w:val="20"/>
                <w:lang w:val="ru-RU"/>
              </w:rPr>
              <w:t>M</w:t>
            </w:r>
          </w:p>
        </w:tc>
        <w:tc>
          <w:tcPr>
            <w:tcW w:w="7668" w:type="dxa"/>
            <w:shd w:val="clear" w:color="auto" w:fill="FFFFFF"/>
          </w:tcPr>
          <w:p w14:paraId="7F9FCE2B" w14:textId="77777777" w:rsidR="002710AC" w:rsidRPr="00092B92" w:rsidRDefault="002710AC" w:rsidP="00E30F41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092B92">
              <w:rPr>
                <w:sz w:val="20"/>
                <w:lang w:val="ru-RU"/>
              </w:rPr>
              <w:t>Подвижные службы, служба радиоопределения, любительская служба и относящиеся к ним спутниковые службы</w:t>
            </w:r>
          </w:p>
        </w:tc>
      </w:tr>
      <w:tr w:rsidR="002710AC" w:rsidRPr="00092B92" w14:paraId="250957AD" w14:textId="77777777" w:rsidTr="00E30F41">
        <w:trPr>
          <w:jc w:val="center"/>
        </w:trPr>
        <w:tc>
          <w:tcPr>
            <w:tcW w:w="1188" w:type="dxa"/>
            <w:shd w:val="clear" w:color="auto" w:fill="FFFFFF" w:themeFill="background1"/>
          </w:tcPr>
          <w:p w14:paraId="369F6F3E" w14:textId="77777777" w:rsidR="002710AC" w:rsidRPr="00092B92" w:rsidRDefault="002710AC" w:rsidP="00E30F41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092B92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7668" w:type="dxa"/>
            <w:shd w:val="clear" w:color="auto" w:fill="FFFFFF" w:themeFill="background1"/>
          </w:tcPr>
          <w:p w14:paraId="1D7B7A23" w14:textId="77777777" w:rsidR="002710AC" w:rsidRPr="00092B92" w:rsidRDefault="002710AC" w:rsidP="00E30F41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092B92">
              <w:rPr>
                <w:sz w:val="20"/>
                <w:lang w:val="ru-RU"/>
              </w:rPr>
              <w:t>Распространение радиоволн</w:t>
            </w:r>
          </w:p>
        </w:tc>
      </w:tr>
      <w:tr w:rsidR="002710AC" w:rsidRPr="00092B92" w14:paraId="26864D5A" w14:textId="77777777" w:rsidTr="00E30F41">
        <w:trPr>
          <w:jc w:val="center"/>
        </w:trPr>
        <w:tc>
          <w:tcPr>
            <w:tcW w:w="1188" w:type="dxa"/>
          </w:tcPr>
          <w:p w14:paraId="72753BD8" w14:textId="77777777" w:rsidR="002710AC" w:rsidRPr="00092B92" w:rsidRDefault="002710AC" w:rsidP="00E30F41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092B92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</w:tcPr>
          <w:p w14:paraId="1685CFEC" w14:textId="77777777" w:rsidR="002710AC" w:rsidRPr="00092B92" w:rsidRDefault="002710AC" w:rsidP="00E30F41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092B92">
              <w:rPr>
                <w:sz w:val="20"/>
                <w:lang w:val="ru-RU"/>
              </w:rPr>
              <w:t>Радиоастрономия</w:t>
            </w:r>
          </w:p>
        </w:tc>
      </w:tr>
      <w:tr w:rsidR="002710AC" w:rsidRPr="00092B92" w14:paraId="4EF6F964" w14:textId="77777777" w:rsidTr="00E30F41">
        <w:trPr>
          <w:jc w:val="center"/>
        </w:trPr>
        <w:tc>
          <w:tcPr>
            <w:tcW w:w="1188" w:type="dxa"/>
          </w:tcPr>
          <w:p w14:paraId="09524D84" w14:textId="77777777" w:rsidR="002710AC" w:rsidRPr="00092B92" w:rsidRDefault="002710AC" w:rsidP="00E30F41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092B92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</w:tcPr>
          <w:p w14:paraId="35746FEF" w14:textId="77777777" w:rsidR="002710AC" w:rsidRPr="00092B92" w:rsidRDefault="002710AC" w:rsidP="00E30F41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092B92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2710AC" w:rsidRPr="00092B92" w14:paraId="264D245D" w14:textId="77777777" w:rsidTr="00E30F41">
        <w:trPr>
          <w:jc w:val="center"/>
        </w:trPr>
        <w:tc>
          <w:tcPr>
            <w:tcW w:w="1188" w:type="dxa"/>
          </w:tcPr>
          <w:p w14:paraId="73CA5BCC" w14:textId="77777777" w:rsidR="002710AC" w:rsidRPr="00092B92" w:rsidRDefault="002710AC" w:rsidP="00E30F41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092B92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7668" w:type="dxa"/>
          </w:tcPr>
          <w:p w14:paraId="3530A595" w14:textId="77777777" w:rsidR="002710AC" w:rsidRPr="00092B92" w:rsidRDefault="002710AC" w:rsidP="00E30F41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092B92">
              <w:rPr>
                <w:sz w:val="20"/>
                <w:lang w:val="ru-RU"/>
              </w:rPr>
              <w:t>Фиксированная спутниковая служба</w:t>
            </w:r>
          </w:p>
        </w:tc>
      </w:tr>
      <w:tr w:rsidR="002710AC" w:rsidRPr="00092B92" w14:paraId="69BF251E" w14:textId="77777777" w:rsidTr="00E30F41">
        <w:trPr>
          <w:jc w:val="center"/>
        </w:trPr>
        <w:tc>
          <w:tcPr>
            <w:tcW w:w="1188" w:type="dxa"/>
            <w:shd w:val="clear" w:color="auto" w:fill="auto"/>
          </w:tcPr>
          <w:p w14:paraId="7878D873" w14:textId="77777777" w:rsidR="002710AC" w:rsidRPr="00092B92" w:rsidRDefault="002710AC" w:rsidP="00E30F41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092B92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shd w:val="clear" w:color="auto" w:fill="auto"/>
          </w:tcPr>
          <w:p w14:paraId="4F14BDB8" w14:textId="77777777" w:rsidR="002710AC" w:rsidRPr="00092B92" w:rsidRDefault="002710AC" w:rsidP="00E30F41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092B92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2710AC" w:rsidRPr="00092B92" w14:paraId="6A7EE9C9" w14:textId="77777777" w:rsidTr="00E30F41">
        <w:trPr>
          <w:jc w:val="center"/>
        </w:trPr>
        <w:tc>
          <w:tcPr>
            <w:tcW w:w="1188" w:type="dxa"/>
          </w:tcPr>
          <w:p w14:paraId="64FFD19A" w14:textId="77777777" w:rsidR="002710AC" w:rsidRPr="00092B92" w:rsidRDefault="002710AC" w:rsidP="00E30F41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092B92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4518FBC1" w14:textId="77777777" w:rsidR="002710AC" w:rsidRPr="00092B92" w:rsidRDefault="002710AC" w:rsidP="00E30F41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092B92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2710AC" w:rsidRPr="00092B92" w14:paraId="03B7F628" w14:textId="77777777" w:rsidTr="007E069E">
        <w:trPr>
          <w:jc w:val="center"/>
        </w:trPr>
        <w:tc>
          <w:tcPr>
            <w:tcW w:w="1188" w:type="dxa"/>
            <w:shd w:val="clear" w:color="auto" w:fill="F2F2F2" w:themeFill="background1" w:themeFillShade="F2"/>
          </w:tcPr>
          <w:p w14:paraId="21DBB996" w14:textId="77777777" w:rsidR="002710AC" w:rsidRPr="00092B92" w:rsidRDefault="002710AC" w:rsidP="00E30F41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092B92">
              <w:rPr>
                <w:b/>
                <w:bCs/>
                <w:color w:val="000080"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F2F2F2" w:themeFill="background1" w:themeFillShade="F2"/>
          </w:tcPr>
          <w:p w14:paraId="056B62BF" w14:textId="77777777" w:rsidR="002710AC" w:rsidRPr="00092B92" w:rsidRDefault="002710AC" w:rsidP="00E30F41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092B92">
              <w:rPr>
                <w:b/>
                <w:bCs/>
                <w:color w:val="000080"/>
                <w:sz w:val="20"/>
                <w:lang w:val="ru-RU"/>
              </w:rPr>
              <w:t>Управление использованием спектра</w:t>
            </w:r>
          </w:p>
        </w:tc>
      </w:tr>
      <w:tr w:rsidR="002710AC" w:rsidRPr="00092B92" w14:paraId="48EF5D0F" w14:textId="77777777" w:rsidTr="00E30F41">
        <w:trPr>
          <w:jc w:val="center"/>
        </w:trPr>
        <w:tc>
          <w:tcPr>
            <w:tcW w:w="1188" w:type="dxa"/>
          </w:tcPr>
          <w:p w14:paraId="436B1BEC" w14:textId="77777777" w:rsidR="002710AC" w:rsidRPr="00092B92" w:rsidRDefault="002710AC" w:rsidP="00E30F41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092B92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7F1AF9D5" w14:textId="77777777" w:rsidR="002710AC" w:rsidRPr="00092B92" w:rsidRDefault="002710AC" w:rsidP="00E30F41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092B92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2710AC" w:rsidRPr="00092B92" w14:paraId="421ACCFB" w14:textId="77777777" w:rsidTr="00E30F41">
        <w:trPr>
          <w:jc w:val="center"/>
        </w:trPr>
        <w:tc>
          <w:tcPr>
            <w:tcW w:w="1188" w:type="dxa"/>
          </w:tcPr>
          <w:p w14:paraId="21D1EBE2" w14:textId="77777777" w:rsidR="002710AC" w:rsidRPr="00092B92" w:rsidRDefault="002710AC" w:rsidP="00E30F41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092B92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0D52F201" w14:textId="77777777" w:rsidR="002710AC" w:rsidRPr="00092B92" w:rsidRDefault="002710AC" w:rsidP="00E30F41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092B92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2710AC" w:rsidRPr="00092B92" w14:paraId="1A463F8A" w14:textId="77777777" w:rsidTr="00E30F41">
        <w:trPr>
          <w:jc w:val="center"/>
        </w:trPr>
        <w:tc>
          <w:tcPr>
            <w:tcW w:w="1188" w:type="dxa"/>
          </w:tcPr>
          <w:p w14:paraId="19369101" w14:textId="77777777" w:rsidR="002710AC" w:rsidRPr="00092B92" w:rsidRDefault="002710AC" w:rsidP="00E30F41">
            <w:pPr>
              <w:spacing w:before="40" w:after="180"/>
              <w:rPr>
                <w:b/>
                <w:bCs/>
                <w:sz w:val="20"/>
                <w:lang w:val="ru-RU"/>
              </w:rPr>
            </w:pPr>
            <w:r w:rsidRPr="00092B92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5D658258" w14:textId="77777777" w:rsidR="002710AC" w:rsidRPr="00092B92" w:rsidRDefault="002710AC" w:rsidP="00E30F41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092B92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1400553F" w14:textId="77777777" w:rsidR="002710AC" w:rsidRPr="00092B92" w:rsidRDefault="002710AC" w:rsidP="002710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8856"/>
      </w:tblGrid>
      <w:tr w:rsidR="002710AC" w:rsidRPr="00092B92" w14:paraId="1A256B17" w14:textId="77777777" w:rsidTr="00E30F41">
        <w:trPr>
          <w:jc w:val="center"/>
        </w:trPr>
        <w:tc>
          <w:tcPr>
            <w:tcW w:w="8856" w:type="dxa"/>
          </w:tcPr>
          <w:p w14:paraId="6BD309A2" w14:textId="77777777" w:rsidR="002710AC" w:rsidRPr="00092B92" w:rsidRDefault="002710AC" w:rsidP="00E30F41">
            <w:pPr>
              <w:spacing w:after="120"/>
              <w:jc w:val="left"/>
              <w:rPr>
                <w:rFonts w:eastAsia="SimSun"/>
                <w:i/>
                <w:iCs/>
                <w:sz w:val="20"/>
                <w:lang w:val="ru-RU" w:eastAsia="zh-CN"/>
              </w:rPr>
            </w:pPr>
            <w:r w:rsidRPr="00092B92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092B92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 соответствии с процедурой, изложенной в Резолюции МСЭ-R 1.</w:t>
            </w:r>
          </w:p>
        </w:tc>
      </w:tr>
    </w:tbl>
    <w:p w14:paraId="2889FFBD" w14:textId="29F5E9CD" w:rsidR="002710AC" w:rsidRPr="00092B92" w:rsidRDefault="002710AC" w:rsidP="002710AC">
      <w:pPr>
        <w:spacing w:before="360"/>
        <w:jc w:val="right"/>
        <w:rPr>
          <w:sz w:val="20"/>
          <w:lang w:val="ru-RU"/>
        </w:rPr>
      </w:pPr>
      <w:r w:rsidRPr="00092B92">
        <w:rPr>
          <w:i/>
          <w:iCs/>
          <w:sz w:val="20"/>
          <w:lang w:val="ru-RU"/>
        </w:rPr>
        <w:t>Электронная публикация</w:t>
      </w:r>
      <w:r w:rsidRPr="00092B92">
        <w:rPr>
          <w:i/>
          <w:iCs/>
          <w:sz w:val="20"/>
          <w:lang w:val="ru-RU"/>
        </w:rPr>
        <w:br/>
      </w:r>
      <w:r w:rsidRPr="00092B92">
        <w:rPr>
          <w:sz w:val="20"/>
          <w:lang w:val="ru-RU"/>
        </w:rPr>
        <w:t>Женева, 2025 г.</w:t>
      </w:r>
    </w:p>
    <w:p w14:paraId="5124B9D8" w14:textId="71806843" w:rsidR="002710AC" w:rsidRPr="00092B92" w:rsidRDefault="002710AC" w:rsidP="002710AC">
      <w:pPr>
        <w:jc w:val="center"/>
        <w:rPr>
          <w:sz w:val="20"/>
          <w:lang w:val="ru-RU"/>
        </w:rPr>
      </w:pPr>
      <w:r w:rsidRPr="00092B92">
        <w:rPr>
          <w:sz w:val="20"/>
          <w:lang w:val="ru-RU"/>
        </w:rPr>
        <w:sym w:font="Symbol" w:char="F0E3"/>
      </w:r>
      <w:r w:rsidRPr="00092B92">
        <w:rPr>
          <w:sz w:val="20"/>
          <w:lang w:val="ru-RU"/>
        </w:rPr>
        <w:t xml:space="preserve"> ITU </w:t>
      </w:r>
      <w:bookmarkStart w:id="1" w:name="iiannee"/>
      <w:bookmarkEnd w:id="1"/>
      <w:r w:rsidRPr="00092B92">
        <w:rPr>
          <w:sz w:val="20"/>
          <w:lang w:val="ru-RU"/>
        </w:rPr>
        <w:t>2025</w:t>
      </w:r>
    </w:p>
    <w:p w14:paraId="07DEFED7" w14:textId="77777777" w:rsidR="00A81BC9" w:rsidRPr="00092B92" w:rsidRDefault="009F1578" w:rsidP="00A81BC9">
      <w:pPr>
        <w:rPr>
          <w:sz w:val="18"/>
          <w:szCs w:val="18"/>
          <w:lang w:val="ru-RU"/>
        </w:rPr>
      </w:pPr>
      <w:r w:rsidRPr="00092B92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  <w:r w:rsidR="00A81BC9" w:rsidRPr="00092B92">
        <w:rPr>
          <w:sz w:val="20"/>
          <w:lang w:val="ru-RU"/>
        </w:rPr>
        <w:t xml:space="preserve"> </w:t>
      </w:r>
    </w:p>
    <w:p w14:paraId="10E321B3" w14:textId="77777777" w:rsidR="00A81BC9" w:rsidRPr="00092B92" w:rsidRDefault="00A81BC9" w:rsidP="00A81BC9">
      <w:pPr>
        <w:spacing w:before="160"/>
        <w:rPr>
          <w:i/>
          <w:sz w:val="20"/>
          <w:lang w:val="ru-RU"/>
        </w:rPr>
        <w:sectPr w:rsidR="00A81BC9" w:rsidRPr="00092B92" w:rsidSect="002058CE">
          <w:headerReference w:type="even" r:id="rId13"/>
          <w:headerReference w:type="default" r:id="rId14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74908E37" w14:textId="566BD613" w:rsidR="00A81BC9" w:rsidRPr="00092B92" w:rsidRDefault="00A81BC9" w:rsidP="00A81BC9">
      <w:pPr>
        <w:pStyle w:val="RecNo"/>
        <w:spacing w:before="0"/>
        <w:rPr>
          <w:lang w:val="ru-RU"/>
        </w:rPr>
      </w:pPr>
      <w:bookmarkStart w:id="2" w:name="irecnoe"/>
      <w:bookmarkEnd w:id="2"/>
      <w:r w:rsidRPr="00092B92">
        <w:rPr>
          <w:lang w:val="ru-RU"/>
        </w:rPr>
        <w:lastRenderedPageBreak/>
        <w:t xml:space="preserve">РЕКОМЕНДАЦИЯ  </w:t>
      </w:r>
      <w:r w:rsidRPr="00092B92">
        <w:rPr>
          <w:rStyle w:val="href"/>
          <w:lang w:val="ru-RU"/>
        </w:rPr>
        <w:t>МСЭ-R  SM.</w:t>
      </w:r>
      <w:r w:rsidR="00945748" w:rsidRPr="00092B92">
        <w:rPr>
          <w:rStyle w:val="href"/>
          <w:lang w:val="ru-RU"/>
        </w:rPr>
        <w:t>2129-</w:t>
      </w:r>
      <w:r w:rsidR="002710AC" w:rsidRPr="00092B92">
        <w:rPr>
          <w:rStyle w:val="href"/>
          <w:lang w:val="ru-RU"/>
        </w:rPr>
        <w:t>1</w:t>
      </w:r>
    </w:p>
    <w:p w14:paraId="68ACCB0A" w14:textId="7DE53E3B" w:rsidR="00945748" w:rsidRPr="00092B92" w:rsidRDefault="00945748" w:rsidP="00945748">
      <w:pPr>
        <w:pStyle w:val="Rectitle"/>
        <w:spacing w:before="200"/>
        <w:rPr>
          <w:szCs w:val="26"/>
          <w:lang w:val="ru-RU" w:eastAsia="en-GB"/>
        </w:rPr>
      </w:pPr>
      <w:r w:rsidRPr="00092B92">
        <w:rPr>
          <w:szCs w:val="26"/>
          <w:lang w:val="ru-RU" w:eastAsia="zh-CN"/>
        </w:rPr>
        <w:t>Руководство по использованию диапазонов частот для беспроводной передачи энергии без использования луча для мобильных и переносных устройств</w:t>
      </w:r>
    </w:p>
    <w:p w14:paraId="47F63099" w14:textId="53D1D498" w:rsidR="00945748" w:rsidRPr="00092B92" w:rsidRDefault="00945748" w:rsidP="00600D61">
      <w:pPr>
        <w:pStyle w:val="Recref"/>
        <w:jc w:val="right"/>
        <w:rPr>
          <w:lang w:val="ru-RU" w:eastAsia="en-GB"/>
        </w:rPr>
      </w:pPr>
      <w:r w:rsidRPr="00092B92">
        <w:rPr>
          <w:lang w:val="ru-RU" w:eastAsia="en-GB"/>
        </w:rPr>
        <w:t>(2019</w:t>
      </w:r>
      <w:r w:rsidR="007E069E" w:rsidRPr="00092B92">
        <w:rPr>
          <w:lang w:val="ru-RU" w:eastAsia="en-GB"/>
        </w:rPr>
        <w:t>-2024</w:t>
      </w:r>
      <w:r w:rsidRPr="00092B92">
        <w:rPr>
          <w:lang w:val="ru-RU" w:eastAsia="en-GB"/>
        </w:rPr>
        <w:t>)</w:t>
      </w:r>
    </w:p>
    <w:p w14:paraId="4AB341FC" w14:textId="77777777" w:rsidR="00945748" w:rsidRPr="00092B92" w:rsidRDefault="00945748" w:rsidP="00945748">
      <w:pPr>
        <w:pStyle w:val="HeadingSum"/>
        <w:rPr>
          <w:lang w:val="ru-RU"/>
        </w:rPr>
      </w:pPr>
      <w:r w:rsidRPr="00092B92">
        <w:rPr>
          <w:lang w:val="ru-RU"/>
        </w:rPr>
        <w:t>Сфера применения</w:t>
      </w:r>
    </w:p>
    <w:p w14:paraId="59F749AC" w14:textId="32633FB3" w:rsidR="00945748" w:rsidRPr="00092B92" w:rsidRDefault="00945748" w:rsidP="00600D61">
      <w:pPr>
        <w:rPr>
          <w:lang w:val="ru-RU"/>
        </w:rPr>
      </w:pPr>
      <w:r w:rsidRPr="00092B92">
        <w:rPr>
          <w:lang w:val="ru-RU"/>
        </w:rPr>
        <w:t>В настоящей Рекомендации приведены руководящие указания по использованию диапазонов частот для беспроводной передачи энергии (БПЭ) без использования луча для мобильных и переносных устройств.</w:t>
      </w:r>
    </w:p>
    <w:p w14:paraId="7ED21F40" w14:textId="77777777" w:rsidR="00945748" w:rsidRPr="00092B92" w:rsidRDefault="00945748" w:rsidP="00945748">
      <w:pPr>
        <w:pStyle w:val="Headingb"/>
        <w:rPr>
          <w:szCs w:val="22"/>
          <w:lang w:val="ru-RU"/>
        </w:rPr>
      </w:pPr>
      <w:r w:rsidRPr="00092B92">
        <w:rPr>
          <w:szCs w:val="22"/>
          <w:lang w:val="ru-RU"/>
        </w:rPr>
        <w:t>Ключевые слова</w:t>
      </w:r>
    </w:p>
    <w:p w14:paraId="5E05DD4C" w14:textId="77777777" w:rsidR="00945748" w:rsidRPr="00092B92" w:rsidRDefault="00945748" w:rsidP="00945748">
      <w:pPr>
        <w:rPr>
          <w:szCs w:val="22"/>
          <w:lang w:val="ru-RU"/>
        </w:rPr>
      </w:pPr>
      <w:r w:rsidRPr="00092B92">
        <w:rPr>
          <w:szCs w:val="22"/>
          <w:lang w:val="ru-RU" w:eastAsia="ko-KR"/>
        </w:rPr>
        <w:t xml:space="preserve">Беспроводная передача энергии, устройства малого радиуса действия, </w:t>
      </w:r>
      <w:r w:rsidRPr="00092B92">
        <w:rPr>
          <w:rFonts w:eastAsia="Calibri"/>
          <w:szCs w:val="22"/>
          <w:lang w:val="ru-RU"/>
        </w:rPr>
        <w:t>ПНМ</w:t>
      </w:r>
      <w:r w:rsidRPr="00092B92">
        <w:rPr>
          <w:szCs w:val="22"/>
          <w:lang w:val="ru-RU" w:eastAsia="ko-KR"/>
        </w:rPr>
        <w:t>, без использования луча, мобильный, переносной</w:t>
      </w:r>
    </w:p>
    <w:p w14:paraId="2207A0FA" w14:textId="77777777" w:rsidR="00945748" w:rsidRPr="00092B92" w:rsidRDefault="00945748" w:rsidP="00600D61">
      <w:pPr>
        <w:pStyle w:val="Headingb"/>
        <w:spacing w:after="120"/>
        <w:rPr>
          <w:lang w:val="ru-RU"/>
        </w:rPr>
      </w:pPr>
      <w:r w:rsidRPr="00092B92">
        <w:rPr>
          <w:lang w:val="ru-RU"/>
        </w:rPr>
        <w:t>Сокращения/глоссарий</w:t>
      </w:r>
    </w:p>
    <w:tbl>
      <w:tblPr>
        <w:tblStyle w:val="TableGrid"/>
        <w:tblW w:w="9831" w:type="dxa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3577"/>
        <w:gridCol w:w="1134"/>
        <w:gridCol w:w="3935"/>
      </w:tblGrid>
      <w:tr w:rsidR="00945748" w:rsidRPr="00092B92" w14:paraId="17A2665A" w14:textId="77777777" w:rsidTr="00D40B30">
        <w:tc>
          <w:tcPr>
            <w:tcW w:w="1185" w:type="dxa"/>
          </w:tcPr>
          <w:p w14:paraId="19B74DAC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CISPR</w:t>
            </w:r>
          </w:p>
        </w:tc>
        <w:tc>
          <w:tcPr>
            <w:tcW w:w="3577" w:type="dxa"/>
          </w:tcPr>
          <w:p w14:paraId="282B7177" w14:textId="5912E26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Фр.: "Comité International Spécial des Perturbations Radioélectriques",</w:t>
            </w:r>
            <w:r w:rsidR="007E069E" w:rsidRPr="00092B92">
              <w:rPr>
                <w:rFonts w:ascii="Times New Roman" w:hAnsi="Times New Roman"/>
                <w:lang w:val="ru-RU"/>
              </w:rPr>
              <w:t xml:space="preserve"> </w:t>
            </w:r>
            <w:r w:rsidRPr="00092B92">
              <w:rPr>
                <w:rFonts w:ascii="Times New Roman" w:hAnsi="Times New Roman"/>
                <w:lang w:val="ru-RU"/>
              </w:rPr>
              <w:t>International Special Committee on Radio Interference</w:t>
            </w:r>
          </w:p>
        </w:tc>
        <w:tc>
          <w:tcPr>
            <w:tcW w:w="1134" w:type="dxa"/>
          </w:tcPr>
          <w:p w14:paraId="25AC9BA1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СИСПР</w:t>
            </w:r>
          </w:p>
        </w:tc>
        <w:tc>
          <w:tcPr>
            <w:tcW w:w="3935" w:type="dxa"/>
          </w:tcPr>
          <w:p w14:paraId="69DB2835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 w:eastAsia="ko-KR"/>
              </w:rPr>
            </w:pPr>
            <w:r w:rsidRPr="00092B92">
              <w:rPr>
                <w:rFonts w:ascii="Times New Roman" w:hAnsi="Times New Roman"/>
                <w:lang w:val="ru-RU" w:eastAsia="ko-KR"/>
              </w:rPr>
              <w:t xml:space="preserve">Международный специальный комитет по </w:t>
            </w:r>
            <w:r w:rsidRPr="00092B92">
              <w:rPr>
                <w:rFonts w:ascii="Times New Roman" w:hAnsi="Times New Roman"/>
                <w:lang w:val="ru-RU"/>
              </w:rPr>
              <w:t>радиопомехам</w:t>
            </w:r>
          </w:p>
        </w:tc>
      </w:tr>
      <w:tr w:rsidR="00945748" w:rsidRPr="00092B92" w14:paraId="34A1AD2E" w14:textId="77777777" w:rsidTr="00D40B30">
        <w:tc>
          <w:tcPr>
            <w:tcW w:w="1185" w:type="dxa"/>
          </w:tcPr>
          <w:p w14:paraId="4C3D5027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ICNIRP</w:t>
            </w:r>
          </w:p>
        </w:tc>
        <w:tc>
          <w:tcPr>
            <w:tcW w:w="3577" w:type="dxa"/>
          </w:tcPr>
          <w:p w14:paraId="6738D09E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International Commission on Non</w:t>
            </w:r>
            <w:r w:rsidRPr="00092B92">
              <w:rPr>
                <w:rFonts w:ascii="Times New Roman" w:hAnsi="Times New Roman"/>
                <w:lang w:val="ru-RU"/>
              </w:rPr>
              <w:noBreakHyphen/>
              <w:t>ionizing Radiation Protection</w:t>
            </w:r>
          </w:p>
        </w:tc>
        <w:tc>
          <w:tcPr>
            <w:tcW w:w="1134" w:type="dxa"/>
          </w:tcPr>
          <w:p w14:paraId="09A81F2F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МКЗНИ</w:t>
            </w:r>
          </w:p>
        </w:tc>
        <w:tc>
          <w:tcPr>
            <w:tcW w:w="3935" w:type="dxa"/>
          </w:tcPr>
          <w:p w14:paraId="11C10320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Международная комиссия по защите от неионизирующего излучения</w:t>
            </w:r>
          </w:p>
        </w:tc>
      </w:tr>
      <w:tr w:rsidR="00945748" w:rsidRPr="00092B92" w14:paraId="7BE38242" w14:textId="77777777" w:rsidTr="00D40B30">
        <w:tc>
          <w:tcPr>
            <w:tcW w:w="1185" w:type="dxa"/>
          </w:tcPr>
          <w:p w14:paraId="397D8D49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 w:eastAsia="zh-CN"/>
              </w:rPr>
              <w:t>IEC</w:t>
            </w:r>
          </w:p>
        </w:tc>
        <w:tc>
          <w:tcPr>
            <w:tcW w:w="3577" w:type="dxa"/>
          </w:tcPr>
          <w:p w14:paraId="20A1FF9D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 w:eastAsia="zh-CN"/>
              </w:rPr>
              <w:t>International Electrotechnical Commission</w:t>
            </w:r>
          </w:p>
        </w:tc>
        <w:tc>
          <w:tcPr>
            <w:tcW w:w="1134" w:type="dxa"/>
          </w:tcPr>
          <w:p w14:paraId="01D7F890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МЭК</w:t>
            </w:r>
          </w:p>
        </w:tc>
        <w:tc>
          <w:tcPr>
            <w:tcW w:w="3935" w:type="dxa"/>
          </w:tcPr>
          <w:p w14:paraId="55676D93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Международная электротехническая комиссия</w:t>
            </w:r>
          </w:p>
        </w:tc>
      </w:tr>
      <w:tr w:rsidR="00945748" w:rsidRPr="00092B92" w14:paraId="267DE5AD" w14:textId="77777777" w:rsidTr="00D40B30">
        <w:tc>
          <w:tcPr>
            <w:tcW w:w="1185" w:type="dxa"/>
          </w:tcPr>
          <w:p w14:paraId="6209175C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 w:eastAsia="zh-CN"/>
              </w:rPr>
            </w:pPr>
            <w:r w:rsidRPr="00092B92">
              <w:rPr>
                <w:rFonts w:ascii="Times New Roman" w:hAnsi="Times New Roman"/>
                <w:lang w:val="ru-RU" w:eastAsia="zh-CN"/>
              </w:rPr>
              <w:t>ISO</w:t>
            </w:r>
          </w:p>
        </w:tc>
        <w:tc>
          <w:tcPr>
            <w:tcW w:w="3577" w:type="dxa"/>
          </w:tcPr>
          <w:p w14:paraId="11D20828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 w:eastAsia="zh-CN"/>
              </w:rPr>
            </w:pPr>
            <w:r w:rsidRPr="00092B92">
              <w:rPr>
                <w:rFonts w:ascii="Times New Roman" w:hAnsi="Times New Roman"/>
                <w:lang w:val="ru-RU" w:eastAsia="zh-CN"/>
              </w:rPr>
              <w:t>International Organization for Standardization</w:t>
            </w:r>
          </w:p>
        </w:tc>
        <w:tc>
          <w:tcPr>
            <w:tcW w:w="1134" w:type="dxa"/>
          </w:tcPr>
          <w:p w14:paraId="418F90F1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ИСО</w:t>
            </w:r>
          </w:p>
        </w:tc>
        <w:tc>
          <w:tcPr>
            <w:tcW w:w="3935" w:type="dxa"/>
          </w:tcPr>
          <w:p w14:paraId="3BB8400C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Международная организация по стандартизации</w:t>
            </w:r>
          </w:p>
        </w:tc>
      </w:tr>
      <w:tr w:rsidR="00945748" w:rsidRPr="00092B92" w14:paraId="63D5B1DF" w14:textId="77777777" w:rsidTr="00D40B30">
        <w:tc>
          <w:tcPr>
            <w:tcW w:w="1185" w:type="dxa"/>
          </w:tcPr>
          <w:p w14:paraId="46E0E51B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 w:eastAsia="zh-CN"/>
              </w:rPr>
            </w:pPr>
            <w:r w:rsidRPr="00092B92">
              <w:rPr>
                <w:rFonts w:ascii="Times New Roman" w:eastAsia="Calibri" w:hAnsi="Times New Roman"/>
                <w:lang w:val="ru-RU"/>
              </w:rPr>
              <w:t>ISM</w:t>
            </w:r>
          </w:p>
        </w:tc>
        <w:tc>
          <w:tcPr>
            <w:tcW w:w="3577" w:type="dxa"/>
          </w:tcPr>
          <w:p w14:paraId="3CC20CAF" w14:textId="1B1DC9D2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 w:eastAsia="zh-CN"/>
              </w:rPr>
            </w:pPr>
            <w:r w:rsidRPr="00092B92">
              <w:rPr>
                <w:rFonts w:ascii="Times New Roman" w:eastAsia="Calibri" w:hAnsi="Times New Roman"/>
                <w:lang w:val="ru-RU"/>
              </w:rPr>
              <w:t xml:space="preserve">Industrial, </w:t>
            </w:r>
            <w:r w:rsidR="009C0E37" w:rsidRPr="00092B92">
              <w:rPr>
                <w:rFonts w:ascii="Times New Roman" w:eastAsia="Calibri" w:hAnsi="Times New Roman"/>
                <w:lang w:val="ru-RU"/>
              </w:rPr>
              <w:t>scientific</w:t>
            </w:r>
            <w:r w:rsidRPr="00092B92">
              <w:rPr>
                <w:rFonts w:ascii="Times New Roman" w:eastAsia="Calibri" w:hAnsi="Times New Roman"/>
                <w:lang w:val="ru-RU"/>
              </w:rPr>
              <w:t xml:space="preserve">, </w:t>
            </w:r>
            <w:r w:rsidR="009C0E37" w:rsidRPr="00092B92">
              <w:rPr>
                <w:rFonts w:ascii="Times New Roman" w:eastAsia="Calibri" w:hAnsi="Times New Roman"/>
                <w:lang w:val="ru-RU"/>
              </w:rPr>
              <w:t>medical</w:t>
            </w:r>
          </w:p>
        </w:tc>
        <w:tc>
          <w:tcPr>
            <w:tcW w:w="1134" w:type="dxa"/>
          </w:tcPr>
          <w:p w14:paraId="7B6D612C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ПНМ</w:t>
            </w:r>
          </w:p>
        </w:tc>
        <w:tc>
          <w:tcPr>
            <w:tcW w:w="3935" w:type="dxa"/>
          </w:tcPr>
          <w:p w14:paraId="2E35DFC1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 xml:space="preserve">Полосы частот, предназначенные для промышленных, научных и медицинских применений </w:t>
            </w:r>
          </w:p>
        </w:tc>
      </w:tr>
      <w:tr w:rsidR="00945748" w:rsidRPr="00092B92" w14:paraId="38A9AFB6" w14:textId="77777777" w:rsidTr="00D40B30">
        <w:tc>
          <w:tcPr>
            <w:tcW w:w="1185" w:type="dxa"/>
          </w:tcPr>
          <w:p w14:paraId="1815B226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 w:eastAsia="ko-KR"/>
              </w:rPr>
            </w:pPr>
            <w:r w:rsidRPr="00092B92">
              <w:rPr>
                <w:rFonts w:ascii="Times New Roman" w:hAnsi="Times New Roman"/>
                <w:lang w:val="ru-RU" w:eastAsia="zh-CN"/>
              </w:rPr>
              <w:t>RR</w:t>
            </w:r>
          </w:p>
        </w:tc>
        <w:tc>
          <w:tcPr>
            <w:tcW w:w="3577" w:type="dxa"/>
          </w:tcPr>
          <w:p w14:paraId="13601221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 w:eastAsia="ko-KR"/>
              </w:rPr>
            </w:pPr>
            <w:r w:rsidRPr="00092B92">
              <w:rPr>
                <w:rFonts w:ascii="Times New Roman" w:hAnsi="Times New Roman"/>
                <w:lang w:val="ru-RU" w:eastAsia="zh-CN"/>
              </w:rPr>
              <w:t>Radio Regulations</w:t>
            </w:r>
          </w:p>
        </w:tc>
        <w:tc>
          <w:tcPr>
            <w:tcW w:w="1134" w:type="dxa"/>
          </w:tcPr>
          <w:p w14:paraId="67A449E9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РР</w:t>
            </w:r>
          </w:p>
        </w:tc>
        <w:tc>
          <w:tcPr>
            <w:tcW w:w="3935" w:type="dxa"/>
          </w:tcPr>
          <w:p w14:paraId="24B46C41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Регламент радиосвязи</w:t>
            </w:r>
          </w:p>
        </w:tc>
      </w:tr>
      <w:tr w:rsidR="007E069E" w:rsidRPr="00092B92" w14:paraId="06306833" w14:textId="77777777" w:rsidTr="00D40B30">
        <w:tc>
          <w:tcPr>
            <w:tcW w:w="1185" w:type="dxa"/>
          </w:tcPr>
          <w:p w14:paraId="3ADBA243" w14:textId="36139912" w:rsidR="007E069E" w:rsidRPr="00092B92" w:rsidRDefault="007E069E" w:rsidP="007E069E">
            <w:pPr>
              <w:tabs>
                <w:tab w:val="clear" w:pos="794"/>
              </w:tabs>
              <w:spacing w:before="80"/>
              <w:jc w:val="left"/>
              <w:rPr>
                <w:lang w:val="ru-RU" w:eastAsia="zh-CN"/>
              </w:rPr>
            </w:pPr>
            <w:r w:rsidRPr="00092B92">
              <w:rPr>
                <w:lang w:val="ru-RU" w:eastAsia="ko-KR"/>
              </w:rPr>
              <w:t>SFTS</w:t>
            </w:r>
          </w:p>
        </w:tc>
        <w:tc>
          <w:tcPr>
            <w:tcW w:w="3577" w:type="dxa"/>
          </w:tcPr>
          <w:p w14:paraId="16ECC633" w14:textId="375112BA" w:rsidR="007E069E" w:rsidRPr="00092B92" w:rsidRDefault="007E069E" w:rsidP="007E069E">
            <w:pPr>
              <w:tabs>
                <w:tab w:val="clear" w:pos="794"/>
              </w:tabs>
              <w:spacing w:before="80"/>
              <w:jc w:val="left"/>
              <w:rPr>
                <w:lang w:val="ru-RU" w:eastAsia="zh-CN"/>
              </w:rPr>
            </w:pPr>
            <w:r w:rsidRPr="00092B92">
              <w:rPr>
                <w:lang w:val="ru-RU" w:eastAsia="ko-KR"/>
              </w:rPr>
              <w:t>Standard frequency and time signal</w:t>
            </w:r>
          </w:p>
        </w:tc>
        <w:tc>
          <w:tcPr>
            <w:tcW w:w="1134" w:type="dxa"/>
          </w:tcPr>
          <w:p w14:paraId="147C4E8C" w14:textId="77777777" w:rsidR="007E069E" w:rsidRPr="00092B92" w:rsidRDefault="007E069E" w:rsidP="007E069E">
            <w:pPr>
              <w:tabs>
                <w:tab w:val="clear" w:pos="794"/>
              </w:tabs>
              <w:spacing w:before="80"/>
              <w:jc w:val="left"/>
              <w:rPr>
                <w:lang w:val="ru-RU"/>
              </w:rPr>
            </w:pPr>
          </w:p>
        </w:tc>
        <w:tc>
          <w:tcPr>
            <w:tcW w:w="3935" w:type="dxa"/>
          </w:tcPr>
          <w:p w14:paraId="7FDE174A" w14:textId="46E3C086" w:rsidR="007E069E" w:rsidRPr="00092B92" w:rsidRDefault="005E4C75" w:rsidP="007E069E">
            <w:pPr>
              <w:tabs>
                <w:tab w:val="clear" w:pos="794"/>
              </w:tabs>
              <w:spacing w:before="80"/>
              <w:jc w:val="left"/>
              <w:rPr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Стандартные частоты и сигналы времени</w:t>
            </w:r>
          </w:p>
        </w:tc>
      </w:tr>
      <w:tr w:rsidR="00945748" w:rsidRPr="00092B92" w14:paraId="502B3D06" w14:textId="77777777" w:rsidTr="00D40B30">
        <w:tc>
          <w:tcPr>
            <w:tcW w:w="1185" w:type="dxa"/>
          </w:tcPr>
          <w:p w14:paraId="60C6B880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 w:eastAsia="zh-CN"/>
              </w:rPr>
            </w:pPr>
            <w:r w:rsidRPr="00092B92">
              <w:rPr>
                <w:rFonts w:ascii="Times New Roman" w:hAnsi="Times New Roman"/>
                <w:lang w:val="ru-RU"/>
              </w:rPr>
              <w:t>WHO</w:t>
            </w:r>
          </w:p>
        </w:tc>
        <w:tc>
          <w:tcPr>
            <w:tcW w:w="3577" w:type="dxa"/>
          </w:tcPr>
          <w:p w14:paraId="42A0E91B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 w:eastAsia="zh-CN"/>
              </w:rPr>
            </w:pPr>
            <w:r w:rsidRPr="00092B92">
              <w:rPr>
                <w:rFonts w:ascii="Times New Roman" w:hAnsi="Times New Roman"/>
                <w:lang w:val="ru-RU"/>
              </w:rPr>
              <w:t>World Health Organization</w:t>
            </w:r>
          </w:p>
        </w:tc>
        <w:tc>
          <w:tcPr>
            <w:tcW w:w="1134" w:type="dxa"/>
          </w:tcPr>
          <w:p w14:paraId="321B8C26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ВОЗ</w:t>
            </w:r>
          </w:p>
        </w:tc>
        <w:tc>
          <w:tcPr>
            <w:tcW w:w="3935" w:type="dxa"/>
          </w:tcPr>
          <w:p w14:paraId="65DC5163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Всемирная организация здравоохранения</w:t>
            </w:r>
          </w:p>
        </w:tc>
      </w:tr>
      <w:tr w:rsidR="00945748" w:rsidRPr="00092B92" w14:paraId="3C35497C" w14:textId="77777777" w:rsidTr="00D40B30">
        <w:tc>
          <w:tcPr>
            <w:tcW w:w="1185" w:type="dxa"/>
          </w:tcPr>
          <w:p w14:paraId="25D0E4E6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WPT</w:t>
            </w:r>
          </w:p>
        </w:tc>
        <w:tc>
          <w:tcPr>
            <w:tcW w:w="3577" w:type="dxa"/>
          </w:tcPr>
          <w:p w14:paraId="59EA1D9A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 w:eastAsia="ko-KR"/>
              </w:rPr>
              <w:t>Wireless power transmission</w:t>
            </w:r>
          </w:p>
        </w:tc>
        <w:tc>
          <w:tcPr>
            <w:tcW w:w="1134" w:type="dxa"/>
          </w:tcPr>
          <w:p w14:paraId="057E72D1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БПЭ</w:t>
            </w:r>
          </w:p>
        </w:tc>
        <w:tc>
          <w:tcPr>
            <w:tcW w:w="3935" w:type="dxa"/>
          </w:tcPr>
          <w:p w14:paraId="5F07758B" w14:textId="77777777" w:rsidR="00945748" w:rsidRPr="00092B92" w:rsidRDefault="00945748" w:rsidP="007E069E">
            <w:pPr>
              <w:tabs>
                <w:tab w:val="clear" w:pos="794"/>
              </w:tabs>
              <w:spacing w:before="80"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Беспроводная передача энергии</w:t>
            </w:r>
          </w:p>
        </w:tc>
      </w:tr>
    </w:tbl>
    <w:p w14:paraId="6350FAC7" w14:textId="301B7353" w:rsidR="00945748" w:rsidRPr="00092B92" w:rsidRDefault="00945748" w:rsidP="00600D61">
      <w:pPr>
        <w:pStyle w:val="Headingb"/>
        <w:rPr>
          <w:rFonts w:eastAsia="SimSun"/>
          <w:lang w:val="ru-RU"/>
        </w:rPr>
      </w:pPr>
      <w:r w:rsidRPr="00092B92">
        <w:rPr>
          <w:rFonts w:eastAsia="SimSun"/>
          <w:lang w:val="ru-RU"/>
        </w:rPr>
        <w:t>Соответствующие Рекомендации и Отчеты МСЭ</w:t>
      </w:r>
      <w:r w:rsidR="007E069E" w:rsidRPr="00092B92">
        <w:rPr>
          <w:lang w:val="ru-RU"/>
        </w:rPr>
        <w:t>-R</w:t>
      </w:r>
    </w:p>
    <w:p w14:paraId="0CF39B8E" w14:textId="030E5481" w:rsidR="007E069E" w:rsidRPr="00092B92" w:rsidRDefault="00AA5BB8" w:rsidP="007E069E">
      <w:pPr>
        <w:pStyle w:val="Reftext"/>
        <w:tabs>
          <w:tab w:val="clear" w:pos="794"/>
          <w:tab w:val="clear" w:pos="1985"/>
          <w:tab w:val="left" w:pos="2552"/>
        </w:tabs>
        <w:rPr>
          <w:lang w:val="ru-RU"/>
        </w:rPr>
      </w:pPr>
      <w:r w:rsidRPr="00092B92">
        <w:rPr>
          <w:lang w:val="ru-RU"/>
        </w:rPr>
        <w:t xml:space="preserve">Recommendation </w:t>
      </w:r>
      <w:r w:rsidRPr="00092B92">
        <w:rPr>
          <w:rStyle w:val="Hyperlink"/>
          <w:rFonts w:eastAsia="Calibri"/>
          <w:color w:val="auto"/>
          <w:u w:val="none"/>
          <w:lang w:val="ru-RU"/>
        </w:rPr>
        <w:t xml:space="preserve">ITU-R </w:t>
      </w:r>
      <w:hyperlink r:id="rId15" w:history="1">
        <w:r w:rsidRPr="00092B92">
          <w:rPr>
            <w:rStyle w:val="Hyperlink"/>
            <w:rFonts w:eastAsia="Calibri"/>
            <w:color w:val="auto"/>
            <w:u w:val="none"/>
            <w:lang w:val="ru-RU"/>
          </w:rPr>
          <w:t>SM.1056</w:t>
        </w:r>
      </w:hyperlink>
      <w:r w:rsidRPr="00092B92">
        <w:rPr>
          <w:lang w:val="ru-RU"/>
        </w:rPr>
        <w:t xml:space="preserve"> – Limitation of radiation from industrial, scientific and medical (ISM) equipment</w:t>
      </w:r>
    </w:p>
    <w:p w14:paraId="78A34D0E" w14:textId="5C52C498" w:rsidR="007E069E" w:rsidRPr="00092B92" w:rsidRDefault="005E4C75" w:rsidP="007E069E">
      <w:pPr>
        <w:pStyle w:val="Reftext"/>
        <w:tabs>
          <w:tab w:val="clear" w:pos="794"/>
          <w:tab w:val="clear" w:pos="1985"/>
          <w:tab w:val="left" w:pos="2552"/>
        </w:tabs>
        <w:rPr>
          <w:lang w:val="ru-RU"/>
        </w:rPr>
      </w:pPr>
      <w:r w:rsidRPr="00092B92">
        <w:rPr>
          <w:lang w:val="ru-RU"/>
        </w:rPr>
        <w:t>Рекомендация МСЭ</w:t>
      </w:r>
      <w:r w:rsidR="007E069E" w:rsidRPr="00092B92">
        <w:rPr>
          <w:rStyle w:val="Hyperlink"/>
          <w:color w:val="auto"/>
          <w:u w:val="none"/>
          <w:lang w:val="ru-RU"/>
        </w:rPr>
        <w:t xml:space="preserve">-R </w:t>
      </w:r>
      <w:hyperlink r:id="rId16" w:history="1">
        <w:r w:rsidR="007E069E" w:rsidRPr="00092B92">
          <w:rPr>
            <w:rStyle w:val="Hyperlink"/>
            <w:color w:val="auto"/>
            <w:u w:val="none"/>
            <w:lang w:val="ru-RU"/>
          </w:rPr>
          <w:t>SM.1896</w:t>
        </w:r>
      </w:hyperlink>
      <w:r w:rsidR="007E069E" w:rsidRPr="00092B92">
        <w:rPr>
          <w:lang w:val="ru-RU"/>
        </w:rPr>
        <w:t xml:space="preserve"> –</w:t>
      </w:r>
      <w:r w:rsidRPr="00092B92">
        <w:rPr>
          <w:lang w:val="ru-RU"/>
        </w:rPr>
        <w:t xml:space="preserve"> Диапазоны частот для согласования на глобальном или региональном уровне устройств малого радиуса действия</w:t>
      </w:r>
    </w:p>
    <w:p w14:paraId="2BD01450" w14:textId="547546D7" w:rsidR="007E069E" w:rsidRPr="00092B92" w:rsidRDefault="005E4C75" w:rsidP="007E069E">
      <w:pPr>
        <w:pStyle w:val="Reftext"/>
        <w:tabs>
          <w:tab w:val="clear" w:pos="794"/>
          <w:tab w:val="clear" w:pos="1985"/>
          <w:tab w:val="left" w:pos="2552"/>
        </w:tabs>
        <w:rPr>
          <w:lang w:val="ru-RU"/>
        </w:rPr>
      </w:pPr>
      <w:r w:rsidRPr="00092B92">
        <w:rPr>
          <w:lang w:val="ru-RU"/>
        </w:rPr>
        <w:t>Отчет МСЭ</w:t>
      </w:r>
      <w:r w:rsidR="007E069E" w:rsidRPr="00092B92">
        <w:rPr>
          <w:rStyle w:val="Hyperlink"/>
          <w:color w:val="auto"/>
          <w:u w:val="none"/>
          <w:lang w:val="ru-RU"/>
        </w:rPr>
        <w:t xml:space="preserve">-R </w:t>
      </w:r>
      <w:hyperlink r:id="rId17" w:history="1">
        <w:r w:rsidR="007E069E" w:rsidRPr="00092B92">
          <w:rPr>
            <w:rStyle w:val="Hyperlink"/>
            <w:color w:val="auto"/>
            <w:u w:val="none"/>
            <w:lang w:val="ru-RU"/>
          </w:rPr>
          <w:t>SM.2153</w:t>
        </w:r>
      </w:hyperlink>
      <w:r w:rsidR="007E069E" w:rsidRPr="00092B92">
        <w:rPr>
          <w:lang w:val="ru-RU"/>
        </w:rPr>
        <w:t xml:space="preserve"> –</w:t>
      </w:r>
      <w:r w:rsidRPr="00092B92">
        <w:rPr>
          <w:lang w:val="ru-RU"/>
        </w:rPr>
        <w:t xml:space="preserve"> Технические и эксплуатационные параметры и использование спектра для устройств радиосвязи малого радиуса действия</w:t>
      </w:r>
    </w:p>
    <w:p w14:paraId="68A80F36" w14:textId="129DA866" w:rsidR="007E069E" w:rsidRPr="00092B92" w:rsidRDefault="005E4C75" w:rsidP="007E069E">
      <w:pPr>
        <w:pStyle w:val="Reftext"/>
        <w:tabs>
          <w:tab w:val="clear" w:pos="794"/>
          <w:tab w:val="clear" w:pos="1985"/>
          <w:tab w:val="left" w:pos="2552"/>
        </w:tabs>
        <w:rPr>
          <w:lang w:val="ru-RU"/>
        </w:rPr>
      </w:pPr>
      <w:r w:rsidRPr="00092B92">
        <w:rPr>
          <w:lang w:val="ru-RU"/>
        </w:rPr>
        <w:t>Отчет МСЭ</w:t>
      </w:r>
      <w:r w:rsidR="007E069E" w:rsidRPr="00092B92">
        <w:rPr>
          <w:rStyle w:val="Hyperlink"/>
          <w:rFonts w:eastAsia="Calibri"/>
          <w:color w:val="auto"/>
          <w:u w:val="none"/>
          <w:lang w:val="ru-RU"/>
        </w:rPr>
        <w:t xml:space="preserve">-R </w:t>
      </w:r>
      <w:hyperlink r:id="rId18" w:history="1">
        <w:r w:rsidR="007E069E" w:rsidRPr="00092B92">
          <w:rPr>
            <w:rStyle w:val="Hyperlink"/>
            <w:rFonts w:eastAsia="Calibri"/>
            <w:color w:val="auto"/>
            <w:u w:val="none"/>
            <w:lang w:val="ru-RU"/>
          </w:rPr>
          <w:t>SM.2303</w:t>
        </w:r>
      </w:hyperlink>
      <w:r w:rsidR="007E069E" w:rsidRPr="00092B92">
        <w:rPr>
          <w:lang w:val="ru-RU"/>
        </w:rPr>
        <w:t xml:space="preserve"> –</w:t>
      </w:r>
      <w:r w:rsidRPr="00092B92">
        <w:rPr>
          <w:lang w:val="ru-RU"/>
        </w:rPr>
        <w:t xml:space="preserve"> Беспроводная передача энергии с использованием технологий, не</w:t>
      </w:r>
      <w:r w:rsidR="002434B2">
        <w:rPr>
          <w:lang w:val="ru-RU"/>
        </w:rPr>
        <w:t> </w:t>
      </w:r>
      <w:r w:rsidRPr="00092B92">
        <w:rPr>
          <w:lang w:val="ru-RU"/>
        </w:rPr>
        <w:t>предусматривающих передачу с помощью радиочастотного луча</w:t>
      </w:r>
    </w:p>
    <w:p w14:paraId="70F2CDF8" w14:textId="3FC6E670" w:rsidR="00F2535A" w:rsidRPr="00092B92" w:rsidRDefault="005E4C75" w:rsidP="007E069E">
      <w:pPr>
        <w:pStyle w:val="Reftext"/>
        <w:tabs>
          <w:tab w:val="clear" w:pos="794"/>
          <w:tab w:val="clear" w:pos="1985"/>
          <w:tab w:val="left" w:pos="2552"/>
        </w:tabs>
        <w:rPr>
          <w:lang w:val="ru-RU"/>
        </w:rPr>
      </w:pPr>
      <w:r w:rsidRPr="00092B92">
        <w:rPr>
          <w:lang w:val="ru-RU"/>
        </w:rPr>
        <w:t>Отчет МСЭ</w:t>
      </w:r>
      <w:r w:rsidR="007E069E" w:rsidRPr="00092B92">
        <w:rPr>
          <w:rStyle w:val="Hyperlink"/>
          <w:rFonts w:eastAsia="Calibri"/>
          <w:color w:val="auto"/>
          <w:u w:val="none"/>
          <w:lang w:val="ru-RU"/>
        </w:rPr>
        <w:t>-R</w:t>
      </w:r>
      <w:r w:rsidR="007E069E" w:rsidRPr="00092B92">
        <w:rPr>
          <w:rStyle w:val="Hyperlink"/>
          <w:color w:val="auto"/>
          <w:u w:val="none"/>
          <w:lang w:val="ru-RU"/>
        </w:rPr>
        <w:t xml:space="preserve"> </w:t>
      </w:r>
      <w:hyperlink r:id="rId19" w:history="1">
        <w:r w:rsidR="007E069E" w:rsidRPr="00092B92">
          <w:rPr>
            <w:rStyle w:val="Hyperlink"/>
            <w:color w:val="auto"/>
            <w:u w:val="none"/>
            <w:lang w:val="ru-RU"/>
          </w:rPr>
          <w:t>SM.2449</w:t>
        </w:r>
      </w:hyperlink>
      <w:r w:rsidR="007E069E" w:rsidRPr="00092B92">
        <w:rPr>
          <w:lang w:val="ru-RU"/>
        </w:rPr>
        <w:t xml:space="preserve"> –</w:t>
      </w:r>
      <w:r w:rsidRPr="00092B92">
        <w:rPr>
          <w:lang w:val="ru-RU"/>
        </w:rPr>
        <w:t xml:space="preserve"> Анализ воздействия беспроводной передачи энергии на основе магнитной индукции и магнитного резонанса без использования луча для мобильных и переносных устройств в службах радиосвязи</w:t>
      </w:r>
    </w:p>
    <w:p w14:paraId="1B1DAF0C" w14:textId="77777777" w:rsidR="00945748" w:rsidRPr="00092B92" w:rsidRDefault="00945748" w:rsidP="00945748">
      <w:pPr>
        <w:pStyle w:val="Normalaftertitle"/>
        <w:keepNext/>
        <w:spacing w:before="200"/>
        <w:rPr>
          <w:szCs w:val="22"/>
          <w:lang w:val="ru-RU"/>
        </w:rPr>
      </w:pPr>
      <w:r w:rsidRPr="00092B92">
        <w:rPr>
          <w:szCs w:val="22"/>
          <w:lang w:val="ru-RU"/>
        </w:rPr>
        <w:lastRenderedPageBreak/>
        <w:t>Ассамблея радиосвязи МСЭ,</w:t>
      </w:r>
    </w:p>
    <w:p w14:paraId="5CD129B0" w14:textId="77777777" w:rsidR="00945748" w:rsidRPr="00092B92" w:rsidRDefault="00945748" w:rsidP="00945748">
      <w:pPr>
        <w:pStyle w:val="Call"/>
        <w:spacing w:before="120"/>
        <w:rPr>
          <w:szCs w:val="22"/>
          <w:lang w:val="ru-RU" w:eastAsia="ko-KR"/>
        </w:rPr>
      </w:pPr>
      <w:r w:rsidRPr="00092B92">
        <w:rPr>
          <w:szCs w:val="22"/>
          <w:lang w:val="ru-RU"/>
        </w:rPr>
        <w:t>учитывая</w:t>
      </w:r>
      <w:r w:rsidRPr="00092B92">
        <w:rPr>
          <w:i w:val="0"/>
          <w:iCs/>
          <w:szCs w:val="22"/>
          <w:lang w:val="ru-RU"/>
        </w:rPr>
        <w:t>,</w:t>
      </w:r>
    </w:p>
    <w:p w14:paraId="5F3925F8" w14:textId="77777777" w:rsidR="00945748" w:rsidRPr="00092B92" w:rsidRDefault="00945748" w:rsidP="00945748">
      <w:pPr>
        <w:keepNext/>
        <w:spacing w:before="100"/>
        <w:rPr>
          <w:szCs w:val="22"/>
          <w:lang w:val="ru-RU" w:eastAsia="ko-KR"/>
        </w:rPr>
      </w:pPr>
      <w:r w:rsidRPr="00092B92">
        <w:rPr>
          <w:i/>
          <w:iCs/>
          <w:szCs w:val="22"/>
          <w:lang w:val="ru-RU" w:eastAsia="ko-KR"/>
        </w:rPr>
        <w:t>a)</w:t>
      </w:r>
      <w:r w:rsidRPr="00092B92">
        <w:rPr>
          <w:szCs w:val="22"/>
          <w:lang w:val="ru-RU" w:eastAsia="ko-KR"/>
        </w:rPr>
        <w:tab/>
      </w:r>
      <w:r w:rsidRPr="00092B92">
        <w:rPr>
          <w:szCs w:val="22"/>
          <w:lang w:val="ru-RU"/>
        </w:rPr>
        <w:t>что беспроводная передача энергии (БПЭ) определяется как передача энергии от источника энергии к электрической нагрузке беспроводным способом с использованием электромагнитного поля;</w:t>
      </w:r>
    </w:p>
    <w:p w14:paraId="2E727D8D" w14:textId="77777777" w:rsidR="00945748" w:rsidRPr="00092B92" w:rsidRDefault="00945748" w:rsidP="00945748">
      <w:pPr>
        <w:spacing w:before="100"/>
        <w:rPr>
          <w:szCs w:val="22"/>
          <w:lang w:val="ru-RU" w:eastAsia="zh-CN"/>
        </w:rPr>
      </w:pPr>
      <w:r w:rsidRPr="00092B92">
        <w:rPr>
          <w:i/>
          <w:iCs/>
          <w:szCs w:val="22"/>
          <w:lang w:val="ru-RU" w:eastAsia="zh-CN"/>
        </w:rPr>
        <w:t>b)</w:t>
      </w:r>
      <w:r w:rsidRPr="00092B92">
        <w:rPr>
          <w:szCs w:val="22"/>
          <w:lang w:val="ru-RU" w:eastAsia="zh-CN"/>
        </w:rPr>
        <w:tab/>
        <w:t>что в технологиях БПЭ применяются различные механизмы, такие как передача с помощью радиочастотных излучений в дальнем поле (БПЭ с использованием луча) и индукционная, резонансная и емкостная связь в ближнем поле (БПЭ без использования луча);</w:t>
      </w:r>
    </w:p>
    <w:p w14:paraId="7947579F" w14:textId="77777777" w:rsidR="00945748" w:rsidRPr="00092B92" w:rsidRDefault="00945748" w:rsidP="00945748">
      <w:pPr>
        <w:spacing w:before="100"/>
        <w:rPr>
          <w:szCs w:val="22"/>
          <w:lang w:val="ru-RU"/>
        </w:rPr>
      </w:pPr>
      <w:r w:rsidRPr="00092B92">
        <w:rPr>
          <w:i/>
          <w:iCs/>
          <w:szCs w:val="22"/>
          <w:lang w:val="ru-RU"/>
        </w:rPr>
        <w:t>c)</w:t>
      </w:r>
      <w:r w:rsidRPr="00092B92">
        <w:rPr>
          <w:szCs w:val="22"/>
          <w:lang w:val="ru-RU"/>
        </w:rPr>
        <w:tab/>
        <w:t>что такие технологии БПЭ используются в применениях для зарядки мобильных и переносных устройств;</w:t>
      </w:r>
    </w:p>
    <w:p w14:paraId="40F960F4" w14:textId="3D190343" w:rsidR="00945748" w:rsidRPr="00092B92" w:rsidRDefault="00945748" w:rsidP="00945748">
      <w:pPr>
        <w:rPr>
          <w:iCs/>
          <w:szCs w:val="22"/>
          <w:lang w:val="ru-RU"/>
        </w:rPr>
      </w:pPr>
      <w:r w:rsidRPr="00092B92">
        <w:rPr>
          <w:i/>
          <w:szCs w:val="22"/>
          <w:lang w:val="ru-RU"/>
        </w:rPr>
        <w:t>d)</w:t>
      </w:r>
      <w:r w:rsidRPr="00092B92">
        <w:rPr>
          <w:i/>
          <w:szCs w:val="22"/>
          <w:lang w:val="ru-RU"/>
        </w:rPr>
        <w:tab/>
      </w:r>
      <w:r w:rsidRPr="00092B92">
        <w:rPr>
          <w:iCs/>
          <w:szCs w:val="22"/>
          <w:lang w:val="ru-RU"/>
        </w:rPr>
        <w:t>что существует потенциальный потребительский спрос на технологии БПЭ, используемые для мобильных и портативных устройств;</w:t>
      </w:r>
    </w:p>
    <w:p w14:paraId="3A094396" w14:textId="77777777" w:rsidR="00945748" w:rsidRPr="00092B92" w:rsidRDefault="00945748" w:rsidP="00945748">
      <w:pPr>
        <w:rPr>
          <w:szCs w:val="22"/>
          <w:lang w:val="ru-RU"/>
        </w:rPr>
      </w:pPr>
      <w:r w:rsidRPr="00092B92">
        <w:rPr>
          <w:i/>
          <w:szCs w:val="22"/>
          <w:lang w:val="ru-RU"/>
        </w:rPr>
        <w:t>e)</w:t>
      </w:r>
      <w:r w:rsidRPr="00092B92">
        <w:rPr>
          <w:szCs w:val="22"/>
          <w:lang w:val="ru-RU"/>
        </w:rPr>
        <w:tab/>
        <w:t>что в настоящее время на национальном, региональном и международном уровнях разрабатываются стандарты БПЭ;</w:t>
      </w:r>
    </w:p>
    <w:p w14:paraId="1072AE42" w14:textId="77777777" w:rsidR="00945748" w:rsidRPr="00092B92" w:rsidRDefault="00945748" w:rsidP="00945748">
      <w:pPr>
        <w:rPr>
          <w:szCs w:val="22"/>
          <w:lang w:val="ru-RU"/>
        </w:rPr>
      </w:pPr>
      <w:r w:rsidRPr="00092B92">
        <w:rPr>
          <w:i/>
          <w:iCs/>
          <w:szCs w:val="22"/>
          <w:lang w:val="ru-RU"/>
        </w:rPr>
        <w:t>f)</w:t>
      </w:r>
      <w:r w:rsidRPr="00092B92">
        <w:rPr>
          <w:szCs w:val="22"/>
          <w:lang w:val="ru-RU"/>
        </w:rPr>
        <w:tab/>
        <w:t xml:space="preserve">что промышленные альянсы, консорциумы и академические организации изучили ряд полос частот с целью применения технологий БПЭ, в том числе </w:t>
      </w:r>
      <w:r w:rsidRPr="00092B92">
        <w:rPr>
          <w:szCs w:val="22"/>
          <w:lang w:val="ru-RU" w:eastAsia="ko-KR"/>
        </w:rPr>
        <w:t>технологии магнитного резонанса и магнитной индукции для мобильных устройств в нескольких диапазонах частот;</w:t>
      </w:r>
    </w:p>
    <w:p w14:paraId="1A93C882" w14:textId="77777777" w:rsidR="00945748" w:rsidRPr="00092B92" w:rsidRDefault="00945748" w:rsidP="00945748">
      <w:pPr>
        <w:rPr>
          <w:iCs/>
          <w:szCs w:val="22"/>
          <w:lang w:val="ru-RU"/>
        </w:rPr>
      </w:pPr>
      <w:r w:rsidRPr="00092B92">
        <w:rPr>
          <w:i/>
          <w:szCs w:val="22"/>
          <w:lang w:val="ru-RU"/>
        </w:rPr>
        <w:t>g)</w:t>
      </w:r>
      <w:r w:rsidRPr="00092B92">
        <w:rPr>
          <w:i/>
          <w:szCs w:val="22"/>
          <w:lang w:val="ru-RU"/>
        </w:rPr>
        <w:tab/>
      </w:r>
      <w:r w:rsidRPr="00092B92">
        <w:rPr>
          <w:iCs/>
          <w:szCs w:val="22"/>
          <w:lang w:val="ru-RU"/>
        </w:rPr>
        <w:t>что службу стандартных частот и сигналов времени и радиоастрономическую службу следует рассматривать для целей проведения исследований БПЭ как службы радиосвязи;</w:t>
      </w:r>
    </w:p>
    <w:p w14:paraId="1F3854AF" w14:textId="09F41A38" w:rsidR="009C0E37" w:rsidRPr="00092B92" w:rsidRDefault="00945748" w:rsidP="00945748">
      <w:pPr>
        <w:rPr>
          <w:szCs w:val="22"/>
          <w:lang w:val="ru-RU"/>
        </w:rPr>
      </w:pPr>
      <w:r w:rsidRPr="00092B92">
        <w:rPr>
          <w:i/>
          <w:szCs w:val="22"/>
          <w:lang w:val="ru-RU"/>
        </w:rPr>
        <w:t>h)</w:t>
      </w:r>
      <w:r w:rsidRPr="00092B92">
        <w:rPr>
          <w:szCs w:val="22"/>
          <w:lang w:val="ru-RU"/>
        </w:rPr>
        <w:tab/>
      </w:r>
      <w:r w:rsidR="005E4C75" w:rsidRPr="00092B92">
        <w:rPr>
          <w:lang w:val="ru-RU"/>
        </w:rPr>
        <w:t xml:space="preserve">что служба стандартных частот и </w:t>
      </w:r>
      <w:r w:rsidR="00AA5BB8" w:rsidRPr="00092B92">
        <w:rPr>
          <w:lang w:val="ru-RU"/>
        </w:rPr>
        <w:t xml:space="preserve">сигналов </w:t>
      </w:r>
      <w:r w:rsidR="005E4C75" w:rsidRPr="00092B92">
        <w:rPr>
          <w:lang w:val="ru-RU"/>
        </w:rPr>
        <w:t>времени (SFTS) предназначена для всеобщего приема и может быть подвержена помехам со стороны устройств БПЭ</w:t>
      </w:r>
      <w:r w:rsidR="009C0E37" w:rsidRPr="00092B92">
        <w:rPr>
          <w:lang w:val="ru-RU"/>
        </w:rPr>
        <w:t>;</w:t>
      </w:r>
    </w:p>
    <w:p w14:paraId="327FF559" w14:textId="0A851C96" w:rsidR="00945748" w:rsidRPr="00092B92" w:rsidRDefault="009C0E37" w:rsidP="00945748">
      <w:pPr>
        <w:rPr>
          <w:szCs w:val="22"/>
          <w:lang w:val="ru-RU"/>
        </w:rPr>
      </w:pPr>
      <w:r w:rsidRPr="00092B92">
        <w:rPr>
          <w:i/>
          <w:iCs/>
          <w:szCs w:val="22"/>
          <w:lang w:val="ru-RU" w:eastAsia="ko-KR"/>
        </w:rPr>
        <w:t>i)</w:t>
      </w:r>
      <w:r w:rsidRPr="00092B92">
        <w:rPr>
          <w:szCs w:val="22"/>
          <w:lang w:val="ru-RU" w:eastAsia="ko-KR"/>
        </w:rPr>
        <w:tab/>
      </w:r>
      <w:r w:rsidR="00945748" w:rsidRPr="00092B92">
        <w:rPr>
          <w:szCs w:val="22"/>
          <w:lang w:val="ru-RU"/>
        </w:rPr>
        <w:t>что были проведены исследования воздействия на службы радиосвязи БПЭ без использования луча для мобильных и портативных устройств в диапазонах частот 100−148,5 кГц</w:t>
      </w:r>
      <w:r w:rsidRPr="00092B92">
        <w:rPr>
          <w:szCs w:val="22"/>
          <w:lang w:val="ru-RU"/>
        </w:rPr>
        <w:t xml:space="preserve">, </w:t>
      </w:r>
      <w:r w:rsidRPr="00092B92">
        <w:rPr>
          <w:lang w:val="ru-RU"/>
        </w:rPr>
        <w:t>315−405 кГц, 1700−1800 кГц и 2005−2150 кГц</w:t>
      </w:r>
      <w:r w:rsidR="005E4C75" w:rsidRPr="00092B92">
        <w:rPr>
          <w:lang w:val="ru-RU"/>
        </w:rPr>
        <w:t>,</w:t>
      </w:r>
      <w:r w:rsidRPr="00092B92">
        <w:rPr>
          <w:lang w:val="ru-RU" w:eastAsia="ko-KR"/>
        </w:rPr>
        <w:t xml:space="preserve"> </w:t>
      </w:r>
      <w:r w:rsidR="005E4C75" w:rsidRPr="00092B92">
        <w:rPr>
          <w:lang w:val="ru-RU" w:eastAsia="ko-KR"/>
        </w:rPr>
        <w:t>содержащиеся</w:t>
      </w:r>
      <w:r w:rsidRPr="00092B92">
        <w:rPr>
          <w:lang w:val="ru-RU" w:eastAsia="ko-KR"/>
        </w:rPr>
        <w:t xml:space="preserve"> в Отчете МСЭ-R SM.2449</w:t>
      </w:r>
      <w:r w:rsidR="00945748" w:rsidRPr="00092B92">
        <w:rPr>
          <w:szCs w:val="22"/>
          <w:lang w:val="ru-RU"/>
        </w:rPr>
        <w:t>;</w:t>
      </w:r>
    </w:p>
    <w:p w14:paraId="71F4342A" w14:textId="58C2375A" w:rsidR="00945748" w:rsidRPr="00092B92" w:rsidRDefault="009C0E37" w:rsidP="00945748">
      <w:pPr>
        <w:rPr>
          <w:szCs w:val="22"/>
          <w:lang w:val="ru-RU"/>
        </w:rPr>
      </w:pPr>
      <w:r w:rsidRPr="00092B92">
        <w:rPr>
          <w:i/>
          <w:iCs/>
          <w:szCs w:val="22"/>
          <w:lang w:val="ru-RU" w:eastAsia="zh-CN"/>
        </w:rPr>
        <w:t>j)</w:t>
      </w:r>
      <w:r w:rsidRPr="00092B92">
        <w:rPr>
          <w:szCs w:val="22"/>
          <w:lang w:val="ru-RU" w:eastAsia="zh-CN"/>
        </w:rPr>
        <w:tab/>
      </w:r>
      <w:r w:rsidR="00945748" w:rsidRPr="00092B92">
        <w:rPr>
          <w:szCs w:val="22"/>
          <w:lang w:val="ru-RU" w:eastAsia="ko-KR"/>
        </w:rPr>
        <w:t>что, учитывая распространение по всему миру большого количества устройств БПЭ, МСЭ-R разрабатывает руководство по минимизации воздействия использования технологий БПЭ на службы радиосвязи, включая службу стандартных частот и сигналов времени и радиоастрономическую службу;</w:t>
      </w:r>
    </w:p>
    <w:p w14:paraId="5DB13032" w14:textId="77777777" w:rsidR="00945748" w:rsidRPr="00092B92" w:rsidRDefault="00945748" w:rsidP="00945748">
      <w:pPr>
        <w:rPr>
          <w:szCs w:val="22"/>
          <w:lang w:val="ru-RU"/>
        </w:rPr>
      </w:pPr>
      <w:r w:rsidRPr="00092B92">
        <w:rPr>
          <w:i/>
          <w:szCs w:val="22"/>
          <w:lang w:val="ru-RU"/>
        </w:rPr>
        <w:t>k)</w:t>
      </w:r>
      <w:r w:rsidRPr="00092B92">
        <w:rPr>
          <w:szCs w:val="22"/>
          <w:lang w:val="ru-RU"/>
        </w:rPr>
        <w:tab/>
        <w:t>что для смягчения воздействия устройств БПЭ на работу служб радиосвязи в некоторых решениях используются полосы частот, предназначенные для промышленных, научных и медицинских (ПНМ) применений;</w:t>
      </w:r>
    </w:p>
    <w:p w14:paraId="00B2DDFA" w14:textId="2BF57771" w:rsidR="009C0E37" w:rsidRPr="00092B92" w:rsidRDefault="00945748" w:rsidP="009C0E37">
      <w:pPr>
        <w:rPr>
          <w:rFonts w:eastAsia="Calibri"/>
          <w:lang w:val="ru-RU"/>
        </w:rPr>
      </w:pPr>
      <w:r w:rsidRPr="00092B92">
        <w:rPr>
          <w:i/>
          <w:iCs/>
          <w:szCs w:val="22"/>
          <w:lang w:val="ru-RU"/>
        </w:rPr>
        <w:t>l)</w:t>
      </w:r>
      <w:r w:rsidRPr="00092B92">
        <w:rPr>
          <w:szCs w:val="22"/>
          <w:lang w:val="ru-RU"/>
        </w:rPr>
        <w:tab/>
        <w:t>что вопросы воздействия неионизирующего излучения рассматриваются такими международными организациями, как Всемирная организация здравоохранения (ВОЗ), Международная комиссия по защите от неионизирующего излучения (МКЗНИ), ТК106 Международной электротехнической комиссии (МЭК), и что в руководстве МКЗНИ 2010 года содержатся указания по ограничению воздействия в диапазоне до 10 МГц, а в руководстве МКЗНИ 1998 года – указания по ограничению воздействия в диапазоне до 300 ГГц</w:t>
      </w:r>
      <w:r w:rsidR="009C0E37" w:rsidRPr="00092B92">
        <w:rPr>
          <w:rFonts w:eastAsia="Calibri"/>
          <w:lang w:val="ru-RU"/>
        </w:rPr>
        <w:t>;</w:t>
      </w:r>
    </w:p>
    <w:p w14:paraId="7192D94F" w14:textId="174C1F09" w:rsidR="00945748" w:rsidRPr="00092B92" w:rsidRDefault="009C0E37" w:rsidP="009C0E37">
      <w:pPr>
        <w:rPr>
          <w:rFonts w:eastAsia="Calibri"/>
          <w:szCs w:val="22"/>
          <w:lang w:val="ru-RU"/>
        </w:rPr>
      </w:pPr>
      <w:r w:rsidRPr="00092B92">
        <w:rPr>
          <w:i/>
          <w:iCs/>
          <w:lang w:val="ru-RU"/>
        </w:rPr>
        <w:t>m)</w:t>
      </w:r>
      <w:r w:rsidRPr="00092B92">
        <w:rPr>
          <w:lang w:val="ru-RU"/>
        </w:rPr>
        <w:tab/>
      </w:r>
      <w:r w:rsidR="005E4C75" w:rsidRPr="00092B92">
        <w:rPr>
          <w:lang w:val="ru-RU"/>
        </w:rPr>
        <w:t xml:space="preserve">что </w:t>
      </w:r>
      <w:r w:rsidR="00AA5BB8" w:rsidRPr="00092B92">
        <w:rPr>
          <w:lang w:val="ru-RU"/>
        </w:rPr>
        <w:t xml:space="preserve">в </w:t>
      </w:r>
      <w:r w:rsidR="005E4C75" w:rsidRPr="00092B92">
        <w:rPr>
          <w:lang w:val="ru-RU"/>
        </w:rPr>
        <w:t>Отчет</w:t>
      </w:r>
      <w:r w:rsidR="00AA5BB8" w:rsidRPr="00092B92">
        <w:rPr>
          <w:lang w:val="ru-RU"/>
        </w:rPr>
        <w:t>е</w:t>
      </w:r>
      <w:r w:rsidR="005E4C75" w:rsidRPr="00092B92">
        <w:rPr>
          <w:lang w:val="ru-RU"/>
        </w:rPr>
        <w:t xml:space="preserve"> МСЭ-R SM.2449 содержит</w:t>
      </w:r>
      <w:r w:rsidR="00AA5BB8" w:rsidRPr="00092B92">
        <w:rPr>
          <w:lang w:val="ru-RU"/>
        </w:rPr>
        <w:t>ся</w:t>
      </w:r>
      <w:r w:rsidR="005E4C75" w:rsidRPr="00092B92">
        <w:rPr>
          <w:lang w:val="ru-RU"/>
        </w:rPr>
        <w:t xml:space="preserve"> анализ воздействия БПЭ на основе индукции </w:t>
      </w:r>
      <w:r w:rsidR="004A6DC8" w:rsidRPr="00092B92">
        <w:rPr>
          <w:lang w:val="ru-RU"/>
        </w:rPr>
        <w:t xml:space="preserve">без использования луча </w:t>
      </w:r>
      <w:r w:rsidR="005E4C75" w:rsidRPr="00092B92">
        <w:rPr>
          <w:lang w:val="ru-RU"/>
        </w:rPr>
        <w:t>для мобильных и переносных устройств в службах радиосвязи</w:t>
      </w:r>
      <w:r w:rsidR="00945748" w:rsidRPr="00092B92">
        <w:rPr>
          <w:szCs w:val="22"/>
          <w:lang w:val="ru-RU"/>
        </w:rPr>
        <w:t>,</w:t>
      </w:r>
    </w:p>
    <w:p w14:paraId="29A7A22A" w14:textId="77777777" w:rsidR="00945748" w:rsidRPr="00092B92" w:rsidRDefault="00945748" w:rsidP="00945748">
      <w:pPr>
        <w:pStyle w:val="Call"/>
        <w:rPr>
          <w:szCs w:val="22"/>
          <w:lang w:val="ru-RU" w:eastAsia="zh-CN"/>
        </w:rPr>
      </w:pPr>
      <w:r w:rsidRPr="00092B92">
        <w:rPr>
          <w:szCs w:val="22"/>
          <w:lang w:val="ru-RU" w:eastAsia="zh-CN"/>
        </w:rPr>
        <w:t>признавая</w:t>
      </w:r>
      <w:r w:rsidRPr="00092B92">
        <w:rPr>
          <w:i w:val="0"/>
          <w:iCs/>
          <w:szCs w:val="22"/>
          <w:lang w:val="ru-RU" w:eastAsia="zh-CN"/>
        </w:rPr>
        <w:t>,</w:t>
      </w:r>
    </w:p>
    <w:p w14:paraId="1F04DF7B" w14:textId="77777777" w:rsidR="00945748" w:rsidRPr="00092B92" w:rsidRDefault="00945748" w:rsidP="00945748">
      <w:pPr>
        <w:rPr>
          <w:szCs w:val="22"/>
          <w:lang w:val="ru-RU" w:eastAsia="zh-CN"/>
        </w:rPr>
      </w:pPr>
      <w:r w:rsidRPr="00092B92">
        <w:rPr>
          <w:i/>
          <w:szCs w:val="22"/>
          <w:lang w:val="ru-RU" w:eastAsia="zh-CN"/>
        </w:rPr>
        <w:t>a)</w:t>
      </w:r>
      <w:r w:rsidRPr="00092B92">
        <w:rPr>
          <w:szCs w:val="22"/>
          <w:lang w:val="ru-RU" w:eastAsia="zh-CN"/>
        </w:rPr>
        <w:tab/>
        <w:t>что БПЭ не относится к службам радиосвязи и не имеет статуса в Регламенте радиосвязи (РР), но может рассматриваться как подпадающее под действие пп. </w:t>
      </w:r>
      <w:r w:rsidRPr="00092B92">
        <w:rPr>
          <w:rStyle w:val="Artref"/>
          <w:b/>
          <w:bCs/>
          <w:lang w:val="ru-RU"/>
        </w:rPr>
        <w:t>15.12</w:t>
      </w:r>
      <w:r w:rsidRPr="00092B92">
        <w:rPr>
          <w:lang w:val="ru-RU" w:eastAsia="zh-CN"/>
        </w:rPr>
        <w:t xml:space="preserve"> или </w:t>
      </w:r>
      <w:r w:rsidRPr="00092B92">
        <w:rPr>
          <w:rStyle w:val="Artref"/>
          <w:b/>
          <w:bCs/>
          <w:lang w:val="ru-RU"/>
        </w:rPr>
        <w:t>15.13</w:t>
      </w:r>
      <w:r w:rsidRPr="00092B92">
        <w:rPr>
          <w:lang w:val="ru-RU" w:eastAsia="zh-CN"/>
        </w:rPr>
        <w:t xml:space="preserve"> в зависимости от случая</w:t>
      </w:r>
      <w:r w:rsidRPr="00092B92">
        <w:rPr>
          <w:szCs w:val="22"/>
          <w:lang w:val="ru-RU" w:eastAsia="zh-CN"/>
        </w:rPr>
        <w:t xml:space="preserve">; </w:t>
      </w:r>
    </w:p>
    <w:p w14:paraId="18FE2A55" w14:textId="77777777" w:rsidR="00945748" w:rsidRPr="00092B92" w:rsidRDefault="00945748" w:rsidP="00945748">
      <w:pPr>
        <w:rPr>
          <w:i/>
          <w:iCs/>
          <w:szCs w:val="22"/>
          <w:lang w:val="ru-RU" w:eastAsia="zh-CN"/>
        </w:rPr>
      </w:pPr>
      <w:r w:rsidRPr="00092B92">
        <w:rPr>
          <w:i/>
          <w:iCs/>
          <w:szCs w:val="22"/>
          <w:lang w:val="ru-RU" w:eastAsia="zh-CN"/>
        </w:rPr>
        <w:t>b)</w:t>
      </w:r>
      <w:r w:rsidRPr="00092B92">
        <w:rPr>
          <w:i/>
          <w:iCs/>
          <w:szCs w:val="22"/>
          <w:lang w:val="ru-RU" w:eastAsia="zh-CN"/>
        </w:rPr>
        <w:tab/>
      </w:r>
      <w:r w:rsidRPr="00092B92">
        <w:rPr>
          <w:szCs w:val="22"/>
          <w:lang w:val="ru-RU" w:eastAsia="zh-CN"/>
        </w:rPr>
        <w:t>что в действующих Рекомендациях МСЭ-R определены критерии для защиты различных служб радиосвязи от вредных помех</w:t>
      </w:r>
      <w:r w:rsidRPr="00092B92">
        <w:rPr>
          <w:lang w:val="ru-RU" w:eastAsia="zh-CN"/>
        </w:rPr>
        <w:t>;</w:t>
      </w:r>
    </w:p>
    <w:p w14:paraId="69AABEA4" w14:textId="77777777" w:rsidR="00945748" w:rsidRPr="00092B92" w:rsidRDefault="00945748" w:rsidP="00945748">
      <w:pPr>
        <w:rPr>
          <w:szCs w:val="22"/>
          <w:lang w:val="ru-RU" w:eastAsia="ko-KR"/>
        </w:rPr>
      </w:pPr>
      <w:r w:rsidRPr="00092B92">
        <w:rPr>
          <w:i/>
          <w:szCs w:val="22"/>
          <w:lang w:val="ru-RU" w:eastAsia="zh-CN"/>
        </w:rPr>
        <w:t>c)</w:t>
      </w:r>
      <w:r w:rsidRPr="00092B92">
        <w:rPr>
          <w:szCs w:val="22"/>
          <w:lang w:val="ru-RU" w:eastAsia="zh-CN"/>
        </w:rPr>
        <w:tab/>
        <w:t>что наличие согласованных диапазонов частот и технических условий, используемых для технологий БПЭ, будет выгодным и потребителям, и производителям;</w:t>
      </w:r>
    </w:p>
    <w:p w14:paraId="56608985" w14:textId="77777777" w:rsidR="00945748" w:rsidRPr="00092B92" w:rsidRDefault="00945748" w:rsidP="00945748">
      <w:pPr>
        <w:rPr>
          <w:szCs w:val="22"/>
          <w:lang w:val="ru-RU" w:eastAsia="ko-KR"/>
        </w:rPr>
      </w:pPr>
      <w:r w:rsidRPr="00092B92">
        <w:rPr>
          <w:i/>
          <w:szCs w:val="22"/>
          <w:lang w:val="ru-RU" w:eastAsia="ko-KR"/>
        </w:rPr>
        <w:t>d)</w:t>
      </w:r>
      <w:r w:rsidRPr="00092B92">
        <w:rPr>
          <w:szCs w:val="22"/>
          <w:lang w:val="ru-RU" w:eastAsia="ko-KR"/>
        </w:rPr>
        <w:tab/>
        <w:t>что полосы частот, предназначенные для применений ПНМ, в прошлом успешно использовались для разработки и распространения инновационных технологий при соблюдении РР;</w:t>
      </w:r>
    </w:p>
    <w:p w14:paraId="50889B64" w14:textId="77777777" w:rsidR="00945748" w:rsidRPr="00092B92" w:rsidRDefault="00945748" w:rsidP="00945748">
      <w:pPr>
        <w:rPr>
          <w:szCs w:val="22"/>
          <w:lang w:val="ru-RU" w:eastAsia="ko-KR"/>
        </w:rPr>
      </w:pPr>
      <w:r w:rsidRPr="00092B92">
        <w:rPr>
          <w:i/>
          <w:szCs w:val="22"/>
          <w:lang w:val="ru-RU" w:eastAsia="ko-KR"/>
        </w:rPr>
        <w:lastRenderedPageBreak/>
        <w:t>e)</w:t>
      </w:r>
      <w:r w:rsidRPr="00092B92">
        <w:rPr>
          <w:szCs w:val="22"/>
          <w:lang w:val="ru-RU" w:eastAsia="ko-KR"/>
        </w:rPr>
        <w:tab/>
        <w:t>что согласно полученным данным полоса 6765−6795 кГц, назначенная для применений ПНМ согласно п. </w:t>
      </w:r>
      <w:r w:rsidRPr="00092B92">
        <w:rPr>
          <w:b/>
          <w:szCs w:val="22"/>
          <w:lang w:val="ru-RU" w:eastAsia="ko-KR"/>
        </w:rPr>
        <w:t>5.138</w:t>
      </w:r>
      <w:r w:rsidRPr="00092B92">
        <w:rPr>
          <w:szCs w:val="22"/>
          <w:lang w:val="ru-RU" w:eastAsia="ko-KR"/>
        </w:rPr>
        <w:t xml:space="preserve"> РР, обусловливает преимущества для БПЭ с использованием технологий магнитного резонанса в применениях для зарядки мобильных и переносных устройств;</w:t>
      </w:r>
    </w:p>
    <w:p w14:paraId="6676B59F" w14:textId="68BA7149" w:rsidR="009C0E37" w:rsidRPr="00092B92" w:rsidRDefault="009C0E37" w:rsidP="009C0E37">
      <w:pPr>
        <w:textAlignment w:val="auto"/>
        <w:rPr>
          <w:rFonts w:eastAsia="SimSun"/>
          <w:lang w:val="ru-RU" w:eastAsia="ko-KR"/>
        </w:rPr>
      </w:pPr>
      <w:r w:rsidRPr="00092B92">
        <w:rPr>
          <w:rFonts w:eastAsia="SimSun"/>
          <w:i/>
          <w:lang w:val="ru-RU" w:eastAsia="zh-CN"/>
        </w:rPr>
        <w:t>f</w:t>
      </w:r>
      <w:r w:rsidRPr="00092B92">
        <w:rPr>
          <w:rFonts w:eastAsia="SimSun"/>
          <w:i/>
          <w:lang w:val="ru-RU" w:eastAsia="ko-KR"/>
        </w:rPr>
        <w:t>)</w:t>
      </w:r>
      <w:r w:rsidRPr="00092B92">
        <w:rPr>
          <w:rFonts w:eastAsia="SimSun"/>
          <w:lang w:val="ru-RU" w:eastAsia="ko-KR"/>
        </w:rPr>
        <w:tab/>
      </w:r>
      <w:r w:rsidR="005E4C75" w:rsidRPr="00092B92">
        <w:rPr>
          <w:rFonts w:eastAsia="SimSun"/>
          <w:lang w:val="ru-RU" w:eastAsia="ko-KR"/>
        </w:rPr>
        <w:t>что полоса 13</w:t>
      </w:r>
      <w:r w:rsidR="004A6DC8" w:rsidRPr="00092B92">
        <w:rPr>
          <w:rFonts w:eastAsia="SimSun"/>
          <w:lang w:val="ru-RU" w:eastAsia="ko-KR"/>
        </w:rPr>
        <w:t> </w:t>
      </w:r>
      <w:r w:rsidR="005E4C75" w:rsidRPr="00092B92">
        <w:rPr>
          <w:rFonts w:eastAsia="SimSun"/>
          <w:lang w:val="ru-RU" w:eastAsia="ko-KR"/>
        </w:rPr>
        <w:t>553</w:t>
      </w:r>
      <w:r w:rsidR="004A6DC8" w:rsidRPr="00092B92">
        <w:rPr>
          <w:rFonts w:eastAsia="SimSun"/>
          <w:lang w:val="ru-RU" w:eastAsia="ko-KR"/>
        </w:rPr>
        <w:t>−</w:t>
      </w:r>
      <w:r w:rsidR="005E4C75" w:rsidRPr="00092B92">
        <w:rPr>
          <w:rFonts w:eastAsia="SimSun"/>
          <w:lang w:val="ru-RU" w:eastAsia="ko-KR"/>
        </w:rPr>
        <w:t>13</w:t>
      </w:r>
      <w:r w:rsidR="004A6DC8" w:rsidRPr="00092B92">
        <w:rPr>
          <w:rFonts w:eastAsia="SimSun"/>
          <w:lang w:val="ru-RU" w:eastAsia="ko-KR"/>
        </w:rPr>
        <w:t> </w:t>
      </w:r>
      <w:r w:rsidR="005E4C75" w:rsidRPr="00092B92">
        <w:rPr>
          <w:rFonts w:eastAsia="SimSun"/>
          <w:lang w:val="ru-RU" w:eastAsia="ko-KR"/>
        </w:rPr>
        <w:t>567</w:t>
      </w:r>
      <w:r w:rsidR="00600D61" w:rsidRPr="00092B92">
        <w:rPr>
          <w:rFonts w:eastAsia="SimSun"/>
          <w:lang w:val="ru-RU" w:eastAsia="ko-KR"/>
        </w:rPr>
        <w:t> </w:t>
      </w:r>
      <w:r w:rsidR="005E4C75" w:rsidRPr="00092B92">
        <w:rPr>
          <w:rFonts w:eastAsia="SimSun"/>
          <w:lang w:val="ru-RU" w:eastAsia="ko-KR"/>
        </w:rPr>
        <w:t xml:space="preserve">кГц, </w:t>
      </w:r>
      <w:r w:rsidR="002202BF" w:rsidRPr="00092B92">
        <w:rPr>
          <w:rFonts w:eastAsia="SimSun"/>
          <w:lang w:val="ru-RU" w:eastAsia="ko-KR"/>
        </w:rPr>
        <w:t>определенная</w:t>
      </w:r>
      <w:r w:rsidR="005E4C75" w:rsidRPr="00092B92">
        <w:rPr>
          <w:rFonts w:eastAsia="SimSun"/>
          <w:lang w:val="ru-RU" w:eastAsia="ko-KR"/>
        </w:rPr>
        <w:t xml:space="preserve"> для использования в ПНМ в соответствии с </w:t>
      </w:r>
      <w:r w:rsidR="002202BF" w:rsidRPr="00092B92">
        <w:rPr>
          <w:rFonts w:eastAsia="SimSun"/>
          <w:lang w:val="ru-RU" w:eastAsia="ko-KR"/>
        </w:rPr>
        <w:t>п.</w:t>
      </w:r>
      <w:r w:rsidR="004A6DC8" w:rsidRPr="00092B92">
        <w:rPr>
          <w:rFonts w:eastAsia="SimSun"/>
          <w:lang w:val="ru-RU" w:eastAsia="ko-KR"/>
        </w:rPr>
        <w:t> </w:t>
      </w:r>
      <w:r w:rsidR="005E4C75" w:rsidRPr="00092B92">
        <w:rPr>
          <w:rFonts w:eastAsia="SimSun"/>
          <w:b/>
          <w:bCs/>
          <w:lang w:val="ru-RU" w:eastAsia="ko-KR"/>
        </w:rPr>
        <w:t>5.150</w:t>
      </w:r>
      <w:r w:rsidR="002202BF" w:rsidRPr="00092B92">
        <w:rPr>
          <w:rFonts w:eastAsia="SimSun"/>
          <w:lang w:val="ru-RU" w:eastAsia="ko-KR"/>
        </w:rPr>
        <w:t xml:space="preserve"> РР</w:t>
      </w:r>
      <w:r w:rsidR="005E4C75" w:rsidRPr="00092B92">
        <w:rPr>
          <w:rFonts w:eastAsia="SimSun"/>
          <w:lang w:val="ru-RU" w:eastAsia="ko-KR"/>
        </w:rPr>
        <w:t xml:space="preserve">, также имеет преимущества для </w:t>
      </w:r>
      <w:r w:rsidR="002202BF" w:rsidRPr="00092B92">
        <w:rPr>
          <w:rFonts w:eastAsia="SimSun"/>
          <w:lang w:val="ru-RU" w:eastAsia="ko-KR"/>
        </w:rPr>
        <w:t>БПЭ</w:t>
      </w:r>
      <w:r w:rsidR="005E4C75" w:rsidRPr="00092B92">
        <w:rPr>
          <w:rFonts w:eastAsia="SimSun"/>
          <w:lang w:val="ru-RU" w:eastAsia="ko-KR"/>
        </w:rPr>
        <w:t xml:space="preserve"> с использованием </w:t>
      </w:r>
      <w:r w:rsidR="002202BF" w:rsidRPr="00092B92">
        <w:rPr>
          <w:rFonts w:eastAsia="SimSun"/>
          <w:lang w:val="ru-RU" w:eastAsia="ko-KR"/>
        </w:rPr>
        <w:t xml:space="preserve">технологий на основе </w:t>
      </w:r>
      <w:r w:rsidR="005E4C75" w:rsidRPr="00092B92">
        <w:rPr>
          <w:rFonts w:eastAsia="SimSun"/>
          <w:lang w:val="ru-RU" w:eastAsia="ko-KR"/>
        </w:rPr>
        <w:t>магнитно</w:t>
      </w:r>
      <w:r w:rsidR="002202BF" w:rsidRPr="00092B92">
        <w:rPr>
          <w:rFonts w:eastAsia="SimSun"/>
          <w:lang w:val="ru-RU" w:eastAsia="ko-KR"/>
        </w:rPr>
        <w:t xml:space="preserve">го </w:t>
      </w:r>
      <w:r w:rsidR="005E4C75" w:rsidRPr="00092B92">
        <w:rPr>
          <w:rFonts w:eastAsia="SimSun"/>
          <w:lang w:val="ru-RU" w:eastAsia="ko-KR"/>
        </w:rPr>
        <w:t>резонанс</w:t>
      </w:r>
      <w:r w:rsidR="002202BF" w:rsidRPr="00092B92">
        <w:rPr>
          <w:rFonts w:eastAsia="SimSun"/>
          <w:lang w:val="ru-RU" w:eastAsia="ko-KR"/>
        </w:rPr>
        <w:t>а</w:t>
      </w:r>
      <w:r w:rsidR="005E4C75" w:rsidRPr="00092B92">
        <w:rPr>
          <w:rFonts w:eastAsia="SimSun"/>
          <w:lang w:val="ru-RU" w:eastAsia="ko-KR"/>
        </w:rPr>
        <w:t xml:space="preserve"> в </w:t>
      </w:r>
      <w:r w:rsidR="002202BF" w:rsidRPr="00092B92">
        <w:rPr>
          <w:rFonts w:eastAsia="SimSun"/>
          <w:lang w:val="ru-RU" w:eastAsia="ko-KR"/>
        </w:rPr>
        <w:t>применениях</w:t>
      </w:r>
      <w:r w:rsidR="005E4C75" w:rsidRPr="00092B92">
        <w:rPr>
          <w:rFonts w:eastAsia="SimSun"/>
          <w:lang w:val="ru-RU" w:eastAsia="ko-KR"/>
        </w:rPr>
        <w:t xml:space="preserve"> зарядки мобильных</w:t>
      </w:r>
      <w:r w:rsidR="004A6DC8" w:rsidRPr="00092B92">
        <w:rPr>
          <w:rFonts w:eastAsia="SimSun"/>
          <w:lang w:val="ru-RU" w:eastAsia="ko-KR"/>
        </w:rPr>
        <w:t xml:space="preserve"> и переносных</w:t>
      </w:r>
      <w:r w:rsidR="005E4C75" w:rsidRPr="00092B92">
        <w:rPr>
          <w:rFonts w:eastAsia="SimSun"/>
          <w:lang w:val="ru-RU" w:eastAsia="ko-KR"/>
        </w:rPr>
        <w:t xml:space="preserve"> устройств</w:t>
      </w:r>
      <w:r w:rsidRPr="00092B92">
        <w:rPr>
          <w:rFonts w:eastAsia="SimSun"/>
          <w:lang w:val="ru-RU" w:eastAsia="ko-KR"/>
        </w:rPr>
        <w:t>;</w:t>
      </w:r>
    </w:p>
    <w:p w14:paraId="23BE30A2" w14:textId="2302E845" w:rsidR="00945748" w:rsidRPr="00092B92" w:rsidRDefault="009C0E37" w:rsidP="00945748">
      <w:pPr>
        <w:rPr>
          <w:szCs w:val="22"/>
          <w:lang w:val="ru-RU" w:eastAsia="ko-KR"/>
        </w:rPr>
      </w:pPr>
      <w:r w:rsidRPr="00092B92">
        <w:rPr>
          <w:i/>
          <w:iCs/>
          <w:szCs w:val="22"/>
          <w:lang w:val="ru-RU" w:eastAsia="ko-KR"/>
        </w:rPr>
        <w:t>g</w:t>
      </w:r>
      <w:r w:rsidR="00945748" w:rsidRPr="00092B92">
        <w:rPr>
          <w:i/>
          <w:iCs/>
          <w:szCs w:val="22"/>
          <w:lang w:val="ru-RU" w:eastAsia="ko-KR"/>
        </w:rPr>
        <w:t>)</w:t>
      </w:r>
      <w:r w:rsidR="00945748" w:rsidRPr="00092B92">
        <w:rPr>
          <w:szCs w:val="22"/>
          <w:lang w:val="ru-RU" w:eastAsia="ko-KR"/>
        </w:rPr>
        <w:tab/>
        <w:t>что ряд администраций относят передачу энергии методом БПЭ без использования луча к применениям ПНМ даже в случае работы за пределами полос, назначенных для ПНМ;</w:t>
      </w:r>
    </w:p>
    <w:p w14:paraId="525C8081" w14:textId="59FA944D" w:rsidR="00945748" w:rsidRPr="00092B92" w:rsidRDefault="009C0E37" w:rsidP="00945748">
      <w:pPr>
        <w:rPr>
          <w:i/>
          <w:iCs/>
          <w:szCs w:val="22"/>
          <w:lang w:val="ru-RU" w:eastAsia="ko-KR"/>
        </w:rPr>
      </w:pPr>
      <w:r w:rsidRPr="00092B92">
        <w:rPr>
          <w:i/>
          <w:iCs/>
          <w:szCs w:val="22"/>
          <w:lang w:val="ru-RU" w:eastAsia="ko-KR"/>
        </w:rPr>
        <w:t>h</w:t>
      </w:r>
      <w:r w:rsidR="00945748" w:rsidRPr="00092B92">
        <w:rPr>
          <w:i/>
          <w:iCs/>
          <w:szCs w:val="22"/>
          <w:lang w:val="ru-RU" w:eastAsia="ko-KR"/>
        </w:rPr>
        <w:t>)</w:t>
      </w:r>
      <w:r w:rsidR="00945748" w:rsidRPr="00092B92">
        <w:rPr>
          <w:i/>
          <w:iCs/>
          <w:szCs w:val="22"/>
          <w:lang w:val="ru-RU" w:eastAsia="ko-KR"/>
        </w:rPr>
        <w:tab/>
      </w:r>
      <w:r w:rsidR="00945748" w:rsidRPr="00092B92">
        <w:rPr>
          <w:szCs w:val="22"/>
          <w:lang w:val="ru-RU" w:eastAsia="ko-KR"/>
        </w:rPr>
        <w:t xml:space="preserve">что ряд администраций относят </w:t>
      </w:r>
      <w:r w:rsidR="002202BF" w:rsidRPr="00092B92">
        <w:rPr>
          <w:szCs w:val="22"/>
          <w:lang w:val="ru-RU" w:eastAsia="ko-KR"/>
        </w:rPr>
        <w:t xml:space="preserve">БПЭ </w:t>
      </w:r>
      <w:r w:rsidR="00772E5F" w:rsidRPr="00092B92">
        <w:rPr>
          <w:szCs w:val="22"/>
          <w:lang w:val="ru-RU" w:eastAsia="ko-KR"/>
        </w:rPr>
        <w:t xml:space="preserve">без использования луча </w:t>
      </w:r>
      <w:r w:rsidR="002202BF" w:rsidRPr="00092B92">
        <w:rPr>
          <w:szCs w:val="22"/>
          <w:lang w:val="ru-RU" w:eastAsia="ko-KR"/>
        </w:rPr>
        <w:t>для мобильных</w:t>
      </w:r>
      <w:r w:rsidR="004A6DC8" w:rsidRPr="00092B92">
        <w:rPr>
          <w:szCs w:val="22"/>
          <w:lang w:val="ru-RU" w:eastAsia="ko-KR"/>
        </w:rPr>
        <w:t xml:space="preserve"> и переносных</w:t>
      </w:r>
      <w:r w:rsidR="002202BF" w:rsidRPr="00092B92">
        <w:rPr>
          <w:szCs w:val="22"/>
          <w:lang w:val="ru-RU" w:eastAsia="ko-KR"/>
        </w:rPr>
        <w:t xml:space="preserve"> устройств </w:t>
      </w:r>
      <w:r w:rsidR="00945748" w:rsidRPr="00092B92">
        <w:rPr>
          <w:szCs w:val="22"/>
          <w:lang w:val="ru-RU" w:eastAsia="ko-KR"/>
        </w:rPr>
        <w:t>к применениям радиосвязи, таким как устройства малого радиуса действия</w:t>
      </w:r>
    </w:p>
    <w:p w14:paraId="41BAC3E8" w14:textId="5BE9367B" w:rsidR="00945748" w:rsidRPr="00092B92" w:rsidRDefault="009C0E37" w:rsidP="00945748">
      <w:pPr>
        <w:rPr>
          <w:i/>
          <w:iCs/>
          <w:szCs w:val="22"/>
          <w:lang w:val="ru-RU" w:eastAsia="ko-KR"/>
        </w:rPr>
      </w:pPr>
      <w:r w:rsidRPr="00092B92">
        <w:rPr>
          <w:i/>
          <w:iCs/>
          <w:szCs w:val="22"/>
          <w:lang w:val="ru-RU" w:eastAsia="ko-KR"/>
        </w:rPr>
        <w:t>i</w:t>
      </w:r>
      <w:r w:rsidR="00945748" w:rsidRPr="00092B92">
        <w:rPr>
          <w:i/>
          <w:iCs/>
          <w:szCs w:val="22"/>
          <w:lang w:val="ru-RU" w:eastAsia="ko-KR"/>
        </w:rPr>
        <w:t>)</w:t>
      </w:r>
      <w:r w:rsidR="00945748" w:rsidRPr="00092B92">
        <w:rPr>
          <w:i/>
          <w:iCs/>
          <w:szCs w:val="22"/>
          <w:lang w:val="ru-RU" w:eastAsia="ko-KR"/>
        </w:rPr>
        <w:tab/>
      </w:r>
      <w:r w:rsidR="00945748" w:rsidRPr="00092B92">
        <w:rPr>
          <w:szCs w:val="22"/>
          <w:lang w:val="ru-RU" w:eastAsia="ko-KR"/>
        </w:rPr>
        <w:t>что некоторые полосы, не относящиеся к ПНМ, рассматриваются в целях согласованного на глобальном или региональном уровнях использования конкретн</w:t>
      </w:r>
      <w:r w:rsidR="002202BF" w:rsidRPr="00092B92">
        <w:rPr>
          <w:szCs w:val="22"/>
          <w:lang w:val="ru-RU" w:eastAsia="ko-KR"/>
        </w:rPr>
        <w:t>ой</w:t>
      </w:r>
      <w:r w:rsidR="00945748" w:rsidRPr="00092B92">
        <w:rPr>
          <w:szCs w:val="22"/>
          <w:lang w:val="ru-RU" w:eastAsia="ko-KR"/>
        </w:rPr>
        <w:t xml:space="preserve"> </w:t>
      </w:r>
      <w:r w:rsidR="002202BF" w:rsidRPr="00092B92">
        <w:rPr>
          <w:szCs w:val="22"/>
          <w:lang w:val="ru-RU" w:eastAsia="ko-KR"/>
        </w:rPr>
        <w:t xml:space="preserve">БПЭ </w:t>
      </w:r>
      <w:r w:rsidR="00772E5F" w:rsidRPr="00092B92">
        <w:rPr>
          <w:szCs w:val="22"/>
          <w:lang w:val="ru-RU" w:eastAsia="ko-KR"/>
        </w:rPr>
        <w:t xml:space="preserve">без использования луча </w:t>
      </w:r>
      <w:r w:rsidR="002202BF" w:rsidRPr="00092B92">
        <w:rPr>
          <w:szCs w:val="22"/>
          <w:lang w:val="ru-RU" w:eastAsia="ko-KR"/>
        </w:rPr>
        <w:t>для мобильных</w:t>
      </w:r>
      <w:r w:rsidR="004A6DC8" w:rsidRPr="00092B92">
        <w:rPr>
          <w:szCs w:val="22"/>
          <w:lang w:val="ru-RU" w:eastAsia="ko-KR"/>
        </w:rPr>
        <w:t xml:space="preserve"> и переносных</w:t>
      </w:r>
      <w:r w:rsidR="002202BF" w:rsidRPr="00092B92">
        <w:rPr>
          <w:szCs w:val="22"/>
          <w:lang w:val="ru-RU" w:eastAsia="ko-KR"/>
        </w:rPr>
        <w:t xml:space="preserve"> устройств</w:t>
      </w:r>
      <w:r w:rsidR="00945748" w:rsidRPr="00092B92">
        <w:rPr>
          <w:szCs w:val="22"/>
          <w:lang w:val="ru-RU" w:eastAsia="ko-KR"/>
        </w:rPr>
        <w:t>;</w:t>
      </w:r>
    </w:p>
    <w:p w14:paraId="34FA7C77" w14:textId="4F2567DC" w:rsidR="00945748" w:rsidRPr="00092B92" w:rsidRDefault="009C0E37" w:rsidP="00945748">
      <w:pPr>
        <w:rPr>
          <w:szCs w:val="22"/>
          <w:lang w:val="ru-RU" w:eastAsia="ko-KR"/>
        </w:rPr>
      </w:pPr>
      <w:r w:rsidRPr="00092B92">
        <w:rPr>
          <w:i/>
          <w:iCs/>
          <w:szCs w:val="22"/>
          <w:lang w:val="ru-RU" w:eastAsia="ko-KR"/>
        </w:rPr>
        <w:t>j</w:t>
      </w:r>
      <w:r w:rsidR="00945748" w:rsidRPr="00092B92">
        <w:rPr>
          <w:i/>
          <w:iCs/>
          <w:szCs w:val="22"/>
          <w:lang w:val="ru-RU" w:eastAsia="ko-KR"/>
        </w:rPr>
        <w:t>)</w:t>
      </w:r>
      <w:r w:rsidR="00945748" w:rsidRPr="00092B92">
        <w:rPr>
          <w:szCs w:val="22"/>
          <w:lang w:val="ru-RU" w:eastAsia="ko-KR"/>
        </w:rPr>
        <w:tab/>
        <w:t>что передача энергии методом БПЭ может рассматриваться отдельно от передачи данных, в особенно в тех случаях, когда приемное устройство принимает передаваемые данные на частоте, отличной от частоты передачи энергии;</w:t>
      </w:r>
    </w:p>
    <w:p w14:paraId="0885AB43" w14:textId="749FF6B0" w:rsidR="00945748" w:rsidRPr="00092B92" w:rsidRDefault="009C0E37" w:rsidP="00945748">
      <w:pPr>
        <w:rPr>
          <w:i/>
          <w:iCs/>
          <w:szCs w:val="22"/>
          <w:lang w:val="ru-RU" w:eastAsia="ko-KR"/>
        </w:rPr>
      </w:pPr>
      <w:r w:rsidRPr="00092B92">
        <w:rPr>
          <w:i/>
          <w:iCs/>
          <w:szCs w:val="22"/>
          <w:lang w:val="ru-RU" w:eastAsia="ko-KR"/>
        </w:rPr>
        <w:t>k</w:t>
      </w:r>
      <w:r w:rsidR="00945748" w:rsidRPr="00092B92">
        <w:rPr>
          <w:i/>
          <w:iCs/>
          <w:szCs w:val="22"/>
          <w:lang w:val="ru-RU" w:eastAsia="ko-KR"/>
        </w:rPr>
        <w:t>)</w:t>
      </w:r>
      <w:r w:rsidR="00945748" w:rsidRPr="00092B92">
        <w:rPr>
          <w:i/>
          <w:iCs/>
          <w:szCs w:val="22"/>
          <w:lang w:val="ru-RU" w:eastAsia="ko-KR"/>
        </w:rPr>
        <w:tab/>
      </w:r>
      <w:r w:rsidR="00945748" w:rsidRPr="00092B92">
        <w:rPr>
          <w:szCs w:val="22"/>
          <w:lang w:val="ru-RU" w:eastAsia="ko-KR"/>
        </w:rPr>
        <w:t>что в отсутствие нагрузки БПЭ отключается и лишь периодически выполняет опросы или поиск нагрузки при очень малом коэффициенте заполнения;</w:t>
      </w:r>
      <w:r w:rsidR="00945748" w:rsidRPr="00092B92">
        <w:rPr>
          <w:szCs w:val="22"/>
          <w:lang w:val="ru-RU"/>
        </w:rPr>
        <w:t xml:space="preserve"> </w:t>
      </w:r>
    </w:p>
    <w:p w14:paraId="0B07EE81" w14:textId="6783FAAC" w:rsidR="00945748" w:rsidRPr="00092B92" w:rsidRDefault="009C0E37" w:rsidP="00945748">
      <w:pPr>
        <w:rPr>
          <w:szCs w:val="22"/>
          <w:lang w:val="ru-RU" w:eastAsia="ko-KR"/>
        </w:rPr>
      </w:pPr>
      <w:r w:rsidRPr="00092B92">
        <w:rPr>
          <w:i/>
          <w:iCs/>
          <w:szCs w:val="22"/>
          <w:lang w:val="ru-RU" w:eastAsia="ko-KR"/>
        </w:rPr>
        <w:t>l</w:t>
      </w:r>
      <w:r w:rsidR="00945748" w:rsidRPr="00092B92">
        <w:rPr>
          <w:i/>
          <w:iCs/>
          <w:szCs w:val="22"/>
          <w:lang w:val="ru-RU" w:eastAsia="ko-KR"/>
        </w:rPr>
        <w:t>)</w:t>
      </w:r>
      <w:r w:rsidR="00945748" w:rsidRPr="00092B92">
        <w:rPr>
          <w:szCs w:val="22"/>
          <w:lang w:val="ru-RU" w:eastAsia="ko-KR"/>
        </w:rPr>
        <w:tab/>
        <w:t xml:space="preserve">что при БПЭ без использования луча излучаемая мощность существенно ниже передаваемой РЧ-мощности (основная часть энергии передается приемнику с помощью таких механизмов, как емкостная, резонансная и индукционная связь); </w:t>
      </w:r>
    </w:p>
    <w:p w14:paraId="4A557114" w14:textId="49BA4A91" w:rsidR="00945748" w:rsidRPr="00092B92" w:rsidRDefault="009C0E37" w:rsidP="00945748">
      <w:pPr>
        <w:rPr>
          <w:i/>
          <w:iCs/>
          <w:szCs w:val="22"/>
          <w:lang w:val="ru-RU" w:eastAsia="ko-KR"/>
        </w:rPr>
      </w:pPr>
      <w:r w:rsidRPr="00092B92">
        <w:rPr>
          <w:i/>
          <w:iCs/>
          <w:szCs w:val="22"/>
          <w:lang w:val="ru-RU"/>
        </w:rPr>
        <w:t>m</w:t>
      </w:r>
      <w:r w:rsidR="00945748" w:rsidRPr="00092B92">
        <w:rPr>
          <w:i/>
          <w:iCs/>
          <w:szCs w:val="22"/>
          <w:lang w:val="ru-RU"/>
        </w:rPr>
        <w:t>)</w:t>
      </w:r>
      <w:r w:rsidR="00945748" w:rsidRPr="00092B92">
        <w:rPr>
          <w:szCs w:val="22"/>
          <w:lang w:val="ru-RU"/>
        </w:rPr>
        <w:tab/>
        <w:t>что в Рекомендации МСЭ-R SM.1056 об ограничении излучений от оборудования ПНМ администрациям предлагается использовать последнее издание Публикации 11 СИСПР и что эти ограничения необязательно обеспечивают защиту служб радиосвязи,</w:t>
      </w:r>
    </w:p>
    <w:p w14:paraId="4ADFD82B" w14:textId="77777777" w:rsidR="00945748" w:rsidRPr="00092B92" w:rsidRDefault="00945748" w:rsidP="00945748">
      <w:pPr>
        <w:pStyle w:val="Call"/>
        <w:rPr>
          <w:szCs w:val="22"/>
          <w:lang w:val="ru-RU"/>
        </w:rPr>
      </w:pPr>
      <w:r w:rsidRPr="00092B92">
        <w:rPr>
          <w:szCs w:val="22"/>
          <w:lang w:val="ru-RU"/>
        </w:rPr>
        <w:t>отмечая</w:t>
      </w:r>
      <w:r w:rsidRPr="00092B92">
        <w:rPr>
          <w:i w:val="0"/>
          <w:iCs/>
          <w:szCs w:val="22"/>
          <w:lang w:val="ru-RU"/>
        </w:rPr>
        <w:t>,</w:t>
      </w:r>
    </w:p>
    <w:p w14:paraId="0874C38A" w14:textId="77777777" w:rsidR="00945748" w:rsidRPr="00092B92" w:rsidRDefault="00945748" w:rsidP="00945748">
      <w:pPr>
        <w:rPr>
          <w:szCs w:val="22"/>
          <w:lang w:val="ru-RU" w:eastAsia="zh-CN"/>
        </w:rPr>
      </w:pPr>
      <w:r w:rsidRPr="00092B92">
        <w:rPr>
          <w:szCs w:val="22"/>
          <w:lang w:val="ru-RU" w:eastAsia="zh-CN"/>
        </w:rPr>
        <w:t>что Международная электротехническая комиссия (МЭК) опубликовала Технический отчет IEC/TR 62869 по беспроводной передаче энергии для аудио-, видео- и мультимедийных систем и оборудования, разработанный ТК 100,</w:t>
      </w:r>
    </w:p>
    <w:p w14:paraId="027E376A" w14:textId="77777777" w:rsidR="00945748" w:rsidRPr="00092B92" w:rsidRDefault="00945748" w:rsidP="00945748">
      <w:pPr>
        <w:pStyle w:val="Call"/>
        <w:rPr>
          <w:szCs w:val="22"/>
          <w:lang w:val="ru-RU"/>
        </w:rPr>
      </w:pPr>
      <w:r w:rsidRPr="00092B92">
        <w:rPr>
          <w:szCs w:val="22"/>
          <w:lang w:val="ru-RU"/>
        </w:rPr>
        <w:t>рекомендует</w:t>
      </w:r>
    </w:p>
    <w:p w14:paraId="3F208C6A" w14:textId="30AB0F74" w:rsidR="00945748" w:rsidRPr="00092B92" w:rsidRDefault="00945748" w:rsidP="00945748">
      <w:pPr>
        <w:rPr>
          <w:szCs w:val="22"/>
          <w:lang w:val="ru-RU"/>
        </w:rPr>
      </w:pPr>
      <w:r w:rsidRPr="009D09E4">
        <w:rPr>
          <w:szCs w:val="22"/>
          <w:lang w:val="ru-RU"/>
        </w:rPr>
        <w:t>1</w:t>
      </w:r>
      <w:r w:rsidRPr="00092B92">
        <w:rPr>
          <w:szCs w:val="22"/>
          <w:lang w:val="ru-RU"/>
        </w:rPr>
        <w:tab/>
        <w:t>администрациям рассматривать в качестве руководства использование указанн</w:t>
      </w:r>
      <w:r w:rsidR="002202BF" w:rsidRPr="00092B92">
        <w:rPr>
          <w:szCs w:val="22"/>
          <w:lang w:val="ru-RU"/>
        </w:rPr>
        <w:t>ого</w:t>
      </w:r>
      <w:r w:rsidRPr="00092B92">
        <w:rPr>
          <w:szCs w:val="22"/>
          <w:lang w:val="ru-RU"/>
        </w:rPr>
        <w:t xml:space="preserve"> в таблице 1, ниже, диапазон</w:t>
      </w:r>
      <w:r w:rsidR="002202BF" w:rsidRPr="00092B92">
        <w:rPr>
          <w:szCs w:val="22"/>
          <w:lang w:val="ru-RU"/>
        </w:rPr>
        <w:t>а</w:t>
      </w:r>
      <w:r w:rsidRPr="00092B92">
        <w:rPr>
          <w:szCs w:val="22"/>
          <w:lang w:val="ru-RU"/>
        </w:rPr>
        <w:t xml:space="preserve"> частот или </w:t>
      </w:r>
      <w:r w:rsidR="002202BF" w:rsidRPr="00092B92">
        <w:rPr>
          <w:szCs w:val="22"/>
          <w:lang w:val="ru-RU"/>
        </w:rPr>
        <w:t>его</w:t>
      </w:r>
      <w:r w:rsidRPr="00092B92">
        <w:rPr>
          <w:szCs w:val="22"/>
          <w:lang w:val="ru-RU"/>
        </w:rPr>
        <w:t xml:space="preserve"> участков для БПЭ без использования </w:t>
      </w:r>
      <w:r w:rsidRPr="00092B92">
        <w:rPr>
          <w:rFonts w:eastAsia="Calibri"/>
          <w:szCs w:val="22"/>
          <w:lang w:val="ru-RU"/>
        </w:rPr>
        <w:t>луча</w:t>
      </w:r>
      <w:r w:rsidRPr="00092B92">
        <w:rPr>
          <w:szCs w:val="22"/>
          <w:lang w:val="ru-RU"/>
        </w:rPr>
        <w:t xml:space="preserve"> для мобильных и переносных устройств; </w:t>
      </w:r>
    </w:p>
    <w:p w14:paraId="5EB78D1C" w14:textId="31576FE5" w:rsidR="00945748" w:rsidRPr="00092B92" w:rsidRDefault="00945748" w:rsidP="00945748">
      <w:pPr>
        <w:rPr>
          <w:szCs w:val="22"/>
          <w:lang w:val="ru-RU"/>
        </w:rPr>
      </w:pPr>
      <w:r w:rsidRPr="009D09E4">
        <w:rPr>
          <w:szCs w:val="22"/>
          <w:lang w:val="ru-RU"/>
        </w:rPr>
        <w:t>2</w:t>
      </w:r>
      <w:r w:rsidRPr="00092B92">
        <w:rPr>
          <w:szCs w:val="22"/>
          <w:lang w:val="ru-RU"/>
        </w:rPr>
        <w:tab/>
        <w:t>принять необходимые меры для обеспечения того, чтобы БПЭ</w:t>
      </w:r>
      <w:r w:rsidR="002202BF" w:rsidRPr="00092B92">
        <w:rPr>
          <w:szCs w:val="22"/>
          <w:lang w:val="ru-RU"/>
        </w:rPr>
        <w:t xml:space="preserve"> </w:t>
      </w:r>
      <w:r w:rsidR="00772E5F" w:rsidRPr="00092B92">
        <w:rPr>
          <w:szCs w:val="22"/>
          <w:lang w:val="ru-RU"/>
        </w:rPr>
        <w:t xml:space="preserve">без использования луча </w:t>
      </w:r>
      <w:r w:rsidR="002202BF" w:rsidRPr="00092B92">
        <w:rPr>
          <w:szCs w:val="22"/>
          <w:lang w:val="ru-RU"/>
        </w:rPr>
        <w:t>для мобильных</w:t>
      </w:r>
      <w:r w:rsidR="004A6DC8" w:rsidRPr="00092B92">
        <w:rPr>
          <w:szCs w:val="22"/>
          <w:lang w:val="ru-RU"/>
        </w:rPr>
        <w:t xml:space="preserve"> и переносных</w:t>
      </w:r>
      <w:r w:rsidR="002202BF" w:rsidRPr="00092B92">
        <w:rPr>
          <w:szCs w:val="22"/>
          <w:lang w:val="ru-RU"/>
        </w:rPr>
        <w:t xml:space="preserve"> устройств</w:t>
      </w:r>
      <w:r w:rsidRPr="00092B92">
        <w:rPr>
          <w:szCs w:val="22"/>
          <w:lang w:val="ru-RU"/>
        </w:rPr>
        <w:t xml:space="preserve"> не создавал</w:t>
      </w:r>
      <w:r w:rsidR="002202BF" w:rsidRPr="00092B92">
        <w:rPr>
          <w:szCs w:val="22"/>
          <w:lang w:val="ru-RU"/>
        </w:rPr>
        <w:t>а</w:t>
      </w:r>
      <w:r w:rsidRPr="00092B92">
        <w:rPr>
          <w:szCs w:val="22"/>
          <w:lang w:val="ru-RU"/>
        </w:rPr>
        <w:t xml:space="preserve"> вредных помех службам радиосвязи, включая службу стандартных частот и сигналов времени и радиоастрономическую службу, с тем чтобы обеспечить их постоянную защиту от радиочастотной энергии, излучаемой БПЭ</w:t>
      </w:r>
      <w:r w:rsidR="002202BF" w:rsidRPr="00092B92">
        <w:rPr>
          <w:lang w:val="ru-RU"/>
        </w:rPr>
        <w:t xml:space="preserve"> </w:t>
      </w:r>
      <w:r w:rsidR="002202BF" w:rsidRPr="00092B92">
        <w:rPr>
          <w:szCs w:val="22"/>
          <w:lang w:val="ru-RU"/>
        </w:rPr>
        <w:t>для мобильных</w:t>
      </w:r>
      <w:r w:rsidR="004A6DC8" w:rsidRPr="00092B92">
        <w:rPr>
          <w:szCs w:val="22"/>
          <w:lang w:val="ru-RU"/>
        </w:rPr>
        <w:t xml:space="preserve"> и переносных</w:t>
      </w:r>
      <w:r w:rsidR="002202BF" w:rsidRPr="00092B92">
        <w:rPr>
          <w:szCs w:val="22"/>
          <w:lang w:val="ru-RU"/>
        </w:rPr>
        <w:t xml:space="preserve"> устройств</w:t>
      </w:r>
      <w:r w:rsidRPr="00092B92">
        <w:rPr>
          <w:szCs w:val="22"/>
          <w:lang w:val="ru-RU"/>
        </w:rPr>
        <w:t xml:space="preserve"> и попадающей во все полосы.</w:t>
      </w:r>
    </w:p>
    <w:p w14:paraId="42AD4A68" w14:textId="6B33CB9D" w:rsidR="00945748" w:rsidRPr="00092B92" w:rsidRDefault="00945748" w:rsidP="00945748">
      <w:pPr>
        <w:pStyle w:val="TableNo"/>
        <w:rPr>
          <w:szCs w:val="22"/>
          <w:lang w:val="ru-RU"/>
        </w:rPr>
      </w:pPr>
      <w:r w:rsidRPr="00092B92">
        <w:rPr>
          <w:szCs w:val="22"/>
          <w:lang w:val="ru-RU"/>
        </w:rPr>
        <w:lastRenderedPageBreak/>
        <w:t>ТАБЛИЦА 1</w:t>
      </w:r>
    </w:p>
    <w:p w14:paraId="0D0C4C74" w14:textId="44554B0D" w:rsidR="00945748" w:rsidRPr="00092B92" w:rsidRDefault="00945748" w:rsidP="00945748">
      <w:pPr>
        <w:pStyle w:val="Tabletitle"/>
        <w:rPr>
          <w:szCs w:val="22"/>
          <w:lang w:val="ru-RU"/>
        </w:rPr>
      </w:pPr>
      <w:r w:rsidRPr="00092B92">
        <w:rPr>
          <w:szCs w:val="22"/>
          <w:lang w:val="ru-RU"/>
        </w:rPr>
        <w:t>Диапазоны частот для БПЭ без использования луча</w:t>
      </w:r>
      <w:r w:rsidRPr="00092B92">
        <w:rPr>
          <w:szCs w:val="22"/>
          <w:lang w:val="ru-RU"/>
        </w:rPr>
        <w:br/>
        <w:t xml:space="preserve">для мобильных и </w:t>
      </w:r>
      <w:r w:rsidR="004A6DC8" w:rsidRPr="00092B92">
        <w:rPr>
          <w:szCs w:val="22"/>
          <w:lang w:val="ru-RU"/>
        </w:rPr>
        <w:t>переносных</w:t>
      </w:r>
      <w:r w:rsidRPr="00092B92">
        <w:rPr>
          <w:szCs w:val="22"/>
          <w:lang w:val="ru-RU"/>
        </w:rPr>
        <w:t xml:space="preserve"> устройств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80"/>
      </w:tblGrid>
      <w:tr w:rsidR="009C3AA1" w:rsidRPr="00092B92" w14:paraId="3838A9DA" w14:textId="77777777" w:rsidTr="005F2F6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A0D9" w14:textId="39F50B08" w:rsidR="009C3AA1" w:rsidRPr="00092B92" w:rsidRDefault="009C3AA1" w:rsidP="009C3AA1">
            <w:pPr>
              <w:pStyle w:val="Tablehead"/>
              <w:rPr>
                <w:lang w:val="ru-RU"/>
              </w:rPr>
            </w:pPr>
            <w:r w:rsidRPr="00092B92">
              <w:rPr>
                <w:rFonts w:ascii="Times New Roman" w:hAnsi="Times New Roman"/>
                <w:szCs w:val="20"/>
                <w:lang w:val="ru-RU"/>
              </w:rPr>
              <w:t>Диапазон частот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8A70" w14:textId="225A298A" w:rsidR="009C3AA1" w:rsidRPr="00092B92" w:rsidRDefault="009C3AA1" w:rsidP="009C3AA1">
            <w:pPr>
              <w:pStyle w:val="Tablehead"/>
              <w:rPr>
                <w:lang w:val="ru-RU"/>
              </w:rPr>
            </w:pPr>
            <w:r w:rsidRPr="00092B92">
              <w:rPr>
                <w:rFonts w:ascii="Times New Roman" w:hAnsi="Times New Roman"/>
                <w:szCs w:val="20"/>
                <w:lang w:val="ru-RU"/>
              </w:rPr>
              <w:t>Технологии БПЭ без использования луча</w:t>
            </w:r>
          </w:p>
        </w:tc>
      </w:tr>
      <w:tr w:rsidR="009C0E37" w:rsidRPr="00092B92" w14:paraId="01F80222" w14:textId="77777777" w:rsidTr="00E30F4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EC1" w14:textId="37A001F8" w:rsidR="009C0E37" w:rsidRPr="00092B92" w:rsidRDefault="009C0E37" w:rsidP="009C0E37">
            <w:pPr>
              <w:pStyle w:val="Tabletext"/>
              <w:keepNext/>
              <w:keepLines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100</w:t>
            </w:r>
            <w:r w:rsidR="009C3AA1" w:rsidRPr="00092B92">
              <w:rPr>
                <w:rFonts w:ascii="Times New Roman" w:hAnsi="Times New Roman"/>
                <w:lang w:val="ru-RU"/>
              </w:rPr>
              <w:t>−</w:t>
            </w:r>
            <w:r w:rsidRPr="00092B92">
              <w:rPr>
                <w:rFonts w:ascii="Times New Roman" w:hAnsi="Times New Roman"/>
                <w:lang w:val="ru-RU"/>
              </w:rPr>
              <w:t>148</w:t>
            </w:r>
            <w:r w:rsidR="009C3AA1" w:rsidRPr="00092B92">
              <w:rPr>
                <w:rFonts w:ascii="Times New Roman" w:hAnsi="Times New Roman"/>
                <w:lang w:val="ru-RU"/>
              </w:rPr>
              <w:t>,</w:t>
            </w:r>
            <w:r w:rsidRPr="00092B92">
              <w:rPr>
                <w:rFonts w:ascii="Times New Roman" w:hAnsi="Times New Roman"/>
                <w:lang w:val="ru-RU"/>
              </w:rPr>
              <w:t xml:space="preserve">5 </w:t>
            </w:r>
            <w:r w:rsidR="009C3AA1" w:rsidRPr="00092B92">
              <w:rPr>
                <w:rFonts w:ascii="Times New Roman" w:hAnsi="Times New Roman"/>
                <w:lang w:val="ru-RU"/>
              </w:rPr>
              <w:t>кГц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44CB" w14:textId="0CB627C4" w:rsidR="009C0E37" w:rsidRPr="00092B92" w:rsidRDefault="002202BF" w:rsidP="009C0E37">
            <w:pPr>
              <w:pStyle w:val="Tabletext"/>
              <w:keepNext/>
              <w:keepLines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Технологии на основе индукции или магнитного резонанса</w:t>
            </w:r>
          </w:p>
        </w:tc>
      </w:tr>
      <w:tr w:rsidR="009C0E37" w:rsidRPr="00092B92" w14:paraId="51A019A6" w14:textId="77777777" w:rsidTr="00E30F4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726C" w14:textId="47240B41" w:rsidR="009C0E37" w:rsidRPr="00092B92" w:rsidRDefault="009C0E37" w:rsidP="009C0E37">
            <w:pPr>
              <w:pStyle w:val="Tabletext"/>
              <w:keepNext/>
              <w:keepLines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315</w:t>
            </w:r>
            <w:r w:rsidR="009C3AA1" w:rsidRPr="00092B92">
              <w:rPr>
                <w:rFonts w:ascii="Times New Roman" w:hAnsi="Times New Roman"/>
                <w:lang w:val="ru-RU"/>
              </w:rPr>
              <w:t>−</w:t>
            </w:r>
            <w:r w:rsidRPr="00092B92">
              <w:rPr>
                <w:rFonts w:ascii="Times New Roman" w:hAnsi="Times New Roman"/>
                <w:lang w:val="ru-RU"/>
              </w:rPr>
              <w:t>405</w:t>
            </w:r>
            <w:r w:rsidR="009C3AA1" w:rsidRPr="00092B92">
              <w:rPr>
                <w:rFonts w:ascii="Times New Roman" w:hAnsi="Times New Roman"/>
                <w:lang w:val="ru-RU"/>
              </w:rPr>
              <w:t xml:space="preserve"> кГц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6930" w14:textId="42F79DA1" w:rsidR="009C0E37" w:rsidRPr="00092B92" w:rsidRDefault="002202BF" w:rsidP="009C0E37">
            <w:pPr>
              <w:pStyle w:val="Tabletext"/>
              <w:keepNext/>
              <w:keepLines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Технологии на основе индукции</w:t>
            </w:r>
          </w:p>
        </w:tc>
      </w:tr>
      <w:tr w:rsidR="009C0E37" w:rsidRPr="00092B92" w14:paraId="4E8407C0" w14:textId="77777777" w:rsidTr="00E30F4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C86" w14:textId="2D388F1E" w:rsidR="009C0E37" w:rsidRPr="00092B92" w:rsidRDefault="009C0E37" w:rsidP="009C0E37">
            <w:pPr>
              <w:pStyle w:val="Tabletext"/>
              <w:keepNext/>
              <w:keepLines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1 700</w:t>
            </w:r>
            <w:r w:rsidR="009C3AA1" w:rsidRPr="00092B92">
              <w:rPr>
                <w:rFonts w:ascii="Times New Roman" w:hAnsi="Times New Roman"/>
                <w:lang w:val="ru-RU"/>
              </w:rPr>
              <w:t>−</w:t>
            </w:r>
            <w:r w:rsidRPr="00092B92">
              <w:rPr>
                <w:rFonts w:ascii="Times New Roman" w:hAnsi="Times New Roman"/>
                <w:lang w:val="ru-RU"/>
              </w:rPr>
              <w:t xml:space="preserve">1 800 </w:t>
            </w:r>
            <w:r w:rsidR="009C3AA1" w:rsidRPr="00092B92">
              <w:rPr>
                <w:rFonts w:ascii="Times New Roman" w:hAnsi="Times New Roman"/>
                <w:lang w:val="ru-RU"/>
              </w:rPr>
              <w:t>кГц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4A5" w14:textId="0008A3FE" w:rsidR="009C0E37" w:rsidRPr="00092B92" w:rsidRDefault="002202BF" w:rsidP="009C0E37">
            <w:pPr>
              <w:pStyle w:val="Tabletext"/>
              <w:keepNext/>
              <w:keepLines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Технологии на основе индукции</w:t>
            </w:r>
          </w:p>
        </w:tc>
      </w:tr>
      <w:tr w:rsidR="009C0E37" w:rsidRPr="00092B92" w14:paraId="43D18CBF" w14:textId="77777777" w:rsidTr="00E30F4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383A" w14:textId="43522AF1" w:rsidR="009C0E37" w:rsidRPr="00092B92" w:rsidRDefault="009C0E37" w:rsidP="009C0E37">
            <w:pPr>
              <w:pStyle w:val="Tabletext"/>
              <w:keepNext/>
              <w:keepLines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2</w:t>
            </w:r>
            <w:r w:rsidR="00600D61" w:rsidRPr="00092B92">
              <w:rPr>
                <w:rFonts w:ascii="Times New Roman" w:hAnsi="Times New Roman"/>
                <w:lang w:val="ru-RU"/>
              </w:rPr>
              <w:t> </w:t>
            </w:r>
            <w:r w:rsidRPr="00092B92">
              <w:rPr>
                <w:rFonts w:ascii="Times New Roman" w:hAnsi="Times New Roman"/>
                <w:lang w:val="ru-RU"/>
              </w:rPr>
              <w:t>005</w:t>
            </w:r>
            <w:r w:rsidR="009C3AA1" w:rsidRPr="00092B92">
              <w:rPr>
                <w:rFonts w:ascii="Times New Roman" w:hAnsi="Times New Roman"/>
                <w:lang w:val="ru-RU"/>
              </w:rPr>
              <w:t>−</w:t>
            </w:r>
            <w:r w:rsidRPr="00092B92">
              <w:rPr>
                <w:rFonts w:ascii="Times New Roman" w:hAnsi="Times New Roman"/>
                <w:lang w:val="ru-RU"/>
              </w:rPr>
              <w:t>2</w:t>
            </w:r>
            <w:r w:rsidR="00600D61" w:rsidRPr="00092B92">
              <w:rPr>
                <w:rFonts w:ascii="Times New Roman" w:hAnsi="Times New Roman"/>
                <w:lang w:val="ru-RU"/>
              </w:rPr>
              <w:t> </w:t>
            </w:r>
            <w:r w:rsidRPr="00092B92">
              <w:rPr>
                <w:rFonts w:ascii="Times New Roman" w:hAnsi="Times New Roman"/>
                <w:lang w:val="ru-RU"/>
              </w:rPr>
              <w:t xml:space="preserve">170 </w:t>
            </w:r>
            <w:r w:rsidR="009C3AA1" w:rsidRPr="00092B92">
              <w:rPr>
                <w:rFonts w:ascii="Times New Roman" w:hAnsi="Times New Roman"/>
                <w:lang w:val="ru-RU"/>
              </w:rPr>
              <w:t>кГц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E875" w14:textId="1DB0FBAD" w:rsidR="009C0E37" w:rsidRPr="00092B92" w:rsidRDefault="002202BF" w:rsidP="009C0E37">
            <w:pPr>
              <w:pStyle w:val="Tabletext"/>
              <w:keepNext/>
              <w:keepLines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Технологии на основе индукции</w:t>
            </w:r>
          </w:p>
        </w:tc>
      </w:tr>
      <w:tr w:rsidR="002202BF" w:rsidRPr="00092B92" w14:paraId="67DA5B70" w14:textId="77777777" w:rsidTr="00E30F4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6B9" w14:textId="2D8DEB33" w:rsidR="002202BF" w:rsidRPr="00092B92" w:rsidRDefault="002202BF" w:rsidP="002202BF">
            <w:pPr>
              <w:pStyle w:val="Tabletext"/>
              <w:keepNext/>
              <w:keepLines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6 765</w:t>
            </w:r>
            <w:r w:rsidR="00600D61" w:rsidRPr="00092B92">
              <w:rPr>
                <w:rFonts w:ascii="Times New Roman" w:hAnsi="Times New Roman"/>
                <w:lang w:val="ru-RU"/>
              </w:rPr>
              <w:t>−</w:t>
            </w:r>
            <w:r w:rsidRPr="00092B92">
              <w:rPr>
                <w:rFonts w:ascii="Times New Roman" w:hAnsi="Times New Roman"/>
                <w:lang w:val="ru-RU"/>
              </w:rPr>
              <w:t>6 795 кГц</w:t>
            </w:r>
            <w:r w:rsidRPr="00092B92">
              <w:rPr>
                <w:rFonts w:ascii="Times New Roman" w:hAnsi="Times New Roman"/>
                <w:lang w:val="ru-RU"/>
              </w:rPr>
              <w:br/>
              <w:t xml:space="preserve">Примечание. </w:t>
            </w:r>
            <w:r w:rsidRPr="00092B92">
              <w:rPr>
                <w:rFonts w:ascii="Times New Roman" w:hAnsi="Times New Roman"/>
                <w:sz w:val="22"/>
                <w:szCs w:val="24"/>
                <w:lang w:val="ru-RU"/>
              </w:rPr>
              <w:t>−</w:t>
            </w:r>
            <w:r w:rsidRPr="00092B92">
              <w:rPr>
                <w:rFonts w:ascii="Times New Roman" w:hAnsi="Times New Roman"/>
                <w:lang w:val="ru-RU"/>
              </w:rPr>
              <w:t xml:space="preserve"> См. п. </w:t>
            </w:r>
            <w:r w:rsidRPr="00092B92">
              <w:rPr>
                <w:rFonts w:ascii="Times New Roman" w:hAnsi="Times New Roman"/>
                <w:b/>
                <w:bCs/>
                <w:lang w:val="ru-RU"/>
              </w:rPr>
              <w:t>5.138</w:t>
            </w:r>
            <w:r w:rsidRPr="00092B92">
              <w:rPr>
                <w:rFonts w:ascii="Times New Roman" w:hAnsi="Times New Roman"/>
                <w:lang w:val="ru-RU"/>
              </w:rPr>
              <w:t xml:space="preserve"> РР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ECA0" w14:textId="2CF48564" w:rsidR="002202BF" w:rsidRPr="00092B92" w:rsidRDefault="002202BF" w:rsidP="002202BF">
            <w:pPr>
              <w:pStyle w:val="Tabletext"/>
              <w:keepNext/>
              <w:keepLines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Технологии на основе индукции или магнитного резонанса</w:t>
            </w:r>
          </w:p>
        </w:tc>
      </w:tr>
      <w:tr w:rsidR="002202BF" w:rsidRPr="00092B92" w14:paraId="52886549" w14:textId="77777777" w:rsidTr="00E30F4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C30F" w14:textId="6D7794F9" w:rsidR="002202BF" w:rsidRPr="00092B92" w:rsidRDefault="002202BF" w:rsidP="002202BF">
            <w:pPr>
              <w:pStyle w:val="Tabletext"/>
              <w:keepNext/>
              <w:keepLines/>
              <w:jc w:val="left"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13</w:t>
            </w:r>
            <w:r w:rsidR="00600D61" w:rsidRPr="00092B92">
              <w:rPr>
                <w:rFonts w:ascii="Times New Roman" w:hAnsi="Times New Roman"/>
                <w:lang w:val="ru-RU"/>
              </w:rPr>
              <w:t> </w:t>
            </w:r>
            <w:r w:rsidRPr="00092B92">
              <w:rPr>
                <w:rFonts w:ascii="Times New Roman" w:hAnsi="Times New Roman"/>
                <w:lang w:val="ru-RU"/>
              </w:rPr>
              <w:t>553−13</w:t>
            </w:r>
            <w:r w:rsidR="00600D61" w:rsidRPr="00092B92">
              <w:rPr>
                <w:rFonts w:ascii="Times New Roman" w:hAnsi="Times New Roman"/>
                <w:lang w:val="ru-RU"/>
              </w:rPr>
              <w:t> </w:t>
            </w:r>
            <w:r w:rsidRPr="00092B92">
              <w:rPr>
                <w:rFonts w:ascii="Times New Roman" w:hAnsi="Times New Roman"/>
                <w:lang w:val="ru-RU"/>
              </w:rPr>
              <w:t xml:space="preserve">567 кГц </w:t>
            </w:r>
            <w:r w:rsidRPr="00092B92">
              <w:rPr>
                <w:rFonts w:ascii="Times New Roman" w:hAnsi="Times New Roman"/>
                <w:lang w:val="ru-RU"/>
              </w:rPr>
              <w:br/>
              <w:t xml:space="preserve">Примечание. − См. п. </w:t>
            </w:r>
            <w:r w:rsidRPr="00092B92">
              <w:rPr>
                <w:rFonts w:ascii="Times New Roman" w:hAnsi="Times New Roman"/>
                <w:b/>
                <w:bCs/>
                <w:lang w:val="ru-RU"/>
              </w:rPr>
              <w:t>5.150</w:t>
            </w:r>
            <w:r w:rsidRPr="00092B92">
              <w:rPr>
                <w:rFonts w:ascii="Times New Roman" w:hAnsi="Times New Roman"/>
                <w:lang w:val="ru-RU"/>
              </w:rPr>
              <w:t xml:space="preserve"> РР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FB75" w14:textId="392D423A" w:rsidR="002202BF" w:rsidRPr="00092B92" w:rsidRDefault="002202BF" w:rsidP="002202BF">
            <w:pPr>
              <w:pStyle w:val="Tabletext"/>
              <w:keepNext/>
              <w:keepLines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lang w:val="ru-RU"/>
              </w:rPr>
              <w:t>Технологии на основе индукции или магнитного резонанса</w:t>
            </w:r>
          </w:p>
        </w:tc>
      </w:tr>
      <w:tr w:rsidR="002202BF" w:rsidRPr="00092B92" w14:paraId="55498242" w14:textId="77777777" w:rsidTr="00E30F41">
        <w:tc>
          <w:tcPr>
            <w:tcW w:w="9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27AAF" w14:textId="432333A9" w:rsidR="002202BF" w:rsidRPr="00092B92" w:rsidRDefault="002202BF" w:rsidP="002202BF">
            <w:pPr>
              <w:pStyle w:val="Tabletext"/>
              <w:keepNext/>
              <w:keepLines/>
              <w:rPr>
                <w:rFonts w:ascii="Times New Roman" w:hAnsi="Times New Roman"/>
                <w:lang w:val="ru-RU"/>
              </w:rPr>
            </w:pPr>
            <w:r w:rsidRPr="00092B92">
              <w:rPr>
                <w:rFonts w:ascii="Times New Roman" w:hAnsi="Times New Roman"/>
                <w:i/>
                <w:iCs/>
                <w:lang w:val="ru-RU"/>
              </w:rPr>
              <w:t>Примечание. −</w:t>
            </w:r>
            <w:r w:rsidRPr="00092B92">
              <w:rPr>
                <w:rFonts w:ascii="Times New Roman" w:hAnsi="Times New Roman"/>
                <w:lang w:val="ru-RU"/>
              </w:rPr>
              <w:t xml:space="preserve"> Отдельные диапазоны частот (или их части), приведенные в таблице выше, могут быть недоступны для БПЭ без использования луча для мобильных и </w:t>
            </w:r>
            <w:r w:rsidR="000C232F" w:rsidRPr="00092B92">
              <w:rPr>
                <w:rFonts w:ascii="Times New Roman" w:hAnsi="Times New Roman"/>
                <w:lang w:val="ru-RU"/>
              </w:rPr>
              <w:t>переносных</w:t>
            </w:r>
            <w:r w:rsidRPr="00092B92">
              <w:rPr>
                <w:rFonts w:ascii="Times New Roman" w:hAnsi="Times New Roman"/>
                <w:lang w:val="ru-RU"/>
              </w:rPr>
              <w:t xml:space="preserve"> устройств в ряде стран вследствие различий в национальных распределениях и регламентарных условиях.</w:t>
            </w:r>
          </w:p>
        </w:tc>
      </w:tr>
    </w:tbl>
    <w:p w14:paraId="560576F0" w14:textId="77777777" w:rsidR="00936DDF" w:rsidRPr="00092B92" w:rsidRDefault="00936DDF" w:rsidP="00936DDF">
      <w:pPr>
        <w:pStyle w:val="Tablefin"/>
        <w:rPr>
          <w:lang w:val="ru-RU"/>
        </w:rPr>
      </w:pPr>
    </w:p>
    <w:p w14:paraId="291C3F72" w14:textId="2C58641D" w:rsidR="009C0E37" w:rsidRPr="00092B92" w:rsidRDefault="009C0E37" w:rsidP="009C0E37">
      <w:pPr>
        <w:spacing w:before="720"/>
        <w:jc w:val="center"/>
        <w:rPr>
          <w:lang w:val="ru-RU"/>
        </w:rPr>
      </w:pPr>
      <w:r w:rsidRPr="00092B92">
        <w:rPr>
          <w:lang w:val="ru-RU"/>
        </w:rPr>
        <w:t>______________</w:t>
      </w:r>
    </w:p>
    <w:sectPr w:rsidR="009C0E37" w:rsidRPr="00092B92" w:rsidSect="00A81BC9">
      <w:headerReference w:type="even" r:id="rId20"/>
      <w:headerReference w:type="default" r:id="rId21"/>
      <w:footerReference w:type="default" r:id="rId22"/>
      <w:headerReference w:type="first" r:id="rId23"/>
      <w:pgSz w:w="11907" w:h="16840" w:code="9"/>
      <w:pgMar w:top="1418" w:right="1134" w:bottom="1134" w:left="1134" w:header="720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53446" w14:textId="77777777" w:rsidR="00960BC5" w:rsidRDefault="00960BC5">
      <w:r>
        <w:separator/>
      </w:r>
    </w:p>
  </w:endnote>
  <w:endnote w:type="continuationSeparator" w:id="0">
    <w:p w14:paraId="426FE44D" w14:textId="77777777" w:rsidR="00960BC5" w:rsidRDefault="0096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6B3EB" w14:textId="39F5A645" w:rsidR="002710AC" w:rsidRDefault="002710AC">
    <w:pPr>
      <w:pStyle w:val="Footer"/>
    </w:pPr>
    <w:r>
      <w:drawing>
        <wp:anchor distT="0" distB="0" distL="0" distR="0" simplePos="0" relativeHeight="251662336" behindDoc="0" locked="0" layoutInCell="1" allowOverlap="1" wp14:anchorId="1FF87252" wp14:editId="23448051">
          <wp:simplePos x="0" y="0"/>
          <wp:positionH relativeFrom="page">
            <wp:posOffset>6206490</wp:posOffset>
          </wp:positionH>
          <wp:positionV relativeFrom="page">
            <wp:posOffset>9371965</wp:posOffset>
          </wp:positionV>
          <wp:extent cx="738000" cy="813600"/>
          <wp:effectExtent l="0" t="0" r="0" b="0"/>
          <wp:wrapNone/>
          <wp:docPr id="1830525348" name="image1.png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FBC1F" w14:textId="6F8305D2" w:rsidR="009C0E37" w:rsidRDefault="009C0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25A3" w14:textId="77777777" w:rsidR="00960BC5" w:rsidRDefault="00960BC5">
      <w:r>
        <w:separator/>
      </w:r>
    </w:p>
  </w:footnote>
  <w:footnote w:type="continuationSeparator" w:id="0">
    <w:p w14:paraId="5A046BAE" w14:textId="77777777" w:rsidR="00960BC5" w:rsidRDefault="0096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E16A2" w14:textId="77777777" w:rsidR="001D407F" w:rsidRDefault="001D407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4"/>
      <w:gridCol w:w="5916"/>
    </w:tblGrid>
    <w:tr w:rsidR="002710AC" w:rsidRPr="00A239D1" w14:paraId="0A24ACF8" w14:textId="77777777" w:rsidTr="00E30F41">
      <w:tc>
        <w:tcPr>
          <w:tcW w:w="4634" w:type="dxa"/>
          <w:vAlign w:val="center"/>
        </w:tcPr>
        <w:p w14:paraId="70921B66" w14:textId="77777777" w:rsidR="002710AC" w:rsidRPr="005B0371" w:rsidRDefault="002710AC" w:rsidP="002710AC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</w:p>
      </w:tc>
      <w:tc>
        <w:tcPr>
          <w:tcW w:w="5998" w:type="dxa"/>
          <w:vAlign w:val="center"/>
        </w:tcPr>
        <w:p w14:paraId="30320633" w14:textId="77777777" w:rsidR="002710AC" w:rsidRPr="00260B24" w:rsidRDefault="002710AC" w:rsidP="002710AC">
          <w:pPr>
            <w:pStyle w:val="Header"/>
            <w:jc w:val="right"/>
            <w:rPr>
              <w:rFonts w:asciiTheme="minorBidi" w:hAnsiTheme="minorBidi"/>
              <w:b/>
              <w:spacing w:val="4"/>
              <w:szCs w:val="24"/>
            </w:rPr>
          </w:pPr>
          <w:r w:rsidRPr="00736384">
            <w:rPr>
              <w:rFonts w:asciiTheme="minorBidi" w:hAnsiTheme="minorBidi"/>
              <w:b/>
              <w:spacing w:val="4"/>
              <w:szCs w:val="24"/>
            </w:rPr>
            <w:t>Международн</w:t>
          </w:r>
          <w:r>
            <w:rPr>
              <w:rFonts w:asciiTheme="minorBidi" w:hAnsiTheme="minorBidi"/>
              <w:b/>
              <w:spacing w:val="4"/>
              <w:szCs w:val="24"/>
              <w:lang w:val="ru-RU"/>
            </w:rPr>
            <w:t>ый</w:t>
          </w:r>
          <w:r w:rsidRPr="00736384">
            <w:rPr>
              <w:rFonts w:asciiTheme="minorBidi" w:hAnsiTheme="minorBidi"/>
              <w:b/>
              <w:spacing w:val="4"/>
              <w:szCs w:val="24"/>
            </w:rPr>
            <w:t xml:space="preserve"> союз электросвязи</w:t>
          </w:r>
        </w:p>
      </w:tc>
    </w:tr>
    <w:tr w:rsidR="002710AC" w:rsidRPr="00A239D1" w14:paraId="436A8B0F" w14:textId="77777777" w:rsidTr="00E30F41">
      <w:tc>
        <w:tcPr>
          <w:tcW w:w="4634" w:type="dxa"/>
          <w:vAlign w:val="center"/>
        </w:tcPr>
        <w:p w14:paraId="3C0C62C9" w14:textId="77777777" w:rsidR="002710AC" w:rsidRPr="00260B24" w:rsidRDefault="002710AC" w:rsidP="002710AC">
          <w:pPr>
            <w:pStyle w:val="Header"/>
            <w:jc w:val="left"/>
            <w:rPr>
              <w:rFonts w:asciiTheme="minorBidi" w:hAnsiTheme="minorBidi"/>
              <w:spacing w:val="4"/>
              <w:sz w:val="21"/>
              <w:szCs w:val="21"/>
            </w:rPr>
          </w:pPr>
          <w:r w:rsidRPr="00736384">
            <w:rPr>
              <w:rFonts w:asciiTheme="minorBidi" w:hAnsiTheme="minorBidi"/>
              <w:spacing w:val="4"/>
              <w:szCs w:val="24"/>
            </w:rPr>
            <w:t>Рекомендации</w:t>
          </w:r>
        </w:p>
      </w:tc>
      <w:tc>
        <w:tcPr>
          <w:tcW w:w="5998" w:type="dxa"/>
          <w:vAlign w:val="center"/>
        </w:tcPr>
        <w:p w14:paraId="423697CE" w14:textId="77777777" w:rsidR="002710AC" w:rsidRPr="00260B24" w:rsidRDefault="002710AC" w:rsidP="002710AC">
          <w:pPr>
            <w:pStyle w:val="Header"/>
            <w:jc w:val="right"/>
            <w:rPr>
              <w:rFonts w:asciiTheme="minorBidi" w:hAnsiTheme="minorBidi"/>
              <w:spacing w:val="4"/>
              <w:szCs w:val="24"/>
            </w:rPr>
          </w:pPr>
          <w:r w:rsidRPr="00391033">
            <w:rPr>
              <w:rFonts w:asciiTheme="minorBidi" w:hAnsiTheme="minorBidi"/>
              <w:spacing w:val="4"/>
              <w:szCs w:val="24"/>
            </w:rPr>
            <w:t>Сектор радиосвязи</w:t>
          </w:r>
        </w:p>
      </w:tc>
    </w:tr>
  </w:tbl>
  <w:p w14:paraId="78FAA747" w14:textId="72CD349A" w:rsidR="002710AC" w:rsidRDefault="002710AC" w:rsidP="002710AC">
    <w:pPr>
      <w:pStyle w:val="Head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2F03EA9" wp14:editId="5BEB5298">
          <wp:simplePos x="0" y="0"/>
          <wp:positionH relativeFrom="column">
            <wp:posOffset>-271780</wp:posOffset>
          </wp:positionH>
          <wp:positionV relativeFrom="paragraph">
            <wp:posOffset>-548005</wp:posOffset>
          </wp:positionV>
          <wp:extent cx="1733550" cy="374924"/>
          <wp:effectExtent l="0" t="0" r="0" b="0"/>
          <wp:wrapNone/>
          <wp:docPr id="356545794" name="Picture 356545794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7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2289CB" wp14:editId="120D1C45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 descr="Header separato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8" descr="Header separator line"/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B56FCA" id="docshapegroup6" o:spid="_x0000_s1026" alt="Header separator line" style="position:absolute;margin-left:0;margin-top:94.2pt;width:595.3pt;height:18.6pt;z-index:251659264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B50F7" w14:textId="07936BC2" w:rsidR="00A81BC9" w:rsidRDefault="00A81BC9" w:rsidP="00366B24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="00632BBA">
      <w:rPr>
        <w:rStyle w:val="PageNumber"/>
        <w:b/>
        <w:bCs/>
        <w:noProof/>
        <w:lang w:val="en-US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="00366B24" w:rsidRPr="00553C5F">
      <w:rPr>
        <w:b/>
        <w:szCs w:val="22"/>
        <w:lang w:val="ru-RU"/>
      </w:rPr>
      <w:t>Рек.</w:t>
    </w:r>
    <w:r w:rsidR="00366B24" w:rsidRPr="00553C5F">
      <w:rPr>
        <w:b/>
        <w:szCs w:val="22"/>
        <w:lang w:val="en-US"/>
      </w:rPr>
      <w:t xml:space="preserve"> </w:t>
    </w:r>
    <w:r w:rsidR="00366B24" w:rsidRPr="00553C5F">
      <w:rPr>
        <w:b/>
        <w:szCs w:val="22"/>
        <w:lang w:val="ru-RU"/>
      </w:rPr>
      <w:t xml:space="preserve"> </w:t>
    </w:r>
    <w:r w:rsidR="00366B24" w:rsidRPr="00553C5F">
      <w:rPr>
        <w:b/>
        <w:bCs/>
        <w:szCs w:val="22"/>
        <w:lang w:val="en-US"/>
      </w:rPr>
      <w:fldChar w:fldCharType="begin"/>
    </w:r>
    <w:r w:rsidR="00366B24" w:rsidRPr="00553C5F">
      <w:rPr>
        <w:b/>
        <w:bCs/>
        <w:szCs w:val="22"/>
        <w:lang w:val="en-US"/>
      </w:rPr>
      <w:instrText>styleref href</w:instrText>
    </w:r>
    <w:r w:rsidR="00366B24" w:rsidRPr="00553C5F">
      <w:rPr>
        <w:b/>
        <w:bCs/>
        <w:szCs w:val="22"/>
        <w:lang w:val="en-US"/>
      </w:rPr>
      <w:fldChar w:fldCharType="separate"/>
    </w:r>
    <w:r w:rsidR="00851AE5">
      <w:rPr>
        <w:b/>
        <w:bCs/>
        <w:noProof/>
        <w:szCs w:val="22"/>
        <w:lang w:val="en-US"/>
      </w:rPr>
      <w:t>МСЭ-R  SM.2129-1</w:t>
    </w:r>
    <w:r w:rsidR="00366B24" w:rsidRPr="00553C5F">
      <w:rPr>
        <w:b/>
        <w:bCs/>
        <w:szCs w:val="22"/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A165F" w14:textId="14E9E3DA" w:rsidR="00A81BC9" w:rsidRDefault="00A81BC9">
    <w:pPr>
      <w:pStyle w:val="Header"/>
    </w:pPr>
    <w:r>
      <w:tab/>
    </w:r>
    <w:r w:rsidR="000D5793">
      <w:rPr>
        <w:b/>
        <w:bCs/>
      </w:rPr>
      <w:fldChar w:fldCharType="begin"/>
    </w:r>
    <w:r w:rsidR="000D5793">
      <w:rPr>
        <w:b/>
        <w:bCs/>
      </w:rPr>
      <w:instrText xml:space="preserve"> DOCPROPERTY "Header" \* MERGEFORMAT </w:instrText>
    </w:r>
    <w:r w:rsidR="000D5793">
      <w:rPr>
        <w:b/>
        <w:bCs/>
      </w:rPr>
      <w:fldChar w:fldCharType="separate"/>
    </w:r>
    <w:r w:rsidR="00851AE5">
      <w:rPr>
        <w:b/>
        <w:bCs/>
      </w:rPr>
      <w:t xml:space="preserve">Rec. </w:t>
    </w:r>
    <w:r w:rsidR="000D5793"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851AE5">
      <w:rPr>
        <w:b/>
        <w:bCs/>
        <w:noProof/>
      </w:rPr>
      <w:t>МСЭ-R  SM.2129-1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ii</w:t>
    </w:r>
    <w:r>
      <w:rPr>
        <w:rStyle w:val="PageNumber"/>
        <w:b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2A0E9" w14:textId="00CC952A" w:rsidR="00892118" w:rsidRPr="008E139E" w:rsidRDefault="009F1578" w:rsidP="007E6717">
    <w:pPr>
      <w:pStyle w:val="Header"/>
      <w:tabs>
        <w:tab w:val="center" w:pos="4820"/>
      </w:tabs>
      <w:jc w:val="left"/>
      <w:rPr>
        <w:szCs w:val="22"/>
      </w:rPr>
    </w:pPr>
    <w:r w:rsidRPr="008E139E">
      <w:rPr>
        <w:rStyle w:val="PageNumber"/>
        <w:b/>
        <w:bCs/>
        <w:szCs w:val="22"/>
      </w:rPr>
      <w:fldChar w:fldCharType="begin"/>
    </w:r>
    <w:r w:rsidRPr="008E139E">
      <w:rPr>
        <w:rStyle w:val="PageNumber"/>
        <w:b/>
        <w:bCs/>
        <w:szCs w:val="22"/>
      </w:rPr>
      <w:instrText xml:space="preserve"> PAGE </w:instrText>
    </w:r>
    <w:r w:rsidRPr="008E139E">
      <w:rPr>
        <w:rStyle w:val="PageNumber"/>
        <w:b/>
        <w:bCs/>
        <w:szCs w:val="22"/>
      </w:rPr>
      <w:fldChar w:fldCharType="separate"/>
    </w:r>
    <w:r w:rsidR="00632BBA">
      <w:rPr>
        <w:rStyle w:val="PageNumber"/>
        <w:b/>
        <w:bCs/>
        <w:noProof/>
        <w:szCs w:val="22"/>
      </w:rPr>
      <w:t>2</w:t>
    </w:r>
    <w:r w:rsidRPr="008E139E">
      <w:rPr>
        <w:rStyle w:val="PageNumber"/>
        <w:b/>
        <w:bCs/>
        <w:szCs w:val="22"/>
      </w:rPr>
      <w:fldChar w:fldCharType="end"/>
    </w:r>
    <w:r w:rsidRPr="008E139E">
      <w:rPr>
        <w:rStyle w:val="PageNumber"/>
        <w:b/>
        <w:bCs/>
        <w:szCs w:val="22"/>
        <w:lang w:val="ru-RU"/>
      </w:rPr>
      <w:tab/>
    </w:r>
    <w:r w:rsidRPr="008E139E">
      <w:rPr>
        <w:b/>
        <w:bCs/>
        <w:szCs w:val="22"/>
        <w:lang w:val="ru-RU"/>
      </w:rPr>
      <w:t xml:space="preserve">Рек. </w:t>
    </w:r>
    <w:r w:rsidRPr="008E139E">
      <w:rPr>
        <w:b/>
        <w:bCs/>
        <w:szCs w:val="22"/>
        <w:lang w:val="en-US"/>
      </w:rPr>
      <w:t xml:space="preserve"> </w:t>
    </w:r>
    <w:r w:rsidR="00945748" w:rsidRPr="00F310C1">
      <w:rPr>
        <w:b/>
        <w:bCs/>
      </w:rPr>
      <w:fldChar w:fldCharType="begin"/>
    </w:r>
    <w:r w:rsidR="00945748" w:rsidRPr="00F310C1">
      <w:rPr>
        <w:b/>
        <w:bCs/>
      </w:rPr>
      <w:instrText>styleref href</w:instrText>
    </w:r>
    <w:r w:rsidR="00945748" w:rsidRPr="00F310C1">
      <w:rPr>
        <w:b/>
        <w:bCs/>
      </w:rPr>
      <w:fldChar w:fldCharType="separate"/>
    </w:r>
    <w:r w:rsidR="00851AE5">
      <w:rPr>
        <w:b/>
        <w:bCs/>
        <w:noProof/>
      </w:rPr>
      <w:t>МСЭ-R  SM.2129-1</w:t>
    </w:r>
    <w:r w:rsidR="00945748" w:rsidRPr="00F310C1">
      <w:rPr>
        <w:b/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01C9B" w14:textId="41B9933D" w:rsidR="00945748" w:rsidRPr="00A81BC9" w:rsidRDefault="00945748" w:rsidP="00945748">
    <w:pPr>
      <w:pStyle w:val="Header"/>
      <w:rPr>
        <w:b/>
        <w:bCs/>
      </w:rPr>
    </w:pPr>
    <w:r w:rsidRPr="00F310C1">
      <w:rPr>
        <w:b/>
        <w:bCs/>
      </w:rPr>
      <w:tab/>
      <w:t xml:space="preserve">Рек.  </w:t>
    </w:r>
    <w:r w:rsidRPr="00F310C1">
      <w:rPr>
        <w:b/>
        <w:bCs/>
      </w:rPr>
      <w:fldChar w:fldCharType="begin"/>
    </w:r>
    <w:r w:rsidRPr="00F310C1">
      <w:rPr>
        <w:b/>
        <w:bCs/>
      </w:rPr>
      <w:instrText>styleref href</w:instrText>
    </w:r>
    <w:r w:rsidRPr="00F310C1">
      <w:rPr>
        <w:b/>
        <w:bCs/>
      </w:rPr>
      <w:fldChar w:fldCharType="separate"/>
    </w:r>
    <w:r w:rsidR="00851AE5">
      <w:rPr>
        <w:b/>
        <w:bCs/>
        <w:noProof/>
      </w:rPr>
      <w:t>МСЭ-R  SM.2129-1</w:t>
    </w:r>
    <w:r w:rsidRPr="00F310C1">
      <w:rPr>
        <w:b/>
        <w:bCs/>
      </w:rPr>
      <w:fldChar w:fldCharType="end"/>
    </w:r>
    <w:r w:rsidRPr="00F310C1">
      <w:rPr>
        <w:b/>
        <w:bCs/>
      </w:rPr>
      <w:tab/>
    </w:r>
    <w:r w:rsidRPr="00F310C1">
      <w:rPr>
        <w:rStyle w:val="PageNumber"/>
        <w:b/>
        <w:bCs/>
      </w:rPr>
      <w:fldChar w:fldCharType="begin"/>
    </w:r>
    <w:r w:rsidRPr="00F310C1">
      <w:rPr>
        <w:rStyle w:val="PageNumber"/>
        <w:b/>
        <w:bCs/>
      </w:rPr>
      <w:instrText xml:space="preserve"> PAGE </w:instrText>
    </w:r>
    <w:r w:rsidRPr="00F310C1">
      <w:rPr>
        <w:rStyle w:val="PageNumber"/>
        <w:b/>
        <w:bCs/>
      </w:rPr>
      <w:fldChar w:fldCharType="separate"/>
    </w:r>
    <w:r w:rsidR="00632BBA">
      <w:rPr>
        <w:rStyle w:val="PageNumber"/>
        <w:b/>
        <w:bCs/>
        <w:noProof/>
      </w:rPr>
      <w:t>3</w:t>
    </w:r>
    <w:r w:rsidRPr="00F310C1">
      <w:rPr>
        <w:rStyle w:val="PageNumber"/>
        <w:b/>
        <w:bCs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B7CE6" w14:textId="79CCBFAD" w:rsidR="00892118" w:rsidRPr="00A81BC9" w:rsidRDefault="00A81BC9" w:rsidP="00A81BC9">
    <w:pPr>
      <w:pStyle w:val="Header"/>
      <w:rPr>
        <w:b/>
        <w:bCs/>
      </w:rPr>
    </w:pPr>
    <w:r w:rsidRPr="00F310C1">
      <w:rPr>
        <w:b/>
        <w:bCs/>
      </w:rPr>
      <w:tab/>
      <w:t xml:space="preserve">Рек.  </w:t>
    </w:r>
    <w:r w:rsidRPr="00F310C1">
      <w:rPr>
        <w:b/>
        <w:bCs/>
      </w:rPr>
      <w:fldChar w:fldCharType="begin"/>
    </w:r>
    <w:r w:rsidRPr="00F310C1">
      <w:rPr>
        <w:b/>
        <w:bCs/>
      </w:rPr>
      <w:instrText>styleref href</w:instrText>
    </w:r>
    <w:r w:rsidRPr="00F310C1">
      <w:rPr>
        <w:b/>
        <w:bCs/>
      </w:rPr>
      <w:fldChar w:fldCharType="separate"/>
    </w:r>
    <w:r w:rsidR="00851AE5">
      <w:rPr>
        <w:b/>
        <w:bCs/>
        <w:noProof/>
      </w:rPr>
      <w:t>МСЭ-R  SM.2129-1</w:t>
    </w:r>
    <w:r w:rsidRPr="00F310C1">
      <w:rPr>
        <w:b/>
        <w:bCs/>
      </w:rPr>
      <w:fldChar w:fldCharType="end"/>
    </w:r>
    <w:r w:rsidRPr="00F310C1">
      <w:rPr>
        <w:b/>
        <w:bCs/>
      </w:rPr>
      <w:tab/>
    </w:r>
    <w:r w:rsidRPr="00F310C1">
      <w:rPr>
        <w:rStyle w:val="PageNumber"/>
        <w:b/>
        <w:bCs/>
      </w:rPr>
      <w:fldChar w:fldCharType="begin"/>
    </w:r>
    <w:r w:rsidRPr="00F310C1">
      <w:rPr>
        <w:rStyle w:val="PageNumber"/>
        <w:b/>
        <w:bCs/>
      </w:rPr>
      <w:instrText xml:space="preserve"> PAGE </w:instrText>
    </w:r>
    <w:r w:rsidRPr="00F310C1">
      <w:rPr>
        <w:rStyle w:val="PageNumber"/>
        <w:b/>
        <w:bCs/>
      </w:rPr>
      <w:fldChar w:fldCharType="separate"/>
    </w:r>
    <w:r w:rsidR="00632BBA">
      <w:rPr>
        <w:rStyle w:val="PageNumber"/>
        <w:b/>
        <w:bCs/>
        <w:noProof/>
      </w:rPr>
      <w:t>1</w:t>
    </w:r>
    <w:r w:rsidRPr="00F310C1">
      <w:rPr>
        <w:rStyle w:val="PageNumber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8385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mirrorMargin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>
      <o:colormru v:ext="edit" colors="#d62a4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ED7"/>
    <w:rsid w:val="00013002"/>
    <w:rsid w:val="00021004"/>
    <w:rsid w:val="00036EE3"/>
    <w:rsid w:val="00057CD4"/>
    <w:rsid w:val="00072484"/>
    <w:rsid w:val="00092B92"/>
    <w:rsid w:val="00096612"/>
    <w:rsid w:val="000B3FC0"/>
    <w:rsid w:val="000B7683"/>
    <w:rsid w:val="000C232F"/>
    <w:rsid w:val="000D0677"/>
    <w:rsid w:val="000D5793"/>
    <w:rsid w:val="000E6A6E"/>
    <w:rsid w:val="00102934"/>
    <w:rsid w:val="00131900"/>
    <w:rsid w:val="00147110"/>
    <w:rsid w:val="001511A6"/>
    <w:rsid w:val="001870C1"/>
    <w:rsid w:val="00197B47"/>
    <w:rsid w:val="001D407F"/>
    <w:rsid w:val="002058CE"/>
    <w:rsid w:val="002165F1"/>
    <w:rsid w:val="002202BF"/>
    <w:rsid w:val="002434B2"/>
    <w:rsid w:val="002710AC"/>
    <w:rsid w:val="00276D21"/>
    <w:rsid w:val="0028130B"/>
    <w:rsid w:val="00296D7F"/>
    <w:rsid w:val="002B3CF6"/>
    <w:rsid w:val="002C768A"/>
    <w:rsid w:val="002D76C4"/>
    <w:rsid w:val="002F5199"/>
    <w:rsid w:val="00305A41"/>
    <w:rsid w:val="00312B3F"/>
    <w:rsid w:val="00356B5D"/>
    <w:rsid w:val="003646F2"/>
    <w:rsid w:val="00366B24"/>
    <w:rsid w:val="00371C6E"/>
    <w:rsid w:val="00373311"/>
    <w:rsid w:val="003C38BA"/>
    <w:rsid w:val="00403246"/>
    <w:rsid w:val="00420DFD"/>
    <w:rsid w:val="00437A76"/>
    <w:rsid w:val="00467C4F"/>
    <w:rsid w:val="00470E28"/>
    <w:rsid w:val="004934C5"/>
    <w:rsid w:val="004A6DC8"/>
    <w:rsid w:val="0055320A"/>
    <w:rsid w:val="00556548"/>
    <w:rsid w:val="00571788"/>
    <w:rsid w:val="00586EF8"/>
    <w:rsid w:val="005A127F"/>
    <w:rsid w:val="005B49AB"/>
    <w:rsid w:val="005B50E7"/>
    <w:rsid w:val="005E4C75"/>
    <w:rsid w:val="005E7B4F"/>
    <w:rsid w:val="00600D61"/>
    <w:rsid w:val="00601882"/>
    <w:rsid w:val="00607D68"/>
    <w:rsid w:val="006114CA"/>
    <w:rsid w:val="00612FD4"/>
    <w:rsid w:val="00613212"/>
    <w:rsid w:val="006149B1"/>
    <w:rsid w:val="00632BBA"/>
    <w:rsid w:val="00665120"/>
    <w:rsid w:val="00680D2B"/>
    <w:rsid w:val="00681B32"/>
    <w:rsid w:val="006B1D2B"/>
    <w:rsid w:val="006C4232"/>
    <w:rsid w:val="006E1131"/>
    <w:rsid w:val="006E2037"/>
    <w:rsid w:val="006E601F"/>
    <w:rsid w:val="006E6199"/>
    <w:rsid w:val="00712870"/>
    <w:rsid w:val="00743D85"/>
    <w:rsid w:val="00753CF4"/>
    <w:rsid w:val="007565CC"/>
    <w:rsid w:val="00763B9A"/>
    <w:rsid w:val="00771723"/>
    <w:rsid w:val="00772E5F"/>
    <w:rsid w:val="007A6AA8"/>
    <w:rsid w:val="007B383F"/>
    <w:rsid w:val="007E069E"/>
    <w:rsid w:val="007E3AFC"/>
    <w:rsid w:val="008310C9"/>
    <w:rsid w:val="00851AE5"/>
    <w:rsid w:val="00853CC5"/>
    <w:rsid w:val="00870848"/>
    <w:rsid w:val="008861EA"/>
    <w:rsid w:val="00892118"/>
    <w:rsid w:val="008C7848"/>
    <w:rsid w:val="00906589"/>
    <w:rsid w:val="00906AD6"/>
    <w:rsid w:val="0091770C"/>
    <w:rsid w:val="00917AF2"/>
    <w:rsid w:val="0092418A"/>
    <w:rsid w:val="00934ED7"/>
    <w:rsid w:val="00936DDF"/>
    <w:rsid w:val="00945748"/>
    <w:rsid w:val="009543C3"/>
    <w:rsid w:val="00960BC5"/>
    <w:rsid w:val="00966E1B"/>
    <w:rsid w:val="00973C07"/>
    <w:rsid w:val="009947C0"/>
    <w:rsid w:val="009A249D"/>
    <w:rsid w:val="009A6C51"/>
    <w:rsid w:val="009B235D"/>
    <w:rsid w:val="009C0E37"/>
    <w:rsid w:val="009C3AA1"/>
    <w:rsid w:val="009D09E4"/>
    <w:rsid w:val="009D571D"/>
    <w:rsid w:val="009E3058"/>
    <w:rsid w:val="009F1578"/>
    <w:rsid w:val="009F2D2C"/>
    <w:rsid w:val="00A25DEC"/>
    <w:rsid w:val="00A31928"/>
    <w:rsid w:val="00A62A14"/>
    <w:rsid w:val="00A6617B"/>
    <w:rsid w:val="00A71FE5"/>
    <w:rsid w:val="00A758B2"/>
    <w:rsid w:val="00A81BC9"/>
    <w:rsid w:val="00A971A1"/>
    <w:rsid w:val="00AA3AD8"/>
    <w:rsid w:val="00AA5BB8"/>
    <w:rsid w:val="00AB0DC8"/>
    <w:rsid w:val="00AF302B"/>
    <w:rsid w:val="00B033C8"/>
    <w:rsid w:val="00B07B83"/>
    <w:rsid w:val="00B17B56"/>
    <w:rsid w:val="00B21F1F"/>
    <w:rsid w:val="00B24A4F"/>
    <w:rsid w:val="00B33425"/>
    <w:rsid w:val="00B44E24"/>
    <w:rsid w:val="00B54ECC"/>
    <w:rsid w:val="00B714F3"/>
    <w:rsid w:val="00B87B6B"/>
    <w:rsid w:val="00BB283C"/>
    <w:rsid w:val="00BC5D77"/>
    <w:rsid w:val="00BE57E5"/>
    <w:rsid w:val="00BF0366"/>
    <w:rsid w:val="00BF487A"/>
    <w:rsid w:val="00C16DA2"/>
    <w:rsid w:val="00C46BD9"/>
    <w:rsid w:val="00C55258"/>
    <w:rsid w:val="00C73560"/>
    <w:rsid w:val="00CB0F14"/>
    <w:rsid w:val="00CB56A9"/>
    <w:rsid w:val="00CB60E1"/>
    <w:rsid w:val="00CD659B"/>
    <w:rsid w:val="00CE0A43"/>
    <w:rsid w:val="00D24340"/>
    <w:rsid w:val="00D27C93"/>
    <w:rsid w:val="00D40B30"/>
    <w:rsid w:val="00D451DD"/>
    <w:rsid w:val="00D54BEC"/>
    <w:rsid w:val="00D83556"/>
    <w:rsid w:val="00DA21FB"/>
    <w:rsid w:val="00DC4AD2"/>
    <w:rsid w:val="00DF4176"/>
    <w:rsid w:val="00E17240"/>
    <w:rsid w:val="00E74595"/>
    <w:rsid w:val="00E81AFE"/>
    <w:rsid w:val="00EB611F"/>
    <w:rsid w:val="00EB7C57"/>
    <w:rsid w:val="00ED2695"/>
    <w:rsid w:val="00F074C2"/>
    <w:rsid w:val="00F2535A"/>
    <w:rsid w:val="00F30C9B"/>
    <w:rsid w:val="00F354B1"/>
    <w:rsid w:val="00F5104C"/>
    <w:rsid w:val="00F61320"/>
    <w:rsid w:val="00F67DDE"/>
    <w:rsid w:val="00F76900"/>
    <w:rsid w:val="00FA5A91"/>
    <w:rsid w:val="00FB0E4E"/>
    <w:rsid w:val="00FD3C61"/>
    <w:rsid w:val="00F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62a47"/>
    </o:shapedefaults>
    <o:shapelayout v:ext="edit">
      <o:idmap v:ext="edit" data="2"/>
    </o:shapelayout>
  </w:shapeDefaults>
  <w:decimalSymbol w:val="."/>
  <w:listSeparator w:val=","/>
  <w14:docId w14:val="08FF40BE"/>
  <w15:docId w15:val="{0FB66DDC-4680-4F9F-AFA6-A1183CD3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0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6E601F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E60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E60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E601F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6E601F"/>
    <w:pPr>
      <w:outlineLvl w:val="4"/>
    </w:pPr>
  </w:style>
  <w:style w:type="paragraph" w:styleId="Heading6">
    <w:name w:val="heading 6"/>
    <w:basedOn w:val="Heading4"/>
    <w:next w:val="Normal"/>
    <w:qFormat/>
    <w:rsid w:val="006E601F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E601F"/>
    <w:pPr>
      <w:outlineLvl w:val="6"/>
    </w:pPr>
  </w:style>
  <w:style w:type="paragraph" w:styleId="Heading8">
    <w:name w:val="heading 8"/>
    <w:basedOn w:val="Heading6"/>
    <w:next w:val="Normal"/>
    <w:qFormat/>
    <w:rsid w:val="006E601F"/>
    <w:pPr>
      <w:outlineLvl w:val="7"/>
    </w:pPr>
  </w:style>
  <w:style w:type="paragraph" w:styleId="Heading9">
    <w:name w:val="heading 9"/>
    <w:basedOn w:val="Heading6"/>
    <w:next w:val="Normal"/>
    <w:qFormat/>
    <w:rsid w:val="006E601F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01F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rsid w:val="006E601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6E601F"/>
  </w:style>
  <w:style w:type="paragraph" w:customStyle="1" w:styleId="Headingb">
    <w:name w:val="Heading_b"/>
    <w:basedOn w:val="Heading3"/>
    <w:next w:val="Normal"/>
    <w:link w:val="HeadingbChar"/>
    <w:rsid w:val="006E601F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6E601F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6E601F"/>
  </w:style>
  <w:style w:type="paragraph" w:customStyle="1" w:styleId="AnnexNoTitle">
    <w:name w:val="Annex_NoTitle"/>
    <w:basedOn w:val="Heading1"/>
    <w:next w:val="Normalaftertitle"/>
    <w:rsid w:val="001870C1"/>
    <w:pPr>
      <w:spacing w:after="80"/>
      <w:ind w:left="0" w:firstLine="0"/>
      <w:jc w:val="center"/>
    </w:pPr>
    <w:rPr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6E601F"/>
    <w:pPr>
      <w:spacing w:before="320"/>
    </w:pPr>
  </w:style>
  <w:style w:type="paragraph" w:customStyle="1" w:styleId="enumlev2">
    <w:name w:val="enumlev2"/>
    <w:basedOn w:val="enumlev1"/>
    <w:rsid w:val="006E601F"/>
    <w:pPr>
      <w:ind w:left="1191" w:hanging="397"/>
    </w:pPr>
  </w:style>
  <w:style w:type="paragraph" w:customStyle="1" w:styleId="enumlev1">
    <w:name w:val="enumlev1"/>
    <w:basedOn w:val="Normal"/>
    <w:rsid w:val="006E601F"/>
    <w:pPr>
      <w:spacing w:before="80"/>
      <w:ind w:left="794" w:hanging="794"/>
    </w:pPr>
  </w:style>
  <w:style w:type="paragraph" w:customStyle="1" w:styleId="enumlev3">
    <w:name w:val="enumlev3"/>
    <w:basedOn w:val="enumlev2"/>
    <w:rsid w:val="006E601F"/>
    <w:pPr>
      <w:ind w:left="1588"/>
    </w:pPr>
  </w:style>
  <w:style w:type="paragraph" w:customStyle="1" w:styleId="Note">
    <w:name w:val="Note"/>
    <w:basedOn w:val="Normal"/>
    <w:rsid w:val="006E601F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RecNo">
    <w:name w:val="Rec_No"/>
    <w:basedOn w:val="Normal"/>
    <w:next w:val="Rectitle"/>
    <w:rsid w:val="006E60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Rectitle">
    <w:name w:val="Rec_title"/>
    <w:basedOn w:val="Normal"/>
    <w:next w:val="Recref"/>
    <w:uiPriority w:val="99"/>
    <w:rsid w:val="006E601F"/>
    <w:pPr>
      <w:keepNext/>
      <w:keepLines/>
      <w:spacing w:before="24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rsid w:val="006E601F"/>
    <w:pPr>
      <w:jc w:val="center"/>
    </w:pPr>
  </w:style>
  <w:style w:type="paragraph" w:customStyle="1" w:styleId="Recdate">
    <w:name w:val="Rec_date"/>
    <w:basedOn w:val="Recref"/>
    <w:next w:val="Normalaftertitle"/>
    <w:rsid w:val="006E601F"/>
    <w:pPr>
      <w:jc w:val="right"/>
    </w:pPr>
  </w:style>
  <w:style w:type="paragraph" w:customStyle="1" w:styleId="HeadingSum">
    <w:name w:val="Heading_Sum"/>
    <w:basedOn w:val="Headingb"/>
    <w:next w:val="Normal"/>
    <w:rsid w:val="006E601F"/>
    <w:pPr>
      <w:spacing w:before="240"/>
    </w:pPr>
    <w:rPr>
      <w:lang w:val="es-ES_tradnl"/>
    </w:rPr>
  </w:style>
  <w:style w:type="paragraph" w:customStyle="1" w:styleId="AppendixNoTitle">
    <w:name w:val="Appendix_NoTitle"/>
    <w:basedOn w:val="AnnexNoTitle"/>
    <w:next w:val="Normal"/>
    <w:rsid w:val="006E601F"/>
  </w:style>
  <w:style w:type="paragraph" w:customStyle="1" w:styleId="Tablefin">
    <w:name w:val="Table_fin"/>
    <w:basedOn w:val="Normal"/>
    <w:next w:val="Normal"/>
    <w:rsid w:val="006E601F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6E601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6E60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6E601F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rsid w:val="006E60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quation">
    <w:name w:val="Equation"/>
    <w:basedOn w:val="Normal"/>
    <w:rsid w:val="006E601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E601F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6E601F"/>
    <w:pPr>
      <w:ind w:left="794"/>
    </w:pPr>
  </w:style>
  <w:style w:type="paragraph" w:customStyle="1" w:styleId="Figurelegend">
    <w:name w:val="Figure_legend"/>
    <w:basedOn w:val="Normal"/>
    <w:rsid w:val="006E60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E601F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rsid w:val="006E601F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rsid w:val="006E601F"/>
    <w:pPr>
      <w:keepNext w:val="0"/>
      <w:spacing w:before="0" w:after="240"/>
    </w:pPr>
  </w:style>
  <w:style w:type="paragraph" w:customStyle="1" w:styleId="tocpart">
    <w:name w:val="tocpart"/>
    <w:basedOn w:val="Normal"/>
    <w:rsid w:val="006E601F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6E601F"/>
    <w:pPr>
      <w:keepNext/>
      <w:keepLines/>
      <w:spacing w:before="480"/>
      <w:jc w:val="center"/>
    </w:pPr>
    <w:rPr>
      <w:sz w:val="26"/>
    </w:rPr>
  </w:style>
  <w:style w:type="paragraph" w:customStyle="1" w:styleId="Arttitle">
    <w:name w:val="Art_title"/>
    <w:basedOn w:val="Normal"/>
    <w:next w:val="Normalaftertitle"/>
    <w:rsid w:val="006E601F"/>
    <w:pPr>
      <w:keepNext/>
      <w:keepLines/>
      <w:spacing w:before="240"/>
      <w:jc w:val="center"/>
    </w:pPr>
    <w:rPr>
      <w:b/>
      <w:sz w:val="26"/>
    </w:rPr>
  </w:style>
  <w:style w:type="paragraph" w:customStyle="1" w:styleId="Blanc">
    <w:name w:val="Blanc"/>
    <w:basedOn w:val="Normal"/>
    <w:next w:val="Tabletext"/>
    <w:rsid w:val="006E60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6E60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E60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6E601F"/>
    <w:rPr>
      <w:b/>
    </w:rPr>
  </w:style>
  <w:style w:type="paragraph" w:customStyle="1" w:styleId="Chaptitle">
    <w:name w:val="Chap_title"/>
    <w:basedOn w:val="Arttitle"/>
    <w:next w:val="Normalaftertitle"/>
    <w:rsid w:val="006E601F"/>
  </w:style>
  <w:style w:type="character" w:styleId="FootnoteReference">
    <w:name w:val="footnote reference"/>
    <w:basedOn w:val="DefaultParagraphFont"/>
    <w:semiHidden/>
    <w:rsid w:val="006E601F"/>
    <w:rPr>
      <w:position w:val="6"/>
      <w:sz w:val="16"/>
    </w:rPr>
  </w:style>
  <w:style w:type="paragraph" w:styleId="FootnoteText">
    <w:name w:val="footnote text"/>
    <w:basedOn w:val="Normal"/>
    <w:semiHidden/>
    <w:rsid w:val="006E601F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Index1">
    <w:name w:val="index 1"/>
    <w:basedOn w:val="Normal"/>
    <w:next w:val="Normal"/>
    <w:semiHidden/>
    <w:rsid w:val="006E601F"/>
  </w:style>
  <w:style w:type="paragraph" w:styleId="Index2">
    <w:name w:val="index 2"/>
    <w:basedOn w:val="Normal"/>
    <w:next w:val="Normal"/>
    <w:semiHidden/>
    <w:rsid w:val="006E601F"/>
    <w:pPr>
      <w:ind w:left="283"/>
    </w:pPr>
  </w:style>
  <w:style w:type="paragraph" w:styleId="Index3">
    <w:name w:val="index 3"/>
    <w:basedOn w:val="Normal"/>
    <w:next w:val="Normal"/>
    <w:semiHidden/>
    <w:rsid w:val="006E601F"/>
    <w:pPr>
      <w:ind w:left="566"/>
    </w:pPr>
  </w:style>
  <w:style w:type="paragraph" w:styleId="IndexHeading">
    <w:name w:val="index heading"/>
    <w:basedOn w:val="Normal"/>
    <w:next w:val="Index1"/>
    <w:semiHidden/>
    <w:rsid w:val="006E601F"/>
  </w:style>
  <w:style w:type="paragraph" w:customStyle="1" w:styleId="Line">
    <w:name w:val="Line"/>
    <w:basedOn w:val="Normal"/>
    <w:next w:val="Normal"/>
    <w:rsid w:val="006E601F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6E601F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6E601F"/>
  </w:style>
  <w:style w:type="paragraph" w:customStyle="1" w:styleId="Partref">
    <w:name w:val="Part_ref"/>
    <w:basedOn w:val="Normal"/>
    <w:next w:val="Normal"/>
    <w:rsid w:val="006E601F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6E60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Questiondate">
    <w:name w:val="Question_date"/>
    <w:basedOn w:val="Recdate"/>
    <w:next w:val="Normalaftertitle"/>
    <w:rsid w:val="006E601F"/>
  </w:style>
  <w:style w:type="paragraph" w:customStyle="1" w:styleId="QuestionNo">
    <w:name w:val="Question_No"/>
    <w:basedOn w:val="RecNo"/>
    <w:next w:val="Normal"/>
    <w:rsid w:val="006E601F"/>
  </w:style>
  <w:style w:type="paragraph" w:customStyle="1" w:styleId="Questionref">
    <w:name w:val="Question_ref"/>
    <w:basedOn w:val="Recref"/>
    <w:next w:val="Questiondate"/>
    <w:rsid w:val="006E601F"/>
  </w:style>
  <w:style w:type="paragraph" w:customStyle="1" w:styleId="Questiontitle">
    <w:name w:val="Question_title"/>
    <w:basedOn w:val="Normal"/>
    <w:next w:val="Questionref"/>
    <w:rsid w:val="006E601F"/>
  </w:style>
  <w:style w:type="paragraph" w:customStyle="1" w:styleId="Reftext">
    <w:name w:val="Ref_text"/>
    <w:basedOn w:val="Normal"/>
    <w:rsid w:val="006E601F"/>
    <w:pPr>
      <w:ind w:left="794" w:hanging="794"/>
    </w:pPr>
  </w:style>
  <w:style w:type="paragraph" w:customStyle="1" w:styleId="Reftitle">
    <w:name w:val="Ref_title"/>
    <w:basedOn w:val="Normal"/>
    <w:next w:val="Reftext"/>
    <w:rsid w:val="006E601F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paragraph" w:customStyle="1" w:styleId="Repdate">
    <w:name w:val="Rep_date"/>
    <w:basedOn w:val="Recdate"/>
    <w:next w:val="Normal"/>
    <w:rsid w:val="006E601F"/>
  </w:style>
  <w:style w:type="paragraph" w:customStyle="1" w:styleId="RepNo">
    <w:name w:val="Rep_No"/>
    <w:basedOn w:val="RecNo"/>
    <w:next w:val="Reptitle"/>
    <w:rsid w:val="006E601F"/>
  </w:style>
  <w:style w:type="paragraph" w:customStyle="1" w:styleId="Reptitle">
    <w:name w:val="Rep_title"/>
    <w:basedOn w:val="Rectitle"/>
    <w:next w:val="Repref"/>
    <w:rsid w:val="006E601F"/>
  </w:style>
  <w:style w:type="paragraph" w:customStyle="1" w:styleId="Repref">
    <w:name w:val="Rep_ref"/>
    <w:basedOn w:val="Recref"/>
    <w:next w:val="Repdate"/>
    <w:rsid w:val="006E601F"/>
  </w:style>
  <w:style w:type="paragraph" w:customStyle="1" w:styleId="Resdate">
    <w:name w:val="Res_date"/>
    <w:basedOn w:val="Recdate"/>
    <w:next w:val="Normalaftertitle"/>
    <w:rsid w:val="006E601F"/>
  </w:style>
  <w:style w:type="paragraph" w:customStyle="1" w:styleId="ResNo">
    <w:name w:val="Res_No"/>
    <w:basedOn w:val="RecNo"/>
    <w:next w:val="Restitle"/>
    <w:rsid w:val="006E601F"/>
  </w:style>
  <w:style w:type="paragraph" w:customStyle="1" w:styleId="Restitle">
    <w:name w:val="Res_title"/>
    <w:basedOn w:val="Normal"/>
    <w:next w:val="Resref"/>
    <w:rsid w:val="006E601F"/>
    <w:pPr>
      <w:spacing w:before="240"/>
      <w:jc w:val="center"/>
    </w:pPr>
    <w:rPr>
      <w:b/>
      <w:sz w:val="26"/>
    </w:rPr>
  </w:style>
  <w:style w:type="paragraph" w:customStyle="1" w:styleId="Resref">
    <w:name w:val="Res_ref"/>
    <w:basedOn w:val="Recref"/>
    <w:next w:val="Resdate"/>
    <w:rsid w:val="006E601F"/>
  </w:style>
  <w:style w:type="paragraph" w:customStyle="1" w:styleId="SectionNo">
    <w:name w:val="Section_No"/>
    <w:basedOn w:val="Normal"/>
    <w:next w:val="Normal"/>
    <w:rsid w:val="006E601F"/>
  </w:style>
  <w:style w:type="paragraph" w:customStyle="1" w:styleId="Sectiontitle">
    <w:name w:val="Section_title"/>
    <w:basedOn w:val="Normal"/>
    <w:next w:val="Normalaftertitle"/>
    <w:rsid w:val="006E60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toc0">
    <w:name w:val="toc 0"/>
    <w:basedOn w:val="Normal"/>
    <w:next w:val="TOC1"/>
    <w:rsid w:val="006E601F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rsid w:val="006E601F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rsid w:val="006E601F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rsid w:val="006E601F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6E601F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6E601F"/>
  </w:style>
  <w:style w:type="paragraph" w:styleId="TOC6">
    <w:name w:val="toc 6"/>
    <w:basedOn w:val="TOC4"/>
    <w:semiHidden/>
    <w:rsid w:val="006E601F"/>
  </w:style>
  <w:style w:type="paragraph" w:styleId="TOC7">
    <w:name w:val="toc 7"/>
    <w:basedOn w:val="TOC4"/>
    <w:semiHidden/>
    <w:rsid w:val="006E601F"/>
  </w:style>
  <w:style w:type="paragraph" w:styleId="TOC8">
    <w:name w:val="toc 8"/>
    <w:basedOn w:val="TOC4"/>
    <w:semiHidden/>
    <w:rsid w:val="006E601F"/>
  </w:style>
  <w:style w:type="paragraph" w:customStyle="1" w:styleId="Annexref">
    <w:name w:val="Annex_ref"/>
    <w:basedOn w:val="Normal"/>
    <w:next w:val="Normalaftertitle"/>
    <w:rsid w:val="006E601F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6E601F"/>
  </w:style>
  <w:style w:type="paragraph" w:customStyle="1" w:styleId="Tabletitle">
    <w:name w:val="Table_title"/>
    <w:basedOn w:val="Normal"/>
    <w:next w:val="Tablehead"/>
    <w:link w:val="TabletitleChar"/>
    <w:rsid w:val="006E601F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6E601F"/>
    <w:pPr>
      <w:spacing w:after="480"/>
    </w:pPr>
    <w:rPr>
      <w:lang w:val="es-ES_tradnl"/>
    </w:rPr>
  </w:style>
  <w:style w:type="character" w:styleId="Hyperlink">
    <w:name w:val="Hyperlink"/>
    <w:basedOn w:val="DefaultParagraphFont"/>
    <w:uiPriority w:val="99"/>
    <w:rsid w:val="006E601F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6E601F"/>
    <w:rPr>
      <w:sz w:val="22"/>
      <w:lang w:val="fr-FR" w:eastAsia="en-US"/>
    </w:rPr>
  </w:style>
  <w:style w:type="paragraph" w:customStyle="1" w:styleId="TableLegendNote">
    <w:name w:val="Table_Legend_Note"/>
    <w:basedOn w:val="Tablelegend"/>
    <w:next w:val="Tablelegend"/>
    <w:rsid w:val="006E601F"/>
    <w:pPr>
      <w:ind w:left="-85" w:firstLine="0"/>
    </w:pPr>
    <w:rPr>
      <w:lang w:val="en-US"/>
    </w:rPr>
  </w:style>
  <w:style w:type="character" w:customStyle="1" w:styleId="NormalaftertitleChar">
    <w:name w:val="Normal_after_title Char"/>
    <w:link w:val="Normalaftertitle"/>
    <w:locked/>
    <w:rsid w:val="00945748"/>
    <w:rPr>
      <w:sz w:val="22"/>
      <w:lang w:val="fr-FR" w:eastAsia="en-US"/>
    </w:rPr>
  </w:style>
  <w:style w:type="character" w:customStyle="1" w:styleId="CallChar">
    <w:name w:val="Call Char"/>
    <w:link w:val="Call"/>
    <w:locked/>
    <w:rsid w:val="00945748"/>
    <w:rPr>
      <w:i/>
      <w:sz w:val="22"/>
      <w:lang w:val="fr-FR" w:eastAsia="en-US"/>
    </w:rPr>
  </w:style>
  <w:style w:type="character" w:customStyle="1" w:styleId="TableNoChar">
    <w:name w:val="Table_No Char"/>
    <w:link w:val="TableNo"/>
    <w:locked/>
    <w:rsid w:val="00945748"/>
    <w:rPr>
      <w:sz w:val="22"/>
      <w:lang w:val="fr-FR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45748"/>
    <w:rPr>
      <w:b/>
      <w:sz w:val="22"/>
      <w:lang w:val="fr-FR" w:eastAsia="en-US"/>
    </w:rPr>
  </w:style>
  <w:style w:type="character" w:customStyle="1" w:styleId="HeadingbChar">
    <w:name w:val="Heading_b Char"/>
    <w:link w:val="Headingb"/>
    <w:locked/>
    <w:rsid w:val="00945748"/>
    <w:rPr>
      <w:b/>
      <w:sz w:val="22"/>
      <w:lang w:val="fr-FR" w:eastAsia="en-US"/>
    </w:rPr>
  </w:style>
  <w:style w:type="table" w:styleId="TableGrid">
    <w:name w:val="Table Grid"/>
    <w:basedOn w:val="TableNormal"/>
    <w:uiPriority w:val="59"/>
    <w:rsid w:val="00945748"/>
    <w:rPr>
      <w:rFonts w:ascii="CG Times" w:eastAsia="MS Mincho" w:hAnsi="CG Times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ref">
    <w:name w:val="Art_ref"/>
    <w:basedOn w:val="DefaultParagraphFont"/>
    <w:rsid w:val="00945748"/>
  </w:style>
  <w:style w:type="paragraph" w:customStyle="1" w:styleId="CoverNumber">
    <w:name w:val="Cover Number"/>
    <w:basedOn w:val="Normal"/>
    <w:qFormat/>
    <w:rsid w:val="002710A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2710A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2710A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2710A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paragraph" w:customStyle="1" w:styleId="Reasons">
    <w:name w:val="Reasons"/>
    <w:basedOn w:val="Normal"/>
    <w:qFormat/>
    <w:rsid w:val="009C0E3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4"/>
      <w:lang w:val="en-US"/>
    </w:rPr>
  </w:style>
  <w:style w:type="paragraph" w:styleId="Revision">
    <w:name w:val="Revision"/>
    <w:hidden/>
    <w:uiPriority w:val="99"/>
    <w:semiHidden/>
    <w:rsid w:val="00F2535A"/>
    <w:rPr>
      <w:sz w:val="22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A5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www.itu.int/pub/R-REP-SM.2303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s://www.itu.int/publ/R-REC/ru" TargetMode="External"/><Relationship Id="rId17" Type="http://schemas.openxmlformats.org/officeDocument/2006/relationships/hyperlink" Target="https://www.itu.int/pub/R-REP-SM.215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rec/R-REC-SM.1896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R/go/patents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rec/R-REC-SM.1056" TargetMode="External"/><Relationship Id="rId23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hyperlink" Target="https://www.itu.int/pub/R-REP-SM.2449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tosbo\Application%20Data\Microsoft\Templates\QuickPub%20-%20ITU\BR_Rec_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B865-C31B-4302-9AF1-E2B3D2E8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</Template>
  <TotalTime>53</TotalTime>
  <Pages>6</Pages>
  <Words>1531</Words>
  <Characters>10509</Characters>
  <Application>Microsoft Office Word</Application>
  <DocSecurity>0</DocSecurity>
  <Lines>269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РЕКОМЕНДАЦИЯ  МСЭ-R  SM.2129-1 - Руководство по использованию диапазонов частот для беспроводной передачи энергии без использования луча для мобильных и переносных устройств</vt:lpstr>
    </vt:vector>
  </TitlesOfParts>
  <Manager/>
  <Company>ITU</Company>
  <LinksUpToDate>false</LinksUpToDate>
  <CharactersWithSpaces>11863</CharactersWithSpaces>
  <SharedDoc>false</SharedDoc>
  <HLinks>
    <vt:vector size="12" baseType="variant">
      <vt:variant>
        <vt:i4>1114207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http://www.itu.int/publications/R-REC/en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SM.2129-1 (09/2024) Руководство по использованию диапазонов частот для беспроводной передачи энергии без использования луча для мобильных и переносных устройств</dc:title>
  <dc:subject>SM Series = Spectrum management</dc:subject>
  <dc:creator>ITU Radiocommunication Bureau (BR)</dc:creator>
  <cp:keywords>SM,2129-1</cp:keywords>
  <dc:description>Berdyeva, 13/02/2025, ITU51017645</dc:description>
  <cp:lastModifiedBy>Berdyeva, Elena</cp:lastModifiedBy>
  <cp:revision>15</cp:revision>
  <cp:lastPrinted>2025-02-13T16:23:00Z</cp:lastPrinted>
  <dcterms:created xsi:type="dcterms:W3CDTF">2025-02-13T13:54:00Z</dcterms:created>
  <dcterms:modified xsi:type="dcterms:W3CDTF">2025-02-13T16:27:00Z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  <property fmtid="{D5CDD505-2E9C-101B-9397-08002B2CF9AE}" pid="9" name="Language">
    <vt:lpwstr>Russian</vt:lpwstr>
  </property>
  <property fmtid="{D5CDD505-2E9C-101B-9397-08002B2CF9AE}" pid="10" name="Typist">
    <vt:lpwstr>Berdyeva</vt:lpwstr>
  </property>
  <property fmtid="{D5CDD505-2E9C-101B-9397-08002B2CF9AE}" pid="11" name="Date completed">
    <vt:lpwstr>13 February 2025</vt:lpwstr>
  </property>
</Properties>
</file>