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B0620" w14:textId="77777777" w:rsidR="00FE79FE" w:rsidRDefault="00FE79FE"/>
    <w:p w14:paraId="2306DB09" w14:textId="77777777" w:rsidR="00013002" w:rsidRDefault="00013002" w:rsidP="00DE5556">
      <w:pPr>
        <w:tabs>
          <w:tab w:val="clear" w:pos="794"/>
          <w:tab w:val="clear" w:pos="1191"/>
          <w:tab w:val="clear" w:pos="1588"/>
          <w:tab w:val="clear" w:pos="1985"/>
        </w:tabs>
      </w:pPr>
    </w:p>
    <w:p w14:paraId="590DA0D7" w14:textId="592CD88D" w:rsidR="00D5024B" w:rsidRPr="00F111D6" w:rsidRDefault="00D5024B" w:rsidP="00D5024B">
      <w:pPr>
        <w:pStyle w:val="CoverNumber"/>
        <w:rPr>
          <w:lang w:val="es-ES"/>
        </w:rPr>
      </w:pPr>
      <w:r w:rsidRPr="00F111D6">
        <w:rPr>
          <w:lang w:val="es-ES"/>
        </w:rPr>
        <w:t>Recom</w:t>
      </w:r>
      <w:r w:rsidR="0069322D" w:rsidRPr="00F111D6">
        <w:rPr>
          <w:lang w:val="es-ES"/>
        </w:rPr>
        <w:t>e</w:t>
      </w:r>
      <w:r w:rsidRPr="00F111D6">
        <w:rPr>
          <w:lang w:val="es-ES"/>
        </w:rPr>
        <w:t>nda</w:t>
      </w:r>
      <w:r w:rsidR="0069322D" w:rsidRPr="00F111D6">
        <w:rPr>
          <w:lang w:val="es-ES"/>
        </w:rPr>
        <w:t>c</w:t>
      </w:r>
      <w:r w:rsidRPr="00F111D6">
        <w:rPr>
          <w:lang w:val="es-ES"/>
        </w:rPr>
        <w:t>i</w:t>
      </w:r>
      <w:r w:rsidR="0069322D" w:rsidRPr="00F111D6">
        <w:rPr>
          <w:lang w:val="es-ES"/>
        </w:rPr>
        <w:t>ó</w:t>
      </w:r>
      <w:r w:rsidRPr="00F111D6">
        <w:rPr>
          <w:lang w:val="es-ES"/>
        </w:rPr>
        <w:t xml:space="preserve">n </w:t>
      </w:r>
      <w:r w:rsidR="007624B1" w:rsidRPr="00F111D6">
        <w:rPr>
          <w:lang w:val="es-ES"/>
        </w:rPr>
        <w:t>U</w:t>
      </w:r>
      <w:r w:rsidRPr="00F111D6">
        <w:rPr>
          <w:lang w:val="es-ES"/>
        </w:rPr>
        <w:t xml:space="preserve">IT-R </w:t>
      </w:r>
      <w:r w:rsidR="009F2D88">
        <w:rPr>
          <w:lang w:val="es-ES"/>
        </w:rPr>
        <w:t>S</w:t>
      </w:r>
      <w:r w:rsidR="00E766F1">
        <w:rPr>
          <w:lang w:val="es-ES"/>
        </w:rPr>
        <w:t>M</w:t>
      </w:r>
      <w:r w:rsidRPr="00F111D6">
        <w:rPr>
          <w:lang w:val="es-ES"/>
        </w:rPr>
        <w:t>.</w:t>
      </w:r>
      <w:r w:rsidR="00A17958">
        <w:rPr>
          <w:lang w:val="es-ES"/>
        </w:rPr>
        <w:t>2110-2</w:t>
      </w:r>
    </w:p>
    <w:p w14:paraId="7AE03743" w14:textId="4D9C3C7F" w:rsidR="00D5024B" w:rsidRPr="00F111D6" w:rsidRDefault="00D5024B" w:rsidP="00D5024B">
      <w:pPr>
        <w:pStyle w:val="CoverDate"/>
        <w:rPr>
          <w:lang w:val="es-ES"/>
        </w:rPr>
      </w:pPr>
      <w:r w:rsidRPr="00F111D6">
        <w:rPr>
          <w:lang w:val="es-ES"/>
        </w:rPr>
        <w:t>(</w:t>
      </w:r>
      <w:r w:rsidR="00A17958">
        <w:rPr>
          <w:lang w:val="es-ES"/>
        </w:rPr>
        <w:t>09</w:t>
      </w:r>
      <w:r w:rsidRPr="00F111D6">
        <w:rPr>
          <w:lang w:val="es-ES"/>
        </w:rPr>
        <w:t>/</w:t>
      </w:r>
      <w:r w:rsidR="00A17958">
        <w:rPr>
          <w:lang w:val="es-ES"/>
        </w:rPr>
        <w:t>2025</w:t>
      </w:r>
      <w:r w:rsidRPr="00F111D6">
        <w:rPr>
          <w:lang w:val="es-ES"/>
        </w:rPr>
        <w:t>)</w:t>
      </w:r>
    </w:p>
    <w:p w14:paraId="06B4F968" w14:textId="77777777" w:rsidR="00D5024B" w:rsidRPr="00F111D6" w:rsidRDefault="00A25EE2" w:rsidP="00D5024B">
      <w:pPr>
        <w:pStyle w:val="CoverSeries"/>
        <w:rPr>
          <w:lang w:val="es-ES"/>
        </w:rPr>
      </w:pPr>
      <w:r w:rsidRPr="00F111D6">
        <w:rPr>
          <w:lang w:val="es-ES"/>
        </w:rPr>
        <w:t>S</w:t>
      </w:r>
      <w:r w:rsidR="0069322D" w:rsidRPr="00F111D6">
        <w:rPr>
          <w:lang w:val="es-ES"/>
        </w:rPr>
        <w:t>e</w:t>
      </w:r>
      <w:r w:rsidRPr="00F111D6">
        <w:rPr>
          <w:lang w:val="es-ES"/>
        </w:rPr>
        <w:t xml:space="preserve">rie </w:t>
      </w:r>
      <w:r w:rsidR="008B56B2">
        <w:rPr>
          <w:lang w:val="es-ES"/>
        </w:rPr>
        <w:t>S</w:t>
      </w:r>
      <w:r w:rsidR="00E766F1">
        <w:rPr>
          <w:lang w:val="es-ES"/>
        </w:rPr>
        <w:t>M</w:t>
      </w:r>
      <w:r w:rsidR="00D5024B" w:rsidRPr="00F111D6">
        <w:rPr>
          <w:lang w:val="es-ES"/>
        </w:rPr>
        <w:t xml:space="preserve">: </w:t>
      </w:r>
      <w:r w:rsidR="00E766F1" w:rsidRPr="00E766F1">
        <w:rPr>
          <w:lang w:val="es-ES"/>
        </w:rPr>
        <w:t>Gestión del espectro</w:t>
      </w:r>
    </w:p>
    <w:p w14:paraId="67D0CC31" w14:textId="038D9BB5" w:rsidR="00D5024B" w:rsidRPr="00F111D6" w:rsidRDefault="00A17958" w:rsidP="00D5024B">
      <w:pPr>
        <w:pStyle w:val="CoverTitle"/>
        <w:rPr>
          <w:lang w:val="es-ES"/>
        </w:rPr>
      </w:pPr>
      <w:r w:rsidRPr="00A17958">
        <w:rPr>
          <w:lang w:val="es-ES"/>
        </w:rPr>
        <w:t>Directrices sobre gamas de frecuencias para la explotación de sistemas de transmisión inalámbrica de potencia sin haces para vehículos eléctricos</w:t>
      </w:r>
    </w:p>
    <w:p w14:paraId="50366398" w14:textId="77777777" w:rsidR="00FE79FE" w:rsidRPr="00F111D6" w:rsidRDefault="00FE79FE" w:rsidP="005373E0"/>
    <w:p w14:paraId="5197985B" w14:textId="77777777" w:rsidR="00A71FE5" w:rsidRPr="00F111D6" w:rsidRDefault="00A71FE5" w:rsidP="005373E0"/>
    <w:p w14:paraId="3FBCC89B" w14:textId="77777777" w:rsidR="00EE47C4" w:rsidRPr="00F111D6" w:rsidRDefault="00EE47C4" w:rsidP="005373E0">
      <w:pPr>
        <w:sectPr w:rsidR="00EE47C4" w:rsidRPr="00F111D6" w:rsidSect="00A17958">
          <w:headerReference w:type="even" r:id="rId7"/>
          <w:headerReference w:type="default" r:id="rId8"/>
          <w:footerReference w:type="default" r:id="rId9"/>
          <w:pgSz w:w="11907" w:h="16840" w:code="9"/>
          <w:pgMar w:top="1089" w:right="1089" w:bottom="284" w:left="1089" w:header="737" w:footer="284" w:gutter="0"/>
          <w:pgNumType w:start="1"/>
          <w:cols w:space="720"/>
          <w:docGrid w:linePitch="326"/>
        </w:sectPr>
      </w:pPr>
    </w:p>
    <w:p w14:paraId="4868AB37" w14:textId="77777777" w:rsidR="0069322D" w:rsidRPr="006C718C" w:rsidRDefault="0069322D" w:rsidP="0069322D">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0" w:after="0"/>
        <w:rPr>
          <w:bCs/>
          <w:sz w:val="24"/>
          <w:szCs w:val="24"/>
          <w:lang w:val="es-ES_tradnl"/>
        </w:rPr>
      </w:pPr>
      <w:bookmarkStart w:id="0" w:name="c2tope"/>
      <w:bookmarkEnd w:id="0"/>
      <w:r w:rsidRPr="006C718C">
        <w:rPr>
          <w:bCs/>
          <w:sz w:val="24"/>
          <w:szCs w:val="24"/>
          <w:lang w:val="es-ES_tradnl"/>
        </w:rPr>
        <w:lastRenderedPageBreak/>
        <w:t>Prólogo</w:t>
      </w:r>
    </w:p>
    <w:p w14:paraId="727D2CB4" w14:textId="77777777" w:rsidR="0069322D" w:rsidRPr="006C718C" w:rsidRDefault="0069322D" w:rsidP="0069322D">
      <w:pPr>
        <w:spacing w:before="180"/>
        <w:rPr>
          <w:sz w:val="20"/>
          <w:lang w:val="es-ES_tradnl"/>
        </w:rPr>
      </w:pPr>
      <w:r w:rsidRPr="006C718C">
        <w:rPr>
          <w:sz w:val="20"/>
          <w:lang w:val="es-ES_tradnl"/>
        </w:rPr>
        <w:t>El Sector de Radiocomunicaciones tiene como cometido garantizar la utilizaci</w:t>
      </w:r>
      <w:r>
        <w:rPr>
          <w:sz w:val="20"/>
          <w:lang w:val="es-ES_tradnl"/>
        </w:rPr>
        <w:t>ón racional, equitativa, eficaz y económica del espectro de frecuencias radioeléctricas por todos los servicios de radiocomunicaciones, incluidos los servicios por satélite, y realizar, sin limitación de gamas de frecuencias, estudios que sirvan de base para la adopción de las Recomendaciones UIT-R.</w:t>
      </w:r>
    </w:p>
    <w:p w14:paraId="4728D96B" w14:textId="77777777" w:rsidR="0069322D" w:rsidRPr="006C718C" w:rsidRDefault="0069322D" w:rsidP="0069322D">
      <w:pPr>
        <w:rPr>
          <w:sz w:val="20"/>
          <w:lang w:val="es-ES_tradnl"/>
        </w:rPr>
      </w:pPr>
      <w:r w:rsidRPr="006C718C">
        <w:rPr>
          <w:sz w:val="20"/>
          <w:lang w:val="es-ES_tradnl"/>
        </w:rPr>
        <w:t>Las Conferencias Mundiales y Regionales de Radiocomunicaciones y las Asambleas de Radiocomunicaciones, c</w:t>
      </w:r>
      <w:r>
        <w:rPr>
          <w:sz w:val="20"/>
          <w:lang w:val="es-ES_tradnl"/>
        </w:rPr>
        <w:t>on la colaboración de las Comisiones de Estudio, cumplen las funciones reglamentarias y políticas del Sector de Radiocomunicaciones.</w:t>
      </w:r>
    </w:p>
    <w:p w14:paraId="0529CA99" w14:textId="77777777" w:rsidR="0069322D" w:rsidRPr="00021E8A" w:rsidRDefault="0069322D" w:rsidP="0069322D">
      <w:pPr>
        <w:pStyle w:val="Heading1"/>
        <w:spacing w:before="340"/>
        <w:jc w:val="center"/>
        <w:rPr>
          <w:szCs w:val="24"/>
          <w:lang w:val="es-ES_tradnl"/>
        </w:rPr>
      </w:pPr>
      <w:r w:rsidRPr="007C36CA">
        <w:rPr>
          <w:lang w:val="es-ES_tradnl"/>
        </w:rPr>
        <w:t>Política sobre Derechos de Propiedad Intelectual</w:t>
      </w:r>
      <w:r w:rsidRPr="00021E8A">
        <w:rPr>
          <w:szCs w:val="24"/>
          <w:lang w:val="es-ES_tradnl"/>
        </w:rPr>
        <w:t xml:space="preserve"> (IPR)</w:t>
      </w:r>
    </w:p>
    <w:p w14:paraId="2F4DF233" w14:textId="770A88ED" w:rsidR="0069322D" w:rsidRPr="00021E8A" w:rsidRDefault="0069322D" w:rsidP="0069322D">
      <w:pPr>
        <w:spacing w:before="180"/>
        <w:rPr>
          <w:sz w:val="20"/>
          <w:lang w:val="es-ES_tradnl"/>
        </w:rPr>
      </w:pPr>
      <w:r w:rsidRPr="00021E8A">
        <w:rPr>
          <w:sz w:val="20"/>
          <w:lang w:val="es-ES_tradnl"/>
        </w:rPr>
        <w:t>La política del UIT</w:t>
      </w:r>
      <w:r w:rsidRPr="00021E8A">
        <w:rPr>
          <w:sz w:val="20"/>
          <w:lang w:val="es-ES_tradnl"/>
        </w:rPr>
        <w:noBreakHyphen/>
        <w:t>R sobre Derechos de Propiedad Intelectual se describe en la Política Común de Patentes UIT</w:t>
      </w:r>
      <w:r w:rsidRPr="00021E8A">
        <w:rPr>
          <w:sz w:val="20"/>
          <w:lang w:val="es-ES_tradnl"/>
        </w:rPr>
        <w:noBreakHyphen/>
        <w:t>T/UIT</w:t>
      </w:r>
      <w:r w:rsidRPr="00021E8A">
        <w:rPr>
          <w:sz w:val="20"/>
          <w:lang w:val="es-ES_tradnl"/>
        </w:rPr>
        <w:noBreakHyphen/>
        <w:t>R/ISO/CEI a la que se hace referencia en la Resolución UIT</w:t>
      </w:r>
      <w:r w:rsidRPr="00021E8A">
        <w:rPr>
          <w:sz w:val="20"/>
          <w:lang w:val="es-ES_tradnl"/>
        </w:rPr>
        <w:noBreakHyphen/>
        <w:t xml:space="preserve">R 1. Los formularios que deben utilizarse en la declaración sobre patentes y utilización de patentes por los titulares de las mismas figuran en la dirección web </w:t>
      </w:r>
      <w:hyperlink r:id="rId10" w:history="1">
        <w:r w:rsidR="0027415F" w:rsidRPr="008840E8">
          <w:rPr>
            <w:rStyle w:val="Hyperlink"/>
            <w:sz w:val="20"/>
            <w:lang w:val="es-ES_tradnl"/>
          </w:rPr>
          <w:t>https://www.itu.int/ITU-R/go/patents/es</w:t>
        </w:r>
      </w:hyperlink>
      <w:r w:rsidRPr="00021E8A">
        <w:rPr>
          <w:sz w:val="20"/>
          <w:lang w:val="es-ES_tradnl"/>
        </w:rPr>
        <w:t>, donde también aparecen las Directrices para la implementación de la Política Común de Patentes UIT</w:t>
      </w:r>
      <w:r w:rsidRPr="00021E8A">
        <w:rPr>
          <w:sz w:val="20"/>
          <w:lang w:val="es-ES_tradnl"/>
        </w:rPr>
        <w:noBreakHyphen/>
        <w:t>T/UIT</w:t>
      </w:r>
      <w:r w:rsidRPr="00021E8A">
        <w:rPr>
          <w:sz w:val="20"/>
          <w:lang w:val="es-ES_tradnl"/>
        </w:rPr>
        <w:noBreakHyphen/>
        <w:t>R/ISO/CEI y la base de datos sobre información de patentes del UIT</w:t>
      </w:r>
      <w:r w:rsidRPr="00021E8A">
        <w:rPr>
          <w:sz w:val="20"/>
          <w:lang w:val="es-ES_tradnl"/>
        </w:rPr>
        <w:noBreakHyphen/>
        <w:t>R sobre este asunto.</w:t>
      </w:r>
    </w:p>
    <w:p w14:paraId="5C516538" w14:textId="77777777" w:rsidR="0069322D" w:rsidRPr="007C36CA" w:rsidRDefault="0069322D" w:rsidP="0069322D">
      <w:pPr>
        <w:spacing w:before="0"/>
        <w:jc w:val="center"/>
        <w:rPr>
          <w:sz w:val="22"/>
          <w:lang w:val="es-ES_tradnl"/>
        </w:rPr>
      </w:pPr>
    </w:p>
    <w:p w14:paraId="39A4F541" w14:textId="77777777" w:rsidR="0069322D" w:rsidRPr="007C36CA" w:rsidRDefault="0069322D" w:rsidP="0069322D">
      <w:pPr>
        <w:spacing w:before="0"/>
        <w:jc w:val="center"/>
        <w:rPr>
          <w:sz w:val="22"/>
          <w:lang w:val="es-ES_tradnl"/>
        </w:rPr>
      </w:pPr>
    </w:p>
    <w:tbl>
      <w:tblPr>
        <w:tblW w:w="5000" w:type="pct"/>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70"/>
        <w:gridCol w:w="8439"/>
      </w:tblGrid>
      <w:tr w:rsidR="0069322D" w:rsidRPr="00E766F1" w14:paraId="3424FFF1" w14:textId="77777777" w:rsidTr="0027415F">
        <w:tc>
          <w:tcPr>
            <w:tcW w:w="9360" w:type="dxa"/>
            <w:gridSpan w:val="2"/>
          </w:tcPr>
          <w:p w14:paraId="08618546" w14:textId="77777777" w:rsidR="0069322D" w:rsidRPr="00021E8A" w:rsidRDefault="0069322D" w:rsidP="000B4BD9">
            <w:pPr>
              <w:pStyle w:val="Chaptitle"/>
              <w:keepLines w:val="0"/>
              <w:tabs>
                <w:tab w:val="clear" w:pos="794"/>
                <w:tab w:val="clear" w:pos="1191"/>
                <w:tab w:val="clear" w:pos="1588"/>
                <w:tab w:val="clear" w:pos="1985"/>
              </w:tabs>
              <w:overflowPunct/>
              <w:spacing w:before="140"/>
              <w:textAlignment w:val="auto"/>
              <w:rPr>
                <w:sz w:val="22"/>
                <w:szCs w:val="22"/>
                <w:lang w:val="es-ES_tradnl"/>
              </w:rPr>
            </w:pPr>
            <w:r w:rsidRPr="00021E8A">
              <w:rPr>
                <w:sz w:val="22"/>
                <w:szCs w:val="22"/>
                <w:lang w:val="es-ES_tradnl"/>
              </w:rPr>
              <w:t xml:space="preserve">Series de las Recomendaciones UIT-R </w:t>
            </w:r>
          </w:p>
          <w:p w14:paraId="20428CEC" w14:textId="77777777" w:rsidR="0069322D" w:rsidRPr="00763D08"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es-ES_tradnl"/>
              </w:rPr>
            </w:pPr>
            <w:r w:rsidRPr="00763D08">
              <w:rPr>
                <w:b w:val="0"/>
                <w:sz w:val="18"/>
                <w:szCs w:val="18"/>
                <w:lang w:val="es-ES_tradnl"/>
              </w:rPr>
              <w:t xml:space="preserve">(También disponible en línea en </w:t>
            </w:r>
            <w:hyperlink r:id="rId11" w:history="1">
              <w:r w:rsidR="00B96572">
                <w:rPr>
                  <w:rStyle w:val="Hyperlink"/>
                  <w:b w:val="0"/>
                  <w:bCs/>
                  <w:sz w:val="18"/>
                  <w:szCs w:val="18"/>
                  <w:lang w:val="es-ES_tradnl"/>
                </w:rPr>
                <w:t>https://www.itu.int/publ/R-REC/es</w:t>
              </w:r>
            </w:hyperlink>
            <w:r w:rsidRPr="00763D08">
              <w:rPr>
                <w:b w:val="0"/>
                <w:bCs/>
                <w:sz w:val="18"/>
                <w:szCs w:val="18"/>
                <w:lang w:val="es-ES_tradnl"/>
              </w:rPr>
              <w:t>)</w:t>
            </w:r>
          </w:p>
        </w:tc>
      </w:tr>
      <w:tr w:rsidR="0069322D" w:rsidRPr="00036EE3" w14:paraId="78406058" w14:textId="77777777" w:rsidTr="0027415F">
        <w:tc>
          <w:tcPr>
            <w:tcW w:w="1140" w:type="dxa"/>
            <w:tcBorders>
              <w:bottom w:val="nil"/>
            </w:tcBorders>
            <w:vAlign w:val="bottom"/>
          </w:tcPr>
          <w:p w14:paraId="0A7BA1F6" w14:textId="77777777" w:rsidR="0069322D" w:rsidRPr="00036EE3" w:rsidRDefault="0069322D" w:rsidP="00B96572">
            <w:pPr>
              <w:spacing w:before="180" w:after="100"/>
              <w:ind w:left="57"/>
              <w:jc w:val="left"/>
              <w:rPr>
                <w:b/>
                <w:bCs/>
                <w:sz w:val="20"/>
                <w:lang w:val="en-US"/>
              </w:rPr>
            </w:pPr>
            <w:r w:rsidRPr="00036EE3">
              <w:rPr>
                <w:b/>
                <w:bCs/>
                <w:sz w:val="20"/>
                <w:lang w:val="en-US"/>
              </w:rPr>
              <w:t>Series</w:t>
            </w:r>
          </w:p>
        </w:tc>
        <w:tc>
          <w:tcPr>
            <w:tcW w:w="8220" w:type="dxa"/>
            <w:tcBorders>
              <w:bottom w:val="nil"/>
            </w:tcBorders>
            <w:vAlign w:val="bottom"/>
          </w:tcPr>
          <w:p w14:paraId="440112F0" w14:textId="77777777" w:rsidR="0069322D" w:rsidRPr="00036EE3" w:rsidRDefault="0069322D" w:rsidP="00B9657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100"/>
              <w:rPr>
                <w:bCs/>
                <w:sz w:val="20"/>
                <w:lang w:val="en-US"/>
              </w:rPr>
            </w:pPr>
            <w:r>
              <w:rPr>
                <w:bCs/>
                <w:sz w:val="20"/>
                <w:lang w:val="en-US"/>
              </w:rPr>
              <w:t>Título</w:t>
            </w:r>
          </w:p>
        </w:tc>
      </w:tr>
      <w:tr w:rsidR="0069322D" w:rsidRPr="004532F7" w14:paraId="3B7E9901" w14:textId="77777777" w:rsidTr="0027415F">
        <w:tc>
          <w:tcPr>
            <w:tcW w:w="1140" w:type="dxa"/>
            <w:tcBorders>
              <w:top w:val="nil"/>
              <w:bottom w:val="nil"/>
            </w:tcBorders>
          </w:tcPr>
          <w:p w14:paraId="58BD0408" w14:textId="77777777" w:rsidR="0069322D" w:rsidRPr="004532F7" w:rsidRDefault="0069322D" w:rsidP="000B4BD9">
            <w:pPr>
              <w:spacing w:before="30" w:after="30"/>
              <w:ind w:left="57"/>
              <w:jc w:val="left"/>
              <w:rPr>
                <w:b/>
                <w:bCs/>
                <w:sz w:val="20"/>
                <w:lang w:val="en-US"/>
              </w:rPr>
            </w:pPr>
            <w:r w:rsidRPr="004532F7">
              <w:rPr>
                <w:b/>
                <w:bCs/>
                <w:sz w:val="20"/>
                <w:lang w:val="en-US"/>
              </w:rPr>
              <w:t>BO</w:t>
            </w:r>
          </w:p>
        </w:tc>
        <w:tc>
          <w:tcPr>
            <w:tcW w:w="8220" w:type="dxa"/>
            <w:tcBorders>
              <w:top w:val="nil"/>
              <w:bottom w:val="nil"/>
            </w:tcBorders>
          </w:tcPr>
          <w:p w14:paraId="66508EAE" w14:textId="77777777" w:rsidR="0069322D" w:rsidRPr="004532F7"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4532F7">
              <w:rPr>
                <w:b w:val="0"/>
                <w:sz w:val="20"/>
              </w:rPr>
              <w:t>Distribución por satélite</w:t>
            </w:r>
          </w:p>
        </w:tc>
      </w:tr>
      <w:tr w:rsidR="0069322D" w:rsidRPr="00E766F1" w14:paraId="3C16BE44" w14:textId="77777777" w:rsidTr="0027415F">
        <w:tc>
          <w:tcPr>
            <w:tcW w:w="1140" w:type="dxa"/>
            <w:tcBorders>
              <w:top w:val="nil"/>
              <w:bottom w:val="nil"/>
            </w:tcBorders>
          </w:tcPr>
          <w:p w14:paraId="02C09582" w14:textId="77777777" w:rsidR="0069322D" w:rsidRPr="006B22C3" w:rsidRDefault="0069322D" w:rsidP="000B4BD9">
            <w:pPr>
              <w:spacing w:before="30" w:after="30"/>
              <w:ind w:left="57"/>
              <w:jc w:val="left"/>
              <w:rPr>
                <w:b/>
                <w:bCs/>
                <w:sz w:val="20"/>
                <w:lang w:val="en-US"/>
              </w:rPr>
            </w:pPr>
            <w:r w:rsidRPr="006B22C3">
              <w:rPr>
                <w:b/>
                <w:bCs/>
                <w:sz w:val="20"/>
                <w:lang w:val="en-US"/>
              </w:rPr>
              <w:t>BR</w:t>
            </w:r>
          </w:p>
        </w:tc>
        <w:tc>
          <w:tcPr>
            <w:tcW w:w="8220" w:type="dxa"/>
            <w:tcBorders>
              <w:top w:val="nil"/>
              <w:bottom w:val="nil"/>
            </w:tcBorders>
          </w:tcPr>
          <w:p w14:paraId="31343D0C" w14:textId="77777777" w:rsidR="0069322D" w:rsidRPr="006B22C3"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s-ES_tradnl"/>
              </w:rPr>
            </w:pPr>
            <w:r w:rsidRPr="006B22C3">
              <w:rPr>
                <w:b w:val="0"/>
                <w:sz w:val="20"/>
                <w:lang w:val="es-ES_tradnl"/>
              </w:rPr>
              <w:t>Registro para producción, archivo y reproducción; películas en televisión</w:t>
            </w:r>
          </w:p>
        </w:tc>
      </w:tr>
      <w:tr w:rsidR="0069322D" w:rsidRPr="00847DD5" w14:paraId="549A4E34" w14:textId="77777777" w:rsidTr="0027415F">
        <w:tc>
          <w:tcPr>
            <w:tcW w:w="1140" w:type="dxa"/>
            <w:tcBorders>
              <w:top w:val="nil"/>
              <w:bottom w:val="nil"/>
            </w:tcBorders>
          </w:tcPr>
          <w:p w14:paraId="4F8E1D6E" w14:textId="77777777" w:rsidR="0069322D" w:rsidRPr="00847DD5" w:rsidRDefault="0069322D" w:rsidP="000B4BD9">
            <w:pPr>
              <w:spacing w:before="30" w:after="30"/>
              <w:ind w:left="57"/>
              <w:jc w:val="left"/>
              <w:rPr>
                <w:b/>
                <w:bCs/>
                <w:sz w:val="20"/>
                <w:lang w:val="en-US"/>
              </w:rPr>
            </w:pPr>
            <w:r w:rsidRPr="00847DD5">
              <w:rPr>
                <w:b/>
                <w:bCs/>
                <w:sz w:val="20"/>
                <w:lang w:val="en-US"/>
              </w:rPr>
              <w:t>BS</w:t>
            </w:r>
          </w:p>
        </w:tc>
        <w:tc>
          <w:tcPr>
            <w:tcW w:w="8220" w:type="dxa"/>
            <w:tcBorders>
              <w:top w:val="nil"/>
              <w:bottom w:val="nil"/>
            </w:tcBorders>
          </w:tcPr>
          <w:p w14:paraId="1A0BDFED" w14:textId="77777777" w:rsidR="0069322D" w:rsidRPr="00847DD5"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021E8A">
              <w:rPr>
                <w:b w:val="0"/>
                <w:bCs/>
                <w:sz w:val="20"/>
              </w:rPr>
              <w:t xml:space="preserve">Servicio de radiodifusión </w:t>
            </w:r>
            <w:r>
              <w:rPr>
                <w:b w:val="0"/>
                <w:bCs/>
                <w:sz w:val="20"/>
              </w:rPr>
              <w:t>(</w:t>
            </w:r>
            <w:r w:rsidRPr="00021E8A">
              <w:rPr>
                <w:b w:val="0"/>
                <w:bCs/>
                <w:sz w:val="20"/>
              </w:rPr>
              <w:t>sonora</w:t>
            </w:r>
            <w:r>
              <w:rPr>
                <w:b w:val="0"/>
                <w:bCs/>
                <w:sz w:val="20"/>
              </w:rPr>
              <w:t>)</w:t>
            </w:r>
          </w:p>
        </w:tc>
      </w:tr>
      <w:tr w:rsidR="0069322D" w:rsidRPr="00ED2695" w14:paraId="06364D9A" w14:textId="77777777" w:rsidTr="0027415F">
        <w:tc>
          <w:tcPr>
            <w:tcW w:w="1140" w:type="dxa"/>
            <w:tcBorders>
              <w:top w:val="nil"/>
              <w:bottom w:val="nil"/>
            </w:tcBorders>
          </w:tcPr>
          <w:p w14:paraId="3EB70931" w14:textId="77777777" w:rsidR="0069322D" w:rsidRPr="00ED2695" w:rsidRDefault="0069322D" w:rsidP="000B4BD9">
            <w:pPr>
              <w:spacing w:before="30" w:after="30"/>
              <w:ind w:left="57"/>
              <w:jc w:val="left"/>
              <w:rPr>
                <w:b/>
                <w:bCs/>
                <w:sz w:val="20"/>
                <w:lang w:val="en-US"/>
              </w:rPr>
            </w:pPr>
            <w:r w:rsidRPr="00ED2695">
              <w:rPr>
                <w:b/>
                <w:bCs/>
                <w:sz w:val="20"/>
                <w:lang w:val="en-US"/>
              </w:rPr>
              <w:t>BT</w:t>
            </w:r>
          </w:p>
        </w:tc>
        <w:tc>
          <w:tcPr>
            <w:tcW w:w="8220" w:type="dxa"/>
            <w:tcBorders>
              <w:top w:val="nil"/>
              <w:bottom w:val="nil"/>
            </w:tcBorders>
          </w:tcPr>
          <w:p w14:paraId="0EE870A6" w14:textId="77777777" w:rsidR="0069322D" w:rsidRPr="00021E8A"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lang w:val="en-US"/>
              </w:rPr>
            </w:pPr>
            <w:r w:rsidRPr="00021E8A">
              <w:rPr>
                <w:b w:val="0"/>
                <w:bCs/>
                <w:sz w:val="20"/>
              </w:rPr>
              <w:t>Servicio de radiodifusión (televisión)</w:t>
            </w:r>
          </w:p>
        </w:tc>
      </w:tr>
      <w:tr w:rsidR="008B56B2" w:rsidRPr="008B56B2" w14:paraId="4815D912" w14:textId="77777777" w:rsidTr="0027415F">
        <w:tc>
          <w:tcPr>
            <w:tcW w:w="1140" w:type="dxa"/>
            <w:tcBorders>
              <w:top w:val="nil"/>
              <w:bottom w:val="nil"/>
            </w:tcBorders>
            <w:shd w:val="clear" w:color="auto" w:fill="FFFFFF" w:themeFill="background1"/>
          </w:tcPr>
          <w:p w14:paraId="6C4BB062" w14:textId="77777777" w:rsidR="0069322D" w:rsidRPr="008B56B2" w:rsidRDefault="0069322D" w:rsidP="000B4BD9">
            <w:pPr>
              <w:spacing w:before="30" w:after="30"/>
              <w:ind w:left="57"/>
              <w:jc w:val="left"/>
              <w:rPr>
                <w:b/>
                <w:bCs/>
                <w:sz w:val="20"/>
                <w:lang w:val="fr-CH"/>
              </w:rPr>
            </w:pPr>
            <w:r w:rsidRPr="008B56B2">
              <w:rPr>
                <w:b/>
                <w:bCs/>
                <w:sz w:val="20"/>
                <w:lang w:val="fr-CH"/>
              </w:rPr>
              <w:t>F</w:t>
            </w:r>
          </w:p>
        </w:tc>
        <w:tc>
          <w:tcPr>
            <w:tcW w:w="8220" w:type="dxa"/>
            <w:tcBorders>
              <w:top w:val="nil"/>
              <w:bottom w:val="nil"/>
            </w:tcBorders>
            <w:shd w:val="clear" w:color="auto" w:fill="FFFFFF" w:themeFill="background1"/>
          </w:tcPr>
          <w:p w14:paraId="2EBA9C95" w14:textId="77777777" w:rsidR="0069322D" w:rsidRPr="008B56B2" w:rsidRDefault="0069322D" w:rsidP="000B4BD9">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CH"/>
              </w:rPr>
            </w:pPr>
            <w:r w:rsidRPr="008B56B2">
              <w:rPr>
                <w:sz w:val="20"/>
              </w:rPr>
              <w:t>Servicio fijo</w:t>
            </w:r>
          </w:p>
        </w:tc>
      </w:tr>
      <w:tr w:rsidR="0069322D" w:rsidRPr="00E766F1" w14:paraId="70B87B02" w14:textId="77777777" w:rsidTr="0027415F">
        <w:tc>
          <w:tcPr>
            <w:tcW w:w="1140" w:type="dxa"/>
            <w:tcBorders>
              <w:top w:val="nil"/>
              <w:bottom w:val="nil"/>
            </w:tcBorders>
          </w:tcPr>
          <w:p w14:paraId="09355252" w14:textId="77777777" w:rsidR="0069322D" w:rsidRPr="0010336F" w:rsidRDefault="0069322D" w:rsidP="000B4BD9">
            <w:pPr>
              <w:spacing w:before="30" w:after="30"/>
              <w:ind w:left="57"/>
              <w:jc w:val="left"/>
              <w:rPr>
                <w:rFonts w:hAnsi="Times New Roman Bold"/>
                <w:b/>
                <w:bCs/>
                <w:sz w:val="20"/>
                <w:lang w:val="en-US"/>
              </w:rPr>
            </w:pPr>
            <w:r w:rsidRPr="0010336F">
              <w:rPr>
                <w:rFonts w:hAnsi="Times New Roman Bold"/>
                <w:b/>
                <w:bCs/>
                <w:sz w:val="20"/>
                <w:lang w:val="en-US"/>
              </w:rPr>
              <w:t>M</w:t>
            </w:r>
          </w:p>
        </w:tc>
        <w:tc>
          <w:tcPr>
            <w:tcW w:w="8220" w:type="dxa"/>
            <w:tcBorders>
              <w:top w:val="nil"/>
              <w:bottom w:val="nil"/>
            </w:tcBorders>
          </w:tcPr>
          <w:p w14:paraId="5DA3D1E7" w14:textId="77777777" w:rsidR="0069322D" w:rsidRPr="0010336F"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b w:val="0"/>
                <w:sz w:val="20"/>
                <w:lang w:val="es-ES_tradnl"/>
              </w:rPr>
            </w:pPr>
            <w:r w:rsidRPr="0010336F">
              <w:rPr>
                <w:rFonts w:hAnsi="Times New Roman Bold"/>
                <w:b w:val="0"/>
                <w:sz w:val="20"/>
                <w:lang w:val="es-ES_tradnl"/>
              </w:rPr>
              <w:t>Servicios m</w:t>
            </w:r>
            <w:r w:rsidRPr="0010336F">
              <w:rPr>
                <w:rFonts w:hAnsi="Times New Roman Bold"/>
                <w:b w:val="0"/>
                <w:sz w:val="20"/>
                <w:lang w:val="es-ES_tradnl"/>
              </w:rPr>
              <w:t>ó</w:t>
            </w:r>
            <w:r w:rsidRPr="0010336F">
              <w:rPr>
                <w:rFonts w:hAnsi="Times New Roman Bold"/>
                <w:b w:val="0"/>
                <w:sz w:val="20"/>
                <w:lang w:val="es-ES_tradnl"/>
              </w:rPr>
              <w:t>viles, de radiodeterminaci</w:t>
            </w:r>
            <w:r w:rsidRPr="0010336F">
              <w:rPr>
                <w:rFonts w:hAnsi="Times New Roman Bold"/>
                <w:b w:val="0"/>
                <w:sz w:val="20"/>
                <w:lang w:val="es-ES_tradnl"/>
              </w:rPr>
              <w:t>ó</w:t>
            </w:r>
            <w:r w:rsidRPr="0010336F">
              <w:rPr>
                <w:rFonts w:hAnsi="Times New Roman Bold"/>
                <w:b w:val="0"/>
                <w:sz w:val="20"/>
                <w:lang w:val="es-ES_tradnl"/>
              </w:rPr>
              <w:t>n, de aficionados y otros servicios por sat</w:t>
            </w:r>
            <w:r w:rsidRPr="0010336F">
              <w:rPr>
                <w:rFonts w:hAnsi="Times New Roman Bold"/>
                <w:b w:val="0"/>
                <w:sz w:val="20"/>
                <w:lang w:val="es-ES_tradnl"/>
              </w:rPr>
              <w:t>é</w:t>
            </w:r>
            <w:r w:rsidRPr="0010336F">
              <w:rPr>
                <w:rFonts w:hAnsi="Times New Roman Bold"/>
                <w:b w:val="0"/>
                <w:sz w:val="20"/>
                <w:lang w:val="es-ES_tradnl"/>
              </w:rPr>
              <w:t>lite conexos</w:t>
            </w:r>
          </w:p>
        </w:tc>
      </w:tr>
      <w:tr w:rsidR="0069322D" w:rsidRPr="00E766F1" w14:paraId="0FF0AF8F" w14:textId="77777777" w:rsidTr="0027415F">
        <w:tc>
          <w:tcPr>
            <w:tcW w:w="1140" w:type="dxa"/>
            <w:tcBorders>
              <w:top w:val="nil"/>
              <w:bottom w:val="nil"/>
            </w:tcBorders>
          </w:tcPr>
          <w:p w14:paraId="7053F1BC" w14:textId="77777777" w:rsidR="0069322D" w:rsidRPr="00F95576" w:rsidRDefault="0069322D" w:rsidP="000B4BD9">
            <w:pPr>
              <w:spacing w:before="30" w:after="30"/>
              <w:ind w:left="57"/>
              <w:jc w:val="left"/>
              <w:rPr>
                <w:b/>
                <w:bCs/>
                <w:sz w:val="20"/>
                <w:lang w:val="fr-CH"/>
              </w:rPr>
            </w:pPr>
            <w:r w:rsidRPr="00F95576">
              <w:rPr>
                <w:b/>
                <w:bCs/>
                <w:sz w:val="20"/>
                <w:lang w:val="fr-CH"/>
              </w:rPr>
              <w:t>P</w:t>
            </w:r>
          </w:p>
        </w:tc>
        <w:tc>
          <w:tcPr>
            <w:tcW w:w="8220" w:type="dxa"/>
            <w:tcBorders>
              <w:top w:val="nil"/>
              <w:bottom w:val="nil"/>
            </w:tcBorders>
          </w:tcPr>
          <w:p w14:paraId="5F6DBCCB" w14:textId="77777777" w:rsidR="0069322D" w:rsidRPr="00F95576" w:rsidRDefault="0069322D" w:rsidP="000B4BD9">
            <w:pPr>
              <w:spacing w:before="30" w:after="30"/>
              <w:jc w:val="left"/>
              <w:rPr>
                <w:sz w:val="20"/>
                <w:lang w:val="es-ES_tradnl"/>
              </w:rPr>
            </w:pPr>
            <w:r w:rsidRPr="00F95576">
              <w:rPr>
                <w:sz w:val="20"/>
                <w:lang w:val="es-ES_tradnl"/>
              </w:rPr>
              <w:t>Propagación de las ondas radioeléctricas</w:t>
            </w:r>
          </w:p>
        </w:tc>
      </w:tr>
      <w:tr w:rsidR="0069322D" w:rsidRPr="00DE71F7" w14:paraId="457C94A3" w14:textId="77777777" w:rsidTr="0027415F">
        <w:tc>
          <w:tcPr>
            <w:tcW w:w="1140" w:type="dxa"/>
            <w:tcBorders>
              <w:top w:val="nil"/>
              <w:bottom w:val="nil"/>
            </w:tcBorders>
          </w:tcPr>
          <w:p w14:paraId="1F8BC570" w14:textId="77777777" w:rsidR="0069322D" w:rsidRPr="00DE71F7" w:rsidRDefault="0069322D" w:rsidP="000B4BD9">
            <w:pPr>
              <w:spacing w:before="30" w:after="30"/>
              <w:ind w:left="57"/>
              <w:jc w:val="left"/>
              <w:rPr>
                <w:b/>
                <w:bCs/>
                <w:sz w:val="20"/>
                <w:lang w:val="en-US"/>
              </w:rPr>
            </w:pPr>
            <w:r w:rsidRPr="00DE71F7">
              <w:rPr>
                <w:b/>
                <w:bCs/>
                <w:sz w:val="20"/>
                <w:lang w:val="en-US"/>
              </w:rPr>
              <w:t>RA</w:t>
            </w:r>
          </w:p>
        </w:tc>
        <w:tc>
          <w:tcPr>
            <w:tcW w:w="8220" w:type="dxa"/>
            <w:tcBorders>
              <w:top w:val="nil"/>
              <w:bottom w:val="nil"/>
            </w:tcBorders>
          </w:tcPr>
          <w:p w14:paraId="50220DE9" w14:textId="77777777" w:rsidR="0069322D" w:rsidRPr="00DE71F7" w:rsidRDefault="0069322D" w:rsidP="000B4BD9">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DE71F7">
              <w:rPr>
                <w:sz w:val="20"/>
              </w:rPr>
              <w:t>Radioastronomía</w:t>
            </w:r>
          </w:p>
        </w:tc>
      </w:tr>
      <w:tr w:rsidR="0069322D" w:rsidRPr="00E766F1" w14:paraId="2BF55DAE" w14:textId="77777777" w:rsidTr="0027415F">
        <w:tc>
          <w:tcPr>
            <w:tcW w:w="1140" w:type="dxa"/>
            <w:tcBorders>
              <w:top w:val="nil"/>
              <w:bottom w:val="nil"/>
            </w:tcBorders>
          </w:tcPr>
          <w:p w14:paraId="575F07C2" w14:textId="77777777" w:rsidR="0069322D" w:rsidRPr="00D12388" w:rsidRDefault="0069322D" w:rsidP="000B4BD9">
            <w:pPr>
              <w:spacing w:before="30" w:after="30"/>
              <w:ind w:left="57"/>
              <w:jc w:val="left"/>
              <w:rPr>
                <w:b/>
                <w:bCs/>
                <w:sz w:val="20"/>
                <w:lang w:val="en-US"/>
              </w:rPr>
            </w:pPr>
            <w:r w:rsidRPr="00D12388">
              <w:rPr>
                <w:b/>
                <w:bCs/>
                <w:sz w:val="20"/>
                <w:lang w:val="en-US"/>
              </w:rPr>
              <w:t>RS</w:t>
            </w:r>
          </w:p>
        </w:tc>
        <w:tc>
          <w:tcPr>
            <w:tcW w:w="8220" w:type="dxa"/>
            <w:tcBorders>
              <w:top w:val="nil"/>
              <w:bottom w:val="nil"/>
            </w:tcBorders>
          </w:tcPr>
          <w:p w14:paraId="73B96F72" w14:textId="77777777" w:rsidR="0069322D" w:rsidRPr="00D12388" w:rsidRDefault="0069322D" w:rsidP="000B4BD9">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s-ES_tradnl"/>
              </w:rPr>
            </w:pPr>
            <w:r w:rsidRPr="00D12388">
              <w:rPr>
                <w:sz w:val="20"/>
                <w:lang w:val="es-ES_tradnl"/>
              </w:rPr>
              <w:t>Sistemas de detección a distancia</w:t>
            </w:r>
          </w:p>
        </w:tc>
      </w:tr>
      <w:tr w:rsidR="0069322D" w:rsidRPr="00025336" w14:paraId="1AAE62FA" w14:textId="77777777" w:rsidTr="0027415F">
        <w:tc>
          <w:tcPr>
            <w:tcW w:w="1140" w:type="dxa"/>
            <w:tcBorders>
              <w:top w:val="nil"/>
              <w:bottom w:val="nil"/>
            </w:tcBorders>
          </w:tcPr>
          <w:p w14:paraId="7F179A06" w14:textId="77777777" w:rsidR="0069322D" w:rsidRPr="00025336" w:rsidRDefault="0069322D" w:rsidP="000B4BD9">
            <w:pPr>
              <w:spacing w:before="30" w:after="30"/>
              <w:ind w:left="57"/>
              <w:jc w:val="left"/>
              <w:rPr>
                <w:b/>
                <w:bCs/>
                <w:sz w:val="20"/>
                <w:lang w:val="en-US"/>
              </w:rPr>
            </w:pPr>
            <w:r w:rsidRPr="00025336">
              <w:rPr>
                <w:b/>
                <w:bCs/>
                <w:sz w:val="20"/>
                <w:lang w:val="en-US"/>
              </w:rPr>
              <w:t>S</w:t>
            </w:r>
          </w:p>
        </w:tc>
        <w:tc>
          <w:tcPr>
            <w:tcW w:w="8220" w:type="dxa"/>
            <w:tcBorders>
              <w:top w:val="nil"/>
              <w:bottom w:val="nil"/>
            </w:tcBorders>
          </w:tcPr>
          <w:p w14:paraId="477CD2C3" w14:textId="77777777" w:rsidR="0069322D" w:rsidRPr="00025336" w:rsidRDefault="0069322D" w:rsidP="000B4BD9">
            <w:pPr>
              <w:spacing w:before="30" w:after="30"/>
              <w:jc w:val="left"/>
              <w:rPr>
                <w:sz w:val="20"/>
                <w:lang w:val="en-US"/>
              </w:rPr>
            </w:pPr>
            <w:r w:rsidRPr="00025336">
              <w:rPr>
                <w:sz w:val="20"/>
              </w:rPr>
              <w:t>Servicio fijo por satélite</w:t>
            </w:r>
          </w:p>
        </w:tc>
      </w:tr>
      <w:tr w:rsidR="00E766F1" w:rsidRPr="00E766F1" w14:paraId="34714C08" w14:textId="77777777" w:rsidTr="0027415F">
        <w:tc>
          <w:tcPr>
            <w:tcW w:w="1140" w:type="dxa"/>
            <w:tcBorders>
              <w:top w:val="nil"/>
              <w:bottom w:val="nil"/>
            </w:tcBorders>
            <w:shd w:val="clear" w:color="auto" w:fill="FFFFFF" w:themeFill="background1"/>
          </w:tcPr>
          <w:p w14:paraId="2F17C605" w14:textId="77777777" w:rsidR="0069322D" w:rsidRPr="00E766F1" w:rsidRDefault="0069322D" w:rsidP="000B4BD9">
            <w:pPr>
              <w:spacing w:before="30" w:after="30"/>
              <w:ind w:left="57"/>
              <w:jc w:val="left"/>
              <w:rPr>
                <w:b/>
                <w:bCs/>
                <w:sz w:val="20"/>
                <w:lang w:val="en-US"/>
              </w:rPr>
            </w:pPr>
            <w:r w:rsidRPr="00E766F1">
              <w:rPr>
                <w:b/>
                <w:bCs/>
                <w:sz w:val="20"/>
                <w:lang w:val="en-US"/>
              </w:rPr>
              <w:t>SA</w:t>
            </w:r>
          </w:p>
        </w:tc>
        <w:tc>
          <w:tcPr>
            <w:tcW w:w="8220" w:type="dxa"/>
            <w:tcBorders>
              <w:top w:val="nil"/>
              <w:bottom w:val="nil"/>
            </w:tcBorders>
            <w:shd w:val="clear" w:color="auto" w:fill="FFFFFF" w:themeFill="background1"/>
          </w:tcPr>
          <w:p w14:paraId="3E14864F" w14:textId="77777777" w:rsidR="0069322D" w:rsidRPr="00E766F1" w:rsidRDefault="0069322D" w:rsidP="000B4BD9">
            <w:pPr>
              <w:spacing w:before="30" w:after="30"/>
              <w:jc w:val="left"/>
              <w:rPr>
                <w:sz w:val="20"/>
                <w:lang w:val="en-US"/>
              </w:rPr>
            </w:pPr>
            <w:r w:rsidRPr="00E766F1">
              <w:rPr>
                <w:sz w:val="20"/>
              </w:rPr>
              <w:t>Aplicaciones espaciales y meteorología</w:t>
            </w:r>
          </w:p>
        </w:tc>
      </w:tr>
      <w:tr w:rsidR="0069322D" w:rsidRPr="00E766F1" w14:paraId="235C825D" w14:textId="77777777" w:rsidTr="0027415F">
        <w:tc>
          <w:tcPr>
            <w:tcW w:w="1140" w:type="dxa"/>
            <w:tcBorders>
              <w:top w:val="nil"/>
              <w:bottom w:val="nil"/>
            </w:tcBorders>
          </w:tcPr>
          <w:p w14:paraId="797EA5BF" w14:textId="77777777" w:rsidR="0069322D" w:rsidRPr="00036EE3" w:rsidRDefault="0069322D" w:rsidP="000B4BD9">
            <w:pPr>
              <w:spacing w:before="30" w:after="30"/>
              <w:ind w:left="57"/>
              <w:jc w:val="left"/>
              <w:rPr>
                <w:b/>
                <w:bCs/>
                <w:sz w:val="20"/>
                <w:lang w:val="en-US"/>
              </w:rPr>
            </w:pPr>
            <w:r w:rsidRPr="00036EE3">
              <w:rPr>
                <w:b/>
                <w:bCs/>
                <w:sz w:val="20"/>
                <w:lang w:val="en-US"/>
              </w:rPr>
              <w:t>SF</w:t>
            </w:r>
          </w:p>
        </w:tc>
        <w:tc>
          <w:tcPr>
            <w:tcW w:w="8220" w:type="dxa"/>
            <w:tcBorders>
              <w:top w:val="nil"/>
              <w:bottom w:val="nil"/>
            </w:tcBorders>
          </w:tcPr>
          <w:p w14:paraId="0AA97E3C" w14:textId="77777777" w:rsidR="0069322D" w:rsidRPr="00021E8A" w:rsidRDefault="0069322D" w:rsidP="000B4BD9">
            <w:pPr>
              <w:spacing w:before="30" w:after="30"/>
              <w:jc w:val="left"/>
              <w:rPr>
                <w:bCs/>
                <w:sz w:val="20"/>
                <w:lang w:val="es-ES_tradnl"/>
              </w:rPr>
            </w:pPr>
            <w:r w:rsidRPr="00021E8A">
              <w:rPr>
                <w:bCs/>
                <w:sz w:val="20"/>
                <w:lang w:val="es-ES_tradnl"/>
              </w:rPr>
              <w:t>Compartición de frecuencias y coordinación entre los sistemas del servicio fijo por satélite y del servicio fijo</w:t>
            </w:r>
          </w:p>
        </w:tc>
      </w:tr>
      <w:tr w:rsidR="00E766F1" w:rsidRPr="00E766F1" w14:paraId="42FA9DFA" w14:textId="77777777" w:rsidTr="0027415F">
        <w:tc>
          <w:tcPr>
            <w:tcW w:w="1140" w:type="dxa"/>
            <w:tcBorders>
              <w:top w:val="nil"/>
              <w:bottom w:val="nil"/>
            </w:tcBorders>
            <w:shd w:val="clear" w:color="auto" w:fill="F2F2F2" w:themeFill="background1" w:themeFillShade="F2"/>
          </w:tcPr>
          <w:p w14:paraId="2F01F6F6" w14:textId="77777777" w:rsidR="0069322D" w:rsidRPr="00E766F1" w:rsidRDefault="0069322D" w:rsidP="000B4BD9">
            <w:pPr>
              <w:spacing w:before="30" w:after="30"/>
              <w:ind w:left="57"/>
              <w:jc w:val="left"/>
              <w:rPr>
                <w:b/>
                <w:bCs/>
                <w:color w:val="000080"/>
                <w:sz w:val="20"/>
                <w:lang w:val="en-US"/>
              </w:rPr>
            </w:pPr>
            <w:r w:rsidRPr="00E766F1">
              <w:rPr>
                <w:b/>
                <w:bCs/>
                <w:color w:val="000080"/>
                <w:sz w:val="20"/>
                <w:lang w:val="en-US"/>
              </w:rPr>
              <w:t>SM</w:t>
            </w:r>
          </w:p>
        </w:tc>
        <w:tc>
          <w:tcPr>
            <w:tcW w:w="8220" w:type="dxa"/>
            <w:tcBorders>
              <w:top w:val="nil"/>
              <w:bottom w:val="nil"/>
            </w:tcBorders>
            <w:shd w:val="clear" w:color="auto" w:fill="F2F2F2" w:themeFill="background1" w:themeFillShade="F2"/>
          </w:tcPr>
          <w:p w14:paraId="796C18A6" w14:textId="77777777" w:rsidR="0069322D" w:rsidRPr="00E766F1" w:rsidRDefault="0069322D" w:rsidP="000B4BD9">
            <w:pPr>
              <w:spacing w:before="30" w:after="30"/>
              <w:jc w:val="left"/>
              <w:rPr>
                <w:b/>
                <w:bCs/>
                <w:color w:val="000080"/>
                <w:sz w:val="20"/>
                <w:lang w:val="en-US"/>
              </w:rPr>
            </w:pPr>
            <w:r w:rsidRPr="00E766F1">
              <w:rPr>
                <w:b/>
                <w:bCs/>
                <w:color w:val="000080"/>
                <w:sz w:val="20"/>
              </w:rPr>
              <w:t>Gestión del espectro</w:t>
            </w:r>
          </w:p>
        </w:tc>
      </w:tr>
      <w:tr w:rsidR="0069322D" w:rsidRPr="00036EE3" w14:paraId="2820A4F1" w14:textId="77777777" w:rsidTr="0027415F">
        <w:tc>
          <w:tcPr>
            <w:tcW w:w="1140" w:type="dxa"/>
            <w:tcBorders>
              <w:top w:val="nil"/>
            </w:tcBorders>
          </w:tcPr>
          <w:p w14:paraId="238B5B76" w14:textId="77777777" w:rsidR="0069322D" w:rsidRPr="00036EE3" w:rsidRDefault="0069322D" w:rsidP="000B4BD9">
            <w:pPr>
              <w:spacing w:before="30" w:after="30"/>
              <w:ind w:left="57"/>
              <w:jc w:val="left"/>
              <w:rPr>
                <w:b/>
                <w:bCs/>
                <w:sz w:val="20"/>
                <w:lang w:val="en-US"/>
              </w:rPr>
            </w:pPr>
            <w:r w:rsidRPr="00036EE3">
              <w:rPr>
                <w:b/>
                <w:bCs/>
                <w:sz w:val="20"/>
                <w:lang w:val="en-US"/>
              </w:rPr>
              <w:t>SNG</w:t>
            </w:r>
          </w:p>
        </w:tc>
        <w:tc>
          <w:tcPr>
            <w:tcW w:w="8220" w:type="dxa"/>
            <w:tcBorders>
              <w:top w:val="nil"/>
            </w:tcBorders>
          </w:tcPr>
          <w:p w14:paraId="344076F7" w14:textId="77777777" w:rsidR="0069322D" w:rsidRPr="00021E8A" w:rsidRDefault="0069322D" w:rsidP="000B4BD9">
            <w:pPr>
              <w:spacing w:before="30" w:after="30"/>
              <w:jc w:val="left"/>
              <w:rPr>
                <w:bCs/>
                <w:sz w:val="20"/>
                <w:lang w:val="en-US"/>
              </w:rPr>
            </w:pPr>
            <w:r w:rsidRPr="00021E8A">
              <w:rPr>
                <w:bCs/>
                <w:sz w:val="20"/>
              </w:rPr>
              <w:t>Periodismo electrónico por satélite</w:t>
            </w:r>
          </w:p>
        </w:tc>
      </w:tr>
      <w:tr w:rsidR="0069322D" w:rsidRPr="00E766F1" w14:paraId="3EAA5837" w14:textId="77777777" w:rsidTr="0027415F">
        <w:tc>
          <w:tcPr>
            <w:tcW w:w="1140" w:type="dxa"/>
          </w:tcPr>
          <w:p w14:paraId="076488C5" w14:textId="77777777" w:rsidR="0069322D" w:rsidRPr="00036EE3" w:rsidRDefault="0069322D" w:rsidP="000B4BD9">
            <w:pPr>
              <w:spacing w:before="30" w:after="30"/>
              <w:ind w:left="57"/>
              <w:jc w:val="left"/>
              <w:rPr>
                <w:b/>
                <w:bCs/>
                <w:sz w:val="20"/>
                <w:lang w:val="en-US"/>
              </w:rPr>
            </w:pPr>
            <w:r w:rsidRPr="00036EE3">
              <w:rPr>
                <w:b/>
                <w:bCs/>
                <w:sz w:val="20"/>
                <w:lang w:val="en-US"/>
              </w:rPr>
              <w:t>TF</w:t>
            </w:r>
          </w:p>
        </w:tc>
        <w:tc>
          <w:tcPr>
            <w:tcW w:w="8220" w:type="dxa"/>
          </w:tcPr>
          <w:p w14:paraId="36DFB187" w14:textId="77777777" w:rsidR="0069322D" w:rsidRPr="00021E8A" w:rsidRDefault="0069322D" w:rsidP="000B4BD9">
            <w:pPr>
              <w:spacing w:before="30" w:after="30"/>
              <w:jc w:val="left"/>
              <w:rPr>
                <w:bCs/>
                <w:sz w:val="20"/>
                <w:lang w:val="es-ES_tradnl"/>
              </w:rPr>
            </w:pPr>
            <w:r w:rsidRPr="00021E8A">
              <w:rPr>
                <w:bCs/>
                <w:sz w:val="20"/>
                <w:lang w:val="es-ES_tradnl"/>
              </w:rPr>
              <w:t>Emisiones de frecuencias patrón y señales horarias</w:t>
            </w:r>
          </w:p>
        </w:tc>
      </w:tr>
      <w:tr w:rsidR="0069322D" w:rsidRPr="00036EE3" w14:paraId="47CB4ADB" w14:textId="77777777" w:rsidTr="0027415F">
        <w:tc>
          <w:tcPr>
            <w:tcW w:w="1140" w:type="dxa"/>
          </w:tcPr>
          <w:p w14:paraId="28071D75" w14:textId="77777777" w:rsidR="0069322D" w:rsidRPr="00036EE3" w:rsidRDefault="0069322D" w:rsidP="000B4BD9">
            <w:pPr>
              <w:spacing w:before="30" w:after="30"/>
              <w:ind w:left="57"/>
              <w:jc w:val="left"/>
              <w:rPr>
                <w:b/>
                <w:bCs/>
                <w:sz w:val="20"/>
                <w:lang w:val="en-US"/>
              </w:rPr>
            </w:pPr>
            <w:r w:rsidRPr="00036EE3">
              <w:rPr>
                <w:b/>
                <w:bCs/>
                <w:sz w:val="20"/>
                <w:lang w:val="en-US"/>
              </w:rPr>
              <w:t>V</w:t>
            </w:r>
          </w:p>
        </w:tc>
        <w:tc>
          <w:tcPr>
            <w:tcW w:w="8220" w:type="dxa"/>
          </w:tcPr>
          <w:p w14:paraId="3401E56D" w14:textId="77777777" w:rsidR="0069322D" w:rsidRPr="00021E8A" w:rsidRDefault="0069322D" w:rsidP="000B4BD9">
            <w:pPr>
              <w:spacing w:before="30" w:after="140"/>
              <w:jc w:val="left"/>
              <w:rPr>
                <w:bCs/>
                <w:sz w:val="20"/>
                <w:lang w:val="en-US"/>
              </w:rPr>
            </w:pPr>
            <w:r w:rsidRPr="00021E8A">
              <w:rPr>
                <w:bCs/>
                <w:sz w:val="20"/>
              </w:rPr>
              <w:t>Vocabulario y cuestiones afines</w:t>
            </w:r>
          </w:p>
        </w:tc>
      </w:tr>
    </w:tbl>
    <w:p w14:paraId="5D039F9B" w14:textId="77777777" w:rsidR="0069322D" w:rsidRPr="00036EE3" w:rsidRDefault="0069322D" w:rsidP="0069322D">
      <w:pPr>
        <w:spacing w:before="0" w:after="140"/>
        <w:jc w:val="center"/>
        <w:rPr>
          <w:sz w:val="20"/>
          <w:lang w:val="en-US"/>
        </w:rPr>
      </w:pPr>
    </w:p>
    <w:tbl>
      <w:tblPr>
        <w:tblpPr w:leftFromText="180" w:rightFromText="180" w:vertAnchor="text" w:tblpX="-5771" w:tblpY="-4031"/>
        <w:tblW w:w="0" w:type="auto"/>
        <w:tblLook w:val="0000" w:firstRow="0" w:lastRow="0" w:firstColumn="0" w:lastColumn="0" w:noHBand="0" w:noVBand="0"/>
      </w:tblPr>
      <w:tblGrid>
        <w:gridCol w:w="720"/>
      </w:tblGrid>
      <w:tr w:rsidR="0069322D" w14:paraId="26F36365" w14:textId="77777777" w:rsidTr="000B4BD9">
        <w:tc>
          <w:tcPr>
            <w:tcW w:w="720" w:type="dxa"/>
          </w:tcPr>
          <w:p w14:paraId="6F0ED44C" w14:textId="77777777" w:rsidR="0069322D" w:rsidRDefault="0069322D" w:rsidP="000B4BD9">
            <w:pPr>
              <w:spacing w:before="0"/>
              <w:jc w:val="center"/>
              <w:rPr>
                <w:sz w:val="22"/>
                <w:lang w:val="en-US"/>
              </w:rPr>
            </w:pPr>
          </w:p>
        </w:tc>
      </w:tr>
    </w:tbl>
    <w:tbl>
      <w:tblPr>
        <w:tblStyle w:val="TableGrid"/>
        <w:tblW w:w="5000" w:type="pct"/>
        <w:tblBorders>
          <w:top w:val="single" w:sz="12" w:space="0" w:color="000080"/>
          <w:left w:val="single" w:sz="12" w:space="0" w:color="000080"/>
          <w:bottom w:val="single" w:sz="12" w:space="0" w:color="000080"/>
          <w:right w:val="single" w:sz="12" w:space="0" w:color="000080"/>
          <w:insideH w:val="none" w:sz="0" w:space="0" w:color="auto"/>
          <w:insideV w:val="none" w:sz="0" w:space="0" w:color="auto"/>
        </w:tblBorders>
        <w:tblLook w:val="01E0" w:firstRow="1" w:lastRow="1" w:firstColumn="1" w:lastColumn="1" w:noHBand="0" w:noVBand="0"/>
      </w:tblPr>
      <w:tblGrid>
        <w:gridCol w:w="9609"/>
      </w:tblGrid>
      <w:tr w:rsidR="0069322D" w:rsidRPr="00E766F1" w14:paraId="388B37A3" w14:textId="77777777" w:rsidTr="00B96572">
        <w:tc>
          <w:tcPr>
            <w:tcW w:w="9360" w:type="dxa"/>
          </w:tcPr>
          <w:p w14:paraId="6238CFDD" w14:textId="77777777" w:rsidR="0069322D" w:rsidRPr="00F111D6" w:rsidRDefault="0069322D" w:rsidP="00B96572">
            <w:pPr>
              <w:spacing w:before="92" w:after="92"/>
              <w:rPr>
                <w:rFonts w:ascii="Times New Roman" w:hAnsi="Times New Roman" w:cs="Times New Roman"/>
                <w:i/>
                <w:iCs/>
                <w:sz w:val="20"/>
                <w:lang w:val="es-ES_tradnl"/>
              </w:rPr>
            </w:pPr>
            <w:r w:rsidRPr="00F111D6">
              <w:rPr>
                <w:rFonts w:ascii="Times New Roman" w:hAnsi="Times New Roman" w:cs="Times New Roman"/>
                <w:b/>
                <w:bCs/>
                <w:i/>
                <w:iCs/>
                <w:sz w:val="20"/>
                <w:lang w:val="es-ES_tradnl"/>
              </w:rPr>
              <w:t>Nota</w:t>
            </w:r>
            <w:r w:rsidRPr="00F111D6">
              <w:rPr>
                <w:rFonts w:ascii="Times New Roman" w:hAnsi="Times New Roman" w:cs="Times New Roman"/>
                <w:i/>
                <w:iCs/>
                <w:sz w:val="20"/>
                <w:lang w:val="es-ES_tradnl"/>
              </w:rPr>
              <w:t>: Esta Recomendación UIT-R fue aprobada en inglés conforme al procedimiento detallado en la Resolución UIT</w:t>
            </w:r>
            <w:r w:rsidR="00B96572" w:rsidRPr="00F111D6">
              <w:rPr>
                <w:rFonts w:ascii="Times New Roman" w:hAnsi="Times New Roman" w:cs="Times New Roman"/>
                <w:i/>
                <w:iCs/>
                <w:sz w:val="20"/>
                <w:lang w:val="es-ES_tradnl"/>
              </w:rPr>
              <w:noBreakHyphen/>
            </w:r>
            <w:r w:rsidRPr="00F111D6">
              <w:rPr>
                <w:rFonts w:ascii="Times New Roman" w:hAnsi="Times New Roman" w:cs="Times New Roman"/>
                <w:i/>
                <w:iCs/>
                <w:sz w:val="20"/>
                <w:lang w:val="es-ES_tradnl"/>
              </w:rPr>
              <w:t>R</w:t>
            </w:r>
            <w:r w:rsidR="00B96572" w:rsidRPr="00F111D6">
              <w:rPr>
                <w:rFonts w:ascii="Times New Roman" w:hAnsi="Times New Roman" w:cs="Times New Roman"/>
                <w:i/>
                <w:iCs/>
                <w:sz w:val="20"/>
                <w:lang w:val="es-ES_tradnl"/>
              </w:rPr>
              <w:t> </w:t>
            </w:r>
            <w:r w:rsidRPr="00F111D6">
              <w:rPr>
                <w:rFonts w:ascii="Times New Roman" w:hAnsi="Times New Roman" w:cs="Times New Roman"/>
                <w:i/>
                <w:iCs/>
                <w:sz w:val="20"/>
                <w:lang w:val="es-ES_tradnl"/>
              </w:rPr>
              <w:t>1.</w:t>
            </w:r>
          </w:p>
        </w:tc>
      </w:tr>
    </w:tbl>
    <w:p w14:paraId="4FE246B3" w14:textId="77777777" w:rsidR="0069322D" w:rsidRPr="00763D08" w:rsidRDefault="0069322D" w:rsidP="0069322D">
      <w:pPr>
        <w:spacing w:before="0"/>
        <w:jc w:val="center"/>
        <w:rPr>
          <w:sz w:val="22"/>
          <w:lang w:val="es-ES_tradnl"/>
        </w:rPr>
      </w:pPr>
    </w:p>
    <w:p w14:paraId="36BF1CBE" w14:textId="77777777" w:rsidR="0069322D" w:rsidRPr="00763D08" w:rsidRDefault="0069322D" w:rsidP="0069322D">
      <w:pPr>
        <w:spacing w:before="60"/>
        <w:jc w:val="right"/>
        <w:rPr>
          <w:i/>
          <w:iCs/>
          <w:sz w:val="20"/>
          <w:lang w:val="es-ES_tradnl"/>
        </w:rPr>
      </w:pPr>
      <w:r w:rsidRPr="00763D08">
        <w:rPr>
          <w:i/>
          <w:iCs/>
          <w:sz w:val="20"/>
          <w:lang w:val="es-ES_tradnl"/>
        </w:rPr>
        <w:t>Publicación electrónica</w:t>
      </w:r>
    </w:p>
    <w:p w14:paraId="5CBE6516" w14:textId="70A98B89" w:rsidR="0069322D" w:rsidRPr="00763D08" w:rsidRDefault="0069322D" w:rsidP="0069322D">
      <w:pPr>
        <w:spacing w:before="0" w:after="40"/>
        <w:jc w:val="right"/>
        <w:rPr>
          <w:sz w:val="20"/>
          <w:lang w:val="es-ES_tradnl"/>
        </w:rPr>
      </w:pPr>
      <w:r w:rsidRPr="00763D08">
        <w:rPr>
          <w:sz w:val="20"/>
          <w:lang w:val="es-ES_tradnl"/>
        </w:rPr>
        <w:t>Ginebra, 20</w:t>
      </w:r>
      <w:r w:rsidR="00B96572">
        <w:rPr>
          <w:sz w:val="20"/>
          <w:lang w:val="es-ES_tradnl"/>
        </w:rPr>
        <w:t>2</w:t>
      </w:r>
      <w:r w:rsidR="0027415F">
        <w:rPr>
          <w:sz w:val="20"/>
          <w:lang w:val="es-ES_tradnl"/>
        </w:rPr>
        <w:t>5</w:t>
      </w:r>
    </w:p>
    <w:p w14:paraId="0F38E273" w14:textId="77777777" w:rsidR="0069322D" w:rsidRPr="00763D08" w:rsidRDefault="0069322D" w:rsidP="0069322D">
      <w:pPr>
        <w:spacing w:before="0" w:after="120"/>
        <w:jc w:val="center"/>
        <w:rPr>
          <w:sz w:val="22"/>
          <w:lang w:val="es-ES_tradnl"/>
        </w:rPr>
      </w:pPr>
    </w:p>
    <w:p w14:paraId="14540702" w14:textId="7819A5F6" w:rsidR="0069322D" w:rsidRPr="00763D08" w:rsidRDefault="0069322D" w:rsidP="0069322D">
      <w:pPr>
        <w:spacing w:before="0"/>
        <w:jc w:val="center"/>
        <w:rPr>
          <w:sz w:val="20"/>
          <w:lang w:val="es-ES_tradnl"/>
        </w:rPr>
      </w:pPr>
      <w:r w:rsidRPr="00470E28">
        <w:rPr>
          <w:sz w:val="20"/>
          <w:lang w:val="en-US"/>
        </w:rPr>
        <w:sym w:font="Symbol" w:char="F0E3"/>
      </w:r>
      <w:r w:rsidRPr="00763D08">
        <w:rPr>
          <w:sz w:val="20"/>
          <w:lang w:val="es-ES_tradnl"/>
        </w:rPr>
        <w:t xml:space="preserve"> UIT </w:t>
      </w:r>
      <w:bookmarkStart w:id="1" w:name="iiannee"/>
      <w:bookmarkEnd w:id="1"/>
      <w:r w:rsidRPr="00763D08">
        <w:rPr>
          <w:sz w:val="20"/>
          <w:lang w:val="es-ES_tradnl"/>
        </w:rPr>
        <w:t>20</w:t>
      </w:r>
      <w:r w:rsidR="00B96572">
        <w:rPr>
          <w:sz w:val="20"/>
          <w:lang w:val="es-ES_tradnl"/>
        </w:rPr>
        <w:t>2</w:t>
      </w:r>
      <w:r w:rsidR="0027415F">
        <w:rPr>
          <w:sz w:val="20"/>
          <w:lang w:val="es-ES_tradnl"/>
        </w:rPr>
        <w:t>5</w:t>
      </w:r>
    </w:p>
    <w:p w14:paraId="769D9829" w14:textId="77777777" w:rsidR="00D5024B" w:rsidRPr="00F111D6" w:rsidRDefault="0069322D" w:rsidP="0069322D">
      <w:pPr>
        <w:rPr>
          <w:sz w:val="18"/>
          <w:szCs w:val="18"/>
        </w:rPr>
      </w:pPr>
      <w:r w:rsidRPr="00763D08">
        <w:rPr>
          <w:sz w:val="18"/>
          <w:szCs w:val="18"/>
          <w:lang w:val="es-ES_tradnl"/>
        </w:rPr>
        <w:t xml:space="preserve">Reservados todos los derechos. </w:t>
      </w:r>
      <w:r w:rsidRPr="006C718C">
        <w:rPr>
          <w:sz w:val="18"/>
          <w:szCs w:val="18"/>
          <w:lang w:val="es-ES_tradnl"/>
        </w:rPr>
        <w:t>Ninguna parte de esta publicación puede reproducirse por ningún procedimiento sin previa autorizaci</w:t>
      </w:r>
      <w:r>
        <w:rPr>
          <w:sz w:val="18"/>
          <w:szCs w:val="18"/>
          <w:lang w:val="es-ES_tradnl"/>
        </w:rPr>
        <w:t>ón escrita por parte de la UIT</w:t>
      </w:r>
      <w:r w:rsidRPr="006C718C">
        <w:rPr>
          <w:sz w:val="18"/>
          <w:szCs w:val="18"/>
          <w:lang w:val="es-ES_tradnl"/>
        </w:rPr>
        <w:t>.</w:t>
      </w:r>
    </w:p>
    <w:p w14:paraId="16E36531" w14:textId="77777777" w:rsidR="007565CC" w:rsidRPr="00F111D6" w:rsidRDefault="007565CC" w:rsidP="00A971A1">
      <w:pPr>
        <w:spacing w:before="160"/>
        <w:rPr>
          <w:i/>
          <w:sz w:val="20"/>
        </w:rPr>
        <w:sectPr w:rsidR="007565CC" w:rsidRPr="00F111D6" w:rsidSect="002058CE">
          <w:headerReference w:type="even" r:id="rId12"/>
          <w:headerReference w:type="default" r:id="rId13"/>
          <w:pgSz w:w="11907" w:h="16834" w:code="9"/>
          <w:pgMar w:top="1418" w:right="1134" w:bottom="1134" w:left="1134" w:header="720" w:footer="482" w:gutter="0"/>
          <w:paperSrc w:first="15" w:other="15"/>
          <w:pgNumType w:fmt="lowerRoman" w:start="2"/>
          <w:cols w:space="720"/>
        </w:sectPr>
      </w:pPr>
    </w:p>
    <w:p w14:paraId="2CADCBDD" w14:textId="12DBAFC3" w:rsidR="00B874C6" w:rsidRPr="00F17CED" w:rsidRDefault="00F17CED" w:rsidP="00A936CB">
      <w:pPr>
        <w:pStyle w:val="RecNo"/>
        <w:spacing w:before="0"/>
      </w:pPr>
      <w:bookmarkStart w:id="2" w:name="irecnoe"/>
      <w:bookmarkEnd w:id="2"/>
      <w:r w:rsidRPr="00F17CED">
        <w:lastRenderedPageBreak/>
        <w:t>RECOMENDACIÓN</w:t>
      </w:r>
      <w:r w:rsidR="00B874C6" w:rsidRPr="00F17CED">
        <w:t xml:space="preserve">  </w:t>
      </w:r>
      <w:r w:rsidR="00A25EE2" w:rsidRPr="00F17CED">
        <w:rPr>
          <w:rStyle w:val="href"/>
        </w:rPr>
        <w:t>UI</w:t>
      </w:r>
      <w:r w:rsidR="00B874C6" w:rsidRPr="00F17CED">
        <w:rPr>
          <w:rStyle w:val="href"/>
        </w:rPr>
        <w:t xml:space="preserve">T-R  </w:t>
      </w:r>
      <w:r w:rsidR="00A17958">
        <w:rPr>
          <w:lang w:val="es-ES_tradnl"/>
        </w:rPr>
        <w:t>SM.2110-2</w:t>
      </w:r>
    </w:p>
    <w:p w14:paraId="2272A691" w14:textId="3FAF79F8" w:rsidR="00934ED7" w:rsidRPr="00F17CED" w:rsidRDefault="00A17958" w:rsidP="00A17958">
      <w:pPr>
        <w:pStyle w:val="Rectitle"/>
      </w:pPr>
      <w:r>
        <w:rPr>
          <w:lang w:val="es-ES_tradnl"/>
        </w:rPr>
        <w:t>Directrices sobre gamas de frecuencias para la explotación de sistemas de transmisión inalámbrica de potencia sin haces para vehículos eléctricos</w:t>
      </w:r>
    </w:p>
    <w:p w14:paraId="236CD4E1" w14:textId="586B8962" w:rsidR="00B874C6" w:rsidRPr="00F17CED" w:rsidRDefault="00A17958" w:rsidP="00A17958">
      <w:pPr>
        <w:pStyle w:val="Questionref"/>
      </w:pPr>
      <w:r>
        <w:rPr>
          <w:lang w:val="es-ES_tradnl"/>
        </w:rPr>
        <w:t xml:space="preserve">(Cuestión </w:t>
      </w:r>
      <w:hyperlink r:id="rId14" w:history="1">
        <w:r w:rsidRPr="00152038">
          <w:rPr>
            <w:lang w:val="es-ES_tradnl"/>
          </w:rPr>
          <w:t>UIT-R 210-4/1</w:t>
        </w:r>
      </w:hyperlink>
      <w:r>
        <w:rPr>
          <w:lang w:val="es-ES_tradnl"/>
        </w:rPr>
        <w:t>)</w:t>
      </w:r>
    </w:p>
    <w:p w14:paraId="212F8B2A" w14:textId="08FF866C" w:rsidR="00B874C6" w:rsidRDefault="00A17958" w:rsidP="00152038">
      <w:pPr>
        <w:pStyle w:val="Recdate"/>
      </w:pPr>
      <w:r>
        <w:rPr>
          <w:lang w:val="es-ES_tradnl"/>
        </w:rPr>
        <w:t>(2017-2019-2025)</w:t>
      </w:r>
    </w:p>
    <w:p w14:paraId="3BC615D1" w14:textId="2B7B4E90" w:rsidR="00A17958" w:rsidRDefault="00A17958" w:rsidP="00152038">
      <w:pPr>
        <w:pStyle w:val="HeadingSum"/>
      </w:pPr>
      <w:r>
        <w:t>Cometido</w:t>
      </w:r>
    </w:p>
    <w:p w14:paraId="0BE3B3E8" w14:textId="2563FBB9" w:rsidR="00A17958" w:rsidRDefault="00A17958" w:rsidP="00A17958">
      <w:pPr>
        <w:pStyle w:val="Summary"/>
      </w:pPr>
      <w:r>
        <w:t>En esta Recomendación se dan orientaciones sobre las gamas de frecuencias para la explotación de la transmisión inalámbrica de potencia sin haces (TIP sin haces) para vehículos eléctricos y la protección de los servicios de radiocomunicaciones.</w:t>
      </w:r>
    </w:p>
    <w:p w14:paraId="0A20D38F" w14:textId="3C708136" w:rsidR="00A17958" w:rsidRDefault="00A17958" w:rsidP="00A17958">
      <w:pPr>
        <w:pStyle w:val="Headingb"/>
      </w:pPr>
      <w:r>
        <w:t>Palabras clave</w:t>
      </w:r>
    </w:p>
    <w:p w14:paraId="5B3E544A" w14:textId="35E1EEBC" w:rsidR="00A17958" w:rsidRDefault="00A17958" w:rsidP="00B874C6">
      <w:r>
        <w:rPr>
          <w:lang w:val="es-ES_tradnl"/>
        </w:rPr>
        <w:t>Transmisión inalámbrica de potencia, dispositivos de corto alcance, ICM, TIP sin haz</w:t>
      </w:r>
    </w:p>
    <w:p w14:paraId="551574E4" w14:textId="0E49D65E" w:rsidR="00A17958" w:rsidRDefault="00A17958" w:rsidP="00A17958">
      <w:pPr>
        <w:pStyle w:val="Headingb"/>
      </w:pPr>
      <w:r>
        <w:rPr>
          <w:lang w:val="es-ES_tradnl"/>
        </w:rPr>
        <w:t>Abreviaturas/Glosario</w:t>
      </w:r>
    </w:p>
    <w:p w14:paraId="2B42EF4E" w14:textId="5226F3E5" w:rsidR="00A17958" w:rsidRPr="00A17958" w:rsidRDefault="00A17958" w:rsidP="00A17958">
      <w:pPr>
        <w:tabs>
          <w:tab w:val="clear" w:pos="794"/>
          <w:tab w:val="left" w:pos="1134"/>
          <w:tab w:val="left" w:pos="1871"/>
          <w:tab w:val="left" w:pos="2268"/>
        </w:tabs>
        <w:ind w:left="1134" w:hanging="1134"/>
        <w:jc w:val="left"/>
        <w:rPr>
          <w:lang w:val="fr-FR"/>
        </w:rPr>
      </w:pPr>
      <w:r w:rsidRPr="00A17958">
        <w:rPr>
          <w:lang w:val="fr-FR"/>
        </w:rPr>
        <w:t>CISPR</w:t>
      </w:r>
      <w:r w:rsidRPr="00A17958">
        <w:rPr>
          <w:lang w:val="fr-FR"/>
        </w:rPr>
        <w:tab/>
        <w:t>Comité Internacional Especial de interferencia radioeléctrica, en francés «Comité International Spécial des Perturbations Radioélectriques</w:t>
      </w:r>
      <w:r>
        <w:rPr>
          <w:lang w:val="fr-FR"/>
        </w:rPr>
        <w:t>»</w:t>
      </w:r>
    </w:p>
    <w:p w14:paraId="41E34CD7" w14:textId="77777777" w:rsidR="00A17958" w:rsidRDefault="00A17958" w:rsidP="00A17958">
      <w:pPr>
        <w:tabs>
          <w:tab w:val="clear" w:pos="794"/>
          <w:tab w:val="left" w:pos="1134"/>
          <w:tab w:val="left" w:pos="1871"/>
          <w:tab w:val="left" w:pos="2268"/>
        </w:tabs>
        <w:rPr>
          <w:lang w:val="es-ES_tradnl"/>
        </w:rPr>
      </w:pPr>
      <w:r>
        <w:rPr>
          <w:lang w:val="es-ES_tradnl"/>
        </w:rPr>
        <w:t>CIEM</w:t>
      </w:r>
      <w:r>
        <w:rPr>
          <w:lang w:val="es-ES_tradnl"/>
        </w:rPr>
        <w:tab/>
        <w:t>Comité Internacional sobre Seguridad Electromagnética</w:t>
      </w:r>
    </w:p>
    <w:p w14:paraId="6ABFC20A" w14:textId="77777777" w:rsidR="00A17958" w:rsidRDefault="00A17958" w:rsidP="00A17958">
      <w:pPr>
        <w:tabs>
          <w:tab w:val="clear" w:pos="794"/>
          <w:tab w:val="left" w:pos="1134"/>
          <w:tab w:val="left" w:pos="1871"/>
          <w:tab w:val="left" w:pos="2268"/>
        </w:tabs>
        <w:rPr>
          <w:lang w:val="es-ES_tradnl"/>
        </w:rPr>
      </w:pPr>
      <w:r>
        <w:rPr>
          <w:lang w:val="es-ES_tradnl"/>
        </w:rPr>
        <w:t>CEI</w:t>
      </w:r>
      <w:r>
        <w:rPr>
          <w:lang w:val="es-ES_tradnl"/>
        </w:rPr>
        <w:tab/>
        <w:t>Comisión Electrotécnica Internacional</w:t>
      </w:r>
    </w:p>
    <w:p w14:paraId="5983E946" w14:textId="77777777" w:rsidR="00A17958" w:rsidRDefault="00A17958" w:rsidP="00A17958">
      <w:pPr>
        <w:tabs>
          <w:tab w:val="clear" w:pos="794"/>
          <w:tab w:val="left" w:pos="1134"/>
          <w:tab w:val="left" w:pos="1871"/>
          <w:tab w:val="left" w:pos="2268"/>
        </w:tabs>
        <w:ind w:left="1134" w:hanging="1134"/>
        <w:rPr>
          <w:lang w:val="es-ES_tradnl"/>
        </w:rPr>
      </w:pPr>
      <w:r>
        <w:rPr>
          <w:lang w:val="es-ES_tradnl"/>
        </w:rPr>
        <w:t>IEEE</w:t>
      </w:r>
      <w:r>
        <w:rPr>
          <w:lang w:val="es-ES_tradnl"/>
        </w:rPr>
        <w:tab/>
        <w:t>Instituto de Ingenieros Electricistas y Electrónicos (</w:t>
      </w:r>
      <w:r w:rsidRPr="00152038">
        <w:rPr>
          <w:i/>
          <w:iCs/>
          <w:lang w:val="es-ES_tradnl"/>
        </w:rPr>
        <w:t>Institute of Electrical and Electronics Engineers</w:t>
      </w:r>
      <w:r>
        <w:rPr>
          <w:lang w:val="es-ES_tradnl"/>
        </w:rPr>
        <w:t>)</w:t>
      </w:r>
    </w:p>
    <w:p w14:paraId="3E7EE321" w14:textId="714671A1" w:rsidR="00152038" w:rsidRDefault="00152038" w:rsidP="00152038">
      <w:pPr>
        <w:tabs>
          <w:tab w:val="clear" w:pos="794"/>
          <w:tab w:val="left" w:pos="1134"/>
          <w:tab w:val="left" w:pos="1871"/>
          <w:tab w:val="left" w:pos="2268"/>
        </w:tabs>
        <w:rPr>
          <w:lang w:val="es-ES_tradnl"/>
        </w:rPr>
      </w:pPr>
      <w:r>
        <w:rPr>
          <w:lang w:val="es-ES_tradnl"/>
        </w:rPr>
        <w:t>ICM</w:t>
      </w:r>
      <w:r>
        <w:rPr>
          <w:lang w:val="es-ES_tradnl"/>
        </w:rPr>
        <w:tab/>
        <w:t>Aplicaciones industriales, científicas y médicas</w:t>
      </w:r>
    </w:p>
    <w:p w14:paraId="54CE6827" w14:textId="77777777" w:rsidR="00152038" w:rsidRDefault="00152038" w:rsidP="00152038">
      <w:pPr>
        <w:tabs>
          <w:tab w:val="clear" w:pos="794"/>
          <w:tab w:val="left" w:pos="1134"/>
          <w:tab w:val="left" w:pos="1871"/>
          <w:tab w:val="left" w:pos="2268"/>
        </w:tabs>
        <w:ind w:left="1134" w:hanging="1134"/>
        <w:rPr>
          <w:lang w:val="es-ES_tradnl"/>
        </w:rPr>
      </w:pPr>
      <w:r>
        <w:rPr>
          <w:lang w:val="es-ES_tradnl"/>
        </w:rPr>
        <w:t>ICNIRP</w:t>
      </w:r>
      <w:r>
        <w:rPr>
          <w:lang w:val="es-ES_tradnl"/>
        </w:rPr>
        <w:tab/>
        <w:t>Comisión Internacional sobre Protección contra las Radiaciones No Ionizantes (</w:t>
      </w:r>
      <w:r w:rsidRPr="00152038">
        <w:rPr>
          <w:i/>
          <w:iCs/>
          <w:lang w:val="es-ES_tradnl"/>
        </w:rPr>
        <w:t>International Commission on Non</w:t>
      </w:r>
      <w:r w:rsidRPr="00152038">
        <w:rPr>
          <w:i/>
          <w:iCs/>
          <w:lang w:val="es-ES_tradnl"/>
        </w:rPr>
        <w:noBreakHyphen/>
        <w:t>ionizing Radiation Protection</w:t>
      </w:r>
      <w:r>
        <w:rPr>
          <w:lang w:val="es-ES_tradnl"/>
        </w:rPr>
        <w:t>)</w:t>
      </w:r>
    </w:p>
    <w:p w14:paraId="349914FF" w14:textId="77777777" w:rsidR="00A17958" w:rsidRDefault="00A17958" w:rsidP="00A17958">
      <w:pPr>
        <w:tabs>
          <w:tab w:val="clear" w:pos="794"/>
          <w:tab w:val="left" w:pos="1134"/>
          <w:tab w:val="left" w:pos="1871"/>
          <w:tab w:val="left" w:pos="2268"/>
        </w:tabs>
        <w:ind w:left="1134" w:hanging="1134"/>
        <w:rPr>
          <w:lang w:val="es-ES_tradnl"/>
        </w:rPr>
      </w:pPr>
      <w:r>
        <w:rPr>
          <w:lang w:val="es-ES_tradnl"/>
        </w:rPr>
        <w:t>ISO</w:t>
      </w:r>
      <w:r>
        <w:rPr>
          <w:lang w:val="es-ES_tradnl"/>
        </w:rPr>
        <w:tab/>
        <w:t>Organización Internacional de Normalización (</w:t>
      </w:r>
      <w:r w:rsidRPr="00152038">
        <w:rPr>
          <w:i/>
          <w:iCs/>
          <w:lang w:val="es-ES_tradnl"/>
        </w:rPr>
        <w:t>International Organization for Standardization</w:t>
      </w:r>
      <w:r>
        <w:rPr>
          <w:lang w:val="es-ES_tradnl"/>
        </w:rPr>
        <w:t>)</w:t>
      </w:r>
    </w:p>
    <w:p w14:paraId="2DBDFC16" w14:textId="6FA9E043" w:rsidR="00152038" w:rsidRDefault="00152038" w:rsidP="00152038">
      <w:pPr>
        <w:tabs>
          <w:tab w:val="clear" w:pos="794"/>
          <w:tab w:val="left" w:pos="1134"/>
          <w:tab w:val="left" w:pos="1871"/>
          <w:tab w:val="left" w:pos="2268"/>
        </w:tabs>
        <w:rPr>
          <w:lang w:val="es-ES_tradnl"/>
        </w:rPr>
      </w:pPr>
      <w:r>
        <w:rPr>
          <w:lang w:val="es-ES_tradnl"/>
        </w:rPr>
        <w:t>OMS</w:t>
      </w:r>
      <w:r>
        <w:rPr>
          <w:lang w:val="es-ES_tradnl"/>
        </w:rPr>
        <w:tab/>
        <w:t>Organización Mundial de la Salud</w:t>
      </w:r>
    </w:p>
    <w:p w14:paraId="4B710FF8" w14:textId="77777777" w:rsidR="00A17958" w:rsidRDefault="00A17958" w:rsidP="00A17958">
      <w:pPr>
        <w:tabs>
          <w:tab w:val="clear" w:pos="794"/>
          <w:tab w:val="left" w:pos="1134"/>
          <w:tab w:val="left" w:pos="1871"/>
          <w:tab w:val="left" w:pos="2268"/>
        </w:tabs>
        <w:rPr>
          <w:lang w:val="es-ES_tradnl"/>
        </w:rPr>
      </w:pPr>
      <w:r>
        <w:rPr>
          <w:lang w:val="es-ES_tradnl"/>
        </w:rPr>
        <w:t>RR</w:t>
      </w:r>
      <w:r>
        <w:rPr>
          <w:lang w:val="es-ES_tradnl"/>
        </w:rPr>
        <w:tab/>
        <w:t>Reglamento de Radiocomunicaciones</w:t>
      </w:r>
    </w:p>
    <w:p w14:paraId="4B7E73EF" w14:textId="77777777" w:rsidR="00A17958" w:rsidRDefault="00A17958" w:rsidP="00A17958">
      <w:pPr>
        <w:tabs>
          <w:tab w:val="clear" w:pos="794"/>
          <w:tab w:val="left" w:pos="1134"/>
          <w:tab w:val="left" w:pos="1871"/>
          <w:tab w:val="left" w:pos="2268"/>
        </w:tabs>
        <w:rPr>
          <w:lang w:val="es-ES_tradnl"/>
        </w:rPr>
      </w:pPr>
      <w:r>
        <w:rPr>
          <w:lang w:val="es-ES_tradnl"/>
        </w:rPr>
        <w:t>SAE</w:t>
      </w:r>
      <w:r>
        <w:rPr>
          <w:lang w:val="es-ES_tradnl"/>
        </w:rPr>
        <w:tab/>
        <w:t>Sociedad de Ingenieros Automotrices (</w:t>
      </w:r>
      <w:r w:rsidRPr="00152038">
        <w:rPr>
          <w:i/>
          <w:iCs/>
          <w:lang w:val="es-ES_tradnl"/>
        </w:rPr>
        <w:t>Society of Automotive Engineers</w:t>
      </w:r>
      <w:r>
        <w:rPr>
          <w:lang w:val="es-ES_tradnl"/>
        </w:rPr>
        <w:t>)</w:t>
      </w:r>
    </w:p>
    <w:p w14:paraId="4D3285AB" w14:textId="77777777" w:rsidR="00A17958" w:rsidRDefault="00A17958" w:rsidP="00A17958">
      <w:pPr>
        <w:tabs>
          <w:tab w:val="clear" w:pos="794"/>
          <w:tab w:val="left" w:pos="1134"/>
          <w:tab w:val="left" w:pos="1871"/>
          <w:tab w:val="left" w:pos="2268"/>
        </w:tabs>
        <w:rPr>
          <w:lang w:val="es-ES_tradnl"/>
        </w:rPr>
      </w:pPr>
      <w:r>
        <w:rPr>
          <w:lang w:val="es-ES_tradnl"/>
        </w:rPr>
        <w:t>SFTS</w:t>
      </w:r>
      <w:r>
        <w:rPr>
          <w:lang w:val="es-ES_tradnl"/>
        </w:rPr>
        <w:tab/>
        <w:t xml:space="preserve">Servicio de frecuencias patrón y de señales horarias (Núm. </w:t>
      </w:r>
      <w:r>
        <w:rPr>
          <w:b/>
          <w:bCs/>
          <w:lang w:val="es-ES_tradnl"/>
        </w:rPr>
        <w:t>1.53</w:t>
      </w:r>
      <w:r>
        <w:rPr>
          <w:lang w:val="es-ES_tradnl"/>
        </w:rPr>
        <w:t xml:space="preserve"> del RR)</w:t>
      </w:r>
    </w:p>
    <w:p w14:paraId="53A0BE28" w14:textId="77777777" w:rsidR="00A17958" w:rsidRDefault="00A17958" w:rsidP="00A17958">
      <w:pPr>
        <w:tabs>
          <w:tab w:val="clear" w:pos="794"/>
          <w:tab w:val="left" w:pos="1134"/>
          <w:tab w:val="left" w:pos="1871"/>
          <w:tab w:val="left" w:pos="2268"/>
        </w:tabs>
        <w:rPr>
          <w:lang w:val="es-ES_tradnl"/>
        </w:rPr>
      </w:pPr>
      <w:r>
        <w:rPr>
          <w:lang w:val="es-ES_tradnl"/>
        </w:rPr>
        <w:t>TIP</w:t>
      </w:r>
      <w:r>
        <w:rPr>
          <w:lang w:val="es-ES_tradnl"/>
        </w:rPr>
        <w:tab/>
        <w:t>Transmisión inalámbrica de potencia</w:t>
      </w:r>
    </w:p>
    <w:p w14:paraId="58ABEA0F" w14:textId="77777777" w:rsidR="00A17958" w:rsidRDefault="00A17958" w:rsidP="00A17958">
      <w:pPr>
        <w:tabs>
          <w:tab w:val="clear" w:pos="794"/>
          <w:tab w:val="left" w:pos="1134"/>
          <w:tab w:val="left" w:pos="1871"/>
          <w:tab w:val="left" w:pos="2268"/>
        </w:tabs>
        <w:rPr>
          <w:lang w:val="es-ES_tradnl"/>
        </w:rPr>
      </w:pPr>
      <w:r>
        <w:rPr>
          <w:lang w:val="es-ES_tradnl"/>
        </w:rPr>
        <w:t>TIP-VE</w:t>
      </w:r>
      <w:r>
        <w:rPr>
          <w:lang w:val="es-ES_tradnl"/>
        </w:rPr>
        <w:tab/>
        <w:t>Transmisión inalámbrica de potencia para vehículos eléctricos</w:t>
      </w:r>
    </w:p>
    <w:p w14:paraId="0CA785E5" w14:textId="563F2002" w:rsidR="00A17958" w:rsidRDefault="00A17958" w:rsidP="00A17958">
      <w:pPr>
        <w:pStyle w:val="Headingb"/>
      </w:pPr>
      <w:r>
        <w:rPr>
          <w:lang w:val="es-ES_tradnl"/>
        </w:rPr>
        <w:t>Recomendaciones e Informes de la UIT conexos</w:t>
      </w:r>
    </w:p>
    <w:p w14:paraId="69229261" w14:textId="3ED93533" w:rsidR="00A17958" w:rsidRPr="00152038" w:rsidRDefault="00A17958" w:rsidP="00A17958">
      <w:pPr>
        <w:pStyle w:val="Reftext"/>
        <w:rPr>
          <w:rFonts w:eastAsia="Calibri"/>
          <w:lang w:val="es-ES_tradnl"/>
        </w:rPr>
      </w:pPr>
      <w:r w:rsidRPr="00152038">
        <w:rPr>
          <w:lang w:val="es-ES_tradnl"/>
        </w:rPr>
        <w:t xml:space="preserve">Recomendación </w:t>
      </w:r>
      <w:hyperlink r:id="rId15" w:history="1">
        <w:r w:rsidRPr="00152038">
          <w:rPr>
            <w:rStyle w:val="Hyperlink"/>
            <w:color w:val="auto"/>
            <w:u w:val="none"/>
            <w:lang w:val="es-ES_tradnl"/>
          </w:rPr>
          <w:t>UIT-R SM.1056</w:t>
        </w:r>
      </w:hyperlink>
      <w:r w:rsidR="00152038" w:rsidRPr="00152038">
        <w:rPr>
          <w:lang w:val="es-ES_tradnl"/>
        </w:rPr>
        <w:t> </w:t>
      </w:r>
      <w:r w:rsidRPr="00152038">
        <w:rPr>
          <w:lang w:val="es-ES_tradnl"/>
        </w:rPr>
        <w:t>–</w:t>
      </w:r>
      <w:r w:rsidR="00152038" w:rsidRPr="00152038">
        <w:rPr>
          <w:lang w:val="es-ES_tradnl"/>
        </w:rPr>
        <w:t> </w:t>
      </w:r>
      <w:r w:rsidRPr="00152038">
        <w:rPr>
          <w:lang w:val="es-ES_tradnl"/>
        </w:rPr>
        <w:t>Limitación de las radiaciones procedentes de equipos industriales, científicos y médicos (ICM)</w:t>
      </w:r>
    </w:p>
    <w:p w14:paraId="6E567C49" w14:textId="0325B489" w:rsidR="00A17958" w:rsidRPr="00152038" w:rsidRDefault="00A17958" w:rsidP="00A17958">
      <w:pPr>
        <w:pStyle w:val="Reftext"/>
        <w:rPr>
          <w:rFonts w:eastAsia="Calibri"/>
          <w:lang w:val="es-ES_tradnl"/>
        </w:rPr>
      </w:pPr>
      <w:r w:rsidRPr="00152038">
        <w:rPr>
          <w:lang w:val="es-ES_tradnl"/>
        </w:rPr>
        <w:t xml:space="preserve">Recomendación </w:t>
      </w:r>
      <w:hyperlink r:id="rId16" w:history="1">
        <w:r w:rsidRPr="00152038">
          <w:rPr>
            <w:rStyle w:val="Hyperlink"/>
            <w:color w:val="auto"/>
            <w:u w:val="none"/>
            <w:lang w:val="es-ES_tradnl"/>
          </w:rPr>
          <w:t>UIT-R SM.1896</w:t>
        </w:r>
      </w:hyperlink>
      <w:r w:rsidR="00152038" w:rsidRPr="00152038">
        <w:rPr>
          <w:lang w:val="es-ES_tradnl"/>
        </w:rPr>
        <w:t> </w:t>
      </w:r>
      <w:r w:rsidRPr="00152038">
        <w:rPr>
          <w:lang w:val="es-ES_tradnl"/>
        </w:rPr>
        <w:t>–</w:t>
      </w:r>
      <w:r w:rsidR="00152038" w:rsidRPr="00152038">
        <w:rPr>
          <w:lang w:val="es-ES_tradnl"/>
        </w:rPr>
        <w:t> </w:t>
      </w:r>
      <w:r w:rsidRPr="00152038">
        <w:rPr>
          <w:lang w:val="es-ES_tradnl"/>
        </w:rPr>
        <w:t>Gamas de frecuencia para la armonización mundial o regional de los dispositivos de corto alcance</w:t>
      </w:r>
    </w:p>
    <w:p w14:paraId="06EAEFB0" w14:textId="4E16559F" w:rsidR="00A17958" w:rsidRDefault="00A17958" w:rsidP="00A17958">
      <w:pPr>
        <w:pStyle w:val="Reftext"/>
        <w:rPr>
          <w:rFonts w:eastAsia="Calibri"/>
          <w:lang w:val="es-ES_tradnl"/>
        </w:rPr>
      </w:pPr>
      <w:r w:rsidRPr="00152038">
        <w:rPr>
          <w:lang w:val="es-ES_tradnl"/>
        </w:rPr>
        <w:t xml:space="preserve">Recomendación </w:t>
      </w:r>
      <w:hyperlink r:id="rId17" w:history="1">
        <w:r w:rsidRPr="00152038">
          <w:rPr>
            <w:rStyle w:val="Hyperlink"/>
            <w:color w:val="auto"/>
            <w:u w:val="none"/>
            <w:lang w:val="es-ES_tradnl"/>
          </w:rPr>
          <w:t>UIT-R SM.2129</w:t>
        </w:r>
      </w:hyperlink>
      <w:r w:rsidR="00152038" w:rsidRPr="00152038">
        <w:rPr>
          <w:lang w:val="es-ES_tradnl"/>
        </w:rPr>
        <w:t> </w:t>
      </w:r>
      <w:r w:rsidRPr="00152038">
        <w:rPr>
          <w:lang w:val="es-ES_tradnl"/>
        </w:rPr>
        <w:t>–</w:t>
      </w:r>
      <w:r w:rsidR="00152038" w:rsidRPr="00152038">
        <w:rPr>
          <w:lang w:val="es-ES_tradnl"/>
        </w:rPr>
        <w:t> </w:t>
      </w:r>
      <w:r w:rsidRPr="00152038">
        <w:rPr>
          <w:lang w:val="es-ES_tradnl"/>
        </w:rPr>
        <w:t xml:space="preserve">Orientaciones sobre las gamas de frecuencias para la explotación de </w:t>
      </w:r>
      <w:r>
        <w:rPr>
          <w:lang w:val="es-ES_tradnl"/>
        </w:rPr>
        <w:t>transmisión inalámbrica de potencia sin haces radioeléctricos para dispositivos móviles y portátiles.</w:t>
      </w:r>
    </w:p>
    <w:p w14:paraId="7DF9ED74" w14:textId="22ADE9A8" w:rsidR="00A17958" w:rsidRPr="00152038" w:rsidRDefault="00A17958" w:rsidP="00A17958">
      <w:pPr>
        <w:pStyle w:val="Reftext"/>
        <w:rPr>
          <w:lang w:val="es-ES_tradnl"/>
        </w:rPr>
      </w:pPr>
      <w:r w:rsidRPr="00152038">
        <w:rPr>
          <w:lang w:val="es-ES_tradnl"/>
        </w:rPr>
        <w:t>Informe</w:t>
      </w:r>
      <w:r w:rsidR="00152038">
        <w:rPr>
          <w:lang w:val="es-ES_tradnl"/>
        </w:rPr>
        <w:t> </w:t>
      </w:r>
      <w:hyperlink r:id="rId18" w:history="1">
        <w:r w:rsidRPr="00152038">
          <w:rPr>
            <w:rStyle w:val="Hyperlink"/>
            <w:color w:val="auto"/>
            <w:u w:val="none"/>
            <w:lang w:val="es-ES_tradnl"/>
          </w:rPr>
          <w:t>UIT-R</w:t>
        </w:r>
        <w:r w:rsidR="00152038">
          <w:rPr>
            <w:rStyle w:val="Hyperlink"/>
            <w:color w:val="auto"/>
            <w:u w:val="none"/>
            <w:lang w:val="es-ES_tradnl"/>
          </w:rPr>
          <w:t> </w:t>
        </w:r>
        <w:r w:rsidRPr="00152038">
          <w:rPr>
            <w:rStyle w:val="Hyperlink"/>
            <w:color w:val="auto"/>
            <w:u w:val="none"/>
            <w:lang w:val="es-ES_tradnl"/>
          </w:rPr>
          <w:t>SM.2153</w:t>
        </w:r>
      </w:hyperlink>
      <w:r w:rsidR="00152038" w:rsidRPr="00152038">
        <w:rPr>
          <w:lang w:val="es-ES_tradnl"/>
        </w:rPr>
        <w:t> </w:t>
      </w:r>
      <w:r w:rsidRPr="00152038">
        <w:rPr>
          <w:lang w:val="es-ES_tradnl"/>
        </w:rPr>
        <w:t>–</w:t>
      </w:r>
      <w:r w:rsidR="00152038" w:rsidRPr="00152038">
        <w:rPr>
          <w:lang w:val="es-ES_tradnl"/>
        </w:rPr>
        <w:t> </w:t>
      </w:r>
      <w:r w:rsidRPr="00152038">
        <w:rPr>
          <w:lang w:val="es-ES_tradnl"/>
        </w:rPr>
        <w:t>Parámetros técnicos y de funcionamiento de los dispositivos de radiocomunicaciones de corto alcance y utilización del espectro por los mismos</w:t>
      </w:r>
    </w:p>
    <w:p w14:paraId="78177605" w14:textId="00F0F560" w:rsidR="00A17958" w:rsidRPr="00152038" w:rsidRDefault="00A17958" w:rsidP="00A17958">
      <w:pPr>
        <w:pStyle w:val="Reftext"/>
        <w:rPr>
          <w:rFonts w:eastAsia="Calibri"/>
          <w:lang w:val="es-ES_tradnl"/>
        </w:rPr>
      </w:pPr>
      <w:r w:rsidRPr="00152038">
        <w:rPr>
          <w:lang w:val="es-ES_tradnl"/>
        </w:rPr>
        <w:lastRenderedPageBreak/>
        <w:t xml:space="preserve">Informe </w:t>
      </w:r>
      <w:hyperlink r:id="rId19" w:history="1">
        <w:r w:rsidRPr="00152038">
          <w:rPr>
            <w:rStyle w:val="Hyperlink"/>
            <w:color w:val="auto"/>
            <w:u w:val="none"/>
            <w:lang w:val="es-ES_tradnl"/>
          </w:rPr>
          <w:t>UIT-R SM.2303</w:t>
        </w:r>
      </w:hyperlink>
      <w:r w:rsidR="00152038" w:rsidRPr="00152038">
        <w:rPr>
          <w:lang w:val="es-ES_tradnl"/>
        </w:rPr>
        <w:t> </w:t>
      </w:r>
      <w:r w:rsidRPr="00152038">
        <w:rPr>
          <w:lang w:val="es-ES_tradnl"/>
        </w:rPr>
        <w:t>–</w:t>
      </w:r>
      <w:r w:rsidR="00152038" w:rsidRPr="00152038">
        <w:rPr>
          <w:lang w:val="es-ES_tradnl"/>
        </w:rPr>
        <w:t> </w:t>
      </w:r>
      <w:r w:rsidRPr="00152038">
        <w:rPr>
          <w:lang w:val="es-ES_tradnl"/>
        </w:rPr>
        <w:t>Transmisión inalámbrica de potencia mediante tecnologías distintas de las de haces radioeléctricos</w:t>
      </w:r>
    </w:p>
    <w:p w14:paraId="371799D3" w14:textId="279D40BF" w:rsidR="00A17958" w:rsidRPr="00152038" w:rsidRDefault="00A17958" w:rsidP="00A17958">
      <w:pPr>
        <w:pStyle w:val="Reftext"/>
        <w:rPr>
          <w:rFonts w:eastAsia="Calibri"/>
          <w:lang w:val="es-ES_tradnl"/>
        </w:rPr>
      </w:pPr>
      <w:r w:rsidRPr="00152038">
        <w:rPr>
          <w:lang w:val="es-ES_tradnl"/>
        </w:rPr>
        <w:t xml:space="preserve">Informe </w:t>
      </w:r>
      <w:hyperlink r:id="rId20" w:history="1">
        <w:r w:rsidRPr="00152038">
          <w:rPr>
            <w:rStyle w:val="Hyperlink"/>
            <w:color w:val="auto"/>
            <w:u w:val="none"/>
            <w:lang w:val="es-ES_tradnl"/>
          </w:rPr>
          <w:t>UIT-R SM.2451</w:t>
        </w:r>
      </w:hyperlink>
      <w:r w:rsidR="00152038" w:rsidRPr="00152038">
        <w:rPr>
          <w:lang w:val="es-ES_tradnl"/>
        </w:rPr>
        <w:t> </w:t>
      </w:r>
      <w:r w:rsidRPr="00152038">
        <w:rPr>
          <w:lang w:val="es-ES_tradnl"/>
        </w:rPr>
        <w:t>–</w:t>
      </w:r>
      <w:r w:rsidR="00152038" w:rsidRPr="00152038">
        <w:rPr>
          <w:lang w:val="es-ES_tradnl"/>
        </w:rPr>
        <w:t> </w:t>
      </w:r>
      <w:r w:rsidRPr="00152038">
        <w:rPr>
          <w:lang w:val="es-ES_tradnl"/>
        </w:rPr>
        <w:t>Evaluación de los efectos de la transmisión inalámbrica de potencia para vehículos eléctricos sobre los servicios de radiocomunicaciones que funcionan por debajo de 30</w:t>
      </w:r>
      <w:r w:rsidR="00CC5460" w:rsidRPr="00152038">
        <w:rPr>
          <w:lang w:val="es-ES_tradnl"/>
        </w:rPr>
        <w:t> </w:t>
      </w:r>
      <w:r w:rsidRPr="00152038">
        <w:rPr>
          <w:lang w:val="es-ES_tradnl"/>
        </w:rPr>
        <w:t>MHz</w:t>
      </w:r>
    </w:p>
    <w:p w14:paraId="1F74FECF" w14:textId="0F6B1DC8" w:rsidR="00A17958" w:rsidRPr="00152038" w:rsidRDefault="00A17958" w:rsidP="00A17958">
      <w:pPr>
        <w:pStyle w:val="Reftext"/>
        <w:rPr>
          <w:lang w:val="es-ES_tradnl"/>
        </w:rPr>
      </w:pPr>
      <w:r w:rsidRPr="00152038">
        <w:rPr>
          <w:lang w:val="es-ES_tradnl"/>
        </w:rPr>
        <w:t xml:space="preserve">Informe </w:t>
      </w:r>
      <w:hyperlink r:id="rId21" w:history="1">
        <w:r w:rsidRPr="00152038">
          <w:rPr>
            <w:rStyle w:val="Hyperlink"/>
            <w:color w:val="auto"/>
            <w:u w:val="none"/>
            <w:lang w:val="es-ES_tradnl"/>
          </w:rPr>
          <w:t>UIT-R TF.2487</w:t>
        </w:r>
      </w:hyperlink>
      <w:r w:rsidR="00152038" w:rsidRPr="00152038">
        <w:rPr>
          <w:lang w:val="es-ES_tradnl"/>
        </w:rPr>
        <w:t> </w:t>
      </w:r>
      <w:r w:rsidRPr="00152038">
        <w:rPr>
          <w:lang w:val="es-ES_tradnl"/>
        </w:rPr>
        <w:t>–</w:t>
      </w:r>
      <w:r w:rsidR="00152038" w:rsidRPr="00152038">
        <w:rPr>
          <w:lang w:val="es-ES_tradnl"/>
        </w:rPr>
        <w:t> </w:t>
      </w:r>
      <w:r w:rsidRPr="00152038">
        <w:rPr>
          <w:lang w:val="es-ES_tradnl"/>
        </w:rPr>
        <w:t>Criterios de protección para los sistemas de los servicios de frecuencias patrón y señales horarias</w:t>
      </w:r>
    </w:p>
    <w:p w14:paraId="666005CB" w14:textId="77777777" w:rsidR="00A17958" w:rsidRDefault="00A17958" w:rsidP="00A17958">
      <w:pPr>
        <w:pStyle w:val="Normalaftertitle"/>
        <w:rPr>
          <w:lang w:val="es-ES_tradnl"/>
        </w:rPr>
      </w:pPr>
      <w:r>
        <w:rPr>
          <w:lang w:val="es-ES_tradnl"/>
        </w:rPr>
        <w:t>La Asamblea de Radiocomunicaciones de la UIT,</w:t>
      </w:r>
    </w:p>
    <w:p w14:paraId="0CCB183D" w14:textId="77777777" w:rsidR="00A17958" w:rsidRDefault="00A17958" w:rsidP="00A17958">
      <w:pPr>
        <w:pStyle w:val="Call"/>
        <w:rPr>
          <w:lang w:val="es-ES_tradnl"/>
        </w:rPr>
      </w:pPr>
      <w:r>
        <w:rPr>
          <w:iCs/>
          <w:lang w:val="es-ES_tradnl"/>
        </w:rPr>
        <w:t>considerando</w:t>
      </w:r>
    </w:p>
    <w:p w14:paraId="666D8751" w14:textId="77777777" w:rsidR="00A17958" w:rsidRDefault="00A17958" w:rsidP="00A17958">
      <w:pPr>
        <w:rPr>
          <w:lang w:val="es-ES_tradnl"/>
        </w:rPr>
      </w:pPr>
      <w:r>
        <w:rPr>
          <w:i/>
          <w:iCs/>
          <w:lang w:val="es-ES_tradnl"/>
        </w:rPr>
        <w:t>a)</w:t>
      </w:r>
      <w:r>
        <w:rPr>
          <w:lang w:val="es-ES_tradnl"/>
        </w:rPr>
        <w:tab/>
        <w:t>que por transmisión inalámbrica de potencia (TIP) se entiende la transmisión de potencia desde una fuente de alimentación a una carga eléctrica de manera inalámbrica mediante el campo electromagnético;</w:t>
      </w:r>
    </w:p>
    <w:p w14:paraId="12ED203F" w14:textId="77777777" w:rsidR="00A17958" w:rsidRDefault="00A17958" w:rsidP="00A17958">
      <w:pPr>
        <w:rPr>
          <w:lang w:val="es-ES_tradnl"/>
        </w:rPr>
      </w:pPr>
      <w:r>
        <w:rPr>
          <w:i/>
          <w:iCs/>
          <w:lang w:val="es-ES_tradnl"/>
        </w:rPr>
        <w:t>b)</w:t>
      </w:r>
      <w:r>
        <w:rPr>
          <w:lang w:val="es-ES_tradnl"/>
        </w:rPr>
        <w:tab/>
        <w:t>que las tecnologías de TIP utilizan diversos mecanismos tales como la transmisión a través de transmisiones radiadas en el campo lejano (TIP a través de haces) y la inducción, la resonancia y el acoplamiento capacitivo en el campo cercano (TIP sin haces);</w:t>
      </w:r>
    </w:p>
    <w:p w14:paraId="2DFAC0FE" w14:textId="77777777" w:rsidR="00A17958" w:rsidRDefault="00A17958" w:rsidP="00A17958">
      <w:pPr>
        <w:rPr>
          <w:lang w:val="es-ES_tradnl"/>
        </w:rPr>
      </w:pPr>
      <w:r>
        <w:rPr>
          <w:lang w:val="es-ES_tradnl"/>
        </w:rPr>
        <w:t>c)</w:t>
      </w:r>
      <w:r>
        <w:rPr>
          <w:lang w:val="es-ES_tradnl"/>
        </w:rPr>
        <w:tab/>
        <w:t>que se están considerando las tecnologías TIP para aplicaciones tales como la carga de vehículos eléctricos;</w:t>
      </w:r>
    </w:p>
    <w:p w14:paraId="07CA9B48" w14:textId="77777777" w:rsidR="00A17958" w:rsidRDefault="00A17958" w:rsidP="00A17958">
      <w:pPr>
        <w:rPr>
          <w:lang w:val="es-ES_tradnl"/>
        </w:rPr>
      </w:pPr>
      <w:r>
        <w:rPr>
          <w:i/>
          <w:iCs/>
          <w:lang w:val="es-ES_tradnl"/>
        </w:rPr>
        <w:t>d)</w:t>
      </w:r>
      <w:r>
        <w:rPr>
          <w:lang w:val="es-ES_tradnl"/>
        </w:rPr>
        <w:tab/>
        <w:t>que se están elaborando normas y reglamentos TIP a escala nacional, regional e internacional;</w:t>
      </w:r>
    </w:p>
    <w:p w14:paraId="02B3C5D1" w14:textId="7CCCEEB9" w:rsidR="00A17958" w:rsidRDefault="00A17958" w:rsidP="00A17958">
      <w:pPr>
        <w:rPr>
          <w:lang w:val="es-ES_tradnl"/>
        </w:rPr>
      </w:pPr>
      <w:r>
        <w:rPr>
          <w:i/>
          <w:iCs/>
          <w:lang w:val="es-ES_tradnl"/>
        </w:rPr>
        <w:t>e)</w:t>
      </w:r>
      <w:r>
        <w:rPr>
          <w:lang w:val="es-ES_tradnl"/>
        </w:rPr>
        <w:tab/>
        <w:t>que alianzas industriales, consorcios e instituciones académicas han investigado varias bandas de frecuencias fundamentales para las tecnologías TIP, entre ellas: 19</w:t>
      </w:r>
      <w:r w:rsidR="00CC5460">
        <w:rPr>
          <w:lang w:val="es-ES_tradnl"/>
        </w:rPr>
        <w:noBreakHyphen/>
      </w:r>
      <w:r>
        <w:rPr>
          <w:lang w:val="es-ES_tradnl"/>
        </w:rPr>
        <w:t>21</w:t>
      </w:r>
      <w:r w:rsidR="00CC5460">
        <w:rPr>
          <w:lang w:val="es-ES_tradnl"/>
        </w:rPr>
        <w:t> </w:t>
      </w:r>
      <w:r>
        <w:rPr>
          <w:lang w:val="es-ES_tradnl"/>
        </w:rPr>
        <w:t>kHz y 79</w:t>
      </w:r>
      <w:r w:rsidR="00CC5460">
        <w:rPr>
          <w:lang w:val="es-ES_tradnl"/>
        </w:rPr>
        <w:noBreakHyphen/>
      </w:r>
      <w:r>
        <w:rPr>
          <w:lang w:val="es-ES_tradnl"/>
        </w:rPr>
        <w:t>90</w:t>
      </w:r>
      <w:r w:rsidR="00CC5460">
        <w:rPr>
          <w:lang w:val="es-ES_tradnl"/>
        </w:rPr>
        <w:t> </w:t>
      </w:r>
      <w:r>
        <w:rPr>
          <w:lang w:val="es-ES_tradnl"/>
        </w:rPr>
        <w:t>kHz para vehículos eléctricos;</w:t>
      </w:r>
    </w:p>
    <w:p w14:paraId="45B8A04B" w14:textId="77777777" w:rsidR="00A17958" w:rsidRDefault="00A17958" w:rsidP="00A17958">
      <w:pPr>
        <w:rPr>
          <w:lang w:val="es-ES_tradnl"/>
        </w:rPr>
      </w:pPr>
      <w:r>
        <w:rPr>
          <w:i/>
          <w:iCs/>
          <w:lang w:val="es-ES_tradnl"/>
        </w:rPr>
        <w:t>f)</w:t>
      </w:r>
      <w:r>
        <w:rPr>
          <w:lang w:val="es-ES_tradnl"/>
        </w:rPr>
        <w:tab/>
        <w:t>que se han realizado estudios sobre los efectos de la TIP sin haces en los servicios de radiocomunicaciones, que figuran en el Informe UIT-R SM.2451;</w:t>
      </w:r>
    </w:p>
    <w:p w14:paraId="56EA2E05" w14:textId="77777777" w:rsidR="00A17958" w:rsidRDefault="00A17958" w:rsidP="00A17958">
      <w:pPr>
        <w:rPr>
          <w:lang w:val="es-ES_tradnl"/>
        </w:rPr>
      </w:pPr>
      <w:r>
        <w:rPr>
          <w:i/>
          <w:iCs/>
          <w:lang w:val="es-ES_tradnl"/>
        </w:rPr>
        <w:t>g)</w:t>
      </w:r>
      <w:r>
        <w:rPr>
          <w:lang w:val="es-ES_tradnl"/>
        </w:rPr>
        <w:tab/>
        <w:t>que para los estudios de TIP, el servicio de radioastronomía se tratará como un servicio de radiocomunicación;</w:t>
      </w:r>
    </w:p>
    <w:p w14:paraId="70F45F50" w14:textId="77777777" w:rsidR="00A17958" w:rsidRDefault="00A17958" w:rsidP="00A17958">
      <w:pPr>
        <w:rPr>
          <w:lang w:val="es-ES_tradnl"/>
        </w:rPr>
      </w:pPr>
      <w:r>
        <w:rPr>
          <w:i/>
          <w:iCs/>
          <w:lang w:val="es-ES_tradnl"/>
        </w:rPr>
        <w:t>h)</w:t>
      </w:r>
      <w:r>
        <w:rPr>
          <w:lang w:val="es-ES_tradnl"/>
        </w:rPr>
        <w:tab/>
        <w:t>que a medida que proliferan más dispositivos TIP en todo el mundo, la utilización de tecnologías TIP puede afectar a los servicios de radiocomunicaciones, incluidos el servicio de frecuencias patrón y de señales horarias y el servicio de radioastronomía, y que la TIP no debe causar interferencia perjudicial a los servicios de radiocomunicaciones;</w:t>
      </w:r>
    </w:p>
    <w:p w14:paraId="69F976AC" w14:textId="77777777" w:rsidR="00A17958" w:rsidRDefault="00A17958" w:rsidP="00A17958">
      <w:pPr>
        <w:rPr>
          <w:lang w:val="es-ES_tradnl"/>
        </w:rPr>
      </w:pPr>
      <w:r>
        <w:rPr>
          <w:i/>
          <w:iCs/>
          <w:lang w:val="es-ES_tradnl"/>
        </w:rPr>
        <w:t>i)</w:t>
      </w:r>
      <w:r>
        <w:rPr>
          <w:lang w:val="es-ES_tradnl"/>
        </w:rPr>
        <w:tab/>
        <w:t>que, para atenuar los efectos de los dispositivos TIP en el funcionamiento de los servicios de radiocomunicaciones, algunas soluciones utilizan bandas de frecuencias ya designadas para aplicaciones industriales, científicas y médicas (ICM),</w:t>
      </w:r>
    </w:p>
    <w:p w14:paraId="224A9301" w14:textId="77777777" w:rsidR="00A17958" w:rsidRDefault="00A17958" w:rsidP="00A17958">
      <w:pPr>
        <w:pStyle w:val="Call"/>
        <w:rPr>
          <w:lang w:val="es-ES_tradnl"/>
        </w:rPr>
      </w:pPr>
      <w:r>
        <w:rPr>
          <w:iCs/>
          <w:lang w:val="es-ES_tradnl"/>
        </w:rPr>
        <w:t>reconociendo</w:t>
      </w:r>
    </w:p>
    <w:p w14:paraId="21F66422" w14:textId="284EFE91" w:rsidR="00A17958" w:rsidRDefault="00A17958" w:rsidP="00A17958">
      <w:pPr>
        <w:rPr>
          <w:lang w:val="es-ES_tradnl"/>
        </w:rPr>
      </w:pPr>
      <w:r>
        <w:rPr>
          <w:i/>
          <w:iCs/>
          <w:lang w:val="es-ES_tradnl"/>
        </w:rPr>
        <w:t>a)</w:t>
      </w:r>
      <w:r>
        <w:rPr>
          <w:lang w:val="es-ES_tradnl"/>
        </w:rPr>
        <w:tab/>
        <w:t>que la TIP no es un servicio de radiocomunicaciones y no tiene categoría alguna en el Reglamento de Radiocomunicaciones (RR), pero puede considerarse sujeta a los números</w:t>
      </w:r>
      <w:r w:rsidR="00314622">
        <w:rPr>
          <w:lang w:val="es-ES_tradnl"/>
        </w:rPr>
        <w:t> </w:t>
      </w:r>
      <w:r>
        <w:rPr>
          <w:b/>
          <w:bCs/>
          <w:lang w:val="es-ES_tradnl"/>
        </w:rPr>
        <w:t>15.12</w:t>
      </w:r>
      <w:r>
        <w:rPr>
          <w:lang w:val="es-ES_tradnl"/>
        </w:rPr>
        <w:t xml:space="preserve"> </w:t>
      </w:r>
      <w:r w:rsidR="00152038">
        <w:rPr>
          <w:lang w:val="es-ES_tradnl"/>
        </w:rPr>
        <w:t>ó</w:t>
      </w:r>
      <w:r>
        <w:rPr>
          <w:lang w:val="es-ES_tradnl"/>
        </w:rPr>
        <w:t xml:space="preserve"> </w:t>
      </w:r>
      <w:r>
        <w:rPr>
          <w:b/>
          <w:bCs/>
          <w:lang w:val="es-ES_tradnl"/>
        </w:rPr>
        <w:t>15.13</w:t>
      </w:r>
      <w:r>
        <w:rPr>
          <w:lang w:val="es-ES_tradnl"/>
        </w:rPr>
        <w:t xml:space="preserve"> del RR;</w:t>
      </w:r>
    </w:p>
    <w:p w14:paraId="046C2CDE" w14:textId="0D3402E7" w:rsidR="00A17958" w:rsidRDefault="00A17958" w:rsidP="00A17958">
      <w:pPr>
        <w:rPr>
          <w:lang w:val="es-ES_tradnl"/>
        </w:rPr>
      </w:pPr>
      <w:r>
        <w:rPr>
          <w:i/>
          <w:iCs/>
          <w:lang w:val="es-ES_tradnl"/>
        </w:rPr>
        <w:t>b)</w:t>
      </w:r>
      <w:r>
        <w:rPr>
          <w:lang w:val="es-ES_tradnl"/>
        </w:rPr>
        <w:tab/>
        <w:t>que los criterios para proteger los diversos servicios de radiocomunicaciones contra la interferencia perjudicial se especifican en Recomendaciones UIT-R existentes;</w:t>
      </w:r>
    </w:p>
    <w:p w14:paraId="4502032F" w14:textId="77777777" w:rsidR="00A17958" w:rsidRDefault="00A17958" w:rsidP="00A17958">
      <w:pPr>
        <w:rPr>
          <w:lang w:val="es-ES_tradnl"/>
        </w:rPr>
      </w:pPr>
      <w:r>
        <w:rPr>
          <w:i/>
          <w:iCs/>
          <w:lang w:val="es-ES_tradnl"/>
        </w:rPr>
        <w:t>c)</w:t>
      </w:r>
      <w:r>
        <w:rPr>
          <w:lang w:val="es-ES_tradnl"/>
        </w:rPr>
        <w:tab/>
        <w:t>que tanto consumidores como fabricantes pueden beneficiarse de gamas de frecuencias y condiciones técnicas armonizadas para las tecnologías TIP;</w:t>
      </w:r>
    </w:p>
    <w:p w14:paraId="7941074D" w14:textId="77777777" w:rsidR="00A17958" w:rsidRDefault="00A17958" w:rsidP="00A17958">
      <w:pPr>
        <w:rPr>
          <w:lang w:val="es-ES_tradnl"/>
        </w:rPr>
      </w:pPr>
      <w:r>
        <w:rPr>
          <w:i/>
          <w:iCs/>
          <w:lang w:val="es-ES_tradnl"/>
        </w:rPr>
        <w:t>d)</w:t>
      </w:r>
      <w:r>
        <w:rPr>
          <w:lang w:val="es-ES_tradnl"/>
        </w:rPr>
        <w:tab/>
        <w:t>que algunas administraciones clasifican la transferencia de energía TIP sin haces como una aplicación ICM, incluso para la explotación fuera de las bandas designadas para aplicaciones ICM;</w:t>
      </w:r>
    </w:p>
    <w:p w14:paraId="4EC1FE06" w14:textId="77777777" w:rsidR="00A17958" w:rsidRDefault="00A17958" w:rsidP="00A17958">
      <w:pPr>
        <w:rPr>
          <w:i/>
          <w:lang w:val="es-ES_tradnl"/>
        </w:rPr>
      </w:pPr>
      <w:r>
        <w:rPr>
          <w:i/>
          <w:lang w:val="es-ES_tradnl"/>
        </w:rPr>
        <w:lastRenderedPageBreak/>
        <w:t>e)</w:t>
      </w:r>
      <w:r>
        <w:rPr>
          <w:lang w:val="es-ES_tradnl"/>
        </w:rPr>
        <w:tab/>
        <w:t>que algunas administraciones clasifican los sistemas TIP sin haces como aplicaciones radioeléctricas, como los dispositivos radioeléctricos de corto alcance;</w:t>
      </w:r>
    </w:p>
    <w:p w14:paraId="033AF923" w14:textId="77777777" w:rsidR="00A17958" w:rsidRDefault="00A17958" w:rsidP="00A17958">
      <w:pPr>
        <w:rPr>
          <w:lang w:val="es-ES_tradnl"/>
        </w:rPr>
      </w:pPr>
      <w:r>
        <w:rPr>
          <w:i/>
          <w:iCs/>
          <w:lang w:val="es-ES_tradnl"/>
        </w:rPr>
        <w:t>f)</w:t>
      </w:r>
      <w:r>
        <w:rPr>
          <w:lang w:val="es-ES_tradnl"/>
        </w:rPr>
        <w:tab/>
        <w:t>que para la utilización armonizada a escala mundial o regional de aplicaciones de TIP específicas se están examinando bandas distintas de las utilizadas para las aplicaciones ICM;</w:t>
      </w:r>
    </w:p>
    <w:p w14:paraId="087455BC" w14:textId="16826DFB" w:rsidR="00A17958" w:rsidRDefault="00A17958" w:rsidP="00A17958">
      <w:pPr>
        <w:rPr>
          <w:lang w:val="es-ES_tradnl"/>
        </w:rPr>
      </w:pPr>
      <w:r>
        <w:rPr>
          <w:i/>
          <w:iCs/>
          <w:lang w:val="es-ES_tradnl"/>
        </w:rPr>
        <w:t>g)</w:t>
      </w:r>
      <w:r>
        <w:rPr>
          <w:lang w:val="es-ES_tradnl"/>
        </w:rPr>
        <w:tab/>
        <w:t>que la transferencia de energía de sistemas TIP sin haces puede ser tratada separadamente de las comunicaciones de datos, especialmente cuando el dispositivo receptor recibe comunicaciones de datos a una frecuencia diferente a la de transferencia de potencia;</w:t>
      </w:r>
    </w:p>
    <w:p w14:paraId="7209D29B" w14:textId="77777777" w:rsidR="00A17958" w:rsidRDefault="00A17958" w:rsidP="00A17958">
      <w:pPr>
        <w:rPr>
          <w:i/>
          <w:lang w:val="es-ES_tradnl"/>
        </w:rPr>
      </w:pPr>
      <w:r>
        <w:rPr>
          <w:i/>
          <w:iCs/>
          <w:lang w:val="es-ES_tradnl"/>
        </w:rPr>
        <w:t>h)</w:t>
      </w:r>
      <w:r>
        <w:rPr>
          <w:lang w:val="es-ES_tradnl"/>
        </w:rPr>
        <w:tab/>
        <w:t>que en ausencia de carga, la TIP-VE se apaga y no radia;</w:t>
      </w:r>
    </w:p>
    <w:p w14:paraId="7DE175D0" w14:textId="42CC590C" w:rsidR="00A17958" w:rsidRDefault="00A17958" w:rsidP="00A17958">
      <w:pPr>
        <w:rPr>
          <w:lang w:val="es-ES_tradnl"/>
        </w:rPr>
      </w:pPr>
      <w:r>
        <w:rPr>
          <w:i/>
          <w:iCs/>
          <w:lang w:val="es-ES_tradnl"/>
        </w:rPr>
        <w:t>i)</w:t>
      </w:r>
      <w:r>
        <w:rPr>
          <w:lang w:val="es-ES_tradnl"/>
        </w:rPr>
        <w:tab/>
        <w:t>que para la TIP-VE sin haces, la potencia RF radiada externa al sistema TIP-VE es muy inferior a la potencia RF transferida al vehículo. La mayor parte de potencia se transfiere al receptor por mecanismos tales como el acoplamiento capacitivo, resonante e inductivo;</w:t>
      </w:r>
    </w:p>
    <w:p w14:paraId="4D71A4AC" w14:textId="77777777" w:rsidR="00A17958" w:rsidRDefault="00A17958" w:rsidP="00A17958">
      <w:pPr>
        <w:rPr>
          <w:lang w:val="es-ES_tradnl"/>
        </w:rPr>
      </w:pPr>
      <w:r>
        <w:rPr>
          <w:i/>
          <w:iCs/>
          <w:lang w:val="es-ES_tradnl"/>
        </w:rPr>
        <w:t>j)</w:t>
      </w:r>
      <w:r>
        <w:rPr>
          <w:lang w:val="es-ES_tradnl"/>
        </w:rPr>
        <w:tab/>
        <w:t>que la Recomendación UIT-R SM.1056, relativa a la limitación de la radiación procedente de equipos ICM, recomienda que las administraciones consideren la utilización de la última edición 11 del CISPR. Estos límites no protegen necesariamente los servicios de radiocomunicaciones,</w:t>
      </w:r>
    </w:p>
    <w:p w14:paraId="1BC73AEB" w14:textId="77777777" w:rsidR="00A17958" w:rsidRDefault="00A17958" w:rsidP="00A17958">
      <w:pPr>
        <w:pStyle w:val="Call"/>
        <w:rPr>
          <w:lang w:val="es-ES_tradnl"/>
        </w:rPr>
      </w:pPr>
      <w:r>
        <w:rPr>
          <w:iCs/>
          <w:lang w:val="es-ES_tradnl"/>
        </w:rPr>
        <w:t>observando</w:t>
      </w:r>
    </w:p>
    <w:p w14:paraId="452C1A72" w14:textId="37FD8D30" w:rsidR="00A17958" w:rsidRDefault="00A17958" w:rsidP="00A17958">
      <w:pPr>
        <w:rPr>
          <w:lang w:val="es-ES_tradnl"/>
        </w:rPr>
      </w:pPr>
      <w:r>
        <w:rPr>
          <w:i/>
          <w:iCs/>
          <w:lang w:val="es-ES_tradnl"/>
        </w:rPr>
        <w:t>a)</w:t>
      </w:r>
      <w:r>
        <w:rPr>
          <w:lang w:val="es-ES_tradnl"/>
        </w:rPr>
        <w:tab/>
        <w:t>que el TC 69 de la CEI publicó la Norma Internacional (IS) 61980-1 sobre requisitos generales de los sistemas de transferencia inalámbrica de potencia para vehículos eléctricos, la IS</w:t>
      </w:r>
      <w:r w:rsidR="00CC5460">
        <w:rPr>
          <w:lang w:val="es-ES_tradnl"/>
        </w:rPr>
        <w:t> </w:t>
      </w:r>
      <w:r>
        <w:rPr>
          <w:lang w:val="es-ES_tradnl"/>
        </w:rPr>
        <w:t>61980</w:t>
      </w:r>
      <w:r w:rsidR="00CC5460">
        <w:rPr>
          <w:lang w:val="es-ES_tradnl"/>
        </w:rPr>
        <w:noBreakHyphen/>
      </w:r>
      <w:r>
        <w:rPr>
          <w:lang w:val="es-ES_tradnl"/>
        </w:rPr>
        <w:t>2 sobre los requisitos específicos para la comunicación entre el vehículo eléctrico de carretera y la infraestructura y la IS 61980-3 sobre los requisitos específicos de los sistemas de transferencia de potencia por campo magnético de TIP-VE;</w:t>
      </w:r>
    </w:p>
    <w:p w14:paraId="47FF4F6C" w14:textId="33DA922A" w:rsidR="00A17958" w:rsidRDefault="00A17958" w:rsidP="00A17958">
      <w:pPr>
        <w:rPr>
          <w:lang w:val="es-ES_tradnl"/>
        </w:rPr>
      </w:pPr>
      <w:r>
        <w:rPr>
          <w:i/>
          <w:iCs/>
          <w:lang w:val="es-ES_tradnl"/>
        </w:rPr>
        <w:t>b)</w:t>
      </w:r>
      <w:r>
        <w:rPr>
          <w:lang w:val="es-ES_tradnl"/>
        </w:rPr>
        <w:tab/>
        <w:t>que la Organización Internacional de Normalización (ISO/TC22/SC37) publicó la Norma Internacional ISO (IS) 5474</w:t>
      </w:r>
      <w:r w:rsidR="00CC5460">
        <w:rPr>
          <w:lang w:val="es-ES_tradnl"/>
        </w:rPr>
        <w:noBreakHyphen/>
      </w:r>
      <w:r>
        <w:rPr>
          <w:lang w:val="es-ES_tradnl"/>
        </w:rPr>
        <w:t>4 sobre vehículos de carretera de propulsión eléctrica: requisitos funcionales y de seguridad para la transferencia de potencia entre el vehículo y el circuito eléctrico externo, parte 4: transferencia inalámbrica de potencia por campo magnético;</w:t>
      </w:r>
    </w:p>
    <w:p w14:paraId="2896AB11" w14:textId="77777777" w:rsidR="00A17958" w:rsidRDefault="00A17958" w:rsidP="00A17958">
      <w:pPr>
        <w:rPr>
          <w:lang w:val="es-ES_tradnl"/>
        </w:rPr>
      </w:pPr>
      <w:r>
        <w:rPr>
          <w:i/>
          <w:iCs/>
          <w:lang w:val="es-ES_tradnl"/>
        </w:rPr>
        <w:t>c)</w:t>
      </w:r>
      <w:r>
        <w:rPr>
          <w:lang w:val="es-ES_tradnl"/>
        </w:rPr>
        <w:tab/>
        <w:t>que SAE International publicó la Norma J2954 sobre transferencia inalámbrica de potencia para vehículos ligeros enchufables/eléctricos y metodología de alineación;</w:t>
      </w:r>
    </w:p>
    <w:p w14:paraId="372D73EF" w14:textId="77777777" w:rsidR="00A17958" w:rsidRDefault="00A17958" w:rsidP="00A17958">
      <w:pPr>
        <w:rPr>
          <w:lang w:val="es-ES_tradnl"/>
        </w:rPr>
      </w:pPr>
      <w:r>
        <w:rPr>
          <w:i/>
          <w:iCs/>
          <w:lang w:val="es-ES_tradnl"/>
        </w:rPr>
        <w:t>d)</w:t>
      </w:r>
      <w:r>
        <w:rPr>
          <w:lang w:val="es-ES_tradnl"/>
        </w:rPr>
        <w:tab/>
        <w:t>que las cuestiones relativas a la exposición a radiaciones no ionizantes son abordadas por organizaciones internacionales tales como la OMS, la ICNIRP y el IEEE;</w:t>
      </w:r>
    </w:p>
    <w:p w14:paraId="65C5599C" w14:textId="1DDF2306" w:rsidR="00A17958" w:rsidRDefault="00A17958" w:rsidP="00A17958">
      <w:pPr>
        <w:rPr>
          <w:rFonts w:eastAsia="Calibri"/>
          <w:lang w:val="es-ES_tradnl"/>
        </w:rPr>
      </w:pPr>
      <w:r>
        <w:rPr>
          <w:i/>
          <w:iCs/>
          <w:lang w:val="es-ES_tradnl"/>
        </w:rPr>
        <w:t>e)</w:t>
      </w:r>
      <w:r>
        <w:rPr>
          <w:lang w:val="es-ES_tradnl"/>
        </w:rPr>
        <w:tab/>
        <w:t>y que las directrices de la ICNIRP de 2010 tratan de limitar la exposición a campos eléctricos y magnéticos variables en el tiempo de 1</w:t>
      </w:r>
      <w:r w:rsidR="00CC5460">
        <w:rPr>
          <w:lang w:val="es-ES_tradnl"/>
        </w:rPr>
        <w:t> </w:t>
      </w:r>
      <w:r>
        <w:rPr>
          <w:lang w:val="es-ES_tradnl"/>
        </w:rPr>
        <w:t>Hz a 100</w:t>
      </w:r>
      <w:r w:rsidR="00CC5460">
        <w:rPr>
          <w:lang w:val="es-ES_tradnl"/>
        </w:rPr>
        <w:t> </w:t>
      </w:r>
      <w:r>
        <w:rPr>
          <w:lang w:val="es-ES_tradnl"/>
        </w:rPr>
        <w:t>kHz y que la norma IEEE</w:t>
      </w:r>
      <w:r w:rsidR="00CC5460">
        <w:rPr>
          <w:lang w:val="es-ES_tradnl"/>
        </w:rPr>
        <w:t> </w:t>
      </w:r>
      <w:r>
        <w:rPr>
          <w:lang w:val="es-ES_tradnl"/>
        </w:rPr>
        <w:t>C95.1 permite limitar la exposición en la gama de frecuencias de 0</w:t>
      </w:r>
      <w:r w:rsidR="00CC5460">
        <w:rPr>
          <w:lang w:val="es-ES_tradnl"/>
        </w:rPr>
        <w:t> </w:t>
      </w:r>
      <w:r>
        <w:rPr>
          <w:lang w:val="es-ES_tradnl"/>
        </w:rPr>
        <w:t>Hz a 300</w:t>
      </w:r>
      <w:r w:rsidR="00CC5460">
        <w:rPr>
          <w:lang w:val="es-ES_tradnl"/>
        </w:rPr>
        <w:t> </w:t>
      </w:r>
      <w:r>
        <w:rPr>
          <w:lang w:val="es-ES_tradnl"/>
        </w:rPr>
        <w:t>GHz,</w:t>
      </w:r>
    </w:p>
    <w:p w14:paraId="5F0BA1F1" w14:textId="77777777" w:rsidR="00A17958" w:rsidRDefault="00A17958" w:rsidP="00A17958">
      <w:pPr>
        <w:pStyle w:val="Call"/>
        <w:rPr>
          <w:lang w:val="es-ES_tradnl"/>
        </w:rPr>
      </w:pPr>
      <w:r>
        <w:rPr>
          <w:iCs/>
          <w:lang w:val="es-ES_tradnl"/>
        </w:rPr>
        <w:t>recomienda</w:t>
      </w:r>
    </w:p>
    <w:p w14:paraId="5C508672" w14:textId="150B9096" w:rsidR="00A17958" w:rsidRDefault="00A17958" w:rsidP="00A17958">
      <w:pPr>
        <w:rPr>
          <w:lang w:val="es-ES_tradnl"/>
        </w:rPr>
      </w:pPr>
      <w:r>
        <w:rPr>
          <w:lang w:val="es-ES_tradnl"/>
        </w:rPr>
        <w:t>que las gamas de frecuencias (o partes de las mismas) enumeradas en el Cuadro 1 siguiente, así como la Nota del Cuadro 1, se consideren orientativas para el funcionamiento de los sistemas TIP-VE sin haces y la protección de los servicios de radiocomunicaciones, teniendo en cuenta los considerando</w:t>
      </w:r>
      <w:r w:rsidR="00CC5460">
        <w:rPr>
          <w:lang w:val="es-ES_tradnl"/>
        </w:rPr>
        <w:t> </w:t>
      </w:r>
      <w:r>
        <w:rPr>
          <w:i/>
          <w:iCs/>
          <w:lang w:val="es-ES_tradnl"/>
        </w:rPr>
        <w:t>f)</w:t>
      </w:r>
      <w:r w:rsidR="00CC5460">
        <w:rPr>
          <w:lang w:val="es-ES_tradnl"/>
        </w:rPr>
        <w:t> </w:t>
      </w:r>
      <w:r>
        <w:rPr>
          <w:lang w:val="es-ES_tradnl"/>
        </w:rPr>
        <w:t xml:space="preserve">y </w:t>
      </w:r>
      <w:r>
        <w:rPr>
          <w:i/>
          <w:iCs/>
          <w:lang w:val="es-ES_tradnl"/>
        </w:rPr>
        <w:t>h)</w:t>
      </w:r>
      <w:r>
        <w:rPr>
          <w:lang w:val="es-ES_tradnl"/>
        </w:rPr>
        <w:t>.</w:t>
      </w:r>
    </w:p>
    <w:p w14:paraId="1842B2D6" w14:textId="0F427701" w:rsidR="00A17958" w:rsidRDefault="00A17958" w:rsidP="00152038">
      <w:pPr>
        <w:pStyle w:val="TableNo"/>
        <w:keepLines/>
        <w:rPr>
          <w:lang w:val="es-ES_tradnl"/>
        </w:rPr>
      </w:pPr>
      <w:r>
        <w:rPr>
          <w:lang w:val="es-ES_tradnl"/>
        </w:rPr>
        <w:lastRenderedPageBreak/>
        <w:t>CUADRO 1</w:t>
      </w:r>
    </w:p>
    <w:p w14:paraId="51D3730A" w14:textId="77777777" w:rsidR="00A17958" w:rsidRDefault="00A17958" w:rsidP="00152038">
      <w:pPr>
        <w:pStyle w:val="Tabletitle"/>
        <w:keepLines/>
        <w:rPr>
          <w:lang w:val="es-ES_tradnl"/>
        </w:rPr>
      </w:pPr>
      <w:r>
        <w:rPr>
          <w:bCs/>
          <w:lang w:val="es-ES_tradnl"/>
        </w:rPr>
        <w:t>Gamas de frecuencias para la explotación de sistemas de transmisión inalámbrica de potencia sin haces para vehículos eléctricos</w:t>
      </w:r>
    </w:p>
    <w:tbl>
      <w:tblPr>
        <w:tblStyle w:val="TableGrid1"/>
        <w:tblW w:w="9645" w:type="dxa"/>
        <w:tblInd w:w="0" w:type="dxa"/>
        <w:tblLayout w:type="fixed"/>
        <w:tblLook w:val="04A0" w:firstRow="1" w:lastRow="0" w:firstColumn="1" w:lastColumn="0" w:noHBand="0" w:noVBand="1"/>
      </w:tblPr>
      <w:tblGrid>
        <w:gridCol w:w="3262"/>
        <w:gridCol w:w="6383"/>
      </w:tblGrid>
      <w:tr w:rsidR="00A17958" w14:paraId="118E220A" w14:textId="77777777" w:rsidTr="00A17958">
        <w:tc>
          <w:tcPr>
            <w:tcW w:w="1691" w:type="pct"/>
            <w:tcBorders>
              <w:top w:val="single" w:sz="4" w:space="0" w:color="auto"/>
              <w:left w:val="single" w:sz="4" w:space="0" w:color="auto"/>
              <w:bottom w:val="single" w:sz="4" w:space="0" w:color="auto"/>
              <w:right w:val="single" w:sz="4" w:space="0" w:color="auto"/>
            </w:tcBorders>
            <w:hideMark/>
          </w:tcPr>
          <w:p w14:paraId="37F1226C" w14:textId="77777777" w:rsidR="00A17958" w:rsidRDefault="00A17958" w:rsidP="00152038">
            <w:pPr>
              <w:pStyle w:val="Tablehead"/>
              <w:keepLines/>
              <w:rPr>
                <w:lang w:val="es-ES_tradnl"/>
              </w:rPr>
            </w:pPr>
            <w:r>
              <w:rPr>
                <w:bCs/>
                <w:color w:val="000000"/>
                <w:lang w:val="es-ES_tradnl"/>
              </w:rPr>
              <w:t>Gama de frecuencias</w:t>
            </w:r>
            <w:r>
              <w:rPr>
                <w:bCs/>
                <w:color w:val="000000"/>
                <w:vertAlign w:val="superscript"/>
                <w:lang w:val="es-ES_tradnl"/>
              </w:rPr>
              <w:t>(1)</w:t>
            </w:r>
          </w:p>
        </w:tc>
        <w:tc>
          <w:tcPr>
            <w:tcW w:w="3309" w:type="pct"/>
            <w:tcBorders>
              <w:top w:val="single" w:sz="4" w:space="0" w:color="auto"/>
              <w:left w:val="single" w:sz="4" w:space="0" w:color="auto"/>
              <w:bottom w:val="single" w:sz="4" w:space="0" w:color="auto"/>
              <w:right w:val="single" w:sz="4" w:space="0" w:color="auto"/>
            </w:tcBorders>
            <w:hideMark/>
          </w:tcPr>
          <w:p w14:paraId="38C25044" w14:textId="77777777" w:rsidR="00A17958" w:rsidRDefault="00A17958" w:rsidP="00152038">
            <w:pPr>
              <w:pStyle w:val="Tablehead"/>
              <w:keepLines/>
              <w:rPr>
                <w:lang w:val="es-ES_tradnl"/>
              </w:rPr>
            </w:pPr>
            <w:r>
              <w:rPr>
                <w:bCs/>
                <w:color w:val="000000"/>
                <w:lang w:val="es-ES_tradnl"/>
              </w:rPr>
              <w:t>Tecnologías adecuadas de TIP-VE sin haces</w:t>
            </w:r>
          </w:p>
        </w:tc>
      </w:tr>
      <w:tr w:rsidR="00A17958" w14:paraId="6110AC97" w14:textId="77777777" w:rsidTr="00A17958">
        <w:tc>
          <w:tcPr>
            <w:tcW w:w="1691" w:type="pct"/>
            <w:tcBorders>
              <w:top w:val="single" w:sz="4" w:space="0" w:color="auto"/>
              <w:left w:val="single" w:sz="4" w:space="0" w:color="auto"/>
              <w:bottom w:val="single" w:sz="4" w:space="0" w:color="auto"/>
              <w:right w:val="single" w:sz="4" w:space="0" w:color="auto"/>
            </w:tcBorders>
            <w:hideMark/>
          </w:tcPr>
          <w:p w14:paraId="14BC8B3D" w14:textId="77777777" w:rsidR="00A17958" w:rsidRDefault="00A17958" w:rsidP="00152038">
            <w:pPr>
              <w:pStyle w:val="Tabletext"/>
              <w:keepNext/>
              <w:keepLines/>
              <w:jc w:val="center"/>
              <w:rPr>
                <w:lang w:val="es-ES_tradnl"/>
              </w:rPr>
            </w:pPr>
            <w:r>
              <w:rPr>
                <w:color w:val="000000"/>
                <w:lang w:val="es-ES_tradnl"/>
              </w:rPr>
              <w:t>19-21 kHz</w:t>
            </w:r>
          </w:p>
        </w:tc>
        <w:tc>
          <w:tcPr>
            <w:tcW w:w="3309" w:type="pct"/>
            <w:tcBorders>
              <w:top w:val="single" w:sz="4" w:space="0" w:color="auto"/>
              <w:left w:val="single" w:sz="4" w:space="0" w:color="auto"/>
              <w:bottom w:val="single" w:sz="4" w:space="0" w:color="auto"/>
              <w:right w:val="single" w:sz="4" w:space="0" w:color="auto"/>
            </w:tcBorders>
            <w:hideMark/>
          </w:tcPr>
          <w:p w14:paraId="20366014" w14:textId="77777777" w:rsidR="00A17958" w:rsidRDefault="00A17958" w:rsidP="00152038">
            <w:pPr>
              <w:pStyle w:val="Tabletext"/>
              <w:keepNext/>
              <w:keepLines/>
              <w:rPr>
                <w:lang w:val="es-ES_tradnl"/>
              </w:rPr>
            </w:pPr>
            <w:r>
              <w:rPr>
                <w:color w:val="000000"/>
                <w:lang w:val="es-ES_tradnl"/>
              </w:rPr>
              <w:t>Inducción magnética o resonancia magnética</w:t>
            </w:r>
          </w:p>
        </w:tc>
      </w:tr>
      <w:tr w:rsidR="00A17958" w14:paraId="7A969F43" w14:textId="77777777" w:rsidTr="00A17958">
        <w:tc>
          <w:tcPr>
            <w:tcW w:w="1691" w:type="pct"/>
            <w:tcBorders>
              <w:top w:val="single" w:sz="4" w:space="0" w:color="auto"/>
              <w:left w:val="single" w:sz="4" w:space="0" w:color="auto"/>
              <w:bottom w:val="single" w:sz="4" w:space="0" w:color="auto"/>
              <w:right w:val="single" w:sz="4" w:space="0" w:color="auto"/>
            </w:tcBorders>
            <w:hideMark/>
          </w:tcPr>
          <w:p w14:paraId="57BA0814" w14:textId="77777777" w:rsidR="00A17958" w:rsidRDefault="00A17958" w:rsidP="00152038">
            <w:pPr>
              <w:pStyle w:val="Tabletext"/>
              <w:keepNext/>
              <w:keepLines/>
              <w:jc w:val="center"/>
              <w:rPr>
                <w:lang w:val="es-ES_tradnl"/>
              </w:rPr>
            </w:pPr>
            <w:r>
              <w:rPr>
                <w:color w:val="000000"/>
                <w:lang w:val="es-ES_tradnl"/>
              </w:rPr>
              <w:t>79-90 kHz</w:t>
            </w:r>
          </w:p>
        </w:tc>
        <w:tc>
          <w:tcPr>
            <w:tcW w:w="3309" w:type="pct"/>
            <w:tcBorders>
              <w:top w:val="single" w:sz="4" w:space="0" w:color="auto"/>
              <w:left w:val="single" w:sz="4" w:space="0" w:color="auto"/>
              <w:bottom w:val="single" w:sz="4" w:space="0" w:color="auto"/>
              <w:right w:val="single" w:sz="4" w:space="0" w:color="auto"/>
            </w:tcBorders>
            <w:hideMark/>
          </w:tcPr>
          <w:p w14:paraId="16D4BE56" w14:textId="77777777" w:rsidR="00A17958" w:rsidRDefault="00A17958" w:rsidP="00152038">
            <w:pPr>
              <w:pStyle w:val="Tabletext"/>
              <w:keepNext/>
              <w:keepLines/>
              <w:rPr>
                <w:lang w:val="es-ES_tradnl"/>
              </w:rPr>
            </w:pPr>
            <w:r>
              <w:rPr>
                <w:color w:val="000000"/>
                <w:lang w:val="es-ES_tradnl"/>
              </w:rPr>
              <w:t>Resonancia magnética</w:t>
            </w:r>
          </w:p>
        </w:tc>
      </w:tr>
      <w:tr w:rsidR="00A17958" w14:paraId="2158B22A" w14:textId="77777777" w:rsidTr="00A17958">
        <w:tc>
          <w:tcPr>
            <w:tcW w:w="5000" w:type="pct"/>
            <w:gridSpan w:val="2"/>
            <w:tcBorders>
              <w:top w:val="single" w:sz="4" w:space="0" w:color="auto"/>
              <w:left w:val="nil"/>
              <w:bottom w:val="nil"/>
              <w:right w:val="nil"/>
            </w:tcBorders>
            <w:hideMark/>
          </w:tcPr>
          <w:p w14:paraId="7F68CC1D" w14:textId="18892705" w:rsidR="00A17958" w:rsidRDefault="00A17958" w:rsidP="00152038">
            <w:pPr>
              <w:pStyle w:val="Tabletext"/>
              <w:keepNext/>
              <w:keepLines/>
              <w:ind w:left="284" w:hanging="284"/>
              <w:rPr>
                <w:lang w:val="es-ES_tradnl"/>
              </w:rPr>
            </w:pPr>
            <w:r>
              <w:rPr>
                <w:color w:val="000000"/>
                <w:vertAlign w:val="superscript"/>
                <w:lang w:val="es-ES_tradnl"/>
              </w:rPr>
              <w:t>(1)</w:t>
            </w:r>
            <w:r>
              <w:rPr>
                <w:color w:val="000000"/>
                <w:lang w:val="es-ES_tradnl"/>
              </w:rPr>
              <w:tab/>
              <w:t>Para proteger el funcionamiento del SFTS a 60 kHz deben evitarse todas las formas de emisiones de energía de TIP-VE en la gama de 60 kHz ± 4 kHz (56-64 kHz).</w:t>
            </w:r>
          </w:p>
          <w:p w14:paraId="726B819F" w14:textId="2BB0BF33" w:rsidR="00A17958" w:rsidRDefault="00A17958" w:rsidP="00152038">
            <w:pPr>
              <w:pStyle w:val="Tabletext"/>
              <w:keepNext/>
              <w:keepLines/>
              <w:ind w:left="284" w:hanging="284"/>
              <w:rPr>
                <w:lang w:val="es-ES_tradnl"/>
              </w:rPr>
            </w:pPr>
            <w:r>
              <w:rPr>
                <w:color w:val="000000"/>
                <w:lang w:val="es-ES_tradnl"/>
              </w:rPr>
              <w:tab/>
              <w:t>En los casos en que se produzca cualquier tipo de emisión de energía de la TIP-VE en las proximidades de los receptores del SFPSH a 60 kHz, y suponiendo una distancia de separación mínima de 50</w:t>
            </w:r>
            <w:r w:rsidR="00CC5460">
              <w:rPr>
                <w:color w:val="000000"/>
                <w:lang w:val="es-ES_tradnl"/>
              </w:rPr>
              <w:t> </w:t>
            </w:r>
            <w:r>
              <w:rPr>
                <w:color w:val="000000"/>
                <w:lang w:val="es-ES_tradnl"/>
              </w:rPr>
              <w:t>m, cualquier forma de emisión de energía de la TIP-VE en las gamas de frecuencias 64</w:t>
            </w:r>
            <w:r w:rsidR="00CC5460">
              <w:rPr>
                <w:color w:val="000000"/>
                <w:lang w:val="es-ES_tradnl"/>
              </w:rPr>
              <w:noBreakHyphen/>
            </w:r>
            <w:r>
              <w:rPr>
                <w:color w:val="000000"/>
                <w:lang w:val="es-ES_tradnl"/>
              </w:rPr>
              <w:t>65</w:t>
            </w:r>
            <w:r w:rsidR="00CC5460">
              <w:rPr>
                <w:color w:val="000000"/>
                <w:lang w:val="es-ES_tradnl"/>
              </w:rPr>
              <w:t> </w:t>
            </w:r>
            <w:r>
              <w:rPr>
                <w:color w:val="000000"/>
                <w:lang w:val="es-ES_tradnl"/>
              </w:rPr>
              <w:t>kHz y 55</w:t>
            </w:r>
            <w:r w:rsidR="00CC5460">
              <w:rPr>
                <w:color w:val="000000"/>
                <w:lang w:val="es-ES_tradnl"/>
              </w:rPr>
              <w:noBreakHyphen/>
            </w:r>
            <w:r>
              <w:rPr>
                <w:color w:val="000000"/>
                <w:lang w:val="es-ES_tradnl"/>
              </w:rPr>
              <w:t>56</w:t>
            </w:r>
            <w:r w:rsidR="00CC5460">
              <w:rPr>
                <w:color w:val="000000"/>
                <w:lang w:val="es-ES_tradnl"/>
              </w:rPr>
              <w:t> </w:t>
            </w:r>
            <w:r>
              <w:rPr>
                <w:color w:val="000000"/>
                <w:lang w:val="es-ES_tradnl"/>
              </w:rPr>
              <w:t>kHz no deberá rebasar un total de 35</w:t>
            </w:r>
            <w:r w:rsidR="00CC5460">
              <w:rPr>
                <w:color w:val="000000"/>
                <w:lang w:val="es-ES_tradnl"/>
              </w:rPr>
              <w:t> </w:t>
            </w:r>
            <w:r>
              <w:rPr>
                <w:color w:val="000000"/>
                <w:lang w:val="es-ES_tradnl"/>
              </w:rPr>
              <w:t>dBμA/m a 10 m. Cuando se garantice que la distancia de separación entre la TIP-VE y los receptores del SFPSH sea superior a 10 m, ninguna forma de emisión de energía de la TIP-VE en las gamas 63</w:t>
            </w:r>
            <w:r w:rsidR="00CC5460">
              <w:rPr>
                <w:color w:val="000000"/>
                <w:lang w:val="es-ES_tradnl"/>
              </w:rPr>
              <w:noBreakHyphen/>
            </w:r>
            <w:r>
              <w:rPr>
                <w:color w:val="000000"/>
                <w:lang w:val="es-ES_tradnl"/>
              </w:rPr>
              <w:t>65</w:t>
            </w:r>
            <w:r w:rsidR="00CC5460">
              <w:rPr>
                <w:color w:val="000000"/>
                <w:lang w:val="es-ES_tradnl"/>
              </w:rPr>
              <w:t> </w:t>
            </w:r>
            <w:r>
              <w:rPr>
                <w:color w:val="000000"/>
                <w:lang w:val="es-ES_tradnl"/>
              </w:rPr>
              <w:t>kHz y 55</w:t>
            </w:r>
            <w:r w:rsidR="00CC5460">
              <w:rPr>
                <w:color w:val="000000"/>
                <w:lang w:val="es-ES_tradnl"/>
              </w:rPr>
              <w:noBreakHyphen/>
            </w:r>
            <w:r>
              <w:rPr>
                <w:color w:val="000000"/>
                <w:lang w:val="es-ES_tradnl"/>
              </w:rPr>
              <w:t>57</w:t>
            </w:r>
            <w:r w:rsidR="00CC5460">
              <w:rPr>
                <w:color w:val="000000"/>
                <w:lang w:val="es-ES_tradnl"/>
              </w:rPr>
              <w:t> </w:t>
            </w:r>
            <w:r>
              <w:rPr>
                <w:color w:val="000000"/>
                <w:lang w:val="es-ES_tradnl"/>
              </w:rPr>
              <w:t>kHz deberá rebasar un total de 44</w:t>
            </w:r>
            <w:r w:rsidR="00CC5460">
              <w:rPr>
                <w:color w:val="000000"/>
                <w:lang w:val="es-ES_tradnl"/>
              </w:rPr>
              <w:t> </w:t>
            </w:r>
            <w:r>
              <w:rPr>
                <w:color w:val="000000"/>
                <w:lang w:val="es-ES_tradnl"/>
              </w:rPr>
              <w:t>dBμA/m a 10</w:t>
            </w:r>
            <w:r w:rsidR="00CC5460">
              <w:rPr>
                <w:color w:val="000000"/>
                <w:lang w:val="es-ES_tradnl"/>
              </w:rPr>
              <w:t> </w:t>
            </w:r>
            <w:r>
              <w:rPr>
                <w:color w:val="000000"/>
                <w:lang w:val="es-ES_tradnl"/>
              </w:rPr>
              <w:t>m.</w:t>
            </w:r>
          </w:p>
        </w:tc>
      </w:tr>
    </w:tbl>
    <w:p w14:paraId="7ACED8A8" w14:textId="77777777" w:rsidR="00A17958" w:rsidRPr="00F17CED" w:rsidRDefault="00A17958" w:rsidP="00B874C6"/>
    <w:p w14:paraId="37FA926A" w14:textId="77777777" w:rsidR="00B874C6" w:rsidRPr="00F17CED" w:rsidRDefault="00B874C6" w:rsidP="00B874C6">
      <w:pPr>
        <w:pStyle w:val="Line"/>
        <w:rPr>
          <w:lang w:val="es-ES"/>
        </w:rPr>
      </w:pPr>
    </w:p>
    <w:sectPr w:rsidR="00B874C6" w:rsidRPr="00F17CED" w:rsidSect="007565CC">
      <w:footerReference w:type="default" r:id="rId22"/>
      <w:pgSz w:w="11907" w:h="16834" w:code="9"/>
      <w:pgMar w:top="1418" w:right="1134" w:bottom="1134" w:left="1134" w:header="72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D3A62" w14:textId="77777777" w:rsidR="00B16874" w:rsidRDefault="00B16874">
      <w:r>
        <w:separator/>
      </w:r>
    </w:p>
  </w:endnote>
  <w:endnote w:type="continuationSeparator" w:id="0">
    <w:p w14:paraId="17BB0BCB" w14:textId="77777777" w:rsidR="00B16874" w:rsidRDefault="00B16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20B0604020202020204"/>
    <w:charset w:val="00"/>
    <w:family w:val="swiss"/>
    <w:notTrueType/>
    <w:pitch w:val="variable"/>
    <w:sig w:usb0="800000AF" w:usb1="5000204A" w:usb2="00000000" w:usb3="00000000" w:csb0="00000093" w:csb1="00000000"/>
  </w:font>
  <w:font w:name="AvenirNext LT Pro Regular">
    <w:altName w:val="Calibri"/>
    <w:panose1 w:val="020B0504020202020204"/>
    <w:charset w:val="00"/>
    <w:family w:val="swiss"/>
    <w:notTrueType/>
    <w:pitch w:val="variable"/>
    <w:sig w:usb0="800000AF" w:usb1="5000204A" w:usb2="00000000" w:usb3="00000000" w:csb0="00000093"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3513E" w14:textId="77777777" w:rsidR="00301DB3" w:rsidRDefault="00301DB3">
    <w:pPr>
      <w:pStyle w:val="Footer"/>
    </w:pPr>
    <w:r>
      <w:drawing>
        <wp:anchor distT="0" distB="0" distL="0" distR="0" simplePos="0" relativeHeight="251656192" behindDoc="0" locked="0" layoutInCell="1" allowOverlap="1" wp14:anchorId="1EBC9ED5" wp14:editId="6C535E44">
          <wp:simplePos x="0" y="0"/>
          <wp:positionH relativeFrom="page">
            <wp:posOffset>6346209</wp:posOffset>
          </wp:positionH>
          <wp:positionV relativeFrom="page">
            <wp:posOffset>9501505</wp:posOffset>
          </wp:positionV>
          <wp:extent cx="738000" cy="813600"/>
          <wp:effectExtent l="0" t="0" r="0" b="0"/>
          <wp:wrapNone/>
          <wp:docPr id="1" name="image1.png" descr="logo 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UIT"/>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22059" w14:textId="77777777" w:rsidR="00C15F3E" w:rsidRDefault="00C15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33B4F" w14:textId="77777777" w:rsidR="00B16874" w:rsidRDefault="00B16874">
      <w:r>
        <w:separator/>
      </w:r>
    </w:p>
  </w:footnote>
  <w:footnote w:type="continuationSeparator" w:id="0">
    <w:p w14:paraId="7753CB06" w14:textId="77777777" w:rsidR="00B16874" w:rsidRDefault="00B16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4C929" w14:textId="77777777" w:rsidR="001B164E" w:rsidRDefault="001B164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5"/>
      <w:gridCol w:w="5915"/>
    </w:tblGrid>
    <w:tr w:rsidR="005B0371" w:rsidRPr="00A239D1" w14:paraId="0B5912D0" w14:textId="77777777" w:rsidTr="0019307B">
      <w:tc>
        <w:tcPr>
          <w:tcW w:w="4634" w:type="dxa"/>
          <w:vAlign w:val="center"/>
        </w:tcPr>
        <w:p w14:paraId="7AA9521F"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4CC06114" w14:textId="77777777" w:rsidR="00EE47C4" w:rsidRPr="00260B24" w:rsidRDefault="00EE47C4" w:rsidP="00744F8B">
          <w:pPr>
            <w:pStyle w:val="Header"/>
            <w:jc w:val="right"/>
            <w:rPr>
              <w:rFonts w:asciiTheme="minorBidi" w:hAnsiTheme="minorBidi"/>
              <w:b/>
              <w:spacing w:val="4"/>
              <w:szCs w:val="24"/>
            </w:rPr>
          </w:pPr>
          <w:r w:rsidRPr="00260B24">
            <w:rPr>
              <w:rFonts w:asciiTheme="minorBidi" w:hAnsiTheme="minorBidi"/>
              <w:b/>
              <w:spacing w:val="4"/>
              <w:szCs w:val="24"/>
            </w:rPr>
            <w:t>Uni</w:t>
          </w:r>
          <w:r w:rsidR="006B1E05">
            <w:rPr>
              <w:rFonts w:asciiTheme="minorBidi" w:hAnsiTheme="minorBidi"/>
              <w:b/>
              <w:spacing w:val="4"/>
              <w:szCs w:val="24"/>
            </w:rPr>
            <w:t>ó</w:t>
          </w:r>
          <w:r w:rsidRPr="00260B24">
            <w:rPr>
              <w:rFonts w:asciiTheme="minorBidi" w:hAnsiTheme="minorBidi"/>
              <w:b/>
              <w:spacing w:val="4"/>
              <w:szCs w:val="24"/>
            </w:rPr>
            <w:t>n</w:t>
          </w:r>
          <w:r w:rsidR="00A25EE2">
            <w:rPr>
              <w:rFonts w:asciiTheme="minorBidi" w:hAnsiTheme="minorBidi"/>
              <w:b/>
              <w:spacing w:val="4"/>
              <w:szCs w:val="24"/>
            </w:rPr>
            <w:t xml:space="preserve"> </w:t>
          </w:r>
          <w:r w:rsidR="006B1E05">
            <w:rPr>
              <w:rFonts w:asciiTheme="minorBidi" w:hAnsiTheme="minorBidi"/>
              <w:b/>
              <w:spacing w:val="4"/>
              <w:szCs w:val="24"/>
            </w:rPr>
            <w:t>I</w:t>
          </w:r>
          <w:r w:rsidR="00A25EE2" w:rsidRPr="00260B24">
            <w:rPr>
              <w:rFonts w:asciiTheme="minorBidi" w:hAnsiTheme="minorBidi"/>
              <w:b/>
              <w:spacing w:val="4"/>
              <w:szCs w:val="24"/>
            </w:rPr>
            <w:t>nterna</w:t>
          </w:r>
          <w:r w:rsidR="0069322D">
            <w:rPr>
              <w:rFonts w:asciiTheme="minorBidi" w:hAnsiTheme="minorBidi"/>
              <w:b/>
              <w:spacing w:val="4"/>
              <w:szCs w:val="24"/>
            </w:rPr>
            <w:t>c</w:t>
          </w:r>
          <w:r w:rsidR="00A25EE2" w:rsidRPr="00260B24">
            <w:rPr>
              <w:rFonts w:asciiTheme="minorBidi" w:hAnsiTheme="minorBidi"/>
              <w:b/>
              <w:spacing w:val="4"/>
              <w:szCs w:val="24"/>
            </w:rPr>
            <w:t xml:space="preserve">ional </w:t>
          </w:r>
          <w:r w:rsidR="00A25EE2">
            <w:rPr>
              <w:rFonts w:asciiTheme="minorBidi" w:hAnsiTheme="minorBidi"/>
              <w:b/>
              <w:spacing w:val="4"/>
              <w:szCs w:val="24"/>
            </w:rPr>
            <w:t xml:space="preserve">de </w:t>
          </w:r>
          <w:r w:rsidR="0069322D">
            <w:rPr>
              <w:rFonts w:asciiTheme="minorBidi" w:hAnsiTheme="minorBidi"/>
              <w:b/>
              <w:spacing w:val="4"/>
              <w:szCs w:val="24"/>
            </w:rPr>
            <w:t>Te</w:t>
          </w:r>
          <w:r w:rsidR="00A25EE2" w:rsidRPr="00260B24">
            <w:rPr>
              <w:rFonts w:asciiTheme="minorBidi" w:hAnsiTheme="minorBidi"/>
              <w:b/>
              <w:spacing w:val="4"/>
              <w:szCs w:val="24"/>
            </w:rPr>
            <w:t>l</w:t>
          </w:r>
          <w:r w:rsidR="0069322D">
            <w:rPr>
              <w:rFonts w:asciiTheme="minorBidi" w:hAnsiTheme="minorBidi"/>
              <w:b/>
              <w:spacing w:val="4"/>
              <w:szCs w:val="24"/>
            </w:rPr>
            <w:t>e</w:t>
          </w:r>
          <w:r w:rsidR="00A25EE2" w:rsidRPr="00260B24">
            <w:rPr>
              <w:rFonts w:asciiTheme="minorBidi" w:hAnsiTheme="minorBidi"/>
              <w:b/>
              <w:spacing w:val="4"/>
              <w:szCs w:val="24"/>
            </w:rPr>
            <w:t>comunica</w:t>
          </w:r>
          <w:r w:rsidR="0069322D">
            <w:rPr>
              <w:rFonts w:asciiTheme="minorBidi" w:hAnsiTheme="minorBidi"/>
              <w:b/>
              <w:spacing w:val="4"/>
              <w:szCs w:val="24"/>
            </w:rPr>
            <w:t>c</w:t>
          </w:r>
          <w:r w:rsidR="00A25EE2" w:rsidRPr="00260B24">
            <w:rPr>
              <w:rFonts w:asciiTheme="minorBidi" w:hAnsiTheme="minorBidi"/>
              <w:b/>
              <w:spacing w:val="4"/>
              <w:szCs w:val="24"/>
            </w:rPr>
            <w:t>ion</w:t>
          </w:r>
          <w:r w:rsidR="0069322D">
            <w:rPr>
              <w:rFonts w:asciiTheme="minorBidi" w:hAnsiTheme="minorBidi"/>
              <w:b/>
              <w:spacing w:val="4"/>
              <w:szCs w:val="24"/>
            </w:rPr>
            <w:t>e</w:t>
          </w:r>
          <w:r w:rsidR="00A25EE2">
            <w:rPr>
              <w:rFonts w:asciiTheme="minorBidi" w:hAnsiTheme="minorBidi"/>
              <w:b/>
              <w:spacing w:val="4"/>
              <w:szCs w:val="24"/>
            </w:rPr>
            <w:t>s</w:t>
          </w:r>
        </w:p>
      </w:tc>
    </w:tr>
    <w:tr w:rsidR="005B0371" w:rsidRPr="00A239D1" w14:paraId="1352F949" w14:textId="77777777" w:rsidTr="0019307B">
      <w:tc>
        <w:tcPr>
          <w:tcW w:w="4634" w:type="dxa"/>
          <w:vAlign w:val="center"/>
        </w:tcPr>
        <w:p w14:paraId="7333612B" w14:textId="77777777" w:rsidR="00EE47C4" w:rsidRPr="00260B24" w:rsidRDefault="00EE47C4" w:rsidP="00744F8B">
          <w:pPr>
            <w:pStyle w:val="Header"/>
            <w:jc w:val="left"/>
            <w:rPr>
              <w:rFonts w:asciiTheme="minorBidi" w:hAnsiTheme="minorBidi"/>
              <w:spacing w:val="4"/>
              <w:sz w:val="21"/>
              <w:szCs w:val="21"/>
            </w:rPr>
          </w:pPr>
          <w:r w:rsidRPr="00260B24">
            <w:rPr>
              <w:rFonts w:asciiTheme="minorBidi" w:hAnsiTheme="minorBidi"/>
              <w:spacing w:val="4"/>
              <w:szCs w:val="24"/>
            </w:rPr>
            <w:t>Recom</w:t>
          </w:r>
          <w:r w:rsidR="0069322D">
            <w:rPr>
              <w:rFonts w:asciiTheme="minorBidi" w:hAnsiTheme="minorBidi"/>
              <w:spacing w:val="4"/>
              <w:szCs w:val="24"/>
            </w:rPr>
            <w:t>e</w:t>
          </w:r>
          <w:r w:rsidRPr="00260B24">
            <w:rPr>
              <w:rFonts w:asciiTheme="minorBidi" w:hAnsiTheme="minorBidi"/>
              <w:spacing w:val="4"/>
              <w:szCs w:val="24"/>
            </w:rPr>
            <w:t>nda</w:t>
          </w:r>
          <w:r w:rsidR="0069322D">
            <w:rPr>
              <w:rFonts w:asciiTheme="minorBidi" w:hAnsiTheme="minorBidi"/>
              <w:spacing w:val="4"/>
              <w:szCs w:val="24"/>
            </w:rPr>
            <w:t>c</w:t>
          </w:r>
          <w:r w:rsidRPr="00260B24">
            <w:rPr>
              <w:rFonts w:asciiTheme="minorBidi" w:hAnsiTheme="minorBidi"/>
              <w:spacing w:val="4"/>
              <w:szCs w:val="24"/>
            </w:rPr>
            <w:t>i</w:t>
          </w:r>
          <w:r w:rsidR="0069322D">
            <w:rPr>
              <w:rFonts w:asciiTheme="minorBidi" w:hAnsiTheme="minorBidi"/>
              <w:spacing w:val="4"/>
              <w:szCs w:val="24"/>
            </w:rPr>
            <w:t>o</w:t>
          </w:r>
          <w:r w:rsidRPr="00260B24">
            <w:rPr>
              <w:rFonts w:asciiTheme="minorBidi" w:hAnsiTheme="minorBidi"/>
              <w:spacing w:val="4"/>
              <w:szCs w:val="24"/>
            </w:rPr>
            <w:t>n</w:t>
          </w:r>
          <w:r w:rsidR="0069322D">
            <w:rPr>
              <w:rFonts w:asciiTheme="minorBidi" w:hAnsiTheme="minorBidi"/>
              <w:spacing w:val="4"/>
              <w:szCs w:val="24"/>
            </w:rPr>
            <w:t>e</w:t>
          </w:r>
          <w:r w:rsidR="004A6FEB" w:rsidRPr="00260B24">
            <w:rPr>
              <w:rFonts w:asciiTheme="minorBidi" w:hAnsiTheme="minorBidi"/>
              <w:spacing w:val="4"/>
              <w:szCs w:val="24"/>
            </w:rPr>
            <w:t>s</w:t>
          </w:r>
        </w:p>
      </w:tc>
      <w:tc>
        <w:tcPr>
          <w:tcW w:w="5998" w:type="dxa"/>
          <w:vAlign w:val="center"/>
        </w:tcPr>
        <w:p w14:paraId="1523A3E3" w14:textId="77777777" w:rsidR="00EE47C4" w:rsidRPr="00260B24" w:rsidRDefault="00A25EE2" w:rsidP="00744F8B">
          <w:pPr>
            <w:pStyle w:val="Header"/>
            <w:jc w:val="right"/>
            <w:rPr>
              <w:rFonts w:asciiTheme="minorBidi" w:hAnsiTheme="minorBidi"/>
              <w:spacing w:val="4"/>
              <w:szCs w:val="24"/>
            </w:rPr>
          </w:pPr>
          <w:r>
            <w:rPr>
              <w:rFonts w:asciiTheme="minorBidi" w:hAnsiTheme="minorBidi"/>
              <w:spacing w:val="4"/>
              <w:szCs w:val="24"/>
            </w:rPr>
            <w:t>Sect</w:t>
          </w:r>
          <w:r w:rsidR="0069322D">
            <w:rPr>
              <w:rFonts w:asciiTheme="minorBidi" w:hAnsiTheme="minorBidi"/>
              <w:spacing w:val="4"/>
              <w:szCs w:val="24"/>
            </w:rPr>
            <w:t>o</w:t>
          </w:r>
          <w:r>
            <w:rPr>
              <w:rFonts w:asciiTheme="minorBidi" w:hAnsiTheme="minorBidi"/>
              <w:spacing w:val="4"/>
              <w:szCs w:val="24"/>
            </w:rPr>
            <w:t xml:space="preserve">r de </w:t>
          </w:r>
          <w:r w:rsidR="00EE47C4" w:rsidRPr="00260B24">
            <w:rPr>
              <w:rFonts w:asciiTheme="minorBidi" w:hAnsiTheme="minorBidi"/>
              <w:spacing w:val="4"/>
              <w:szCs w:val="24"/>
            </w:rPr>
            <w:t>Radiocomunica</w:t>
          </w:r>
          <w:r w:rsidR="0069322D">
            <w:rPr>
              <w:rFonts w:asciiTheme="minorBidi" w:hAnsiTheme="minorBidi"/>
              <w:spacing w:val="4"/>
              <w:szCs w:val="24"/>
            </w:rPr>
            <w:t>c</w:t>
          </w:r>
          <w:r w:rsidR="00EE47C4" w:rsidRPr="00260B24">
            <w:rPr>
              <w:rFonts w:asciiTheme="minorBidi" w:hAnsiTheme="minorBidi"/>
              <w:spacing w:val="4"/>
              <w:szCs w:val="24"/>
            </w:rPr>
            <w:t>ion</w:t>
          </w:r>
          <w:r w:rsidR="0069322D">
            <w:rPr>
              <w:rFonts w:asciiTheme="minorBidi" w:hAnsiTheme="minorBidi"/>
              <w:spacing w:val="4"/>
              <w:szCs w:val="24"/>
            </w:rPr>
            <w:t>e</w:t>
          </w:r>
          <w:r>
            <w:rPr>
              <w:rFonts w:asciiTheme="minorBidi" w:hAnsiTheme="minorBidi"/>
              <w:spacing w:val="4"/>
              <w:szCs w:val="24"/>
            </w:rPr>
            <w:t>s</w:t>
          </w:r>
        </w:p>
      </w:tc>
    </w:tr>
  </w:tbl>
  <w:p w14:paraId="7132135F" w14:textId="77777777" w:rsidR="00EE47C4" w:rsidRDefault="0069322D" w:rsidP="004A6FEB">
    <w:pPr>
      <w:pStyle w:val="Header"/>
    </w:pPr>
    <w:r>
      <w:rPr>
        <w:rFonts w:ascii="Arial Black" w:hAnsi="Arial Black" w:cs="Arial"/>
        <w:noProof/>
        <w:sz w:val="32"/>
        <w:szCs w:val="32"/>
      </w:rPr>
      <w:drawing>
        <wp:anchor distT="0" distB="0" distL="114300" distR="114300" simplePos="0" relativeHeight="251660288" behindDoc="0" locked="0" layoutInCell="1" allowOverlap="1" wp14:anchorId="72CC6C5C" wp14:editId="590CBAE9">
          <wp:simplePos x="0" y="0"/>
          <wp:positionH relativeFrom="column">
            <wp:posOffset>-252095</wp:posOffset>
          </wp:positionH>
          <wp:positionV relativeFrom="paragraph">
            <wp:posOffset>-562165</wp:posOffset>
          </wp:positionV>
          <wp:extent cx="1781299" cy="383901"/>
          <wp:effectExtent l="0" t="0" r="0" b="0"/>
          <wp:wrapNone/>
          <wp:docPr id="7" name="Picture 7" descr="ITUPublicacio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TUPublicacione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299" cy="3839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0F90E146" wp14:editId="586B6E29">
              <wp:simplePos x="0" y="0"/>
              <wp:positionH relativeFrom="column">
                <wp:posOffset>-106045</wp:posOffset>
              </wp:positionH>
              <wp:positionV relativeFrom="paragraph">
                <wp:posOffset>164465</wp:posOffset>
              </wp:positionV>
              <wp:extent cx="301625" cy="172085"/>
              <wp:effectExtent l="17780" t="12065" r="23495" b="15875"/>
              <wp:wrapNone/>
              <wp:docPr id="6"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9E45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alt="&quot;&quot;"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291E2A02"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70941AB8" wp14:editId="2C6DFBDA">
              <wp:simplePos x="0" y="0"/>
              <wp:positionH relativeFrom="page">
                <wp:posOffset>0</wp:posOffset>
              </wp:positionH>
              <wp:positionV relativeFrom="page">
                <wp:posOffset>1196340</wp:posOffset>
              </wp:positionV>
              <wp:extent cx="7560310" cy="236220"/>
              <wp:effectExtent l="9525" t="5715" r="12065" b="5715"/>
              <wp:wrapNone/>
              <wp:docPr id="2" name="docshapegroup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50E0AC" id="docshapegroup6" o:spid="_x0000_s1026" alt="&quot;&quot;"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1134C" w14:textId="257428A9" w:rsidR="001B164E" w:rsidRPr="00D72623" w:rsidRDefault="00D72623"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Pr="00F111D6">
      <w:rPr>
        <w:rStyle w:val="PageNumber"/>
        <w:b/>
        <w:bCs/>
        <w:lang w:val="en-GB"/>
      </w:rPr>
      <w:t>ii</w:t>
    </w:r>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B16874">
      <w:rPr>
        <w:b/>
        <w:bCs/>
        <w:lang w:val="en-US"/>
      </w:rPr>
      <w:t xml:space="preserve">Rec. </w:t>
    </w:r>
    <w:r>
      <w:rPr>
        <w:b/>
        <w:bCs/>
        <w:lang w:val="en-US"/>
      </w:rPr>
      <w:fldChar w:fldCharType="end"/>
    </w:r>
    <w:r w:rsidRPr="00F111D6">
      <w:rPr>
        <w:b/>
        <w:bCs/>
        <w:lang w:val="en-GB"/>
      </w:rPr>
      <w:t xml:space="preserve"> </w:t>
    </w:r>
    <w:r>
      <w:rPr>
        <w:b/>
        <w:bCs/>
      </w:rPr>
      <w:fldChar w:fldCharType="begin"/>
    </w:r>
    <w:r>
      <w:rPr>
        <w:b/>
        <w:bCs/>
        <w:lang w:val="en-US"/>
      </w:rPr>
      <w:instrText>styleref href</w:instrText>
    </w:r>
    <w:r>
      <w:rPr>
        <w:b/>
        <w:bCs/>
      </w:rPr>
      <w:fldChar w:fldCharType="separate"/>
    </w:r>
    <w:r w:rsidR="00117E65">
      <w:rPr>
        <w:b/>
        <w:bCs/>
        <w:noProof/>
        <w:lang w:val="en-US"/>
      </w:rPr>
      <w:t>UIT-R</w:t>
    </w:r>
    <w:r>
      <w:rPr>
        <w:b/>
        <w:bCs/>
      </w:rPr>
      <w:fldChar w:fldCharType="end"/>
    </w:r>
    <w:r w:rsidR="00A17958">
      <w:rPr>
        <w:b/>
        <w:bCs/>
      </w:rPr>
      <w:t xml:space="preserve">  </w:t>
    </w:r>
    <w:r w:rsidR="00A17958">
      <w:rPr>
        <w:b/>
      </w:rPr>
      <w:t>SM.2110-2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8513" w14:textId="38DB8927" w:rsidR="001B164E" w:rsidRDefault="001B164E">
    <w:pPr>
      <w:pStyle w:val="Header"/>
    </w:pPr>
    <w:r>
      <w:tab/>
    </w:r>
    <w:r w:rsidR="00C84DB7">
      <w:rPr>
        <w:b/>
        <w:bCs/>
      </w:rPr>
      <w:fldChar w:fldCharType="begin"/>
    </w:r>
    <w:r w:rsidR="00C84DB7">
      <w:rPr>
        <w:b/>
        <w:bCs/>
      </w:rPr>
      <w:instrText xml:space="preserve"> DOCPROPERTY "Header" \* MERGEFORMAT </w:instrText>
    </w:r>
    <w:r w:rsidR="00C84DB7">
      <w:rPr>
        <w:b/>
        <w:bCs/>
      </w:rPr>
      <w:fldChar w:fldCharType="separate"/>
    </w:r>
    <w:r w:rsidR="00B16874">
      <w:rPr>
        <w:b/>
        <w:bCs/>
      </w:rPr>
      <w:t xml:space="preserve">Rec. </w:t>
    </w:r>
    <w:r w:rsidR="00C84DB7">
      <w:rPr>
        <w:b/>
        <w:bCs/>
      </w:rPr>
      <w:fldChar w:fldCharType="end"/>
    </w:r>
    <w:r>
      <w:rPr>
        <w:b/>
        <w:bCs/>
      </w:rPr>
      <w:t xml:space="preserve"> </w:t>
    </w:r>
    <w:r w:rsidR="006C37D5">
      <w:rPr>
        <w:b/>
        <w:bCs/>
      </w:rPr>
      <w:fldChar w:fldCharType="begin"/>
    </w:r>
    <w:r>
      <w:rPr>
        <w:b/>
        <w:bCs/>
      </w:rPr>
      <w:instrText>styleref href</w:instrText>
    </w:r>
    <w:r w:rsidR="006C37D5">
      <w:rPr>
        <w:b/>
        <w:bCs/>
      </w:rPr>
      <w:fldChar w:fldCharType="separate"/>
    </w:r>
    <w:r w:rsidR="00117E65">
      <w:rPr>
        <w:b/>
        <w:bCs/>
        <w:noProof/>
      </w:rPr>
      <w:t>UIT-R</w:t>
    </w:r>
    <w:r w:rsidR="006C37D5">
      <w:rPr>
        <w:b/>
        <w:bCs/>
      </w:rPr>
      <w:fldChar w:fldCharType="end"/>
    </w:r>
    <w:r w:rsidR="00A17958">
      <w:rPr>
        <w:b/>
        <w:bCs/>
      </w:rPr>
      <w:t xml:space="preserve">  </w:t>
    </w:r>
    <w:r w:rsidR="00A17958">
      <w:rPr>
        <w:b/>
      </w:rPr>
      <w:t>SM.2110-2</w:t>
    </w:r>
    <w:r>
      <w:tab/>
    </w:r>
    <w:r w:rsidR="006C37D5">
      <w:rPr>
        <w:rStyle w:val="PageNumber"/>
        <w:b/>
        <w:bCs/>
      </w:rPr>
      <w:fldChar w:fldCharType="begin"/>
    </w:r>
    <w:r>
      <w:rPr>
        <w:rStyle w:val="PageNumber"/>
        <w:b/>
        <w:bCs/>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8277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4E3F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F8BF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767C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6CB6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82E0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74E9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605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6C84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A456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954826637">
    <w:abstractNumId w:val="10"/>
  </w:num>
  <w:num w:numId="2" w16cid:durableId="816187228">
    <w:abstractNumId w:val="9"/>
  </w:num>
  <w:num w:numId="3" w16cid:durableId="676929049">
    <w:abstractNumId w:val="7"/>
  </w:num>
  <w:num w:numId="4" w16cid:durableId="1122042729">
    <w:abstractNumId w:val="6"/>
  </w:num>
  <w:num w:numId="5" w16cid:durableId="1635480365">
    <w:abstractNumId w:val="5"/>
  </w:num>
  <w:num w:numId="6" w16cid:durableId="1532457978">
    <w:abstractNumId w:val="4"/>
  </w:num>
  <w:num w:numId="7" w16cid:durableId="1404570528">
    <w:abstractNumId w:val="8"/>
  </w:num>
  <w:num w:numId="8" w16cid:durableId="510024749">
    <w:abstractNumId w:val="3"/>
  </w:num>
  <w:num w:numId="9" w16cid:durableId="1290404317">
    <w:abstractNumId w:val="2"/>
  </w:num>
  <w:num w:numId="10" w16cid:durableId="1851219264">
    <w:abstractNumId w:val="1"/>
  </w:num>
  <w:num w:numId="11" w16cid:durableId="1146046975">
    <w:abstractNumId w:val="0"/>
  </w:num>
  <w:num w:numId="12" w16cid:durableId="1846675109">
    <w:abstractNumId w:val="8"/>
  </w:num>
  <w:num w:numId="13" w16cid:durableId="776481192">
    <w:abstractNumId w:val="3"/>
  </w:num>
  <w:num w:numId="14" w16cid:durableId="1327586148">
    <w:abstractNumId w:val="2"/>
  </w:num>
  <w:num w:numId="15" w16cid:durableId="999193827">
    <w:abstractNumId w:val="1"/>
  </w:num>
  <w:num w:numId="16" w16cid:durableId="1754156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en-GB"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o:colormru v:ext="edit" colors="#d62a47,#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874"/>
    <w:rsid w:val="00013002"/>
    <w:rsid w:val="000246E0"/>
    <w:rsid w:val="00036EE3"/>
    <w:rsid w:val="00045E7B"/>
    <w:rsid w:val="00054FC0"/>
    <w:rsid w:val="00072484"/>
    <w:rsid w:val="00095530"/>
    <w:rsid w:val="00096612"/>
    <w:rsid w:val="000A4A32"/>
    <w:rsid w:val="000B1B2B"/>
    <w:rsid w:val="000B7683"/>
    <w:rsid w:val="000D0677"/>
    <w:rsid w:val="000E0548"/>
    <w:rsid w:val="000E6A6E"/>
    <w:rsid w:val="00102934"/>
    <w:rsid w:val="00117E65"/>
    <w:rsid w:val="00120C75"/>
    <w:rsid w:val="001243FC"/>
    <w:rsid w:val="00147110"/>
    <w:rsid w:val="001511A6"/>
    <w:rsid w:val="00152038"/>
    <w:rsid w:val="00171C4D"/>
    <w:rsid w:val="0017562F"/>
    <w:rsid w:val="0019307B"/>
    <w:rsid w:val="001B0927"/>
    <w:rsid w:val="001B164E"/>
    <w:rsid w:val="001B7886"/>
    <w:rsid w:val="001F38BB"/>
    <w:rsid w:val="002058CE"/>
    <w:rsid w:val="002165F1"/>
    <w:rsid w:val="00233211"/>
    <w:rsid w:val="00260B24"/>
    <w:rsid w:val="0027411A"/>
    <w:rsid w:val="0027415F"/>
    <w:rsid w:val="00276D21"/>
    <w:rsid w:val="00282DCF"/>
    <w:rsid w:val="00296D7F"/>
    <w:rsid w:val="002A5D45"/>
    <w:rsid w:val="002B3CF6"/>
    <w:rsid w:val="002B3E59"/>
    <w:rsid w:val="002C768A"/>
    <w:rsid w:val="002D0BD7"/>
    <w:rsid w:val="002D76C4"/>
    <w:rsid w:val="002F5199"/>
    <w:rsid w:val="00301DB3"/>
    <w:rsid w:val="00305119"/>
    <w:rsid w:val="00314622"/>
    <w:rsid w:val="003157F1"/>
    <w:rsid w:val="00346EC2"/>
    <w:rsid w:val="00356B5D"/>
    <w:rsid w:val="00357707"/>
    <w:rsid w:val="00362071"/>
    <w:rsid w:val="0036627C"/>
    <w:rsid w:val="003E5516"/>
    <w:rsid w:val="003F4B75"/>
    <w:rsid w:val="00400D2E"/>
    <w:rsid w:val="00410651"/>
    <w:rsid w:val="00420DFD"/>
    <w:rsid w:val="00421428"/>
    <w:rsid w:val="00425BC7"/>
    <w:rsid w:val="00437A76"/>
    <w:rsid w:val="004604B2"/>
    <w:rsid w:val="00470E28"/>
    <w:rsid w:val="0047379B"/>
    <w:rsid w:val="00474170"/>
    <w:rsid w:val="00477729"/>
    <w:rsid w:val="004842E2"/>
    <w:rsid w:val="00486EB3"/>
    <w:rsid w:val="004934C5"/>
    <w:rsid w:val="004A6FEB"/>
    <w:rsid w:val="004D452D"/>
    <w:rsid w:val="004E61FF"/>
    <w:rsid w:val="005373E0"/>
    <w:rsid w:val="00556548"/>
    <w:rsid w:val="00571B1C"/>
    <w:rsid w:val="00576D47"/>
    <w:rsid w:val="00586EF8"/>
    <w:rsid w:val="005B0371"/>
    <w:rsid w:val="005B49AB"/>
    <w:rsid w:val="005B50E7"/>
    <w:rsid w:val="005C4BAB"/>
    <w:rsid w:val="005E12A5"/>
    <w:rsid w:val="005E69F0"/>
    <w:rsid w:val="005E6B1C"/>
    <w:rsid w:val="005E7B4F"/>
    <w:rsid w:val="005F003B"/>
    <w:rsid w:val="005F2E73"/>
    <w:rsid w:val="00601882"/>
    <w:rsid w:val="00607D68"/>
    <w:rsid w:val="00613212"/>
    <w:rsid w:val="006149B1"/>
    <w:rsid w:val="00640332"/>
    <w:rsid w:val="00680D2B"/>
    <w:rsid w:val="00681B32"/>
    <w:rsid w:val="0069322D"/>
    <w:rsid w:val="00697887"/>
    <w:rsid w:val="006B1D2B"/>
    <w:rsid w:val="006B1E05"/>
    <w:rsid w:val="006C37D5"/>
    <w:rsid w:val="006E1131"/>
    <w:rsid w:val="006E2037"/>
    <w:rsid w:val="006E6199"/>
    <w:rsid w:val="00712870"/>
    <w:rsid w:val="00714AC0"/>
    <w:rsid w:val="0074147D"/>
    <w:rsid w:val="00743D85"/>
    <w:rsid w:val="00744F8B"/>
    <w:rsid w:val="00747D6E"/>
    <w:rsid w:val="00753CF4"/>
    <w:rsid w:val="007565CC"/>
    <w:rsid w:val="007624B1"/>
    <w:rsid w:val="00763B9A"/>
    <w:rsid w:val="007A6AA8"/>
    <w:rsid w:val="007B1357"/>
    <w:rsid w:val="007B3343"/>
    <w:rsid w:val="008310C9"/>
    <w:rsid w:val="008335F0"/>
    <w:rsid w:val="00834306"/>
    <w:rsid w:val="00853CC5"/>
    <w:rsid w:val="00877E6E"/>
    <w:rsid w:val="008B083A"/>
    <w:rsid w:val="008B56B2"/>
    <w:rsid w:val="008C7848"/>
    <w:rsid w:val="00906589"/>
    <w:rsid w:val="00906AD6"/>
    <w:rsid w:val="00917AF2"/>
    <w:rsid w:val="0092418A"/>
    <w:rsid w:val="00934ED7"/>
    <w:rsid w:val="00940D16"/>
    <w:rsid w:val="009543C3"/>
    <w:rsid w:val="00965E15"/>
    <w:rsid w:val="00966E1B"/>
    <w:rsid w:val="00972F51"/>
    <w:rsid w:val="00984A02"/>
    <w:rsid w:val="009947C0"/>
    <w:rsid w:val="009A4039"/>
    <w:rsid w:val="009A41F9"/>
    <w:rsid w:val="009D4BBD"/>
    <w:rsid w:val="009F2D2C"/>
    <w:rsid w:val="009F2D88"/>
    <w:rsid w:val="009F5580"/>
    <w:rsid w:val="00A03C0E"/>
    <w:rsid w:val="00A16BE1"/>
    <w:rsid w:val="00A17958"/>
    <w:rsid w:val="00A239D1"/>
    <w:rsid w:val="00A25EE2"/>
    <w:rsid w:val="00A31928"/>
    <w:rsid w:val="00A35B27"/>
    <w:rsid w:val="00A507D4"/>
    <w:rsid w:val="00A5147A"/>
    <w:rsid w:val="00A62A14"/>
    <w:rsid w:val="00A6617B"/>
    <w:rsid w:val="00A71FE5"/>
    <w:rsid w:val="00A7534B"/>
    <w:rsid w:val="00A76007"/>
    <w:rsid w:val="00A86DD2"/>
    <w:rsid w:val="00A936CB"/>
    <w:rsid w:val="00A971A1"/>
    <w:rsid w:val="00AA3AD8"/>
    <w:rsid w:val="00AB0DC8"/>
    <w:rsid w:val="00AB405C"/>
    <w:rsid w:val="00AC015D"/>
    <w:rsid w:val="00AE698D"/>
    <w:rsid w:val="00AF0286"/>
    <w:rsid w:val="00AF5326"/>
    <w:rsid w:val="00B019A2"/>
    <w:rsid w:val="00B0286E"/>
    <w:rsid w:val="00B033C8"/>
    <w:rsid w:val="00B111CE"/>
    <w:rsid w:val="00B16874"/>
    <w:rsid w:val="00B33425"/>
    <w:rsid w:val="00B42334"/>
    <w:rsid w:val="00B44E24"/>
    <w:rsid w:val="00B54ECC"/>
    <w:rsid w:val="00B60AC0"/>
    <w:rsid w:val="00B714F3"/>
    <w:rsid w:val="00B75A52"/>
    <w:rsid w:val="00B874C6"/>
    <w:rsid w:val="00B87B6B"/>
    <w:rsid w:val="00B9169E"/>
    <w:rsid w:val="00B96572"/>
    <w:rsid w:val="00BB7886"/>
    <w:rsid w:val="00BC5D77"/>
    <w:rsid w:val="00BD4283"/>
    <w:rsid w:val="00BF487A"/>
    <w:rsid w:val="00BF5544"/>
    <w:rsid w:val="00C15F3E"/>
    <w:rsid w:val="00C46BD9"/>
    <w:rsid w:val="00C55258"/>
    <w:rsid w:val="00C6581B"/>
    <w:rsid w:val="00C70F1A"/>
    <w:rsid w:val="00C73560"/>
    <w:rsid w:val="00C84DB7"/>
    <w:rsid w:val="00C87A35"/>
    <w:rsid w:val="00CB0F14"/>
    <w:rsid w:val="00CC5460"/>
    <w:rsid w:val="00CD659B"/>
    <w:rsid w:val="00CE0A43"/>
    <w:rsid w:val="00CF130D"/>
    <w:rsid w:val="00D00118"/>
    <w:rsid w:val="00D0483A"/>
    <w:rsid w:val="00D16749"/>
    <w:rsid w:val="00D5024B"/>
    <w:rsid w:val="00D61962"/>
    <w:rsid w:val="00D72623"/>
    <w:rsid w:val="00D83556"/>
    <w:rsid w:val="00DC1563"/>
    <w:rsid w:val="00DE5556"/>
    <w:rsid w:val="00DF4176"/>
    <w:rsid w:val="00E0095C"/>
    <w:rsid w:val="00E17240"/>
    <w:rsid w:val="00E74595"/>
    <w:rsid w:val="00E766F1"/>
    <w:rsid w:val="00E77485"/>
    <w:rsid w:val="00EB1CB6"/>
    <w:rsid w:val="00EB7C57"/>
    <w:rsid w:val="00EC6257"/>
    <w:rsid w:val="00ED2695"/>
    <w:rsid w:val="00ED3CA8"/>
    <w:rsid w:val="00EE04BA"/>
    <w:rsid w:val="00EE0A7E"/>
    <w:rsid w:val="00EE47C4"/>
    <w:rsid w:val="00EF2D52"/>
    <w:rsid w:val="00F111D6"/>
    <w:rsid w:val="00F17CED"/>
    <w:rsid w:val="00F30C9B"/>
    <w:rsid w:val="00F354B1"/>
    <w:rsid w:val="00F354D7"/>
    <w:rsid w:val="00F6343F"/>
    <w:rsid w:val="00F72776"/>
    <w:rsid w:val="00F77360"/>
    <w:rsid w:val="00F92A40"/>
    <w:rsid w:val="00FA2CE2"/>
    <w:rsid w:val="00FB0E4E"/>
    <w:rsid w:val="00FE79FE"/>
    <w:rsid w:val="00FF32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62a47,#f8f8f8"/>
    </o:shapedefaults>
    <o:shapelayout v:ext="edit">
      <o:idmap v:ext="edit" data="2"/>
    </o:shapelayout>
  </w:shapeDefaults>
  <w:decimalSymbol w:val="."/>
  <w:listSeparator w:val=","/>
  <w14:docId w14:val="222B8025"/>
  <w15:docId w15:val="{E371D33D-481F-4FE3-8F01-2345655EE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81B"/>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s-ES" w:eastAsia="en-US"/>
    </w:rPr>
  </w:style>
  <w:style w:type="paragraph" w:styleId="Heading1">
    <w:name w:val="heading 1"/>
    <w:basedOn w:val="Normal"/>
    <w:next w:val="Normal"/>
    <w:qFormat/>
    <w:rsid w:val="00A936CB"/>
    <w:pPr>
      <w:keepNext/>
      <w:keepLines/>
      <w:spacing w:before="480"/>
      <w:ind w:left="794" w:hanging="794"/>
      <w:outlineLvl w:val="0"/>
    </w:pPr>
    <w:rPr>
      <w:b/>
    </w:rPr>
  </w:style>
  <w:style w:type="paragraph" w:styleId="Heading2">
    <w:name w:val="heading 2"/>
    <w:basedOn w:val="Heading1"/>
    <w:next w:val="Normal"/>
    <w:qFormat/>
    <w:rsid w:val="00A936CB"/>
    <w:pPr>
      <w:spacing w:before="320"/>
      <w:outlineLvl w:val="1"/>
    </w:pPr>
  </w:style>
  <w:style w:type="paragraph" w:styleId="Heading3">
    <w:name w:val="heading 3"/>
    <w:basedOn w:val="Heading1"/>
    <w:next w:val="Normal"/>
    <w:qFormat/>
    <w:rsid w:val="00A936CB"/>
    <w:pPr>
      <w:spacing w:before="200"/>
      <w:outlineLvl w:val="2"/>
    </w:pPr>
  </w:style>
  <w:style w:type="paragraph" w:styleId="Heading4">
    <w:name w:val="heading 4"/>
    <w:basedOn w:val="Heading3"/>
    <w:next w:val="Normal"/>
    <w:qFormat/>
    <w:rsid w:val="00A936CB"/>
    <w:pPr>
      <w:tabs>
        <w:tab w:val="clear" w:pos="794"/>
        <w:tab w:val="left" w:pos="992"/>
      </w:tabs>
      <w:ind w:left="992" w:hanging="992"/>
      <w:outlineLvl w:val="3"/>
    </w:pPr>
  </w:style>
  <w:style w:type="paragraph" w:styleId="Heading5">
    <w:name w:val="heading 5"/>
    <w:basedOn w:val="Heading4"/>
    <w:next w:val="Normal"/>
    <w:qFormat/>
    <w:rsid w:val="00A936CB"/>
    <w:pPr>
      <w:outlineLvl w:val="4"/>
    </w:pPr>
  </w:style>
  <w:style w:type="paragraph" w:styleId="Heading6">
    <w:name w:val="heading 6"/>
    <w:basedOn w:val="Heading4"/>
    <w:next w:val="Normal"/>
    <w:qFormat/>
    <w:rsid w:val="00A936CB"/>
    <w:pPr>
      <w:tabs>
        <w:tab w:val="clear" w:pos="992"/>
        <w:tab w:val="clear" w:pos="1191"/>
      </w:tabs>
      <w:ind w:left="1588" w:hanging="1588"/>
      <w:outlineLvl w:val="5"/>
    </w:pPr>
  </w:style>
  <w:style w:type="paragraph" w:styleId="Heading7">
    <w:name w:val="heading 7"/>
    <w:basedOn w:val="Heading6"/>
    <w:next w:val="Normal"/>
    <w:qFormat/>
    <w:rsid w:val="00A936CB"/>
    <w:pPr>
      <w:outlineLvl w:val="6"/>
    </w:pPr>
  </w:style>
  <w:style w:type="paragraph" w:styleId="Heading8">
    <w:name w:val="heading 8"/>
    <w:basedOn w:val="Heading6"/>
    <w:next w:val="Normal"/>
    <w:qFormat/>
    <w:rsid w:val="00A936CB"/>
    <w:pPr>
      <w:outlineLvl w:val="7"/>
    </w:pPr>
  </w:style>
  <w:style w:type="paragraph" w:styleId="Heading9">
    <w:name w:val="heading 9"/>
    <w:basedOn w:val="Heading6"/>
    <w:next w:val="Normal"/>
    <w:qFormat/>
    <w:rsid w:val="00A936CB"/>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36CB"/>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rsid w:val="00A936CB"/>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A936CB"/>
  </w:style>
  <w:style w:type="paragraph" w:customStyle="1" w:styleId="Headingb">
    <w:name w:val="Heading_b"/>
    <w:basedOn w:val="Heading3"/>
    <w:next w:val="Normal"/>
    <w:rsid w:val="00A936CB"/>
    <w:pPr>
      <w:spacing w:before="160"/>
      <w:ind w:left="0" w:firstLine="0"/>
      <w:outlineLvl w:val="9"/>
    </w:pPr>
  </w:style>
  <w:style w:type="paragraph" w:customStyle="1" w:styleId="Headingi">
    <w:name w:val="Heading_i"/>
    <w:basedOn w:val="Heading3"/>
    <w:next w:val="Normal"/>
    <w:rsid w:val="00A936CB"/>
    <w:pPr>
      <w:spacing w:before="160"/>
      <w:ind w:left="0" w:firstLine="0"/>
    </w:pPr>
    <w:rPr>
      <w:b w:val="0"/>
      <w:i/>
    </w:rPr>
  </w:style>
  <w:style w:type="character" w:customStyle="1" w:styleId="href">
    <w:name w:val="href"/>
    <w:basedOn w:val="DefaultParagraphFont"/>
    <w:rsid w:val="00A936CB"/>
  </w:style>
  <w:style w:type="paragraph" w:customStyle="1" w:styleId="AnnexNoTitle">
    <w:name w:val="Annex_NoTitle"/>
    <w:basedOn w:val="Normal"/>
    <w:next w:val="Normalaftertitle"/>
    <w:rsid w:val="00A936CB"/>
    <w:pPr>
      <w:keepNext/>
      <w:keepLines/>
      <w:spacing w:before="480" w:after="80"/>
      <w:jc w:val="center"/>
    </w:pPr>
    <w:rPr>
      <w:b/>
      <w:sz w:val="28"/>
    </w:rPr>
  </w:style>
  <w:style w:type="paragraph" w:customStyle="1" w:styleId="Normalaftertitle">
    <w:name w:val="Normal_after_title"/>
    <w:basedOn w:val="Normal"/>
    <w:next w:val="Normal"/>
    <w:rsid w:val="00A936CB"/>
    <w:pPr>
      <w:spacing w:before="320"/>
    </w:pPr>
  </w:style>
  <w:style w:type="paragraph" w:customStyle="1" w:styleId="enumlev2">
    <w:name w:val="enumlev2"/>
    <w:basedOn w:val="enumlev1"/>
    <w:rsid w:val="00A936CB"/>
    <w:pPr>
      <w:ind w:left="1191" w:hanging="397"/>
    </w:pPr>
  </w:style>
  <w:style w:type="paragraph" w:customStyle="1" w:styleId="enumlev1">
    <w:name w:val="enumlev1"/>
    <w:basedOn w:val="Normal"/>
    <w:rsid w:val="00A936CB"/>
    <w:pPr>
      <w:spacing w:before="80"/>
      <w:ind w:left="794" w:hanging="794"/>
    </w:pPr>
  </w:style>
  <w:style w:type="paragraph" w:customStyle="1" w:styleId="enumlev3">
    <w:name w:val="enumlev3"/>
    <w:basedOn w:val="enumlev2"/>
    <w:rsid w:val="00A936CB"/>
    <w:pPr>
      <w:ind w:left="1588"/>
    </w:pPr>
  </w:style>
  <w:style w:type="paragraph" w:customStyle="1" w:styleId="Note">
    <w:name w:val="Note"/>
    <w:basedOn w:val="Normal"/>
    <w:rsid w:val="00A936CB"/>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A936CB"/>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rsid w:val="00A936CB"/>
    <w:pPr>
      <w:keepNext/>
      <w:keepLines/>
      <w:spacing w:before="240"/>
      <w:jc w:val="center"/>
    </w:pPr>
    <w:rPr>
      <w:b/>
      <w:sz w:val="28"/>
    </w:rPr>
  </w:style>
  <w:style w:type="paragraph" w:customStyle="1" w:styleId="Recref">
    <w:name w:val="Rec_ref"/>
    <w:basedOn w:val="Normal"/>
    <w:next w:val="Recdate"/>
    <w:rsid w:val="00A936CB"/>
    <w:pPr>
      <w:jc w:val="center"/>
    </w:pPr>
  </w:style>
  <w:style w:type="paragraph" w:customStyle="1" w:styleId="Recdate">
    <w:name w:val="Rec_date"/>
    <w:basedOn w:val="Recref"/>
    <w:next w:val="Normalaftertitle"/>
    <w:rsid w:val="00A936CB"/>
    <w:pPr>
      <w:jc w:val="right"/>
    </w:pPr>
  </w:style>
  <w:style w:type="paragraph" w:customStyle="1" w:styleId="HeadingSum">
    <w:name w:val="Heading_Sum"/>
    <w:basedOn w:val="Headingb"/>
    <w:next w:val="Normal"/>
    <w:autoRedefine/>
    <w:rsid w:val="00152038"/>
    <w:pPr>
      <w:spacing w:before="240"/>
    </w:pPr>
    <w:rPr>
      <w:sz w:val="22"/>
      <w:lang w:val="es-ES_tradnl"/>
    </w:rPr>
  </w:style>
  <w:style w:type="paragraph" w:customStyle="1" w:styleId="AppendixNoTitle">
    <w:name w:val="Appendix_NoTitle"/>
    <w:basedOn w:val="AnnexNoTitle"/>
    <w:next w:val="Normal"/>
    <w:rsid w:val="00A936CB"/>
  </w:style>
  <w:style w:type="paragraph" w:customStyle="1" w:styleId="Tablefin">
    <w:name w:val="Table_fin"/>
    <w:basedOn w:val="Normal"/>
    <w:next w:val="Normal"/>
    <w:rsid w:val="00A936CB"/>
    <w:pPr>
      <w:spacing w:before="0"/>
    </w:pPr>
    <w:rPr>
      <w:sz w:val="20"/>
      <w:lang w:val="en-GB"/>
    </w:rPr>
  </w:style>
  <w:style w:type="paragraph" w:customStyle="1" w:styleId="Tablehead">
    <w:name w:val="Table_head"/>
    <w:basedOn w:val="Normal"/>
    <w:next w:val="Normal"/>
    <w:rsid w:val="00A936C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rsid w:val="00A936CB"/>
    <w:pPr>
      <w:keepNext/>
      <w:spacing w:before="360" w:after="120"/>
      <w:jc w:val="center"/>
    </w:pPr>
  </w:style>
  <w:style w:type="paragraph" w:customStyle="1" w:styleId="Tabletext">
    <w:name w:val="Table_text"/>
    <w:basedOn w:val="Normal"/>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rsid w:val="00A936CB"/>
    <w:pPr>
      <w:tabs>
        <w:tab w:val="clear" w:pos="1191"/>
        <w:tab w:val="clear" w:pos="1588"/>
        <w:tab w:val="clear" w:pos="1985"/>
        <w:tab w:val="center" w:pos="4820"/>
        <w:tab w:val="right" w:pos="9639"/>
      </w:tabs>
    </w:pPr>
  </w:style>
  <w:style w:type="paragraph" w:customStyle="1" w:styleId="Equationlegend">
    <w:name w:val="Equation_legend"/>
    <w:basedOn w:val="NormalIndent"/>
    <w:rsid w:val="00A936CB"/>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A936CB"/>
    <w:pPr>
      <w:ind w:left="794"/>
    </w:pPr>
  </w:style>
  <w:style w:type="paragraph" w:customStyle="1" w:styleId="Figurelegend">
    <w:name w:val="Figure_legend"/>
    <w:basedOn w:val="Normal"/>
    <w:rsid w:val="00A936C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A936CB"/>
    <w:pPr>
      <w:keepNext/>
      <w:keepLines/>
      <w:spacing w:before="480" w:after="80"/>
      <w:jc w:val="center"/>
    </w:pPr>
    <w:rPr>
      <w:caps/>
      <w:sz w:val="18"/>
    </w:rPr>
  </w:style>
  <w:style w:type="paragraph" w:customStyle="1" w:styleId="Figuretitle">
    <w:name w:val="Figure_title"/>
    <w:basedOn w:val="Normal"/>
    <w:next w:val="Figure"/>
    <w:rsid w:val="00A936CB"/>
    <w:pPr>
      <w:keepNext/>
      <w:spacing w:before="0" w:after="120"/>
      <w:jc w:val="center"/>
    </w:pPr>
    <w:rPr>
      <w:rFonts w:ascii="Times New Roman Bold" w:hAnsi="Times New Roman Bold"/>
      <w:b/>
      <w:sz w:val="18"/>
    </w:rPr>
  </w:style>
  <w:style w:type="paragraph" w:customStyle="1" w:styleId="Figure">
    <w:name w:val="Figure"/>
    <w:basedOn w:val="FigureNo"/>
    <w:next w:val="Normal"/>
    <w:rsid w:val="00A936CB"/>
    <w:pPr>
      <w:keepNext w:val="0"/>
      <w:spacing w:before="0" w:after="240"/>
    </w:pPr>
  </w:style>
  <w:style w:type="paragraph" w:customStyle="1" w:styleId="tocpart">
    <w:name w:val="tocpart"/>
    <w:basedOn w:val="Normal"/>
    <w:rsid w:val="00A936CB"/>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A936CB"/>
    <w:pPr>
      <w:keepNext/>
      <w:keepLines/>
      <w:spacing w:before="480"/>
      <w:jc w:val="center"/>
    </w:pPr>
    <w:rPr>
      <w:sz w:val="28"/>
    </w:rPr>
  </w:style>
  <w:style w:type="paragraph" w:customStyle="1" w:styleId="Arttitle">
    <w:name w:val="Art_title"/>
    <w:basedOn w:val="Normal"/>
    <w:next w:val="Normalaftertitle"/>
    <w:rsid w:val="00A936CB"/>
    <w:pPr>
      <w:keepNext/>
      <w:keepLines/>
      <w:spacing w:before="240"/>
      <w:jc w:val="center"/>
    </w:pPr>
    <w:rPr>
      <w:b/>
      <w:sz w:val="28"/>
    </w:rPr>
  </w:style>
  <w:style w:type="paragraph" w:customStyle="1" w:styleId="Blanc">
    <w:name w:val="Blanc"/>
    <w:basedOn w:val="Normal"/>
    <w:next w:val="Tabletext"/>
    <w:rsid w:val="00A936CB"/>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A936C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rsid w:val="00A936CB"/>
    <w:pPr>
      <w:keepNext/>
      <w:keepLines/>
      <w:spacing w:before="160"/>
      <w:ind w:left="794"/>
    </w:pPr>
    <w:rPr>
      <w:i/>
    </w:rPr>
  </w:style>
  <w:style w:type="paragraph" w:customStyle="1" w:styleId="ChapNo">
    <w:name w:val="Chap_No"/>
    <w:basedOn w:val="ArtNo"/>
    <w:next w:val="Chaptitle"/>
    <w:rsid w:val="00A936CB"/>
    <w:rPr>
      <w:b/>
    </w:rPr>
  </w:style>
  <w:style w:type="paragraph" w:customStyle="1" w:styleId="Chaptitle">
    <w:name w:val="Chap_title"/>
    <w:basedOn w:val="Arttitle"/>
    <w:next w:val="Normalaftertitle"/>
    <w:rsid w:val="00A936CB"/>
  </w:style>
  <w:style w:type="character" w:styleId="FootnoteReference">
    <w:name w:val="footnote reference"/>
    <w:basedOn w:val="DefaultParagraphFont"/>
    <w:semiHidden/>
    <w:rsid w:val="00A936CB"/>
    <w:rPr>
      <w:position w:val="6"/>
      <w:sz w:val="18"/>
    </w:rPr>
  </w:style>
  <w:style w:type="paragraph" w:styleId="FootnoteText">
    <w:name w:val="footnote text"/>
    <w:basedOn w:val="Normal"/>
    <w:semiHidden/>
    <w:rsid w:val="00A936CB"/>
    <w:pPr>
      <w:keepLines/>
      <w:tabs>
        <w:tab w:val="left" w:pos="255"/>
      </w:tabs>
      <w:ind w:left="255" w:hanging="255"/>
    </w:pPr>
    <w:rPr>
      <w:sz w:val="22"/>
    </w:rPr>
  </w:style>
  <w:style w:type="paragraph" w:styleId="Index1">
    <w:name w:val="index 1"/>
    <w:basedOn w:val="Normal"/>
    <w:next w:val="Normal"/>
    <w:semiHidden/>
    <w:rsid w:val="00A936CB"/>
  </w:style>
  <w:style w:type="paragraph" w:styleId="Index2">
    <w:name w:val="index 2"/>
    <w:basedOn w:val="Normal"/>
    <w:next w:val="Normal"/>
    <w:semiHidden/>
    <w:rsid w:val="00A936CB"/>
    <w:pPr>
      <w:ind w:left="283"/>
    </w:pPr>
  </w:style>
  <w:style w:type="paragraph" w:styleId="Index3">
    <w:name w:val="index 3"/>
    <w:basedOn w:val="Normal"/>
    <w:next w:val="Normal"/>
    <w:semiHidden/>
    <w:rsid w:val="00A936CB"/>
    <w:pPr>
      <w:ind w:left="566"/>
    </w:pPr>
  </w:style>
  <w:style w:type="paragraph" w:styleId="IndexHeading">
    <w:name w:val="index heading"/>
    <w:basedOn w:val="Normal"/>
    <w:next w:val="Index1"/>
    <w:semiHidden/>
    <w:rsid w:val="00A936CB"/>
  </w:style>
  <w:style w:type="paragraph" w:customStyle="1" w:styleId="Line">
    <w:name w:val="Line"/>
    <w:basedOn w:val="Normal"/>
    <w:next w:val="Normal"/>
    <w:rsid w:val="00A936CB"/>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A936CB"/>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A936CB"/>
  </w:style>
  <w:style w:type="paragraph" w:customStyle="1" w:styleId="Partref">
    <w:name w:val="Part_ref"/>
    <w:basedOn w:val="Normal"/>
    <w:next w:val="Normal"/>
    <w:rsid w:val="00A936CB"/>
    <w:pPr>
      <w:keepNext/>
      <w:keepLines/>
      <w:spacing w:after="280"/>
      <w:jc w:val="center"/>
    </w:pPr>
  </w:style>
  <w:style w:type="paragraph" w:customStyle="1" w:styleId="Parttitle">
    <w:name w:val="Part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A936CB"/>
  </w:style>
  <w:style w:type="paragraph" w:customStyle="1" w:styleId="QuestionNo">
    <w:name w:val="Question_No"/>
    <w:basedOn w:val="RecNo"/>
    <w:next w:val="Normal"/>
    <w:rsid w:val="00A936CB"/>
  </w:style>
  <w:style w:type="paragraph" w:customStyle="1" w:styleId="Questionref">
    <w:name w:val="Question_ref"/>
    <w:basedOn w:val="Recref"/>
    <w:next w:val="Questiondate"/>
    <w:rsid w:val="00A936CB"/>
  </w:style>
  <w:style w:type="paragraph" w:customStyle="1" w:styleId="Questiontitle">
    <w:name w:val="Question_title"/>
    <w:basedOn w:val="Normal"/>
    <w:next w:val="Questionref"/>
    <w:rsid w:val="00A936CB"/>
  </w:style>
  <w:style w:type="paragraph" w:customStyle="1" w:styleId="Reftext">
    <w:name w:val="Ref_text"/>
    <w:basedOn w:val="Normal"/>
    <w:rsid w:val="00A936CB"/>
    <w:pPr>
      <w:ind w:left="794" w:hanging="794"/>
    </w:pPr>
    <w:rPr>
      <w:sz w:val="22"/>
    </w:rPr>
  </w:style>
  <w:style w:type="paragraph" w:customStyle="1" w:styleId="Reftitle">
    <w:name w:val="Ref_title"/>
    <w:basedOn w:val="Normal"/>
    <w:next w:val="Reftext"/>
    <w:rsid w:val="00A936CB"/>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A936CB"/>
  </w:style>
  <w:style w:type="paragraph" w:customStyle="1" w:styleId="RepNo">
    <w:name w:val="Rep_No"/>
    <w:basedOn w:val="RecNo"/>
    <w:next w:val="Reptitle"/>
    <w:rsid w:val="00A936CB"/>
  </w:style>
  <w:style w:type="paragraph" w:customStyle="1" w:styleId="Reptitle">
    <w:name w:val="Rep_title"/>
    <w:basedOn w:val="Rectitle"/>
    <w:next w:val="Repref"/>
    <w:rsid w:val="00A936CB"/>
  </w:style>
  <w:style w:type="paragraph" w:customStyle="1" w:styleId="Repref">
    <w:name w:val="Rep_ref"/>
    <w:basedOn w:val="Recref"/>
    <w:next w:val="Repdate"/>
    <w:rsid w:val="00A936CB"/>
  </w:style>
  <w:style w:type="paragraph" w:customStyle="1" w:styleId="Resdate">
    <w:name w:val="Res_date"/>
    <w:basedOn w:val="Recdate"/>
    <w:next w:val="Normalaftertitle"/>
    <w:rsid w:val="00A936CB"/>
  </w:style>
  <w:style w:type="paragraph" w:customStyle="1" w:styleId="ResNo">
    <w:name w:val="Res_No"/>
    <w:basedOn w:val="RecNo"/>
    <w:next w:val="Restitle"/>
    <w:rsid w:val="00A936CB"/>
  </w:style>
  <w:style w:type="paragraph" w:customStyle="1" w:styleId="Restitle">
    <w:name w:val="Res_title"/>
    <w:basedOn w:val="Normal"/>
    <w:next w:val="Resref"/>
    <w:rsid w:val="00A936CB"/>
    <w:pPr>
      <w:spacing w:before="240"/>
      <w:jc w:val="center"/>
    </w:pPr>
    <w:rPr>
      <w:b/>
      <w:sz w:val="28"/>
    </w:rPr>
  </w:style>
  <w:style w:type="paragraph" w:customStyle="1" w:styleId="Resref">
    <w:name w:val="Res_ref"/>
    <w:basedOn w:val="Recref"/>
    <w:next w:val="Resdate"/>
    <w:rsid w:val="00A936CB"/>
  </w:style>
  <w:style w:type="paragraph" w:customStyle="1" w:styleId="SectionNo">
    <w:name w:val="Section_No"/>
    <w:basedOn w:val="Normal"/>
    <w:next w:val="Normal"/>
    <w:rsid w:val="00A936CB"/>
  </w:style>
  <w:style w:type="paragraph" w:customStyle="1" w:styleId="Sectiontitle">
    <w:name w:val="Section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A936CB"/>
    <w:pPr>
      <w:tabs>
        <w:tab w:val="clear" w:pos="794"/>
        <w:tab w:val="clear" w:pos="1191"/>
        <w:tab w:val="clear" w:pos="1588"/>
        <w:tab w:val="clear" w:pos="1985"/>
        <w:tab w:val="right" w:pos="9611"/>
      </w:tabs>
    </w:pPr>
    <w:rPr>
      <w:i/>
    </w:rPr>
  </w:style>
  <w:style w:type="paragraph" w:styleId="TOC1">
    <w:name w:val="toc 1"/>
    <w:basedOn w:val="Normal"/>
    <w:semiHidden/>
    <w:rsid w:val="00A936CB"/>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rsid w:val="00A936CB"/>
    <w:pPr>
      <w:tabs>
        <w:tab w:val="clear" w:pos="567"/>
        <w:tab w:val="left" w:pos="1276"/>
      </w:tabs>
      <w:spacing w:before="160"/>
      <w:ind w:left="1276" w:hanging="709"/>
    </w:pPr>
  </w:style>
  <w:style w:type="paragraph" w:styleId="TOC3">
    <w:name w:val="toc 3"/>
    <w:basedOn w:val="TOC2"/>
    <w:semiHidden/>
    <w:rsid w:val="00A936CB"/>
    <w:pPr>
      <w:tabs>
        <w:tab w:val="clear" w:pos="1276"/>
        <w:tab w:val="left" w:pos="2155"/>
      </w:tabs>
      <w:ind w:left="2155" w:hanging="879"/>
    </w:pPr>
  </w:style>
  <w:style w:type="paragraph" w:styleId="TOC4">
    <w:name w:val="toc 4"/>
    <w:basedOn w:val="TOC3"/>
    <w:semiHidden/>
    <w:rsid w:val="00A936CB"/>
    <w:pPr>
      <w:tabs>
        <w:tab w:val="left" w:pos="3261"/>
      </w:tabs>
      <w:spacing w:before="80"/>
      <w:ind w:left="3261" w:hanging="993"/>
    </w:pPr>
  </w:style>
  <w:style w:type="paragraph" w:styleId="TOC5">
    <w:name w:val="toc 5"/>
    <w:basedOn w:val="TOC4"/>
    <w:semiHidden/>
    <w:rsid w:val="00A936CB"/>
  </w:style>
  <w:style w:type="paragraph" w:styleId="TOC6">
    <w:name w:val="toc 6"/>
    <w:basedOn w:val="TOC4"/>
    <w:semiHidden/>
    <w:rsid w:val="00A936CB"/>
  </w:style>
  <w:style w:type="paragraph" w:styleId="TOC7">
    <w:name w:val="toc 7"/>
    <w:basedOn w:val="TOC4"/>
    <w:semiHidden/>
    <w:rsid w:val="00A936CB"/>
  </w:style>
  <w:style w:type="paragraph" w:styleId="TOC8">
    <w:name w:val="toc 8"/>
    <w:basedOn w:val="TOC4"/>
    <w:semiHidden/>
    <w:rsid w:val="00A936CB"/>
  </w:style>
  <w:style w:type="paragraph" w:customStyle="1" w:styleId="Annexref">
    <w:name w:val="Annex_ref"/>
    <w:basedOn w:val="Normal"/>
    <w:next w:val="Normalaftertitle"/>
    <w:rsid w:val="00A936CB"/>
    <w:pPr>
      <w:keepNext/>
      <w:keepLines/>
      <w:spacing w:after="280"/>
      <w:jc w:val="center"/>
    </w:pPr>
  </w:style>
  <w:style w:type="paragraph" w:customStyle="1" w:styleId="Appendixref">
    <w:name w:val="Appendix_ref"/>
    <w:basedOn w:val="Annexref"/>
    <w:next w:val="Normalaftertitle"/>
    <w:rsid w:val="00A936CB"/>
  </w:style>
  <w:style w:type="paragraph" w:customStyle="1" w:styleId="Tabletitle">
    <w:name w:val="Table_title"/>
    <w:basedOn w:val="Normal"/>
    <w:next w:val="Tablehead"/>
    <w:rsid w:val="00A936CB"/>
    <w:pPr>
      <w:keepNext/>
      <w:spacing w:before="0" w:after="120"/>
      <w:jc w:val="center"/>
    </w:pPr>
    <w:rPr>
      <w:b/>
    </w:rPr>
  </w:style>
  <w:style w:type="paragraph" w:customStyle="1" w:styleId="Summary">
    <w:name w:val="Summary"/>
    <w:basedOn w:val="Normal"/>
    <w:next w:val="Normalaftertitle"/>
    <w:autoRedefine/>
    <w:rsid w:val="00152038"/>
    <w:pPr>
      <w:spacing w:after="480"/>
    </w:pPr>
    <w:rPr>
      <w:sz w:val="22"/>
      <w:lang w:val="es-ES_tradnl"/>
    </w:rPr>
  </w:style>
  <w:style w:type="character" w:styleId="Hyperlink">
    <w:name w:val="Hyperlink"/>
    <w:basedOn w:val="DefaultParagraphFont"/>
    <w:rsid w:val="00934ED7"/>
    <w:rPr>
      <w:color w:val="0000FF"/>
      <w:u w:val="single"/>
    </w:rPr>
  </w:style>
  <w:style w:type="paragraph" w:customStyle="1" w:styleId="TableLegendNote">
    <w:name w:val="Table_Legend_Note"/>
    <w:basedOn w:val="Tablelegend"/>
    <w:next w:val="Tablelegend"/>
    <w:rsid w:val="00A936CB"/>
    <w:pPr>
      <w:ind w:left="-85" w:firstLine="0"/>
    </w:pPr>
    <w:rPr>
      <w:lang w:val="en-US"/>
    </w:rPr>
  </w:style>
  <w:style w:type="character" w:customStyle="1" w:styleId="HeaderChar">
    <w:name w:val="Header Char"/>
    <w:basedOn w:val="DefaultParagraphFont"/>
    <w:link w:val="Header"/>
    <w:uiPriority w:val="99"/>
    <w:rsid w:val="00EE47C4"/>
    <w:rPr>
      <w:sz w:val="24"/>
      <w:lang w:val="fr-FR" w:eastAsia="en-US"/>
    </w:rPr>
  </w:style>
  <w:style w:type="table" w:styleId="TableGrid">
    <w:name w:val="Table Grid"/>
    <w:basedOn w:val="TableNormal"/>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table" w:customStyle="1" w:styleId="TableGrid1">
    <w:name w:val="Table Grid1"/>
    <w:basedOn w:val="TableNormal"/>
    <w:uiPriority w:val="59"/>
    <w:rsid w:val="00A17958"/>
    <w:rPr>
      <w:rFonts w:ascii="CG Times" w:eastAsia="MS Mincho" w:hAnsi="CG Times"/>
      <w:sz w:val="22"/>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909121">
      <w:bodyDiv w:val="1"/>
      <w:marLeft w:val="0"/>
      <w:marRight w:val="0"/>
      <w:marTop w:val="0"/>
      <w:marBottom w:val="0"/>
      <w:divBdr>
        <w:top w:val="none" w:sz="0" w:space="0" w:color="auto"/>
        <w:left w:val="none" w:sz="0" w:space="0" w:color="auto"/>
        <w:bottom w:val="none" w:sz="0" w:space="0" w:color="auto"/>
        <w:right w:val="none" w:sz="0" w:space="0" w:color="auto"/>
      </w:divBdr>
    </w:div>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 w:id="155970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s://www.itu.int/pub/R-REP-SM.2153/es" TargetMode="External"/><Relationship Id="rId3" Type="http://schemas.openxmlformats.org/officeDocument/2006/relationships/settings" Target="settings.xml"/><Relationship Id="rId21" Type="http://schemas.openxmlformats.org/officeDocument/2006/relationships/hyperlink" Target="https://www.itu.int/pub/R-REP-TF.2487/es" TargetMode="Externa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yperlink" Target="https://www.itu.int/rec/R-REC-SM.2129/es" TargetMode="External"/><Relationship Id="rId2" Type="http://schemas.openxmlformats.org/officeDocument/2006/relationships/styles" Target="styles.xml"/><Relationship Id="rId16" Type="http://schemas.openxmlformats.org/officeDocument/2006/relationships/hyperlink" Target="https://www.itu.int/rec/R-REC-SM.1896/es" TargetMode="External"/><Relationship Id="rId20" Type="http://schemas.openxmlformats.org/officeDocument/2006/relationships/hyperlink" Target="https://www.itu.int/pub/R-REP-SM.2451/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publ/R-REC/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tu.int/rec/R-REC-SM.1056/es" TargetMode="External"/><Relationship Id="rId23" Type="http://schemas.openxmlformats.org/officeDocument/2006/relationships/fontTable" Target="fontTable.xml"/><Relationship Id="rId10" Type="http://schemas.openxmlformats.org/officeDocument/2006/relationships/hyperlink" Target="https://www.itu.int/ITU-R/go/patents/es" TargetMode="External"/><Relationship Id="rId19" Type="http://schemas.openxmlformats.org/officeDocument/2006/relationships/hyperlink" Target="https://www.itu.int/pub/R-REP-SM.2303/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itu.int/pub/R-QUE-SG01.210/es"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QPUB\BR\COUVERTURES\RecS\2025-ITU-R_REC_SM_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2025-ITU-R_REC_SM_S.docx</Template>
  <TotalTime>260</TotalTime>
  <Pages>6</Pages>
  <Words>1722</Words>
  <Characters>10105</Characters>
  <Application>Microsoft Office Word</Application>
  <DocSecurity>0</DocSecurity>
  <Lines>210</Lines>
  <Paragraphs>120</Paragraphs>
  <ScaleCrop>false</ScaleCrop>
  <HeadingPairs>
    <vt:vector size="2" baseType="variant">
      <vt:variant>
        <vt:lpstr>Title</vt:lpstr>
      </vt:variant>
      <vt:variant>
        <vt:i4>1</vt:i4>
      </vt:variant>
    </vt:vector>
  </HeadingPairs>
  <TitlesOfParts>
    <vt:vector size="1" baseType="lpstr">
      <vt:lpstr>RECOMENDACIÓN  UIT-R  SM.2110-2 - Directrices sobre gamas de frecuencias para la explotación de sistemas de transmisión inalámbrica de potencia sin haces para vehículos eléctricos</vt:lpstr>
    </vt:vector>
  </TitlesOfParts>
  <Manager/>
  <Company>ITU</Company>
  <LinksUpToDate>false</LinksUpToDate>
  <CharactersWithSpaces>11716</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Recomendación UIT-R SM.2110-2 (09/2025) - Directrices sobre gamas de frecuencias para la explotación de sistemas de transmisión inalámbrica de potencia sin haces para vehículos eléctricos</dc:title>
  <dc:subject>Serie SM: Gestión del espectro</dc:subject>
  <dc:creator>Oficina de Radiocomunicaciones del UIT (BR)</dc:creator>
  <cp:keywords>Transmisión inalámbrica de potencia, dispositivos de corto alcance, ICM, TIP sin haz</cp:keywords>
  <dc:description/>
  <cp:lastModifiedBy>Saez Grau, Ricardo</cp:lastModifiedBy>
  <cp:revision>11</cp:revision>
  <cp:lastPrinted>2023-03-17T15:41:00Z</cp:lastPrinted>
  <dcterms:created xsi:type="dcterms:W3CDTF">2025-12-08T08:27:00Z</dcterms:created>
  <dcterms:modified xsi:type="dcterms:W3CDTF">2025-12-08T14:08:00Z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Language">
    <vt:lpwstr>Spanish</vt:lpwstr>
  </property>
  <property fmtid="{D5CDD505-2E9C-101B-9397-08002B2CF9AE}" pid="10" name="Typist">
    <vt:lpwstr>Saez</vt:lpwstr>
  </property>
  <property fmtid="{D5CDD505-2E9C-101B-9397-08002B2CF9AE}" pid="11" name="Date completed">
    <vt:lpwstr>08 December 2025</vt:lpwstr>
  </property>
</Properties>
</file>