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47031" w14:textId="77777777" w:rsidR="00301285" w:rsidRDefault="00301285" w:rsidP="00301285"/>
    <w:p w14:paraId="5280B668" w14:textId="77777777" w:rsidR="00301285" w:rsidRDefault="00301285" w:rsidP="00301285">
      <w:pPr>
        <w:tabs>
          <w:tab w:val="clear" w:pos="794"/>
          <w:tab w:val="clear" w:pos="1191"/>
          <w:tab w:val="clear" w:pos="1588"/>
          <w:tab w:val="clear" w:pos="1985"/>
        </w:tabs>
      </w:pPr>
    </w:p>
    <w:p w14:paraId="2EE28CDF" w14:textId="2F3E9245" w:rsidR="00301285" w:rsidRPr="00710A2A" w:rsidRDefault="00301285" w:rsidP="00301285">
      <w:pPr>
        <w:pStyle w:val="CoverNumber"/>
        <w:rPr>
          <w:lang w:val="fr-FR"/>
        </w:rPr>
      </w:pPr>
      <w:r w:rsidRPr="00710A2A">
        <w:rPr>
          <w:lang w:val="fr-FR"/>
        </w:rPr>
        <w:t xml:space="preserve">Recommandation UIT-R </w:t>
      </w:r>
      <w:r>
        <w:rPr>
          <w:lang w:val="fr-FR"/>
        </w:rPr>
        <w:t>SM</w:t>
      </w:r>
      <w:r w:rsidRPr="00710A2A">
        <w:rPr>
          <w:lang w:val="fr-FR"/>
        </w:rPr>
        <w:t>.</w:t>
      </w:r>
      <w:r>
        <w:rPr>
          <w:lang w:val="fr-FR"/>
        </w:rPr>
        <w:t>2110-2</w:t>
      </w:r>
    </w:p>
    <w:p w14:paraId="44431FBA" w14:textId="3888BCA4" w:rsidR="00301285" w:rsidRPr="004F3F6F" w:rsidRDefault="00301285" w:rsidP="00301285">
      <w:pPr>
        <w:pStyle w:val="CoverDate"/>
        <w:rPr>
          <w:lang w:val="fr-FR"/>
        </w:rPr>
      </w:pPr>
      <w:r w:rsidRPr="004F3F6F">
        <w:rPr>
          <w:lang w:val="fr-FR"/>
        </w:rPr>
        <w:t>(</w:t>
      </w:r>
      <w:r>
        <w:rPr>
          <w:lang w:val="fr-FR"/>
        </w:rPr>
        <w:t>09</w:t>
      </w:r>
      <w:r w:rsidRPr="004F3F6F">
        <w:rPr>
          <w:lang w:val="fr-FR"/>
        </w:rPr>
        <w:t>/</w:t>
      </w:r>
      <w:r>
        <w:rPr>
          <w:lang w:val="fr-FR"/>
        </w:rPr>
        <w:t>2025</w:t>
      </w:r>
      <w:r w:rsidRPr="004F3F6F">
        <w:rPr>
          <w:lang w:val="fr-FR"/>
        </w:rPr>
        <w:t>)</w:t>
      </w:r>
    </w:p>
    <w:p w14:paraId="5E24FECE" w14:textId="77777777" w:rsidR="00301285" w:rsidRPr="009D0850" w:rsidRDefault="00301285" w:rsidP="00301285">
      <w:pPr>
        <w:pStyle w:val="CoverSeries"/>
        <w:rPr>
          <w:lang w:val="fr-CH"/>
        </w:rPr>
      </w:pPr>
      <w:r w:rsidRPr="009D0850">
        <w:rPr>
          <w:lang w:val="fr-CH"/>
        </w:rPr>
        <w:t xml:space="preserve">Série </w:t>
      </w:r>
      <w:proofErr w:type="gramStart"/>
      <w:r w:rsidRPr="009D0850">
        <w:rPr>
          <w:lang w:val="fr-CH"/>
        </w:rPr>
        <w:t>SM:</w:t>
      </w:r>
      <w:proofErr w:type="gramEnd"/>
      <w:r w:rsidRPr="009D0850">
        <w:rPr>
          <w:lang w:val="fr-CH"/>
        </w:rPr>
        <w:t xml:space="preserve"> Gestion du spectre</w:t>
      </w:r>
    </w:p>
    <w:p w14:paraId="4C5015AD" w14:textId="18EA3A89" w:rsidR="00301285" w:rsidRPr="004F3F6F" w:rsidRDefault="00301285" w:rsidP="00301285">
      <w:pPr>
        <w:pStyle w:val="CoverTitle"/>
        <w:rPr>
          <w:lang w:val="fr-FR"/>
        </w:rPr>
      </w:pPr>
      <w:r w:rsidRPr="00301285">
        <w:rPr>
          <w:lang w:val="fr-FR"/>
        </w:rPr>
        <w:t>Orientations relatives aux gammes de fréquences pour l'exploitation des systèmes de transmission d'énergie sans fil n'utilisant pas de faisceau pour les véhicules électriques</w:t>
      </w:r>
    </w:p>
    <w:p w14:paraId="375C7CD1" w14:textId="77777777" w:rsidR="00301285" w:rsidRPr="00301285" w:rsidRDefault="00301285" w:rsidP="00301285">
      <w:pPr>
        <w:rPr>
          <w:lang w:val="fr-CH"/>
        </w:rPr>
      </w:pPr>
    </w:p>
    <w:p w14:paraId="722D3823" w14:textId="77777777" w:rsidR="00301285" w:rsidRPr="00301285" w:rsidRDefault="00301285" w:rsidP="00301285">
      <w:pPr>
        <w:rPr>
          <w:lang w:val="fr-CH"/>
        </w:rPr>
      </w:pPr>
    </w:p>
    <w:p w14:paraId="4BCF8B3A" w14:textId="77777777" w:rsidR="00301285" w:rsidRPr="00301285" w:rsidRDefault="00301285" w:rsidP="00301285">
      <w:pPr>
        <w:rPr>
          <w:lang w:val="fr-CH"/>
        </w:rPr>
        <w:sectPr w:rsidR="00301285" w:rsidRPr="00301285" w:rsidSect="00301285">
          <w:headerReference w:type="even" r:id="rId6"/>
          <w:headerReference w:type="default" r:id="rId7"/>
          <w:footerReference w:type="default" r:id="rId8"/>
          <w:pgSz w:w="11907" w:h="16840" w:code="9"/>
          <w:pgMar w:top="1089" w:right="1089" w:bottom="284" w:left="1089" w:header="737" w:footer="284" w:gutter="0"/>
          <w:pgNumType w:start="1"/>
          <w:cols w:space="720"/>
          <w:docGrid w:linePitch="326"/>
        </w:sectPr>
      </w:pPr>
    </w:p>
    <w:p w14:paraId="741D1B4A" w14:textId="77777777" w:rsidR="00301285" w:rsidRPr="00301285" w:rsidRDefault="00301285" w:rsidP="00301285">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280" w:after="0"/>
        <w:rPr>
          <w:bCs/>
          <w:sz w:val="24"/>
          <w:szCs w:val="24"/>
          <w:lang w:val="fr-CH"/>
        </w:rPr>
      </w:pPr>
      <w:bookmarkStart w:id="0" w:name="c2tope"/>
      <w:bookmarkEnd w:id="0"/>
      <w:r w:rsidRPr="00301285">
        <w:rPr>
          <w:bCs/>
          <w:sz w:val="24"/>
          <w:szCs w:val="24"/>
          <w:lang w:val="fr-CH"/>
        </w:rPr>
        <w:lastRenderedPageBreak/>
        <w:t>Avant-propos</w:t>
      </w:r>
    </w:p>
    <w:p w14:paraId="1BACE351" w14:textId="77777777" w:rsidR="00301285" w:rsidRPr="00301285" w:rsidRDefault="00301285" w:rsidP="00301285">
      <w:pPr>
        <w:spacing w:before="240"/>
        <w:rPr>
          <w:sz w:val="20"/>
          <w:lang w:val="fr-CH"/>
        </w:rPr>
      </w:pPr>
      <w:r w:rsidRPr="00301285">
        <w:rPr>
          <w:sz w:val="20"/>
          <w:lang w:val="fr-CH"/>
        </w:rPr>
        <w:t>Le rôle du Secteur des radiocommunications est d’assurer l’utilisation rationnelle, équitable, efficace et économique du spectre radioélectrique par tous les services de radiocommunication, y compris les services par satellite, et de procéder à des études pour toutes les gammes de fréquences, à partir desquelles les Recommandations seront élaborées et adoptées.</w:t>
      </w:r>
    </w:p>
    <w:p w14:paraId="52995099" w14:textId="77777777" w:rsidR="00301285" w:rsidRPr="00301285" w:rsidRDefault="00301285" w:rsidP="00301285">
      <w:pPr>
        <w:rPr>
          <w:sz w:val="20"/>
          <w:lang w:val="fr-CH"/>
        </w:rPr>
      </w:pPr>
      <w:r w:rsidRPr="00301285">
        <w:rPr>
          <w:sz w:val="20"/>
          <w:lang w:val="fr-CH"/>
        </w:rPr>
        <w:t>Les fonctions réglementaires et politiques du Secteur des radiocommunications sont remplies par les Conférences mondiales et régionales des radiocommunications et par les Assemblées des radiocommunications assistées par les Commissions d’études.</w:t>
      </w:r>
    </w:p>
    <w:p w14:paraId="5EB5E3EF" w14:textId="571D377D" w:rsidR="00301285" w:rsidRPr="00301285" w:rsidRDefault="00301285" w:rsidP="00301285">
      <w:pPr>
        <w:pStyle w:val="Heading1"/>
        <w:spacing w:before="360"/>
        <w:jc w:val="center"/>
        <w:rPr>
          <w:szCs w:val="24"/>
          <w:lang w:val="fr-CH"/>
        </w:rPr>
      </w:pPr>
      <w:r w:rsidRPr="00301285">
        <w:rPr>
          <w:szCs w:val="24"/>
          <w:lang w:val="fr-CH"/>
        </w:rPr>
        <w:t>Politique en matière de droits de propriété intellectuelle (IPR)</w:t>
      </w:r>
    </w:p>
    <w:p w14:paraId="3828806A" w14:textId="497D2B1E" w:rsidR="00301285" w:rsidRPr="00301285" w:rsidRDefault="00301285" w:rsidP="00301285">
      <w:pPr>
        <w:tabs>
          <w:tab w:val="clear" w:pos="794"/>
          <w:tab w:val="clear" w:pos="1191"/>
          <w:tab w:val="clear" w:pos="1588"/>
          <w:tab w:val="clear" w:pos="1985"/>
        </w:tabs>
        <w:rPr>
          <w:sz w:val="20"/>
          <w:lang w:val="fr-CH"/>
        </w:rPr>
      </w:pPr>
      <w:r w:rsidRPr="00301285">
        <w:rPr>
          <w:sz w:val="20"/>
          <w:lang w:val="fr-CH"/>
        </w:rPr>
        <w:t>La politique de l'UIT</w:t>
      </w:r>
      <w:r w:rsidRPr="00301285">
        <w:rPr>
          <w:sz w:val="20"/>
          <w:lang w:val="fr-CH"/>
        </w:rPr>
        <w:noBreakHyphen/>
        <w:t>R en matière de droits de propriété intellectuelle est décrite dans la</w:t>
      </w:r>
      <w:proofErr w:type="gramStart"/>
      <w:r w:rsidRPr="00301285">
        <w:rPr>
          <w:sz w:val="20"/>
          <w:lang w:val="fr-CH"/>
        </w:rPr>
        <w:t xml:space="preserve"> «Politique</w:t>
      </w:r>
      <w:proofErr w:type="gramEnd"/>
      <w:r w:rsidRPr="00301285">
        <w:rPr>
          <w:sz w:val="20"/>
          <w:lang w:val="fr-CH"/>
        </w:rPr>
        <w:t xml:space="preserve"> commune de l'UIT</w:t>
      </w:r>
      <w:r w:rsidRPr="00301285">
        <w:rPr>
          <w:sz w:val="20"/>
          <w:lang w:val="fr-CH"/>
        </w:rPr>
        <w:noBreakHyphen/>
        <w:t>T, l'UIT</w:t>
      </w:r>
      <w:r w:rsidRPr="00301285">
        <w:rPr>
          <w:sz w:val="20"/>
          <w:lang w:val="fr-CH"/>
        </w:rPr>
        <w:noBreakHyphen/>
        <w:t xml:space="preserve">R, l'ISO et la CEI en matière de </w:t>
      </w:r>
      <w:proofErr w:type="gramStart"/>
      <w:r w:rsidRPr="00301285">
        <w:rPr>
          <w:sz w:val="20"/>
          <w:lang w:val="fr-CH"/>
        </w:rPr>
        <w:t>brevets»</w:t>
      </w:r>
      <w:proofErr w:type="gramEnd"/>
      <w:r w:rsidRPr="00301285">
        <w:rPr>
          <w:sz w:val="20"/>
          <w:lang w:val="fr-CH"/>
        </w:rPr>
        <w:t xml:space="preserve">, dont il est question dans la Résolution UIT-R 1. Les formulaires que les titulaires de brevets doivent utiliser pour soumettre les déclarations de brevet et d'octroi de licence sont accessibles à l'adresse </w:t>
      </w:r>
      <w:hyperlink r:id="rId9" w:history="1">
        <w:r w:rsidRPr="00C5398C">
          <w:rPr>
            <w:rStyle w:val="Hyperlink"/>
            <w:sz w:val="20"/>
            <w:lang w:val="fr-CH"/>
          </w:rPr>
          <w:t>http</w:t>
        </w:r>
        <w:r w:rsidRPr="00C5398C">
          <w:rPr>
            <w:rStyle w:val="Hyperlink"/>
            <w:sz w:val="20"/>
            <w:lang w:val="fr-CH"/>
          </w:rPr>
          <w:t>s</w:t>
        </w:r>
        <w:r w:rsidRPr="00C5398C">
          <w:rPr>
            <w:rStyle w:val="Hyperlink"/>
            <w:sz w:val="20"/>
            <w:lang w:val="fr-CH"/>
          </w:rPr>
          <w:t>://www.itu.int/ITU-R/go/patents/en</w:t>
        </w:r>
      </w:hyperlink>
      <w:r w:rsidRPr="00301285">
        <w:rPr>
          <w:sz w:val="20"/>
          <w:lang w:val="fr-CH"/>
        </w:rPr>
        <w:t>, où l'on trouvera également les Lignes directrices pour la mise en œuvre de la politique commune en matière de brevets de l'UIT</w:t>
      </w:r>
      <w:r w:rsidRPr="00301285">
        <w:rPr>
          <w:sz w:val="20"/>
          <w:lang w:val="fr-CH"/>
        </w:rPr>
        <w:noBreakHyphen/>
        <w:t>T, l'UIT</w:t>
      </w:r>
      <w:r w:rsidRPr="00301285">
        <w:rPr>
          <w:sz w:val="20"/>
          <w:lang w:val="fr-CH"/>
        </w:rPr>
        <w:noBreakHyphen/>
        <w:t>R, l'ISO et la CEI</w:t>
      </w:r>
      <w:r w:rsidRPr="00301285" w:rsidDel="0061025C">
        <w:rPr>
          <w:sz w:val="20"/>
          <w:lang w:val="fr-CH"/>
        </w:rPr>
        <w:t xml:space="preserve"> </w:t>
      </w:r>
      <w:r w:rsidRPr="00301285">
        <w:rPr>
          <w:sz w:val="20"/>
          <w:lang w:val="fr-CH"/>
        </w:rPr>
        <w:t>et la base de données en matière de brevets de l'UIT-R.</w:t>
      </w:r>
    </w:p>
    <w:p w14:paraId="04D32294" w14:textId="77777777" w:rsidR="00301285" w:rsidRPr="00301285" w:rsidRDefault="00301285" w:rsidP="00301285">
      <w:pPr>
        <w:spacing w:before="0"/>
        <w:jc w:val="center"/>
        <w:rPr>
          <w:sz w:val="22"/>
          <w:lang w:val="fr-CH"/>
        </w:rPr>
      </w:pPr>
    </w:p>
    <w:tbl>
      <w:tblPr>
        <w:tblW w:w="5000" w:type="pct"/>
        <w:tblBorders>
          <w:top w:val="single" w:sz="12" w:space="0" w:color="000080"/>
          <w:left w:val="single" w:sz="12" w:space="0" w:color="000080"/>
          <w:bottom w:val="single" w:sz="12" w:space="0" w:color="000080"/>
          <w:right w:val="single" w:sz="12" w:space="0" w:color="000080"/>
        </w:tblBorders>
        <w:tblLook w:val="0020" w:firstRow="1" w:lastRow="0" w:firstColumn="0" w:lastColumn="0" w:noHBand="0" w:noVBand="0"/>
      </w:tblPr>
      <w:tblGrid>
        <w:gridCol w:w="1170"/>
        <w:gridCol w:w="8439"/>
      </w:tblGrid>
      <w:tr w:rsidR="00301285" w:rsidRPr="00301285" w14:paraId="2EB32806" w14:textId="77777777" w:rsidTr="00344296">
        <w:tc>
          <w:tcPr>
            <w:tcW w:w="9609" w:type="dxa"/>
            <w:gridSpan w:val="2"/>
          </w:tcPr>
          <w:p w14:paraId="32E2377F" w14:textId="77777777" w:rsidR="00301285" w:rsidRPr="00301285" w:rsidRDefault="00301285" w:rsidP="00344296">
            <w:pPr>
              <w:pStyle w:val="Chaptitle"/>
              <w:keepLines w:val="0"/>
              <w:tabs>
                <w:tab w:val="clear" w:pos="794"/>
                <w:tab w:val="clear" w:pos="1191"/>
                <w:tab w:val="clear" w:pos="1588"/>
                <w:tab w:val="clear" w:pos="1985"/>
              </w:tabs>
              <w:overflowPunct/>
              <w:spacing w:before="140"/>
              <w:textAlignment w:val="auto"/>
              <w:rPr>
                <w:sz w:val="22"/>
                <w:szCs w:val="22"/>
                <w:lang w:val="fr-CH"/>
              </w:rPr>
            </w:pPr>
            <w:r w:rsidRPr="00301285">
              <w:rPr>
                <w:sz w:val="22"/>
                <w:szCs w:val="22"/>
                <w:lang w:val="fr-CH"/>
              </w:rPr>
              <w:t xml:space="preserve">Séries des Recommandations UIT-R </w:t>
            </w:r>
          </w:p>
          <w:p w14:paraId="2B77D1AA" w14:textId="77777777" w:rsidR="00301285" w:rsidRPr="00301285" w:rsidRDefault="00301285" w:rsidP="00344296">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20" w:after="60"/>
              <w:rPr>
                <w:bCs/>
                <w:sz w:val="18"/>
                <w:szCs w:val="18"/>
                <w:lang w:val="fr-CH"/>
              </w:rPr>
            </w:pPr>
            <w:r w:rsidRPr="00301285">
              <w:rPr>
                <w:b w:val="0"/>
                <w:sz w:val="18"/>
                <w:szCs w:val="18"/>
                <w:lang w:val="fr-CH"/>
              </w:rPr>
              <w:t>(</w:t>
            </w:r>
            <w:proofErr w:type="spellStart"/>
            <w:r w:rsidRPr="00301285">
              <w:rPr>
                <w:b w:val="0"/>
                <w:sz w:val="18"/>
                <w:szCs w:val="18"/>
                <w:lang w:val="fr-CH"/>
              </w:rPr>
              <w:t>Egalement</w:t>
            </w:r>
            <w:proofErr w:type="spellEnd"/>
            <w:r w:rsidRPr="00301285">
              <w:rPr>
                <w:b w:val="0"/>
                <w:sz w:val="18"/>
                <w:szCs w:val="18"/>
                <w:lang w:val="fr-CH"/>
              </w:rPr>
              <w:t xml:space="preserve"> disponible en </w:t>
            </w:r>
            <w:proofErr w:type="gramStart"/>
            <w:r w:rsidRPr="00301285">
              <w:rPr>
                <w:b w:val="0"/>
                <w:sz w:val="18"/>
                <w:szCs w:val="18"/>
                <w:lang w:val="fr-CH"/>
              </w:rPr>
              <w:t>ligne:</w:t>
            </w:r>
            <w:proofErr w:type="gramEnd"/>
            <w:r w:rsidRPr="00301285">
              <w:rPr>
                <w:b w:val="0"/>
                <w:sz w:val="18"/>
                <w:szCs w:val="18"/>
                <w:lang w:val="fr-CH"/>
              </w:rPr>
              <w:t xml:space="preserve"> </w:t>
            </w:r>
            <w:hyperlink r:id="rId10" w:history="1">
              <w:r w:rsidRPr="00301285">
                <w:rPr>
                  <w:rStyle w:val="Hyperlink"/>
                  <w:b w:val="0"/>
                  <w:bCs/>
                  <w:sz w:val="18"/>
                  <w:szCs w:val="18"/>
                  <w:lang w:val="fr-CH"/>
                </w:rPr>
                <w:t>https://www.itu.int/publ/R-REC/fr</w:t>
              </w:r>
            </w:hyperlink>
            <w:r w:rsidRPr="00301285">
              <w:rPr>
                <w:b w:val="0"/>
                <w:bCs/>
                <w:sz w:val="18"/>
                <w:szCs w:val="18"/>
                <w:lang w:val="fr-CH"/>
              </w:rPr>
              <w:t>)</w:t>
            </w:r>
          </w:p>
        </w:tc>
      </w:tr>
      <w:tr w:rsidR="00301285" w:rsidRPr="00036EE3" w14:paraId="7A794414" w14:textId="77777777" w:rsidTr="00344296">
        <w:tc>
          <w:tcPr>
            <w:tcW w:w="1170" w:type="dxa"/>
            <w:tcBorders>
              <w:bottom w:val="nil"/>
            </w:tcBorders>
          </w:tcPr>
          <w:p w14:paraId="2A1329AD" w14:textId="77777777" w:rsidR="00301285" w:rsidRPr="00614CC6" w:rsidRDefault="00301285" w:rsidP="00344296">
            <w:pPr>
              <w:spacing w:before="90" w:after="100"/>
              <w:ind w:left="57"/>
              <w:rPr>
                <w:b/>
                <w:bCs/>
                <w:sz w:val="20"/>
                <w:lang w:val="en-US"/>
              </w:rPr>
            </w:pPr>
            <w:proofErr w:type="spellStart"/>
            <w:r w:rsidRPr="00614CC6">
              <w:rPr>
                <w:b/>
                <w:bCs/>
                <w:sz w:val="20"/>
                <w:lang w:val="en-US"/>
              </w:rPr>
              <w:t>Séries</w:t>
            </w:r>
            <w:proofErr w:type="spellEnd"/>
          </w:p>
        </w:tc>
        <w:tc>
          <w:tcPr>
            <w:tcW w:w="8439" w:type="dxa"/>
            <w:tcBorders>
              <w:bottom w:val="nil"/>
            </w:tcBorders>
          </w:tcPr>
          <w:p w14:paraId="3C328DDE" w14:textId="77777777" w:rsidR="00301285" w:rsidRPr="00614CC6" w:rsidRDefault="00301285" w:rsidP="00344296">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90" w:after="100"/>
              <w:rPr>
                <w:bCs/>
                <w:sz w:val="20"/>
                <w:lang w:val="en-US"/>
              </w:rPr>
            </w:pPr>
            <w:proofErr w:type="spellStart"/>
            <w:r w:rsidRPr="00614CC6">
              <w:rPr>
                <w:bCs/>
                <w:sz w:val="20"/>
                <w:lang w:val="en-US"/>
              </w:rPr>
              <w:t>Titre</w:t>
            </w:r>
            <w:proofErr w:type="spellEnd"/>
          </w:p>
        </w:tc>
      </w:tr>
      <w:tr w:rsidR="00301285" w:rsidRPr="005E427C" w14:paraId="28BA5466" w14:textId="77777777" w:rsidTr="00344296">
        <w:tc>
          <w:tcPr>
            <w:tcW w:w="1170" w:type="dxa"/>
            <w:tcBorders>
              <w:top w:val="nil"/>
              <w:bottom w:val="nil"/>
            </w:tcBorders>
          </w:tcPr>
          <w:p w14:paraId="1935A995" w14:textId="77777777" w:rsidR="00301285" w:rsidRPr="008E50E5" w:rsidRDefault="00301285" w:rsidP="00344296">
            <w:pPr>
              <w:spacing w:before="30" w:after="30"/>
              <w:ind w:left="57"/>
              <w:jc w:val="left"/>
              <w:rPr>
                <w:rFonts w:ascii="Times New Roman Bold" w:hAnsi="Times New Roman Bold"/>
                <w:b/>
                <w:bCs/>
                <w:sz w:val="20"/>
                <w:lang w:val="en-US"/>
              </w:rPr>
            </w:pPr>
            <w:r w:rsidRPr="008E50E5">
              <w:rPr>
                <w:rFonts w:ascii="Times New Roman Bold" w:hAnsi="Times New Roman Bold"/>
                <w:b/>
                <w:bCs/>
                <w:sz w:val="20"/>
                <w:lang w:val="en-US"/>
              </w:rPr>
              <w:t>BO</w:t>
            </w:r>
          </w:p>
        </w:tc>
        <w:tc>
          <w:tcPr>
            <w:tcW w:w="8439" w:type="dxa"/>
            <w:tcBorders>
              <w:top w:val="nil"/>
              <w:bottom w:val="nil"/>
            </w:tcBorders>
          </w:tcPr>
          <w:p w14:paraId="3AB7656A" w14:textId="77777777" w:rsidR="00301285" w:rsidRPr="00A66700" w:rsidRDefault="00301285" w:rsidP="00344296">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rPr>
            </w:pPr>
            <w:r w:rsidRPr="00A66700">
              <w:rPr>
                <w:b w:val="0"/>
                <w:sz w:val="20"/>
              </w:rPr>
              <w:t>Diffusion par satellite</w:t>
            </w:r>
          </w:p>
        </w:tc>
      </w:tr>
      <w:tr w:rsidR="00301285" w:rsidRPr="00301285" w14:paraId="495592D1" w14:textId="77777777" w:rsidTr="00344296">
        <w:tc>
          <w:tcPr>
            <w:tcW w:w="1170" w:type="dxa"/>
            <w:tcBorders>
              <w:top w:val="nil"/>
              <w:bottom w:val="nil"/>
            </w:tcBorders>
          </w:tcPr>
          <w:p w14:paraId="0F448C13" w14:textId="77777777" w:rsidR="00301285" w:rsidRPr="00A66700" w:rsidRDefault="00301285" w:rsidP="00344296">
            <w:pPr>
              <w:spacing w:before="30" w:after="30"/>
              <w:ind w:left="57"/>
              <w:jc w:val="left"/>
              <w:rPr>
                <w:rFonts w:ascii="Times New Roman Bold" w:hAnsi="Times New Roman Bold"/>
                <w:b/>
                <w:bCs/>
                <w:sz w:val="20"/>
                <w:lang w:val="en-US"/>
              </w:rPr>
            </w:pPr>
            <w:r w:rsidRPr="00A66700">
              <w:rPr>
                <w:rFonts w:ascii="Times New Roman Bold" w:hAnsi="Times New Roman Bold"/>
                <w:b/>
                <w:bCs/>
                <w:sz w:val="20"/>
                <w:lang w:val="en-US"/>
              </w:rPr>
              <w:t>BR</w:t>
            </w:r>
          </w:p>
        </w:tc>
        <w:tc>
          <w:tcPr>
            <w:tcW w:w="8439" w:type="dxa"/>
            <w:tcBorders>
              <w:top w:val="nil"/>
              <w:bottom w:val="nil"/>
            </w:tcBorders>
          </w:tcPr>
          <w:p w14:paraId="53BE5F29" w14:textId="77777777" w:rsidR="00301285" w:rsidRPr="00301285" w:rsidRDefault="00301285" w:rsidP="00344296">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fr-CH"/>
              </w:rPr>
            </w:pPr>
            <w:r w:rsidRPr="00301285">
              <w:rPr>
                <w:b w:val="0"/>
                <w:sz w:val="20"/>
                <w:lang w:val="fr-CH"/>
              </w:rPr>
              <w:t xml:space="preserve">Enregistrement pour la production, l'archivage et la </w:t>
            </w:r>
            <w:proofErr w:type="gramStart"/>
            <w:r w:rsidRPr="00301285">
              <w:rPr>
                <w:b w:val="0"/>
                <w:sz w:val="20"/>
                <w:lang w:val="fr-CH"/>
              </w:rPr>
              <w:t>diffusion;</w:t>
            </w:r>
            <w:proofErr w:type="gramEnd"/>
            <w:r w:rsidRPr="00301285">
              <w:rPr>
                <w:b w:val="0"/>
                <w:sz w:val="20"/>
                <w:lang w:val="fr-CH"/>
              </w:rPr>
              <w:t xml:space="preserve"> films pour la télévision</w:t>
            </w:r>
          </w:p>
        </w:tc>
      </w:tr>
      <w:tr w:rsidR="00301285" w:rsidRPr="00E80F1D" w14:paraId="401F1294" w14:textId="77777777" w:rsidTr="00344296">
        <w:tc>
          <w:tcPr>
            <w:tcW w:w="1170" w:type="dxa"/>
            <w:tcBorders>
              <w:top w:val="nil"/>
              <w:bottom w:val="nil"/>
            </w:tcBorders>
          </w:tcPr>
          <w:p w14:paraId="72EE3D7B" w14:textId="77777777" w:rsidR="00301285" w:rsidRPr="003B409A" w:rsidRDefault="00301285" w:rsidP="00344296">
            <w:pPr>
              <w:spacing w:before="30" w:after="30"/>
              <w:ind w:left="57"/>
              <w:jc w:val="left"/>
              <w:rPr>
                <w:b/>
                <w:bCs/>
                <w:sz w:val="20"/>
                <w:lang w:val="en-US"/>
              </w:rPr>
            </w:pPr>
            <w:r w:rsidRPr="003B409A">
              <w:rPr>
                <w:b/>
                <w:bCs/>
                <w:sz w:val="20"/>
                <w:lang w:val="en-US"/>
              </w:rPr>
              <w:t>BS</w:t>
            </w:r>
          </w:p>
        </w:tc>
        <w:tc>
          <w:tcPr>
            <w:tcW w:w="8439" w:type="dxa"/>
            <w:tcBorders>
              <w:top w:val="nil"/>
              <w:bottom w:val="nil"/>
            </w:tcBorders>
          </w:tcPr>
          <w:p w14:paraId="38B9848E" w14:textId="77777777" w:rsidR="00301285" w:rsidRPr="003B409A" w:rsidRDefault="00301285" w:rsidP="00344296">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rPr>
            </w:pPr>
            <w:r w:rsidRPr="003B409A">
              <w:rPr>
                <w:b w:val="0"/>
                <w:sz w:val="20"/>
              </w:rPr>
              <w:t xml:space="preserve">Service de </w:t>
            </w:r>
            <w:proofErr w:type="spellStart"/>
            <w:r w:rsidRPr="003B409A">
              <w:rPr>
                <w:b w:val="0"/>
                <w:sz w:val="20"/>
              </w:rPr>
              <w:t>radiodiffusion</w:t>
            </w:r>
            <w:proofErr w:type="spellEnd"/>
            <w:r w:rsidRPr="003B409A">
              <w:rPr>
                <w:b w:val="0"/>
                <w:sz w:val="20"/>
              </w:rPr>
              <w:t xml:space="preserve"> </w:t>
            </w:r>
            <w:proofErr w:type="spellStart"/>
            <w:r w:rsidRPr="003B409A">
              <w:rPr>
                <w:b w:val="0"/>
                <w:sz w:val="20"/>
              </w:rPr>
              <w:t>sonore</w:t>
            </w:r>
            <w:proofErr w:type="spellEnd"/>
          </w:p>
        </w:tc>
      </w:tr>
      <w:tr w:rsidR="00301285" w:rsidRPr="00ED2695" w14:paraId="2708E707" w14:textId="77777777" w:rsidTr="00344296">
        <w:tc>
          <w:tcPr>
            <w:tcW w:w="1170" w:type="dxa"/>
            <w:tcBorders>
              <w:top w:val="nil"/>
              <w:bottom w:val="nil"/>
            </w:tcBorders>
          </w:tcPr>
          <w:p w14:paraId="03188D30" w14:textId="77777777" w:rsidR="00301285" w:rsidRPr="00614CC6" w:rsidRDefault="00301285" w:rsidP="00344296">
            <w:pPr>
              <w:spacing w:before="30" w:after="30"/>
              <w:ind w:left="57"/>
              <w:jc w:val="left"/>
              <w:rPr>
                <w:b/>
                <w:bCs/>
                <w:sz w:val="20"/>
                <w:lang w:val="en-US"/>
              </w:rPr>
            </w:pPr>
            <w:r w:rsidRPr="00614CC6">
              <w:rPr>
                <w:b/>
                <w:bCs/>
                <w:sz w:val="20"/>
                <w:lang w:val="en-US"/>
              </w:rPr>
              <w:t>BT</w:t>
            </w:r>
          </w:p>
        </w:tc>
        <w:tc>
          <w:tcPr>
            <w:tcW w:w="8439" w:type="dxa"/>
            <w:tcBorders>
              <w:top w:val="nil"/>
              <w:bottom w:val="nil"/>
            </w:tcBorders>
          </w:tcPr>
          <w:p w14:paraId="5FED209C" w14:textId="77777777" w:rsidR="00301285" w:rsidRPr="00A66700" w:rsidRDefault="00301285" w:rsidP="00344296">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rPr>
            </w:pPr>
            <w:r w:rsidRPr="00A66700">
              <w:rPr>
                <w:b w:val="0"/>
                <w:sz w:val="20"/>
              </w:rPr>
              <w:t xml:space="preserve">Service de </w:t>
            </w:r>
            <w:proofErr w:type="spellStart"/>
            <w:r w:rsidRPr="00A66700">
              <w:rPr>
                <w:b w:val="0"/>
                <w:sz w:val="20"/>
              </w:rPr>
              <w:t>radiodiffusion</w:t>
            </w:r>
            <w:proofErr w:type="spellEnd"/>
            <w:r w:rsidRPr="00A66700">
              <w:rPr>
                <w:b w:val="0"/>
                <w:sz w:val="20"/>
              </w:rPr>
              <w:t xml:space="preserve"> </w:t>
            </w:r>
            <w:proofErr w:type="spellStart"/>
            <w:r w:rsidRPr="00A66700">
              <w:rPr>
                <w:b w:val="0"/>
                <w:sz w:val="20"/>
              </w:rPr>
              <w:t>télévisuelle</w:t>
            </w:r>
            <w:proofErr w:type="spellEnd"/>
          </w:p>
        </w:tc>
      </w:tr>
      <w:tr w:rsidR="00301285" w:rsidRPr="00DE5EA2" w14:paraId="27422675" w14:textId="77777777" w:rsidTr="00344296">
        <w:tc>
          <w:tcPr>
            <w:tcW w:w="1170" w:type="dxa"/>
            <w:tcBorders>
              <w:top w:val="nil"/>
              <w:bottom w:val="nil"/>
            </w:tcBorders>
            <w:shd w:val="clear" w:color="auto" w:fill="FFFFFF" w:themeFill="background1"/>
          </w:tcPr>
          <w:p w14:paraId="1B93C6AB" w14:textId="77777777" w:rsidR="00301285" w:rsidRPr="00BC3C85" w:rsidRDefault="00301285" w:rsidP="00344296">
            <w:pPr>
              <w:spacing w:before="30" w:after="30"/>
              <w:ind w:left="57"/>
              <w:jc w:val="left"/>
              <w:rPr>
                <w:rFonts w:ascii="Times New Roman Bold" w:hAnsi="Times New Roman Bold"/>
                <w:b/>
                <w:bCs/>
                <w:sz w:val="20"/>
                <w:lang w:val="fr-CH"/>
              </w:rPr>
            </w:pPr>
            <w:r w:rsidRPr="00BC3C85">
              <w:rPr>
                <w:rFonts w:ascii="Times New Roman Bold" w:hAnsi="Times New Roman Bold"/>
                <w:b/>
                <w:bCs/>
                <w:sz w:val="20"/>
                <w:lang w:val="fr-CH"/>
              </w:rPr>
              <w:t>F</w:t>
            </w:r>
          </w:p>
        </w:tc>
        <w:tc>
          <w:tcPr>
            <w:tcW w:w="8439" w:type="dxa"/>
            <w:tcBorders>
              <w:top w:val="nil"/>
              <w:bottom w:val="nil"/>
            </w:tcBorders>
            <w:shd w:val="clear" w:color="auto" w:fill="FFFFFF" w:themeFill="background1"/>
          </w:tcPr>
          <w:p w14:paraId="0F3960C5" w14:textId="77777777" w:rsidR="00301285" w:rsidRPr="00BC3C85" w:rsidRDefault="00301285" w:rsidP="00344296">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rPr>
            </w:pPr>
            <w:r w:rsidRPr="00BC3C85">
              <w:rPr>
                <w:b w:val="0"/>
                <w:sz w:val="20"/>
              </w:rPr>
              <w:t>Service fixe</w:t>
            </w:r>
          </w:p>
        </w:tc>
      </w:tr>
      <w:tr w:rsidR="00301285" w:rsidRPr="00301285" w14:paraId="3475651C" w14:textId="77777777" w:rsidTr="00344296">
        <w:tc>
          <w:tcPr>
            <w:tcW w:w="1170" w:type="dxa"/>
            <w:tcBorders>
              <w:top w:val="nil"/>
              <w:bottom w:val="nil"/>
            </w:tcBorders>
            <w:shd w:val="clear" w:color="auto" w:fill="FFFFFF" w:themeFill="background1"/>
          </w:tcPr>
          <w:p w14:paraId="2FCA1585" w14:textId="77777777" w:rsidR="00301285" w:rsidRPr="00496E2A" w:rsidRDefault="00301285" w:rsidP="00344296">
            <w:pPr>
              <w:spacing w:before="30" w:after="30"/>
              <w:ind w:left="57"/>
              <w:jc w:val="left"/>
              <w:rPr>
                <w:b/>
                <w:bCs/>
                <w:sz w:val="20"/>
                <w:lang w:val="en-US"/>
              </w:rPr>
            </w:pPr>
            <w:r w:rsidRPr="00496E2A">
              <w:rPr>
                <w:b/>
                <w:bCs/>
                <w:sz w:val="20"/>
                <w:lang w:val="en-US"/>
              </w:rPr>
              <w:t>M</w:t>
            </w:r>
          </w:p>
        </w:tc>
        <w:tc>
          <w:tcPr>
            <w:tcW w:w="8439" w:type="dxa"/>
            <w:tcBorders>
              <w:top w:val="nil"/>
              <w:bottom w:val="nil"/>
            </w:tcBorders>
            <w:shd w:val="clear" w:color="auto" w:fill="FFFFFF" w:themeFill="background1"/>
          </w:tcPr>
          <w:p w14:paraId="76A85FF0" w14:textId="77777777" w:rsidR="00301285" w:rsidRPr="00301285" w:rsidRDefault="00301285" w:rsidP="00344296">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fr-CH"/>
              </w:rPr>
            </w:pPr>
            <w:proofErr w:type="gramStart"/>
            <w:r w:rsidRPr="00301285">
              <w:rPr>
                <w:b w:val="0"/>
                <w:sz w:val="20"/>
                <w:lang w:val="fr-CH"/>
              </w:rPr>
              <w:t>Services mobile</w:t>
            </w:r>
            <w:proofErr w:type="gramEnd"/>
            <w:r w:rsidRPr="00301285">
              <w:rPr>
                <w:b w:val="0"/>
                <w:sz w:val="20"/>
                <w:lang w:val="fr-CH"/>
              </w:rPr>
              <w:t>, de radiorepérage et d'amateur y compris les services par satellite associés</w:t>
            </w:r>
          </w:p>
        </w:tc>
      </w:tr>
      <w:tr w:rsidR="00301285" w:rsidRPr="00EC361D" w14:paraId="7A202FDB" w14:textId="77777777" w:rsidTr="00344296">
        <w:tc>
          <w:tcPr>
            <w:tcW w:w="1170" w:type="dxa"/>
            <w:tcBorders>
              <w:top w:val="nil"/>
              <w:bottom w:val="nil"/>
            </w:tcBorders>
            <w:shd w:val="clear" w:color="auto" w:fill="FFFFFF" w:themeFill="background1"/>
          </w:tcPr>
          <w:p w14:paraId="16B4C4CE" w14:textId="77777777" w:rsidR="00301285" w:rsidRPr="00F97D3A" w:rsidRDefault="00301285" w:rsidP="00344296">
            <w:pPr>
              <w:spacing w:before="30" w:after="30"/>
              <w:ind w:left="57"/>
              <w:jc w:val="left"/>
              <w:rPr>
                <w:rFonts w:ascii="Times New Roman Bold" w:hAnsi="Times New Roman Bold"/>
                <w:b/>
                <w:bCs/>
                <w:sz w:val="20"/>
                <w:lang w:val="fr-CH"/>
              </w:rPr>
            </w:pPr>
            <w:r w:rsidRPr="00F97D3A">
              <w:rPr>
                <w:rFonts w:ascii="Times New Roman Bold" w:hAnsi="Times New Roman Bold"/>
                <w:b/>
                <w:bCs/>
                <w:sz w:val="20"/>
                <w:lang w:val="fr-CH"/>
              </w:rPr>
              <w:t>P</w:t>
            </w:r>
          </w:p>
        </w:tc>
        <w:tc>
          <w:tcPr>
            <w:tcW w:w="8439" w:type="dxa"/>
            <w:tcBorders>
              <w:top w:val="nil"/>
              <w:bottom w:val="nil"/>
            </w:tcBorders>
            <w:shd w:val="clear" w:color="auto" w:fill="FFFFFF" w:themeFill="background1"/>
          </w:tcPr>
          <w:p w14:paraId="2FEEE050" w14:textId="77777777" w:rsidR="00301285" w:rsidRPr="00F97D3A" w:rsidRDefault="00301285" w:rsidP="00344296">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rPr>
            </w:pPr>
            <w:r w:rsidRPr="00F97D3A">
              <w:rPr>
                <w:b w:val="0"/>
                <w:sz w:val="20"/>
              </w:rPr>
              <w:t xml:space="preserve">Propagation des ondes </w:t>
            </w:r>
            <w:proofErr w:type="spellStart"/>
            <w:r w:rsidRPr="00F97D3A">
              <w:rPr>
                <w:b w:val="0"/>
                <w:sz w:val="20"/>
              </w:rPr>
              <w:t>radioélectriques</w:t>
            </w:r>
            <w:proofErr w:type="spellEnd"/>
          </w:p>
        </w:tc>
      </w:tr>
      <w:tr w:rsidR="00301285" w:rsidRPr="004822EF" w14:paraId="4212530D" w14:textId="77777777" w:rsidTr="00344296">
        <w:tc>
          <w:tcPr>
            <w:tcW w:w="1170" w:type="dxa"/>
            <w:tcBorders>
              <w:top w:val="nil"/>
              <w:bottom w:val="nil"/>
            </w:tcBorders>
            <w:shd w:val="clear" w:color="auto" w:fill="FFFFFF" w:themeFill="background1"/>
          </w:tcPr>
          <w:p w14:paraId="3FD8D9BF" w14:textId="77777777" w:rsidR="00301285" w:rsidRPr="00EC2759" w:rsidRDefault="00301285" w:rsidP="00344296">
            <w:pPr>
              <w:spacing w:before="30" w:after="30"/>
              <w:ind w:left="57"/>
              <w:jc w:val="left"/>
              <w:rPr>
                <w:rFonts w:ascii="Times New Roman Bold" w:hAnsi="Times New Roman Bold"/>
                <w:b/>
                <w:bCs/>
                <w:sz w:val="20"/>
                <w:lang w:val="en-US"/>
              </w:rPr>
            </w:pPr>
            <w:r w:rsidRPr="00EC2759">
              <w:rPr>
                <w:rFonts w:ascii="Times New Roman Bold" w:hAnsi="Times New Roman Bold"/>
                <w:b/>
                <w:bCs/>
                <w:sz w:val="20"/>
                <w:lang w:val="en-US"/>
              </w:rPr>
              <w:t>RA</w:t>
            </w:r>
          </w:p>
        </w:tc>
        <w:tc>
          <w:tcPr>
            <w:tcW w:w="8439" w:type="dxa"/>
            <w:tcBorders>
              <w:top w:val="nil"/>
              <w:bottom w:val="nil"/>
            </w:tcBorders>
            <w:shd w:val="clear" w:color="auto" w:fill="FFFFFF" w:themeFill="background1"/>
          </w:tcPr>
          <w:p w14:paraId="7D265185" w14:textId="77777777" w:rsidR="00301285" w:rsidRPr="00EC2759" w:rsidRDefault="00301285" w:rsidP="00344296">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rPr>
            </w:pPr>
            <w:r w:rsidRPr="00EC2759">
              <w:rPr>
                <w:b w:val="0"/>
                <w:sz w:val="20"/>
              </w:rPr>
              <w:t xml:space="preserve">Radio </w:t>
            </w:r>
            <w:proofErr w:type="spellStart"/>
            <w:r w:rsidRPr="00EC2759">
              <w:rPr>
                <w:b w:val="0"/>
                <w:sz w:val="20"/>
              </w:rPr>
              <w:t>astronomie</w:t>
            </w:r>
            <w:proofErr w:type="spellEnd"/>
          </w:p>
        </w:tc>
      </w:tr>
      <w:tr w:rsidR="00301285" w:rsidRPr="00326525" w14:paraId="0A855A12" w14:textId="77777777" w:rsidTr="00344296">
        <w:tc>
          <w:tcPr>
            <w:tcW w:w="1170" w:type="dxa"/>
            <w:tcBorders>
              <w:top w:val="nil"/>
              <w:bottom w:val="nil"/>
            </w:tcBorders>
            <w:shd w:val="clear" w:color="auto" w:fill="FFFFFF" w:themeFill="background1"/>
          </w:tcPr>
          <w:p w14:paraId="5408FDC0" w14:textId="77777777" w:rsidR="00301285" w:rsidRPr="00935E71" w:rsidRDefault="00301285" w:rsidP="00344296">
            <w:pPr>
              <w:spacing w:before="30" w:after="30"/>
              <w:ind w:left="57"/>
              <w:jc w:val="left"/>
              <w:rPr>
                <w:rFonts w:ascii="Times New Roman Bold" w:hAnsi="Times New Roman Bold"/>
                <w:b/>
                <w:bCs/>
                <w:sz w:val="20"/>
                <w:lang w:val="en-US"/>
              </w:rPr>
            </w:pPr>
            <w:r w:rsidRPr="00935E71">
              <w:rPr>
                <w:rFonts w:ascii="Times New Roman Bold" w:hAnsi="Times New Roman Bold"/>
                <w:b/>
                <w:bCs/>
                <w:sz w:val="20"/>
                <w:lang w:val="en-US"/>
              </w:rPr>
              <w:t>RS</w:t>
            </w:r>
          </w:p>
        </w:tc>
        <w:tc>
          <w:tcPr>
            <w:tcW w:w="8439" w:type="dxa"/>
            <w:tcBorders>
              <w:top w:val="nil"/>
              <w:bottom w:val="nil"/>
            </w:tcBorders>
            <w:shd w:val="clear" w:color="auto" w:fill="FFFFFF" w:themeFill="background1"/>
          </w:tcPr>
          <w:p w14:paraId="77FB9B65" w14:textId="77777777" w:rsidR="00301285" w:rsidRPr="00935E71" w:rsidRDefault="00301285" w:rsidP="00344296">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rPr>
            </w:pPr>
            <w:proofErr w:type="spellStart"/>
            <w:r w:rsidRPr="00935E71">
              <w:rPr>
                <w:b w:val="0"/>
                <w:sz w:val="20"/>
              </w:rPr>
              <w:t>Systèmes</w:t>
            </w:r>
            <w:proofErr w:type="spellEnd"/>
            <w:r w:rsidRPr="00935E71">
              <w:rPr>
                <w:b w:val="0"/>
                <w:sz w:val="20"/>
              </w:rPr>
              <w:t xml:space="preserve"> de </w:t>
            </w:r>
            <w:proofErr w:type="spellStart"/>
            <w:r w:rsidRPr="00935E71">
              <w:rPr>
                <w:b w:val="0"/>
                <w:sz w:val="20"/>
              </w:rPr>
              <w:t>télédétection</w:t>
            </w:r>
            <w:proofErr w:type="spellEnd"/>
          </w:p>
        </w:tc>
      </w:tr>
      <w:tr w:rsidR="00301285" w:rsidRPr="00C40D3E" w14:paraId="3CFD267C" w14:textId="77777777" w:rsidTr="00344296">
        <w:tc>
          <w:tcPr>
            <w:tcW w:w="1170" w:type="dxa"/>
            <w:tcBorders>
              <w:top w:val="nil"/>
              <w:bottom w:val="nil"/>
            </w:tcBorders>
            <w:shd w:val="clear" w:color="auto" w:fill="FFFFFF" w:themeFill="background1"/>
          </w:tcPr>
          <w:p w14:paraId="38DD1911" w14:textId="77777777" w:rsidR="00301285" w:rsidRPr="00F26165" w:rsidRDefault="00301285" w:rsidP="00344296">
            <w:pPr>
              <w:spacing w:before="30" w:after="30"/>
              <w:ind w:left="57"/>
              <w:jc w:val="left"/>
              <w:rPr>
                <w:rFonts w:ascii="Times New Roman Bold" w:hAnsi="Times New Roman Bold"/>
                <w:b/>
                <w:bCs/>
                <w:sz w:val="20"/>
                <w:lang w:val="en-US"/>
              </w:rPr>
            </w:pPr>
            <w:r w:rsidRPr="00F26165">
              <w:rPr>
                <w:rFonts w:ascii="Times New Roman Bold" w:hAnsi="Times New Roman Bold"/>
                <w:b/>
                <w:bCs/>
                <w:sz w:val="20"/>
                <w:lang w:val="en-US"/>
              </w:rPr>
              <w:t>S</w:t>
            </w:r>
          </w:p>
        </w:tc>
        <w:tc>
          <w:tcPr>
            <w:tcW w:w="8439" w:type="dxa"/>
            <w:tcBorders>
              <w:top w:val="nil"/>
              <w:bottom w:val="nil"/>
            </w:tcBorders>
            <w:shd w:val="clear" w:color="auto" w:fill="FFFFFF" w:themeFill="background1"/>
          </w:tcPr>
          <w:p w14:paraId="15176151" w14:textId="77777777" w:rsidR="00301285" w:rsidRPr="00F26165" w:rsidRDefault="00301285" w:rsidP="00344296">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rPr>
            </w:pPr>
            <w:r w:rsidRPr="00F26165">
              <w:rPr>
                <w:b w:val="0"/>
                <w:sz w:val="20"/>
              </w:rPr>
              <w:t>Service fixe par satellite</w:t>
            </w:r>
          </w:p>
        </w:tc>
      </w:tr>
      <w:tr w:rsidR="00301285" w:rsidRPr="00C40D3E" w14:paraId="2BFDC966" w14:textId="77777777" w:rsidTr="00344296">
        <w:tc>
          <w:tcPr>
            <w:tcW w:w="1170" w:type="dxa"/>
            <w:tcBorders>
              <w:top w:val="nil"/>
              <w:bottom w:val="nil"/>
            </w:tcBorders>
            <w:shd w:val="clear" w:color="auto" w:fill="FFFFFF" w:themeFill="background1"/>
          </w:tcPr>
          <w:p w14:paraId="56BA3684" w14:textId="77777777" w:rsidR="00301285" w:rsidRPr="00106B97" w:rsidRDefault="00301285" w:rsidP="00344296">
            <w:pPr>
              <w:spacing w:before="30" w:after="30"/>
              <w:ind w:left="57"/>
              <w:jc w:val="left"/>
              <w:rPr>
                <w:rFonts w:ascii="Times New Roman Bold" w:hAnsi="Times New Roman Bold"/>
                <w:sz w:val="20"/>
                <w:lang w:val="en-US"/>
              </w:rPr>
            </w:pPr>
            <w:r w:rsidRPr="00106B97">
              <w:rPr>
                <w:rFonts w:ascii="Times New Roman Bold" w:hAnsi="Times New Roman Bold"/>
                <w:sz w:val="20"/>
                <w:lang w:val="en-US"/>
              </w:rPr>
              <w:t>SA</w:t>
            </w:r>
          </w:p>
        </w:tc>
        <w:tc>
          <w:tcPr>
            <w:tcW w:w="8439" w:type="dxa"/>
            <w:tcBorders>
              <w:top w:val="nil"/>
              <w:bottom w:val="nil"/>
            </w:tcBorders>
            <w:shd w:val="clear" w:color="auto" w:fill="FFFFFF" w:themeFill="background1"/>
          </w:tcPr>
          <w:p w14:paraId="40CA4D21" w14:textId="77777777" w:rsidR="00301285" w:rsidRPr="00106B97" w:rsidRDefault="00301285" w:rsidP="00344296">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rPr>
            </w:pPr>
            <w:r w:rsidRPr="00106B97">
              <w:rPr>
                <w:b w:val="0"/>
                <w:sz w:val="20"/>
              </w:rPr>
              <w:t xml:space="preserve">Applications </w:t>
            </w:r>
            <w:proofErr w:type="spellStart"/>
            <w:r w:rsidRPr="00106B97">
              <w:rPr>
                <w:b w:val="0"/>
                <w:sz w:val="20"/>
              </w:rPr>
              <w:t>spatiales</w:t>
            </w:r>
            <w:proofErr w:type="spellEnd"/>
            <w:r w:rsidRPr="00106B97">
              <w:rPr>
                <w:b w:val="0"/>
                <w:sz w:val="20"/>
              </w:rPr>
              <w:t xml:space="preserve"> et </w:t>
            </w:r>
            <w:proofErr w:type="spellStart"/>
            <w:r w:rsidRPr="00106B97">
              <w:rPr>
                <w:b w:val="0"/>
                <w:sz w:val="20"/>
              </w:rPr>
              <w:t>météorologie</w:t>
            </w:r>
            <w:proofErr w:type="spellEnd"/>
          </w:p>
        </w:tc>
      </w:tr>
      <w:tr w:rsidR="00301285" w:rsidRPr="00301285" w14:paraId="67D2D01B" w14:textId="77777777" w:rsidTr="00344296">
        <w:tc>
          <w:tcPr>
            <w:tcW w:w="1170" w:type="dxa"/>
            <w:tcBorders>
              <w:top w:val="nil"/>
            </w:tcBorders>
            <w:shd w:val="clear" w:color="auto" w:fill="FFFFFF" w:themeFill="background1"/>
          </w:tcPr>
          <w:p w14:paraId="422422CC" w14:textId="77777777" w:rsidR="00301285" w:rsidRPr="0009208F" w:rsidRDefault="00301285" w:rsidP="00344296">
            <w:pPr>
              <w:spacing w:before="30" w:after="30"/>
              <w:ind w:left="57"/>
              <w:jc w:val="left"/>
              <w:rPr>
                <w:rFonts w:ascii="Times New Roman Bold" w:hAnsi="Times New Roman Bold"/>
                <w:b/>
                <w:bCs/>
                <w:sz w:val="20"/>
                <w:lang w:val="en-US"/>
              </w:rPr>
            </w:pPr>
            <w:r w:rsidRPr="0009208F">
              <w:rPr>
                <w:rFonts w:ascii="Times New Roman Bold" w:hAnsi="Times New Roman Bold"/>
                <w:b/>
                <w:bCs/>
                <w:sz w:val="20"/>
                <w:lang w:val="en-US"/>
              </w:rPr>
              <w:t>SF</w:t>
            </w:r>
          </w:p>
        </w:tc>
        <w:tc>
          <w:tcPr>
            <w:tcW w:w="8439" w:type="dxa"/>
            <w:tcBorders>
              <w:top w:val="nil"/>
            </w:tcBorders>
            <w:shd w:val="clear" w:color="auto" w:fill="FFFFFF" w:themeFill="background1"/>
          </w:tcPr>
          <w:p w14:paraId="7F57D6A7" w14:textId="77777777" w:rsidR="00301285" w:rsidRPr="00301285" w:rsidRDefault="00301285" w:rsidP="00344296">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bCs/>
                <w:sz w:val="20"/>
                <w:lang w:val="fr-CH"/>
              </w:rPr>
            </w:pPr>
            <w:r w:rsidRPr="00301285">
              <w:rPr>
                <w:b w:val="0"/>
                <w:bCs/>
                <w:sz w:val="20"/>
                <w:lang w:val="fr-CH"/>
              </w:rPr>
              <w:t>Partage des fréquences et coordination entre les systèmes du service fixe par satellite et du service fixe</w:t>
            </w:r>
          </w:p>
        </w:tc>
      </w:tr>
      <w:tr w:rsidR="00301285" w:rsidRPr="00036EE3" w14:paraId="1BE3B444" w14:textId="77777777" w:rsidTr="00344296">
        <w:tc>
          <w:tcPr>
            <w:tcW w:w="1170" w:type="dxa"/>
            <w:shd w:val="clear" w:color="auto" w:fill="F3F3F3"/>
          </w:tcPr>
          <w:p w14:paraId="1D869D5D" w14:textId="77777777" w:rsidR="00301285" w:rsidRPr="0009208F" w:rsidRDefault="00301285" w:rsidP="00344296">
            <w:pPr>
              <w:spacing w:before="30" w:after="30"/>
              <w:ind w:left="57"/>
              <w:jc w:val="left"/>
              <w:rPr>
                <w:b/>
                <w:bCs/>
                <w:color w:val="000080"/>
                <w:sz w:val="20"/>
                <w:lang w:val="en-US"/>
              </w:rPr>
            </w:pPr>
            <w:r w:rsidRPr="0009208F">
              <w:rPr>
                <w:b/>
                <w:bCs/>
                <w:color w:val="000080"/>
                <w:sz w:val="20"/>
                <w:lang w:val="en-US"/>
              </w:rPr>
              <w:t>SM</w:t>
            </w:r>
          </w:p>
        </w:tc>
        <w:tc>
          <w:tcPr>
            <w:tcW w:w="8439" w:type="dxa"/>
            <w:shd w:val="clear" w:color="auto" w:fill="F3F3F3"/>
          </w:tcPr>
          <w:p w14:paraId="504FAE6F" w14:textId="77777777" w:rsidR="00301285" w:rsidRPr="0009208F" w:rsidRDefault="00301285" w:rsidP="00344296">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Cs/>
                <w:color w:val="000080"/>
                <w:sz w:val="20"/>
              </w:rPr>
            </w:pPr>
            <w:r w:rsidRPr="0009208F">
              <w:rPr>
                <w:bCs/>
                <w:color w:val="000080"/>
                <w:sz w:val="20"/>
              </w:rPr>
              <w:t>Gestion du spectre</w:t>
            </w:r>
          </w:p>
        </w:tc>
      </w:tr>
      <w:tr w:rsidR="00301285" w:rsidRPr="00036EE3" w14:paraId="71C74C18" w14:textId="77777777" w:rsidTr="00344296">
        <w:tc>
          <w:tcPr>
            <w:tcW w:w="1170" w:type="dxa"/>
          </w:tcPr>
          <w:p w14:paraId="09874350" w14:textId="77777777" w:rsidR="00301285" w:rsidRPr="00614CC6" w:rsidRDefault="00301285" w:rsidP="00344296">
            <w:pPr>
              <w:spacing w:before="30" w:after="30"/>
              <w:ind w:left="57"/>
              <w:jc w:val="left"/>
              <w:rPr>
                <w:b/>
                <w:bCs/>
                <w:sz w:val="20"/>
                <w:lang w:val="en-US"/>
              </w:rPr>
            </w:pPr>
            <w:r w:rsidRPr="00614CC6">
              <w:rPr>
                <w:b/>
                <w:bCs/>
                <w:sz w:val="20"/>
                <w:lang w:val="en-US"/>
              </w:rPr>
              <w:t>SNG</w:t>
            </w:r>
          </w:p>
        </w:tc>
        <w:tc>
          <w:tcPr>
            <w:tcW w:w="8439" w:type="dxa"/>
          </w:tcPr>
          <w:p w14:paraId="252E06CA" w14:textId="77777777" w:rsidR="00301285" w:rsidRPr="00A66700" w:rsidRDefault="00301285" w:rsidP="00344296">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rPr>
            </w:pPr>
            <w:r w:rsidRPr="00A66700">
              <w:rPr>
                <w:b w:val="0"/>
                <w:sz w:val="20"/>
              </w:rPr>
              <w:t xml:space="preserve">Reportage </w:t>
            </w:r>
            <w:proofErr w:type="spellStart"/>
            <w:r w:rsidRPr="00A66700">
              <w:rPr>
                <w:b w:val="0"/>
                <w:sz w:val="20"/>
              </w:rPr>
              <w:t>d'actualités</w:t>
            </w:r>
            <w:proofErr w:type="spellEnd"/>
            <w:r w:rsidRPr="00A66700">
              <w:rPr>
                <w:b w:val="0"/>
                <w:sz w:val="20"/>
              </w:rPr>
              <w:t xml:space="preserve"> par satellite</w:t>
            </w:r>
          </w:p>
        </w:tc>
      </w:tr>
      <w:tr w:rsidR="00301285" w:rsidRPr="00301285" w14:paraId="63EB728A" w14:textId="77777777" w:rsidTr="00344296">
        <w:tc>
          <w:tcPr>
            <w:tcW w:w="1170" w:type="dxa"/>
          </w:tcPr>
          <w:p w14:paraId="05BF3753" w14:textId="77777777" w:rsidR="00301285" w:rsidRPr="00710A2A" w:rsidRDefault="00301285" w:rsidP="00344296">
            <w:pPr>
              <w:spacing w:before="30" w:after="30"/>
              <w:ind w:left="57"/>
              <w:jc w:val="left"/>
              <w:rPr>
                <w:rFonts w:ascii="Times New Roman Bold" w:hAnsi="Times New Roman Bold"/>
                <w:b/>
                <w:bCs/>
                <w:sz w:val="20"/>
                <w:lang w:val="en-US"/>
              </w:rPr>
            </w:pPr>
            <w:r w:rsidRPr="00710A2A">
              <w:rPr>
                <w:rFonts w:ascii="Times New Roman Bold" w:hAnsi="Times New Roman Bold"/>
                <w:b/>
                <w:bCs/>
                <w:sz w:val="20"/>
                <w:lang w:val="en-US"/>
              </w:rPr>
              <w:t>TF</w:t>
            </w:r>
          </w:p>
        </w:tc>
        <w:tc>
          <w:tcPr>
            <w:tcW w:w="8439" w:type="dxa"/>
          </w:tcPr>
          <w:p w14:paraId="13BA0F59" w14:textId="77777777" w:rsidR="00301285" w:rsidRPr="00301285" w:rsidRDefault="00301285" w:rsidP="00344296">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fr-CH"/>
              </w:rPr>
            </w:pPr>
            <w:proofErr w:type="spellStart"/>
            <w:r w:rsidRPr="00301285">
              <w:rPr>
                <w:b w:val="0"/>
                <w:sz w:val="20"/>
                <w:lang w:val="fr-CH"/>
              </w:rPr>
              <w:t>Emissions</w:t>
            </w:r>
            <w:proofErr w:type="spellEnd"/>
            <w:r w:rsidRPr="00301285">
              <w:rPr>
                <w:b w:val="0"/>
                <w:sz w:val="20"/>
                <w:lang w:val="fr-CH"/>
              </w:rPr>
              <w:t xml:space="preserve"> de fréquences étalon et de signaux horaires</w:t>
            </w:r>
          </w:p>
        </w:tc>
      </w:tr>
      <w:tr w:rsidR="00301285" w:rsidRPr="00036EE3" w14:paraId="120E77DE" w14:textId="77777777" w:rsidTr="00344296">
        <w:tc>
          <w:tcPr>
            <w:tcW w:w="1170" w:type="dxa"/>
          </w:tcPr>
          <w:p w14:paraId="5A961496" w14:textId="77777777" w:rsidR="00301285" w:rsidRPr="00614CC6" w:rsidRDefault="00301285" w:rsidP="00344296">
            <w:pPr>
              <w:spacing w:before="30" w:after="30"/>
              <w:ind w:left="57"/>
              <w:jc w:val="left"/>
              <w:rPr>
                <w:b/>
                <w:bCs/>
                <w:sz w:val="20"/>
                <w:lang w:val="en-US"/>
              </w:rPr>
            </w:pPr>
            <w:r w:rsidRPr="00614CC6">
              <w:rPr>
                <w:b/>
                <w:bCs/>
                <w:sz w:val="20"/>
                <w:lang w:val="en-US"/>
              </w:rPr>
              <w:t>V</w:t>
            </w:r>
          </w:p>
        </w:tc>
        <w:tc>
          <w:tcPr>
            <w:tcW w:w="8439" w:type="dxa"/>
          </w:tcPr>
          <w:p w14:paraId="4AA0B361" w14:textId="77777777" w:rsidR="00301285" w:rsidRPr="00A66700" w:rsidRDefault="00301285" w:rsidP="00344296">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140"/>
              <w:jc w:val="left"/>
              <w:rPr>
                <w:b w:val="0"/>
                <w:sz w:val="20"/>
              </w:rPr>
            </w:pPr>
            <w:proofErr w:type="spellStart"/>
            <w:r w:rsidRPr="00A66700">
              <w:rPr>
                <w:b w:val="0"/>
                <w:sz w:val="20"/>
              </w:rPr>
              <w:t>Vocabulaire</w:t>
            </w:r>
            <w:proofErr w:type="spellEnd"/>
            <w:r w:rsidRPr="00A66700">
              <w:rPr>
                <w:b w:val="0"/>
                <w:sz w:val="20"/>
              </w:rPr>
              <w:t xml:space="preserve"> et </w:t>
            </w:r>
            <w:proofErr w:type="spellStart"/>
            <w:r w:rsidRPr="00A66700">
              <w:rPr>
                <w:b w:val="0"/>
                <w:sz w:val="20"/>
              </w:rPr>
              <w:t>sujets</w:t>
            </w:r>
            <w:proofErr w:type="spellEnd"/>
            <w:r w:rsidRPr="00A66700">
              <w:rPr>
                <w:b w:val="0"/>
                <w:sz w:val="20"/>
              </w:rPr>
              <w:t xml:space="preserve"> </w:t>
            </w:r>
            <w:proofErr w:type="spellStart"/>
            <w:r w:rsidRPr="00A66700">
              <w:rPr>
                <w:b w:val="0"/>
                <w:sz w:val="20"/>
              </w:rPr>
              <w:t>associés</w:t>
            </w:r>
            <w:proofErr w:type="spellEnd"/>
          </w:p>
        </w:tc>
      </w:tr>
    </w:tbl>
    <w:p w14:paraId="50193B24" w14:textId="77777777" w:rsidR="00301285" w:rsidRPr="00036EE3" w:rsidRDefault="00301285" w:rsidP="00301285">
      <w:pPr>
        <w:spacing w:before="0"/>
        <w:jc w:val="center"/>
        <w:rPr>
          <w:sz w:val="20"/>
          <w:lang w:val="en-US"/>
        </w:rPr>
      </w:pPr>
    </w:p>
    <w:tbl>
      <w:tblPr>
        <w:tblW w:w="5000" w:type="pct"/>
        <w:tblBorders>
          <w:top w:val="single" w:sz="12" w:space="0" w:color="000080"/>
          <w:left w:val="single" w:sz="12" w:space="0" w:color="000080"/>
          <w:bottom w:val="single" w:sz="12" w:space="0" w:color="000080"/>
          <w:right w:val="single" w:sz="12" w:space="0" w:color="000080"/>
        </w:tblBorders>
        <w:tblLook w:val="01E0" w:firstRow="1" w:lastRow="1" w:firstColumn="1" w:lastColumn="1" w:noHBand="0" w:noVBand="0"/>
      </w:tblPr>
      <w:tblGrid>
        <w:gridCol w:w="9609"/>
      </w:tblGrid>
      <w:tr w:rsidR="00301285" w:rsidRPr="00301285" w14:paraId="30AA934D" w14:textId="77777777" w:rsidTr="00344296">
        <w:tc>
          <w:tcPr>
            <w:tcW w:w="9609" w:type="dxa"/>
          </w:tcPr>
          <w:p w14:paraId="72FEB675" w14:textId="77777777" w:rsidR="00301285" w:rsidRPr="00301285" w:rsidRDefault="00301285" w:rsidP="00344296">
            <w:pPr>
              <w:spacing w:before="80" w:after="80"/>
              <w:rPr>
                <w:i/>
                <w:iCs/>
                <w:sz w:val="20"/>
                <w:lang w:val="fr-CH"/>
              </w:rPr>
            </w:pPr>
            <w:proofErr w:type="gramStart"/>
            <w:r w:rsidRPr="00301285">
              <w:rPr>
                <w:b/>
                <w:bCs/>
                <w:i/>
                <w:iCs/>
                <w:sz w:val="20"/>
                <w:lang w:val="fr-CH"/>
              </w:rPr>
              <w:t>Note</w:t>
            </w:r>
            <w:r w:rsidRPr="00301285">
              <w:rPr>
                <w:i/>
                <w:iCs/>
                <w:sz w:val="20"/>
                <w:lang w:val="fr-CH"/>
              </w:rPr>
              <w:t>:</w:t>
            </w:r>
            <w:proofErr w:type="gramEnd"/>
            <w:r w:rsidRPr="00301285">
              <w:rPr>
                <w:i/>
                <w:iCs/>
                <w:sz w:val="20"/>
                <w:lang w:val="fr-CH"/>
              </w:rPr>
              <w:t xml:space="preserve"> Cette Recommandation UIT-R a été approuvée en anglais aux termes de la procédure détaillée dans la Résolution UIT-R 1. </w:t>
            </w:r>
          </w:p>
        </w:tc>
      </w:tr>
    </w:tbl>
    <w:p w14:paraId="1AE1C0EC" w14:textId="77777777" w:rsidR="00301285" w:rsidRPr="00301285" w:rsidRDefault="00301285" w:rsidP="00301285">
      <w:pPr>
        <w:spacing w:before="0"/>
        <w:jc w:val="center"/>
        <w:rPr>
          <w:sz w:val="22"/>
          <w:lang w:val="fr-CH"/>
        </w:rPr>
      </w:pPr>
    </w:p>
    <w:p w14:paraId="61B2F04E" w14:textId="77777777" w:rsidR="00301285" w:rsidRPr="00301285" w:rsidRDefault="00301285" w:rsidP="00301285">
      <w:pPr>
        <w:spacing w:before="100"/>
        <w:jc w:val="right"/>
        <w:rPr>
          <w:i/>
          <w:iCs/>
          <w:sz w:val="20"/>
          <w:lang w:val="fr-CH"/>
        </w:rPr>
      </w:pPr>
      <w:r w:rsidRPr="00301285">
        <w:rPr>
          <w:i/>
          <w:iCs/>
          <w:sz w:val="20"/>
          <w:lang w:val="fr-CH"/>
        </w:rPr>
        <w:t>Publication électronique</w:t>
      </w:r>
    </w:p>
    <w:p w14:paraId="28B9C09F" w14:textId="5DFDE6B1" w:rsidR="00301285" w:rsidRPr="00301285" w:rsidRDefault="00301285" w:rsidP="00301285">
      <w:pPr>
        <w:spacing w:before="0"/>
        <w:jc w:val="right"/>
        <w:rPr>
          <w:sz w:val="20"/>
          <w:lang w:val="fr-CH"/>
        </w:rPr>
      </w:pPr>
      <w:r w:rsidRPr="00301285">
        <w:rPr>
          <w:sz w:val="20"/>
          <w:lang w:val="fr-CH"/>
        </w:rPr>
        <w:t>Genève, 202</w:t>
      </w:r>
      <w:r>
        <w:rPr>
          <w:sz w:val="20"/>
          <w:lang w:val="fr-CH"/>
        </w:rPr>
        <w:t>5</w:t>
      </w:r>
    </w:p>
    <w:p w14:paraId="791F56E5" w14:textId="3CADF023" w:rsidR="00301285" w:rsidRPr="00301285" w:rsidRDefault="00301285" w:rsidP="00301285">
      <w:pPr>
        <w:spacing w:before="200"/>
        <w:jc w:val="center"/>
        <w:rPr>
          <w:sz w:val="20"/>
          <w:lang w:val="fr-CH"/>
        </w:rPr>
      </w:pPr>
      <w:r w:rsidRPr="00470E28">
        <w:rPr>
          <w:sz w:val="20"/>
          <w:lang w:val="en-US"/>
        </w:rPr>
        <w:sym w:font="Symbol" w:char="F0E3"/>
      </w:r>
      <w:r w:rsidRPr="00301285">
        <w:rPr>
          <w:sz w:val="20"/>
          <w:lang w:val="fr-CH"/>
        </w:rPr>
        <w:t xml:space="preserve"> UIT </w:t>
      </w:r>
      <w:bookmarkStart w:id="1" w:name="iiannee"/>
      <w:bookmarkEnd w:id="1"/>
      <w:r w:rsidRPr="00301285">
        <w:rPr>
          <w:sz w:val="20"/>
          <w:lang w:val="fr-CH"/>
        </w:rPr>
        <w:t>202</w:t>
      </w:r>
      <w:r>
        <w:rPr>
          <w:sz w:val="20"/>
          <w:lang w:val="fr-CH"/>
        </w:rPr>
        <w:t>5</w:t>
      </w:r>
    </w:p>
    <w:p w14:paraId="425585CE" w14:textId="77777777" w:rsidR="00301285" w:rsidRPr="00301285" w:rsidRDefault="00301285" w:rsidP="00301285">
      <w:pPr>
        <w:rPr>
          <w:sz w:val="18"/>
          <w:szCs w:val="18"/>
          <w:lang w:val="fr-CH"/>
        </w:rPr>
      </w:pPr>
      <w:r w:rsidRPr="00301285">
        <w:rPr>
          <w:sz w:val="18"/>
          <w:szCs w:val="18"/>
          <w:lang w:val="fr-CH"/>
        </w:rPr>
        <w:t>Tous droits réservés. Aucune partie de cette publication ne peut être reproduite, par quelque procédé que ce soit, sans l’accord écrit préalable de l’UIT.</w:t>
      </w:r>
    </w:p>
    <w:p w14:paraId="65FAF7FD" w14:textId="77777777" w:rsidR="00301285" w:rsidRPr="00301285" w:rsidRDefault="00301285" w:rsidP="00301285">
      <w:pPr>
        <w:spacing w:before="160"/>
        <w:rPr>
          <w:i/>
          <w:sz w:val="20"/>
          <w:lang w:val="fr-CH"/>
        </w:rPr>
        <w:sectPr w:rsidR="00301285" w:rsidRPr="00301285" w:rsidSect="00301285">
          <w:headerReference w:type="even" r:id="rId11"/>
          <w:headerReference w:type="default" r:id="rId12"/>
          <w:pgSz w:w="11907" w:h="16834" w:code="9"/>
          <w:pgMar w:top="1418" w:right="1134" w:bottom="1134" w:left="1134" w:header="720" w:footer="482" w:gutter="0"/>
          <w:paperSrc w:first="15" w:other="15"/>
          <w:pgNumType w:fmt="lowerRoman" w:start="2"/>
          <w:cols w:space="720"/>
        </w:sectPr>
      </w:pPr>
    </w:p>
    <w:p w14:paraId="6808A20A" w14:textId="4A91153B" w:rsidR="00301285" w:rsidRPr="00301285" w:rsidRDefault="00301285" w:rsidP="00301285">
      <w:pPr>
        <w:pStyle w:val="RecNo"/>
        <w:rPr>
          <w:lang w:val="fr-CH"/>
        </w:rPr>
      </w:pPr>
      <w:bookmarkStart w:id="2" w:name="irecnoe"/>
      <w:bookmarkEnd w:id="2"/>
      <w:proofErr w:type="gramStart"/>
      <w:r w:rsidRPr="00301285">
        <w:rPr>
          <w:lang w:val="fr-CH"/>
        </w:rPr>
        <w:lastRenderedPageBreak/>
        <w:t xml:space="preserve">RECOMMANDATION  </w:t>
      </w:r>
      <w:r w:rsidRPr="00301285">
        <w:rPr>
          <w:rStyle w:val="href"/>
          <w:lang w:val="fr-CH"/>
        </w:rPr>
        <w:t>UIT</w:t>
      </w:r>
      <w:proofErr w:type="gramEnd"/>
      <w:r w:rsidRPr="00301285">
        <w:rPr>
          <w:rStyle w:val="href"/>
          <w:lang w:val="fr-CH"/>
        </w:rPr>
        <w:t>-</w:t>
      </w:r>
      <w:proofErr w:type="gramStart"/>
      <w:r w:rsidRPr="00301285">
        <w:rPr>
          <w:rStyle w:val="href"/>
          <w:lang w:val="fr-CH"/>
        </w:rPr>
        <w:t>R  SM</w:t>
      </w:r>
      <w:proofErr w:type="gramEnd"/>
      <w:r w:rsidRPr="00301285">
        <w:rPr>
          <w:rStyle w:val="href"/>
          <w:lang w:val="fr-CH"/>
        </w:rPr>
        <w:t>.</w:t>
      </w:r>
      <w:r w:rsidRPr="00301285">
        <w:rPr>
          <w:rStyle w:val="href"/>
          <w:lang w:val="fr-CH"/>
        </w:rPr>
        <w:t>2110-2</w:t>
      </w:r>
    </w:p>
    <w:p w14:paraId="4FAA2DFA" w14:textId="400E908F" w:rsidR="00301285" w:rsidRPr="00301285" w:rsidRDefault="00301285" w:rsidP="00301285">
      <w:pPr>
        <w:pStyle w:val="Rectitle"/>
        <w:rPr>
          <w:lang w:val="fr-CH"/>
        </w:rPr>
      </w:pPr>
      <w:r w:rsidRPr="00301285">
        <w:rPr>
          <w:lang w:val="fr-CH"/>
        </w:rPr>
        <w:t>Orientations relatives aux gammes de fréquences pour l'exploitation des systèmes de transmission d'énergie sans fil n'utilisant pas</w:t>
      </w:r>
      <w:r w:rsidR="007C75FD">
        <w:rPr>
          <w:lang w:val="fr-CH"/>
        </w:rPr>
        <w:t xml:space="preserve"> </w:t>
      </w:r>
      <w:r w:rsidRPr="00301285">
        <w:rPr>
          <w:lang w:val="fr-CH"/>
        </w:rPr>
        <w:t>de faisceau pour les véhicules électriques</w:t>
      </w:r>
    </w:p>
    <w:p w14:paraId="4EB2B965" w14:textId="77777777" w:rsidR="00301285" w:rsidRPr="00301285" w:rsidRDefault="00301285" w:rsidP="00301285">
      <w:pPr>
        <w:pStyle w:val="Recref"/>
        <w:rPr>
          <w:lang w:val="fr-CH"/>
        </w:rPr>
      </w:pPr>
      <w:r w:rsidRPr="00301285">
        <w:rPr>
          <w:lang w:val="fr-CH"/>
        </w:rPr>
        <w:t>(Question UIT-R 210-4/1)</w:t>
      </w:r>
    </w:p>
    <w:p w14:paraId="397F2EE9" w14:textId="77777777" w:rsidR="00301285" w:rsidRPr="00301285" w:rsidRDefault="00301285" w:rsidP="00301285">
      <w:pPr>
        <w:pStyle w:val="Recdate"/>
        <w:rPr>
          <w:lang w:val="fr-CH"/>
        </w:rPr>
      </w:pPr>
      <w:r w:rsidRPr="00301285">
        <w:rPr>
          <w:szCs w:val="24"/>
          <w:lang w:val="fr-CH"/>
        </w:rPr>
        <w:t>(</w:t>
      </w:r>
      <w:r w:rsidRPr="00301285">
        <w:rPr>
          <w:lang w:val="fr-CH"/>
        </w:rPr>
        <w:t>2017-2019-2025</w:t>
      </w:r>
      <w:r w:rsidRPr="00301285">
        <w:rPr>
          <w:szCs w:val="24"/>
          <w:lang w:val="fr-CH"/>
        </w:rPr>
        <w:t>)</w:t>
      </w:r>
    </w:p>
    <w:p w14:paraId="5F37649A" w14:textId="77777777" w:rsidR="00301285" w:rsidRPr="00C4267C" w:rsidRDefault="00301285" w:rsidP="00301285">
      <w:pPr>
        <w:pStyle w:val="headfoot"/>
      </w:pPr>
    </w:p>
    <w:p w14:paraId="6B1B5E7B" w14:textId="77777777" w:rsidR="00301285" w:rsidRPr="00C4267C" w:rsidRDefault="00301285" w:rsidP="00301285">
      <w:pPr>
        <w:pStyle w:val="HeadingSum"/>
        <w:rPr>
          <w:lang w:val="fr-FR"/>
        </w:rPr>
      </w:pPr>
      <w:bookmarkStart w:id="3" w:name="_Hlk217295424"/>
      <w:r w:rsidRPr="00C4267C">
        <w:rPr>
          <w:lang w:val="fr-FR"/>
        </w:rPr>
        <w:t>Domaine d'application</w:t>
      </w:r>
    </w:p>
    <w:p w14:paraId="14047C2A" w14:textId="1FEC8969" w:rsidR="00301285" w:rsidRPr="00C4267C" w:rsidRDefault="00301285" w:rsidP="00301285">
      <w:pPr>
        <w:pStyle w:val="Summary"/>
        <w:rPr>
          <w:lang w:val="fr-FR"/>
        </w:rPr>
      </w:pPr>
      <w:r w:rsidRPr="00C4267C">
        <w:rPr>
          <w:lang w:val="fr-FR" w:eastAsia="ko-KR"/>
        </w:rPr>
        <w:t>La présente Recommandation fournit des orientations relatives aux gammes de fréquences pour l'exploitation des systèmes de transmission d'énergie sans fil n'utilisant pas de faisceau (systèmes WPT n'utilisant pas de faisceau) pour les véhicules électriques et la protection des services de radiocommunication.</w:t>
      </w:r>
    </w:p>
    <w:bookmarkEnd w:id="3"/>
    <w:p w14:paraId="0B1C04E5" w14:textId="77777777" w:rsidR="00301285" w:rsidRPr="00301285" w:rsidRDefault="00301285" w:rsidP="00301285">
      <w:pPr>
        <w:pStyle w:val="Headingb"/>
        <w:rPr>
          <w:lang w:val="fr-CH"/>
        </w:rPr>
      </w:pPr>
      <w:r w:rsidRPr="00301285">
        <w:rPr>
          <w:lang w:val="fr-CH"/>
        </w:rPr>
        <w:t>Mots clés</w:t>
      </w:r>
    </w:p>
    <w:p w14:paraId="4CF46A0E" w14:textId="77777777" w:rsidR="00301285" w:rsidRPr="00301285" w:rsidRDefault="00301285" w:rsidP="00301285">
      <w:pPr>
        <w:rPr>
          <w:lang w:val="fr-CH"/>
        </w:rPr>
      </w:pPr>
      <w:bookmarkStart w:id="4" w:name="lt_pId062"/>
      <w:r w:rsidRPr="00301285">
        <w:rPr>
          <w:lang w:val="fr-CH" w:eastAsia="ko-KR"/>
        </w:rPr>
        <w:t xml:space="preserve">Transmission d'énergie sans fil, dispositifs à courte portée, </w:t>
      </w:r>
      <w:r w:rsidRPr="00301285">
        <w:rPr>
          <w:rFonts w:eastAsia="Calibri"/>
          <w:lang w:val="fr-CH"/>
        </w:rPr>
        <w:t>ISM, système WPT n'utilisant pas de faisceau</w:t>
      </w:r>
      <w:bookmarkEnd w:id="4"/>
    </w:p>
    <w:p w14:paraId="57958303" w14:textId="77777777" w:rsidR="00301285" w:rsidRPr="00301285" w:rsidRDefault="00301285" w:rsidP="00301285">
      <w:pPr>
        <w:pStyle w:val="Headingb"/>
        <w:rPr>
          <w:lang w:val="fr-CH"/>
        </w:rPr>
      </w:pPr>
      <w:r w:rsidRPr="00301285">
        <w:rPr>
          <w:lang w:val="fr-CH"/>
        </w:rPr>
        <w:t>Abréviations/glossaire</w:t>
      </w:r>
    </w:p>
    <w:p w14:paraId="1DCFE175" w14:textId="77777777" w:rsidR="00301285" w:rsidRPr="00301285" w:rsidRDefault="00301285" w:rsidP="00301285">
      <w:pPr>
        <w:tabs>
          <w:tab w:val="clear" w:pos="794"/>
        </w:tabs>
        <w:rPr>
          <w:lang w:val="fr-CH" w:eastAsia="zh-CN"/>
        </w:rPr>
      </w:pPr>
      <w:bookmarkStart w:id="5" w:name="lt_pId069"/>
      <w:r w:rsidRPr="00301285">
        <w:rPr>
          <w:lang w:val="fr-CH" w:eastAsia="zh-CN"/>
        </w:rPr>
        <w:t>CEI</w:t>
      </w:r>
      <w:bookmarkEnd w:id="5"/>
      <w:r w:rsidRPr="00301285">
        <w:rPr>
          <w:lang w:val="fr-CH" w:eastAsia="zh-CN"/>
        </w:rPr>
        <w:tab/>
      </w:r>
      <w:bookmarkStart w:id="6" w:name="lt_pId070"/>
      <w:r w:rsidRPr="00301285">
        <w:rPr>
          <w:lang w:val="fr-CH" w:eastAsia="zh-CN"/>
        </w:rPr>
        <w:t>Commission</w:t>
      </w:r>
      <w:bookmarkEnd w:id="6"/>
      <w:r w:rsidRPr="00301285">
        <w:rPr>
          <w:lang w:val="fr-CH" w:eastAsia="zh-CN"/>
        </w:rPr>
        <w:t xml:space="preserve"> électrotechnique internationale</w:t>
      </w:r>
    </w:p>
    <w:p w14:paraId="4B091766" w14:textId="77777777" w:rsidR="00301285" w:rsidRPr="00301285" w:rsidRDefault="00301285" w:rsidP="00301285">
      <w:pPr>
        <w:tabs>
          <w:tab w:val="clear" w:pos="794"/>
        </w:tabs>
        <w:ind w:left="1191" w:hanging="1191"/>
        <w:rPr>
          <w:lang w:val="fr-CH"/>
        </w:rPr>
      </w:pPr>
      <w:r w:rsidRPr="00301285">
        <w:rPr>
          <w:lang w:val="fr-CH"/>
        </w:rPr>
        <w:t>CIPRNI</w:t>
      </w:r>
      <w:r w:rsidRPr="00301285">
        <w:rPr>
          <w:lang w:val="fr-CH"/>
        </w:rPr>
        <w:tab/>
      </w:r>
      <w:bookmarkStart w:id="7" w:name="lt_pId068"/>
      <w:r w:rsidRPr="00301285">
        <w:rPr>
          <w:lang w:val="fr-CH"/>
        </w:rPr>
        <w:t xml:space="preserve">Commission internationale de protection contre les rayonnements non ionisants </w:t>
      </w:r>
      <w:bookmarkEnd w:id="7"/>
    </w:p>
    <w:p w14:paraId="36D3925A" w14:textId="77777777" w:rsidR="00301285" w:rsidRPr="00301285" w:rsidRDefault="00301285" w:rsidP="00301285">
      <w:pPr>
        <w:tabs>
          <w:tab w:val="clear" w:pos="794"/>
        </w:tabs>
        <w:ind w:left="1191" w:hanging="1191"/>
        <w:rPr>
          <w:lang w:val="fr-CH"/>
        </w:rPr>
      </w:pPr>
      <w:r w:rsidRPr="00301285">
        <w:rPr>
          <w:lang w:val="fr-CH"/>
        </w:rPr>
        <w:t>CISE</w:t>
      </w:r>
      <w:r w:rsidRPr="00301285">
        <w:rPr>
          <w:lang w:val="fr-CH"/>
        </w:rPr>
        <w:tab/>
        <w:t>Comité international sur la sécurité électromagnétique</w:t>
      </w:r>
      <w:r w:rsidRPr="00301285">
        <w:rPr>
          <w:lang w:val="fr-CH"/>
        </w:rPr>
        <w:tab/>
      </w:r>
    </w:p>
    <w:p w14:paraId="6DA2488E" w14:textId="77777777" w:rsidR="00301285" w:rsidRPr="00301285" w:rsidRDefault="00301285" w:rsidP="00301285">
      <w:pPr>
        <w:tabs>
          <w:tab w:val="clear" w:pos="794"/>
        </w:tabs>
        <w:rPr>
          <w:lang w:val="fr-CH"/>
        </w:rPr>
      </w:pPr>
      <w:bookmarkStart w:id="8" w:name="lt_pId064"/>
      <w:r w:rsidRPr="00301285">
        <w:rPr>
          <w:lang w:val="fr-CH"/>
        </w:rPr>
        <w:t>CISPR</w:t>
      </w:r>
      <w:bookmarkEnd w:id="8"/>
      <w:r w:rsidRPr="00301285">
        <w:rPr>
          <w:lang w:val="fr-CH"/>
        </w:rPr>
        <w:tab/>
      </w:r>
      <w:bookmarkStart w:id="9" w:name="lt_pId065"/>
      <w:r w:rsidRPr="00301285">
        <w:rPr>
          <w:lang w:val="fr-CH"/>
        </w:rPr>
        <w:t>Comité international spécial des perturbations radioélectriques</w:t>
      </w:r>
      <w:bookmarkEnd w:id="9"/>
    </w:p>
    <w:p w14:paraId="05C662D4" w14:textId="77777777" w:rsidR="00301285" w:rsidRPr="00301285" w:rsidRDefault="00301285" w:rsidP="00301285">
      <w:pPr>
        <w:tabs>
          <w:tab w:val="clear" w:pos="794"/>
        </w:tabs>
        <w:ind w:left="1191" w:hanging="1191"/>
        <w:rPr>
          <w:lang w:val="fr-CH" w:eastAsia="zh-CN"/>
        </w:rPr>
      </w:pPr>
      <w:bookmarkStart w:id="10" w:name="lt_pId071"/>
      <w:r w:rsidRPr="00301285">
        <w:rPr>
          <w:lang w:val="fr-CH" w:eastAsia="zh-CN"/>
        </w:rPr>
        <w:t>IEEE</w:t>
      </w:r>
      <w:r w:rsidRPr="00301285">
        <w:rPr>
          <w:lang w:val="fr-CH" w:eastAsia="zh-CN"/>
        </w:rPr>
        <w:tab/>
        <w:t>Institut d'ingénierie électrique et électronique (</w:t>
      </w:r>
      <w:r w:rsidRPr="00301285">
        <w:rPr>
          <w:i/>
          <w:iCs/>
          <w:lang w:val="fr-CH" w:eastAsia="zh-CN"/>
        </w:rPr>
        <w:t xml:space="preserve">Institute of </w:t>
      </w:r>
      <w:proofErr w:type="spellStart"/>
      <w:r w:rsidRPr="00301285">
        <w:rPr>
          <w:i/>
          <w:iCs/>
          <w:lang w:val="fr-CH" w:eastAsia="zh-CN"/>
        </w:rPr>
        <w:t>Electrical</w:t>
      </w:r>
      <w:proofErr w:type="spellEnd"/>
      <w:r w:rsidRPr="00301285">
        <w:rPr>
          <w:i/>
          <w:iCs/>
          <w:lang w:val="fr-CH" w:eastAsia="zh-CN"/>
        </w:rPr>
        <w:t xml:space="preserve"> and Electronics </w:t>
      </w:r>
      <w:proofErr w:type="spellStart"/>
      <w:r w:rsidRPr="00301285">
        <w:rPr>
          <w:i/>
          <w:iCs/>
          <w:lang w:val="fr-CH" w:eastAsia="zh-CN"/>
        </w:rPr>
        <w:t>Engineers</w:t>
      </w:r>
      <w:proofErr w:type="spellEnd"/>
      <w:r w:rsidRPr="00301285">
        <w:rPr>
          <w:lang w:val="fr-CH" w:eastAsia="zh-CN"/>
        </w:rPr>
        <w:t>)</w:t>
      </w:r>
    </w:p>
    <w:p w14:paraId="26CA2094" w14:textId="77777777" w:rsidR="00301285" w:rsidRPr="00301285" w:rsidRDefault="00301285" w:rsidP="00301285">
      <w:pPr>
        <w:tabs>
          <w:tab w:val="clear" w:pos="794"/>
        </w:tabs>
        <w:rPr>
          <w:rFonts w:eastAsia="Calibri"/>
          <w:lang w:val="fr-CH"/>
        </w:rPr>
      </w:pPr>
      <w:bookmarkStart w:id="11" w:name="lt_pId073"/>
      <w:bookmarkEnd w:id="10"/>
      <w:r w:rsidRPr="00301285">
        <w:rPr>
          <w:rFonts w:eastAsia="Calibri"/>
          <w:lang w:val="fr-CH"/>
        </w:rPr>
        <w:t>ISM</w:t>
      </w:r>
      <w:bookmarkEnd w:id="11"/>
      <w:r w:rsidRPr="00301285">
        <w:rPr>
          <w:rFonts w:eastAsia="Calibri"/>
          <w:lang w:val="fr-CH"/>
        </w:rPr>
        <w:tab/>
      </w:r>
      <w:bookmarkStart w:id="12" w:name="lt_pId074"/>
      <w:r w:rsidRPr="00301285">
        <w:rPr>
          <w:rFonts w:eastAsia="Calibri"/>
          <w:lang w:val="fr-CH"/>
        </w:rPr>
        <w:t>Industriel, scientifique, médical (</w:t>
      </w:r>
      <w:bookmarkEnd w:id="12"/>
      <w:proofErr w:type="spellStart"/>
      <w:r w:rsidRPr="00301285">
        <w:rPr>
          <w:rFonts w:eastAsia="Calibri"/>
          <w:i/>
          <w:iCs/>
          <w:lang w:val="fr-CH"/>
        </w:rPr>
        <w:t>Industrial</w:t>
      </w:r>
      <w:proofErr w:type="spellEnd"/>
      <w:r w:rsidRPr="00301285">
        <w:rPr>
          <w:rFonts w:eastAsia="Calibri"/>
          <w:i/>
          <w:iCs/>
          <w:lang w:val="fr-CH"/>
        </w:rPr>
        <w:t xml:space="preserve"> Scientific Medical</w:t>
      </w:r>
      <w:r w:rsidRPr="00301285">
        <w:rPr>
          <w:lang w:val="fr-CH" w:eastAsia="ko-KR"/>
        </w:rPr>
        <w:t>)</w:t>
      </w:r>
    </w:p>
    <w:p w14:paraId="3350A522" w14:textId="77777777" w:rsidR="00301285" w:rsidRPr="00301285" w:rsidRDefault="00301285" w:rsidP="00301285">
      <w:pPr>
        <w:tabs>
          <w:tab w:val="clear" w:pos="794"/>
        </w:tabs>
        <w:ind w:left="1191" w:hanging="1191"/>
        <w:rPr>
          <w:lang w:val="fr-CH" w:eastAsia="zh-CN"/>
        </w:rPr>
      </w:pPr>
      <w:r w:rsidRPr="00301285">
        <w:rPr>
          <w:lang w:val="fr-CH" w:eastAsia="zh-CN"/>
        </w:rPr>
        <w:t>ISO</w:t>
      </w:r>
      <w:r w:rsidRPr="00301285">
        <w:rPr>
          <w:lang w:val="fr-CH" w:eastAsia="zh-CN"/>
        </w:rPr>
        <w:tab/>
      </w:r>
      <w:bookmarkStart w:id="13" w:name="lt_pId072"/>
      <w:r w:rsidRPr="00301285">
        <w:rPr>
          <w:lang w:val="fr-CH" w:eastAsia="zh-CN"/>
        </w:rPr>
        <w:t>Organisation internationale de normalisation (</w:t>
      </w:r>
      <w:r w:rsidRPr="00301285">
        <w:rPr>
          <w:i/>
          <w:lang w:val="fr-CH" w:eastAsia="zh-CN"/>
        </w:rPr>
        <w:t xml:space="preserve">International </w:t>
      </w:r>
      <w:proofErr w:type="spellStart"/>
      <w:r w:rsidRPr="00301285">
        <w:rPr>
          <w:i/>
          <w:lang w:val="fr-CH" w:eastAsia="zh-CN"/>
        </w:rPr>
        <w:t>Organization</w:t>
      </w:r>
      <w:bookmarkEnd w:id="13"/>
      <w:proofErr w:type="spellEnd"/>
      <w:r w:rsidRPr="00301285">
        <w:rPr>
          <w:lang w:val="fr-CH"/>
        </w:rPr>
        <w:t xml:space="preserve"> </w:t>
      </w:r>
      <w:r w:rsidRPr="00301285">
        <w:rPr>
          <w:i/>
          <w:lang w:val="fr-CH" w:eastAsia="zh-CN"/>
        </w:rPr>
        <w:t xml:space="preserve">for </w:t>
      </w:r>
      <w:proofErr w:type="spellStart"/>
      <w:r w:rsidRPr="00301285">
        <w:rPr>
          <w:i/>
          <w:lang w:val="fr-CH" w:eastAsia="zh-CN"/>
        </w:rPr>
        <w:t>Standardization</w:t>
      </w:r>
      <w:proofErr w:type="spellEnd"/>
      <w:r w:rsidRPr="00301285">
        <w:rPr>
          <w:lang w:val="fr-CH" w:eastAsia="zh-CN"/>
        </w:rPr>
        <w:t>)</w:t>
      </w:r>
    </w:p>
    <w:p w14:paraId="37DBDB40" w14:textId="77777777" w:rsidR="00301285" w:rsidRPr="00301285" w:rsidRDefault="00301285" w:rsidP="00301285">
      <w:pPr>
        <w:tabs>
          <w:tab w:val="clear" w:pos="794"/>
        </w:tabs>
        <w:rPr>
          <w:lang w:val="fr-CH"/>
        </w:rPr>
      </w:pPr>
      <w:bookmarkStart w:id="14" w:name="lt_pId081"/>
      <w:r w:rsidRPr="00301285">
        <w:rPr>
          <w:lang w:val="fr-CH"/>
        </w:rPr>
        <w:t>OMS</w:t>
      </w:r>
      <w:bookmarkEnd w:id="14"/>
      <w:r w:rsidRPr="00301285">
        <w:rPr>
          <w:lang w:val="fr-CH"/>
        </w:rPr>
        <w:tab/>
      </w:r>
      <w:bookmarkStart w:id="15" w:name="lt_pId082"/>
      <w:r w:rsidRPr="00301285">
        <w:rPr>
          <w:lang w:val="fr-CH"/>
        </w:rPr>
        <w:t>Organisation</w:t>
      </w:r>
      <w:bookmarkEnd w:id="15"/>
      <w:r w:rsidRPr="00301285">
        <w:rPr>
          <w:lang w:val="fr-CH"/>
        </w:rPr>
        <w:t xml:space="preserve"> mondiale de la santé</w:t>
      </w:r>
    </w:p>
    <w:p w14:paraId="0876EE2F" w14:textId="77777777" w:rsidR="00301285" w:rsidRPr="00301285" w:rsidRDefault="00301285" w:rsidP="00301285">
      <w:pPr>
        <w:tabs>
          <w:tab w:val="clear" w:pos="794"/>
        </w:tabs>
        <w:rPr>
          <w:lang w:val="fr-CH"/>
        </w:rPr>
      </w:pPr>
      <w:bookmarkStart w:id="16" w:name="lt_pId077"/>
      <w:r w:rsidRPr="00301285">
        <w:rPr>
          <w:lang w:val="fr-CH" w:eastAsia="zh-CN"/>
        </w:rPr>
        <w:t>RR</w:t>
      </w:r>
      <w:bookmarkEnd w:id="16"/>
      <w:r w:rsidRPr="00301285">
        <w:rPr>
          <w:lang w:val="fr-CH" w:eastAsia="zh-CN"/>
        </w:rPr>
        <w:tab/>
      </w:r>
      <w:bookmarkStart w:id="17" w:name="lt_pId078"/>
      <w:r w:rsidRPr="00301285">
        <w:rPr>
          <w:lang w:val="fr-CH" w:eastAsia="zh-CN"/>
        </w:rPr>
        <w:t>Règlement des radiocommunications</w:t>
      </w:r>
      <w:bookmarkEnd w:id="17"/>
    </w:p>
    <w:p w14:paraId="559C42EF" w14:textId="77777777" w:rsidR="00301285" w:rsidRPr="00301285" w:rsidRDefault="00301285" w:rsidP="00301285">
      <w:pPr>
        <w:tabs>
          <w:tab w:val="clear" w:pos="794"/>
        </w:tabs>
        <w:rPr>
          <w:lang w:val="fr-CH" w:eastAsia="zh-CN"/>
        </w:rPr>
      </w:pPr>
      <w:bookmarkStart w:id="18" w:name="lt_pId079"/>
      <w:r w:rsidRPr="00301285">
        <w:rPr>
          <w:lang w:val="fr-CH" w:eastAsia="zh-CN"/>
        </w:rPr>
        <w:t>SAE</w:t>
      </w:r>
      <w:bookmarkEnd w:id="18"/>
      <w:r w:rsidRPr="00301285">
        <w:rPr>
          <w:lang w:val="fr-CH" w:eastAsia="zh-CN"/>
        </w:rPr>
        <w:tab/>
      </w:r>
      <w:bookmarkStart w:id="19" w:name="lt_pId080"/>
      <w:r w:rsidRPr="00301285">
        <w:rPr>
          <w:lang w:val="fr-CH" w:eastAsia="zh-CN"/>
        </w:rPr>
        <w:t>Société des ingénieurs automobiles (</w:t>
      </w:r>
      <w:r w:rsidRPr="00301285">
        <w:rPr>
          <w:i/>
          <w:iCs/>
          <w:lang w:val="fr-CH" w:eastAsia="zh-CN"/>
        </w:rPr>
        <w:t xml:space="preserve">Society of Automotive </w:t>
      </w:r>
      <w:proofErr w:type="spellStart"/>
      <w:r w:rsidRPr="00301285">
        <w:rPr>
          <w:i/>
          <w:iCs/>
          <w:lang w:val="fr-CH" w:eastAsia="zh-CN"/>
        </w:rPr>
        <w:t>Engineers</w:t>
      </w:r>
      <w:bookmarkEnd w:id="19"/>
      <w:proofErr w:type="spellEnd"/>
      <w:r w:rsidRPr="00301285">
        <w:rPr>
          <w:lang w:val="fr-CH" w:eastAsia="zh-CN"/>
        </w:rPr>
        <w:t>)</w:t>
      </w:r>
    </w:p>
    <w:p w14:paraId="66C0BE10" w14:textId="77777777" w:rsidR="00301285" w:rsidRPr="00301285" w:rsidRDefault="00301285" w:rsidP="00301285">
      <w:pPr>
        <w:tabs>
          <w:tab w:val="clear" w:pos="794"/>
        </w:tabs>
        <w:ind w:left="1191" w:hanging="1191"/>
        <w:rPr>
          <w:lang w:val="fr-CH"/>
        </w:rPr>
      </w:pPr>
      <w:r w:rsidRPr="00301285">
        <w:rPr>
          <w:lang w:val="fr-CH"/>
        </w:rPr>
        <w:t>SFTS</w:t>
      </w:r>
      <w:r w:rsidRPr="00301285">
        <w:rPr>
          <w:lang w:val="fr-CH" w:eastAsia="zh-CN"/>
        </w:rPr>
        <w:tab/>
        <w:t>Service des fréquences étalon et des signaux horaires (</w:t>
      </w:r>
      <w:r w:rsidRPr="00301285">
        <w:rPr>
          <w:i/>
          <w:lang w:val="fr-CH" w:eastAsia="zh-CN"/>
        </w:rPr>
        <w:t>Standard Frequency and Time Signal Service</w:t>
      </w:r>
      <w:r w:rsidRPr="00301285">
        <w:rPr>
          <w:lang w:val="fr-CH" w:eastAsia="zh-CN"/>
        </w:rPr>
        <w:t xml:space="preserve">), conformément au numéro </w:t>
      </w:r>
      <w:r w:rsidRPr="00301285">
        <w:rPr>
          <w:b/>
          <w:bCs/>
          <w:lang w:val="fr-CH" w:eastAsia="zh-CN"/>
        </w:rPr>
        <w:t>1.53</w:t>
      </w:r>
      <w:r w:rsidRPr="00301285">
        <w:rPr>
          <w:lang w:val="fr-CH" w:eastAsia="zh-CN"/>
        </w:rPr>
        <w:t xml:space="preserve"> du RR</w:t>
      </w:r>
    </w:p>
    <w:p w14:paraId="0B485397" w14:textId="77777777" w:rsidR="00301285" w:rsidRPr="00301285" w:rsidRDefault="00301285" w:rsidP="00301285">
      <w:pPr>
        <w:tabs>
          <w:tab w:val="clear" w:pos="794"/>
        </w:tabs>
        <w:rPr>
          <w:lang w:val="fr-CH" w:eastAsia="ko-KR"/>
        </w:rPr>
      </w:pPr>
      <w:bookmarkStart w:id="20" w:name="lt_pId083"/>
      <w:r w:rsidRPr="00301285">
        <w:rPr>
          <w:lang w:val="fr-CH"/>
        </w:rPr>
        <w:t>WPT</w:t>
      </w:r>
      <w:bookmarkEnd w:id="20"/>
      <w:r w:rsidRPr="00301285">
        <w:rPr>
          <w:lang w:val="fr-CH"/>
        </w:rPr>
        <w:tab/>
      </w:r>
      <w:bookmarkStart w:id="21" w:name="lt_pId084"/>
      <w:r w:rsidRPr="00301285">
        <w:rPr>
          <w:lang w:val="fr-CH"/>
        </w:rPr>
        <w:t>Transmission d'énergie sans fil (</w:t>
      </w:r>
      <w:proofErr w:type="spellStart"/>
      <w:r w:rsidRPr="00301285">
        <w:rPr>
          <w:i/>
          <w:iCs/>
          <w:lang w:val="fr-CH" w:eastAsia="ko-KR"/>
        </w:rPr>
        <w:t>wireless</w:t>
      </w:r>
      <w:proofErr w:type="spellEnd"/>
      <w:r w:rsidRPr="00301285">
        <w:rPr>
          <w:i/>
          <w:iCs/>
          <w:lang w:val="fr-CH" w:eastAsia="ko-KR"/>
        </w:rPr>
        <w:t xml:space="preserve"> power transmission</w:t>
      </w:r>
      <w:bookmarkEnd w:id="21"/>
      <w:r w:rsidRPr="00301285">
        <w:rPr>
          <w:lang w:val="fr-CH" w:eastAsia="ko-KR"/>
        </w:rPr>
        <w:t>)</w:t>
      </w:r>
    </w:p>
    <w:p w14:paraId="70BB9148" w14:textId="77777777" w:rsidR="00301285" w:rsidRPr="00301285" w:rsidRDefault="00301285" w:rsidP="00301285">
      <w:pPr>
        <w:tabs>
          <w:tab w:val="clear" w:pos="794"/>
        </w:tabs>
        <w:ind w:left="1191" w:hanging="1191"/>
        <w:rPr>
          <w:lang w:val="fr-CH" w:eastAsia="ko-KR"/>
        </w:rPr>
      </w:pPr>
      <w:r w:rsidRPr="00301285">
        <w:rPr>
          <w:lang w:val="fr-CH"/>
        </w:rPr>
        <w:t>WPT-EV</w:t>
      </w:r>
      <w:r w:rsidRPr="00301285">
        <w:rPr>
          <w:lang w:val="fr-CH"/>
        </w:rPr>
        <w:tab/>
        <w:t>Transmission d'énergie sans fil</w:t>
      </w:r>
      <w:r w:rsidRPr="00301285">
        <w:rPr>
          <w:lang w:val="fr-CH" w:eastAsia="ko-KR"/>
        </w:rPr>
        <w:t xml:space="preserve"> pour les véhicules électriques (</w:t>
      </w:r>
      <w:r w:rsidRPr="00301285">
        <w:rPr>
          <w:i/>
          <w:lang w:val="fr-CH" w:eastAsia="ko-KR"/>
        </w:rPr>
        <w:t xml:space="preserve">Wireless power transmission for </w:t>
      </w:r>
      <w:proofErr w:type="spellStart"/>
      <w:r w:rsidRPr="00301285">
        <w:rPr>
          <w:i/>
          <w:lang w:val="fr-CH" w:eastAsia="ko-KR"/>
        </w:rPr>
        <w:t>electric</w:t>
      </w:r>
      <w:proofErr w:type="spellEnd"/>
      <w:r w:rsidRPr="00301285">
        <w:rPr>
          <w:i/>
          <w:lang w:val="fr-CH" w:eastAsia="ko-KR"/>
        </w:rPr>
        <w:t xml:space="preserve"> </w:t>
      </w:r>
      <w:proofErr w:type="spellStart"/>
      <w:r w:rsidRPr="00301285">
        <w:rPr>
          <w:i/>
          <w:lang w:val="fr-CH" w:eastAsia="ko-KR"/>
        </w:rPr>
        <w:t>vehicles</w:t>
      </w:r>
      <w:proofErr w:type="spellEnd"/>
      <w:r w:rsidRPr="00301285">
        <w:rPr>
          <w:lang w:val="fr-CH" w:eastAsia="ko-KR"/>
        </w:rPr>
        <w:t>)</w:t>
      </w:r>
    </w:p>
    <w:p w14:paraId="66C177A8" w14:textId="77777777" w:rsidR="00301285" w:rsidRPr="00301285" w:rsidRDefault="00301285" w:rsidP="00301285">
      <w:pPr>
        <w:pStyle w:val="Headingb"/>
        <w:rPr>
          <w:rFonts w:eastAsia="SimSun"/>
          <w:lang w:val="fr-CH"/>
        </w:rPr>
      </w:pPr>
      <w:bookmarkStart w:id="22" w:name="lt_pId087"/>
      <w:r w:rsidRPr="00301285">
        <w:rPr>
          <w:rFonts w:eastAsia="SimSun"/>
          <w:lang w:val="fr-CH"/>
        </w:rPr>
        <w:t>Recommandations et Rapports</w:t>
      </w:r>
      <w:bookmarkEnd w:id="22"/>
      <w:r w:rsidRPr="00301285">
        <w:rPr>
          <w:rFonts w:eastAsia="SimSun"/>
          <w:lang w:val="fr-CH"/>
        </w:rPr>
        <w:t xml:space="preserve"> UIT connexes</w:t>
      </w:r>
    </w:p>
    <w:p w14:paraId="271855A7" w14:textId="77777777" w:rsidR="00301285" w:rsidRPr="00301285" w:rsidRDefault="00301285" w:rsidP="007C75FD">
      <w:pPr>
        <w:pStyle w:val="Reftext"/>
        <w:rPr>
          <w:rFonts w:eastAsia="Calibri"/>
          <w:lang w:val="fr-CH"/>
        </w:rPr>
      </w:pPr>
      <w:bookmarkStart w:id="23" w:name="lt_pId088"/>
      <w:r w:rsidRPr="00301285">
        <w:rPr>
          <w:rFonts w:eastAsia="Calibri"/>
          <w:lang w:val="fr-CH"/>
        </w:rPr>
        <w:t xml:space="preserve">Recommandation UIT-R SM.1056 – Limitation des rayonnements provenant des appareils industriels, scientifiques et médicaux (ISM) </w:t>
      </w:r>
    </w:p>
    <w:p w14:paraId="6B9AB78A" w14:textId="77777777" w:rsidR="00301285" w:rsidRPr="00301285" w:rsidRDefault="00301285" w:rsidP="007C75FD">
      <w:pPr>
        <w:pStyle w:val="Reftext"/>
        <w:rPr>
          <w:rFonts w:eastAsia="Calibri"/>
          <w:lang w:val="fr-CH"/>
        </w:rPr>
      </w:pPr>
      <w:r w:rsidRPr="00301285">
        <w:rPr>
          <w:lang w:val="fr-CH" w:eastAsia="ko-KR"/>
        </w:rPr>
        <w:t>Recommandation UIT-R SM.1896</w:t>
      </w:r>
      <w:r w:rsidRPr="00301285">
        <w:rPr>
          <w:rFonts w:eastAsia="Calibri"/>
          <w:lang w:val="fr-CH"/>
        </w:rPr>
        <w:t xml:space="preserve"> – Gammes de fréquences pour une harmonisation mondiale ou régionale des dispositifs de radiocommunication à courte portée</w:t>
      </w:r>
    </w:p>
    <w:p w14:paraId="29801B1A" w14:textId="77777777" w:rsidR="00301285" w:rsidRPr="00301285" w:rsidRDefault="00301285" w:rsidP="007C75FD">
      <w:pPr>
        <w:pStyle w:val="Reftext"/>
        <w:rPr>
          <w:rFonts w:eastAsia="Calibri"/>
          <w:lang w:val="fr-CH"/>
        </w:rPr>
      </w:pPr>
      <w:r w:rsidRPr="00301285">
        <w:rPr>
          <w:rFonts w:eastAsia="Calibri"/>
          <w:lang w:val="fr-CH"/>
        </w:rPr>
        <w:lastRenderedPageBreak/>
        <w:t>Recommandation UIT-R SM.2129 – Orientations relatives aux gammes de fréquences pour l'exploitation de la transmission d'énergie sans fil n'utilisant pas de faisceau pour les dispositifs mobiles et portables</w:t>
      </w:r>
    </w:p>
    <w:p w14:paraId="329C7290" w14:textId="77777777" w:rsidR="00301285" w:rsidRPr="00301285" w:rsidRDefault="00301285" w:rsidP="007C75FD">
      <w:pPr>
        <w:pStyle w:val="Reftext"/>
        <w:rPr>
          <w:rFonts w:eastAsia="Calibri"/>
          <w:lang w:val="fr-CH"/>
        </w:rPr>
      </w:pPr>
      <w:r w:rsidRPr="00301285">
        <w:rPr>
          <w:lang w:val="fr-CH" w:eastAsia="ko-KR"/>
        </w:rPr>
        <w:t>Rapport UIT-R SM.2153</w:t>
      </w:r>
      <w:r w:rsidRPr="00301285">
        <w:rPr>
          <w:rFonts w:eastAsia="Calibri"/>
          <w:lang w:val="fr-CH"/>
        </w:rPr>
        <w:t xml:space="preserve"> – Paramètres techniques et de fonctionnement des dispositifs de radiocommunication à courte portée et fréquences utilisées</w:t>
      </w:r>
    </w:p>
    <w:p w14:paraId="36E3C80B" w14:textId="77777777" w:rsidR="00301285" w:rsidRPr="00301285" w:rsidRDefault="00301285" w:rsidP="007C75FD">
      <w:pPr>
        <w:pStyle w:val="Reftext"/>
        <w:rPr>
          <w:rFonts w:eastAsia="Calibri"/>
          <w:lang w:val="fr-CH"/>
        </w:rPr>
      </w:pPr>
      <w:r w:rsidRPr="00301285">
        <w:rPr>
          <w:rFonts w:eastAsia="Calibri"/>
          <w:lang w:val="fr-CH"/>
        </w:rPr>
        <w:t>Rapport UIT-R SM.2303 – Transmission d'énergie sans fil au moyen de techniques autres que la transmission par faisceau radiofréquence</w:t>
      </w:r>
    </w:p>
    <w:p w14:paraId="5B7E1DA5" w14:textId="77777777" w:rsidR="00301285" w:rsidRPr="00301285" w:rsidRDefault="00301285" w:rsidP="007C75FD">
      <w:pPr>
        <w:pStyle w:val="Reftext"/>
        <w:rPr>
          <w:rFonts w:eastAsia="Calibri"/>
          <w:lang w:val="fr-CH"/>
        </w:rPr>
      </w:pPr>
      <w:r w:rsidRPr="00301285">
        <w:rPr>
          <w:rFonts w:eastAsia="Calibri"/>
          <w:lang w:val="fr-CH"/>
        </w:rPr>
        <w:t>Rapport UIT</w:t>
      </w:r>
      <w:r w:rsidRPr="00301285">
        <w:rPr>
          <w:rFonts w:eastAsia="Calibri"/>
          <w:lang w:val="fr-CH"/>
        </w:rPr>
        <w:noBreakHyphen/>
        <w:t>R SM.2451</w:t>
      </w:r>
      <w:bookmarkEnd w:id="23"/>
      <w:r w:rsidRPr="00301285">
        <w:rPr>
          <w:rFonts w:eastAsia="Calibri"/>
          <w:lang w:val="fr-CH"/>
        </w:rPr>
        <w:t xml:space="preserve"> –</w:t>
      </w:r>
      <w:r w:rsidRPr="00301285">
        <w:rPr>
          <w:rFonts w:ascii="Segoe UI" w:hAnsi="Segoe UI" w:cs="Segoe UI"/>
          <w:color w:val="000000"/>
          <w:sz w:val="20"/>
          <w:shd w:val="clear" w:color="auto" w:fill="FFFFFF"/>
          <w:lang w:val="fr-CH"/>
        </w:rPr>
        <w:t xml:space="preserve"> </w:t>
      </w:r>
      <w:r w:rsidRPr="00301285">
        <w:rPr>
          <w:rFonts w:eastAsia="Calibri"/>
          <w:lang w:val="fr-CH"/>
        </w:rPr>
        <w:t>Évaluation des incidences de la transmission d'énergie sans fil pour le chargement des véhicules électriques sur les services de radiocommunication fonctionnant à des fréquences inférieures à 30 MHz</w:t>
      </w:r>
    </w:p>
    <w:p w14:paraId="10442001" w14:textId="10795FE4" w:rsidR="00301285" w:rsidRPr="00301285" w:rsidRDefault="00301285" w:rsidP="007C75FD">
      <w:pPr>
        <w:pStyle w:val="Reftext"/>
        <w:rPr>
          <w:lang w:val="fr-CH"/>
        </w:rPr>
      </w:pPr>
      <w:r w:rsidRPr="00301285">
        <w:rPr>
          <w:rFonts w:eastAsia="Calibri"/>
          <w:lang w:val="fr-CH"/>
        </w:rPr>
        <w:t>Rapport UIT-R TF.2487 – Critères de protection applicables aux systèmes des services des fréquences étalon et des signaux horaires</w:t>
      </w:r>
    </w:p>
    <w:p w14:paraId="208C90C5" w14:textId="77777777" w:rsidR="00301285" w:rsidRPr="00301285" w:rsidRDefault="00301285" w:rsidP="00301285">
      <w:pPr>
        <w:pStyle w:val="Normalaftertitle"/>
        <w:keepNext/>
        <w:keepLines/>
        <w:rPr>
          <w:lang w:val="fr-CH"/>
        </w:rPr>
      </w:pPr>
      <w:r w:rsidRPr="00301285">
        <w:rPr>
          <w:lang w:val="fr-CH"/>
        </w:rPr>
        <w:t>L'Assemblée des radiocommunications de l'UIT,</w:t>
      </w:r>
    </w:p>
    <w:p w14:paraId="4B9A9734" w14:textId="77777777" w:rsidR="00301285" w:rsidRPr="00301285" w:rsidRDefault="00301285" w:rsidP="00301285">
      <w:pPr>
        <w:pStyle w:val="Call"/>
        <w:rPr>
          <w:lang w:val="fr-CH"/>
        </w:rPr>
      </w:pPr>
      <w:proofErr w:type="gramStart"/>
      <w:r w:rsidRPr="00301285">
        <w:rPr>
          <w:lang w:val="fr-CH"/>
        </w:rPr>
        <w:t>considérant</w:t>
      </w:r>
      <w:proofErr w:type="gramEnd"/>
    </w:p>
    <w:p w14:paraId="04A7843B" w14:textId="77777777" w:rsidR="00301285" w:rsidRPr="00301285" w:rsidRDefault="00301285" w:rsidP="00301285">
      <w:pPr>
        <w:rPr>
          <w:lang w:val="fr-CH" w:eastAsia="ko-KR"/>
        </w:rPr>
      </w:pPr>
      <w:r w:rsidRPr="00301285">
        <w:rPr>
          <w:rFonts w:eastAsia="MS Mincho"/>
          <w:i/>
          <w:iCs/>
          <w:lang w:val="fr-CH" w:eastAsia="ja-JP"/>
        </w:rPr>
        <w:t>a)</w:t>
      </w:r>
      <w:r w:rsidRPr="00301285">
        <w:rPr>
          <w:rFonts w:eastAsia="MS Mincho"/>
          <w:i/>
          <w:iCs/>
          <w:lang w:val="fr-CH" w:eastAsia="ja-JP"/>
        </w:rPr>
        <w:tab/>
      </w:r>
      <w:r w:rsidRPr="00301285">
        <w:rPr>
          <w:rFonts w:eastAsia="MS Mincho"/>
          <w:lang w:val="fr-CH" w:eastAsia="ja-JP"/>
        </w:rPr>
        <w:t xml:space="preserve">que la transmission d'énergie sans fil (WPT) </w:t>
      </w:r>
      <w:r w:rsidRPr="00301285">
        <w:rPr>
          <w:lang w:val="fr-CH" w:eastAsia="ko-KR"/>
        </w:rPr>
        <w:t xml:space="preserve">est définie comme étant la transmission sans fil d'énergie entre une source d'énergie et une charge électrique utilisant un champ </w:t>
      </w:r>
      <w:proofErr w:type="gramStart"/>
      <w:r w:rsidRPr="00301285">
        <w:rPr>
          <w:lang w:val="fr-CH" w:eastAsia="ko-KR"/>
        </w:rPr>
        <w:t>électromagnétique;</w:t>
      </w:r>
      <w:proofErr w:type="gramEnd"/>
    </w:p>
    <w:p w14:paraId="298872D9" w14:textId="77777777" w:rsidR="00301285" w:rsidRPr="00301285" w:rsidRDefault="00301285" w:rsidP="00301285">
      <w:pPr>
        <w:rPr>
          <w:lang w:val="fr-CH"/>
        </w:rPr>
      </w:pPr>
      <w:r w:rsidRPr="00301285">
        <w:rPr>
          <w:i/>
          <w:iCs/>
          <w:lang w:val="fr-CH" w:eastAsia="ko-KR"/>
        </w:rPr>
        <w:t>b)</w:t>
      </w:r>
      <w:r w:rsidRPr="00301285">
        <w:rPr>
          <w:i/>
          <w:iCs/>
          <w:lang w:val="fr-CH" w:eastAsia="ko-KR"/>
        </w:rPr>
        <w:tab/>
      </w:r>
      <w:r w:rsidRPr="00301285">
        <w:rPr>
          <w:lang w:val="fr-CH" w:eastAsia="zh-CN"/>
        </w:rPr>
        <w:t>que les techniques WPT utilisent divers mécanismes, par exemple</w:t>
      </w:r>
      <w:r w:rsidRPr="00301285">
        <w:rPr>
          <w:color w:val="000000"/>
          <w:lang w:val="fr-CH"/>
        </w:rPr>
        <w:t xml:space="preserve"> la transmission par rayonnement radiofréquence en champ lointain (WPT par faisceau) et </w:t>
      </w:r>
      <w:r w:rsidRPr="00301285">
        <w:rPr>
          <w:lang w:val="fr-CH" w:eastAsia="zh-CN"/>
        </w:rPr>
        <w:t>le</w:t>
      </w:r>
      <w:r w:rsidRPr="00301285">
        <w:rPr>
          <w:color w:val="000000"/>
          <w:lang w:val="fr-CH"/>
        </w:rPr>
        <w:t xml:space="preserve"> couplage par induction, le couplage par résonance et le couplage capacitif en champ proche</w:t>
      </w:r>
      <w:r w:rsidRPr="00301285">
        <w:rPr>
          <w:lang w:val="fr-CH"/>
        </w:rPr>
        <w:t xml:space="preserve"> (</w:t>
      </w:r>
      <w:r w:rsidRPr="00301285">
        <w:rPr>
          <w:color w:val="000000"/>
          <w:lang w:val="fr-CH"/>
        </w:rPr>
        <w:t>transmission WPT n'utilisant pas de faisceau</w:t>
      </w:r>
      <w:proofErr w:type="gramStart"/>
      <w:r w:rsidRPr="00301285">
        <w:rPr>
          <w:color w:val="000000"/>
          <w:lang w:val="fr-CH"/>
        </w:rPr>
        <w:t>)</w:t>
      </w:r>
      <w:r w:rsidRPr="00301285">
        <w:rPr>
          <w:lang w:val="fr-CH"/>
        </w:rPr>
        <w:t>;</w:t>
      </w:r>
      <w:proofErr w:type="gramEnd"/>
    </w:p>
    <w:p w14:paraId="72AAB723" w14:textId="77777777" w:rsidR="00301285" w:rsidRPr="00301285" w:rsidRDefault="00301285" w:rsidP="00301285">
      <w:pPr>
        <w:rPr>
          <w:lang w:val="fr-CH"/>
        </w:rPr>
      </w:pPr>
      <w:r w:rsidRPr="00301285">
        <w:rPr>
          <w:i/>
          <w:iCs/>
          <w:lang w:val="fr-CH"/>
        </w:rPr>
        <w:t>c)</w:t>
      </w:r>
      <w:r w:rsidRPr="00301285">
        <w:rPr>
          <w:i/>
          <w:iCs/>
          <w:lang w:val="fr-CH"/>
        </w:rPr>
        <w:tab/>
      </w:r>
      <w:r w:rsidRPr="00301285">
        <w:rPr>
          <w:lang w:val="fr-CH"/>
        </w:rPr>
        <w:t xml:space="preserve">que les techniques WPT sont envisagées pour certaines applications, telles que la recharge de </w:t>
      </w:r>
      <w:r w:rsidRPr="00301285">
        <w:rPr>
          <w:color w:val="000000"/>
          <w:lang w:val="fr-CH"/>
        </w:rPr>
        <w:t xml:space="preserve">véhicules </w:t>
      </w:r>
      <w:proofErr w:type="gramStart"/>
      <w:r w:rsidRPr="00301285">
        <w:rPr>
          <w:color w:val="000000"/>
          <w:lang w:val="fr-CH"/>
        </w:rPr>
        <w:t>électriques</w:t>
      </w:r>
      <w:r w:rsidRPr="00301285">
        <w:rPr>
          <w:lang w:val="fr-CH"/>
        </w:rPr>
        <w:t>;</w:t>
      </w:r>
      <w:proofErr w:type="gramEnd"/>
    </w:p>
    <w:p w14:paraId="1A409E6C" w14:textId="77777777" w:rsidR="00301285" w:rsidRPr="00301285" w:rsidRDefault="00301285" w:rsidP="00301285">
      <w:pPr>
        <w:rPr>
          <w:lang w:val="fr-CH"/>
        </w:rPr>
      </w:pPr>
      <w:r w:rsidRPr="00301285">
        <w:rPr>
          <w:i/>
          <w:lang w:val="fr-CH"/>
        </w:rPr>
        <w:t>d)</w:t>
      </w:r>
      <w:r w:rsidRPr="00301285">
        <w:rPr>
          <w:i/>
          <w:lang w:val="fr-CH"/>
        </w:rPr>
        <w:tab/>
      </w:r>
      <w:r w:rsidRPr="00301285">
        <w:rPr>
          <w:lang w:val="fr-CH"/>
        </w:rPr>
        <w:t xml:space="preserve">qu'à l'heure actuelle, des normes et des réglementations relatives à la transmission WPT sont élaborées aux niveaux national, régional et </w:t>
      </w:r>
      <w:proofErr w:type="gramStart"/>
      <w:r w:rsidRPr="00301285">
        <w:rPr>
          <w:lang w:val="fr-CH"/>
        </w:rPr>
        <w:t>international;</w:t>
      </w:r>
      <w:proofErr w:type="gramEnd"/>
    </w:p>
    <w:p w14:paraId="3C0A4D82" w14:textId="77777777" w:rsidR="00301285" w:rsidRPr="00301285" w:rsidRDefault="00301285" w:rsidP="00301285">
      <w:pPr>
        <w:rPr>
          <w:lang w:val="fr-CH" w:eastAsia="ja-JP"/>
        </w:rPr>
      </w:pPr>
      <w:r w:rsidRPr="00301285">
        <w:rPr>
          <w:i/>
          <w:iCs/>
          <w:lang w:val="fr-CH"/>
        </w:rPr>
        <w:t>e)</w:t>
      </w:r>
      <w:r w:rsidRPr="00301285">
        <w:rPr>
          <w:lang w:val="fr-CH"/>
        </w:rPr>
        <w:tab/>
        <w:t xml:space="preserve">que des alliances industrielles, des consortiums et des établissements universitaires ont étudié plusieurs bandes de fréquences fondamentales pour les technologies WPT, notamment les bandes </w:t>
      </w:r>
      <w:r w:rsidRPr="00301285">
        <w:rPr>
          <w:lang w:val="fr-CH" w:eastAsia="ko-KR"/>
        </w:rPr>
        <w:t>19</w:t>
      </w:r>
      <w:r w:rsidRPr="00301285">
        <w:rPr>
          <w:lang w:val="fr-CH" w:eastAsia="ko-KR"/>
        </w:rPr>
        <w:noBreakHyphen/>
        <w:t xml:space="preserve">21 kHz et 79-90 kHz </w:t>
      </w:r>
      <w:r w:rsidRPr="00301285">
        <w:rPr>
          <w:lang w:val="fr-CH" w:eastAsia="ja-JP"/>
        </w:rPr>
        <w:t xml:space="preserve">pour les véhicules </w:t>
      </w:r>
      <w:proofErr w:type="gramStart"/>
      <w:r w:rsidRPr="00301285">
        <w:rPr>
          <w:lang w:val="fr-CH" w:eastAsia="ja-JP"/>
        </w:rPr>
        <w:t>électriques;</w:t>
      </w:r>
      <w:proofErr w:type="gramEnd"/>
    </w:p>
    <w:p w14:paraId="724C3782" w14:textId="77777777" w:rsidR="00301285" w:rsidRPr="00301285" w:rsidRDefault="00301285" w:rsidP="00301285">
      <w:pPr>
        <w:rPr>
          <w:rFonts w:eastAsia="MS Mincho"/>
          <w:lang w:val="fr-CH" w:eastAsia="ja-JP"/>
        </w:rPr>
      </w:pPr>
      <w:bookmarkStart w:id="24" w:name="lt_pId102"/>
      <w:r w:rsidRPr="00301285">
        <w:rPr>
          <w:i/>
          <w:iCs/>
          <w:lang w:val="fr-CH"/>
        </w:rPr>
        <w:t>f)</w:t>
      </w:r>
      <w:r w:rsidRPr="00301285">
        <w:rPr>
          <w:lang w:val="fr-CH"/>
        </w:rPr>
        <w:tab/>
        <w:t>que des études ont été menées sur les incidences de la transmission WPT n'utilisant pas de faisceau et sont reproduites dans le Rapport UIT-R SM.</w:t>
      </w:r>
      <w:proofErr w:type="gramStart"/>
      <w:r w:rsidRPr="00301285">
        <w:rPr>
          <w:lang w:val="fr-CH"/>
        </w:rPr>
        <w:t>2451;</w:t>
      </w:r>
      <w:bookmarkEnd w:id="24"/>
      <w:proofErr w:type="gramEnd"/>
    </w:p>
    <w:p w14:paraId="70FA7AC6" w14:textId="77777777" w:rsidR="00301285" w:rsidRPr="00301285" w:rsidRDefault="00301285" w:rsidP="00301285">
      <w:pPr>
        <w:rPr>
          <w:rFonts w:eastAsia="MS Mincho"/>
          <w:lang w:val="fr-CH" w:eastAsia="ja-JP"/>
        </w:rPr>
      </w:pPr>
      <w:r w:rsidRPr="00301285">
        <w:rPr>
          <w:rFonts w:eastAsia="MS Mincho"/>
          <w:i/>
          <w:iCs/>
          <w:lang w:val="fr-CH" w:eastAsia="ja-JP"/>
        </w:rPr>
        <w:t>g)</w:t>
      </w:r>
      <w:r w:rsidRPr="00301285">
        <w:rPr>
          <w:rFonts w:eastAsia="MS Mincho"/>
          <w:i/>
          <w:iCs/>
          <w:lang w:val="fr-CH" w:eastAsia="ja-JP"/>
        </w:rPr>
        <w:tab/>
      </w:r>
      <w:r w:rsidRPr="00301285">
        <w:rPr>
          <w:rFonts w:eastAsia="MS Mincho"/>
          <w:lang w:val="fr-CH" w:eastAsia="ja-JP"/>
        </w:rPr>
        <w:t xml:space="preserve">qu'aux fins des études sur la transmission WPT, le service de radioastronomie doit être considéré comme un service de </w:t>
      </w:r>
      <w:proofErr w:type="gramStart"/>
      <w:r w:rsidRPr="00301285">
        <w:rPr>
          <w:rFonts w:eastAsia="MS Mincho"/>
          <w:lang w:val="fr-CH" w:eastAsia="ja-JP"/>
        </w:rPr>
        <w:t>radiocommunication;</w:t>
      </w:r>
      <w:proofErr w:type="gramEnd"/>
    </w:p>
    <w:p w14:paraId="5444E435" w14:textId="77777777" w:rsidR="00301285" w:rsidRPr="00301285" w:rsidRDefault="00301285" w:rsidP="00301285">
      <w:pPr>
        <w:rPr>
          <w:lang w:val="fr-CH"/>
        </w:rPr>
      </w:pPr>
      <w:r w:rsidRPr="00301285">
        <w:rPr>
          <w:rFonts w:eastAsia="MS Mincho"/>
          <w:i/>
          <w:iCs/>
          <w:lang w:val="fr-CH" w:eastAsia="ja-JP"/>
        </w:rPr>
        <w:t>h)</w:t>
      </w:r>
      <w:r w:rsidRPr="00301285">
        <w:rPr>
          <w:rFonts w:eastAsia="MS Mincho"/>
          <w:lang w:val="fr-CH" w:eastAsia="ja-JP"/>
        </w:rPr>
        <w:tab/>
        <w:t xml:space="preserve">que, compte tenu de la multiplication du nombre de dispositifs </w:t>
      </w:r>
      <w:r w:rsidRPr="00301285">
        <w:rPr>
          <w:lang w:val="fr-CH"/>
        </w:rPr>
        <w:t xml:space="preserve">WPT dans le monde, </w:t>
      </w:r>
      <w:r w:rsidRPr="00301285">
        <w:rPr>
          <w:lang w:val="fr-CH" w:eastAsia="ko-KR"/>
        </w:rPr>
        <w:t>le recours aux</w:t>
      </w:r>
      <w:r w:rsidRPr="00301285">
        <w:rPr>
          <w:lang w:val="fr-CH"/>
        </w:rPr>
        <w:t xml:space="preserve"> techniques WPT </w:t>
      </w:r>
      <w:proofErr w:type="gramStart"/>
      <w:r w:rsidRPr="00301285">
        <w:rPr>
          <w:lang w:val="fr-CH"/>
        </w:rPr>
        <w:t>aura</w:t>
      </w:r>
      <w:proofErr w:type="gramEnd"/>
      <w:r w:rsidRPr="00301285">
        <w:rPr>
          <w:lang w:val="fr-CH"/>
        </w:rPr>
        <w:t xml:space="preserve"> peut-être des conséquences pour les services de radiocommunication, notamment le </w:t>
      </w:r>
      <w:r w:rsidRPr="00301285">
        <w:rPr>
          <w:color w:val="000000"/>
          <w:lang w:val="fr-CH"/>
        </w:rPr>
        <w:t>service des fréquences étalon et des signaux horaires</w:t>
      </w:r>
      <w:r w:rsidRPr="00301285">
        <w:rPr>
          <w:lang w:val="fr-CH"/>
        </w:rPr>
        <w:t xml:space="preserve"> et le service de radioastronomie, et les transmissions WPT ne doivent pas causer de brouillages préjudiciables aux services de </w:t>
      </w:r>
      <w:proofErr w:type="gramStart"/>
      <w:r w:rsidRPr="00301285">
        <w:rPr>
          <w:lang w:val="fr-CH"/>
        </w:rPr>
        <w:t>radiocommunication;</w:t>
      </w:r>
      <w:proofErr w:type="gramEnd"/>
    </w:p>
    <w:p w14:paraId="71F39CD8" w14:textId="77777777" w:rsidR="00301285" w:rsidRPr="00301285" w:rsidRDefault="00301285" w:rsidP="00301285">
      <w:pPr>
        <w:rPr>
          <w:lang w:val="fr-CH"/>
        </w:rPr>
      </w:pPr>
      <w:r w:rsidRPr="00301285">
        <w:rPr>
          <w:i/>
          <w:iCs/>
          <w:lang w:val="fr-CH" w:eastAsia="zh-CN"/>
        </w:rPr>
        <w:t>i)</w:t>
      </w:r>
      <w:r w:rsidRPr="00301285">
        <w:rPr>
          <w:i/>
          <w:iCs/>
          <w:lang w:val="fr-CH" w:eastAsia="zh-CN"/>
        </w:rPr>
        <w:tab/>
      </w:r>
      <w:r w:rsidRPr="00301285">
        <w:rPr>
          <w:lang w:val="fr-CH" w:eastAsia="zh-CN"/>
        </w:rPr>
        <w:t xml:space="preserve">que, </w:t>
      </w:r>
      <w:r w:rsidRPr="00301285">
        <w:rPr>
          <w:color w:val="000000"/>
          <w:lang w:val="fr-CH"/>
        </w:rPr>
        <w:t xml:space="preserve">pour atténuer les incidences des dispositifs </w:t>
      </w:r>
      <w:r w:rsidRPr="00301285">
        <w:rPr>
          <w:lang w:val="fr-CH"/>
        </w:rPr>
        <w:t xml:space="preserve">WPT </w:t>
      </w:r>
      <w:r w:rsidRPr="00301285">
        <w:rPr>
          <w:color w:val="000000"/>
          <w:lang w:val="fr-CH"/>
        </w:rPr>
        <w:t xml:space="preserve">sur l'exploitation des services de radiocommunication, </w:t>
      </w:r>
      <w:r w:rsidRPr="00301285">
        <w:rPr>
          <w:lang w:val="fr-CH" w:eastAsia="zh-CN"/>
        </w:rPr>
        <w:t>certaines solutions utilisent les bandes</w:t>
      </w:r>
      <w:r w:rsidRPr="00301285">
        <w:rPr>
          <w:color w:val="000000"/>
          <w:lang w:val="fr-CH"/>
        </w:rPr>
        <w:t xml:space="preserve"> de fréquences qui sont déjà désignées pour les applications industrielles, scientifiques et médicales (ISM)</w:t>
      </w:r>
      <w:r w:rsidRPr="00301285">
        <w:rPr>
          <w:lang w:val="fr-CH"/>
        </w:rPr>
        <w:t>,</w:t>
      </w:r>
    </w:p>
    <w:p w14:paraId="29D4F146" w14:textId="77777777" w:rsidR="00301285" w:rsidRPr="00C4267C" w:rsidRDefault="00301285" w:rsidP="00301285">
      <w:pPr>
        <w:pStyle w:val="call0"/>
        <w:rPr>
          <w:rFonts w:eastAsia="MS Mincho"/>
          <w:lang w:eastAsia="ja-JP"/>
        </w:rPr>
      </w:pPr>
      <w:proofErr w:type="gramStart"/>
      <w:r w:rsidRPr="00C4267C">
        <w:rPr>
          <w:rFonts w:eastAsia="MS Mincho"/>
          <w:lang w:eastAsia="ja-JP"/>
        </w:rPr>
        <w:t>reconnaissant</w:t>
      </w:r>
      <w:proofErr w:type="gramEnd"/>
    </w:p>
    <w:p w14:paraId="6938C5FF" w14:textId="77777777" w:rsidR="00301285" w:rsidRPr="00301285" w:rsidRDefault="00301285" w:rsidP="00301285">
      <w:pPr>
        <w:rPr>
          <w:rFonts w:eastAsia="MS Mincho"/>
          <w:lang w:val="fr-CH" w:eastAsia="ja-JP"/>
        </w:rPr>
      </w:pPr>
      <w:bookmarkStart w:id="25" w:name="lt_pId113"/>
      <w:r w:rsidRPr="00301285">
        <w:rPr>
          <w:rFonts w:eastAsia="MS Mincho"/>
          <w:i/>
          <w:iCs/>
          <w:lang w:val="fr-CH" w:eastAsia="ja-JP"/>
        </w:rPr>
        <w:t>a)</w:t>
      </w:r>
      <w:r w:rsidRPr="00301285">
        <w:rPr>
          <w:rFonts w:eastAsia="MS Mincho"/>
          <w:lang w:val="fr-CH" w:eastAsia="ja-JP"/>
        </w:rPr>
        <w:tab/>
      </w:r>
      <w:r w:rsidRPr="00301285">
        <w:rPr>
          <w:lang w:val="fr-CH" w:eastAsia="zh-CN"/>
        </w:rPr>
        <w:t xml:space="preserve">que la transmission WPT ne constitue pas un service de radiocommunication et n'a aucun statut dans le Règlement des radiocommunications (RR), mais peut être considérée comme assujettie aux numéros </w:t>
      </w:r>
      <w:r w:rsidRPr="00301285">
        <w:rPr>
          <w:b/>
          <w:bCs/>
          <w:lang w:val="fr-CH" w:eastAsia="zh-CN"/>
        </w:rPr>
        <w:t>15.12</w:t>
      </w:r>
      <w:r w:rsidRPr="00301285">
        <w:rPr>
          <w:lang w:val="fr-CH" w:eastAsia="zh-CN"/>
        </w:rPr>
        <w:t xml:space="preserve"> ou </w:t>
      </w:r>
      <w:r w:rsidRPr="00301285">
        <w:rPr>
          <w:b/>
          <w:bCs/>
          <w:lang w:val="fr-CH" w:eastAsia="zh-CN"/>
        </w:rPr>
        <w:t>15.13</w:t>
      </w:r>
      <w:r w:rsidRPr="00301285">
        <w:rPr>
          <w:lang w:val="fr-CH" w:eastAsia="zh-CN"/>
        </w:rPr>
        <w:t xml:space="preserve"> du </w:t>
      </w:r>
      <w:proofErr w:type="gramStart"/>
      <w:r w:rsidRPr="00301285">
        <w:rPr>
          <w:lang w:val="fr-CH" w:eastAsia="zh-CN"/>
        </w:rPr>
        <w:t>RR;</w:t>
      </w:r>
      <w:proofErr w:type="gramEnd"/>
    </w:p>
    <w:p w14:paraId="4210B0FC" w14:textId="77777777" w:rsidR="00301285" w:rsidRPr="00301285" w:rsidRDefault="00301285" w:rsidP="00301285">
      <w:pPr>
        <w:rPr>
          <w:rFonts w:eastAsia="MS Mincho"/>
          <w:lang w:val="fr-CH" w:eastAsia="ja-JP"/>
        </w:rPr>
      </w:pPr>
      <w:r w:rsidRPr="00301285">
        <w:rPr>
          <w:i/>
          <w:iCs/>
          <w:lang w:val="fr-CH" w:eastAsia="zh-CN"/>
        </w:rPr>
        <w:lastRenderedPageBreak/>
        <w:t>b)</w:t>
      </w:r>
      <w:r w:rsidRPr="00301285">
        <w:rPr>
          <w:i/>
          <w:iCs/>
          <w:lang w:val="fr-CH" w:eastAsia="zh-CN"/>
        </w:rPr>
        <w:tab/>
      </w:r>
      <w:r w:rsidRPr="00301285">
        <w:rPr>
          <w:lang w:val="fr-CH" w:eastAsia="zh-CN"/>
        </w:rPr>
        <w:t xml:space="preserve">que les critères de protection des divers services de radiocommunication contre les brouillages préjudiciables sont spécifiés dans les Recommandations UIT-R </w:t>
      </w:r>
      <w:proofErr w:type="gramStart"/>
      <w:r w:rsidRPr="00301285">
        <w:rPr>
          <w:lang w:val="fr-CH" w:eastAsia="zh-CN"/>
        </w:rPr>
        <w:t>existantes;</w:t>
      </w:r>
      <w:bookmarkEnd w:id="25"/>
      <w:proofErr w:type="gramEnd"/>
    </w:p>
    <w:p w14:paraId="15629C3A" w14:textId="77777777" w:rsidR="00301285" w:rsidRPr="00301285" w:rsidRDefault="00301285" w:rsidP="00301285">
      <w:pPr>
        <w:rPr>
          <w:lang w:val="fr-CH" w:eastAsia="zh-CN"/>
        </w:rPr>
      </w:pPr>
      <w:r w:rsidRPr="00301285">
        <w:rPr>
          <w:i/>
          <w:iCs/>
          <w:lang w:val="fr-CH" w:eastAsia="ja-JP"/>
        </w:rPr>
        <w:t>c)</w:t>
      </w:r>
      <w:r w:rsidRPr="00301285">
        <w:rPr>
          <w:i/>
          <w:iCs/>
          <w:lang w:val="fr-CH" w:eastAsia="ja-JP"/>
        </w:rPr>
        <w:tab/>
      </w:r>
      <w:r w:rsidRPr="00301285">
        <w:rPr>
          <w:lang w:val="fr-CH" w:eastAsia="ja-JP"/>
        </w:rPr>
        <w:t>que les consommateurs et les fabricants pourront tirer parti de gammes de fréquences et de conditions techniques harmonisées pour les techniques</w:t>
      </w:r>
      <w:r w:rsidRPr="00301285">
        <w:rPr>
          <w:lang w:val="fr-CH" w:eastAsia="zh-CN"/>
        </w:rPr>
        <w:t xml:space="preserve"> </w:t>
      </w:r>
      <w:proofErr w:type="gramStart"/>
      <w:r w:rsidRPr="00301285">
        <w:rPr>
          <w:lang w:val="fr-CH"/>
        </w:rPr>
        <w:t>WPT</w:t>
      </w:r>
      <w:r w:rsidRPr="00301285">
        <w:rPr>
          <w:lang w:val="fr-CH" w:eastAsia="zh-CN"/>
        </w:rPr>
        <w:t>;</w:t>
      </w:r>
      <w:proofErr w:type="gramEnd"/>
    </w:p>
    <w:p w14:paraId="03100709" w14:textId="77777777" w:rsidR="00301285" w:rsidRPr="00301285" w:rsidRDefault="00301285" w:rsidP="00301285">
      <w:pPr>
        <w:rPr>
          <w:lang w:val="fr-CH" w:eastAsia="ko-KR"/>
        </w:rPr>
      </w:pPr>
      <w:r w:rsidRPr="00301285">
        <w:rPr>
          <w:i/>
          <w:iCs/>
          <w:lang w:val="fr-CH" w:eastAsia="zh-CN"/>
        </w:rPr>
        <w:t>d)</w:t>
      </w:r>
      <w:r w:rsidRPr="00301285">
        <w:rPr>
          <w:i/>
          <w:iCs/>
          <w:lang w:val="fr-CH" w:eastAsia="zh-CN"/>
        </w:rPr>
        <w:tab/>
      </w:r>
      <w:r w:rsidRPr="00301285">
        <w:rPr>
          <w:lang w:val="fr-CH" w:eastAsia="ko-KR"/>
        </w:rPr>
        <w:t>que certaines administrations considèrent le</w:t>
      </w:r>
      <w:r w:rsidRPr="00301285">
        <w:rPr>
          <w:lang w:val="fr-CH"/>
        </w:rPr>
        <w:t xml:space="preserve"> </w:t>
      </w:r>
      <w:r w:rsidRPr="00301285">
        <w:rPr>
          <w:lang w:val="fr-CH" w:eastAsia="ko-KR"/>
        </w:rPr>
        <w:t xml:space="preserve">transfert d'énergie WPT n'utilisant pas de faisceau comme une application ISM, y compris pour l'exploitation en dehors des bandes désignées pour les utilisations </w:t>
      </w:r>
      <w:proofErr w:type="gramStart"/>
      <w:r w:rsidRPr="00301285">
        <w:rPr>
          <w:lang w:val="fr-CH" w:eastAsia="ko-KR"/>
        </w:rPr>
        <w:t>ISM;</w:t>
      </w:r>
      <w:proofErr w:type="gramEnd"/>
    </w:p>
    <w:p w14:paraId="18EA8CF5" w14:textId="77777777" w:rsidR="00301285" w:rsidRPr="00301285" w:rsidRDefault="00301285" w:rsidP="00301285">
      <w:pPr>
        <w:rPr>
          <w:i/>
          <w:iCs/>
          <w:lang w:val="fr-CH" w:eastAsia="ko-KR"/>
        </w:rPr>
      </w:pPr>
      <w:r w:rsidRPr="00301285">
        <w:rPr>
          <w:i/>
          <w:iCs/>
          <w:lang w:val="fr-CH" w:eastAsia="ko-KR"/>
        </w:rPr>
        <w:t>e</w:t>
      </w:r>
      <w:r w:rsidRPr="00301285">
        <w:rPr>
          <w:i/>
          <w:lang w:val="fr-CH" w:eastAsia="ko-KR"/>
        </w:rPr>
        <w:t>)</w:t>
      </w:r>
      <w:r w:rsidRPr="00301285">
        <w:rPr>
          <w:lang w:val="fr-CH" w:eastAsia="ko-KR"/>
        </w:rPr>
        <w:tab/>
        <w:t>que certaines administrations considèrent les systèmes WPT n'utilisant pas de faisceau comme une application de radiocommunication, au même titre que les dispositifs de radiocommunication à courte portée (SRD</w:t>
      </w:r>
      <w:proofErr w:type="gramStart"/>
      <w:r w:rsidRPr="00301285">
        <w:rPr>
          <w:lang w:val="fr-CH" w:eastAsia="ko-KR"/>
        </w:rPr>
        <w:t>);</w:t>
      </w:r>
      <w:proofErr w:type="gramEnd"/>
    </w:p>
    <w:p w14:paraId="792E5EAE" w14:textId="77777777" w:rsidR="00301285" w:rsidRPr="00301285" w:rsidRDefault="00301285" w:rsidP="00301285">
      <w:pPr>
        <w:rPr>
          <w:lang w:val="fr-CH" w:eastAsia="ko-KR"/>
        </w:rPr>
      </w:pPr>
      <w:r w:rsidRPr="00301285">
        <w:rPr>
          <w:i/>
          <w:iCs/>
          <w:lang w:val="fr-CH" w:eastAsia="ko-KR"/>
        </w:rPr>
        <w:t>f)</w:t>
      </w:r>
      <w:r w:rsidRPr="00301285">
        <w:rPr>
          <w:i/>
          <w:iCs/>
          <w:lang w:val="fr-CH" w:eastAsia="ko-KR"/>
        </w:rPr>
        <w:tab/>
      </w:r>
      <w:r w:rsidRPr="00301285">
        <w:rPr>
          <w:iCs/>
          <w:lang w:val="fr-CH" w:eastAsia="ko-KR"/>
        </w:rPr>
        <w:t>que certaines bandes</w:t>
      </w:r>
      <w:r w:rsidRPr="00301285">
        <w:rPr>
          <w:color w:val="000000"/>
          <w:lang w:val="fr-CH"/>
        </w:rPr>
        <w:t xml:space="preserve"> autres que les bandes ISM</w:t>
      </w:r>
      <w:r w:rsidRPr="00301285">
        <w:rPr>
          <w:lang w:val="fr-CH" w:eastAsia="ko-KR"/>
        </w:rPr>
        <w:t xml:space="preserve"> sont prises en considération pour l'utilisation harmonisée au niveau mondial ou régional d'applications </w:t>
      </w:r>
      <w:r w:rsidRPr="00301285">
        <w:rPr>
          <w:lang w:val="fr-CH"/>
        </w:rPr>
        <w:t xml:space="preserve">WPT </w:t>
      </w:r>
      <w:proofErr w:type="gramStart"/>
      <w:r w:rsidRPr="00301285">
        <w:rPr>
          <w:lang w:val="fr-CH"/>
        </w:rPr>
        <w:t>spécifiques</w:t>
      </w:r>
      <w:r w:rsidRPr="00301285">
        <w:rPr>
          <w:lang w:val="fr-CH" w:eastAsia="ko-KR"/>
        </w:rPr>
        <w:t>;</w:t>
      </w:r>
      <w:proofErr w:type="gramEnd"/>
    </w:p>
    <w:p w14:paraId="02F33B97" w14:textId="77777777" w:rsidR="00301285" w:rsidRPr="00301285" w:rsidRDefault="00301285" w:rsidP="00301285">
      <w:pPr>
        <w:rPr>
          <w:lang w:val="fr-CH" w:eastAsia="ko-KR"/>
        </w:rPr>
      </w:pPr>
      <w:r w:rsidRPr="00301285">
        <w:rPr>
          <w:i/>
          <w:iCs/>
          <w:lang w:val="fr-CH" w:eastAsia="ko-KR"/>
        </w:rPr>
        <w:t>g)</w:t>
      </w:r>
      <w:r w:rsidRPr="00301285">
        <w:rPr>
          <w:i/>
          <w:iCs/>
          <w:lang w:val="fr-CH" w:eastAsia="ko-KR"/>
        </w:rPr>
        <w:tab/>
      </w:r>
      <w:r w:rsidRPr="00301285">
        <w:rPr>
          <w:lang w:val="fr-CH" w:eastAsia="ko-KR"/>
        </w:rPr>
        <w:t xml:space="preserve">que le transfert d'énergie de systèmes WPT n'utilisant pas de faisceau et les communications de données peuvent être traités séparément, en particulier lorsque le dispositif de réception reçoit les communications de données à une fréquence différente de celle utilisée pour le transfert </w:t>
      </w:r>
      <w:proofErr w:type="gramStart"/>
      <w:r w:rsidRPr="00301285">
        <w:rPr>
          <w:lang w:val="fr-CH" w:eastAsia="ko-KR"/>
        </w:rPr>
        <w:t>d'énergie;</w:t>
      </w:r>
      <w:proofErr w:type="gramEnd"/>
    </w:p>
    <w:p w14:paraId="4841C56E" w14:textId="77777777" w:rsidR="00301285" w:rsidRPr="00301285" w:rsidRDefault="00301285" w:rsidP="00301285">
      <w:pPr>
        <w:rPr>
          <w:lang w:val="fr-CH"/>
        </w:rPr>
      </w:pPr>
      <w:r w:rsidRPr="00301285">
        <w:rPr>
          <w:i/>
          <w:iCs/>
          <w:lang w:val="fr-CH" w:eastAsia="ko-KR"/>
        </w:rPr>
        <w:t>h)</w:t>
      </w:r>
      <w:r w:rsidRPr="00301285">
        <w:rPr>
          <w:i/>
          <w:iCs/>
          <w:lang w:val="fr-CH" w:eastAsia="ko-KR"/>
        </w:rPr>
        <w:tab/>
      </w:r>
      <w:r w:rsidRPr="00301285">
        <w:rPr>
          <w:lang w:val="fr-CH" w:eastAsia="ko-KR"/>
        </w:rPr>
        <w:t xml:space="preserve">qu'en l'absence de charge, le système </w:t>
      </w:r>
      <w:r w:rsidRPr="00301285">
        <w:rPr>
          <w:lang w:val="fr-CH"/>
        </w:rPr>
        <w:t>WPT-EV</w:t>
      </w:r>
      <w:r w:rsidRPr="00301285">
        <w:rPr>
          <w:lang w:val="fr-CH" w:eastAsia="ko-KR"/>
        </w:rPr>
        <w:t xml:space="preserve"> s'arrête et n'émet </w:t>
      </w:r>
      <w:proofErr w:type="gramStart"/>
      <w:r w:rsidRPr="00301285">
        <w:rPr>
          <w:lang w:val="fr-CH" w:eastAsia="ko-KR"/>
        </w:rPr>
        <w:t>pas</w:t>
      </w:r>
      <w:r w:rsidRPr="00301285">
        <w:rPr>
          <w:lang w:val="fr-CH"/>
        </w:rPr>
        <w:t>;</w:t>
      </w:r>
      <w:proofErr w:type="gramEnd"/>
    </w:p>
    <w:p w14:paraId="1E3FE1EF" w14:textId="77777777" w:rsidR="00301285" w:rsidRPr="00301285" w:rsidRDefault="00301285" w:rsidP="00301285">
      <w:pPr>
        <w:rPr>
          <w:lang w:val="fr-CH" w:eastAsia="ko-KR"/>
        </w:rPr>
      </w:pPr>
      <w:r w:rsidRPr="00301285">
        <w:rPr>
          <w:i/>
          <w:iCs/>
          <w:lang w:val="fr-CH"/>
        </w:rPr>
        <w:t>i)</w:t>
      </w:r>
      <w:r w:rsidRPr="00301285">
        <w:rPr>
          <w:lang w:val="fr-CH"/>
        </w:rPr>
        <w:tab/>
      </w:r>
      <w:r w:rsidRPr="00301285">
        <w:rPr>
          <w:lang w:val="fr-CH" w:eastAsia="ko-KR"/>
        </w:rPr>
        <w:t xml:space="preserve">que, dans le cas d'un système </w:t>
      </w:r>
      <w:r w:rsidRPr="00301285">
        <w:rPr>
          <w:lang w:val="fr-CH"/>
        </w:rPr>
        <w:t>WPT-EV n'utilisant pas de faisceau</w:t>
      </w:r>
      <w:r w:rsidRPr="00301285">
        <w:rPr>
          <w:lang w:val="fr-CH" w:eastAsia="ko-KR"/>
        </w:rPr>
        <w:t xml:space="preserve">, la puissance radioélectrique rayonnée externe au système WPT-EV est nettement inférieure à la puissance radioélectrique transférée au véhicule, l'essentiel de la puissance étant transféré dans le récepteur par le biais de mécanismes tels que le </w:t>
      </w:r>
      <w:r w:rsidRPr="00301285">
        <w:rPr>
          <w:color w:val="000000"/>
          <w:lang w:val="fr-CH"/>
        </w:rPr>
        <w:t>couplage capacitif</w:t>
      </w:r>
      <w:r w:rsidRPr="00301285">
        <w:rPr>
          <w:lang w:val="fr-CH" w:eastAsia="ko-KR"/>
        </w:rPr>
        <w:t xml:space="preserve">, le </w:t>
      </w:r>
      <w:r w:rsidRPr="00301285">
        <w:rPr>
          <w:color w:val="000000"/>
          <w:lang w:val="fr-CH"/>
        </w:rPr>
        <w:t xml:space="preserve">couplage par résonance </w:t>
      </w:r>
      <w:r w:rsidRPr="00301285">
        <w:rPr>
          <w:lang w:val="fr-CH" w:eastAsia="ko-KR"/>
        </w:rPr>
        <w:t xml:space="preserve">et le </w:t>
      </w:r>
      <w:r w:rsidRPr="00301285">
        <w:rPr>
          <w:color w:val="000000"/>
          <w:lang w:val="fr-CH"/>
        </w:rPr>
        <w:t xml:space="preserve">couplage par </w:t>
      </w:r>
      <w:proofErr w:type="gramStart"/>
      <w:r w:rsidRPr="00301285">
        <w:rPr>
          <w:color w:val="000000"/>
          <w:lang w:val="fr-CH"/>
        </w:rPr>
        <w:t>induction</w:t>
      </w:r>
      <w:r w:rsidRPr="00301285">
        <w:rPr>
          <w:lang w:val="fr-CH" w:eastAsia="ko-KR"/>
        </w:rPr>
        <w:t>;</w:t>
      </w:r>
      <w:proofErr w:type="gramEnd"/>
    </w:p>
    <w:p w14:paraId="13CB578F" w14:textId="77777777" w:rsidR="00301285" w:rsidRPr="00301285" w:rsidRDefault="00301285" w:rsidP="00301285">
      <w:pPr>
        <w:rPr>
          <w:lang w:val="fr-CH"/>
        </w:rPr>
      </w:pPr>
      <w:r w:rsidRPr="00301285">
        <w:rPr>
          <w:i/>
          <w:iCs/>
          <w:lang w:val="fr-CH"/>
        </w:rPr>
        <w:t>j)</w:t>
      </w:r>
      <w:r w:rsidRPr="00301285">
        <w:rPr>
          <w:lang w:val="fr-CH"/>
        </w:rPr>
        <w:tab/>
      </w:r>
      <w:r w:rsidRPr="00301285">
        <w:rPr>
          <w:lang w:val="fr-CH" w:eastAsia="ko-KR"/>
        </w:rPr>
        <w:t xml:space="preserve">que, dans la Recommandation </w:t>
      </w:r>
      <w:r w:rsidRPr="00301285">
        <w:rPr>
          <w:rFonts w:eastAsia="Calibri"/>
          <w:lang w:val="fr-CH"/>
        </w:rPr>
        <w:t xml:space="preserve">UIT-R SM.1056 </w:t>
      </w:r>
      <w:proofErr w:type="gramStart"/>
      <w:r w:rsidRPr="00301285">
        <w:rPr>
          <w:rFonts w:eastAsia="Calibri"/>
          <w:lang w:val="fr-CH"/>
        </w:rPr>
        <w:t>relative</w:t>
      </w:r>
      <w:proofErr w:type="gramEnd"/>
      <w:r w:rsidRPr="00301285">
        <w:rPr>
          <w:rFonts w:eastAsia="Calibri"/>
          <w:lang w:val="fr-CH"/>
        </w:rPr>
        <w:t xml:space="preserve"> à la </w:t>
      </w:r>
      <w:r w:rsidRPr="00301285">
        <w:rPr>
          <w:color w:val="000000"/>
          <w:lang w:val="fr-CH"/>
        </w:rPr>
        <w:t xml:space="preserve">limitation des rayonnements provenant des équipements ISM, il est recommandé aux administrations d'utiliser la dernière version en date de la norme 11 du </w:t>
      </w:r>
      <w:r w:rsidRPr="00301285">
        <w:rPr>
          <w:lang w:val="fr-CH"/>
        </w:rPr>
        <w:t>Comité international spécial des perturbations radioélectriques</w:t>
      </w:r>
      <w:r w:rsidRPr="00301285">
        <w:rPr>
          <w:color w:val="000000"/>
          <w:lang w:val="fr-CH"/>
        </w:rPr>
        <w:t xml:space="preserve"> (CISPR</w:t>
      </w:r>
      <w:r w:rsidRPr="00301285">
        <w:rPr>
          <w:lang w:val="fr-CH" w:eastAsia="ko-KR"/>
        </w:rPr>
        <w:t>)</w:t>
      </w:r>
      <w:r w:rsidRPr="00301285">
        <w:rPr>
          <w:rFonts w:eastAsia="Calibri"/>
          <w:lang w:val="fr-CH"/>
        </w:rPr>
        <w:t>, étant entendu que c</w:t>
      </w:r>
      <w:r w:rsidRPr="00301285">
        <w:rPr>
          <w:lang w:val="fr-CH" w:eastAsia="ko-KR"/>
        </w:rPr>
        <w:t>es limites</w:t>
      </w:r>
      <w:r w:rsidRPr="00301285">
        <w:rPr>
          <w:lang w:val="fr-CH"/>
        </w:rPr>
        <w:t xml:space="preserve"> </w:t>
      </w:r>
      <w:r w:rsidRPr="00301285">
        <w:rPr>
          <w:lang w:val="fr-CH" w:eastAsia="ko-KR"/>
        </w:rPr>
        <w:t>ne protègent pas nécessairement les services de radiocommunication,</w:t>
      </w:r>
    </w:p>
    <w:p w14:paraId="7AEAB23B" w14:textId="77777777" w:rsidR="00301285" w:rsidRPr="00C4267C" w:rsidRDefault="00301285" w:rsidP="00301285">
      <w:pPr>
        <w:pStyle w:val="call0"/>
      </w:pPr>
      <w:proofErr w:type="gramStart"/>
      <w:r w:rsidRPr="00C4267C">
        <w:t>notant</w:t>
      </w:r>
      <w:proofErr w:type="gramEnd"/>
    </w:p>
    <w:p w14:paraId="18C484DC" w14:textId="77777777" w:rsidR="00301285" w:rsidRPr="00301285" w:rsidRDefault="00301285" w:rsidP="00301285">
      <w:pPr>
        <w:rPr>
          <w:lang w:val="fr-CH" w:eastAsia="zh-CN"/>
        </w:rPr>
      </w:pPr>
      <w:r w:rsidRPr="00301285">
        <w:rPr>
          <w:i/>
          <w:iCs/>
          <w:lang w:val="fr-CH" w:eastAsia="zh-CN"/>
        </w:rPr>
        <w:t>a)</w:t>
      </w:r>
      <w:r w:rsidRPr="00301285">
        <w:rPr>
          <w:lang w:val="fr-CH" w:eastAsia="zh-CN"/>
        </w:rPr>
        <w:tab/>
        <w:t>que le Comité technique 69 de la Commission électrotechnique internationale (CEI) a publié la norme internationale CEI 61980-1 sur les exigences générales relatives aux systèmes de transfert d'énergie sans fil pour véhicules électriques,</w:t>
      </w:r>
      <w:r w:rsidRPr="00301285">
        <w:rPr>
          <w:lang w:val="fr-CH"/>
        </w:rPr>
        <w:t xml:space="preserve"> la norme CEI IS 61980-2 sur les exigences spécifiques en matière de communication entre un véhicule électrique routier et l'infrastructure; et la norme CEI IS 61980-3 sur les exigences spécifiques relatives aux systèmes de transport d'énergie sans fil par champ magnétique des systèmes WPT-EV</w:t>
      </w:r>
      <w:r w:rsidRPr="00301285">
        <w:rPr>
          <w:lang w:val="fr-CH" w:eastAsia="zh-CN"/>
        </w:rPr>
        <w:t>;</w:t>
      </w:r>
    </w:p>
    <w:p w14:paraId="4629B67A" w14:textId="77777777" w:rsidR="00301285" w:rsidRPr="00301285" w:rsidRDefault="00301285" w:rsidP="00301285">
      <w:pPr>
        <w:rPr>
          <w:lang w:val="fr-CH"/>
        </w:rPr>
      </w:pPr>
      <w:r w:rsidRPr="00301285">
        <w:rPr>
          <w:i/>
          <w:iCs/>
          <w:lang w:val="fr-CH" w:eastAsia="zh-CN"/>
        </w:rPr>
        <w:t>b)</w:t>
      </w:r>
      <w:r w:rsidRPr="00301285">
        <w:rPr>
          <w:lang w:val="fr-CH" w:eastAsia="zh-CN"/>
        </w:rPr>
        <w:tab/>
        <w:t xml:space="preserve">que le Sous-Comité ISO/TC22/SC37 de l'Organisation internationale de normalisation (ISO) a publié la Norme internationale ISO </w:t>
      </w:r>
      <w:r w:rsidRPr="00301285">
        <w:rPr>
          <w:lang w:val="fr-CH"/>
        </w:rPr>
        <w:t>5474-4, intitulée</w:t>
      </w:r>
      <w:proofErr w:type="gramStart"/>
      <w:r w:rsidRPr="00301285">
        <w:rPr>
          <w:lang w:val="fr-CH"/>
        </w:rPr>
        <w:t xml:space="preserve"> «Véhicules</w:t>
      </w:r>
      <w:proofErr w:type="gramEnd"/>
      <w:r w:rsidRPr="00301285">
        <w:rPr>
          <w:lang w:val="fr-CH"/>
        </w:rPr>
        <w:t xml:space="preserve"> routiers à propulsion électrique – Exigences fonctionnelles et exigences de sécurité pour le transfert de puissance entre le véhicule et le circuit électrique externe/Partie </w:t>
      </w:r>
      <w:proofErr w:type="gramStart"/>
      <w:r w:rsidRPr="00301285">
        <w:rPr>
          <w:lang w:val="fr-CH"/>
        </w:rPr>
        <w:t>4:</w:t>
      </w:r>
      <w:proofErr w:type="gramEnd"/>
      <w:r w:rsidRPr="00301285">
        <w:rPr>
          <w:lang w:val="fr-CH"/>
        </w:rPr>
        <w:t xml:space="preserve"> Transfert d'énergie sans fil par champ </w:t>
      </w:r>
      <w:proofErr w:type="gramStart"/>
      <w:r w:rsidRPr="00301285">
        <w:rPr>
          <w:lang w:val="fr-CH"/>
        </w:rPr>
        <w:t>magnétique»</w:t>
      </w:r>
      <w:proofErr w:type="gramEnd"/>
      <w:r w:rsidRPr="00301285">
        <w:rPr>
          <w:lang w:val="fr-CH"/>
        </w:rPr>
        <w:t>;</w:t>
      </w:r>
    </w:p>
    <w:p w14:paraId="494A35E5" w14:textId="77777777" w:rsidR="00301285" w:rsidRPr="00301285" w:rsidRDefault="00301285" w:rsidP="00301285">
      <w:pPr>
        <w:rPr>
          <w:spacing w:val="-2"/>
          <w:lang w:val="fr-CH"/>
        </w:rPr>
      </w:pPr>
      <w:r w:rsidRPr="00301285">
        <w:rPr>
          <w:i/>
          <w:iCs/>
          <w:lang w:val="fr-CH"/>
        </w:rPr>
        <w:t>c)</w:t>
      </w:r>
      <w:r w:rsidRPr="00301285">
        <w:rPr>
          <w:i/>
          <w:iCs/>
          <w:lang w:val="fr-CH"/>
        </w:rPr>
        <w:tab/>
      </w:r>
      <w:r w:rsidRPr="00301285">
        <w:rPr>
          <w:lang w:val="fr-CH"/>
        </w:rPr>
        <w:t xml:space="preserve">que la SAE International a publié la norme J2954 sur le transfert d'énergie sans fil pour les véhicules électriques/hybrides légers et la méthode d'alignement </w:t>
      </w:r>
      <w:proofErr w:type="gramStart"/>
      <w:r w:rsidRPr="00301285">
        <w:rPr>
          <w:lang w:val="fr-CH"/>
        </w:rPr>
        <w:t>correspondante;</w:t>
      </w:r>
      <w:proofErr w:type="gramEnd"/>
      <w:r w:rsidRPr="00301285">
        <w:rPr>
          <w:spacing w:val="-2"/>
          <w:lang w:val="fr-CH"/>
        </w:rPr>
        <w:t xml:space="preserve"> </w:t>
      </w:r>
    </w:p>
    <w:p w14:paraId="3F026849" w14:textId="77777777" w:rsidR="00301285" w:rsidRPr="00301285" w:rsidRDefault="00301285" w:rsidP="00301285">
      <w:pPr>
        <w:rPr>
          <w:lang w:val="fr-CH" w:eastAsia="zh-CN"/>
        </w:rPr>
      </w:pPr>
      <w:r w:rsidRPr="00301285">
        <w:rPr>
          <w:i/>
          <w:iCs/>
          <w:spacing w:val="-2"/>
          <w:szCs w:val="24"/>
          <w:lang w:val="fr-CH"/>
        </w:rPr>
        <w:t>d)</w:t>
      </w:r>
      <w:r w:rsidRPr="00301285">
        <w:rPr>
          <w:i/>
          <w:iCs/>
          <w:spacing w:val="-2"/>
          <w:szCs w:val="24"/>
          <w:lang w:val="fr-CH"/>
        </w:rPr>
        <w:tab/>
      </w:r>
      <w:r w:rsidRPr="00301285">
        <w:rPr>
          <w:lang w:val="fr-CH"/>
        </w:rPr>
        <w:t>que les problèmes d'exposition à des rayonnements non ionisants sont étudiés par des organisations internationales, telles que l'Organisation mondiale de la santé (OMS), la Commission internationale de protection contre les rayonnements non ionisants (CIPRNI) et l'</w:t>
      </w:r>
      <w:r w:rsidRPr="00301285">
        <w:rPr>
          <w:lang w:val="fr-CH" w:eastAsia="zh-CN"/>
        </w:rPr>
        <w:t>Institut d'ingénierie électrique et électronique (IEEE</w:t>
      </w:r>
      <w:proofErr w:type="gramStart"/>
      <w:r w:rsidRPr="00301285">
        <w:rPr>
          <w:lang w:val="fr-CH" w:eastAsia="zh-CN"/>
        </w:rPr>
        <w:t>);</w:t>
      </w:r>
      <w:proofErr w:type="gramEnd"/>
    </w:p>
    <w:p w14:paraId="5A67870B" w14:textId="77777777" w:rsidR="00301285" w:rsidRPr="00301285" w:rsidRDefault="00301285" w:rsidP="00301285">
      <w:pPr>
        <w:keepLines/>
        <w:rPr>
          <w:lang w:val="fr-CH"/>
        </w:rPr>
      </w:pPr>
      <w:r w:rsidRPr="00301285">
        <w:rPr>
          <w:i/>
          <w:iCs/>
          <w:lang w:val="fr-CH" w:eastAsia="zh-CN"/>
        </w:rPr>
        <w:lastRenderedPageBreak/>
        <w:t>e)</w:t>
      </w:r>
      <w:r w:rsidRPr="00301285">
        <w:rPr>
          <w:i/>
          <w:iCs/>
          <w:lang w:val="fr-CH" w:eastAsia="zh-CN"/>
        </w:rPr>
        <w:tab/>
      </w:r>
      <w:r w:rsidRPr="00301285">
        <w:rPr>
          <w:lang w:val="fr-CH" w:eastAsia="zh-CN"/>
        </w:rPr>
        <w:t>que les lignes directrices de la CIPRNI (2010) portent sur la limitation de l'exposition aux champs électriques, magnétiques et électromagnétiques variant dans le temps (1 Hz-100 kHz) et que la norme IEEE C95.1 définit une norme visant à limiter l'exposition dans la gamme de fréquences allant de 0 Hz à 300 GHz,</w:t>
      </w:r>
    </w:p>
    <w:p w14:paraId="50B4989F" w14:textId="77777777" w:rsidR="00301285" w:rsidRPr="00C4267C" w:rsidRDefault="00301285" w:rsidP="00301285">
      <w:pPr>
        <w:pStyle w:val="call0"/>
      </w:pPr>
      <w:proofErr w:type="gramStart"/>
      <w:r w:rsidRPr="00C4267C">
        <w:t>recommande</w:t>
      </w:r>
      <w:proofErr w:type="gramEnd"/>
    </w:p>
    <w:p w14:paraId="3B4FED9E" w14:textId="77777777" w:rsidR="00301285" w:rsidRPr="00301285" w:rsidRDefault="00301285" w:rsidP="00301285">
      <w:pPr>
        <w:rPr>
          <w:lang w:val="fr-CH"/>
        </w:rPr>
      </w:pPr>
      <w:bookmarkStart w:id="26" w:name="lt_pId151"/>
      <w:proofErr w:type="gramStart"/>
      <w:r w:rsidRPr="00301285">
        <w:rPr>
          <w:lang w:val="fr-CH"/>
        </w:rPr>
        <w:t>que</w:t>
      </w:r>
      <w:proofErr w:type="gramEnd"/>
      <w:r w:rsidRPr="00301285">
        <w:rPr>
          <w:lang w:val="fr-CH"/>
        </w:rPr>
        <w:t xml:space="preserve"> les gammes de fréquences (ou des parties de ces gammes) indiquées dans le Tableau 1 ci-après, ainsi que dans la Note du Tableau 1, devraient être prises en considération à titre d'orientation pour l'exploitation des systèmes WPT-EV n'utilisant pas de faisceau</w:t>
      </w:r>
      <w:bookmarkEnd w:id="26"/>
      <w:r w:rsidRPr="00301285">
        <w:rPr>
          <w:lang w:val="fr-CH"/>
        </w:rPr>
        <w:t xml:space="preserve"> et la protection des services de radiocommunication, compte tenu des points </w:t>
      </w:r>
      <w:r w:rsidRPr="00301285">
        <w:rPr>
          <w:i/>
          <w:iCs/>
          <w:lang w:val="fr-CH"/>
        </w:rPr>
        <w:t>f)</w:t>
      </w:r>
      <w:r w:rsidRPr="00301285">
        <w:rPr>
          <w:lang w:val="fr-CH"/>
        </w:rPr>
        <w:t xml:space="preserve"> et </w:t>
      </w:r>
      <w:r w:rsidRPr="00301285">
        <w:rPr>
          <w:i/>
          <w:iCs/>
          <w:lang w:val="fr-CH"/>
        </w:rPr>
        <w:t>h)</w:t>
      </w:r>
      <w:r w:rsidRPr="00301285">
        <w:rPr>
          <w:lang w:val="fr-CH"/>
        </w:rPr>
        <w:t xml:space="preserve"> du </w:t>
      </w:r>
      <w:r w:rsidRPr="00301285">
        <w:rPr>
          <w:i/>
          <w:iCs/>
          <w:lang w:val="fr-CH"/>
        </w:rPr>
        <w:t>considérant</w:t>
      </w:r>
      <w:r w:rsidRPr="00301285">
        <w:rPr>
          <w:lang w:val="fr-CH"/>
        </w:rPr>
        <w:t>.</w:t>
      </w:r>
    </w:p>
    <w:p w14:paraId="045BA8C9" w14:textId="77777777" w:rsidR="00301285" w:rsidRPr="00301285" w:rsidRDefault="00301285" w:rsidP="00301285">
      <w:pPr>
        <w:pStyle w:val="TableNo"/>
        <w:rPr>
          <w:lang w:val="fr-CH"/>
        </w:rPr>
      </w:pPr>
      <w:bookmarkStart w:id="27" w:name="lt_pId152"/>
      <w:r w:rsidRPr="00301285">
        <w:rPr>
          <w:lang w:val="fr-CH"/>
        </w:rPr>
        <w:t>TABLEAU 1</w:t>
      </w:r>
      <w:bookmarkEnd w:id="27"/>
    </w:p>
    <w:p w14:paraId="4B66C717" w14:textId="77777777" w:rsidR="00301285" w:rsidRPr="00301285" w:rsidRDefault="00301285" w:rsidP="00301285">
      <w:pPr>
        <w:pStyle w:val="Tabletitle"/>
        <w:rPr>
          <w:lang w:val="fr-CH"/>
        </w:rPr>
      </w:pPr>
      <w:bookmarkStart w:id="28" w:name="lt_pId153"/>
      <w:r w:rsidRPr="00301285">
        <w:rPr>
          <w:lang w:val="fr-CH"/>
        </w:rPr>
        <w:t xml:space="preserve">Gammes de fréquences pour l'exploitation des systèmes WPT </w:t>
      </w:r>
      <w:bookmarkEnd w:id="28"/>
      <w:r w:rsidRPr="00301285">
        <w:rPr>
          <w:lang w:val="fr-CH"/>
        </w:rPr>
        <w:t xml:space="preserve">n'utilisant pas </w:t>
      </w:r>
      <w:r w:rsidRPr="00301285">
        <w:rPr>
          <w:lang w:val="fr-CH"/>
        </w:rPr>
        <w:br/>
        <w:t>de faisceau pour les véhicules électriques</w:t>
      </w:r>
    </w:p>
    <w:tbl>
      <w:tblPr>
        <w:tblStyle w:val="TableGrid"/>
        <w:tblW w:w="9639" w:type="dxa"/>
        <w:jc w:val="center"/>
        <w:tblLook w:val="04A0" w:firstRow="1" w:lastRow="0" w:firstColumn="1" w:lastColumn="0" w:noHBand="0" w:noVBand="1"/>
      </w:tblPr>
      <w:tblGrid>
        <w:gridCol w:w="3685"/>
        <w:gridCol w:w="5954"/>
      </w:tblGrid>
      <w:tr w:rsidR="00301285" w:rsidRPr="00301285" w14:paraId="5E5A9390" w14:textId="77777777" w:rsidTr="00344296">
        <w:trPr>
          <w:jc w:val="center"/>
        </w:trPr>
        <w:tc>
          <w:tcPr>
            <w:tcW w:w="3685" w:type="dxa"/>
            <w:tcBorders>
              <w:top w:val="single" w:sz="4" w:space="0" w:color="auto"/>
              <w:left w:val="single" w:sz="4" w:space="0" w:color="auto"/>
              <w:bottom w:val="single" w:sz="4" w:space="0" w:color="auto"/>
              <w:right w:val="single" w:sz="4" w:space="0" w:color="auto"/>
            </w:tcBorders>
            <w:hideMark/>
          </w:tcPr>
          <w:p w14:paraId="40F08D4E" w14:textId="77777777" w:rsidR="00301285" w:rsidRPr="00C4267C" w:rsidRDefault="00301285" w:rsidP="00344296">
            <w:pPr>
              <w:pStyle w:val="Tablehead"/>
              <w:rPr>
                <w:rFonts w:ascii="Times New Roman" w:hAnsi="Times New Roman" w:cs="Times New Roman"/>
              </w:rPr>
            </w:pPr>
            <w:proofErr w:type="spellStart"/>
            <w:r w:rsidRPr="00C4267C">
              <w:rPr>
                <w:rFonts w:ascii="Times New Roman" w:hAnsi="Times New Roman" w:cs="Times New Roman"/>
              </w:rPr>
              <w:t>Gammes</w:t>
            </w:r>
            <w:proofErr w:type="spellEnd"/>
            <w:r w:rsidRPr="00C4267C">
              <w:rPr>
                <w:rFonts w:ascii="Times New Roman" w:hAnsi="Times New Roman" w:cs="Times New Roman"/>
              </w:rPr>
              <w:t xml:space="preserve"> de </w:t>
            </w:r>
            <w:proofErr w:type="spellStart"/>
            <w:r w:rsidRPr="00C4267C">
              <w:rPr>
                <w:rFonts w:ascii="Times New Roman" w:hAnsi="Times New Roman" w:cs="Times New Roman"/>
              </w:rPr>
              <w:t>fréquences</w:t>
            </w:r>
            <w:proofErr w:type="spellEnd"/>
          </w:p>
        </w:tc>
        <w:tc>
          <w:tcPr>
            <w:tcW w:w="5954" w:type="dxa"/>
            <w:tcBorders>
              <w:top w:val="single" w:sz="4" w:space="0" w:color="auto"/>
              <w:left w:val="single" w:sz="4" w:space="0" w:color="auto"/>
              <w:bottom w:val="single" w:sz="4" w:space="0" w:color="auto"/>
              <w:right w:val="single" w:sz="4" w:space="0" w:color="auto"/>
            </w:tcBorders>
            <w:hideMark/>
          </w:tcPr>
          <w:p w14:paraId="6769BBE8" w14:textId="77777777" w:rsidR="00301285" w:rsidRPr="00301285" w:rsidRDefault="00301285" w:rsidP="00344296">
            <w:pPr>
              <w:pStyle w:val="Tablehead"/>
              <w:rPr>
                <w:rFonts w:ascii="Times New Roman" w:hAnsi="Times New Roman" w:cs="Times New Roman"/>
                <w:lang w:val="fr-CH"/>
              </w:rPr>
            </w:pPr>
            <w:r w:rsidRPr="00301285">
              <w:rPr>
                <w:rFonts w:ascii="Times New Roman" w:hAnsi="Times New Roman" w:cs="Times New Roman"/>
                <w:lang w:val="fr-CH"/>
              </w:rPr>
              <w:t>Techniques WPT-EV n'utilisant pas de faisceau appropriés</w:t>
            </w:r>
          </w:p>
        </w:tc>
      </w:tr>
      <w:tr w:rsidR="00301285" w:rsidRPr="00301285" w14:paraId="4C6226A5" w14:textId="77777777" w:rsidTr="00344296">
        <w:trPr>
          <w:jc w:val="center"/>
        </w:trPr>
        <w:tc>
          <w:tcPr>
            <w:tcW w:w="3685" w:type="dxa"/>
            <w:tcBorders>
              <w:top w:val="single" w:sz="4" w:space="0" w:color="auto"/>
              <w:left w:val="single" w:sz="4" w:space="0" w:color="auto"/>
              <w:bottom w:val="single" w:sz="4" w:space="0" w:color="auto"/>
              <w:right w:val="single" w:sz="4" w:space="0" w:color="auto"/>
            </w:tcBorders>
            <w:hideMark/>
          </w:tcPr>
          <w:p w14:paraId="53DBE4D0" w14:textId="77777777" w:rsidR="00301285" w:rsidRPr="00C4267C" w:rsidRDefault="00301285" w:rsidP="00344296">
            <w:pPr>
              <w:pStyle w:val="Tabletext"/>
              <w:jc w:val="center"/>
              <w:rPr>
                <w:rFonts w:ascii="Times New Roman" w:hAnsi="Times New Roman" w:cs="Times New Roman"/>
              </w:rPr>
            </w:pPr>
            <w:bookmarkStart w:id="29" w:name="lt_pId156"/>
            <w:r w:rsidRPr="00C4267C">
              <w:rPr>
                <w:rFonts w:ascii="Times New Roman" w:hAnsi="Times New Roman" w:cs="Times New Roman"/>
              </w:rPr>
              <w:t>19</w:t>
            </w:r>
            <w:r w:rsidRPr="00C4267C">
              <w:rPr>
                <w:rFonts w:ascii="Times New Roman" w:hAnsi="Times New Roman" w:cs="Times New Roman"/>
              </w:rPr>
              <w:noBreakHyphen/>
              <w:t xml:space="preserve">21 </w:t>
            </w:r>
            <w:proofErr w:type="gramStart"/>
            <w:r w:rsidRPr="00C4267C">
              <w:rPr>
                <w:rFonts w:ascii="Times New Roman" w:hAnsi="Times New Roman" w:cs="Times New Roman"/>
              </w:rPr>
              <w:t>kHz</w:t>
            </w:r>
            <w:bookmarkEnd w:id="29"/>
            <w:r w:rsidRPr="00C4267C">
              <w:rPr>
                <w:rFonts w:ascii="Times New Roman" w:hAnsi="Times New Roman" w:cs="Times New Roman"/>
                <w:vertAlign w:val="superscript"/>
              </w:rPr>
              <w:t>(</w:t>
            </w:r>
            <w:proofErr w:type="gramEnd"/>
            <w:r w:rsidRPr="00C4267C">
              <w:rPr>
                <w:rFonts w:ascii="Times New Roman" w:hAnsi="Times New Roman" w:cs="Times New Roman"/>
                <w:vertAlign w:val="superscript"/>
              </w:rPr>
              <w:t>1)</w:t>
            </w:r>
          </w:p>
        </w:tc>
        <w:tc>
          <w:tcPr>
            <w:tcW w:w="5954" w:type="dxa"/>
            <w:tcBorders>
              <w:top w:val="single" w:sz="4" w:space="0" w:color="auto"/>
              <w:left w:val="single" w:sz="4" w:space="0" w:color="auto"/>
              <w:bottom w:val="single" w:sz="4" w:space="0" w:color="auto"/>
              <w:right w:val="single" w:sz="4" w:space="0" w:color="auto"/>
            </w:tcBorders>
            <w:hideMark/>
          </w:tcPr>
          <w:p w14:paraId="35E5CFD0" w14:textId="77777777" w:rsidR="00301285" w:rsidRPr="00301285" w:rsidRDefault="00301285" w:rsidP="00344296">
            <w:pPr>
              <w:pStyle w:val="Tabletext"/>
              <w:rPr>
                <w:rFonts w:ascii="Times New Roman" w:hAnsi="Times New Roman" w:cs="Times New Roman"/>
                <w:lang w:val="fr-CH"/>
              </w:rPr>
            </w:pPr>
            <w:bookmarkStart w:id="30" w:name="lt_pId158"/>
            <w:r w:rsidRPr="00301285">
              <w:rPr>
                <w:rFonts w:ascii="Times New Roman" w:hAnsi="Times New Roman" w:cs="Times New Roman"/>
                <w:lang w:val="fr-CH"/>
              </w:rPr>
              <w:t xml:space="preserve">Induction magnétique ou résonance magnétique </w:t>
            </w:r>
            <w:bookmarkEnd w:id="30"/>
          </w:p>
        </w:tc>
      </w:tr>
      <w:tr w:rsidR="00301285" w:rsidRPr="00C4267C" w14:paraId="53678D8E" w14:textId="77777777" w:rsidTr="00344296">
        <w:trPr>
          <w:jc w:val="center"/>
        </w:trPr>
        <w:tc>
          <w:tcPr>
            <w:tcW w:w="3685" w:type="dxa"/>
            <w:tcBorders>
              <w:top w:val="single" w:sz="4" w:space="0" w:color="auto"/>
              <w:left w:val="single" w:sz="4" w:space="0" w:color="auto"/>
              <w:bottom w:val="single" w:sz="4" w:space="0" w:color="auto"/>
              <w:right w:val="single" w:sz="4" w:space="0" w:color="auto"/>
            </w:tcBorders>
          </w:tcPr>
          <w:p w14:paraId="6C7157BD" w14:textId="77777777" w:rsidR="00301285" w:rsidRPr="00C4267C" w:rsidRDefault="00301285" w:rsidP="00344296">
            <w:pPr>
              <w:pStyle w:val="Tabletext"/>
              <w:jc w:val="center"/>
              <w:rPr>
                <w:rFonts w:ascii="Times New Roman" w:hAnsi="Times New Roman" w:cs="Times New Roman"/>
              </w:rPr>
            </w:pPr>
            <w:r w:rsidRPr="00C4267C">
              <w:rPr>
                <w:rFonts w:ascii="Times New Roman" w:hAnsi="Times New Roman" w:cs="Times New Roman"/>
              </w:rPr>
              <w:t>79-90 kHz</w:t>
            </w:r>
          </w:p>
        </w:tc>
        <w:tc>
          <w:tcPr>
            <w:tcW w:w="5954" w:type="dxa"/>
            <w:tcBorders>
              <w:top w:val="single" w:sz="4" w:space="0" w:color="auto"/>
              <w:left w:val="single" w:sz="4" w:space="0" w:color="auto"/>
              <w:bottom w:val="single" w:sz="4" w:space="0" w:color="auto"/>
              <w:right w:val="single" w:sz="4" w:space="0" w:color="auto"/>
            </w:tcBorders>
          </w:tcPr>
          <w:p w14:paraId="533FD8A8" w14:textId="77777777" w:rsidR="00301285" w:rsidRPr="00C4267C" w:rsidRDefault="00301285" w:rsidP="00344296">
            <w:pPr>
              <w:pStyle w:val="Tabletext"/>
              <w:rPr>
                <w:rFonts w:ascii="Times New Roman" w:hAnsi="Times New Roman" w:cs="Times New Roman"/>
              </w:rPr>
            </w:pPr>
            <w:proofErr w:type="spellStart"/>
            <w:r w:rsidRPr="00C4267C">
              <w:rPr>
                <w:rFonts w:ascii="Times New Roman" w:hAnsi="Times New Roman" w:cs="Times New Roman"/>
              </w:rPr>
              <w:t>Résonance</w:t>
            </w:r>
            <w:proofErr w:type="spellEnd"/>
            <w:r w:rsidRPr="00C4267C">
              <w:rPr>
                <w:rFonts w:ascii="Times New Roman" w:hAnsi="Times New Roman" w:cs="Times New Roman"/>
              </w:rPr>
              <w:t xml:space="preserve"> </w:t>
            </w:r>
            <w:proofErr w:type="spellStart"/>
            <w:r w:rsidRPr="00C4267C">
              <w:rPr>
                <w:rFonts w:ascii="Times New Roman" w:hAnsi="Times New Roman" w:cs="Times New Roman"/>
              </w:rPr>
              <w:t>magnétique</w:t>
            </w:r>
            <w:proofErr w:type="spellEnd"/>
          </w:p>
        </w:tc>
      </w:tr>
      <w:tr w:rsidR="00301285" w:rsidRPr="00301285" w14:paraId="5E8B55B2" w14:textId="77777777" w:rsidTr="00344296">
        <w:trPr>
          <w:jc w:val="center"/>
        </w:trPr>
        <w:tc>
          <w:tcPr>
            <w:tcW w:w="9639" w:type="dxa"/>
            <w:gridSpan w:val="2"/>
            <w:tcBorders>
              <w:top w:val="single" w:sz="4" w:space="0" w:color="auto"/>
              <w:left w:val="nil"/>
              <w:bottom w:val="nil"/>
              <w:right w:val="nil"/>
            </w:tcBorders>
          </w:tcPr>
          <w:p w14:paraId="46AE6956" w14:textId="77777777" w:rsidR="00301285" w:rsidRPr="00301285" w:rsidRDefault="00301285" w:rsidP="00344296">
            <w:pPr>
              <w:pStyle w:val="Tabletext"/>
              <w:tabs>
                <w:tab w:val="clear" w:pos="284"/>
                <w:tab w:val="left" w:pos="449"/>
              </w:tabs>
              <w:ind w:left="449" w:hanging="449"/>
              <w:rPr>
                <w:rFonts w:ascii="Times New Roman" w:hAnsi="Times New Roman" w:cs="Times New Roman"/>
                <w:lang w:val="fr-CH" w:eastAsia="zh-CN"/>
              </w:rPr>
            </w:pPr>
            <w:bookmarkStart w:id="31" w:name="lt_pId159"/>
            <w:r w:rsidRPr="00301285">
              <w:rPr>
                <w:rFonts w:ascii="Times New Roman" w:hAnsi="Times New Roman" w:cs="Times New Roman"/>
                <w:vertAlign w:val="superscript"/>
                <w:lang w:val="fr-CH"/>
              </w:rPr>
              <w:t>(1)</w:t>
            </w:r>
            <w:r w:rsidRPr="00301285">
              <w:rPr>
                <w:rFonts w:ascii="Times New Roman" w:hAnsi="Times New Roman" w:cs="Times New Roman"/>
                <w:lang w:val="fr-CH"/>
              </w:rPr>
              <w:tab/>
            </w:r>
            <w:r w:rsidRPr="00301285">
              <w:rPr>
                <w:rFonts w:ascii="Times New Roman" w:hAnsi="Times New Roman" w:cs="Times New Roman"/>
                <w:lang w:val="fr-CH" w:eastAsia="zh-CN"/>
              </w:rPr>
              <w:t xml:space="preserve">Pour protéger le fonctionnement du service des fréquences étalon et des signaux horaires à 60 kHz, il convient d'éviter toutes les formes d'émissions d'énergie des systèmes WPT-EV dans la gamme de fréquences allant de 56 kHz à 64 kHz (60 kHz </w:t>
            </w:r>
            <w:r w:rsidRPr="00301285">
              <w:rPr>
                <w:rFonts w:ascii="Times New Roman" w:hAnsi="Times New Roman" w:cs="Times New Roman"/>
                <w:lang w:val="fr-CH"/>
              </w:rPr>
              <w:t>±</w:t>
            </w:r>
            <w:r w:rsidRPr="00301285">
              <w:rPr>
                <w:rFonts w:ascii="Times New Roman" w:hAnsi="Times New Roman" w:cs="Times New Roman"/>
                <w:lang w:val="fr-CH" w:eastAsia="zh-CN"/>
              </w:rPr>
              <w:t xml:space="preserve"> 4 kHz).</w:t>
            </w:r>
            <w:bookmarkEnd w:id="31"/>
          </w:p>
          <w:p w14:paraId="2C0BDF89" w14:textId="77777777" w:rsidR="00301285" w:rsidRPr="00301285" w:rsidRDefault="00301285" w:rsidP="00344296">
            <w:pPr>
              <w:pStyle w:val="Tabletext"/>
              <w:tabs>
                <w:tab w:val="clear" w:pos="284"/>
                <w:tab w:val="left" w:pos="449"/>
              </w:tabs>
              <w:ind w:left="449" w:hanging="449"/>
              <w:rPr>
                <w:lang w:val="fr-CH"/>
              </w:rPr>
            </w:pPr>
            <w:r w:rsidRPr="00301285">
              <w:rPr>
                <w:rFonts w:ascii="Times New Roman" w:hAnsi="Times New Roman" w:cs="Times New Roman"/>
                <w:lang w:val="fr-CH"/>
              </w:rPr>
              <w:tab/>
              <w:t xml:space="preserve">Dans les cas où une forme quelconque d'émission d'énergie des systèmes WPT-EV se produit à proximité de récepteurs </w:t>
            </w:r>
            <w:r w:rsidRPr="00301285">
              <w:rPr>
                <w:rFonts w:ascii="Times New Roman" w:hAnsi="Times New Roman" w:cs="Times New Roman"/>
                <w:lang w:val="fr-CH" w:eastAsia="zh-CN"/>
              </w:rPr>
              <w:t>du service des fréquences étalon et des signaux horaires</w:t>
            </w:r>
            <w:r w:rsidRPr="00301285">
              <w:rPr>
                <w:rFonts w:ascii="Times New Roman" w:hAnsi="Times New Roman" w:cs="Times New Roman"/>
                <w:lang w:val="fr-CH"/>
              </w:rPr>
              <w:t xml:space="preserve"> à 60 kHz, et dans l'hypothèse d'une distance de séparation minimale de 50 m, toute forme d'émission d'énergie des systèmes WPT-EV dans les gammes de fréquences 64-65 kHz et 55-56 kHz ne devrait pas dépasser un total de 35 </w:t>
            </w:r>
            <w:proofErr w:type="spellStart"/>
            <w:r w:rsidRPr="00301285">
              <w:rPr>
                <w:rFonts w:ascii="Times New Roman" w:hAnsi="Times New Roman" w:cs="Times New Roman"/>
                <w:lang w:val="fr-CH" w:eastAsia="zh-CN"/>
              </w:rPr>
              <w:t>dBµA</w:t>
            </w:r>
            <w:proofErr w:type="spellEnd"/>
            <w:r w:rsidRPr="00301285">
              <w:rPr>
                <w:rFonts w:ascii="Times New Roman" w:hAnsi="Times New Roman" w:cs="Times New Roman"/>
                <w:lang w:val="fr-CH" w:eastAsia="zh-CN"/>
              </w:rPr>
              <w:t>/m</w:t>
            </w:r>
            <w:r w:rsidRPr="00301285">
              <w:rPr>
                <w:rFonts w:ascii="Times New Roman" w:hAnsi="Times New Roman" w:cs="Times New Roman"/>
                <w:lang w:val="fr-CH"/>
              </w:rPr>
              <w:t xml:space="preserve"> à 10 m. Lorsque la distance de séparation est supérieure à 100 m entre les systèmes WPT-EV et les récepteurs du </w:t>
            </w:r>
            <w:r w:rsidRPr="00301285">
              <w:rPr>
                <w:rFonts w:ascii="Times New Roman" w:hAnsi="Times New Roman" w:cs="Times New Roman"/>
                <w:lang w:val="fr-CH" w:eastAsia="zh-CN"/>
              </w:rPr>
              <w:t>service des fréquences étalon et des signaux horaires</w:t>
            </w:r>
            <w:r w:rsidRPr="00301285">
              <w:rPr>
                <w:rFonts w:ascii="Times New Roman" w:hAnsi="Times New Roman" w:cs="Times New Roman"/>
                <w:lang w:val="fr-CH"/>
              </w:rPr>
              <w:t xml:space="preserve">, toute forme d'émission d'énergie des systèmes WPT-EV dans les gammes de fréquences 63-65 kHz et 55-57 kHz ne devrait pas dépasser un total de </w:t>
            </w:r>
            <w:r w:rsidRPr="00301285">
              <w:rPr>
                <w:rFonts w:ascii="Times New Roman" w:hAnsi="Times New Roman" w:cs="Times New Roman"/>
                <w:lang w:val="fr-CH" w:eastAsia="zh-CN"/>
              </w:rPr>
              <w:t xml:space="preserve">44 </w:t>
            </w:r>
            <w:proofErr w:type="spellStart"/>
            <w:r w:rsidRPr="00301285">
              <w:rPr>
                <w:rFonts w:ascii="Times New Roman" w:hAnsi="Times New Roman" w:cs="Times New Roman"/>
                <w:lang w:val="fr-CH" w:eastAsia="zh-CN"/>
              </w:rPr>
              <w:t>dBµA</w:t>
            </w:r>
            <w:proofErr w:type="spellEnd"/>
            <w:r w:rsidRPr="00301285">
              <w:rPr>
                <w:rFonts w:ascii="Times New Roman" w:hAnsi="Times New Roman" w:cs="Times New Roman"/>
                <w:lang w:val="fr-CH" w:eastAsia="zh-CN"/>
              </w:rPr>
              <w:t>/m</w:t>
            </w:r>
            <w:r w:rsidRPr="00301285">
              <w:rPr>
                <w:rFonts w:ascii="Times New Roman" w:hAnsi="Times New Roman" w:cs="Times New Roman"/>
                <w:lang w:val="fr-CH"/>
              </w:rPr>
              <w:t xml:space="preserve"> à 10 m.</w:t>
            </w:r>
          </w:p>
        </w:tc>
      </w:tr>
    </w:tbl>
    <w:p w14:paraId="2E3D4083" w14:textId="420DDD04" w:rsidR="00301285" w:rsidRDefault="00301285" w:rsidP="007C75FD">
      <w:pPr>
        <w:pStyle w:val="Tablefin"/>
      </w:pPr>
    </w:p>
    <w:p w14:paraId="0081312D" w14:textId="77777777" w:rsidR="007C75FD" w:rsidRDefault="007C75FD" w:rsidP="007C75FD"/>
    <w:p w14:paraId="2F17B0D9" w14:textId="77777777" w:rsidR="007C75FD" w:rsidRPr="004F3F6F" w:rsidRDefault="007C75FD" w:rsidP="007C75FD">
      <w:pPr>
        <w:pStyle w:val="Line"/>
      </w:pPr>
    </w:p>
    <w:sectPr w:rsidR="007C75FD" w:rsidRPr="004F3F6F" w:rsidSect="007C75FD">
      <w:headerReference w:type="even" r:id="rId13"/>
      <w:headerReference w:type="default" r:id="rId14"/>
      <w:footerReference w:type="default" r:id="rId15"/>
      <w:pgSz w:w="11907" w:h="16834" w:code="9"/>
      <w:pgMar w:top="1418" w:right="1134" w:bottom="1134" w:left="1134" w:header="720" w:footer="482" w:gutter="0"/>
      <w:paperSrc w:first="15" w:other="15"/>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465CB" w14:textId="77777777" w:rsidR="00301285" w:rsidRDefault="00301285">
      <w:r>
        <w:separator/>
      </w:r>
    </w:p>
  </w:endnote>
  <w:endnote w:type="continuationSeparator" w:id="0">
    <w:p w14:paraId="5858775B" w14:textId="77777777" w:rsidR="00301285" w:rsidRDefault="00301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Next LT Pro Medium">
    <w:altName w:val="Calibri"/>
    <w:panose1 w:val="020B0604020202020204"/>
    <w:charset w:val="00"/>
    <w:family w:val="swiss"/>
    <w:notTrueType/>
    <w:pitch w:val="variable"/>
    <w:sig w:usb0="800000AF" w:usb1="5000204A" w:usb2="00000000" w:usb3="00000000" w:csb0="00000093" w:csb1="00000000"/>
  </w:font>
  <w:font w:name="AvenirNext LT Pro Regular">
    <w:altName w:val="Calibri"/>
    <w:panose1 w:val="020B0504020202020204"/>
    <w:charset w:val="00"/>
    <w:family w:val="swiss"/>
    <w:notTrueType/>
    <w:pitch w:val="variable"/>
    <w:sig w:usb0="800000AF" w:usb1="5000204A"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altName w:val="Sylfaen"/>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98140" w14:textId="77777777" w:rsidR="00301285" w:rsidRDefault="00301285">
    <w:pPr>
      <w:pStyle w:val="Footer"/>
    </w:pPr>
    <w:r>
      <w:drawing>
        <wp:anchor distT="0" distB="0" distL="0" distR="0" simplePos="0" relativeHeight="251656192" behindDoc="0" locked="0" layoutInCell="1" allowOverlap="1" wp14:anchorId="6724C399" wp14:editId="0870B0DB">
          <wp:simplePos x="0" y="0"/>
          <wp:positionH relativeFrom="page">
            <wp:posOffset>6346209</wp:posOffset>
          </wp:positionH>
          <wp:positionV relativeFrom="page">
            <wp:posOffset>9501505</wp:posOffset>
          </wp:positionV>
          <wp:extent cx="738000" cy="813600"/>
          <wp:effectExtent l="0" t="0" r="0" b="0"/>
          <wp:wrapNone/>
          <wp:docPr id="1" name="image1.png" descr="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ITU logo"/>
                  <pic:cNvPicPr/>
                </pic:nvPicPr>
                <pic:blipFill>
                  <a:blip r:embed="rId1" cstate="print"/>
                  <a:stretch>
                    <a:fillRect/>
                  </a:stretch>
                </pic:blipFill>
                <pic:spPr>
                  <a:xfrm>
                    <a:off x="0" y="0"/>
                    <a:ext cx="738000" cy="813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C6D8A" w14:textId="0F64AAE6" w:rsidR="007C75FD" w:rsidRDefault="007C75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50D41" w14:textId="77777777" w:rsidR="00301285" w:rsidRDefault="00301285">
      <w:r>
        <w:separator/>
      </w:r>
    </w:p>
  </w:footnote>
  <w:footnote w:type="continuationSeparator" w:id="0">
    <w:p w14:paraId="3670748E" w14:textId="77777777" w:rsidR="00301285" w:rsidRDefault="003012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F4851" w14:textId="77777777" w:rsidR="00301285" w:rsidRDefault="00301285">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90" w:type="dxa"/>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6"/>
      <w:gridCol w:w="5914"/>
    </w:tblGrid>
    <w:tr w:rsidR="00301285" w:rsidRPr="00A239D1" w14:paraId="30A01D52" w14:textId="77777777" w:rsidTr="0019307B">
      <w:tc>
        <w:tcPr>
          <w:tcW w:w="4634" w:type="dxa"/>
          <w:vAlign w:val="center"/>
        </w:tcPr>
        <w:p w14:paraId="76D75BA2" w14:textId="77777777" w:rsidR="00301285" w:rsidRPr="005B0371" w:rsidRDefault="00301285" w:rsidP="00B9169E">
          <w:pPr>
            <w:pStyle w:val="Header"/>
            <w:jc w:val="left"/>
            <w:rPr>
              <w:rFonts w:ascii="Arial Black" w:hAnsi="Arial Black" w:cs="Arial"/>
              <w:color w:val="FFFFFF" w:themeColor="background1"/>
              <w:sz w:val="32"/>
              <w:szCs w:val="32"/>
            </w:rPr>
          </w:pPr>
          <w:r w:rsidRPr="005B0371">
            <w:rPr>
              <w:rFonts w:ascii="Arial Black" w:hAnsi="Arial Black" w:cs="Arial"/>
              <w:color w:val="FFFFFF" w:themeColor="background1"/>
              <w:sz w:val="32"/>
              <w:szCs w:val="32"/>
            </w:rPr>
            <w:t xml:space="preserve"> </w:t>
          </w:r>
        </w:p>
      </w:tc>
      <w:tc>
        <w:tcPr>
          <w:tcW w:w="5998" w:type="dxa"/>
          <w:vAlign w:val="center"/>
        </w:tcPr>
        <w:p w14:paraId="3EE34A24" w14:textId="77777777" w:rsidR="00301285" w:rsidRPr="00260B24" w:rsidRDefault="00301285" w:rsidP="00744F8B">
          <w:pPr>
            <w:pStyle w:val="Header"/>
            <w:jc w:val="right"/>
            <w:rPr>
              <w:rFonts w:asciiTheme="minorBidi" w:hAnsiTheme="minorBidi"/>
              <w:b/>
              <w:spacing w:val="4"/>
              <w:szCs w:val="24"/>
            </w:rPr>
          </w:pPr>
          <w:r w:rsidRPr="00260B24">
            <w:rPr>
              <w:rFonts w:asciiTheme="minorBidi" w:hAnsiTheme="minorBidi"/>
              <w:b/>
              <w:spacing w:val="4"/>
              <w:szCs w:val="24"/>
            </w:rPr>
            <w:t>Union</w:t>
          </w:r>
          <w:r>
            <w:rPr>
              <w:rFonts w:asciiTheme="minorBidi" w:hAnsiTheme="minorBidi"/>
              <w:b/>
              <w:spacing w:val="4"/>
              <w:szCs w:val="24"/>
            </w:rPr>
            <w:t xml:space="preserve"> </w:t>
          </w:r>
          <w:proofErr w:type="spellStart"/>
          <w:r>
            <w:rPr>
              <w:rFonts w:asciiTheme="minorBidi" w:hAnsiTheme="minorBidi"/>
              <w:b/>
              <w:spacing w:val="4"/>
              <w:szCs w:val="24"/>
            </w:rPr>
            <w:t>i</w:t>
          </w:r>
          <w:r w:rsidRPr="00260B24">
            <w:rPr>
              <w:rFonts w:asciiTheme="minorBidi" w:hAnsiTheme="minorBidi"/>
              <w:b/>
              <w:spacing w:val="4"/>
              <w:szCs w:val="24"/>
            </w:rPr>
            <w:t>nternational</w:t>
          </w:r>
          <w:r>
            <w:rPr>
              <w:rFonts w:asciiTheme="minorBidi" w:hAnsiTheme="minorBidi"/>
              <w:b/>
              <w:spacing w:val="4"/>
              <w:szCs w:val="24"/>
            </w:rPr>
            <w:t>e</w:t>
          </w:r>
          <w:proofErr w:type="spellEnd"/>
          <w:r w:rsidRPr="00260B24">
            <w:rPr>
              <w:rFonts w:asciiTheme="minorBidi" w:hAnsiTheme="minorBidi"/>
              <w:b/>
              <w:spacing w:val="4"/>
              <w:szCs w:val="24"/>
            </w:rPr>
            <w:t xml:space="preserve"> </w:t>
          </w:r>
          <w:r>
            <w:rPr>
              <w:rFonts w:asciiTheme="minorBidi" w:hAnsiTheme="minorBidi"/>
              <w:b/>
              <w:spacing w:val="4"/>
              <w:szCs w:val="24"/>
            </w:rPr>
            <w:t xml:space="preserve">des </w:t>
          </w:r>
          <w:proofErr w:type="spellStart"/>
          <w:r>
            <w:rPr>
              <w:rFonts w:asciiTheme="minorBidi" w:hAnsiTheme="minorBidi"/>
              <w:b/>
              <w:spacing w:val="4"/>
              <w:szCs w:val="24"/>
            </w:rPr>
            <w:t>té</w:t>
          </w:r>
          <w:r w:rsidRPr="00260B24">
            <w:rPr>
              <w:rFonts w:asciiTheme="minorBidi" w:hAnsiTheme="minorBidi"/>
              <w:b/>
              <w:spacing w:val="4"/>
              <w:szCs w:val="24"/>
            </w:rPr>
            <w:t>l</w:t>
          </w:r>
          <w:r>
            <w:rPr>
              <w:rFonts w:asciiTheme="minorBidi" w:hAnsiTheme="minorBidi"/>
              <w:b/>
              <w:spacing w:val="4"/>
              <w:szCs w:val="24"/>
            </w:rPr>
            <w:t>é</w:t>
          </w:r>
          <w:r w:rsidRPr="00260B24">
            <w:rPr>
              <w:rFonts w:asciiTheme="minorBidi" w:hAnsiTheme="minorBidi"/>
              <w:b/>
              <w:spacing w:val="4"/>
              <w:szCs w:val="24"/>
            </w:rPr>
            <w:t>communication</w:t>
          </w:r>
          <w:r>
            <w:rPr>
              <w:rFonts w:asciiTheme="minorBidi" w:hAnsiTheme="minorBidi"/>
              <w:b/>
              <w:spacing w:val="4"/>
              <w:szCs w:val="24"/>
            </w:rPr>
            <w:t>s</w:t>
          </w:r>
          <w:proofErr w:type="spellEnd"/>
        </w:p>
      </w:tc>
    </w:tr>
    <w:tr w:rsidR="00301285" w:rsidRPr="00A239D1" w14:paraId="6A676E74" w14:textId="77777777" w:rsidTr="0019307B">
      <w:tc>
        <w:tcPr>
          <w:tcW w:w="4634" w:type="dxa"/>
          <w:vAlign w:val="center"/>
        </w:tcPr>
        <w:p w14:paraId="0991AF41" w14:textId="77777777" w:rsidR="00301285" w:rsidRPr="00260B24" w:rsidRDefault="00301285" w:rsidP="00744F8B">
          <w:pPr>
            <w:pStyle w:val="Header"/>
            <w:jc w:val="left"/>
            <w:rPr>
              <w:rFonts w:asciiTheme="minorBidi" w:hAnsiTheme="minorBidi"/>
              <w:spacing w:val="4"/>
              <w:sz w:val="21"/>
              <w:szCs w:val="21"/>
            </w:rPr>
          </w:pPr>
          <w:proofErr w:type="spellStart"/>
          <w:r w:rsidRPr="00260B24">
            <w:rPr>
              <w:rFonts w:asciiTheme="minorBidi" w:hAnsiTheme="minorBidi"/>
              <w:spacing w:val="4"/>
              <w:szCs w:val="24"/>
            </w:rPr>
            <w:t>Recomm</w:t>
          </w:r>
          <w:r>
            <w:rPr>
              <w:rFonts w:asciiTheme="minorBidi" w:hAnsiTheme="minorBidi"/>
              <w:spacing w:val="4"/>
              <w:szCs w:val="24"/>
            </w:rPr>
            <w:t>a</w:t>
          </w:r>
          <w:r w:rsidRPr="00260B24">
            <w:rPr>
              <w:rFonts w:asciiTheme="minorBidi" w:hAnsiTheme="minorBidi"/>
              <w:spacing w:val="4"/>
              <w:szCs w:val="24"/>
            </w:rPr>
            <w:t>ndations</w:t>
          </w:r>
          <w:proofErr w:type="spellEnd"/>
        </w:p>
      </w:tc>
      <w:tc>
        <w:tcPr>
          <w:tcW w:w="5998" w:type="dxa"/>
          <w:vAlign w:val="center"/>
        </w:tcPr>
        <w:p w14:paraId="34FD09A2" w14:textId="77777777" w:rsidR="00301285" w:rsidRPr="00260B24" w:rsidRDefault="00301285" w:rsidP="00744F8B">
          <w:pPr>
            <w:pStyle w:val="Header"/>
            <w:jc w:val="right"/>
            <w:rPr>
              <w:rFonts w:asciiTheme="minorBidi" w:hAnsiTheme="minorBidi"/>
              <w:spacing w:val="4"/>
              <w:szCs w:val="24"/>
            </w:rPr>
          </w:pPr>
          <w:proofErr w:type="spellStart"/>
          <w:r>
            <w:rPr>
              <w:rFonts w:asciiTheme="minorBidi" w:hAnsiTheme="minorBidi"/>
              <w:spacing w:val="4"/>
              <w:szCs w:val="24"/>
            </w:rPr>
            <w:t>Secteur</w:t>
          </w:r>
          <w:proofErr w:type="spellEnd"/>
          <w:r>
            <w:rPr>
              <w:rFonts w:asciiTheme="minorBidi" w:hAnsiTheme="minorBidi"/>
              <w:spacing w:val="4"/>
              <w:szCs w:val="24"/>
            </w:rPr>
            <w:t xml:space="preserve"> des r</w:t>
          </w:r>
          <w:r w:rsidRPr="00260B24">
            <w:rPr>
              <w:rFonts w:asciiTheme="minorBidi" w:hAnsiTheme="minorBidi"/>
              <w:spacing w:val="4"/>
              <w:szCs w:val="24"/>
            </w:rPr>
            <w:t>adiocommunication</w:t>
          </w:r>
          <w:r>
            <w:rPr>
              <w:rFonts w:asciiTheme="minorBidi" w:hAnsiTheme="minorBidi"/>
              <w:spacing w:val="4"/>
              <w:szCs w:val="24"/>
            </w:rPr>
            <w:t>s</w:t>
          </w:r>
        </w:p>
      </w:tc>
    </w:tr>
  </w:tbl>
  <w:p w14:paraId="1D0559D8" w14:textId="77777777" w:rsidR="00301285" w:rsidRDefault="00301285" w:rsidP="004A6FEB">
    <w:pPr>
      <w:pStyle w:val="Header"/>
    </w:pPr>
    <w:r>
      <w:rPr>
        <w:rFonts w:ascii="Arial Black" w:hAnsi="Arial Black" w:cs="Arial"/>
        <w:noProof/>
        <w:sz w:val="32"/>
        <w:szCs w:val="32"/>
      </w:rPr>
      <w:drawing>
        <wp:anchor distT="0" distB="0" distL="114300" distR="114300" simplePos="0" relativeHeight="251657216" behindDoc="0" locked="0" layoutInCell="1" allowOverlap="1" wp14:anchorId="46CAF973" wp14:editId="127136B3">
          <wp:simplePos x="0" y="0"/>
          <wp:positionH relativeFrom="column">
            <wp:posOffset>-371739</wp:posOffset>
          </wp:positionH>
          <wp:positionV relativeFrom="paragraph">
            <wp:posOffset>-534670</wp:posOffset>
          </wp:positionV>
          <wp:extent cx="1945758" cy="414616"/>
          <wp:effectExtent l="0" t="0" r="0" b="0"/>
          <wp:wrapNone/>
          <wp:docPr id="5" name="Picture 5" descr="ITUPubli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TUPublicati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5758" cy="41461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rPr>
      <mc:AlternateContent>
        <mc:Choice Requires="wps">
          <w:drawing>
            <wp:anchor distT="0" distB="0" distL="114300" distR="114300" simplePos="0" relativeHeight="251658240" behindDoc="0" locked="0" layoutInCell="1" allowOverlap="1" wp14:anchorId="2243027F" wp14:editId="7FC37C34">
              <wp:simplePos x="0" y="0"/>
              <wp:positionH relativeFrom="column">
                <wp:posOffset>-106045</wp:posOffset>
              </wp:positionH>
              <wp:positionV relativeFrom="paragraph">
                <wp:posOffset>164465</wp:posOffset>
              </wp:positionV>
              <wp:extent cx="301625" cy="172085"/>
              <wp:effectExtent l="17780" t="12065" r="23495" b="15875"/>
              <wp:wrapNone/>
              <wp:docPr id="6" name="AutoShap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01625" cy="172085"/>
                      </a:xfrm>
                      <a:prstGeom prst="triangle">
                        <a:avLst>
                          <a:gd name="adj" fmla="val 50000"/>
                        </a:avLst>
                      </a:prstGeom>
                      <a:solidFill>
                        <a:schemeClr val="bg1">
                          <a:lumMod val="100000"/>
                          <a:lumOff val="0"/>
                        </a:schemeClr>
                      </a:solidFill>
                      <a:ln w="9525">
                        <a:solidFill>
                          <a:srgbClr val="F8F8F8"/>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882625"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 o:spid="_x0000_s1026" type="#_x0000_t5" alt="&quot;&quot;" style="position:absolute;margin-left:-8.35pt;margin-top:12.95pt;width:23.75pt;height:13.55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" fillcolor="white [3212]" strokecolor="#f8f8f8"/>
          </w:pict>
        </mc:Fallback>
      </mc:AlternateContent>
    </w:r>
  </w:p>
  <w:p w14:paraId="7154770D" w14:textId="77777777" w:rsidR="00301285" w:rsidRDefault="00301285" w:rsidP="004A6FEB">
    <w:pPr>
      <w:pStyle w:val="Header"/>
      <w:ind w:right="360"/>
      <w:jc w:val="both"/>
    </w:pPr>
    <w:r>
      <w:rPr>
        <w:noProof/>
      </w:rPr>
      <mc:AlternateContent>
        <mc:Choice Requires="wpg">
          <w:drawing>
            <wp:anchor distT="0" distB="0" distL="114300" distR="114300" simplePos="0" relativeHeight="251659264" behindDoc="0" locked="0" layoutInCell="1" allowOverlap="1" wp14:anchorId="0980CE54" wp14:editId="2D7834AC">
              <wp:simplePos x="0" y="0"/>
              <wp:positionH relativeFrom="page">
                <wp:posOffset>0</wp:posOffset>
              </wp:positionH>
              <wp:positionV relativeFrom="page">
                <wp:posOffset>1196340</wp:posOffset>
              </wp:positionV>
              <wp:extent cx="7560310" cy="236220"/>
              <wp:effectExtent l="9525" t="5715" r="12065" b="5715"/>
              <wp:wrapNone/>
              <wp:docPr id="2" name="docshapegroup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36220"/>
                        <a:chOff x="0" y="1884"/>
                        <a:chExt cx="11906" cy="372"/>
                      </a:xfrm>
                    </wpg:grpSpPr>
                    <wps:wsp>
                      <wps:cNvPr id="3" name="docshape7" descr="Header separator line"/>
                      <wps:cNvSpPr>
                        <a:spLocks noChangeArrowheads="1"/>
                      </wps:cNvSpPr>
                      <wps:spPr bwMode="auto">
                        <a:xfrm>
                          <a:off x="0" y="1944"/>
                          <a:ext cx="11906" cy="312"/>
                        </a:xfrm>
                        <a:prstGeom prst="rect">
                          <a:avLst/>
                        </a:prstGeom>
                        <a:solidFill>
                          <a:srgbClr val="009CD6"/>
                        </a:solidFill>
                        <a:ln w="9525">
                          <a:solidFill>
                            <a:srgbClr val="009CD6"/>
                          </a:solidFill>
                          <a:miter lim="800000"/>
                          <a:headEnd/>
                          <a:tailEnd/>
                        </a:ln>
                      </wps:spPr>
                      <wps:bodyPr rot="0" vert="horz" wrap="square" lIns="91440" tIns="45720" rIns="91440" bIns="45720" anchor="t" anchorCtr="0" upright="1">
                        <a:noAutofit/>
                      </wps:bodyPr>
                    </wps:wsp>
                    <wps:wsp>
                      <wps:cNvPr id="4" name="docshape8">
                        <a:extLst>
                          <a:ext uri="{C183D7F6-B498-43B3-948B-1728B52AA6E4}">
                            <adec:decorative xmlns:adec="http://schemas.microsoft.com/office/drawing/2017/decorative" val="1"/>
                          </a:ext>
                        </a:extLst>
                      </wps:cNvPr>
                      <wps:cNvSpPr>
                        <a:spLocks/>
                      </wps:cNvSpPr>
                      <wps:spPr bwMode="auto">
                        <a:xfrm>
                          <a:off x="1109" y="1884"/>
                          <a:ext cx="627" cy="314"/>
                        </a:xfrm>
                        <a:custGeom>
                          <a:avLst/>
                          <a:gdLst>
                            <a:gd name="T0" fmla="+- 0 1736 1109"/>
                            <a:gd name="T1" fmla="*/ T0 w 627"/>
                            <a:gd name="T2" fmla="+- 0 1884 1884"/>
                            <a:gd name="T3" fmla="*/ 1884 h 314"/>
                            <a:gd name="T4" fmla="+- 0 1109 1109"/>
                            <a:gd name="T5" fmla="*/ T4 w 627"/>
                            <a:gd name="T6" fmla="+- 0 1884 1884"/>
                            <a:gd name="T7" fmla="*/ 1884 h 314"/>
                            <a:gd name="T8" fmla="+- 0 1423 1109"/>
                            <a:gd name="T9" fmla="*/ T8 w 627"/>
                            <a:gd name="T10" fmla="+- 0 2197 1884"/>
                            <a:gd name="T11" fmla="*/ 2197 h 314"/>
                            <a:gd name="T12" fmla="+- 0 1736 1109"/>
                            <a:gd name="T13" fmla="*/ T12 w 627"/>
                            <a:gd name="T14" fmla="+- 0 1884 1884"/>
                            <a:gd name="T15" fmla="*/ 18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chemeClr val="bg1">
                            <a:lumMod val="100000"/>
                            <a:lumOff val="0"/>
                          </a:schemeClr>
                        </a:solidFill>
                        <a:ln>
                          <a:noFill/>
                        </a:ln>
                        <a:extLst>
                          <a:ext uri="{91240B29-F687-4F45-9708-019B960494DF}">
                            <a14:hiddenLine xmlns:a14="http://schemas.microsoft.com/office/drawing/2010/main" w="9525">
                              <a:solidFill>
                                <a:srgbClr val="009CD6"/>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CFCA5F" id="docshapegroup6" o:spid="_x0000_s1026" alt="&quot;&quot;" style="position:absolute;margin-left:0;margin-top:94.2pt;width:595.3pt;height:18.6pt;z-index:251659264;mso-position-horizontal-relative:page;mso-position-vertical-relative:page" coordorigin=",1884" coordsize="11906,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">
              <v:rect id="docshape7" o:spid="_x0000_s1027" alt="Header separator line" style="position:absolute;top:1944;width:1190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" fillcolor="#009cd6" strokecolor="#009cd6"/>
              <v:shape id="docshape8" o:spid="_x0000_s1028" alt="&quot;&quot;" style="position:absolute;left:1109;top:18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" path="m627,l,,314,313,627,xe" fillcolor="white [3212]" stroked="f" strokecolor="#009cd6">
                <v:path arrowok="t" o:connecttype="custom" o:connectlocs="627,1884;0,1884;314,2197;627,1884" o:connectangles="0,0,0,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D8717" w14:textId="4841DBD6" w:rsidR="00301285" w:rsidRPr="00D72623" w:rsidRDefault="00301285" w:rsidP="00D72623">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sidRPr="004F3F6F">
      <w:rPr>
        <w:rStyle w:val="PageNumber"/>
        <w:b/>
        <w:bCs/>
      </w:rPr>
      <w:t>i</w:t>
    </w:r>
    <w:proofErr w:type="spellStart"/>
    <w:r w:rsidRPr="004F3F6F">
      <w:rPr>
        <w:rStyle w:val="PageNumber"/>
        <w:b/>
        <w:bCs/>
      </w:rPr>
      <w:t>i</w:t>
    </w:r>
    <w:proofErr w:type="spellEnd"/>
    <w:r>
      <w:rPr>
        <w:rStyle w:val="PageNumber"/>
        <w:b/>
        <w:bCs/>
      </w:rPr>
      <w:fldChar w:fldCharType="end"/>
    </w:r>
    <w:r>
      <w:rPr>
        <w:lang w:val="en-US"/>
      </w:rPr>
      <w:tab/>
    </w:r>
    <w:r>
      <w:rPr>
        <w:b/>
        <w:bCs/>
        <w:lang w:val="en-US"/>
      </w:rPr>
      <w:fldChar w:fldCharType="begin"/>
    </w:r>
    <w:r>
      <w:rPr>
        <w:b/>
        <w:bCs/>
        <w:lang w:val="en-US"/>
      </w:rPr>
      <w:instrText xml:space="preserve"> DOCPROPERTY "Header" \* MERGEFORMAT </w:instrText>
    </w:r>
    <w:r>
      <w:rPr>
        <w:b/>
        <w:bCs/>
        <w:lang w:val="en-US"/>
      </w:rPr>
      <w:fldChar w:fldCharType="separate"/>
    </w:r>
    <w:r>
      <w:rPr>
        <w:b/>
        <w:bCs/>
        <w:lang w:val="en-US"/>
      </w:rPr>
      <w:t xml:space="preserve">Rec. </w:t>
    </w:r>
    <w:r>
      <w:rPr>
        <w:b/>
        <w:bCs/>
        <w:lang w:val="en-US"/>
      </w:rPr>
      <w:fldChar w:fldCharType="end"/>
    </w:r>
    <w:r w:rsidRPr="004F3F6F">
      <w:rPr>
        <w:b/>
        <w:bCs/>
      </w:rPr>
      <w:t xml:space="preserve"> </w:t>
    </w:r>
    <w:r>
      <w:rPr>
        <w:b/>
        <w:bCs/>
      </w:rPr>
      <w:fldChar w:fldCharType="begin"/>
    </w:r>
    <w:r>
      <w:rPr>
        <w:b/>
        <w:bCs/>
        <w:lang w:val="en-US"/>
      </w:rPr>
      <w:instrText>styleref href</w:instrText>
    </w:r>
    <w:r>
      <w:rPr>
        <w:b/>
        <w:bCs/>
      </w:rPr>
      <w:fldChar w:fldCharType="separate"/>
    </w:r>
    <w:r w:rsidR="007C75FD">
      <w:rPr>
        <w:b/>
        <w:bCs/>
        <w:noProof/>
        <w:lang w:val="en-US"/>
      </w:rPr>
      <w:t>UIT-R  SM.2110-2</w:t>
    </w:r>
    <w:r>
      <w:rPr>
        <w:b/>
        <w:bC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DC597" w14:textId="77777777" w:rsidR="00301285" w:rsidRDefault="00301285">
    <w:pPr>
      <w:pStyle w:val="Header"/>
    </w:pPr>
    <w:r>
      <w:tab/>
    </w:r>
    <w:r>
      <w:rPr>
        <w:b/>
        <w:bCs/>
      </w:rPr>
      <w:fldChar w:fldCharType="begin"/>
    </w:r>
    <w:r>
      <w:rPr>
        <w:b/>
        <w:bCs/>
      </w:rPr>
      <w:instrText xml:space="preserve"> DOCPROPERTY "Header" \* MERGEFORMAT </w:instrText>
    </w:r>
    <w:r>
      <w:rPr>
        <w:b/>
        <w:bCs/>
      </w:rPr>
      <w:fldChar w:fldCharType="separate"/>
    </w:r>
    <w:r>
      <w:rPr>
        <w:b/>
        <w:bCs/>
      </w:rPr>
      <w:t xml:space="preserve">Rec. </w:t>
    </w:r>
    <w:r>
      <w:rPr>
        <w:b/>
        <w:bCs/>
      </w:rPr>
      <w:fldChar w:fldCharType="end"/>
    </w:r>
    <w:r>
      <w:rPr>
        <w:b/>
        <w:bCs/>
      </w:rPr>
      <w:t xml:space="preserve"> </w:t>
    </w:r>
    <w:r>
      <w:rPr>
        <w:b/>
        <w:bCs/>
      </w:rPr>
      <w:fldChar w:fldCharType="begin"/>
    </w:r>
    <w:r>
      <w:rPr>
        <w:b/>
        <w:bCs/>
      </w:rPr>
      <w:instrText>styleref href</w:instrText>
    </w:r>
    <w:r>
      <w:rPr>
        <w:b/>
        <w:bCs/>
      </w:rPr>
      <w:fldChar w:fldCharType="separate"/>
    </w:r>
    <w:r>
      <w:rPr>
        <w:b/>
        <w:bCs/>
        <w:noProof/>
      </w:rPr>
      <w:t>UIT-R  SM.xxxx</w:t>
    </w:r>
    <w:r>
      <w:rPr>
        <w:b/>
        <w:bCs/>
      </w:rPr>
      <w:fldChar w:fldCharType="end"/>
    </w:r>
    <w:r>
      <w:tab/>
    </w: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noProof/>
      </w:rPr>
      <w:t>1</w:t>
    </w:r>
    <w:r>
      <w:rPr>
        <w:rStyle w:val="PageNumber"/>
        <w:b/>
        <w:bC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647D9" w14:textId="2D41D5F8" w:rsidR="00607D68" w:rsidRDefault="00607D68">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noProof/>
        <w:lang w:val="en-US"/>
      </w:rPr>
      <w:t>2</w:t>
    </w:r>
    <w:r>
      <w:rPr>
        <w:rStyle w:val="PageNumber"/>
        <w:b/>
        <w:bCs/>
      </w:rPr>
      <w:fldChar w:fldCharType="end"/>
    </w:r>
    <w:r>
      <w:rPr>
        <w:lang w:val="en-US"/>
      </w:rPr>
      <w:tab/>
    </w:r>
    <w:r w:rsidR="009E00A8">
      <w:rPr>
        <w:lang w:val="fr-FR"/>
      </w:rPr>
      <w:fldChar w:fldCharType="begin"/>
    </w:r>
    <w:r w:rsidR="009E00A8" w:rsidRPr="009E00A8">
      <w:rPr>
        <w:lang w:val="en-US"/>
      </w:rPr>
      <w:instrText xml:space="preserve"> DOCPROPERTY "Header" \* MERGEFORMAT </w:instrText>
    </w:r>
    <w:r w:rsidR="009E00A8">
      <w:rPr>
        <w:lang w:val="fr-FR"/>
      </w:rPr>
      <w:fldChar w:fldCharType="separate"/>
    </w:r>
    <w:r w:rsidR="00301285" w:rsidRPr="00301285">
      <w:rPr>
        <w:b/>
        <w:bCs/>
        <w:lang w:val="en-US"/>
      </w:rPr>
      <w:t xml:space="preserve">Rec. </w:t>
    </w:r>
    <w:r w:rsidR="009E00A8">
      <w:rPr>
        <w:b/>
        <w:bCs/>
        <w:lang w:val="en-US"/>
      </w:rPr>
      <w:fldChar w:fldCharType="end"/>
    </w:r>
    <w:r w:rsidRPr="009E00A8">
      <w:rPr>
        <w:b/>
        <w:bCs/>
        <w:lang w:val="en-US"/>
      </w:rPr>
      <w:t xml:space="preserve"> </w:t>
    </w:r>
    <w:r>
      <w:rPr>
        <w:b/>
        <w:bCs/>
      </w:rPr>
      <w:fldChar w:fldCharType="begin"/>
    </w:r>
    <w:r>
      <w:rPr>
        <w:b/>
        <w:bCs/>
        <w:lang w:val="en-US"/>
      </w:rPr>
      <w:instrText>styleref href</w:instrText>
    </w:r>
    <w:r>
      <w:rPr>
        <w:b/>
        <w:bCs/>
      </w:rPr>
      <w:fldChar w:fldCharType="separate"/>
    </w:r>
    <w:r w:rsidR="007C75FD">
      <w:rPr>
        <w:b/>
        <w:bCs/>
        <w:noProof/>
        <w:lang w:val="en-US"/>
      </w:rPr>
      <w:t>UIT-R  SM.2110-2</w:t>
    </w:r>
    <w:r>
      <w:rPr>
        <w:b/>
        <w:bCs/>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8BD6B" w14:textId="57EB3210" w:rsidR="00607D68" w:rsidRDefault="00607D68">
    <w:pPr>
      <w:pStyle w:val="Header"/>
    </w:pPr>
    <w:r>
      <w:tab/>
    </w:r>
    <w:r w:rsidR="00DC2B47">
      <w:fldChar w:fldCharType="begin"/>
    </w:r>
    <w:r w:rsidR="00DC2B47">
      <w:instrText xml:space="preserve"> DOCPROPERTY "Header" \* MERGEFORMAT </w:instrText>
    </w:r>
    <w:r w:rsidR="00DC2B47">
      <w:fldChar w:fldCharType="separate"/>
    </w:r>
    <w:r w:rsidR="00301285" w:rsidRPr="00301285">
      <w:rPr>
        <w:b/>
        <w:bCs/>
      </w:rPr>
      <w:t xml:space="preserve">Rec. </w:t>
    </w:r>
    <w:r w:rsidR="00DC2B47">
      <w:rPr>
        <w:b/>
        <w:bCs/>
      </w:rPr>
      <w:fldChar w:fldCharType="end"/>
    </w:r>
    <w:r>
      <w:rPr>
        <w:b/>
        <w:bCs/>
      </w:rPr>
      <w:t xml:space="preserve"> </w:t>
    </w:r>
    <w:r>
      <w:rPr>
        <w:b/>
        <w:bCs/>
      </w:rPr>
      <w:fldChar w:fldCharType="begin"/>
    </w:r>
    <w:r>
      <w:rPr>
        <w:b/>
        <w:bCs/>
      </w:rPr>
      <w:instrText>styleref href</w:instrText>
    </w:r>
    <w:r>
      <w:rPr>
        <w:b/>
        <w:bCs/>
      </w:rPr>
      <w:fldChar w:fldCharType="separate"/>
    </w:r>
    <w:r w:rsidR="007C75FD">
      <w:rPr>
        <w:b/>
        <w:bCs/>
        <w:noProof/>
      </w:rPr>
      <w:t>UIT-R  SM.2110-2</w:t>
    </w:r>
    <w:r>
      <w:rPr>
        <w:b/>
        <w:bCs/>
      </w:rPr>
      <w:fldChar w:fldCharType="end"/>
    </w:r>
    <w:r>
      <w:tab/>
    </w:r>
    <w:r>
      <w:rPr>
        <w:rStyle w:val="PageNumber"/>
        <w:b/>
        <w:bCs/>
      </w:rPr>
      <w:fldChar w:fldCharType="begin"/>
    </w:r>
    <w:r>
      <w:rPr>
        <w:rStyle w:val="PageNumber"/>
        <w:b/>
        <w:bCs/>
      </w:rPr>
      <w:instrText xml:space="preserve"> PAGE </w:instrText>
    </w:r>
    <w:r>
      <w:rPr>
        <w:rStyle w:val="PageNumber"/>
        <w:b/>
        <w:bCs/>
      </w:rPr>
      <w:fldChar w:fldCharType="separate"/>
    </w:r>
    <w:r w:rsidR="00242AEE">
      <w:rPr>
        <w:rStyle w:val="PageNumber"/>
        <w:b/>
        <w:bCs/>
        <w:noProof/>
      </w:rPr>
      <w:t>1</w:t>
    </w:r>
    <w:r>
      <w:rPr>
        <w:rStyle w:val="PageNumber"/>
        <w:b/>
        <w:bCs/>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mirrorMargins/>
  <w:hideSpellingErrors/>
  <w:hideGrammaticalErrors/>
  <w:activeWritingStyle w:appName="MSWord" w:lang="en-US" w:vendorID="64" w:dllVersion="5" w:nlCheck="1" w:checkStyle="0"/>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activeWritingStyle w:appName="MSWord" w:lang="en-GB"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285"/>
    <w:rsid w:val="00217EBF"/>
    <w:rsid w:val="00242AEE"/>
    <w:rsid w:val="002D76C4"/>
    <w:rsid w:val="00301285"/>
    <w:rsid w:val="0052529D"/>
    <w:rsid w:val="00607D68"/>
    <w:rsid w:val="007468DA"/>
    <w:rsid w:val="007C75FD"/>
    <w:rsid w:val="009E00A8"/>
    <w:rsid w:val="00A6617B"/>
    <w:rsid w:val="00AB0DC8"/>
    <w:rsid w:val="00B44E24"/>
    <w:rsid w:val="00B65C62"/>
    <w:rsid w:val="00DC2B47"/>
    <w:rsid w:val="00DF417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01132A"/>
  <w15:docId w15:val="{4CDCF593-E64F-4EE3-8B79-B8F6EDAC5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2B47"/>
    <w:pPr>
      <w:tabs>
        <w:tab w:val="left" w:pos="794"/>
        <w:tab w:val="left" w:pos="1191"/>
        <w:tab w:val="left" w:pos="1588"/>
        <w:tab w:val="left" w:pos="1985"/>
      </w:tabs>
      <w:overflowPunct w:val="0"/>
      <w:autoSpaceDE w:val="0"/>
      <w:autoSpaceDN w:val="0"/>
      <w:adjustRightInd w:val="0"/>
      <w:spacing w:before="120"/>
      <w:jc w:val="both"/>
      <w:textAlignment w:val="baseline"/>
    </w:pPr>
    <w:rPr>
      <w:sz w:val="24"/>
      <w:lang w:val="en-GB" w:eastAsia="en-US"/>
    </w:rPr>
  </w:style>
  <w:style w:type="paragraph" w:styleId="Heading1">
    <w:name w:val="heading 1"/>
    <w:basedOn w:val="Normal"/>
    <w:next w:val="Normal"/>
    <w:link w:val="Heading1Char"/>
    <w:qFormat/>
    <w:pPr>
      <w:keepNext/>
      <w:keepLine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992"/>
      </w:tabs>
      <w:ind w:left="992" w:hanging="992"/>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992"/>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jc w:val="left"/>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lear" w:pos="794"/>
        <w:tab w:val="clear" w:pos="1191"/>
        <w:tab w:val="clear" w:pos="1588"/>
        <w:tab w:val="clear" w:pos="1985"/>
        <w:tab w:val="center" w:pos="4848"/>
        <w:tab w:val="right" w:pos="9696"/>
      </w:tabs>
      <w:spacing w:before="0"/>
      <w:jc w:val="center"/>
    </w:pPr>
  </w:style>
  <w:style w:type="paragraph" w:styleId="Footer">
    <w:name w:val="footer"/>
    <w:basedOn w:val="Normal"/>
    <w:link w:val="FooterChar"/>
    <w:pPr>
      <w:tabs>
        <w:tab w:val="clear" w:pos="794"/>
        <w:tab w:val="clear" w:pos="1191"/>
        <w:tab w:val="clear" w:pos="1588"/>
        <w:tab w:val="clear" w:pos="1985"/>
      </w:tabs>
      <w:spacing w:before="0"/>
    </w:pPr>
    <w:rPr>
      <w:noProof/>
      <w:sz w:val="18"/>
    </w:rPr>
  </w:style>
  <w:style w:type="character" w:styleId="PageNumber">
    <w:name w:val="page number"/>
    <w:basedOn w:val="DefaultParagraphFont"/>
  </w:style>
  <w:style w:type="paragraph" w:customStyle="1" w:styleId="Headingb">
    <w:name w:val="Heading_b"/>
    <w:basedOn w:val="Heading3"/>
    <w:next w:val="Normal"/>
    <w:link w:val="HeadingbChar"/>
    <w:qFormat/>
    <w:pPr>
      <w:spacing w:before="160"/>
      <w:ind w:left="0" w:firstLine="0"/>
      <w:outlineLvl w:val="9"/>
    </w:pPr>
  </w:style>
  <w:style w:type="paragraph" w:customStyle="1" w:styleId="Headingi">
    <w:name w:val="Heading_i"/>
    <w:basedOn w:val="Heading3"/>
    <w:next w:val="Normal"/>
    <w:pPr>
      <w:spacing w:before="160"/>
      <w:ind w:left="0" w:firstLine="0"/>
    </w:pPr>
    <w:rPr>
      <w:b w:val="0"/>
      <w:i/>
    </w:rPr>
  </w:style>
  <w:style w:type="character" w:customStyle="1" w:styleId="href">
    <w:name w:val="href"/>
    <w:basedOn w:val="DefaultParagraphFont"/>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Normalaftertitle">
    <w:name w:val="Normal_after_title"/>
    <w:basedOn w:val="Normal"/>
    <w:next w:val="Normal"/>
    <w:pPr>
      <w:spacing w:before="320"/>
    </w:pPr>
  </w:style>
  <w:style w:type="paragraph" w:customStyle="1" w:styleId="Note">
    <w:name w:val="Note"/>
    <w:basedOn w:val="Normal"/>
    <w:pPr>
      <w:tabs>
        <w:tab w:val="clear" w:pos="794"/>
        <w:tab w:val="clear" w:pos="1191"/>
        <w:tab w:val="clear" w:pos="1588"/>
        <w:tab w:val="clear" w:pos="1985"/>
      </w:tabs>
      <w:spacing w:before="80"/>
    </w:pPr>
    <w:rPr>
      <w:sz w:val="22"/>
    </w:rPr>
  </w:style>
  <w:style w:type="paragraph" w:customStyle="1" w:styleId="RecNo">
    <w:name w:val="Rec_No"/>
    <w:basedOn w:val="Normal"/>
    <w:next w:val="Rectitle"/>
    <w:pPr>
      <w:keepNext/>
      <w:keepLines/>
      <w:tabs>
        <w:tab w:val="clear" w:pos="794"/>
        <w:tab w:val="clear" w:pos="1191"/>
        <w:tab w:val="clear" w:pos="1588"/>
        <w:tab w:val="clear" w:pos="1985"/>
      </w:tabs>
      <w:spacing w:before="480"/>
      <w:jc w:val="center"/>
    </w:pPr>
    <w:rPr>
      <w:sz w:val="28"/>
    </w:rPr>
  </w:style>
  <w:style w:type="paragraph" w:customStyle="1" w:styleId="HeadingSum">
    <w:name w:val="Heading_Sum"/>
    <w:basedOn w:val="Headingb"/>
    <w:next w:val="Normal"/>
    <w:autoRedefine/>
    <w:rsid w:val="00242AEE"/>
    <w:pPr>
      <w:spacing w:before="240"/>
    </w:pPr>
    <w:rPr>
      <w:sz w:val="22"/>
      <w:lang w:val="es-ES_tradnl"/>
    </w:rPr>
  </w:style>
  <w:style w:type="paragraph" w:customStyle="1" w:styleId="Recref">
    <w:name w:val="Rec_ref"/>
    <w:basedOn w:val="Normal"/>
    <w:next w:val="Recdate"/>
    <w:pPr>
      <w:jc w:val="center"/>
    </w:pPr>
  </w:style>
  <w:style w:type="paragraph" w:customStyle="1" w:styleId="Recdate">
    <w:name w:val="Rec_date"/>
    <w:basedOn w:val="Recref"/>
    <w:next w:val="Normalaftertitle"/>
    <w:pPr>
      <w:jc w:val="right"/>
    </w:pPr>
  </w:style>
  <w:style w:type="paragraph" w:customStyle="1" w:styleId="AnnexNoTitle">
    <w:name w:val="Annex_NoTitle"/>
    <w:basedOn w:val="Normal"/>
    <w:next w:val="Normalaftertitle"/>
    <w:pPr>
      <w:keepNext/>
      <w:keepLines/>
      <w:spacing w:before="480" w:after="80"/>
      <w:jc w:val="center"/>
    </w:pPr>
    <w:rPr>
      <w:b/>
      <w:sz w:val="28"/>
    </w:rPr>
  </w:style>
  <w:style w:type="paragraph" w:customStyle="1" w:styleId="AppendixNoTitle">
    <w:name w:val="Appendix_NoTitle"/>
    <w:basedOn w:val="AnnexNoTitle"/>
    <w:next w:val="Normal"/>
  </w:style>
  <w:style w:type="paragraph" w:customStyle="1" w:styleId="Tablefin">
    <w:name w:val="Table_fin"/>
    <w:basedOn w:val="Normal"/>
    <w:next w:val="Normal"/>
    <w:pPr>
      <w:spacing w:before="0"/>
    </w:pPr>
    <w:rPr>
      <w:sz w:val="20"/>
    </w:rPr>
  </w:style>
  <w:style w:type="paragraph" w:customStyle="1" w:styleId="Tablehead">
    <w:name w:val="Table_head"/>
    <w:basedOn w:val="Normal"/>
    <w:next w:val="Normal"/>
    <w:link w:val="TableheadChar"/>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2"/>
    </w:rPr>
  </w:style>
  <w:style w:type="paragraph" w:customStyle="1" w:styleId="TableNo">
    <w:name w:val="Table_No"/>
    <w:basedOn w:val="Normal"/>
    <w:next w:val="Normal"/>
    <w:link w:val="TableNoChar"/>
    <w:pPr>
      <w:keepNext/>
      <w:spacing w:before="360" w:after="120"/>
      <w:jc w:val="center"/>
    </w:pPr>
  </w:style>
  <w:style w:type="paragraph" w:customStyle="1" w:styleId="Tabletext">
    <w:name w:val="Table_text"/>
    <w:basedOn w:val="Normal"/>
    <w:link w:val="TabletextChar"/>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Equationlegend">
    <w:name w:val="Equation_legend"/>
    <w:basedOn w:val="NormalIndent"/>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pPr>
      <w:ind w:left="794"/>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DF4176"/>
    <w:pPr>
      <w:keepNext/>
      <w:keepLines/>
      <w:spacing w:before="480" w:after="80"/>
      <w:jc w:val="center"/>
    </w:pPr>
    <w:rPr>
      <w:caps/>
      <w:sz w:val="18"/>
    </w:rPr>
  </w:style>
  <w:style w:type="paragraph" w:customStyle="1" w:styleId="tocpart">
    <w:name w:val="tocpart"/>
    <w:basedOn w:val="Normal"/>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pPr>
      <w:keepNext/>
      <w:keepLines/>
      <w:spacing w:before="480"/>
      <w:jc w:val="center"/>
    </w:pPr>
    <w:rPr>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Blanc">
    <w:name w:val="Blanc"/>
    <w:basedOn w:val="Normal"/>
    <w:next w:val="Tabletext"/>
    <w:pPr>
      <w:keepNext/>
      <w:keepLines/>
      <w:tabs>
        <w:tab w:val="clear" w:pos="794"/>
        <w:tab w:val="clear" w:pos="1191"/>
        <w:tab w:val="clear" w:pos="1588"/>
        <w:tab w:val="clear" w:pos="1985"/>
      </w:tabs>
      <w:spacing w:before="0"/>
    </w:pPr>
    <w:rPr>
      <w:sz w:val="16"/>
    </w:rPr>
  </w:style>
  <w:style w:type="paragraph" w:customStyle="1" w:styleId="ASN1">
    <w:name w:val="ASN.1"/>
    <w:basedOn w:val="Normal"/>
    <w:next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pPr>
      <w:keepNext/>
      <w:keepLines/>
      <w:spacing w:before="160"/>
      <w:ind w:left="794"/>
    </w:pPr>
    <w:rPr>
      <w:i/>
    </w:rPr>
  </w:style>
  <w:style w:type="paragraph" w:customStyle="1" w:styleId="ChapNo">
    <w:name w:val="Chap_No"/>
    <w:basedOn w:val="ArtNo"/>
    <w:next w:val="Chaptitle"/>
    <w:rPr>
      <w:b/>
    </w:rPr>
  </w:style>
  <w:style w:type="paragraph" w:customStyle="1" w:styleId="Chaptitle">
    <w:name w:val="Chap_title"/>
    <w:basedOn w:val="Arttitle"/>
    <w:next w:val="Normalaftertitle"/>
  </w:style>
  <w:style w:type="character" w:styleId="FootnoteReference">
    <w:name w:val="footnote reference"/>
    <w:basedOn w:val="DefaultParagraphFont"/>
    <w:semiHidden/>
    <w:rPr>
      <w:position w:val="6"/>
      <w:sz w:val="18"/>
    </w:rPr>
  </w:style>
  <w:style w:type="paragraph" w:styleId="FootnoteText">
    <w:name w:val="footnote text"/>
    <w:basedOn w:val="Normal"/>
    <w:semiHidden/>
    <w:pPr>
      <w:keepLines/>
      <w:tabs>
        <w:tab w:val="left" w:pos="255"/>
      </w:tabs>
      <w:ind w:left="255" w:hanging="255"/>
    </w:pPr>
    <w:rPr>
      <w:sz w:val="22"/>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Heading">
    <w:name w:val="index heading"/>
    <w:basedOn w:val="Normal"/>
    <w:next w:val="Index1"/>
    <w:semiHidden/>
  </w:style>
  <w:style w:type="paragraph" w:customStyle="1" w:styleId="Line">
    <w:name w:val="Line"/>
    <w:basedOn w:val="Normal"/>
    <w:next w:val="Normal"/>
    <w:pPr>
      <w:pBdr>
        <w:top w:val="single" w:sz="6" w:space="1" w:color="auto"/>
      </w:pBdr>
      <w:tabs>
        <w:tab w:val="clear" w:pos="794"/>
        <w:tab w:val="clear" w:pos="1191"/>
        <w:tab w:val="clear" w:pos="1588"/>
        <w:tab w:val="clear" w:pos="1985"/>
      </w:tabs>
      <w:spacing w:before="240"/>
      <w:ind w:left="3997" w:right="3997"/>
      <w:jc w:val="center"/>
    </w:pPr>
    <w:rPr>
      <w:sz w:val="20"/>
    </w:rPr>
  </w:style>
  <w:style w:type="paragraph" w:customStyle="1" w:styleId="toctemp">
    <w:name w:val="toctemp"/>
    <w:basedOn w:val="Normal"/>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style>
  <w:style w:type="paragraph" w:customStyle="1" w:styleId="Partref">
    <w:name w:val="Part_ref"/>
    <w:basedOn w:val="Normal"/>
    <w:next w:val="Normal"/>
    <w:pPr>
      <w:keepNext/>
      <w:keepLines/>
      <w:spacing w:after="280"/>
      <w:jc w:val="center"/>
    </w:pPr>
  </w:style>
  <w:style w:type="paragraph" w:customStyle="1" w:styleId="Parttitle">
    <w:name w:val="Part_title"/>
    <w:basedOn w:val="Normal"/>
    <w:next w:val="Normalaftertitle"/>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style>
  <w:style w:type="paragraph" w:customStyle="1" w:styleId="QuestionNo">
    <w:name w:val="Question_No"/>
    <w:basedOn w:val="RecNo"/>
    <w:next w:val="Normal"/>
  </w:style>
  <w:style w:type="paragraph" w:customStyle="1" w:styleId="Questionref">
    <w:name w:val="Question_ref"/>
    <w:basedOn w:val="Recref"/>
    <w:next w:val="Questiondate"/>
  </w:style>
  <w:style w:type="paragraph" w:customStyle="1" w:styleId="Questiontitle">
    <w:name w:val="Question_title"/>
    <w:basedOn w:val="Normal"/>
    <w:next w:val="Questionref"/>
  </w:style>
  <w:style w:type="paragraph" w:customStyle="1" w:styleId="Reftext">
    <w:name w:val="Ref_text"/>
    <w:basedOn w:val="Normal"/>
    <w:pPr>
      <w:ind w:left="794" w:hanging="794"/>
    </w:pPr>
    <w:rPr>
      <w:sz w:val="22"/>
    </w:rPr>
  </w:style>
  <w:style w:type="paragraph" w:customStyle="1" w:styleId="Reftitle">
    <w:name w:val="Ref_title"/>
    <w:basedOn w:val="Normal"/>
    <w:next w:val="Reftext"/>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Restitle"/>
  </w:style>
  <w:style w:type="paragraph" w:customStyle="1" w:styleId="Resref">
    <w:name w:val="Res_ref"/>
    <w:basedOn w:val="Recref"/>
    <w:next w:val="Resdate"/>
  </w:style>
  <w:style w:type="paragraph" w:customStyle="1" w:styleId="Restitle">
    <w:name w:val="Res_title"/>
    <w:basedOn w:val="Normal"/>
    <w:next w:val="Resref"/>
    <w:rsid w:val="00AB0DC8"/>
    <w:pPr>
      <w:spacing w:before="240"/>
      <w:jc w:val="center"/>
    </w:pPr>
    <w:rPr>
      <w:b/>
      <w:sz w:val="28"/>
    </w:rPr>
  </w:style>
  <w:style w:type="paragraph" w:customStyle="1" w:styleId="SectionNo">
    <w:name w:val="Section_No"/>
    <w:basedOn w:val="Normal"/>
    <w:next w:val="Normal"/>
  </w:style>
  <w:style w:type="paragraph" w:customStyle="1" w:styleId="Sectiontitle">
    <w:name w:val="Section_title"/>
    <w:basedOn w:val="Normal"/>
    <w:next w:val="Normalaftertitle"/>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TOC1"/>
    <w:pPr>
      <w:tabs>
        <w:tab w:val="clear" w:pos="794"/>
        <w:tab w:val="clear" w:pos="1191"/>
        <w:tab w:val="clear" w:pos="1588"/>
        <w:tab w:val="clear" w:pos="1985"/>
        <w:tab w:val="right" w:pos="9611"/>
      </w:tabs>
    </w:pPr>
    <w:rPr>
      <w:i/>
    </w:rPr>
  </w:style>
  <w:style w:type="paragraph" w:styleId="TOC1">
    <w:name w:val="toc 1"/>
    <w:basedOn w:val="Normal"/>
    <w:semiHidden/>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semiHidden/>
    <w:pPr>
      <w:tabs>
        <w:tab w:val="clear" w:pos="567"/>
        <w:tab w:val="left" w:pos="1276"/>
      </w:tabs>
      <w:spacing w:before="160"/>
      <w:ind w:left="1276" w:hanging="709"/>
    </w:pPr>
  </w:style>
  <w:style w:type="paragraph" w:styleId="TOC3">
    <w:name w:val="toc 3"/>
    <w:basedOn w:val="TOC2"/>
    <w:semiHidden/>
    <w:pPr>
      <w:tabs>
        <w:tab w:val="clear" w:pos="1276"/>
        <w:tab w:val="left" w:pos="2155"/>
      </w:tabs>
      <w:ind w:left="2155" w:hanging="879"/>
    </w:pPr>
  </w:style>
  <w:style w:type="paragraph" w:styleId="TOC4">
    <w:name w:val="toc 4"/>
    <w:basedOn w:val="TOC3"/>
    <w:semiHidden/>
    <w:pPr>
      <w:tabs>
        <w:tab w:val="left" w:pos="3261"/>
      </w:tabs>
      <w:spacing w:before="80"/>
      <w:ind w:left="3261" w:hanging="993"/>
    </w:pPr>
  </w:style>
  <w:style w:type="paragraph" w:styleId="TOC5">
    <w:name w:val="toc 5"/>
    <w:basedOn w:val="TOC4"/>
    <w:semiHidden/>
  </w:style>
  <w:style w:type="paragraph" w:styleId="TOC6">
    <w:name w:val="toc 6"/>
    <w:basedOn w:val="TOC4"/>
    <w:semiHidden/>
  </w:style>
  <w:style w:type="paragraph" w:styleId="TOC7">
    <w:name w:val="toc 7"/>
    <w:basedOn w:val="TOC4"/>
    <w:semiHidden/>
  </w:style>
  <w:style w:type="paragraph" w:styleId="TOC8">
    <w:name w:val="toc 8"/>
    <w:basedOn w:val="TOC4"/>
    <w:semiHidden/>
  </w:style>
  <w:style w:type="paragraph" w:customStyle="1" w:styleId="Rectitle">
    <w:name w:val="Rec_title"/>
    <w:basedOn w:val="Normal"/>
    <w:next w:val="Recref"/>
    <w:pPr>
      <w:keepNext/>
      <w:keepLines/>
      <w:spacing w:before="240"/>
      <w:jc w:val="center"/>
    </w:pPr>
    <w:rPr>
      <w:b/>
      <w:sz w:val="28"/>
    </w:rPr>
  </w:style>
  <w:style w:type="paragraph" w:customStyle="1" w:styleId="Annexref">
    <w:name w:val="Annex_ref"/>
    <w:basedOn w:val="Normal"/>
    <w:next w:val="Normalaftertitle"/>
    <w:pPr>
      <w:keepNext/>
      <w:keepLines/>
      <w:spacing w:after="280"/>
      <w:jc w:val="center"/>
    </w:pPr>
  </w:style>
  <w:style w:type="paragraph" w:customStyle="1" w:styleId="Appendixref">
    <w:name w:val="Appendix_ref"/>
    <w:basedOn w:val="Annexref"/>
    <w:next w:val="Normalaftertitle"/>
  </w:style>
  <w:style w:type="paragraph" w:customStyle="1" w:styleId="Figuretitle">
    <w:name w:val="Figure_title"/>
    <w:basedOn w:val="Normal"/>
    <w:next w:val="Figure"/>
    <w:pPr>
      <w:keepNext/>
      <w:spacing w:before="0" w:after="120"/>
      <w:jc w:val="center"/>
    </w:pPr>
    <w:rPr>
      <w:rFonts w:ascii="Times New Roman Bold" w:hAnsi="Times New Roman Bold"/>
      <w:b/>
      <w:sz w:val="18"/>
    </w:rPr>
  </w:style>
  <w:style w:type="paragraph" w:customStyle="1" w:styleId="Tabletitle">
    <w:name w:val="Table_title"/>
    <w:basedOn w:val="Normal"/>
    <w:next w:val="Tablehead"/>
    <w:link w:val="TabletitleChar"/>
    <w:pPr>
      <w:keepNext/>
      <w:spacing w:before="0" w:after="120"/>
      <w:jc w:val="center"/>
    </w:pPr>
    <w:rPr>
      <w:b/>
    </w:rPr>
  </w:style>
  <w:style w:type="paragraph" w:customStyle="1" w:styleId="Summary">
    <w:name w:val="Summary"/>
    <w:basedOn w:val="Normal"/>
    <w:next w:val="Normalaftertitle"/>
    <w:autoRedefine/>
    <w:rsid w:val="00242AEE"/>
    <w:pPr>
      <w:spacing w:after="480"/>
    </w:pPr>
    <w:rPr>
      <w:sz w:val="22"/>
      <w:lang w:val="es-ES_tradnl"/>
    </w:rPr>
  </w:style>
  <w:style w:type="paragraph" w:customStyle="1" w:styleId="TableLegendNote">
    <w:name w:val="Table_Legend_Note"/>
    <w:basedOn w:val="Tablelegend"/>
    <w:next w:val="Tablelegend"/>
    <w:rsid w:val="007468DA"/>
    <w:pPr>
      <w:ind w:left="-85" w:firstLine="0"/>
    </w:pPr>
    <w:rPr>
      <w:lang w:val="en-US"/>
    </w:rPr>
  </w:style>
  <w:style w:type="paragraph" w:customStyle="1" w:styleId="Figure">
    <w:name w:val="Figure"/>
    <w:basedOn w:val="FigureNo"/>
    <w:next w:val="Normal"/>
    <w:rsid w:val="00A6617B"/>
    <w:pPr>
      <w:keepNext w:val="0"/>
      <w:spacing w:before="0" w:after="240"/>
    </w:pPr>
  </w:style>
  <w:style w:type="character" w:customStyle="1" w:styleId="Heading1Char">
    <w:name w:val="Heading 1 Char"/>
    <w:basedOn w:val="DefaultParagraphFont"/>
    <w:link w:val="Heading1"/>
    <w:rsid w:val="00301285"/>
    <w:rPr>
      <w:b/>
      <w:sz w:val="24"/>
      <w:lang w:val="en-GB" w:eastAsia="en-US"/>
    </w:rPr>
  </w:style>
  <w:style w:type="character" w:customStyle="1" w:styleId="HeaderChar">
    <w:name w:val="Header Char"/>
    <w:basedOn w:val="DefaultParagraphFont"/>
    <w:link w:val="Header"/>
    <w:uiPriority w:val="99"/>
    <w:rsid w:val="00301285"/>
    <w:rPr>
      <w:sz w:val="24"/>
      <w:lang w:val="en-GB" w:eastAsia="en-US"/>
    </w:rPr>
  </w:style>
  <w:style w:type="character" w:customStyle="1" w:styleId="FooterChar">
    <w:name w:val="Footer Char"/>
    <w:basedOn w:val="DefaultParagraphFont"/>
    <w:link w:val="Footer"/>
    <w:rsid w:val="00301285"/>
    <w:rPr>
      <w:noProof/>
      <w:sz w:val="18"/>
      <w:lang w:val="en-GB" w:eastAsia="en-US"/>
    </w:rPr>
  </w:style>
  <w:style w:type="character" w:styleId="Hyperlink">
    <w:name w:val="Hyperlink"/>
    <w:aliases w:val="超级链接,ECC Hyperlink"/>
    <w:basedOn w:val="DefaultParagraphFont"/>
    <w:uiPriority w:val="99"/>
    <w:rsid w:val="00301285"/>
    <w:rPr>
      <w:color w:val="0000FF"/>
      <w:u w:val="single"/>
    </w:rPr>
  </w:style>
  <w:style w:type="table" w:styleId="TableGrid">
    <w:name w:val="Table Grid"/>
    <w:basedOn w:val="TableNormal"/>
    <w:uiPriority w:val="59"/>
    <w:qFormat/>
    <w:rsid w:val="0030128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Number">
    <w:name w:val="Cover Number"/>
    <w:basedOn w:val="Normal"/>
    <w:qFormat/>
    <w:rsid w:val="00301285"/>
    <w:pPr>
      <w:widowControl w:val="0"/>
      <w:tabs>
        <w:tab w:val="clear" w:pos="794"/>
        <w:tab w:val="clear" w:pos="1191"/>
        <w:tab w:val="clear" w:pos="1588"/>
        <w:tab w:val="clear" w:pos="1985"/>
      </w:tabs>
      <w:overflowPunct/>
      <w:adjustRightInd/>
      <w:spacing w:before="93"/>
      <w:ind w:left="284"/>
      <w:jc w:val="left"/>
      <w:textAlignment w:val="auto"/>
      <w:outlineLvl w:val="0"/>
    </w:pPr>
    <w:rPr>
      <w:rFonts w:ascii="Arial" w:eastAsia="AvenirNext LT Pro Medium" w:hAnsi="Arial" w:cs="AvenirNext LT Pro Medium"/>
      <w:b/>
      <w:bCs/>
      <w:spacing w:val="-10"/>
      <w:sz w:val="44"/>
      <w:szCs w:val="52"/>
      <w:lang w:val="en-US"/>
    </w:rPr>
  </w:style>
  <w:style w:type="paragraph" w:customStyle="1" w:styleId="CoverDate">
    <w:name w:val="Cover Date"/>
    <w:basedOn w:val="Normal"/>
    <w:qFormat/>
    <w:rsid w:val="00301285"/>
    <w:pPr>
      <w:widowControl w:val="0"/>
      <w:tabs>
        <w:tab w:val="clear" w:pos="794"/>
        <w:tab w:val="clear" w:pos="1191"/>
        <w:tab w:val="clear" w:pos="1588"/>
        <w:tab w:val="clear" w:pos="1985"/>
      </w:tabs>
      <w:overflowPunct/>
      <w:adjustRightInd/>
      <w:spacing w:before="126"/>
      <w:ind w:left="284"/>
      <w:jc w:val="left"/>
      <w:textAlignment w:val="auto"/>
    </w:pPr>
    <w:rPr>
      <w:rFonts w:ascii="Arial" w:eastAsia="AvenirNext LT Pro Regular" w:hAnsi="Arial" w:cs="AvenirNext LT Pro Regular"/>
      <w:b/>
      <w:spacing w:val="-2"/>
      <w:sz w:val="36"/>
      <w:szCs w:val="22"/>
      <w:lang w:val="en-US"/>
    </w:rPr>
  </w:style>
  <w:style w:type="paragraph" w:customStyle="1" w:styleId="CoverSeries">
    <w:name w:val="Cover Series"/>
    <w:basedOn w:val="Normal"/>
    <w:qFormat/>
    <w:rsid w:val="00301285"/>
    <w:pPr>
      <w:widowControl w:val="0"/>
      <w:tabs>
        <w:tab w:val="clear" w:pos="794"/>
        <w:tab w:val="clear" w:pos="1191"/>
        <w:tab w:val="clear" w:pos="1588"/>
        <w:tab w:val="clear" w:pos="1985"/>
      </w:tabs>
      <w:overflowPunct/>
      <w:adjustRightInd/>
      <w:spacing w:before="241" w:line="244" w:lineRule="auto"/>
      <w:ind w:left="284"/>
      <w:jc w:val="left"/>
      <w:textAlignment w:val="auto"/>
    </w:pPr>
    <w:rPr>
      <w:rFonts w:ascii="Arial" w:eastAsia="AvenirNext LT Pro Regular" w:hAnsi="Arial" w:cs="AvenirNext LT Pro Regular"/>
      <w:bCs/>
      <w:color w:val="1A1A1A"/>
      <w:spacing w:val="-4"/>
      <w:sz w:val="40"/>
      <w:szCs w:val="48"/>
      <w:lang w:val="en-US"/>
    </w:rPr>
  </w:style>
  <w:style w:type="paragraph" w:customStyle="1" w:styleId="CoverTitle">
    <w:name w:val="Cover Title"/>
    <w:basedOn w:val="Normal"/>
    <w:qFormat/>
    <w:rsid w:val="00301285"/>
    <w:pPr>
      <w:widowControl w:val="0"/>
      <w:tabs>
        <w:tab w:val="clear" w:pos="794"/>
        <w:tab w:val="clear" w:pos="1191"/>
        <w:tab w:val="clear" w:pos="1588"/>
        <w:tab w:val="clear" w:pos="1985"/>
      </w:tabs>
      <w:overflowPunct/>
      <w:adjustRightInd/>
      <w:spacing w:before="338" w:line="244" w:lineRule="auto"/>
      <w:ind w:left="284" w:right="1002"/>
      <w:jc w:val="left"/>
      <w:textAlignment w:val="auto"/>
    </w:pPr>
    <w:rPr>
      <w:rFonts w:ascii="Arial" w:eastAsia="AvenirNext LT Pro Regular" w:hAnsi="Arial" w:cs="AvenirNext LT Pro Regular"/>
      <w:b/>
      <w:bCs/>
      <w:sz w:val="44"/>
      <w:szCs w:val="48"/>
      <w:lang w:val="en-US"/>
    </w:rPr>
  </w:style>
  <w:style w:type="character" w:styleId="UnresolvedMention">
    <w:name w:val="Unresolved Mention"/>
    <w:basedOn w:val="DefaultParagraphFont"/>
    <w:uiPriority w:val="99"/>
    <w:semiHidden/>
    <w:unhideWhenUsed/>
    <w:rsid w:val="00301285"/>
    <w:rPr>
      <w:color w:val="605E5C"/>
      <w:shd w:val="clear" w:color="auto" w:fill="E1DFDD"/>
    </w:rPr>
  </w:style>
  <w:style w:type="paragraph" w:customStyle="1" w:styleId="headfoot">
    <w:name w:val="head_foot"/>
    <w:basedOn w:val="Normal"/>
    <w:next w:val="Normal"/>
    <w:rsid w:val="00301285"/>
    <w:pPr>
      <w:tabs>
        <w:tab w:val="clear" w:pos="794"/>
        <w:tab w:val="clear" w:pos="1191"/>
        <w:tab w:val="clear" w:pos="1588"/>
        <w:tab w:val="clear" w:pos="1985"/>
      </w:tabs>
      <w:spacing w:before="0"/>
      <w:jc w:val="left"/>
    </w:pPr>
    <w:rPr>
      <w:b/>
      <w:color w:val="FFFFFF"/>
      <w:sz w:val="8"/>
      <w:lang w:val="fr-FR"/>
    </w:rPr>
  </w:style>
  <w:style w:type="character" w:customStyle="1" w:styleId="HeadingbChar">
    <w:name w:val="Heading_b Char"/>
    <w:basedOn w:val="DefaultParagraphFont"/>
    <w:link w:val="Headingb"/>
    <w:locked/>
    <w:rsid w:val="00301285"/>
    <w:rPr>
      <w:b/>
      <w:sz w:val="24"/>
      <w:lang w:val="en-GB" w:eastAsia="en-US"/>
    </w:rPr>
  </w:style>
  <w:style w:type="paragraph" w:customStyle="1" w:styleId="call0">
    <w:name w:val="call"/>
    <w:basedOn w:val="Normal"/>
    <w:next w:val="Normal"/>
    <w:rsid w:val="00301285"/>
    <w:pPr>
      <w:keepNext/>
      <w:keepLines/>
      <w:tabs>
        <w:tab w:val="clear" w:pos="1191"/>
        <w:tab w:val="clear" w:pos="1588"/>
        <w:tab w:val="clear" w:pos="1985"/>
      </w:tabs>
      <w:spacing w:before="227"/>
      <w:ind w:left="794"/>
      <w:jc w:val="left"/>
    </w:pPr>
    <w:rPr>
      <w:i/>
      <w:iCs/>
      <w:lang w:val="fr-FR"/>
    </w:rPr>
  </w:style>
  <w:style w:type="character" w:customStyle="1" w:styleId="TabletextChar">
    <w:name w:val="Table_text Char"/>
    <w:link w:val="Tabletext"/>
    <w:locked/>
    <w:rsid w:val="00301285"/>
    <w:rPr>
      <w:sz w:val="22"/>
      <w:lang w:val="en-GB" w:eastAsia="en-US"/>
    </w:rPr>
  </w:style>
  <w:style w:type="character" w:customStyle="1" w:styleId="TabletitleChar">
    <w:name w:val="Table_title Char"/>
    <w:basedOn w:val="DefaultParagraphFont"/>
    <w:link w:val="Tabletitle"/>
    <w:rsid w:val="00301285"/>
    <w:rPr>
      <w:b/>
      <w:sz w:val="24"/>
      <w:lang w:val="en-GB" w:eastAsia="en-US"/>
    </w:rPr>
  </w:style>
  <w:style w:type="character" w:customStyle="1" w:styleId="TableNoChar">
    <w:name w:val="Table_No Char"/>
    <w:basedOn w:val="DefaultParagraphFont"/>
    <w:link w:val="TableNo"/>
    <w:rsid w:val="00301285"/>
    <w:rPr>
      <w:sz w:val="24"/>
      <w:lang w:val="en-GB" w:eastAsia="en-US"/>
    </w:rPr>
  </w:style>
  <w:style w:type="character" w:customStyle="1" w:styleId="TableheadChar">
    <w:name w:val="Table_head Char"/>
    <w:link w:val="Tablehead"/>
    <w:locked/>
    <w:rsid w:val="00301285"/>
    <w:rPr>
      <w:b/>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s://www.itu.int/publ/R-REC/fr" TargetMode="External"/><Relationship Id="rId4" Type="http://schemas.openxmlformats.org/officeDocument/2006/relationships/footnotes" Target="footnotes.xml"/><Relationship Id="rId9" Type="http://schemas.openxmlformats.org/officeDocument/2006/relationships/hyperlink" Target="https://www.itu.int/ITU-R/go/patents/en" TargetMode="External"/><Relationship Id="rId14" Type="http://schemas.openxmlformats.org/officeDocument/2006/relationships/header" Target="header6.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chetc\AppData\Roaming\Microsoft\Templates\QuickPub\BR_Rec_200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BR_Rec_2005.dotm</Template>
  <TotalTime>9</TotalTime>
  <Pages>6</Pages>
  <Words>1891</Words>
  <Characters>11631</Characters>
  <Application>Microsoft Office Word</Application>
  <DocSecurity>0</DocSecurity>
  <Lines>290</Lines>
  <Paragraphs>7</Paragraphs>
  <ScaleCrop>false</ScaleCrop>
  <HeadingPairs>
    <vt:vector size="2" baseType="variant">
      <vt:variant>
        <vt:lpstr>Title</vt:lpstr>
      </vt:variant>
      <vt:variant>
        <vt:i4>1</vt:i4>
      </vt:variant>
    </vt:vector>
  </HeadingPairs>
  <TitlesOfParts>
    <vt:vector size="1" baseType="lpstr">
      <vt:lpstr>Recommandation ITU-R SM.2110-2 (09/2025) Orientations relatives aux gammes de fréquences pour l'exploitation des systèmes de transmission d'énergie sans fil n'utilisant pas de faisceau pour les véhicules électriques</vt:lpstr>
    </vt:vector>
  </TitlesOfParts>
  <Manager/>
  <Company>ITU</Company>
  <LinksUpToDate>false</LinksUpToDate>
  <CharactersWithSpaces>13515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Recommandation ITU-R SM.2110-2 (09/2025) Orientations relatives aux gammes de fréquences pour l'exploitation des systèmes de transmission d'énergie sans fil n'utilisant pas de faisceau pour les véhicules électriques</dc:title>
  <dc:subject/>
  <dc:creator/>
  <cp:keywords>Transmission d'énergie sans fil, dispositifs à courte portée, ISM, système WPT n'utilisant pas de faisceau</cp:keywords>
  <dc:description/>
  <cp:lastModifiedBy>Gachet, Christelle</cp:lastModifiedBy>
  <cp:revision>2</cp:revision>
  <cp:lastPrinted>2005-02-10T15:54:00Z</cp:lastPrinted>
  <dcterms:created xsi:type="dcterms:W3CDTF">2025-12-22T10:25:00Z</dcterms:created>
  <dcterms:modified xsi:type="dcterms:W3CDTF">2025-12-22T10:34:00Z</dcterms:modified>
  <cp:category>Template:  BR_Rec_2005.dot   (dès 25.10.2002)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Rec. </vt:lpwstr>
  </property>
  <property fmtid="{D5CDD505-2E9C-101B-9397-08002B2CF9AE}" pid="3" name="Header 1">
    <vt:lpwstr>Rap. </vt:lpwstr>
  </property>
  <property fmtid="{D5CDD505-2E9C-101B-9397-08002B2CF9AE}" pid="4" name="Header 2">
    <vt:lpwstr>Rep. </vt:lpwstr>
  </property>
  <property fmtid="{D5CDD505-2E9C-101B-9397-08002B2CF9AE}" pid="5" name="Header 3">
    <vt:lpwstr>I. </vt:lpwstr>
  </property>
  <property fmtid="{D5CDD505-2E9C-101B-9397-08002B2CF9AE}" pid="6" name="Header 4">
    <vt:lpwstr>Op. </vt:lpwstr>
  </property>
  <property fmtid="{D5CDD505-2E9C-101B-9397-08002B2CF9AE}" pid="7" name="Header 5">
    <vt:lpwstr>V. </vt:lpwstr>
  </property>
  <property fmtid="{D5CDD505-2E9C-101B-9397-08002B2CF9AE}" pid="8" name="Header 6">
    <vt:lpwstr>Ru. </vt:lpwstr>
  </property>
</Properties>
</file>