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3D79" w14:textId="77777777" w:rsidR="00FE79FE" w:rsidRDefault="00FE79FE"/>
    <w:p w14:paraId="75AF0E51" w14:textId="77777777" w:rsidR="00013002" w:rsidRDefault="00013002" w:rsidP="00DE5556">
      <w:pPr>
        <w:tabs>
          <w:tab w:val="clear" w:pos="794"/>
          <w:tab w:val="clear" w:pos="1191"/>
          <w:tab w:val="clear" w:pos="1588"/>
          <w:tab w:val="clear" w:pos="1985"/>
        </w:tabs>
      </w:pPr>
    </w:p>
    <w:p w14:paraId="57C51E94" w14:textId="2F873D4C" w:rsidR="004A6FEB" w:rsidRPr="004A6FEB" w:rsidRDefault="004A6FEB" w:rsidP="0036627C">
      <w:pPr>
        <w:pStyle w:val="CoverNumber"/>
      </w:pPr>
      <w:r w:rsidRPr="00A86DD2">
        <w:t>Recommendation</w:t>
      </w:r>
      <w:r w:rsidRPr="004A6FEB">
        <w:t xml:space="preserve"> ITU-R</w:t>
      </w:r>
      <w:r w:rsidRPr="0036627C">
        <w:t xml:space="preserve"> </w:t>
      </w:r>
      <w:r w:rsidR="00441DCF">
        <w:t>S</w:t>
      </w:r>
      <w:r w:rsidR="0090739F">
        <w:t>M</w:t>
      </w:r>
      <w:r w:rsidR="0036627C">
        <w:t>.</w:t>
      </w:r>
      <w:r w:rsidR="001A643C">
        <w:t>2110-2</w:t>
      </w:r>
    </w:p>
    <w:p w14:paraId="4032F5FF" w14:textId="3BC112E2" w:rsidR="004A6FEB" w:rsidRPr="004A6FEB" w:rsidRDefault="004A6FEB" w:rsidP="0036627C">
      <w:pPr>
        <w:pStyle w:val="CoverDate"/>
      </w:pPr>
      <w:r w:rsidRPr="004A6FEB">
        <w:t>(</w:t>
      </w:r>
      <w:r w:rsidR="008520E5">
        <w:t>09</w:t>
      </w:r>
      <w:r w:rsidRPr="004A6FEB">
        <w:t>/</w:t>
      </w:r>
      <w:r w:rsidR="008520E5">
        <w:t>2025</w:t>
      </w:r>
      <w:r w:rsidRPr="004A6FEB">
        <w:t>)</w:t>
      </w:r>
    </w:p>
    <w:p w14:paraId="7E14167E" w14:textId="77777777" w:rsidR="004A6FEB" w:rsidRPr="005432DB" w:rsidRDefault="00441DCF" w:rsidP="0036627C">
      <w:pPr>
        <w:pStyle w:val="CoverSeries"/>
        <w:rPr>
          <w:bCs w:val="0"/>
        </w:rPr>
      </w:pPr>
      <w:r>
        <w:t>S</w:t>
      </w:r>
      <w:r w:rsidR="0090739F">
        <w:t>M</w:t>
      </w:r>
      <w:r w:rsidR="004A6FEB" w:rsidRPr="00A86DD2">
        <w:t xml:space="preserve"> </w:t>
      </w:r>
      <w:r w:rsidR="004A6FEB" w:rsidRPr="004A6FEB">
        <w:t>Series:</w:t>
      </w:r>
      <w:r w:rsidR="004A6FEB" w:rsidRPr="00A86DD2">
        <w:t xml:space="preserve"> </w:t>
      </w:r>
      <w:r w:rsidR="0090739F" w:rsidRPr="00F53314">
        <w:rPr>
          <w:iCs/>
          <w:lang w:val="en-GB"/>
        </w:rPr>
        <w:t>Spectrum management</w:t>
      </w:r>
    </w:p>
    <w:p w14:paraId="63AFDE53" w14:textId="6DDE228E" w:rsidR="004A6FEB" w:rsidRPr="004A6FEB" w:rsidRDefault="00E66894" w:rsidP="0036627C">
      <w:pPr>
        <w:pStyle w:val="CoverTitle"/>
      </w:pPr>
      <w:r w:rsidRPr="004A31C0">
        <w:t>Guidance on frequency ranges for operation of non-beam wireless power transmission for electric vehicles</w:t>
      </w:r>
    </w:p>
    <w:p w14:paraId="6CF10E69" w14:textId="77777777" w:rsidR="00FE79FE" w:rsidRPr="005373E0" w:rsidRDefault="00FE79FE" w:rsidP="005373E0">
      <w:pPr>
        <w:rPr>
          <w:lang w:val="en-US"/>
        </w:rPr>
      </w:pPr>
    </w:p>
    <w:p w14:paraId="76C2C070" w14:textId="77777777" w:rsidR="00A71FE5" w:rsidRPr="005373E0" w:rsidRDefault="00A71FE5" w:rsidP="005373E0"/>
    <w:p w14:paraId="285D70EA" w14:textId="77777777" w:rsidR="00EE47C4" w:rsidRPr="005373E0" w:rsidRDefault="00EE47C4" w:rsidP="005373E0">
      <w:pPr>
        <w:sectPr w:rsidR="00EE47C4"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23C18DF6"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36FDEBF" w14:textId="77777777" w:rsidR="00586EF8" w:rsidRDefault="00586EF8" w:rsidP="00586EF8">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05C13110"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5F83E6F6" w14:textId="77777777" w:rsidR="00B714F3" w:rsidRPr="00B714F3" w:rsidRDefault="00B714F3" w:rsidP="002F5199">
      <w:pPr>
        <w:pStyle w:val="Heading1"/>
        <w:spacing w:before="680"/>
        <w:jc w:val="center"/>
        <w:rPr>
          <w:szCs w:val="24"/>
          <w:lang w:val="en-US"/>
        </w:rPr>
      </w:pPr>
      <w:r w:rsidRPr="00B714F3">
        <w:rPr>
          <w:szCs w:val="24"/>
          <w:lang w:val="en-US"/>
        </w:rPr>
        <w:t>Policy on Intellectual Property Right (IPR)</w:t>
      </w:r>
    </w:p>
    <w:p w14:paraId="62405564" w14:textId="55CE6322" w:rsidR="00B714F3" w:rsidRPr="00B714F3" w:rsidRDefault="00B714F3" w:rsidP="00C84DB7">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sidR="00EA306D">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00F53314"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5918B7FD" w14:textId="77777777" w:rsidR="00586EF8" w:rsidRDefault="00586EF8" w:rsidP="00586EF8">
      <w:pPr>
        <w:jc w:val="center"/>
        <w:rPr>
          <w:sz w:val="22"/>
          <w:lang w:val="en-US"/>
        </w:rPr>
      </w:pPr>
    </w:p>
    <w:p w14:paraId="24575CDF" w14:textId="77777777" w:rsidR="00A971A1" w:rsidRDefault="00A971A1" w:rsidP="00586EF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576D47" w14:paraId="1AFD66DD" w14:textId="77777777" w:rsidTr="00F53314">
        <w:tc>
          <w:tcPr>
            <w:tcW w:w="9360" w:type="dxa"/>
            <w:gridSpan w:val="2"/>
          </w:tcPr>
          <w:p w14:paraId="4692A96F"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037AD9AD"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7BA9E716" w14:textId="77777777" w:rsidTr="00F53314">
        <w:tc>
          <w:tcPr>
            <w:tcW w:w="1140" w:type="dxa"/>
            <w:tcBorders>
              <w:bottom w:val="nil"/>
            </w:tcBorders>
            <w:vAlign w:val="bottom"/>
          </w:tcPr>
          <w:p w14:paraId="065FFBCA"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2B4B1D25"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0B66CF49" w14:textId="77777777" w:rsidTr="00F53314">
        <w:tc>
          <w:tcPr>
            <w:tcW w:w="1140" w:type="dxa"/>
            <w:tcBorders>
              <w:top w:val="nil"/>
              <w:bottom w:val="nil"/>
            </w:tcBorders>
          </w:tcPr>
          <w:p w14:paraId="40131E3E" w14:textId="77777777" w:rsidR="00A31928" w:rsidRPr="00F92A40" w:rsidRDefault="00A31928" w:rsidP="006B1D2B">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387C160D"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A31928" w:rsidRPr="00576D47" w14:paraId="61E76D30" w14:textId="77777777" w:rsidTr="00F53314">
        <w:tc>
          <w:tcPr>
            <w:tcW w:w="1140" w:type="dxa"/>
            <w:tcBorders>
              <w:top w:val="nil"/>
            </w:tcBorders>
            <w:shd w:val="clear" w:color="auto" w:fill="FFFFFF" w:themeFill="background1"/>
          </w:tcPr>
          <w:p w14:paraId="022ADFD7" w14:textId="77777777" w:rsidR="00A31928" w:rsidRPr="00B51DD9" w:rsidRDefault="00A31928" w:rsidP="006B1D2B">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41D9F70C" w14:textId="77777777" w:rsidR="00A31928" w:rsidRPr="00B51DD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A31928" w:rsidRPr="00036EE3" w14:paraId="52CE1679" w14:textId="77777777" w:rsidTr="00F53314">
        <w:tc>
          <w:tcPr>
            <w:tcW w:w="1140" w:type="dxa"/>
          </w:tcPr>
          <w:p w14:paraId="0654B584"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7AC42BB7"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0BC4B51C" w14:textId="77777777" w:rsidTr="00F53314">
        <w:tc>
          <w:tcPr>
            <w:tcW w:w="1140" w:type="dxa"/>
          </w:tcPr>
          <w:p w14:paraId="4740F7B3"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tcPr>
          <w:p w14:paraId="226B5C68"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356DB57C" w14:textId="77777777" w:rsidTr="00F53314">
        <w:tc>
          <w:tcPr>
            <w:tcW w:w="1140" w:type="dxa"/>
          </w:tcPr>
          <w:p w14:paraId="1464B6E9"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tcPr>
          <w:p w14:paraId="76C9C3E9"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A31928" w:rsidRPr="00512A4E" w14:paraId="4EFBAF2A" w14:textId="77777777" w:rsidTr="00F53314">
        <w:tc>
          <w:tcPr>
            <w:tcW w:w="1140" w:type="dxa"/>
            <w:shd w:val="clear" w:color="auto" w:fill="FFFFFF" w:themeFill="background1"/>
          </w:tcPr>
          <w:p w14:paraId="4CD828FE" w14:textId="77777777" w:rsidR="00A31928" w:rsidRPr="00512A4E" w:rsidRDefault="00A31928" w:rsidP="00512A4E">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1BA9750A" w14:textId="77777777" w:rsidR="00A31928" w:rsidRPr="00512A4E" w:rsidRDefault="00A31928" w:rsidP="005432D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432DB">
              <w:rPr>
                <w:sz w:val="20"/>
                <w:lang w:val="fr-CH"/>
              </w:rPr>
              <w:t>Mobile</w:t>
            </w:r>
            <w:r w:rsidRPr="00512A4E">
              <w:rPr>
                <w:sz w:val="20"/>
                <w:lang w:val="en-US"/>
              </w:rPr>
              <w:t>, radiodetermination, amateur and related satellite services</w:t>
            </w:r>
          </w:p>
        </w:tc>
      </w:tr>
      <w:tr w:rsidR="00A31928" w:rsidRPr="00512A4E" w14:paraId="6F34F2C3" w14:textId="77777777" w:rsidTr="00F53314">
        <w:tc>
          <w:tcPr>
            <w:tcW w:w="1140" w:type="dxa"/>
            <w:shd w:val="clear" w:color="auto" w:fill="FFFFFF" w:themeFill="background1"/>
          </w:tcPr>
          <w:p w14:paraId="287BB062" w14:textId="77777777" w:rsidR="00A31928" w:rsidRPr="00E830F9" w:rsidRDefault="00A31928" w:rsidP="00512A4E">
            <w:pPr>
              <w:spacing w:before="30" w:after="30"/>
              <w:ind w:left="57"/>
              <w:jc w:val="left"/>
              <w:rPr>
                <w:b/>
                <w:bCs/>
                <w:sz w:val="20"/>
                <w:lang w:val="en-US"/>
              </w:rPr>
            </w:pPr>
            <w:r w:rsidRPr="00E830F9">
              <w:rPr>
                <w:b/>
                <w:bCs/>
                <w:sz w:val="20"/>
                <w:lang w:val="en-US"/>
              </w:rPr>
              <w:t>P</w:t>
            </w:r>
          </w:p>
        </w:tc>
        <w:tc>
          <w:tcPr>
            <w:tcW w:w="8220" w:type="dxa"/>
            <w:shd w:val="clear" w:color="auto" w:fill="FFFFFF" w:themeFill="background1"/>
          </w:tcPr>
          <w:p w14:paraId="2C2A5613" w14:textId="77777777" w:rsidR="00A31928" w:rsidRPr="00512A4E" w:rsidRDefault="00A31928" w:rsidP="00E830F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rFonts w:hAnsi="Times New Roman Bold"/>
                <w:color w:val="000080"/>
                <w:sz w:val="20"/>
                <w:lang w:val="en-US"/>
              </w:rPr>
            </w:pPr>
            <w:r w:rsidRPr="00E830F9">
              <w:rPr>
                <w:sz w:val="20"/>
                <w:lang w:val="en-US"/>
              </w:rPr>
              <w:t>Radiowave propagation</w:t>
            </w:r>
          </w:p>
        </w:tc>
      </w:tr>
      <w:tr w:rsidR="00A31928" w:rsidRPr="00036EE3" w14:paraId="0BF3B4A9" w14:textId="77777777" w:rsidTr="00F53314">
        <w:tc>
          <w:tcPr>
            <w:tcW w:w="1140" w:type="dxa"/>
            <w:shd w:val="clear" w:color="auto" w:fill="FFFFFF" w:themeFill="background1"/>
          </w:tcPr>
          <w:p w14:paraId="5D521734" w14:textId="77777777" w:rsidR="00A31928" w:rsidRPr="00441DCF" w:rsidRDefault="00A31928" w:rsidP="006B1D2B">
            <w:pPr>
              <w:spacing w:before="30" w:after="30"/>
              <w:ind w:left="57"/>
              <w:jc w:val="left"/>
              <w:rPr>
                <w:b/>
                <w:bCs/>
                <w:sz w:val="20"/>
                <w:lang w:val="en-US"/>
              </w:rPr>
            </w:pPr>
            <w:r w:rsidRPr="00441DCF">
              <w:rPr>
                <w:b/>
                <w:bCs/>
                <w:sz w:val="20"/>
                <w:lang w:val="en-US"/>
              </w:rPr>
              <w:t>RA</w:t>
            </w:r>
          </w:p>
        </w:tc>
        <w:tc>
          <w:tcPr>
            <w:tcW w:w="8220" w:type="dxa"/>
            <w:shd w:val="clear" w:color="auto" w:fill="FFFFFF" w:themeFill="background1"/>
          </w:tcPr>
          <w:p w14:paraId="3151032D" w14:textId="77777777" w:rsidR="00A31928" w:rsidRPr="00036EE3" w:rsidRDefault="00A31928" w:rsidP="00441DCF">
            <w:pPr>
              <w:spacing w:before="30" w:after="30"/>
              <w:jc w:val="left"/>
              <w:rPr>
                <w:sz w:val="20"/>
                <w:lang w:val="en-US"/>
              </w:rPr>
            </w:pPr>
            <w:r w:rsidRPr="00441DCF">
              <w:rPr>
                <w:sz w:val="20"/>
                <w:lang w:val="en-US"/>
              </w:rPr>
              <w:t>Radio astronomy</w:t>
            </w:r>
          </w:p>
        </w:tc>
      </w:tr>
      <w:tr w:rsidR="00A31928" w:rsidRPr="00036EE3" w14:paraId="08200658" w14:textId="77777777" w:rsidTr="00F53314">
        <w:tc>
          <w:tcPr>
            <w:tcW w:w="1140" w:type="dxa"/>
            <w:shd w:val="clear" w:color="auto" w:fill="FFFFFF" w:themeFill="background1"/>
          </w:tcPr>
          <w:p w14:paraId="1F666CAC" w14:textId="77777777" w:rsidR="00A31928" w:rsidRPr="000D15AC" w:rsidRDefault="00A31928" w:rsidP="006B1D2B">
            <w:pPr>
              <w:spacing w:before="30" w:after="30"/>
              <w:ind w:left="57"/>
              <w:jc w:val="left"/>
              <w:rPr>
                <w:b/>
                <w:bCs/>
                <w:sz w:val="20"/>
                <w:lang w:val="en-US"/>
              </w:rPr>
            </w:pPr>
            <w:r w:rsidRPr="000D15AC">
              <w:rPr>
                <w:b/>
                <w:bCs/>
                <w:sz w:val="20"/>
                <w:lang w:val="en-US"/>
              </w:rPr>
              <w:t>RS</w:t>
            </w:r>
          </w:p>
        </w:tc>
        <w:tc>
          <w:tcPr>
            <w:tcW w:w="8220" w:type="dxa"/>
            <w:shd w:val="clear" w:color="auto" w:fill="FFFFFF" w:themeFill="background1"/>
          </w:tcPr>
          <w:p w14:paraId="3763BB95" w14:textId="77777777" w:rsidR="00A31928" w:rsidRPr="000D15AC" w:rsidRDefault="00A31928" w:rsidP="000D15AC">
            <w:pPr>
              <w:spacing w:before="30" w:after="30"/>
              <w:jc w:val="left"/>
              <w:rPr>
                <w:sz w:val="20"/>
                <w:lang w:val="en-US"/>
              </w:rPr>
            </w:pPr>
            <w:r w:rsidRPr="000D15AC">
              <w:rPr>
                <w:sz w:val="20"/>
                <w:lang w:val="en-US"/>
              </w:rPr>
              <w:t>Remote sensing systems</w:t>
            </w:r>
          </w:p>
        </w:tc>
      </w:tr>
      <w:tr w:rsidR="00A31928" w:rsidRPr="00036EE3" w14:paraId="31D0EF36" w14:textId="77777777" w:rsidTr="00F53314">
        <w:tc>
          <w:tcPr>
            <w:tcW w:w="1140" w:type="dxa"/>
            <w:shd w:val="clear" w:color="auto" w:fill="FFFFFF" w:themeFill="background1"/>
          </w:tcPr>
          <w:p w14:paraId="4FA00ED2" w14:textId="77777777" w:rsidR="00A31928" w:rsidRPr="005432DB" w:rsidRDefault="00A31928" w:rsidP="006B1D2B">
            <w:pPr>
              <w:spacing w:before="30" w:after="30"/>
              <w:ind w:left="57"/>
              <w:jc w:val="left"/>
              <w:rPr>
                <w:b/>
                <w:bCs/>
                <w:sz w:val="20"/>
                <w:lang w:val="en-US"/>
              </w:rPr>
            </w:pPr>
            <w:r w:rsidRPr="005432DB">
              <w:rPr>
                <w:b/>
                <w:bCs/>
                <w:sz w:val="20"/>
                <w:lang w:val="en-US"/>
              </w:rPr>
              <w:t>S</w:t>
            </w:r>
          </w:p>
        </w:tc>
        <w:tc>
          <w:tcPr>
            <w:tcW w:w="8220" w:type="dxa"/>
            <w:shd w:val="clear" w:color="auto" w:fill="FFFFFF" w:themeFill="background1"/>
          </w:tcPr>
          <w:p w14:paraId="4A65789D" w14:textId="77777777" w:rsidR="00A31928" w:rsidRPr="005432DB" w:rsidRDefault="00A31928" w:rsidP="005432DB">
            <w:pPr>
              <w:spacing w:before="30" w:after="30"/>
              <w:jc w:val="left"/>
              <w:rPr>
                <w:sz w:val="20"/>
                <w:lang w:val="en-US"/>
              </w:rPr>
            </w:pPr>
            <w:r w:rsidRPr="005432DB">
              <w:rPr>
                <w:sz w:val="20"/>
                <w:lang w:val="en-US"/>
              </w:rPr>
              <w:t>Fixed-satellite service</w:t>
            </w:r>
          </w:p>
        </w:tc>
      </w:tr>
      <w:tr w:rsidR="00A31928" w:rsidRPr="00036EE3" w14:paraId="08DCADD2" w14:textId="77777777" w:rsidTr="00F53314">
        <w:tc>
          <w:tcPr>
            <w:tcW w:w="1140" w:type="dxa"/>
            <w:shd w:val="clear" w:color="auto" w:fill="FFFFFF" w:themeFill="background1"/>
          </w:tcPr>
          <w:p w14:paraId="3775ABBB" w14:textId="77777777" w:rsidR="00A31928" w:rsidRPr="005432DB" w:rsidRDefault="00A31928" w:rsidP="006B1D2B">
            <w:pPr>
              <w:spacing w:before="30" w:after="30"/>
              <w:ind w:left="57"/>
              <w:jc w:val="left"/>
              <w:rPr>
                <w:rFonts w:ascii="Times New Roman Bold" w:hAnsi="Times New Roman Bold" w:cs="Times New Roman Bold"/>
                <w:b/>
                <w:bCs/>
                <w:sz w:val="20"/>
                <w:lang w:val="en-US"/>
              </w:rPr>
            </w:pPr>
            <w:r w:rsidRPr="005432DB">
              <w:rPr>
                <w:rFonts w:ascii="Times New Roman Bold" w:hAnsi="Times New Roman Bold" w:cs="Times New Roman Bold"/>
                <w:b/>
                <w:bCs/>
                <w:sz w:val="20"/>
                <w:lang w:val="en-US"/>
              </w:rPr>
              <w:t>SA</w:t>
            </w:r>
          </w:p>
        </w:tc>
        <w:tc>
          <w:tcPr>
            <w:tcW w:w="8220" w:type="dxa"/>
            <w:shd w:val="clear" w:color="auto" w:fill="FFFFFF" w:themeFill="background1"/>
          </w:tcPr>
          <w:p w14:paraId="3849F8DB" w14:textId="77777777" w:rsidR="00A31928" w:rsidRPr="005432DB" w:rsidRDefault="00A31928" w:rsidP="005432DB">
            <w:pPr>
              <w:spacing w:before="30" w:after="30"/>
              <w:jc w:val="left"/>
              <w:rPr>
                <w:rFonts w:hAnsi="Times New Roman Bold"/>
                <w:sz w:val="20"/>
                <w:lang w:val="en-US"/>
              </w:rPr>
            </w:pPr>
            <w:r w:rsidRPr="005432DB">
              <w:rPr>
                <w:rFonts w:hAnsi="Times New Roman Bold"/>
                <w:sz w:val="20"/>
                <w:lang w:val="en-US"/>
              </w:rPr>
              <w:t>Space applications and meteorology</w:t>
            </w:r>
          </w:p>
        </w:tc>
      </w:tr>
      <w:tr w:rsidR="00A31928" w:rsidRPr="00576D47" w14:paraId="1A5C8233" w14:textId="77777777" w:rsidTr="00F53314">
        <w:tc>
          <w:tcPr>
            <w:tcW w:w="1140" w:type="dxa"/>
            <w:tcBorders>
              <w:bottom w:val="nil"/>
            </w:tcBorders>
            <w:shd w:val="clear" w:color="auto" w:fill="FFFFFF" w:themeFill="background1"/>
          </w:tcPr>
          <w:p w14:paraId="150516FA" w14:textId="77777777" w:rsidR="00A31928" w:rsidRPr="0090739F" w:rsidRDefault="00A31928" w:rsidP="006B1D2B">
            <w:pPr>
              <w:spacing w:before="30" w:after="30"/>
              <w:ind w:left="57"/>
              <w:jc w:val="left"/>
              <w:rPr>
                <w:b/>
                <w:bCs/>
                <w:sz w:val="20"/>
                <w:lang w:val="en-US"/>
              </w:rPr>
            </w:pPr>
            <w:r w:rsidRPr="0090739F">
              <w:rPr>
                <w:b/>
                <w:bCs/>
                <w:sz w:val="20"/>
                <w:lang w:val="en-US"/>
              </w:rPr>
              <w:t>SF</w:t>
            </w:r>
          </w:p>
        </w:tc>
        <w:tc>
          <w:tcPr>
            <w:tcW w:w="8220" w:type="dxa"/>
            <w:tcBorders>
              <w:bottom w:val="nil"/>
            </w:tcBorders>
            <w:shd w:val="clear" w:color="auto" w:fill="FFFFFF" w:themeFill="background1"/>
          </w:tcPr>
          <w:p w14:paraId="7F4F2572" w14:textId="77777777" w:rsidR="00A31928" w:rsidRPr="0090739F" w:rsidRDefault="00A31928" w:rsidP="0090739F">
            <w:pPr>
              <w:spacing w:before="30" w:after="30"/>
              <w:jc w:val="left"/>
              <w:rPr>
                <w:sz w:val="20"/>
                <w:lang w:val="en-US"/>
              </w:rPr>
            </w:pPr>
            <w:r w:rsidRPr="0090739F">
              <w:rPr>
                <w:sz w:val="20"/>
                <w:lang w:val="en-US"/>
              </w:rPr>
              <w:t>Frequency sharing and coordination between fixed-satellite and fixed service systems</w:t>
            </w:r>
          </w:p>
        </w:tc>
      </w:tr>
      <w:tr w:rsidR="00A31928" w:rsidRPr="00036EE3" w14:paraId="3CCAD0B9" w14:textId="77777777" w:rsidTr="00F53314">
        <w:tc>
          <w:tcPr>
            <w:tcW w:w="1140" w:type="dxa"/>
            <w:tcBorders>
              <w:top w:val="nil"/>
              <w:bottom w:val="nil"/>
            </w:tcBorders>
            <w:shd w:val="clear" w:color="auto" w:fill="F2F2F2" w:themeFill="background1" w:themeFillShade="F2"/>
          </w:tcPr>
          <w:p w14:paraId="69FB94B3" w14:textId="77777777" w:rsidR="00A31928" w:rsidRPr="0090739F" w:rsidRDefault="00A31928" w:rsidP="006B1D2B">
            <w:pPr>
              <w:spacing w:before="30" w:after="30"/>
              <w:ind w:left="57"/>
              <w:jc w:val="left"/>
              <w:rPr>
                <w:rFonts w:hAnsi="Times New Roman Bold"/>
                <w:b/>
                <w:color w:val="000080"/>
                <w:sz w:val="20"/>
                <w:lang w:val="en-US"/>
              </w:rPr>
            </w:pPr>
            <w:r w:rsidRPr="0090739F">
              <w:rPr>
                <w:rFonts w:hAnsi="Times New Roman Bold"/>
                <w:b/>
                <w:color w:val="000080"/>
                <w:sz w:val="20"/>
                <w:lang w:val="en-US"/>
              </w:rPr>
              <w:t>SM</w:t>
            </w:r>
          </w:p>
        </w:tc>
        <w:tc>
          <w:tcPr>
            <w:tcW w:w="8220" w:type="dxa"/>
            <w:tcBorders>
              <w:top w:val="nil"/>
              <w:bottom w:val="nil"/>
            </w:tcBorders>
            <w:shd w:val="clear" w:color="auto" w:fill="F2F2F2" w:themeFill="background1" w:themeFillShade="F2"/>
          </w:tcPr>
          <w:p w14:paraId="73847D60" w14:textId="77777777" w:rsidR="00A31928" w:rsidRPr="0090739F" w:rsidRDefault="00A31928" w:rsidP="0090739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90739F">
              <w:rPr>
                <w:rFonts w:hAnsi="Times New Roman Bold"/>
                <w:color w:val="000080"/>
                <w:sz w:val="20"/>
                <w:lang w:val="en-US"/>
              </w:rPr>
              <w:t>Spectrum management</w:t>
            </w:r>
          </w:p>
        </w:tc>
      </w:tr>
      <w:tr w:rsidR="00A31928" w:rsidRPr="00036EE3" w14:paraId="54D0AE74" w14:textId="77777777" w:rsidTr="00F53314">
        <w:tc>
          <w:tcPr>
            <w:tcW w:w="1140" w:type="dxa"/>
            <w:tcBorders>
              <w:top w:val="nil"/>
            </w:tcBorders>
          </w:tcPr>
          <w:p w14:paraId="4BB624FE"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25B611AC"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6F4202AE" w14:textId="77777777" w:rsidTr="00F53314">
        <w:tc>
          <w:tcPr>
            <w:tcW w:w="1140" w:type="dxa"/>
          </w:tcPr>
          <w:p w14:paraId="64C1701B"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6BF69F16"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55C72596" w14:textId="77777777" w:rsidTr="00F53314">
        <w:tc>
          <w:tcPr>
            <w:tcW w:w="1140" w:type="dxa"/>
          </w:tcPr>
          <w:p w14:paraId="526DB86F"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56495177"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53F9BFC9" w14:textId="77777777" w:rsidR="00036EE3" w:rsidRPr="00036EE3" w:rsidRDefault="00036EE3" w:rsidP="007B1357">
      <w:pPr>
        <w:spacing w:before="30" w:after="30"/>
        <w:jc w:val="center"/>
        <w:rPr>
          <w:sz w:val="20"/>
          <w:lang w:val="en-US"/>
        </w:rPr>
      </w:pPr>
    </w:p>
    <w:p w14:paraId="49384F41"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4FB8B99E" w14:textId="77777777" w:rsidTr="00AA0D99">
        <w:tc>
          <w:tcPr>
            <w:tcW w:w="9360" w:type="dxa"/>
          </w:tcPr>
          <w:p w14:paraId="10455ACA" w14:textId="77777777" w:rsidR="00036EE3" w:rsidRPr="002F5199" w:rsidRDefault="00036EE3" w:rsidP="00B51DD9">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CB5D21D" w14:textId="77777777" w:rsidR="00B714F3" w:rsidRDefault="00B714F3" w:rsidP="002F5199">
      <w:pPr>
        <w:spacing w:before="0"/>
        <w:jc w:val="center"/>
        <w:rPr>
          <w:sz w:val="22"/>
          <w:lang w:val="en-US"/>
        </w:rPr>
      </w:pPr>
    </w:p>
    <w:p w14:paraId="664A9C11" w14:textId="77777777" w:rsidR="00B714F3" w:rsidRDefault="00B714F3" w:rsidP="002F5199">
      <w:pPr>
        <w:spacing w:before="0"/>
        <w:jc w:val="center"/>
        <w:rPr>
          <w:sz w:val="22"/>
          <w:lang w:val="en-US"/>
        </w:rPr>
      </w:pPr>
    </w:p>
    <w:p w14:paraId="575229FE"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0621CBBF" w14:textId="7F1FADFE" w:rsidR="002F5199" w:rsidRPr="002F5199" w:rsidRDefault="002F5199" w:rsidP="000B1B2B">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sidR="005E69F0">
        <w:rPr>
          <w:sz w:val="20"/>
          <w:lang w:val="en-US"/>
        </w:rPr>
        <w:t>2</w:t>
      </w:r>
      <w:r w:rsidR="00F53314">
        <w:rPr>
          <w:sz w:val="20"/>
          <w:lang w:val="en-US"/>
        </w:rPr>
        <w:t>5</w:t>
      </w:r>
    </w:p>
    <w:p w14:paraId="59920307" w14:textId="77777777" w:rsidR="00470E28" w:rsidRDefault="00470E28" w:rsidP="00906589">
      <w:pPr>
        <w:jc w:val="center"/>
        <w:rPr>
          <w:sz w:val="22"/>
          <w:lang w:val="en-US"/>
        </w:rPr>
      </w:pPr>
    </w:p>
    <w:p w14:paraId="518AF690" w14:textId="025963AC"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w:t>
      </w:r>
      <w:r w:rsidR="00F53314">
        <w:rPr>
          <w:sz w:val="20"/>
          <w:lang w:val="en-US"/>
        </w:rPr>
        <w:t>5</w:t>
      </w:r>
    </w:p>
    <w:p w14:paraId="5B21D60A"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3C1D34C5" w14:textId="77777777" w:rsidR="007565CC" w:rsidRDefault="007565CC" w:rsidP="00A971A1">
      <w:pPr>
        <w:spacing w:before="160"/>
        <w:rPr>
          <w:i/>
          <w:sz w:val="20"/>
          <w:lang w:val="en-US"/>
        </w:rPr>
        <w:sectPr w:rsidR="007565CC"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477E3C10" w14:textId="34E1D1FF" w:rsidR="00B874C6" w:rsidRPr="00B874C6" w:rsidRDefault="00B874C6" w:rsidP="00A936CB">
      <w:pPr>
        <w:pStyle w:val="RecNo"/>
        <w:spacing w:before="0"/>
        <w:rPr>
          <w:lang w:val="en-US"/>
        </w:rPr>
      </w:pPr>
      <w:bookmarkStart w:id="2" w:name="irecnoe"/>
      <w:bookmarkEnd w:id="2"/>
      <w:r w:rsidRPr="00BF487A">
        <w:lastRenderedPageBreak/>
        <w:t xml:space="preserve">RECOMMENDATION  </w:t>
      </w:r>
      <w:r w:rsidRPr="00BF487A">
        <w:rPr>
          <w:rStyle w:val="href"/>
          <w:lang w:val="en-US"/>
        </w:rPr>
        <w:t xml:space="preserve">ITU-R  </w:t>
      </w:r>
      <w:r w:rsidR="00441DCF">
        <w:rPr>
          <w:rStyle w:val="href"/>
          <w:lang w:val="en-US"/>
        </w:rPr>
        <w:t>S</w:t>
      </w:r>
      <w:r w:rsidR="0090739F">
        <w:rPr>
          <w:rStyle w:val="href"/>
          <w:lang w:val="en-US"/>
        </w:rPr>
        <w:t>M</w:t>
      </w:r>
      <w:r w:rsidRPr="00BF487A">
        <w:rPr>
          <w:rStyle w:val="href"/>
          <w:lang w:val="en-US"/>
        </w:rPr>
        <w:t>.</w:t>
      </w:r>
      <w:r w:rsidR="00632E10">
        <w:rPr>
          <w:rStyle w:val="href"/>
          <w:lang w:val="en-US"/>
        </w:rPr>
        <w:t>2110-2</w:t>
      </w:r>
    </w:p>
    <w:p w14:paraId="50D30B20" w14:textId="0D0B5241" w:rsidR="00934ED7" w:rsidRDefault="00632E10" w:rsidP="00AF6FB3">
      <w:pPr>
        <w:pStyle w:val="Rectitle"/>
      </w:pPr>
      <w:r w:rsidRPr="004A31C0">
        <w:t xml:space="preserve">Guidance on frequency ranges for operation of non-beam </w:t>
      </w:r>
      <w:r w:rsidRPr="004A31C0">
        <w:br/>
        <w:t>wireless power transmission for electric vehicles</w:t>
      </w:r>
    </w:p>
    <w:p w14:paraId="22070694" w14:textId="7FD6E60A" w:rsidR="00F01360" w:rsidRPr="00F01360" w:rsidRDefault="00F01360" w:rsidP="003C2AFD">
      <w:pPr>
        <w:pStyle w:val="Questionref"/>
      </w:pPr>
      <w:r w:rsidRPr="00F01360">
        <w:t xml:space="preserve">(Question </w:t>
      </w:r>
      <w:hyperlink r:id="rId14" w:history="1">
        <w:r w:rsidRPr="00F01360">
          <w:rPr>
            <w:rStyle w:val="Hyperlink"/>
            <w:color w:val="auto"/>
            <w:u w:val="none"/>
          </w:rPr>
          <w:t>ITU-R 210-4/1</w:t>
        </w:r>
      </w:hyperlink>
      <w:r w:rsidRPr="00F01360">
        <w:t>)</w:t>
      </w:r>
    </w:p>
    <w:p w14:paraId="02941324" w14:textId="34B18A4B" w:rsidR="00F01360" w:rsidRPr="00F01360" w:rsidRDefault="00F01360" w:rsidP="003C2AFD">
      <w:pPr>
        <w:pStyle w:val="Recdate"/>
      </w:pPr>
      <w:r w:rsidRPr="00F01360">
        <w:t>(2017-2019</w:t>
      </w:r>
      <w:r w:rsidR="002B7F65">
        <w:t>-2025</w:t>
      </w:r>
      <w:r w:rsidRPr="00F01360">
        <w:t>)</w:t>
      </w:r>
    </w:p>
    <w:p w14:paraId="05AF0879" w14:textId="77777777" w:rsidR="00F01360" w:rsidRPr="00FB01D7" w:rsidRDefault="00F01360" w:rsidP="003C2AFD">
      <w:pPr>
        <w:pStyle w:val="HeadingSum"/>
        <w:rPr>
          <w:sz w:val="22"/>
          <w:szCs w:val="22"/>
          <w:lang w:val="en-GB" w:eastAsia="zh-CN"/>
        </w:rPr>
      </w:pPr>
      <w:r w:rsidRPr="00FB01D7">
        <w:rPr>
          <w:sz w:val="22"/>
          <w:szCs w:val="22"/>
          <w:lang w:val="en-GB" w:eastAsia="zh-CN"/>
        </w:rPr>
        <w:t>Scope</w:t>
      </w:r>
    </w:p>
    <w:p w14:paraId="26E4CCDF" w14:textId="77777777" w:rsidR="00F01360" w:rsidRPr="00FB01D7" w:rsidRDefault="00F01360" w:rsidP="003C2AFD">
      <w:pPr>
        <w:pStyle w:val="Summary"/>
        <w:rPr>
          <w:sz w:val="22"/>
          <w:szCs w:val="22"/>
          <w:lang w:val="en-GB"/>
        </w:rPr>
      </w:pPr>
      <w:r w:rsidRPr="00FB01D7">
        <w:rPr>
          <w:sz w:val="22"/>
          <w:szCs w:val="22"/>
          <w:lang w:val="en-GB"/>
        </w:rPr>
        <w:t>This Recommendation provides guidance on frequency ranges for the operation of non-beam wireless power transmission (</w:t>
      </w:r>
      <w:r w:rsidRPr="00FB01D7">
        <w:rPr>
          <w:sz w:val="22"/>
          <w:szCs w:val="22"/>
          <w:lang w:val="en-GB" w:eastAsia="ko-KR"/>
        </w:rPr>
        <w:t xml:space="preserve">non-beam </w:t>
      </w:r>
      <w:r w:rsidRPr="00FB01D7">
        <w:rPr>
          <w:sz w:val="22"/>
          <w:szCs w:val="22"/>
          <w:lang w:val="en-GB"/>
        </w:rPr>
        <w:t>WPT) for electric vehicles</w:t>
      </w:r>
      <w:r w:rsidRPr="00FB01D7">
        <w:rPr>
          <w:sz w:val="22"/>
          <w:szCs w:val="22"/>
          <w:lang w:val="en-GB" w:eastAsia="ko-KR"/>
        </w:rPr>
        <w:t xml:space="preserve"> (EV)</w:t>
      </w:r>
      <w:r w:rsidRPr="00FB01D7">
        <w:rPr>
          <w:sz w:val="22"/>
          <w:szCs w:val="22"/>
          <w:lang w:val="en-GB"/>
        </w:rPr>
        <w:t xml:space="preserve"> and the protection of radiocommunication services</w:t>
      </w:r>
      <w:r w:rsidRPr="00FB01D7">
        <w:rPr>
          <w:sz w:val="22"/>
          <w:szCs w:val="22"/>
          <w:lang w:val="en-GB" w:eastAsia="ko-KR"/>
        </w:rPr>
        <w:t>.</w:t>
      </w:r>
      <w:r w:rsidRPr="00FB01D7">
        <w:rPr>
          <w:sz w:val="22"/>
          <w:szCs w:val="22"/>
          <w:lang w:val="en-GB"/>
        </w:rPr>
        <w:t xml:space="preserve"> </w:t>
      </w:r>
    </w:p>
    <w:p w14:paraId="3294595A" w14:textId="77777777" w:rsidR="00F01360" w:rsidRPr="00F01360" w:rsidRDefault="00F01360" w:rsidP="002E79D3">
      <w:pPr>
        <w:pStyle w:val="Headingb"/>
        <w:rPr>
          <w:lang w:eastAsia="zh-CN"/>
        </w:rPr>
      </w:pPr>
      <w:r w:rsidRPr="00F01360">
        <w:rPr>
          <w:lang w:eastAsia="zh-CN"/>
        </w:rPr>
        <w:t>Keywords</w:t>
      </w:r>
    </w:p>
    <w:p w14:paraId="00348DD4" w14:textId="77777777" w:rsidR="00F01360" w:rsidRPr="00F01360" w:rsidRDefault="00F01360" w:rsidP="00F01360">
      <w:pPr>
        <w:tabs>
          <w:tab w:val="left" w:pos="1134"/>
          <w:tab w:val="left" w:pos="1871"/>
          <w:tab w:val="left" w:pos="2268"/>
        </w:tabs>
      </w:pPr>
      <w:r w:rsidRPr="00F01360">
        <w:t xml:space="preserve">Wireless power transmission, short-range devices, </w:t>
      </w:r>
      <w:r w:rsidRPr="00F01360">
        <w:rPr>
          <w:rFonts w:eastAsia="Calibri"/>
        </w:rPr>
        <w:t>ISM, non-beam WPT</w:t>
      </w:r>
    </w:p>
    <w:p w14:paraId="7B31BBB7" w14:textId="77777777" w:rsidR="00F01360" w:rsidRPr="002E79D3" w:rsidRDefault="00F01360" w:rsidP="002E79D3">
      <w:pPr>
        <w:pStyle w:val="Headingb"/>
      </w:pPr>
      <w:r w:rsidRPr="00F01360">
        <w:rPr>
          <w:lang w:eastAsia="zh-CN"/>
        </w:rPr>
        <w:t xml:space="preserve">Abbreviations/Glossary </w:t>
      </w:r>
    </w:p>
    <w:p w14:paraId="3DFB5ECB" w14:textId="77777777" w:rsidR="00F01360" w:rsidRPr="00F01360" w:rsidRDefault="00F01360" w:rsidP="00F01360">
      <w:pPr>
        <w:tabs>
          <w:tab w:val="clear" w:pos="794"/>
          <w:tab w:val="left" w:pos="1134"/>
          <w:tab w:val="left" w:pos="1871"/>
          <w:tab w:val="left" w:pos="2268"/>
        </w:tabs>
        <w:ind w:left="1134" w:hanging="1134"/>
        <w:jc w:val="left"/>
      </w:pPr>
      <w:r w:rsidRPr="00F01360">
        <w:t>CISPR</w:t>
      </w:r>
      <w:r w:rsidRPr="00F01360">
        <w:tab/>
        <w:t>In French “Comité International Spécial des Perturbations Radioélectriques”, International Special Committee on Radio Interference</w:t>
      </w:r>
    </w:p>
    <w:p w14:paraId="6F707360" w14:textId="77777777" w:rsidR="00F01360" w:rsidRPr="00F01360" w:rsidRDefault="00F01360" w:rsidP="00F01360">
      <w:pPr>
        <w:tabs>
          <w:tab w:val="clear" w:pos="794"/>
          <w:tab w:val="left" w:pos="1134"/>
          <w:tab w:val="left" w:pos="1871"/>
          <w:tab w:val="left" w:pos="2268"/>
        </w:tabs>
      </w:pPr>
      <w:r w:rsidRPr="00F01360">
        <w:t>ICES</w:t>
      </w:r>
      <w:r w:rsidRPr="00F01360">
        <w:tab/>
        <w:t>International Committee on Electromagnetic Safety</w:t>
      </w:r>
    </w:p>
    <w:p w14:paraId="48071DB7" w14:textId="77777777" w:rsidR="00F01360" w:rsidRPr="00F01360" w:rsidRDefault="00F01360" w:rsidP="00F01360">
      <w:pPr>
        <w:tabs>
          <w:tab w:val="clear" w:pos="794"/>
          <w:tab w:val="left" w:pos="1134"/>
          <w:tab w:val="left" w:pos="1871"/>
          <w:tab w:val="left" w:pos="2268"/>
        </w:tabs>
      </w:pPr>
      <w:r w:rsidRPr="00F01360">
        <w:t>ICNIRP</w:t>
      </w:r>
      <w:r w:rsidRPr="00F01360">
        <w:tab/>
        <w:t>International Commission on Non</w:t>
      </w:r>
      <w:r w:rsidRPr="00F01360">
        <w:noBreakHyphen/>
        <w:t>ionizing Radiation Protection</w:t>
      </w:r>
    </w:p>
    <w:p w14:paraId="540BC86D" w14:textId="77777777" w:rsidR="00F01360" w:rsidRPr="00F01360" w:rsidRDefault="00F01360" w:rsidP="00F01360">
      <w:pPr>
        <w:tabs>
          <w:tab w:val="clear" w:pos="794"/>
          <w:tab w:val="left" w:pos="1134"/>
          <w:tab w:val="left" w:pos="1871"/>
          <w:tab w:val="left" w:pos="2268"/>
        </w:tabs>
      </w:pPr>
      <w:r w:rsidRPr="00F01360">
        <w:t>IEC</w:t>
      </w:r>
      <w:r w:rsidRPr="00F01360">
        <w:tab/>
        <w:t>International Electrotechnical Commission</w:t>
      </w:r>
    </w:p>
    <w:p w14:paraId="6314DA5B" w14:textId="77777777" w:rsidR="00F01360" w:rsidRPr="00F01360" w:rsidRDefault="00F01360" w:rsidP="00F01360">
      <w:pPr>
        <w:tabs>
          <w:tab w:val="clear" w:pos="794"/>
          <w:tab w:val="left" w:pos="1134"/>
          <w:tab w:val="left" w:pos="1871"/>
          <w:tab w:val="left" w:pos="2268"/>
        </w:tabs>
        <w:rPr>
          <w:lang w:eastAsia="zh-CN"/>
        </w:rPr>
      </w:pPr>
      <w:r w:rsidRPr="00F01360">
        <w:rPr>
          <w:lang w:eastAsia="zh-CN"/>
        </w:rPr>
        <w:t>IEEE</w:t>
      </w:r>
      <w:r w:rsidRPr="00F01360">
        <w:rPr>
          <w:lang w:eastAsia="zh-CN"/>
        </w:rPr>
        <w:tab/>
        <w:t>Institute of Electrical and Electronics Engineers</w:t>
      </w:r>
    </w:p>
    <w:p w14:paraId="3209D051" w14:textId="77777777" w:rsidR="00F01360" w:rsidRPr="00F01360" w:rsidRDefault="00F01360" w:rsidP="00F01360">
      <w:pPr>
        <w:tabs>
          <w:tab w:val="clear" w:pos="794"/>
          <w:tab w:val="left" w:pos="1134"/>
          <w:tab w:val="left" w:pos="1871"/>
          <w:tab w:val="left" w:pos="2268"/>
        </w:tabs>
      </w:pPr>
      <w:r w:rsidRPr="00F01360">
        <w:t>ISO</w:t>
      </w:r>
      <w:r w:rsidRPr="00F01360">
        <w:tab/>
        <w:t>International Organization for Standardization</w:t>
      </w:r>
    </w:p>
    <w:p w14:paraId="3D89858C" w14:textId="77777777" w:rsidR="00F01360" w:rsidRPr="00F01360" w:rsidRDefault="00F01360" w:rsidP="00F01360">
      <w:pPr>
        <w:tabs>
          <w:tab w:val="clear" w:pos="794"/>
          <w:tab w:val="left" w:pos="1134"/>
          <w:tab w:val="left" w:pos="1871"/>
          <w:tab w:val="left" w:pos="2268"/>
        </w:tabs>
      </w:pPr>
      <w:r w:rsidRPr="00F01360">
        <w:rPr>
          <w:rFonts w:eastAsia="Calibri"/>
        </w:rPr>
        <w:t>ISM</w:t>
      </w:r>
      <w:r w:rsidRPr="00F01360">
        <w:rPr>
          <w:rFonts w:eastAsia="Calibri"/>
        </w:rPr>
        <w:tab/>
        <w:t>Industrial Scientific Medical</w:t>
      </w:r>
      <w:r w:rsidRPr="00F01360">
        <w:t xml:space="preserve"> </w:t>
      </w:r>
    </w:p>
    <w:p w14:paraId="5FD528B2" w14:textId="77777777" w:rsidR="00F01360" w:rsidRPr="00F01360" w:rsidRDefault="00F01360" w:rsidP="00F01360">
      <w:pPr>
        <w:tabs>
          <w:tab w:val="clear" w:pos="794"/>
          <w:tab w:val="left" w:pos="1134"/>
          <w:tab w:val="left" w:pos="1871"/>
          <w:tab w:val="left" w:pos="2268"/>
        </w:tabs>
      </w:pPr>
      <w:r w:rsidRPr="00F01360">
        <w:t>RR</w:t>
      </w:r>
      <w:r w:rsidRPr="00F01360">
        <w:tab/>
        <w:t>Radio Regulations</w:t>
      </w:r>
    </w:p>
    <w:p w14:paraId="0F871088" w14:textId="77777777" w:rsidR="00F01360" w:rsidRPr="00F01360" w:rsidRDefault="00F01360" w:rsidP="00F01360">
      <w:pPr>
        <w:tabs>
          <w:tab w:val="clear" w:pos="794"/>
          <w:tab w:val="left" w:pos="1134"/>
          <w:tab w:val="left" w:pos="1871"/>
          <w:tab w:val="left" w:pos="2268"/>
        </w:tabs>
      </w:pPr>
      <w:r w:rsidRPr="00F01360">
        <w:t>SAE</w:t>
      </w:r>
      <w:r w:rsidRPr="00F01360">
        <w:tab/>
        <w:t>Society of Automotive Engineers</w:t>
      </w:r>
    </w:p>
    <w:p w14:paraId="4B91D90B" w14:textId="77777777" w:rsidR="00F01360" w:rsidRPr="00F01360" w:rsidRDefault="00F01360" w:rsidP="00F01360">
      <w:pPr>
        <w:tabs>
          <w:tab w:val="clear" w:pos="794"/>
          <w:tab w:val="left" w:pos="1134"/>
          <w:tab w:val="left" w:pos="1871"/>
          <w:tab w:val="left" w:pos="2268"/>
        </w:tabs>
      </w:pPr>
      <w:r w:rsidRPr="00F01360">
        <w:t>SFTS</w:t>
      </w:r>
      <w:r w:rsidRPr="00F01360">
        <w:tab/>
        <w:t>Standard Frequency and Time Signal service</w:t>
      </w:r>
      <w:r w:rsidRPr="00F01360" w:rsidDel="00210000">
        <w:rPr>
          <w:lang w:eastAsia="zh-CN"/>
        </w:rPr>
        <w:t xml:space="preserve"> </w:t>
      </w:r>
      <w:r w:rsidRPr="00F01360">
        <w:rPr>
          <w:lang w:eastAsia="zh-CN"/>
        </w:rPr>
        <w:t xml:space="preserve">(RR No. </w:t>
      </w:r>
      <w:r w:rsidRPr="00F01360">
        <w:rPr>
          <w:b/>
          <w:bCs/>
          <w:lang w:eastAsia="zh-CN"/>
        </w:rPr>
        <w:t>1.53</w:t>
      </w:r>
      <w:r w:rsidRPr="00F01360">
        <w:rPr>
          <w:lang w:eastAsia="zh-CN"/>
        </w:rPr>
        <w:t>)</w:t>
      </w:r>
    </w:p>
    <w:p w14:paraId="35405835" w14:textId="77777777" w:rsidR="00F01360" w:rsidRPr="00F01360" w:rsidRDefault="00F01360" w:rsidP="00F01360">
      <w:pPr>
        <w:tabs>
          <w:tab w:val="clear" w:pos="794"/>
          <w:tab w:val="left" w:pos="1134"/>
          <w:tab w:val="left" w:pos="1871"/>
          <w:tab w:val="left" w:pos="2268"/>
        </w:tabs>
      </w:pPr>
      <w:r w:rsidRPr="00F01360">
        <w:t>WHO</w:t>
      </w:r>
      <w:r w:rsidRPr="00F01360">
        <w:tab/>
        <w:t>World Health Organization</w:t>
      </w:r>
      <w:r w:rsidRPr="00F01360">
        <w:rPr>
          <w:lang w:eastAsia="zh-CN"/>
        </w:rPr>
        <w:t xml:space="preserve"> </w:t>
      </w:r>
    </w:p>
    <w:p w14:paraId="0084C199" w14:textId="079E3F54" w:rsidR="00F01360" w:rsidRPr="00F01360" w:rsidRDefault="00F01360" w:rsidP="00F01360">
      <w:pPr>
        <w:tabs>
          <w:tab w:val="clear" w:pos="794"/>
          <w:tab w:val="left" w:pos="1134"/>
          <w:tab w:val="left" w:pos="1871"/>
          <w:tab w:val="left" w:pos="2268"/>
        </w:tabs>
      </w:pPr>
      <w:r w:rsidRPr="00F01360">
        <w:t>WPT</w:t>
      </w:r>
      <w:r w:rsidRPr="00F01360">
        <w:tab/>
      </w:r>
      <w:r w:rsidRPr="00F01360">
        <w:rPr>
          <w:lang w:eastAsia="ko-KR"/>
        </w:rPr>
        <w:t>Wireless</w:t>
      </w:r>
      <w:r w:rsidRPr="00F01360">
        <w:t xml:space="preserve"> </w:t>
      </w:r>
      <w:r w:rsidR="00454E2B">
        <w:t>p</w:t>
      </w:r>
      <w:r w:rsidRPr="00F01360">
        <w:t xml:space="preserve">ower </w:t>
      </w:r>
      <w:r w:rsidR="00454E2B">
        <w:t>t</w:t>
      </w:r>
      <w:r w:rsidRPr="00F01360">
        <w:t>ransmission</w:t>
      </w:r>
    </w:p>
    <w:p w14:paraId="0003C3FB" w14:textId="1AF0CD68" w:rsidR="00F01360" w:rsidRPr="00F01360" w:rsidRDefault="00F01360" w:rsidP="00F01360">
      <w:pPr>
        <w:tabs>
          <w:tab w:val="clear" w:pos="794"/>
          <w:tab w:val="left" w:pos="1134"/>
          <w:tab w:val="left" w:pos="1871"/>
          <w:tab w:val="left" w:pos="2268"/>
        </w:tabs>
      </w:pPr>
      <w:r w:rsidRPr="00F01360">
        <w:t>WPT-EV</w:t>
      </w:r>
      <w:r w:rsidRPr="00F01360">
        <w:tab/>
        <w:t xml:space="preserve">Wireless </w:t>
      </w:r>
      <w:r w:rsidR="00454E2B">
        <w:t>p</w:t>
      </w:r>
      <w:r w:rsidRPr="00F01360">
        <w:t xml:space="preserve">ower </w:t>
      </w:r>
      <w:r w:rsidR="00454E2B">
        <w:t>t</w:t>
      </w:r>
      <w:r w:rsidRPr="00F01360">
        <w:t xml:space="preserve">ransmission for </w:t>
      </w:r>
      <w:r w:rsidR="00454E2B">
        <w:t>e</w:t>
      </w:r>
      <w:r w:rsidRPr="00F01360">
        <w:t xml:space="preserve">lectric </w:t>
      </w:r>
      <w:r w:rsidR="00454E2B">
        <w:t>v</w:t>
      </w:r>
      <w:r w:rsidRPr="00F01360">
        <w:t>ehicles</w:t>
      </w:r>
    </w:p>
    <w:p w14:paraId="2B822CE8" w14:textId="67ABE115" w:rsidR="00F01360" w:rsidRPr="00F01360" w:rsidRDefault="00F01360" w:rsidP="002E79D3">
      <w:pPr>
        <w:pStyle w:val="Headingb"/>
        <w:rPr>
          <w:rFonts w:eastAsia="SimSun"/>
          <w:lang w:eastAsia="zh-CN"/>
        </w:rPr>
      </w:pPr>
      <w:r w:rsidRPr="00F01360">
        <w:rPr>
          <w:rFonts w:eastAsia="SimSun"/>
          <w:lang w:eastAsia="zh-CN"/>
        </w:rPr>
        <w:t>Related ITU Recommendations</w:t>
      </w:r>
      <w:r w:rsidR="00ED0C8C">
        <w:rPr>
          <w:rFonts w:eastAsia="SimSun"/>
          <w:lang w:eastAsia="zh-CN"/>
        </w:rPr>
        <w:t>, Reports</w:t>
      </w:r>
    </w:p>
    <w:p w14:paraId="3C019283" w14:textId="2CD05E71" w:rsidR="00F01360" w:rsidRPr="00F01360" w:rsidRDefault="007E789E" w:rsidP="002E79D3">
      <w:pPr>
        <w:pStyle w:val="Reftext"/>
        <w:rPr>
          <w:rFonts w:eastAsia="Calibri"/>
        </w:rPr>
      </w:pPr>
      <w:r w:rsidRPr="00F01360">
        <w:rPr>
          <w:rFonts w:eastAsia="Calibri"/>
        </w:rPr>
        <w:t>Recommendation</w:t>
      </w:r>
      <w:r w:rsidRPr="00FD1F85">
        <w:rPr>
          <w:rFonts w:eastAsia="Calibri"/>
        </w:rPr>
        <w:t xml:space="preserve"> </w:t>
      </w:r>
      <w:hyperlink r:id="rId15" w:history="1">
        <w:r w:rsidR="00F01360" w:rsidRPr="00F01360">
          <w:rPr>
            <w:rFonts w:eastAsia="Calibri"/>
          </w:rPr>
          <w:t>ITU-R SM.1056</w:t>
        </w:r>
      </w:hyperlink>
      <w:r w:rsidR="00F01360" w:rsidRPr="00F01360">
        <w:rPr>
          <w:rFonts w:eastAsia="Calibri"/>
        </w:rPr>
        <w:t xml:space="preserve"> – Limitation of radiation from industrial, scientific and medical (ISM) equipment</w:t>
      </w:r>
    </w:p>
    <w:p w14:paraId="235E916B" w14:textId="4FD59CD6" w:rsidR="00F01360" w:rsidRPr="00F01360" w:rsidRDefault="00EB7415" w:rsidP="002E79D3">
      <w:pPr>
        <w:pStyle w:val="Reftext"/>
        <w:rPr>
          <w:rFonts w:eastAsia="Calibri"/>
        </w:rPr>
      </w:pPr>
      <w:r w:rsidRPr="00F01360">
        <w:rPr>
          <w:rFonts w:eastAsia="Calibri"/>
        </w:rPr>
        <w:t>Recommendation</w:t>
      </w:r>
      <w:r w:rsidRPr="00FD1F85">
        <w:rPr>
          <w:lang w:eastAsia="ko-KR"/>
        </w:rPr>
        <w:t xml:space="preserve"> </w:t>
      </w:r>
      <w:hyperlink r:id="rId16" w:history="1">
        <w:r w:rsidR="00F01360" w:rsidRPr="00F01360">
          <w:rPr>
            <w:lang w:eastAsia="ko-KR"/>
          </w:rPr>
          <w:t>ITU-R SM.1896</w:t>
        </w:r>
      </w:hyperlink>
      <w:r w:rsidR="00F01360" w:rsidRPr="00F01360">
        <w:rPr>
          <w:rFonts w:eastAsia="Calibri"/>
        </w:rPr>
        <w:t xml:space="preserve"> – </w:t>
      </w:r>
      <w:r w:rsidR="00F01360" w:rsidRPr="00F01360">
        <w:rPr>
          <w:lang w:eastAsia="ko-KR"/>
        </w:rPr>
        <w:t>Frequency ranges for global or regional harmonization of short-range devices</w:t>
      </w:r>
    </w:p>
    <w:p w14:paraId="7DFD89F0" w14:textId="11F337D6" w:rsidR="00F01360" w:rsidRPr="00F01360" w:rsidRDefault="00EB7415" w:rsidP="002E79D3">
      <w:pPr>
        <w:pStyle w:val="Reftext"/>
        <w:rPr>
          <w:rFonts w:eastAsia="Calibri"/>
        </w:rPr>
      </w:pPr>
      <w:r w:rsidRPr="00F01360">
        <w:rPr>
          <w:rFonts w:eastAsia="Calibri"/>
        </w:rPr>
        <w:t>Recommendation</w:t>
      </w:r>
      <w:r w:rsidRPr="00FD1F85">
        <w:rPr>
          <w:rFonts w:eastAsia="Calibri"/>
        </w:rPr>
        <w:t xml:space="preserve"> </w:t>
      </w:r>
      <w:hyperlink r:id="rId17" w:history="1">
        <w:r w:rsidR="00F01360" w:rsidRPr="00F01360">
          <w:rPr>
            <w:rFonts w:eastAsia="Calibri"/>
          </w:rPr>
          <w:t>ITU-R SM.2129</w:t>
        </w:r>
      </w:hyperlink>
      <w:r w:rsidR="00F01360" w:rsidRPr="00F01360">
        <w:rPr>
          <w:rFonts w:eastAsia="Calibri"/>
        </w:rPr>
        <w:t xml:space="preserve"> – Guidance on frequency ranges for the operation of non-beam wireless power transmission for mobile and portable devices</w:t>
      </w:r>
    </w:p>
    <w:p w14:paraId="109FE745" w14:textId="6E3621BF" w:rsidR="00F01360" w:rsidRPr="00F01360" w:rsidRDefault="00EB7415" w:rsidP="002E79D3">
      <w:pPr>
        <w:pStyle w:val="Reftext"/>
        <w:rPr>
          <w:lang w:eastAsia="ko-KR"/>
        </w:rPr>
      </w:pPr>
      <w:r w:rsidRPr="00F01360">
        <w:rPr>
          <w:rFonts w:eastAsia="Calibri"/>
        </w:rPr>
        <w:t>Re</w:t>
      </w:r>
      <w:r w:rsidRPr="00FD1F85">
        <w:rPr>
          <w:rFonts w:eastAsia="Calibri"/>
        </w:rPr>
        <w:t>port</w:t>
      </w:r>
      <w:r w:rsidRPr="00FD1F85">
        <w:rPr>
          <w:lang w:eastAsia="ko-KR"/>
        </w:rPr>
        <w:t xml:space="preserve"> </w:t>
      </w:r>
      <w:hyperlink r:id="rId18" w:history="1">
        <w:r w:rsidR="00F01360" w:rsidRPr="00F01360">
          <w:rPr>
            <w:lang w:eastAsia="ko-KR"/>
          </w:rPr>
          <w:t>ITU-R SM.2153</w:t>
        </w:r>
      </w:hyperlink>
      <w:r w:rsidR="00F01360" w:rsidRPr="00F01360">
        <w:rPr>
          <w:lang w:eastAsia="ko-KR"/>
        </w:rPr>
        <w:t xml:space="preserve"> </w:t>
      </w:r>
      <w:r w:rsidR="00F01360" w:rsidRPr="00F01360">
        <w:rPr>
          <w:rFonts w:eastAsia="Calibri"/>
        </w:rPr>
        <w:t xml:space="preserve">– </w:t>
      </w:r>
      <w:r w:rsidR="00F01360" w:rsidRPr="00F01360">
        <w:rPr>
          <w:lang w:eastAsia="ko-KR"/>
        </w:rPr>
        <w:t>Technical and operating parameters and spectrum use for short-range radiocommunication devices</w:t>
      </w:r>
    </w:p>
    <w:p w14:paraId="6177FA6A" w14:textId="068ADE5E" w:rsidR="00F01360" w:rsidRPr="00F01360" w:rsidRDefault="00EB7415" w:rsidP="002E79D3">
      <w:pPr>
        <w:pStyle w:val="Reftext"/>
        <w:rPr>
          <w:rFonts w:eastAsia="Calibri"/>
        </w:rPr>
      </w:pPr>
      <w:r w:rsidRPr="00F01360">
        <w:rPr>
          <w:rFonts w:eastAsia="Calibri"/>
        </w:rPr>
        <w:t>Re</w:t>
      </w:r>
      <w:r w:rsidRPr="00FD1F85">
        <w:rPr>
          <w:rFonts w:eastAsia="Calibri"/>
        </w:rPr>
        <w:t>port</w:t>
      </w:r>
      <w:r w:rsidRPr="00FD1F85">
        <w:rPr>
          <w:lang w:eastAsia="ko-KR"/>
        </w:rPr>
        <w:t xml:space="preserve"> </w:t>
      </w:r>
      <w:hyperlink r:id="rId19" w:history="1">
        <w:r w:rsidR="00F01360" w:rsidRPr="00F01360">
          <w:rPr>
            <w:rFonts w:eastAsia="Calibri"/>
          </w:rPr>
          <w:t>ITU-R SM.2303</w:t>
        </w:r>
      </w:hyperlink>
      <w:r w:rsidR="00F01360" w:rsidRPr="00F01360">
        <w:rPr>
          <w:rFonts w:eastAsia="Calibri"/>
        </w:rPr>
        <w:t xml:space="preserve"> – Wireless power transmission using technologies other than radio frequency beam</w:t>
      </w:r>
    </w:p>
    <w:p w14:paraId="52CE95C4" w14:textId="2E297AE6" w:rsidR="00F01360" w:rsidRPr="00F01360" w:rsidRDefault="00EB7415" w:rsidP="002E79D3">
      <w:pPr>
        <w:pStyle w:val="Reftext"/>
        <w:rPr>
          <w:rFonts w:eastAsia="Calibri"/>
        </w:rPr>
      </w:pPr>
      <w:r w:rsidRPr="00F01360">
        <w:rPr>
          <w:rFonts w:eastAsia="Calibri"/>
        </w:rPr>
        <w:t>Re</w:t>
      </w:r>
      <w:r w:rsidRPr="00FD1F85">
        <w:rPr>
          <w:rFonts w:eastAsia="Calibri"/>
        </w:rPr>
        <w:t>port</w:t>
      </w:r>
      <w:r w:rsidRPr="00FD1F85">
        <w:rPr>
          <w:lang w:eastAsia="ko-KR"/>
        </w:rPr>
        <w:t xml:space="preserve"> </w:t>
      </w:r>
      <w:hyperlink r:id="rId20" w:history="1">
        <w:r w:rsidR="00F01360" w:rsidRPr="00F01360">
          <w:rPr>
            <w:rFonts w:eastAsia="Calibri"/>
          </w:rPr>
          <w:t>ITU</w:t>
        </w:r>
        <w:r w:rsidR="00F01360" w:rsidRPr="00F01360">
          <w:rPr>
            <w:rFonts w:eastAsia="Calibri"/>
          </w:rPr>
          <w:noBreakHyphen/>
          <w:t>R SM.2451</w:t>
        </w:r>
      </w:hyperlink>
      <w:r w:rsidR="00F01360" w:rsidRPr="00F01360">
        <w:t xml:space="preserve"> </w:t>
      </w:r>
      <w:r w:rsidR="00F01360" w:rsidRPr="00F01360">
        <w:rPr>
          <w:rFonts w:eastAsia="Calibri"/>
        </w:rPr>
        <w:t>– Assessment of impact on radiocommunication services from wireless power transmission for electric vehicle operating below 30 MHz</w:t>
      </w:r>
    </w:p>
    <w:p w14:paraId="5A545133" w14:textId="7A3D45C3" w:rsidR="00F01360" w:rsidRPr="00F01360" w:rsidRDefault="00EB7415" w:rsidP="002E79D3">
      <w:pPr>
        <w:pStyle w:val="Reftext"/>
      </w:pPr>
      <w:r w:rsidRPr="00F01360">
        <w:rPr>
          <w:rFonts w:eastAsia="Calibri"/>
        </w:rPr>
        <w:lastRenderedPageBreak/>
        <w:t>Re</w:t>
      </w:r>
      <w:r w:rsidRPr="00FD1F85">
        <w:rPr>
          <w:rFonts w:eastAsia="Calibri"/>
        </w:rPr>
        <w:t>port</w:t>
      </w:r>
      <w:r w:rsidRPr="00FD1F85">
        <w:rPr>
          <w:lang w:eastAsia="ko-KR"/>
        </w:rPr>
        <w:t xml:space="preserve"> </w:t>
      </w:r>
      <w:hyperlink r:id="rId21" w:history="1">
        <w:r w:rsidR="00F01360" w:rsidRPr="00F01360">
          <w:rPr>
            <w:rFonts w:eastAsia="Calibri"/>
          </w:rPr>
          <w:t>ITU-R TF.2487</w:t>
        </w:r>
      </w:hyperlink>
      <w:r w:rsidR="00F01360" w:rsidRPr="00F01360">
        <w:rPr>
          <w:rFonts w:eastAsia="Calibri"/>
        </w:rPr>
        <w:t xml:space="preserve"> – Protection criteria for systems in the standard frequency and time signal services</w:t>
      </w:r>
    </w:p>
    <w:p w14:paraId="6FBBF8ED" w14:textId="77777777" w:rsidR="00F01360" w:rsidRPr="00F01360" w:rsidRDefault="00F01360" w:rsidP="00FE044E">
      <w:pPr>
        <w:pStyle w:val="Normalaftertitle"/>
      </w:pPr>
      <w:r w:rsidRPr="00F01360">
        <w:t>The ITU Radiocommunication Assembly,</w:t>
      </w:r>
    </w:p>
    <w:p w14:paraId="19498F6A" w14:textId="77777777" w:rsidR="00F01360" w:rsidRPr="00F01360" w:rsidRDefault="00F01360" w:rsidP="00FE044E">
      <w:pPr>
        <w:pStyle w:val="Call"/>
      </w:pPr>
      <w:r w:rsidRPr="00F01360">
        <w:t>considering</w:t>
      </w:r>
    </w:p>
    <w:p w14:paraId="360F9DF7" w14:textId="77777777" w:rsidR="00F01360" w:rsidRPr="00F01360" w:rsidRDefault="00F01360" w:rsidP="00FE044E">
      <w:r w:rsidRPr="00F01360">
        <w:rPr>
          <w:i/>
        </w:rPr>
        <w:t>a)</w:t>
      </w:r>
      <w:r w:rsidRPr="00F01360">
        <w:tab/>
        <w:t>that wireless power transmission (WPT) is defined as the transmission of power from a power source to an electrical load wirelessly using the electromagnetic field;</w:t>
      </w:r>
    </w:p>
    <w:p w14:paraId="102BD903" w14:textId="77777777" w:rsidR="00F01360" w:rsidRPr="00F01360" w:rsidRDefault="00F01360" w:rsidP="00FE044E">
      <w:r w:rsidRPr="00F01360">
        <w:rPr>
          <w:i/>
        </w:rPr>
        <w:t>b)</w:t>
      </w:r>
      <w:r w:rsidRPr="00F01360">
        <w:tab/>
        <w:t>that WPT technologies utilize various mechanisms, such as transmission via radio frequency radiated transmissions in the far-field (WPT beam) and near-field inductive, resonant and capacitive coupling (non-beam WPT);</w:t>
      </w:r>
    </w:p>
    <w:p w14:paraId="7D30F81E" w14:textId="77777777" w:rsidR="00F01360" w:rsidRPr="00F01360" w:rsidRDefault="00F01360" w:rsidP="00FE044E">
      <w:r w:rsidRPr="00F01360">
        <w:rPr>
          <w:i/>
        </w:rPr>
        <w:t>c)</w:t>
      </w:r>
      <w:r w:rsidRPr="00F01360">
        <w:tab/>
        <w:t>that WPT technologies are being considered for applications such as charging of electric vehicles;</w:t>
      </w:r>
    </w:p>
    <w:p w14:paraId="5AAB814C" w14:textId="77777777" w:rsidR="00F01360" w:rsidRPr="00F01360" w:rsidRDefault="00F01360" w:rsidP="00FE044E">
      <w:r w:rsidRPr="00F01360">
        <w:rPr>
          <w:i/>
        </w:rPr>
        <w:t>d)</w:t>
      </w:r>
      <w:r w:rsidRPr="00F01360">
        <w:tab/>
        <w:t>that WPT regulations and standards are currently being developed at national, regional, and international levels;</w:t>
      </w:r>
    </w:p>
    <w:p w14:paraId="008C17C1" w14:textId="599F3E1D" w:rsidR="00F01360" w:rsidRPr="00F01360" w:rsidRDefault="00F01360" w:rsidP="00FE044E">
      <w:r w:rsidRPr="00F01360">
        <w:rPr>
          <w:i/>
        </w:rPr>
        <w:t>e)</w:t>
      </w:r>
      <w:r w:rsidRPr="00F01360">
        <w:tab/>
        <w:t>that industrial alliances, consortia, and academia have investigated several fundamental frequency bands for WPT technologies, including; 19</w:t>
      </w:r>
      <w:r w:rsidRPr="00F01360">
        <w:noBreakHyphen/>
        <w:t>21 kHz and 79</w:t>
      </w:r>
      <w:r w:rsidRPr="00F01360">
        <w:noBreakHyphen/>
        <w:t>90 kHz for electric vehicles;</w:t>
      </w:r>
    </w:p>
    <w:p w14:paraId="1978041C" w14:textId="77777777" w:rsidR="00F01360" w:rsidRPr="00F01360" w:rsidRDefault="00F01360" w:rsidP="00FE044E">
      <w:r w:rsidRPr="00F01360">
        <w:rPr>
          <w:i/>
        </w:rPr>
        <w:t>f)</w:t>
      </w:r>
      <w:r w:rsidRPr="00F01360">
        <w:tab/>
        <w:t>that studies have been conducted on the impact of non-beam WPT to radiocommunication services and are contained in Report ITU-R SM.2451;</w:t>
      </w:r>
    </w:p>
    <w:p w14:paraId="2C42541B" w14:textId="77777777" w:rsidR="00F01360" w:rsidRPr="00F01360" w:rsidRDefault="00F01360" w:rsidP="00FE044E">
      <w:r w:rsidRPr="00F01360">
        <w:rPr>
          <w:i/>
        </w:rPr>
        <w:t>g)</w:t>
      </w:r>
      <w:r w:rsidRPr="00F01360">
        <w:tab/>
        <w:t>that for the purpose of WPT studies the radio astronomy service is to be treated as a radiocommunication service;</w:t>
      </w:r>
    </w:p>
    <w:p w14:paraId="07A15C0D" w14:textId="77777777" w:rsidR="00F01360" w:rsidRPr="00F01360" w:rsidRDefault="00F01360" w:rsidP="00FE044E">
      <w:r w:rsidRPr="00F01360">
        <w:rPr>
          <w:i/>
        </w:rPr>
        <w:t>h)</w:t>
      </w:r>
      <w:r w:rsidRPr="00F01360">
        <w:tab/>
        <w:t>that as more WPT devices proliferate globally, the use of WPT technologies may have an impact on radiocommunication services including the standard frequency and time signal service and the radio astronomy service, WPT must not cause harmful interference to radiocommunication services;</w:t>
      </w:r>
    </w:p>
    <w:p w14:paraId="54551E73" w14:textId="77777777" w:rsidR="00F01360" w:rsidRPr="00F01360" w:rsidRDefault="00F01360" w:rsidP="00FE044E">
      <w:r w:rsidRPr="00F01360">
        <w:rPr>
          <w:i/>
        </w:rPr>
        <w:t>i)</w:t>
      </w:r>
      <w:r w:rsidRPr="00F01360">
        <w:tab/>
        <w:t>that to mitigate the impact of WPT devices on the operation of radiocommunication services some solutions utilize frequency bands already designated for industrial, scientific and medical (ISM) applications,</w:t>
      </w:r>
    </w:p>
    <w:p w14:paraId="607DFB0E" w14:textId="77777777" w:rsidR="00F01360" w:rsidRPr="00F01360" w:rsidRDefault="00F01360" w:rsidP="00D21F83">
      <w:pPr>
        <w:pStyle w:val="Call"/>
      </w:pPr>
      <w:r w:rsidRPr="00F01360">
        <w:t>recognizing</w:t>
      </w:r>
    </w:p>
    <w:p w14:paraId="5C151F00" w14:textId="77777777" w:rsidR="00F01360" w:rsidRPr="00F01360" w:rsidRDefault="00F01360" w:rsidP="00D21F83">
      <w:r w:rsidRPr="00F01360">
        <w:rPr>
          <w:i/>
          <w:lang w:eastAsia="zh-CN"/>
        </w:rPr>
        <w:t>a</w:t>
      </w:r>
      <w:r w:rsidRPr="00F01360">
        <w:rPr>
          <w:i/>
        </w:rPr>
        <w:t>)</w:t>
      </w:r>
      <w:r w:rsidRPr="00F01360">
        <w:tab/>
        <w:t>that WPT is not a radiocommunication service and has no status in the Radio Regulations (RR), but may be regarded as subject to RR Nos</w:t>
      </w:r>
      <w:r w:rsidRPr="00F01360">
        <w:rPr>
          <w:lang w:eastAsia="zh-CN"/>
        </w:rPr>
        <w:t>.</w:t>
      </w:r>
      <w:r w:rsidRPr="00F01360">
        <w:t xml:space="preserve"> </w:t>
      </w:r>
      <w:r w:rsidRPr="00F01360">
        <w:rPr>
          <w:b/>
        </w:rPr>
        <w:t>15.12</w:t>
      </w:r>
      <w:r w:rsidRPr="00F01360">
        <w:t xml:space="preserve"> or </w:t>
      </w:r>
      <w:r w:rsidRPr="00F01360">
        <w:rPr>
          <w:b/>
        </w:rPr>
        <w:t>15.13</w:t>
      </w:r>
      <w:r w:rsidRPr="00F01360">
        <w:t xml:space="preserve">; </w:t>
      </w:r>
    </w:p>
    <w:p w14:paraId="315337D0" w14:textId="77777777" w:rsidR="00F01360" w:rsidRPr="00F01360" w:rsidRDefault="00F01360" w:rsidP="00D21F83">
      <w:r w:rsidRPr="00F01360">
        <w:rPr>
          <w:i/>
          <w:lang w:eastAsia="zh-CN"/>
        </w:rPr>
        <w:t>b</w:t>
      </w:r>
      <w:r w:rsidRPr="00F01360">
        <w:rPr>
          <w:i/>
        </w:rPr>
        <w:t>)</w:t>
      </w:r>
      <w:r w:rsidRPr="00F01360">
        <w:tab/>
        <w:t xml:space="preserve">that the criteria to protect various radiocommunication services from harmful interference are specified in existing ITU-R Recommendations; </w:t>
      </w:r>
    </w:p>
    <w:p w14:paraId="60910738" w14:textId="77777777" w:rsidR="00F01360" w:rsidRPr="00F01360" w:rsidRDefault="00F01360" w:rsidP="00D21F83">
      <w:r w:rsidRPr="00F01360">
        <w:rPr>
          <w:i/>
          <w:lang w:eastAsia="zh-CN"/>
        </w:rPr>
        <w:t>c</w:t>
      </w:r>
      <w:r w:rsidRPr="00F01360">
        <w:rPr>
          <w:i/>
        </w:rPr>
        <w:t>)</w:t>
      </w:r>
      <w:r w:rsidRPr="00F01360">
        <w:tab/>
        <w:t xml:space="preserve">that both consumers and manufacturers may benefit from harmonized frequency ranges and technical conditions </w:t>
      </w:r>
      <w:r w:rsidRPr="00F01360">
        <w:rPr>
          <w:lang w:eastAsia="zh-CN"/>
        </w:rPr>
        <w:t xml:space="preserve">for </w:t>
      </w:r>
      <w:r w:rsidRPr="00F01360">
        <w:t>WPT technologies;</w:t>
      </w:r>
    </w:p>
    <w:p w14:paraId="36CED552" w14:textId="77777777" w:rsidR="00F01360" w:rsidRPr="00F01360" w:rsidRDefault="00F01360" w:rsidP="00D21F83">
      <w:r w:rsidRPr="00F01360">
        <w:rPr>
          <w:i/>
          <w:iCs/>
          <w:lang w:eastAsia="ko-KR"/>
        </w:rPr>
        <w:t>d</w:t>
      </w:r>
      <w:r w:rsidRPr="00F01360">
        <w:rPr>
          <w:i/>
        </w:rPr>
        <w:t>)</w:t>
      </w:r>
      <w:r w:rsidRPr="00F01360">
        <w:rPr>
          <w:i/>
        </w:rPr>
        <w:tab/>
      </w:r>
      <w:r w:rsidRPr="00F01360">
        <w:t>that some Administrations classify the non-beam WPT energy transfer as an ISM application, even for operation outside bands designated for ISM use;</w:t>
      </w:r>
    </w:p>
    <w:p w14:paraId="37DA8CCC" w14:textId="77777777" w:rsidR="00F01360" w:rsidRPr="00F01360" w:rsidRDefault="00F01360" w:rsidP="00D21F83">
      <w:pPr>
        <w:rPr>
          <w:i/>
        </w:rPr>
      </w:pPr>
      <w:r w:rsidRPr="00F01360">
        <w:rPr>
          <w:i/>
          <w:iCs/>
          <w:lang w:eastAsia="ko-KR"/>
        </w:rPr>
        <w:t>e</w:t>
      </w:r>
      <w:r w:rsidRPr="00F01360">
        <w:rPr>
          <w:i/>
        </w:rPr>
        <w:t>)</w:t>
      </w:r>
      <w:r w:rsidRPr="00F01360">
        <w:tab/>
        <w:t>that some Administrations classify non-beam WPT systems as radio application such as a short-range radio device;</w:t>
      </w:r>
    </w:p>
    <w:p w14:paraId="56583810" w14:textId="77777777" w:rsidR="00F01360" w:rsidRPr="00F01360" w:rsidRDefault="00F01360" w:rsidP="00D21F83">
      <w:r w:rsidRPr="00F01360">
        <w:rPr>
          <w:i/>
          <w:iCs/>
          <w:lang w:eastAsia="ko-KR"/>
        </w:rPr>
        <w:t>f</w:t>
      </w:r>
      <w:r w:rsidRPr="00F01360">
        <w:rPr>
          <w:i/>
        </w:rPr>
        <w:t>)</w:t>
      </w:r>
      <w:r w:rsidRPr="00F01360">
        <w:tab/>
        <w:t>that some non-ISM bands are taken into consideration for the global or regional harmonized use of specific WPT applications;</w:t>
      </w:r>
    </w:p>
    <w:p w14:paraId="116BA25F" w14:textId="77777777" w:rsidR="00F01360" w:rsidRPr="00F01360" w:rsidRDefault="00F01360" w:rsidP="00D21F83">
      <w:r w:rsidRPr="00F01360">
        <w:rPr>
          <w:i/>
          <w:iCs/>
          <w:lang w:eastAsia="ko-KR"/>
        </w:rPr>
        <w:t>g</w:t>
      </w:r>
      <w:r w:rsidRPr="00F01360">
        <w:rPr>
          <w:i/>
        </w:rPr>
        <w:t>)</w:t>
      </w:r>
      <w:r w:rsidRPr="00F01360">
        <w:rPr>
          <w:i/>
        </w:rPr>
        <w:tab/>
      </w:r>
      <w:r w:rsidRPr="00F01360">
        <w:t xml:space="preserve">that the energy transfer of non-beam WPT systems can be treated separately from data communications, especially when the receiving device receives data communications at a frequency different from that for the energy transfer; </w:t>
      </w:r>
    </w:p>
    <w:p w14:paraId="6940C0D8" w14:textId="77777777" w:rsidR="00F01360" w:rsidRPr="00F01360" w:rsidRDefault="00F01360" w:rsidP="00D21F83">
      <w:pPr>
        <w:rPr>
          <w:i/>
        </w:rPr>
      </w:pPr>
      <w:r w:rsidRPr="00F01360">
        <w:rPr>
          <w:i/>
          <w:iCs/>
          <w:lang w:eastAsia="ko-KR"/>
        </w:rPr>
        <w:t>h</w:t>
      </w:r>
      <w:r w:rsidRPr="00F01360">
        <w:rPr>
          <w:i/>
        </w:rPr>
        <w:t>)</w:t>
      </w:r>
      <w:r w:rsidRPr="00F01360">
        <w:rPr>
          <w:i/>
        </w:rPr>
        <w:tab/>
      </w:r>
      <w:r w:rsidRPr="00F01360">
        <w:t xml:space="preserve">that in the absence of a load, the WPT-EV </w:t>
      </w:r>
      <w:r w:rsidRPr="00F01360">
        <w:rPr>
          <w:lang w:eastAsia="ko-KR"/>
        </w:rPr>
        <w:t xml:space="preserve">shuts off and </w:t>
      </w:r>
      <w:r w:rsidRPr="00F01360">
        <w:t>does not</w:t>
      </w:r>
      <w:r w:rsidRPr="00F01360">
        <w:rPr>
          <w:lang w:eastAsia="ko-KR"/>
        </w:rPr>
        <w:t xml:space="preserve"> radiate</w:t>
      </w:r>
      <w:r w:rsidRPr="00F01360">
        <w:t>;</w:t>
      </w:r>
    </w:p>
    <w:p w14:paraId="7433105B" w14:textId="77777777" w:rsidR="00F01360" w:rsidRPr="00F01360" w:rsidRDefault="00F01360" w:rsidP="00D21F83">
      <w:r w:rsidRPr="00F01360">
        <w:rPr>
          <w:i/>
          <w:iCs/>
          <w:lang w:eastAsia="ko-KR"/>
        </w:rPr>
        <w:lastRenderedPageBreak/>
        <w:t>i</w:t>
      </w:r>
      <w:r w:rsidRPr="00F01360">
        <w:rPr>
          <w:i/>
        </w:rPr>
        <w:t>)</w:t>
      </w:r>
      <w:r w:rsidRPr="00F01360">
        <w:tab/>
        <w:t xml:space="preserve">that for non-beam WPT-EV, the radiated </w:t>
      </w:r>
      <w:r w:rsidRPr="00F01360">
        <w:rPr>
          <w:lang w:eastAsia="ko-KR"/>
        </w:rPr>
        <w:t xml:space="preserve">RF </w:t>
      </w:r>
      <w:r w:rsidRPr="00F01360">
        <w:t>power</w:t>
      </w:r>
      <w:r w:rsidRPr="00F01360">
        <w:rPr>
          <w:lang w:eastAsia="ko-KR"/>
        </w:rPr>
        <w:t xml:space="preserve"> external to the WPT-EV system</w:t>
      </w:r>
      <w:r w:rsidRPr="00F01360">
        <w:t xml:space="preserve"> is much lower than RF power transferred</w:t>
      </w:r>
      <w:r w:rsidRPr="00F01360">
        <w:rPr>
          <w:lang w:eastAsia="ko-KR"/>
        </w:rPr>
        <w:t xml:space="preserve"> to the vehicle</w:t>
      </w:r>
      <w:r w:rsidRPr="00F01360">
        <w:t xml:space="preserve">. Most power is transferred to the receiver through mechanisms such as capacitive, resonant and inductive coupling; </w:t>
      </w:r>
    </w:p>
    <w:p w14:paraId="660776DB" w14:textId="77777777" w:rsidR="00F01360" w:rsidRPr="00F01360" w:rsidRDefault="00F01360" w:rsidP="00D21F83">
      <w:r w:rsidRPr="00F01360">
        <w:rPr>
          <w:i/>
          <w:iCs/>
          <w:lang w:eastAsia="ko-KR"/>
        </w:rPr>
        <w:t>j</w:t>
      </w:r>
      <w:r w:rsidRPr="00F01360">
        <w:rPr>
          <w:i/>
        </w:rPr>
        <w:t>)</w:t>
      </w:r>
      <w:r w:rsidRPr="00F01360">
        <w:tab/>
        <w:t>that Recommendation ITU-R SM.1056 on the limitation of radiation from ISM equipment recommends that administrations consider the use of the latest edition of CISPR 11. These limits do not necessarily protect radiocommunication services,</w:t>
      </w:r>
    </w:p>
    <w:p w14:paraId="47679CE1" w14:textId="77777777" w:rsidR="00F01360" w:rsidRPr="00F01360" w:rsidRDefault="00F01360" w:rsidP="00D21F83">
      <w:pPr>
        <w:pStyle w:val="Call"/>
      </w:pPr>
      <w:r w:rsidRPr="00F01360">
        <w:t>noting</w:t>
      </w:r>
    </w:p>
    <w:p w14:paraId="6CFA3E19" w14:textId="77777777" w:rsidR="00F01360" w:rsidRPr="00F01360" w:rsidRDefault="00F01360" w:rsidP="00D21F83">
      <w:r w:rsidRPr="00F01360">
        <w:rPr>
          <w:i/>
        </w:rPr>
        <w:t>a)</w:t>
      </w:r>
      <w:r w:rsidRPr="00F01360">
        <w:tab/>
        <w:t xml:space="preserve">that the IEC TC 69 published IEC International Standard (IS) 61980-1 on “general requirement of electric vehicle wireless power transfer </w:t>
      </w:r>
      <w:r w:rsidRPr="00F01360">
        <w:rPr>
          <w:lang w:eastAsia="zh-CN"/>
        </w:rPr>
        <w:t>systems”,</w:t>
      </w:r>
      <w:r w:rsidRPr="00F01360">
        <w:t xml:space="preserve"> IEC IS 61980-2 on “</w:t>
      </w:r>
      <w:r w:rsidRPr="00F01360">
        <w:rPr>
          <w:lang w:eastAsia="zh-CN"/>
        </w:rPr>
        <w:t xml:space="preserve">specific requirements for </w:t>
      </w:r>
      <w:r w:rsidRPr="00F01360">
        <w:t xml:space="preserve">communication </w:t>
      </w:r>
      <w:r w:rsidRPr="00F01360">
        <w:rPr>
          <w:lang w:eastAsia="zh-CN"/>
        </w:rPr>
        <w:t>between</w:t>
      </w:r>
      <w:r w:rsidRPr="00F01360">
        <w:t xml:space="preserve"> electric </w:t>
      </w:r>
      <w:r w:rsidRPr="00F01360">
        <w:rPr>
          <w:lang w:eastAsia="zh-CN"/>
        </w:rPr>
        <w:t xml:space="preserve">road </w:t>
      </w:r>
      <w:r w:rsidRPr="00F01360">
        <w:t xml:space="preserve">vehicle </w:t>
      </w:r>
      <w:r w:rsidRPr="00F01360">
        <w:rPr>
          <w:lang w:eastAsia="zh-CN"/>
        </w:rPr>
        <w:t xml:space="preserve">(EV) and infrastructure”, and </w:t>
      </w:r>
      <w:r w:rsidRPr="00F01360">
        <w:t xml:space="preserve">IEC IS 61980-3 on “specific requirements for the magnetic field power transfer systems of </w:t>
      </w:r>
      <w:r w:rsidRPr="00F01360">
        <w:rPr>
          <w:lang w:eastAsia="zh-CN"/>
        </w:rPr>
        <w:t>WPT-EV”</w:t>
      </w:r>
      <w:r w:rsidRPr="00F01360">
        <w:t>;</w:t>
      </w:r>
    </w:p>
    <w:p w14:paraId="572D4788" w14:textId="77777777" w:rsidR="00F01360" w:rsidRPr="00F01360" w:rsidRDefault="00F01360" w:rsidP="00D21F83">
      <w:r w:rsidRPr="00F01360">
        <w:rPr>
          <w:i/>
        </w:rPr>
        <w:t>b)</w:t>
      </w:r>
      <w:r w:rsidRPr="00F01360">
        <w:tab/>
        <w:t xml:space="preserve">that the International Organization for Standardization (ISO/TC22/SC37) </w:t>
      </w:r>
      <w:r w:rsidRPr="00F01360">
        <w:rPr>
          <w:lang w:eastAsia="zh-CN"/>
        </w:rPr>
        <w:t xml:space="preserve">published </w:t>
      </w:r>
      <w:r w:rsidRPr="00F01360">
        <w:t xml:space="preserve">ISO International Standard (IS) 5474-4 on “electrically propelled road vehicles – functional and safety requirements for power transfer between vehicle and external electric circuit part 4: magnetic field wireless power </w:t>
      </w:r>
      <w:r w:rsidRPr="00F01360">
        <w:rPr>
          <w:lang w:eastAsia="zh-CN"/>
        </w:rPr>
        <w:t>transfer”</w:t>
      </w:r>
      <w:r w:rsidRPr="00F01360">
        <w:t>;</w:t>
      </w:r>
    </w:p>
    <w:p w14:paraId="7F1E0F62" w14:textId="77777777" w:rsidR="00F01360" w:rsidRPr="00F01360" w:rsidRDefault="00F01360" w:rsidP="00D21F83">
      <w:r w:rsidRPr="00F01360">
        <w:rPr>
          <w:i/>
        </w:rPr>
        <w:t>c)</w:t>
      </w:r>
      <w:r w:rsidRPr="00F01360">
        <w:tab/>
        <w:t xml:space="preserve">that SAE International </w:t>
      </w:r>
      <w:r w:rsidRPr="00F01360">
        <w:rPr>
          <w:lang w:eastAsia="zh-CN"/>
        </w:rPr>
        <w:t xml:space="preserve">published the Standard </w:t>
      </w:r>
      <w:r w:rsidRPr="00F01360">
        <w:t xml:space="preserve">J2954 on “wireless power transfer for light-duty </w:t>
      </w:r>
      <w:r w:rsidRPr="00F01360">
        <w:rPr>
          <w:lang w:eastAsia="zh-CN"/>
        </w:rPr>
        <w:t>plug-in/</w:t>
      </w:r>
      <w:r w:rsidRPr="00F01360">
        <w:t xml:space="preserve">electric vehicles and </w:t>
      </w:r>
      <w:r w:rsidRPr="00F01360">
        <w:rPr>
          <w:lang w:eastAsia="zh-CN"/>
        </w:rPr>
        <w:t>alignment methodology”</w:t>
      </w:r>
      <w:r w:rsidRPr="00F01360">
        <w:t>;</w:t>
      </w:r>
    </w:p>
    <w:p w14:paraId="3F4120C8" w14:textId="77777777" w:rsidR="00F01360" w:rsidRPr="00F01360" w:rsidRDefault="00F01360" w:rsidP="00D21F83">
      <w:r w:rsidRPr="00F01360">
        <w:rPr>
          <w:i/>
        </w:rPr>
        <w:t>d)</w:t>
      </w:r>
      <w:r w:rsidRPr="00F01360">
        <w:tab/>
        <w:t>that issues of non-ionizing radiation exposure are dealt with by international organizations such as the WHO, ICNIRP and IEEE;</w:t>
      </w:r>
    </w:p>
    <w:p w14:paraId="40936E00" w14:textId="77777777" w:rsidR="00F01360" w:rsidRPr="00F01360" w:rsidRDefault="00F01360" w:rsidP="00D21F83">
      <w:pPr>
        <w:rPr>
          <w:rFonts w:eastAsia="Calibri"/>
        </w:rPr>
      </w:pPr>
      <w:r w:rsidRPr="00F01360">
        <w:rPr>
          <w:i/>
          <w:iCs/>
        </w:rPr>
        <w:t>e)</w:t>
      </w:r>
      <w:r w:rsidRPr="00F01360">
        <w:rPr>
          <w:i/>
          <w:iCs/>
        </w:rPr>
        <w:tab/>
      </w:r>
      <w:r w:rsidRPr="00F01360">
        <w:t xml:space="preserve">and </w:t>
      </w:r>
      <w:r w:rsidRPr="00F01360">
        <w:rPr>
          <w:rFonts w:eastAsia="Calibri"/>
        </w:rPr>
        <w:t>that “ICNIRP Guidelines” (2010) addresses limiting exposure to time-varying electric and magnetic fields from 1 Hz to 100 kHz and IEEE C95.1 provides a standard for limiting exposure in the frequency range 0 Hz to 300 GHz,</w:t>
      </w:r>
    </w:p>
    <w:p w14:paraId="72EFCB91" w14:textId="77777777" w:rsidR="00F01360" w:rsidRPr="00F01360" w:rsidRDefault="00F01360" w:rsidP="00D21F83">
      <w:pPr>
        <w:pStyle w:val="Call"/>
      </w:pPr>
      <w:r w:rsidRPr="00F01360">
        <w:t>recommends</w:t>
      </w:r>
    </w:p>
    <w:p w14:paraId="74616425" w14:textId="1C00F798" w:rsidR="00F01360" w:rsidRPr="00F01360" w:rsidRDefault="00F01360" w:rsidP="00D21F83">
      <w:r w:rsidRPr="00F01360">
        <w:t>that the frequency ranges (or portions thereof) listed in Table 1 below, as well as Note of Table 1 should be considered as guidance for the operation of non-beam WPT</w:t>
      </w:r>
      <w:r w:rsidRPr="00F01360">
        <w:noBreakHyphen/>
        <w:t xml:space="preserve">EV systems and the protection of radiocommunication services taking into account </w:t>
      </w:r>
      <w:r w:rsidRPr="00F01360">
        <w:rPr>
          <w:i/>
          <w:iCs/>
        </w:rPr>
        <w:t xml:space="preserve">considering f) </w:t>
      </w:r>
      <w:r w:rsidRPr="00372E1F">
        <w:t>and</w:t>
      </w:r>
      <w:r w:rsidRPr="00F01360">
        <w:rPr>
          <w:i/>
          <w:iCs/>
        </w:rPr>
        <w:t xml:space="preserve"> h)</w:t>
      </w:r>
      <w:r w:rsidRPr="00F01360">
        <w:t>.</w:t>
      </w:r>
    </w:p>
    <w:p w14:paraId="574BE3FD" w14:textId="77777777" w:rsidR="00F01360" w:rsidRPr="00F01360" w:rsidRDefault="00F01360" w:rsidP="00D21F83">
      <w:pPr>
        <w:pStyle w:val="TableNo"/>
      </w:pPr>
      <w:r w:rsidRPr="00F01360">
        <w:t>TABLE 1</w:t>
      </w:r>
    </w:p>
    <w:p w14:paraId="15764731" w14:textId="77777777" w:rsidR="00F01360" w:rsidRPr="00F01360" w:rsidRDefault="00F01360" w:rsidP="00D21F83">
      <w:pPr>
        <w:pStyle w:val="Tabletitle"/>
      </w:pPr>
      <w:r w:rsidRPr="00F01360">
        <w:t>Frequency</w:t>
      </w:r>
      <w:r w:rsidRPr="00F01360">
        <w:rPr>
          <w:bCs/>
        </w:rPr>
        <w:t xml:space="preserve"> ranges</w:t>
      </w:r>
      <w:r w:rsidRPr="00F01360">
        <w:t xml:space="preserve"> for operation of non-beam WPT systems for electric vehicles</w:t>
      </w:r>
    </w:p>
    <w:tbl>
      <w:tblPr>
        <w:tblStyle w:val="TableGrid1"/>
        <w:tblW w:w="9639" w:type="dxa"/>
        <w:tblInd w:w="0" w:type="dxa"/>
        <w:tblLook w:val="04A0" w:firstRow="1" w:lastRow="0" w:firstColumn="1" w:lastColumn="0" w:noHBand="0" w:noVBand="1"/>
      </w:tblPr>
      <w:tblGrid>
        <w:gridCol w:w="3260"/>
        <w:gridCol w:w="6379"/>
      </w:tblGrid>
      <w:tr w:rsidR="00F01360" w:rsidRPr="00124123" w14:paraId="2F1E6316" w14:textId="77777777" w:rsidTr="00D21F83">
        <w:tc>
          <w:tcPr>
            <w:tcW w:w="1691" w:type="pct"/>
            <w:tcBorders>
              <w:top w:val="single" w:sz="4" w:space="0" w:color="auto"/>
              <w:left w:val="single" w:sz="4" w:space="0" w:color="auto"/>
              <w:bottom w:val="single" w:sz="4" w:space="0" w:color="auto"/>
              <w:right w:val="single" w:sz="4" w:space="0" w:color="auto"/>
            </w:tcBorders>
            <w:hideMark/>
          </w:tcPr>
          <w:p w14:paraId="7595D3F3" w14:textId="77777777" w:rsidR="00F01360" w:rsidRPr="00F01360" w:rsidRDefault="00F01360" w:rsidP="00D21F83">
            <w:pPr>
              <w:pStyle w:val="Tablehead"/>
            </w:pPr>
            <w:r w:rsidRPr="00F01360">
              <w:t>Frequency range</w:t>
            </w:r>
            <w:r w:rsidRPr="00F01360">
              <w:rPr>
                <w:vertAlign w:val="superscript"/>
              </w:rPr>
              <w:t>(1)</w:t>
            </w:r>
          </w:p>
        </w:tc>
        <w:tc>
          <w:tcPr>
            <w:tcW w:w="3309" w:type="pct"/>
            <w:tcBorders>
              <w:top w:val="single" w:sz="4" w:space="0" w:color="auto"/>
              <w:left w:val="single" w:sz="4" w:space="0" w:color="auto"/>
              <w:bottom w:val="single" w:sz="4" w:space="0" w:color="auto"/>
              <w:right w:val="single" w:sz="4" w:space="0" w:color="auto"/>
            </w:tcBorders>
            <w:hideMark/>
          </w:tcPr>
          <w:p w14:paraId="0FF1177A" w14:textId="77777777" w:rsidR="00F01360" w:rsidRPr="00F01360" w:rsidRDefault="00F01360" w:rsidP="00D21F83">
            <w:pPr>
              <w:pStyle w:val="Tablehead"/>
              <w:rPr>
                <w:lang w:val="fr-FR"/>
              </w:rPr>
            </w:pPr>
            <w:r w:rsidRPr="00F01360">
              <w:rPr>
                <w:lang w:val="fr-FR"/>
              </w:rPr>
              <w:t>Suitable non-beam WPT-EV technologies</w:t>
            </w:r>
          </w:p>
        </w:tc>
      </w:tr>
      <w:tr w:rsidR="00F01360" w:rsidRPr="00F01360" w14:paraId="2C9BAED7" w14:textId="77777777" w:rsidTr="00D21F83">
        <w:tc>
          <w:tcPr>
            <w:tcW w:w="1691" w:type="pct"/>
            <w:tcBorders>
              <w:top w:val="single" w:sz="4" w:space="0" w:color="auto"/>
              <w:left w:val="single" w:sz="4" w:space="0" w:color="auto"/>
              <w:bottom w:val="single" w:sz="4" w:space="0" w:color="auto"/>
              <w:right w:val="single" w:sz="4" w:space="0" w:color="auto"/>
            </w:tcBorders>
          </w:tcPr>
          <w:p w14:paraId="3BCC0C93" w14:textId="77777777" w:rsidR="00F01360" w:rsidRPr="00F01360" w:rsidRDefault="00F01360" w:rsidP="00D21F83">
            <w:pPr>
              <w:pStyle w:val="Tabletext"/>
              <w:jc w:val="center"/>
            </w:pPr>
            <w:r w:rsidRPr="00F01360">
              <w:t>19-21 kHz</w:t>
            </w:r>
          </w:p>
        </w:tc>
        <w:tc>
          <w:tcPr>
            <w:tcW w:w="3309" w:type="pct"/>
            <w:tcBorders>
              <w:top w:val="single" w:sz="4" w:space="0" w:color="auto"/>
              <w:left w:val="single" w:sz="4" w:space="0" w:color="auto"/>
              <w:bottom w:val="single" w:sz="4" w:space="0" w:color="auto"/>
              <w:right w:val="single" w:sz="4" w:space="0" w:color="auto"/>
            </w:tcBorders>
          </w:tcPr>
          <w:p w14:paraId="1E0B251E" w14:textId="77777777" w:rsidR="00F01360" w:rsidRPr="00F01360" w:rsidRDefault="00F01360" w:rsidP="00D21F83">
            <w:pPr>
              <w:pStyle w:val="Tabletext"/>
            </w:pPr>
            <w:r w:rsidRPr="00F01360">
              <w:t>Magnetic induction or Magnetic resonance</w:t>
            </w:r>
          </w:p>
        </w:tc>
      </w:tr>
      <w:tr w:rsidR="00F01360" w:rsidRPr="00F01360" w14:paraId="6D965BA5" w14:textId="77777777" w:rsidTr="00D21F83">
        <w:tc>
          <w:tcPr>
            <w:tcW w:w="1691" w:type="pct"/>
            <w:tcBorders>
              <w:top w:val="single" w:sz="4" w:space="0" w:color="auto"/>
              <w:left w:val="single" w:sz="4" w:space="0" w:color="auto"/>
              <w:bottom w:val="single" w:sz="4" w:space="0" w:color="auto"/>
              <w:right w:val="single" w:sz="4" w:space="0" w:color="auto"/>
            </w:tcBorders>
          </w:tcPr>
          <w:p w14:paraId="6B8F37C2" w14:textId="77777777" w:rsidR="00F01360" w:rsidRPr="00F01360" w:rsidRDefault="00F01360" w:rsidP="00D21F83">
            <w:pPr>
              <w:pStyle w:val="Tabletext"/>
              <w:jc w:val="center"/>
            </w:pPr>
            <w:r w:rsidRPr="00F01360">
              <w:t>79-90 kHz</w:t>
            </w:r>
          </w:p>
        </w:tc>
        <w:tc>
          <w:tcPr>
            <w:tcW w:w="3309" w:type="pct"/>
            <w:tcBorders>
              <w:top w:val="single" w:sz="4" w:space="0" w:color="auto"/>
              <w:left w:val="single" w:sz="4" w:space="0" w:color="auto"/>
              <w:bottom w:val="single" w:sz="4" w:space="0" w:color="auto"/>
              <w:right w:val="single" w:sz="4" w:space="0" w:color="auto"/>
            </w:tcBorders>
          </w:tcPr>
          <w:p w14:paraId="705AFC85" w14:textId="77777777" w:rsidR="00F01360" w:rsidRPr="00F01360" w:rsidRDefault="00F01360" w:rsidP="00D21F83">
            <w:pPr>
              <w:pStyle w:val="Tabletext"/>
            </w:pPr>
            <w:r w:rsidRPr="00F01360">
              <w:t>Magnetic resonance</w:t>
            </w:r>
          </w:p>
        </w:tc>
      </w:tr>
      <w:tr w:rsidR="00F01360" w:rsidRPr="00F01360" w14:paraId="60ECBE6B" w14:textId="77777777" w:rsidTr="00D21F83">
        <w:tc>
          <w:tcPr>
            <w:tcW w:w="5000" w:type="pct"/>
            <w:gridSpan w:val="2"/>
            <w:tcBorders>
              <w:top w:val="single" w:sz="4" w:space="0" w:color="auto"/>
              <w:left w:val="nil"/>
              <w:bottom w:val="nil"/>
              <w:right w:val="nil"/>
            </w:tcBorders>
          </w:tcPr>
          <w:p w14:paraId="3C46C759" w14:textId="77777777" w:rsidR="00F01360" w:rsidRPr="00F01360" w:rsidRDefault="00F01360" w:rsidP="00D21F83">
            <w:pPr>
              <w:pStyle w:val="Tabletext"/>
              <w:ind w:left="284" w:hanging="284"/>
            </w:pPr>
            <w:r w:rsidRPr="00F01360">
              <w:rPr>
                <w:vertAlign w:val="superscript"/>
              </w:rPr>
              <w:t>(1)</w:t>
            </w:r>
            <w:r w:rsidRPr="00F01360">
              <w:rPr>
                <w:vertAlign w:val="superscript"/>
              </w:rPr>
              <w:tab/>
            </w:r>
            <w:r w:rsidRPr="00F01360">
              <w:t xml:space="preserve">For protection of SFTS operation at 60 kHz all forms of energy emissions from WPT-EV in the 60 kHz ± 4 kHz range (56-64 kHz) should be avoided. </w:t>
            </w:r>
          </w:p>
          <w:p w14:paraId="025A654C" w14:textId="77777777" w:rsidR="00F01360" w:rsidRPr="00F01360" w:rsidRDefault="00F01360" w:rsidP="00D21F83">
            <w:pPr>
              <w:pStyle w:val="Tabletext"/>
              <w:ind w:left="284" w:hanging="284"/>
            </w:pPr>
            <w:r w:rsidRPr="00F01360">
              <w:tab/>
              <w:t>In cases where any form of WPT-EV energy emission occurs in the proximity of 60 kHz SFTS receivers, and</w:t>
            </w:r>
            <w:r w:rsidRPr="00F01360">
              <w:rPr>
                <w:lang w:eastAsia="zh-CN"/>
              </w:rPr>
              <w:t xml:space="preserve"> assuming a minimum separation distance of 50 m, any form of WPT-EV energy emission falling within the 64-65 kHz and 55</w:t>
            </w:r>
            <w:r w:rsidRPr="00F01360">
              <w:rPr>
                <w:lang w:eastAsia="zh-CN"/>
              </w:rPr>
              <w:noBreakHyphen/>
              <w:t>56 kHz frequency ranges should not exceed a total of 35 dBµA/m at 10 m. Where the separation distance is guaranteed to be greater than 100 m between WPT-EV and SFTS receivers, any form of WPT-EV energy emission falling within the 63-65 kHz and 55</w:t>
            </w:r>
            <w:r w:rsidRPr="00F01360">
              <w:rPr>
                <w:lang w:eastAsia="zh-CN"/>
              </w:rPr>
              <w:noBreakHyphen/>
              <w:t>57 kHz ranges, should not exceed a total of 44 dBµA/m at 10 m.</w:t>
            </w:r>
          </w:p>
        </w:tc>
      </w:tr>
    </w:tbl>
    <w:p w14:paraId="7551F659" w14:textId="77777777" w:rsidR="00F01360" w:rsidRPr="00F01360" w:rsidRDefault="00F01360" w:rsidP="00A90511">
      <w:pPr>
        <w:pStyle w:val="Tablefin"/>
      </w:pPr>
    </w:p>
    <w:p w14:paraId="22F5BC72" w14:textId="77777777" w:rsidR="00B874C6" w:rsidRPr="00BF487A" w:rsidRDefault="00B874C6" w:rsidP="00B874C6">
      <w:pPr>
        <w:pStyle w:val="Line"/>
      </w:pPr>
    </w:p>
    <w:sectPr w:rsidR="00B874C6" w:rsidRPr="00BF487A" w:rsidSect="007565CC">
      <w:footerReference w:type="default" r:id="rId22"/>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93DC" w14:textId="77777777" w:rsidR="006921E1" w:rsidRDefault="006921E1">
      <w:r>
        <w:separator/>
      </w:r>
    </w:p>
  </w:endnote>
  <w:endnote w:type="continuationSeparator" w:id="0">
    <w:p w14:paraId="7E84B66D" w14:textId="77777777" w:rsidR="006921E1" w:rsidRDefault="0069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6606" w14:textId="77777777" w:rsidR="00301DB3" w:rsidRDefault="00301DB3">
    <w:pPr>
      <w:pStyle w:val="Footer"/>
    </w:pPr>
    <w:r>
      <w:drawing>
        <wp:anchor distT="0" distB="0" distL="0" distR="0" simplePos="0" relativeHeight="251656192" behindDoc="0" locked="0" layoutInCell="1" allowOverlap="1" wp14:anchorId="35922A1F" wp14:editId="371177F0">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870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76AB" w14:textId="77777777" w:rsidR="006921E1" w:rsidRDefault="006921E1">
      <w:r>
        <w:separator/>
      </w:r>
    </w:p>
  </w:footnote>
  <w:footnote w:type="continuationSeparator" w:id="0">
    <w:p w14:paraId="62479D1B" w14:textId="77777777" w:rsidR="006921E1" w:rsidRDefault="0069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D73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7E865AA9" w14:textId="77777777" w:rsidTr="0019307B">
      <w:tc>
        <w:tcPr>
          <w:tcW w:w="4634" w:type="dxa"/>
          <w:vAlign w:val="center"/>
        </w:tcPr>
        <w:p w14:paraId="208AD0F3"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87EAB8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71727311" w14:textId="77777777" w:rsidTr="0019307B">
      <w:tc>
        <w:tcPr>
          <w:tcW w:w="4634" w:type="dxa"/>
          <w:vAlign w:val="center"/>
        </w:tcPr>
        <w:p w14:paraId="03510DB1"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5787025C"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4EB53661"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18C54332" wp14:editId="42DB6FA3">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0558B364" wp14:editId="2D1F7C9F">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FB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8F413F6"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925AF5B" wp14:editId="35CA6685">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1FE91"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3D03" w14:textId="72B243A1"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32DA8">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32DA8">
      <w:rPr>
        <w:b/>
        <w:bCs/>
        <w:noProof/>
        <w:lang w:val="en-US"/>
      </w:rPr>
      <w:t>ITU-R  SM.2110-2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8A20" w14:textId="2027FA9B"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E32DA8">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E32DA8">
      <w:rPr>
        <w:b/>
        <w:bCs/>
        <w:noProof/>
      </w:rPr>
      <w:t>ITU-R  SM.2110-2</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1E"/>
    <w:rsid w:val="00013002"/>
    <w:rsid w:val="00036EE3"/>
    <w:rsid w:val="00072484"/>
    <w:rsid w:val="00087EA8"/>
    <w:rsid w:val="00095530"/>
    <w:rsid w:val="00096612"/>
    <w:rsid w:val="000B1B2B"/>
    <w:rsid w:val="000B7683"/>
    <w:rsid w:val="000D0677"/>
    <w:rsid w:val="000D15AC"/>
    <w:rsid w:val="000D3EEF"/>
    <w:rsid w:val="000E0548"/>
    <w:rsid w:val="000E6A6E"/>
    <w:rsid w:val="00102934"/>
    <w:rsid w:val="00124123"/>
    <w:rsid w:val="00147110"/>
    <w:rsid w:val="001511A6"/>
    <w:rsid w:val="00171C4D"/>
    <w:rsid w:val="0017677F"/>
    <w:rsid w:val="0019307B"/>
    <w:rsid w:val="001A643C"/>
    <w:rsid w:val="001B0927"/>
    <w:rsid w:val="001B164E"/>
    <w:rsid w:val="001B7886"/>
    <w:rsid w:val="001D5705"/>
    <w:rsid w:val="001E795A"/>
    <w:rsid w:val="001F38BB"/>
    <w:rsid w:val="002058CE"/>
    <w:rsid w:val="002165F1"/>
    <w:rsid w:val="00233211"/>
    <w:rsid w:val="00260B24"/>
    <w:rsid w:val="0027411A"/>
    <w:rsid w:val="00276D21"/>
    <w:rsid w:val="0028595F"/>
    <w:rsid w:val="00296D7F"/>
    <w:rsid w:val="002A5D45"/>
    <w:rsid w:val="002B3CF6"/>
    <w:rsid w:val="002B7F65"/>
    <w:rsid w:val="002C768A"/>
    <w:rsid w:val="002D0BD7"/>
    <w:rsid w:val="002D76C4"/>
    <w:rsid w:val="002E79D3"/>
    <w:rsid w:val="002F5199"/>
    <w:rsid w:val="00301DB3"/>
    <w:rsid w:val="00305119"/>
    <w:rsid w:val="003157F1"/>
    <w:rsid w:val="00336A56"/>
    <w:rsid w:val="00346857"/>
    <w:rsid w:val="00356B5D"/>
    <w:rsid w:val="00357707"/>
    <w:rsid w:val="0036528E"/>
    <w:rsid w:val="0036627C"/>
    <w:rsid w:val="0036743B"/>
    <w:rsid w:val="00372E1F"/>
    <w:rsid w:val="0037469F"/>
    <w:rsid w:val="003C2AFD"/>
    <w:rsid w:val="003E5516"/>
    <w:rsid w:val="003F4B75"/>
    <w:rsid w:val="00420DFD"/>
    <w:rsid w:val="00425BC7"/>
    <w:rsid w:val="00437A76"/>
    <w:rsid w:val="00441DCF"/>
    <w:rsid w:val="00454E2B"/>
    <w:rsid w:val="004604B2"/>
    <w:rsid w:val="00470E28"/>
    <w:rsid w:val="0047379B"/>
    <w:rsid w:val="00477A11"/>
    <w:rsid w:val="004842E2"/>
    <w:rsid w:val="00486EB3"/>
    <w:rsid w:val="004934C5"/>
    <w:rsid w:val="004A6FEB"/>
    <w:rsid w:val="004E61FF"/>
    <w:rsid w:val="00512A4E"/>
    <w:rsid w:val="005373E0"/>
    <w:rsid w:val="005432DB"/>
    <w:rsid w:val="00556548"/>
    <w:rsid w:val="00571B1C"/>
    <w:rsid w:val="00576D47"/>
    <w:rsid w:val="00586EF8"/>
    <w:rsid w:val="005963A0"/>
    <w:rsid w:val="005B0371"/>
    <w:rsid w:val="005B49AB"/>
    <w:rsid w:val="005B50E7"/>
    <w:rsid w:val="005C3D29"/>
    <w:rsid w:val="005C4BAB"/>
    <w:rsid w:val="005E12A5"/>
    <w:rsid w:val="005E69F0"/>
    <w:rsid w:val="005E7B4F"/>
    <w:rsid w:val="005F003B"/>
    <w:rsid w:val="00601882"/>
    <w:rsid w:val="00607D68"/>
    <w:rsid w:val="00613212"/>
    <w:rsid w:val="006149B1"/>
    <w:rsid w:val="00632E10"/>
    <w:rsid w:val="00640332"/>
    <w:rsid w:val="00671D96"/>
    <w:rsid w:val="00680D2B"/>
    <w:rsid w:val="00681B32"/>
    <w:rsid w:val="006921E1"/>
    <w:rsid w:val="00697887"/>
    <w:rsid w:val="006B1D2B"/>
    <w:rsid w:val="006C37D5"/>
    <w:rsid w:val="006E1131"/>
    <w:rsid w:val="006E2037"/>
    <w:rsid w:val="006E6199"/>
    <w:rsid w:val="00701AE0"/>
    <w:rsid w:val="00712870"/>
    <w:rsid w:val="00714AC0"/>
    <w:rsid w:val="0074147D"/>
    <w:rsid w:val="00743D85"/>
    <w:rsid w:val="00744F8B"/>
    <w:rsid w:val="00753CF4"/>
    <w:rsid w:val="007565CC"/>
    <w:rsid w:val="00763B9A"/>
    <w:rsid w:val="007A6AA8"/>
    <w:rsid w:val="007B1357"/>
    <w:rsid w:val="007E789E"/>
    <w:rsid w:val="008310C9"/>
    <w:rsid w:val="008335F0"/>
    <w:rsid w:val="008520E5"/>
    <w:rsid w:val="00853CC5"/>
    <w:rsid w:val="00877E6E"/>
    <w:rsid w:val="00891E0D"/>
    <w:rsid w:val="008B083A"/>
    <w:rsid w:val="008B3606"/>
    <w:rsid w:val="008B7C1E"/>
    <w:rsid w:val="008C7848"/>
    <w:rsid w:val="008F0E8B"/>
    <w:rsid w:val="00906589"/>
    <w:rsid w:val="00906AD6"/>
    <w:rsid w:val="0090739F"/>
    <w:rsid w:val="00914FE4"/>
    <w:rsid w:val="00917AF2"/>
    <w:rsid w:val="0092418A"/>
    <w:rsid w:val="00934ED7"/>
    <w:rsid w:val="009543C3"/>
    <w:rsid w:val="00966E1B"/>
    <w:rsid w:val="00972F51"/>
    <w:rsid w:val="00984A02"/>
    <w:rsid w:val="009947C0"/>
    <w:rsid w:val="009A4039"/>
    <w:rsid w:val="009A41F9"/>
    <w:rsid w:val="009D696A"/>
    <w:rsid w:val="009E665A"/>
    <w:rsid w:val="009F2D2C"/>
    <w:rsid w:val="009F5580"/>
    <w:rsid w:val="00A239D1"/>
    <w:rsid w:val="00A31928"/>
    <w:rsid w:val="00A45D54"/>
    <w:rsid w:val="00A507D4"/>
    <w:rsid w:val="00A62A14"/>
    <w:rsid w:val="00A6617B"/>
    <w:rsid w:val="00A71FE5"/>
    <w:rsid w:val="00A7534B"/>
    <w:rsid w:val="00A86DD2"/>
    <w:rsid w:val="00A90511"/>
    <w:rsid w:val="00A936CB"/>
    <w:rsid w:val="00A971A1"/>
    <w:rsid w:val="00AA0D99"/>
    <w:rsid w:val="00AA3AD8"/>
    <w:rsid w:val="00AB0DC8"/>
    <w:rsid w:val="00AB405C"/>
    <w:rsid w:val="00AC015D"/>
    <w:rsid w:val="00AF5326"/>
    <w:rsid w:val="00AF6FB3"/>
    <w:rsid w:val="00B019A2"/>
    <w:rsid w:val="00B0286E"/>
    <w:rsid w:val="00B033C8"/>
    <w:rsid w:val="00B33425"/>
    <w:rsid w:val="00B42334"/>
    <w:rsid w:val="00B44E24"/>
    <w:rsid w:val="00B51DD9"/>
    <w:rsid w:val="00B54ECC"/>
    <w:rsid w:val="00B60AC0"/>
    <w:rsid w:val="00B714F3"/>
    <w:rsid w:val="00B75A52"/>
    <w:rsid w:val="00B874C6"/>
    <w:rsid w:val="00B87B6B"/>
    <w:rsid w:val="00B9169E"/>
    <w:rsid w:val="00BC5D77"/>
    <w:rsid w:val="00BF487A"/>
    <w:rsid w:val="00BF5544"/>
    <w:rsid w:val="00C15F3E"/>
    <w:rsid w:val="00C46BD9"/>
    <w:rsid w:val="00C55258"/>
    <w:rsid w:val="00C73560"/>
    <w:rsid w:val="00C84DB7"/>
    <w:rsid w:val="00C87A35"/>
    <w:rsid w:val="00CB0F14"/>
    <w:rsid w:val="00CD659B"/>
    <w:rsid w:val="00CE0A43"/>
    <w:rsid w:val="00D00118"/>
    <w:rsid w:val="00D16749"/>
    <w:rsid w:val="00D21F83"/>
    <w:rsid w:val="00D61962"/>
    <w:rsid w:val="00D72623"/>
    <w:rsid w:val="00D83556"/>
    <w:rsid w:val="00DE435B"/>
    <w:rsid w:val="00DE5556"/>
    <w:rsid w:val="00DF4176"/>
    <w:rsid w:val="00E0095C"/>
    <w:rsid w:val="00E17240"/>
    <w:rsid w:val="00E32DA8"/>
    <w:rsid w:val="00E66894"/>
    <w:rsid w:val="00E74595"/>
    <w:rsid w:val="00E77485"/>
    <w:rsid w:val="00E830F9"/>
    <w:rsid w:val="00EA0780"/>
    <w:rsid w:val="00EA306D"/>
    <w:rsid w:val="00EB1CB6"/>
    <w:rsid w:val="00EB7415"/>
    <w:rsid w:val="00EB7C57"/>
    <w:rsid w:val="00ED0C8C"/>
    <w:rsid w:val="00ED2695"/>
    <w:rsid w:val="00EE04BA"/>
    <w:rsid w:val="00EE47C4"/>
    <w:rsid w:val="00F01360"/>
    <w:rsid w:val="00F30C9B"/>
    <w:rsid w:val="00F354B1"/>
    <w:rsid w:val="00F354D7"/>
    <w:rsid w:val="00F473DF"/>
    <w:rsid w:val="00F53314"/>
    <w:rsid w:val="00F6343F"/>
    <w:rsid w:val="00F72776"/>
    <w:rsid w:val="00F92A40"/>
    <w:rsid w:val="00FB01D7"/>
    <w:rsid w:val="00FB0460"/>
    <w:rsid w:val="00FB0E4E"/>
    <w:rsid w:val="00FD1F85"/>
    <w:rsid w:val="00FE044E"/>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d62a47,#f8f8f8"/>
    </o:shapedefaults>
    <o:shapelayout v:ext="edit">
      <o:idmap v:ext="edit" data="2"/>
    </o:shapelayout>
  </w:shapeDefaults>
  <w:decimalSymbol w:val="."/>
  <w:listSeparator w:val=","/>
  <w14:docId w14:val="7F519B21"/>
  <w15:docId w15:val="{90A5E34C-9C39-487F-AF86-37BD271C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A5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table" w:customStyle="1" w:styleId="TableGrid1">
    <w:name w:val="Table Grid1"/>
    <w:basedOn w:val="TableNormal"/>
    <w:next w:val="TableGrid"/>
    <w:uiPriority w:val="59"/>
    <w:rsid w:val="00F01360"/>
    <w:rPr>
      <w:rFonts w:ascii="CG Times" w:eastAsia="MS Mincho" w:hAnsi="CG Times"/>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pub/R-REP-SM.2153" TargetMode="External"/><Relationship Id="rId3" Type="http://schemas.openxmlformats.org/officeDocument/2006/relationships/settings" Target="settings.xml"/><Relationship Id="rId21" Type="http://schemas.openxmlformats.org/officeDocument/2006/relationships/hyperlink" Target="https://www.itu.int/pub/R-REP-TF.2487"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SM.2129" TargetMode="External"/><Relationship Id="rId2" Type="http://schemas.openxmlformats.org/officeDocument/2006/relationships/styles" Target="styles.xml"/><Relationship Id="rId16" Type="http://schemas.openxmlformats.org/officeDocument/2006/relationships/hyperlink" Target="https://www.itu.int/rec/R-REC-SM.1896" TargetMode="External"/><Relationship Id="rId20" Type="http://schemas.openxmlformats.org/officeDocument/2006/relationships/hyperlink" Target="https://www.itu.int/pub/R-REP-SM.2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rec/R-REC-SM.1056/en" TargetMode="External"/><Relationship Id="rId23" Type="http://schemas.openxmlformats.org/officeDocument/2006/relationships/fontTable" Target="fontTable.xml"/><Relationship Id="rId10" Type="http://schemas.openxmlformats.org/officeDocument/2006/relationships/hyperlink" Target="https://www.itu.int/ITU-R/go/patents/en" TargetMode="External"/><Relationship Id="rId19" Type="http://schemas.openxmlformats.org/officeDocument/2006/relationships/hyperlink" Target="https://www.itu.int/pub/R-REP-SM.230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R-QUE-SG01.210"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9046</Characters>
  <Application>Microsoft Office Word</Application>
  <DocSecurity>0</DocSecurity>
  <Lines>196</Lines>
  <Paragraphs>118</Paragraphs>
  <ScaleCrop>false</ScaleCrop>
  <HeadingPairs>
    <vt:vector size="2" baseType="variant">
      <vt:variant>
        <vt:lpstr>Title</vt:lpstr>
      </vt:variant>
      <vt:variant>
        <vt:i4>1</vt:i4>
      </vt:variant>
    </vt:vector>
  </HeadingPairs>
  <TitlesOfParts>
    <vt:vector size="1" baseType="lpstr">
      <vt:lpstr>Recommendation ITU-R SM.2110-2 (09/2025) - Guidance on frequency ranges for operation of non-beam wireless power transmission for electric vehicles</vt:lpstr>
    </vt:vector>
  </TitlesOfParts>
  <Manager/>
  <Company>ITU</Company>
  <LinksUpToDate>false</LinksUpToDate>
  <CharactersWithSpaces>10322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SM.2110-2 (09/2025) - Guidance on frequency ranges for operation of non-beam wireless power transmission for electric vehicles</dc:title>
  <dc:subject/>
  <dc:creator>Gomez, Yoanni</dc:creator>
  <cp:keywords>Wireless power transmission, short-range devices, ISM, non-beam WPT</cp:keywords>
  <dc:description/>
  <cp:lastModifiedBy>Gachet, Christelle</cp:lastModifiedBy>
  <cp:revision>4</cp:revision>
  <cp:lastPrinted>2025-09-16T14:42:00Z</cp:lastPrinted>
  <dcterms:created xsi:type="dcterms:W3CDTF">2025-09-16T14:42:00Z</dcterms:created>
  <dcterms:modified xsi:type="dcterms:W3CDTF">2025-09-16T14:42:00Z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