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D21B72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0718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C132A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2110-1</w:t>
            </w:r>
          </w:p>
          <w:p w:rsidR="00B1717A" w:rsidRPr="0010336F" w:rsidRDefault="00B1717A" w:rsidP="00C132A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C132A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C132A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AC5FB0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9000D8" w:rsidRDefault="00AC5FB0" w:rsidP="00900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AC5FB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Directrices sobre gamas de frecuencias para la explotación de sistemas de transmisión inalámbrica de potencia sin haces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AC5FB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para vehículos eléctricos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B1717A" w:rsidRDefault="00B1717A" w:rsidP="00BD274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D21B72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746AC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</w:p>
          <w:p w:rsidR="00B1717A" w:rsidRPr="0010336F" w:rsidRDefault="00746AC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headerReference w:type="firs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495CB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9D6B3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D21B72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D21B72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DC08D1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D21B72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D21B72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0718C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</w:rPr>
              <w:t>Radio</w:t>
            </w:r>
            <w:r w:rsidR="00B1717A" w:rsidRPr="00DE71F7">
              <w:rPr>
                <w:sz w:val="20"/>
              </w:rPr>
              <w:t>astronomía</w:t>
            </w:r>
            <w:proofErr w:type="spellEnd"/>
          </w:p>
        </w:tc>
      </w:tr>
      <w:tr w:rsidR="00B1717A" w:rsidRPr="00D21B72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025336">
              <w:rPr>
                <w:sz w:val="20"/>
              </w:rPr>
              <w:t>Servicio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fijo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por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satélite</w:t>
            </w:r>
            <w:proofErr w:type="spellEnd"/>
          </w:p>
        </w:tc>
      </w:tr>
      <w:tr w:rsidR="00B1717A" w:rsidRPr="00975AEB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975AEB">
              <w:rPr>
                <w:sz w:val="20"/>
              </w:rPr>
              <w:t>Aplicaciones</w:t>
            </w:r>
            <w:proofErr w:type="spellEnd"/>
            <w:r w:rsidRPr="00975AEB">
              <w:rPr>
                <w:sz w:val="20"/>
              </w:rPr>
              <w:t xml:space="preserve"> </w:t>
            </w:r>
            <w:proofErr w:type="spellStart"/>
            <w:r w:rsidRPr="00975AEB">
              <w:rPr>
                <w:sz w:val="20"/>
              </w:rPr>
              <w:t>espaciales</w:t>
            </w:r>
            <w:proofErr w:type="spellEnd"/>
            <w:r w:rsidRPr="00975AEB">
              <w:rPr>
                <w:sz w:val="20"/>
              </w:rPr>
              <w:t xml:space="preserve"> y </w:t>
            </w:r>
            <w:proofErr w:type="spellStart"/>
            <w:r w:rsidRPr="00975AEB">
              <w:rPr>
                <w:sz w:val="20"/>
              </w:rPr>
              <w:t>meteorología</w:t>
            </w:r>
            <w:proofErr w:type="spellEnd"/>
          </w:p>
        </w:tc>
      </w:tr>
      <w:tr w:rsidR="00B1717A" w:rsidRPr="00D21B72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746AC6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746AC6">
              <w:rPr>
                <w:b/>
                <w:bCs/>
                <w:color w:val="000080"/>
                <w:sz w:val="20"/>
              </w:rPr>
              <w:t>Gestión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del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espectro</w:t>
            </w:r>
            <w:proofErr w:type="spellEnd"/>
          </w:p>
        </w:tc>
      </w:tr>
      <w:tr w:rsidR="00B1717A" w:rsidRPr="00036EE3" w:rsidTr="00746AC6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D21B72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D21B72" w:rsidTr="00D62884">
        <w:tc>
          <w:tcPr>
            <w:tcW w:w="9360" w:type="dxa"/>
          </w:tcPr>
          <w:p w:rsidR="00B1717A" w:rsidRPr="00763D08" w:rsidRDefault="00B1717A" w:rsidP="00DB603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C9234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092507">
        <w:rPr>
          <w:sz w:val="20"/>
          <w:lang w:val="es-ES_tradnl"/>
        </w:rPr>
        <w:t>1</w:t>
      </w:r>
      <w:r w:rsidR="00C92346">
        <w:rPr>
          <w:sz w:val="20"/>
          <w:lang w:val="es-ES_tradnl"/>
        </w:rPr>
        <w:t>9</w:t>
      </w:r>
    </w:p>
    <w:p w:rsidR="00B1717A" w:rsidRPr="00763D08" w:rsidRDefault="00B1717A" w:rsidP="00495CB6">
      <w:pPr>
        <w:spacing w:before="0" w:after="120"/>
        <w:jc w:val="center"/>
        <w:rPr>
          <w:sz w:val="22"/>
          <w:lang w:val="es-ES_tradnl"/>
        </w:rPr>
      </w:pPr>
    </w:p>
    <w:p w:rsidR="00B1717A" w:rsidRPr="00763D08" w:rsidRDefault="00B1717A" w:rsidP="007E00FF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092507">
        <w:rPr>
          <w:sz w:val="20"/>
          <w:lang w:val="es-ES_tradnl"/>
        </w:rPr>
        <w:t>1</w:t>
      </w:r>
      <w:r w:rsidR="00C92346">
        <w:rPr>
          <w:sz w:val="20"/>
          <w:lang w:val="es-ES_tradnl"/>
        </w:rPr>
        <w:t>9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AC5FB0" w:rsidRDefault="00AC5FB0" w:rsidP="000718CA">
      <w:pPr>
        <w:pStyle w:val="RecNo"/>
        <w:spacing w:before="0"/>
        <w:rPr>
          <w:lang w:val="es-ES_tradnl"/>
        </w:rPr>
      </w:pPr>
      <w:bookmarkStart w:id="3" w:name="irecnoe"/>
      <w:bookmarkEnd w:id="3"/>
      <w:proofErr w:type="gramStart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</w:t>
      </w:r>
      <w:proofErr w:type="gramEnd"/>
      <w:r w:rsidRPr="0010336F">
        <w:rPr>
          <w:rStyle w:val="href"/>
          <w:lang w:val="es-ES_tradnl"/>
        </w:rPr>
        <w:t xml:space="preserve">-R  </w:t>
      </w:r>
      <w:r>
        <w:rPr>
          <w:rStyle w:val="href"/>
          <w:lang w:val="es-ES_tradnl"/>
        </w:rPr>
        <w:t>SM</w:t>
      </w:r>
      <w:r w:rsidRPr="0010336F">
        <w:rPr>
          <w:rStyle w:val="href"/>
          <w:lang w:val="es-ES_tradnl"/>
        </w:rPr>
        <w:t>.</w:t>
      </w:r>
      <w:r w:rsidR="00BF7EBD">
        <w:rPr>
          <w:rStyle w:val="href"/>
          <w:lang w:val="es-ES_tradnl"/>
        </w:rPr>
        <w:t>2110-1</w:t>
      </w:r>
    </w:p>
    <w:p w:rsidR="00AC5FB0" w:rsidRPr="002C254F" w:rsidRDefault="00AC5FB0" w:rsidP="00AC5FB0">
      <w:pPr>
        <w:pStyle w:val="Rectitle"/>
        <w:rPr>
          <w:lang w:val="es-ES_tradnl"/>
        </w:rPr>
      </w:pPr>
      <w:r w:rsidRPr="002C254F">
        <w:rPr>
          <w:lang w:val="es-ES_tradnl"/>
        </w:rPr>
        <w:t>Directrices sobre gamas de frecuencias para la explotación de sistemas de transmisión inalámbrica de potencia sin haces para vehículos eléctricos</w:t>
      </w:r>
      <w:r w:rsidRPr="002C254F">
        <w:rPr>
          <w:rStyle w:val="FootnoteReference"/>
          <w:lang w:val="es-ES_tradnl"/>
        </w:rPr>
        <w:footnoteReference w:customMarkFollows="1" w:id="1"/>
        <w:t>*</w:t>
      </w:r>
    </w:p>
    <w:p w:rsidR="00AC5FB0" w:rsidRPr="002C254F" w:rsidRDefault="00AC5FB0" w:rsidP="00AC5FB0">
      <w:pPr>
        <w:pStyle w:val="Recdate"/>
        <w:rPr>
          <w:lang w:val="es-ES_tradnl"/>
        </w:rPr>
      </w:pPr>
      <w:r w:rsidRPr="002C254F">
        <w:rPr>
          <w:lang w:val="es-ES_tradnl" w:eastAsia="ko-KR"/>
        </w:rPr>
        <w:t>(2017-2019)</w:t>
      </w:r>
    </w:p>
    <w:p w:rsidR="00AC5FB0" w:rsidRPr="002C254F" w:rsidRDefault="00AC5FB0" w:rsidP="00AC5FB0">
      <w:pPr>
        <w:pStyle w:val="HeadingSum"/>
      </w:pPr>
      <w:r w:rsidRPr="002C254F">
        <w:t>Cometido</w:t>
      </w:r>
    </w:p>
    <w:p w:rsidR="00AC5FB0" w:rsidRPr="002C254F" w:rsidRDefault="00AC5FB0" w:rsidP="00AC5FB0">
      <w:pPr>
        <w:pStyle w:val="Summary"/>
      </w:pPr>
      <w:r w:rsidRPr="002C254F">
        <w:rPr>
          <w:lang w:eastAsia="ko-KR"/>
        </w:rPr>
        <w:t>En esta Recomendación se facilitan directrices para el uso de gama de frecuencias para la explotación de sistemas de transmisión inalámbrica de potencia (TIP) sin haces para vehículos eléctricos.</w:t>
      </w:r>
    </w:p>
    <w:p w:rsidR="00AC5FB0" w:rsidRPr="002C254F" w:rsidRDefault="00AC5FB0" w:rsidP="00AC5FB0">
      <w:pPr>
        <w:pStyle w:val="Headingb"/>
        <w:rPr>
          <w:lang w:val="es-ES_tradnl"/>
        </w:rPr>
      </w:pPr>
      <w:bookmarkStart w:id="4" w:name="lt_pId061"/>
      <w:bookmarkEnd w:id="4"/>
      <w:r w:rsidRPr="002C254F">
        <w:rPr>
          <w:lang w:val="es-ES_tradnl"/>
        </w:rPr>
        <w:t>Palabras clave</w:t>
      </w:r>
    </w:p>
    <w:p w:rsidR="00AC5FB0" w:rsidRPr="002C254F" w:rsidRDefault="00AC5FB0" w:rsidP="00AC5FB0">
      <w:pPr>
        <w:rPr>
          <w:lang w:val="es-ES_tradnl"/>
        </w:rPr>
      </w:pPr>
      <w:bookmarkStart w:id="5" w:name="lt_pId062"/>
      <w:r w:rsidRPr="002C254F">
        <w:rPr>
          <w:lang w:val="es-ES_tradnl" w:eastAsia="ko-KR"/>
        </w:rPr>
        <w:t xml:space="preserve">Dispositivos de corto alcance, </w:t>
      </w:r>
      <w:r w:rsidRPr="002C254F">
        <w:rPr>
          <w:rFonts w:eastAsia="Calibri"/>
          <w:lang w:val="es-ES_tradnl"/>
        </w:rPr>
        <w:t>ISM, sin haces radioeléctricos,</w:t>
      </w:r>
      <w:r w:rsidRPr="002C254F">
        <w:rPr>
          <w:lang w:val="es-ES_tradnl" w:eastAsia="ko-KR"/>
        </w:rPr>
        <w:t xml:space="preserve"> transmisión inalámbrica de potencia</w:t>
      </w:r>
      <w:bookmarkEnd w:id="5"/>
    </w:p>
    <w:p w:rsidR="00AC5FB0" w:rsidRPr="002C254F" w:rsidRDefault="00AC5FB0" w:rsidP="00AC5FB0">
      <w:pPr>
        <w:pStyle w:val="Headingb"/>
        <w:rPr>
          <w:bCs/>
          <w:lang w:val="es-ES_tradnl"/>
        </w:rPr>
      </w:pPr>
      <w:bookmarkStart w:id="6" w:name="lt_pId063"/>
      <w:r w:rsidRPr="002C254F">
        <w:rPr>
          <w:lang w:val="es-ES_tradnl"/>
        </w:rPr>
        <w:t>Siglas/</w:t>
      </w:r>
      <w:bookmarkEnd w:id="6"/>
      <w:r w:rsidRPr="002C254F">
        <w:rPr>
          <w:lang w:val="es-ES_tradnl"/>
        </w:rPr>
        <w:t>Glosario</w:t>
      </w:r>
    </w:p>
    <w:p w:rsidR="00AC5FB0" w:rsidRPr="002C254F" w:rsidRDefault="00AC5FB0" w:rsidP="00AC5FB0">
      <w:pPr>
        <w:tabs>
          <w:tab w:val="clear" w:pos="794"/>
        </w:tabs>
        <w:rPr>
          <w:lang w:val="es-ES_tradnl" w:eastAsia="zh-CN"/>
        </w:rPr>
      </w:pPr>
      <w:bookmarkStart w:id="7" w:name="lt_pId069"/>
      <w:bookmarkStart w:id="8" w:name="lt_pId064"/>
      <w:r w:rsidRPr="002C254F">
        <w:rPr>
          <w:lang w:val="es-ES_tradnl" w:eastAsia="zh-CN"/>
        </w:rPr>
        <w:t>CEI</w:t>
      </w:r>
      <w:bookmarkEnd w:id="7"/>
      <w:r w:rsidRPr="002C254F">
        <w:rPr>
          <w:lang w:val="es-ES_tradnl" w:eastAsia="zh-CN"/>
        </w:rPr>
        <w:tab/>
        <w:t>Comisión Electrotécnica Internacional</w:t>
      </w:r>
    </w:p>
    <w:p w:rsidR="00AC5FB0" w:rsidRPr="002C254F" w:rsidRDefault="00AC5FB0" w:rsidP="00AC5FB0">
      <w:pPr>
        <w:tabs>
          <w:tab w:val="clear" w:pos="794"/>
        </w:tabs>
        <w:ind w:left="1191" w:hanging="1191"/>
        <w:rPr>
          <w:lang w:val="es-ES_tradnl"/>
        </w:rPr>
      </w:pPr>
      <w:r w:rsidRPr="002C254F">
        <w:rPr>
          <w:lang w:val="es-ES_tradnl"/>
        </w:rPr>
        <w:t>CISPR</w:t>
      </w:r>
      <w:bookmarkEnd w:id="8"/>
      <w:r w:rsidRPr="002C254F">
        <w:rPr>
          <w:lang w:val="es-ES_tradnl"/>
        </w:rPr>
        <w:tab/>
      </w:r>
      <w:bookmarkStart w:id="9" w:name="lt_pId065"/>
      <w:r w:rsidRPr="002C254F">
        <w:rPr>
          <w:lang w:val="es-ES_tradnl"/>
        </w:rPr>
        <w:t>Comité Internacional Especial de interferencia radioeléctrica, del francés «</w:t>
      </w:r>
      <w:r w:rsidRPr="002C254F">
        <w:rPr>
          <w:i/>
          <w:iCs/>
          <w:lang w:val="es-ES_tradnl"/>
        </w:rPr>
        <w:t xml:space="preserve">Comité International </w:t>
      </w:r>
      <w:proofErr w:type="spellStart"/>
      <w:r w:rsidRPr="002C254F">
        <w:rPr>
          <w:i/>
          <w:iCs/>
          <w:lang w:val="es-ES_tradnl"/>
        </w:rPr>
        <w:t>Spécial</w:t>
      </w:r>
      <w:proofErr w:type="spellEnd"/>
      <w:r w:rsidRPr="002C254F">
        <w:rPr>
          <w:i/>
          <w:iCs/>
          <w:lang w:val="es-ES_tradnl"/>
        </w:rPr>
        <w:t xml:space="preserve"> des </w:t>
      </w:r>
      <w:proofErr w:type="spellStart"/>
      <w:r w:rsidRPr="002C254F">
        <w:rPr>
          <w:i/>
          <w:iCs/>
          <w:lang w:val="es-ES_tradnl"/>
        </w:rPr>
        <w:t>Perturbations</w:t>
      </w:r>
      <w:proofErr w:type="spellEnd"/>
      <w:r w:rsidRPr="002C254F">
        <w:rPr>
          <w:i/>
          <w:iCs/>
          <w:lang w:val="es-ES_tradnl"/>
        </w:rPr>
        <w:t xml:space="preserve"> </w:t>
      </w:r>
      <w:proofErr w:type="spellStart"/>
      <w:r w:rsidRPr="002C254F">
        <w:rPr>
          <w:i/>
          <w:iCs/>
          <w:lang w:val="es-ES_tradnl"/>
        </w:rPr>
        <w:t>Radioélectriques</w:t>
      </w:r>
      <w:proofErr w:type="spellEnd"/>
      <w:r w:rsidRPr="002C254F">
        <w:rPr>
          <w:lang w:val="es-ES_tradnl"/>
        </w:rPr>
        <w:t>»</w:t>
      </w:r>
      <w:bookmarkEnd w:id="9"/>
    </w:p>
    <w:p w:rsidR="00AC5FB0" w:rsidRPr="002C254F" w:rsidRDefault="00AC5FB0" w:rsidP="00AC5FB0">
      <w:pPr>
        <w:rPr>
          <w:lang w:val="es-ES_tradnl"/>
        </w:rPr>
      </w:pPr>
      <w:bookmarkStart w:id="10" w:name="lt_pId085"/>
      <w:bookmarkStart w:id="11" w:name="lt_pId075"/>
      <w:bookmarkStart w:id="12" w:name="lt_pId073"/>
      <w:bookmarkStart w:id="13" w:name="lt_pId067"/>
      <w:r w:rsidRPr="002C254F">
        <w:rPr>
          <w:lang w:val="es-ES_tradnl"/>
        </w:rPr>
        <w:t>CMR-19</w:t>
      </w:r>
      <w:bookmarkEnd w:id="10"/>
      <w:r w:rsidRPr="002C254F">
        <w:rPr>
          <w:lang w:val="es-ES_tradnl"/>
        </w:rPr>
        <w:tab/>
      </w:r>
      <w:bookmarkStart w:id="14" w:name="lt_pId086"/>
      <w:r w:rsidRPr="002C254F">
        <w:rPr>
          <w:lang w:val="es-ES_tradnl"/>
        </w:rPr>
        <w:t>Conferencia Mundial de Radiocomunicaciones de 2019</w:t>
      </w:r>
      <w:bookmarkEnd w:id="14"/>
    </w:p>
    <w:bookmarkEnd w:id="11"/>
    <w:bookmarkEnd w:id="12"/>
    <w:p w:rsidR="00AC5FB0" w:rsidRPr="002C254F" w:rsidRDefault="00AC5FB0" w:rsidP="00AC5FB0">
      <w:pPr>
        <w:tabs>
          <w:tab w:val="clear" w:pos="794"/>
        </w:tabs>
        <w:ind w:left="1191" w:hanging="1191"/>
        <w:rPr>
          <w:lang w:val="es-ES_tradnl"/>
        </w:rPr>
      </w:pPr>
      <w:r w:rsidRPr="002C254F">
        <w:rPr>
          <w:lang w:val="es-ES_tradnl"/>
        </w:rPr>
        <w:t>ICNIRP</w:t>
      </w:r>
      <w:r w:rsidRPr="002C254F">
        <w:rPr>
          <w:lang w:val="es-ES_tradnl"/>
        </w:rPr>
        <w:tab/>
        <w:t>Comisión Internacional de Protección contra la Radiación no Ionizante (</w:t>
      </w:r>
      <w:proofErr w:type="spellStart"/>
      <w:r w:rsidRPr="002C254F">
        <w:rPr>
          <w:i/>
          <w:iCs/>
          <w:lang w:val="es-ES_tradnl"/>
        </w:rPr>
        <w:t>international</w:t>
      </w:r>
      <w:proofErr w:type="spellEnd"/>
      <w:r w:rsidRPr="002C254F">
        <w:rPr>
          <w:i/>
          <w:iCs/>
          <w:lang w:val="es-ES_tradnl"/>
        </w:rPr>
        <w:t xml:space="preserve"> </w:t>
      </w:r>
      <w:proofErr w:type="spellStart"/>
      <w:r w:rsidRPr="002C254F">
        <w:rPr>
          <w:i/>
          <w:iCs/>
          <w:lang w:val="es-ES_tradnl"/>
        </w:rPr>
        <w:t>commission</w:t>
      </w:r>
      <w:proofErr w:type="spellEnd"/>
      <w:r w:rsidRPr="002C254F">
        <w:rPr>
          <w:i/>
          <w:iCs/>
          <w:lang w:val="es-ES_tradnl"/>
        </w:rPr>
        <w:t xml:space="preserve"> </w:t>
      </w:r>
      <w:proofErr w:type="spellStart"/>
      <w:r w:rsidRPr="002C254F">
        <w:rPr>
          <w:i/>
          <w:iCs/>
          <w:lang w:val="es-ES_tradnl"/>
        </w:rPr>
        <w:t>on</w:t>
      </w:r>
      <w:proofErr w:type="spellEnd"/>
      <w:r w:rsidRPr="002C254F">
        <w:rPr>
          <w:i/>
          <w:iCs/>
          <w:lang w:val="es-ES_tradnl"/>
        </w:rPr>
        <w:t xml:space="preserve"> non</w:t>
      </w:r>
      <w:r w:rsidRPr="002C254F">
        <w:rPr>
          <w:i/>
          <w:iCs/>
          <w:lang w:val="es-ES_tradnl"/>
        </w:rPr>
        <w:noBreakHyphen/>
      </w:r>
      <w:proofErr w:type="spellStart"/>
      <w:r w:rsidRPr="002C254F">
        <w:rPr>
          <w:i/>
          <w:iCs/>
          <w:lang w:val="es-ES_tradnl"/>
        </w:rPr>
        <w:t>ionizing</w:t>
      </w:r>
      <w:proofErr w:type="spellEnd"/>
      <w:r w:rsidRPr="002C254F">
        <w:rPr>
          <w:i/>
          <w:iCs/>
          <w:lang w:val="es-ES_tradnl"/>
        </w:rPr>
        <w:t xml:space="preserve"> </w:t>
      </w:r>
      <w:proofErr w:type="spellStart"/>
      <w:r w:rsidRPr="002C254F">
        <w:rPr>
          <w:i/>
          <w:iCs/>
          <w:lang w:val="es-ES_tradnl"/>
        </w:rPr>
        <w:t>radiation</w:t>
      </w:r>
      <w:proofErr w:type="spellEnd"/>
      <w:r w:rsidRPr="002C254F">
        <w:rPr>
          <w:i/>
          <w:iCs/>
          <w:lang w:val="es-ES_tradnl"/>
        </w:rPr>
        <w:t xml:space="preserve"> </w:t>
      </w:r>
      <w:proofErr w:type="spellStart"/>
      <w:r w:rsidRPr="002C254F">
        <w:rPr>
          <w:i/>
          <w:iCs/>
          <w:lang w:val="es-ES_tradnl"/>
        </w:rPr>
        <w:t>protection</w:t>
      </w:r>
      <w:proofErr w:type="spellEnd"/>
      <w:r w:rsidRPr="002C254F">
        <w:rPr>
          <w:lang w:val="es-ES_tradnl"/>
        </w:rPr>
        <w:t>)</w:t>
      </w:r>
    </w:p>
    <w:p w:rsidR="00AC5FB0" w:rsidRPr="002C254F" w:rsidRDefault="00AC5FB0" w:rsidP="00AC5FB0">
      <w:pPr>
        <w:tabs>
          <w:tab w:val="clear" w:pos="794"/>
        </w:tabs>
        <w:rPr>
          <w:lang w:val="es-ES_tradnl" w:eastAsia="ko-KR"/>
        </w:rPr>
      </w:pPr>
      <w:r w:rsidRPr="002C254F">
        <w:rPr>
          <w:rFonts w:eastAsia="Calibri"/>
          <w:lang w:val="es-ES_tradnl"/>
        </w:rPr>
        <w:t>ISM</w:t>
      </w:r>
      <w:r w:rsidRPr="002C254F">
        <w:rPr>
          <w:rFonts w:eastAsia="Calibri"/>
          <w:lang w:val="es-ES_tradnl"/>
        </w:rPr>
        <w:tab/>
      </w:r>
      <w:bookmarkStart w:id="15" w:name="lt_pId074"/>
      <w:r w:rsidRPr="002C254F">
        <w:rPr>
          <w:rFonts w:eastAsia="Calibri"/>
          <w:lang w:val="es-ES_tradnl"/>
        </w:rPr>
        <w:t xml:space="preserve">Industrial, Científico, </w:t>
      </w:r>
      <w:bookmarkEnd w:id="15"/>
      <w:r w:rsidRPr="002C254F">
        <w:rPr>
          <w:rFonts w:eastAsia="Calibri"/>
          <w:lang w:val="es-ES_tradnl"/>
        </w:rPr>
        <w:t>Médico (</w:t>
      </w:r>
      <w:r w:rsidRPr="002C254F">
        <w:rPr>
          <w:rFonts w:eastAsia="Calibri"/>
          <w:i/>
          <w:iCs/>
          <w:lang w:val="es-ES_tradnl"/>
        </w:rPr>
        <w:t xml:space="preserve">industrial, </w:t>
      </w:r>
      <w:proofErr w:type="spellStart"/>
      <w:r w:rsidRPr="002C254F">
        <w:rPr>
          <w:rFonts w:eastAsia="Calibri"/>
          <w:i/>
          <w:iCs/>
          <w:lang w:val="es-ES_tradnl"/>
        </w:rPr>
        <w:t>scientific</w:t>
      </w:r>
      <w:proofErr w:type="spellEnd"/>
      <w:r w:rsidRPr="002C254F">
        <w:rPr>
          <w:rFonts w:eastAsia="Calibri"/>
          <w:i/>
          <w:iCs/>
          <w:lang w:val="es-ES_tradnl"/>
        </w:rPr>
        <w:t>, medical</w:t>
      </w:r>
      <w:r w:rsidRPr="002C254F">
        <w:rPr>
          <w:lang w:val="es-ES_tradnl" w:eastAsia="ko-KR"/>
        </w:rPr>
        <w:t>)</w:t>
      </w:r>
    </w:p>
    <w:p w:rsidR="00AC5FB0" w:rsidRPr="002C254F" w:rsidRDefault="00AC5FB0" w:rsidP="00AC5FB0">
      <w:pPr>
        <w:tabs>
          <w:tab w:val="clear" w:pos="794"/>
        </w:tabs>
        <w:ind w:left="1191" w:hanging="1191"/>
        <w:rPr>
          <w:lang w:val="es-ES_tradnl" w:eastAsia="zh-CN"/>
        </w:rPr>
      </w:pPr>
      <w:bookmarkStart w:id="16" w:name="lt_pId071"/>
      <w:bookmarkEnd w:id="13"/>
      <w:r w:rsidRPr="002C254F">
        <w:rPr>
          <w:lang w:val="es-ES_tradnl" w:eastAsia="zh-CN"/>
        </w:rPr>
        <w:t>ISO</w:t>
      </w:r>
      <w:bookmarkEnd w:id="16"/>
      <w:r w:rsidRPr="002C254F">
        <w:rPr>
          <w:lang w:val="es-ES_tradnl" w:eastAsia="zh-CN"/>
        </w:rPr>
        <w:tab/>
        <w:t>Organización Internacional de Normalización (</w:t>
      </w:r>
      <w:proofErr w:type="spellStart"/>
      <w:r w:rsidRPr="002C254F">
        <w:rPr>
          <w:i/>
          <w:lang w:val="es-ES_tradnl" w:eastAsia="zh-CN"/>
        </w:rPr>
        <w:t>international</w:t>
      </w:r>
      <w:proofErr w:type="spellEnd"/>
      <w:r w:rsidRPr="002C254F">
        <w:rPr>
          <w:i/>
          <w:lang w:val="es-ES_tradnl" w:eastAsia="zh-CN"/>
        </w:rPr>
        <w:t xml:space="preserve"> </w:t>
      </w:r>
      <w:proofErr w:type="spellStart"/>
      <w:r w:rsidRPr="002C254F">
        <w:rPr>
          <w:i/>
          <w:lang w:val="es-ES_tradnl" w:eastAsia="zh-CN"/>
        </w:rPr>
        <w:t>organization</w:t>
      </w:r>
      <w:proofErr w:type="spellEnd"/>
      <w:r w:rsidRPr="002C254F">
        <w:rPr>
          <w:i/>
          <w:lang w:val="es-ES_tradnl" w:eastAsia="zh-CN"/>
        </w:rPr>
        <w:t xml:space="preserve"> </w:t>
      </w:r>
      <w:proofErr w:type="spellStart"/>
      <w:r w:rsidRPr="002C254F">
        <w:rPr>
          <w:i/>
          <w:lang w:val="es-ES_tradnl" w:eastAsia="zh-CN"/>
        </w:rPr>
        <w:t>for</w:t>
      </w:r>
      <w:proofErr w:type="spellEnd"/>
      <w:r w:rsidRPr="002C254F">
        <w:rPr>
          <w:i/>
          <w:lang w:val="es-ES_tradnl" w:eastAsia="zh-CN"/>
        </w:rPr>
        <w:t xml:space="preserve"> </w:t>
      </w:r>
      <w:proofErr w:type="spellStart"/>
      <w:r w:rsidRPr="002C254F">
        <w:rPr>
          <w:i/>
          <w:lang w:val="es-ES_tradnl" w:eastAsia="zh-CN"/>
        </w:rPr>
        <w:t>standardization</w:t>
      </w:r>
      <w:proofErr w:type="spellEnd"/>
      <w:r w:rsidRPr="002C254F">
        <w:rPr>
          <w:lang w:val="es-ES_tradnl" w:eastAsia="zh-CN"/>
        </w:rPr>
        <w:t>)</w:t>
      </w:r>
    </w:p>
    <w:p w:rsidR="00AC5FB0" w:rsidRPr="002C254F" w:rsidRDefault="00AC5FB0" w:rsidP="00AC5FB0">
      <w:pPr>
        <w:tabs>
          <w:tab w:val="clear" w:pos="794"/>
        </w:tabs>
        <w:rPr>
          <w:lang w:val="es-ES_tradnl"/>
        </w:rPr>
      </w:pPr>
      <w:bookmarkStart w:id="17" w:name="lt_pId081"/>
      <w:bookmarkStart w:id="18" w:name="lt_pId077"/>
      <w:r w:rsidRPr="002C254F">
        <w:rPr>
          <w:lang w:val="es-ES_tradnl"/>
        </w:rPr>
        <w:t>OMS</w:t>
      </w:r>
      <w:bookmarkEnd w:id="17"/>
      <w:r w:rsidRPr="002C254F">
        <w:rPr>
          <w:lang w:val="es-ES_tradnl"/>
        </w:rPr>
        <w:tab/>
        <w:t>Organización Mundial de la Salud</w:t>
      </w:r>
    </w:p>
    <w:p w:rsidR="00AC5FB0" w:rsidRPr="002C254F" w:rsidRDefault="00AC5FB0" w:rsidP="00AC5FB0">
      <w:pPr>
        <w:tabs>
          <w:tab w:val="clear" w:pos="794"/>
        </w:tabs>
        <w:rPr>
          <w:lang w:val="es-ES_tradnl"/>
        </w:rPr>
      </w:pPr>
      <w:r w:rsidRPr="002C254F">
        <w:rPr>
          <w:lang w:val="es-ES_tradnl" w:eastAsia="zh-CN"/>
        </w:rPr>
        <w:t>RR</w:t>
      </w:r>
      <w:bookmarkEnd w:id="18"/>
      <w:r w:rsidRPr="002C254F">
        <w:rPr>
          <w:lang w:val="es-ES_tradnl" w:eastAsia="zh-CN"/>
        </w:rPr>
        <w:tab/>
        <w:t>Reglamento de Radiocomunicaciones</w:t>
      </w:r>
    </w:p>
    <w:p w:rsidR="00AC5FB0" w:rsidRPr="002C254F" w:rsidRDefault="00AC5FB0" w:rsidP="00AC5FB0">
      <w:pPr>
        <w:tabs>
          <w:tab w:val="clear" w:pos="794"/>
        </w:tabs>
        <w:rPr>
          <w:lang w:val="es-ES_tradnl" w:eastAsia="zh-CN"/>
        </w:rPr>
      </w:pPr>
      <w:bookmarkStart w:id="19" w:name="lt_pId079"/>
      <w:r w:rsidRPr="002C254F">
        <w:rPr>
          <w:lang w:val="es-ES_tradnl" w:eastAsia="zh-CN"/>
        </w:rPr>
        <w:t>SAE</w:t>
      </w:r>
      <w:bookmarkEnd w:id="19"/>
      <w:r w:rsidRPr="002C254F">
        <w:rPr>
          <w:lang w:val="es-ES_tradnl" w:eastAsia="zh-CN"/>
        </w:rPr>
        <w:tab/>
      </w:r>
      <w:bookmarkStart w:id="20" w:name="lt_pId080"/>
      <w:r w:rsidRPr="002C254F">
        <w:rPr>
          <w:lang w:val="es-ES_tradnl" w:eastAsia="zh-CN"/>
        </w:rPr>
        <w:t>Sociedad de Ingenieros de Automoción (</w:t>
      </w:r>
      <w:proofErr w:type="spellStart"/>
      <w:r w:rsidRPr="002C254F">
        <w:rPr>
          <w:i/>
          <w:iCs/>
          <w:lang w:val="es-ES_tradnl" w:eastAsia="zh-CN"/>
        </w:rPr>
        <w:t>society</w:t>
      </w:r>
      <w:proofErr w:type="spellEnd"/>
      <w:r w:rsidRPr="002C254F">
        <w:rPr>
          <w:i/>
          <w:iCs/>
          <w:lang w:val="es-ES_tradnl" w:eastAsia="zh-CN"/>
        </w:rPr>
        <w:t xml:space="preserve"> of </w:t>
      </w:r>
      <w:proofErr w:type="spellStart"/>
      <w:r w:rsidRPr="002C254F">
        <w:rPr>
          <w:i/>
          <w:iCs/>
          <w:lang w:val="es-ES_tradnl" w:eastAsia="zh-CN"/>
        </w:rPr>
        <w:t>automotive</w:t>
      </w:r>
      <w:proofErr w:type="spellEnd"/>
      <w:r w:rsidRPr="002C254F">
        <w:rPr>
          <w:i/>
          <w:iCs/>
          <w:lang w:val="es-ES_tradnl" w:eastAsia="zh-CN"/>
        </w:rPr>
        <w:t xml:space="preserve"> </w:t>
      </w:r>
      <w:proofErr w:type="spellStart"/>
      <w:r w:rsidRPr="002C254F">
        <w:rPr>
          <w:i/>
          <w:iCs/>
          <w:lang w:val="es-ES_tradnl" w:eastAsia="zh-CN"/>
        </w:rPr>
        <w:t>engineers</w:t>
      </w:r>
      <w:bookmarkEnd w:id="20"/>
      <w:proofErr w:type="spellEnd"/>
      <w:r w:rsidRPr="002C254F">
        <w:rPr>
          <w:lang w:val="es-ES_tradnl" w:eastAsia="zh-CN"/>
        </w:rPr>
        <w:t>)</w:t>
      </w:r>
    </w:p>
    <w:p w:rsidR="00AC5FB0" w:rsidRPr="002C254F" w:rsidRDefault="00AC5FB0" w:rsidP="00AC5FB0">
      <w:pPr>
        <w:tabs>
          <w:tab w:val="clear" w:pos="794"/>
        </w:tabs>
        <w:ind w:left="1191" w:hanging="1191"/>
        <w:rPr>
          <w:lang w:val="es-ES_tradnl" w:eastAsia="zh-CN"/>
        </w:rPr>
      </w:pPr>
      <w:r w:rsidRPr="002C254F">
        <w:rPr>
          <w:lang w:val="es-ES_tradnl" w:eastAsia="zh-CN"/>
        </w:rPr>
        <w:t>SFPSH</w:t>
      </w:r>
      <w:r w:rsidRPr="002C254F">
        <w:rPr>
          <w:lang w:val="es-ES_tradnl" w:eastAsia="zh-CN"/>
        </w:rPr>
        <w:tab/>
        <w:t>Servicio de frecuencias patrón y señales horarias (</w:t>
      </w:r>
      <w:r w:rsidRPr="002C254F">
        <w:rPr>
          <w:i/>
          <w:iCs/>
          <w:lang w:val="es-ES_tradnl" w:eastAsia="zh-CN"/>
        </w:rPr>
        <w:t xml:space="preserve">standard </w:t>
      </w:r>
      <w:proofErr w:type="spellStart"/>
      <w:r w:rsidRPr="002C254F">
        <w:rPr>
          <w:i/>
          <w:iCs/>
          <w:lang w:val="es-ES_tradnl" w:eastAsia="zh-CN"/>
        </w:rPr>
        <w:t>frequency</w:t>
      </w:r>
      <w:proofErr w:type="spellEnd"/>
      <w:r w:rsidRPr="002C254F">
        <w:rPr>
          <w:i/>
          <w:iCs/>
          <w:lang w:val="es-ES_tradnl" w:eastAsia="zh-CN"/>
        </w:rPr>
        <w:t xml:space="preserve"> and time </w:t>
      </w:r>
      <w:proofErr w:type="spellStart"/>
      <w:r w:rsidRPr="002C254F">
        <w:rPr>
          <w:i/>
          <w:iCs/>
          <w:lang w:val="es-ES_tradnl" w:eastAsia="zh-CN"/>
        </w:rPr>
        <w:t>signal</w:t>
      </w:r>
      <w:proofErr w:type="spellEnd"/>
      <w:r w:rsidRPr="002C254F">
        <w:rPr>
          <w:i/>
          <w:iCs/>
          <w:lang w:val="es-ES_tradnl" w:eastAsia="zh-CN"/>
        </w:rPr>
        <w:t xml:space="preserve"> </w:t>
      </w:r>
      <w:proofErr w:type="spellStart"/>
      <w:r w:rsidRPr="002C254F">
        <w:rPr>
          <w:i/>
          <w:iCs/>
          <w:lang w:val="es-ES_tradnl" w:eastAsia="zh-CN"/>
        </w:rPr>
        <w:t>service</w:t>
      </w:r>
      <w:proofErr w:type="spellEnd"/>
      <w:r w:rsidRPr="002C254F">
        <w:rPr>
          <w:lang w:val="es-ES_tradnl" w:eastAsia="zh-CN"/>
        </w:rPr>
        <w:t>)</w:t>
      </w:r>
    </w:p>
    <w:p w:rsidR="00AC5FB0" w:rsidRPr="002C254F" w:rsidRDefault="00AC5FB0" w:rsidP="00AC5FB0">
      <w:pPr>
        <w:tabs>
          <w:tab w:val="clear" w:pos="794"/>
        </w:tabs>
        <w:ind w:left="1191" w:hanging="1191"/>
        <w:rPr>
          <w:lang w:val="es-ES_tradnl" w:eastAsia="zh-CN"/>
        </w:rPr>
      </w:pPr>
      <w:r w:rsidRPr="002C254F">
        <w:rPr>
          <w:lang w:val="es-ES_tradnl" w:eastAsia="zh-CN"/>
        </w:rPr>
        <w:t>TIP-VE</w:t>
      </w:r>
      <w:r w:rsidRPr="002C254F">
        <w:rPr>
          <w:lang w:val="es-ES_tradnl" w:eastAsia="zh-CN"/>
        </w:rPr>
        <w:tab/>
        <w:t>Transmisión inalámbrica de potencia para vehículos eléctricos (</w:t>
      </w:r>
      <w:proofErr w:type="spellStart"/>
      <w:r w:rsidRPr="002C254F">
        <w:rPr>
          <w:i/>
          <w:iCs/>
          <w:lang w:val="es-ES_tradnl" w:eastAsia="ko-KR"/>
        </w:rPr>
        <w:t>wireless</w:t>
      </w:r>
      <w:proofErr w:type="spellEnd"/>
      <w:r w:rsidRPr="002C254F">
        <w:rPr>
          <w:i/>
          <w:iCs/>
          <w:lang w:val="es-ES_tradnl" w:eastAsia="ko-KR"/>
        </w:rPr>
        <w:t xml:space="preserve"> </w:t>
      </w:r>
      <w:proofErr w:type="spellStart"/>
      <w:r w:rsidRPr="002C254F">
        <w:rPr>
          <w:i/>
          <w:iCs/>
          <w:lang w:val="es-ES_tradnl" w:eastAsia="ko-KR"/>
        </w:rPr>
        <w:t>power</w:t>
      </w:r>
      <w:proofErr w:type="spellEnd"/>
      <w:r w:rsidRPr="002C254F">
        <w:rPr>
          <w:i/>
          <w:iCs/>
          <w:lang w:val="es-ES_tradnl" w:eastAsia="ko-KR"/>
        </w:rPr>
        <w:t xml:space="preserve"> </w:t>
      </w:r>
      <w:proofErr w:type="spellStart"/>
      <w:r w:rsidRPr="002C254F">
        <w:rPr>
          <w:i/>
          <w:iCs/>
          <w:lang w:val="es-ES_tradnl" w:eastAsia="ko-KR"/>
        </w:rPr>
        <w:t>transmission</w:t>
      </w:r>
      <w:proofErr w:type="spellEnd"/>
      <w:r w:rsidRPr="002C254F">
        <w:rPr>
          <w:i/>
          <w:iCs/>
          <w:lang w:val="es-ES_tradnl" w:eastAsia="ko-KR"/>
        </w:rPr>
        <w:t xml:space="preserve"> </w:t>
      </w:r>
      <w:proofErr w:type="spellStart"/>
      <w:r w:rsidRPr="002C254F">
        <w:rPr>
          <w:i/>
          <w:iCs/>
          <w:lang w:val="es-ES_tradnl" w:eastAsia="ko-KR"/>
        </w:rPr>
        <w:t>for</w:t>
      </w:r>
      <w:proofErr w:type="spellEnd"/>
      <w:r w:rsidRPr="002C254F">
        <w:rPr>
          <w:i/>
          <w:iCs/>
          <w:lang w:val="es-ES_tradnl" w:eastAsia="ko-KR"/>
        </w:rPr>
        <w:t xml:space="preserve"> </w:t>
      </w:r>
      <w:proofErr w:type="spellStart"/>
      <w:r w:rsidRPr="002C254F">
        <w:rPr>
          <w:i/>
          <w:iCs/>
          <w:lang w:val="es-ES_tradnl" w:eastAsia="ko-KR"/>
        </w:rPr>
        <w:t>electric</w:t>
      </w:r>
      <w:proofErr w:type="spellEnd"/>
      <w:r w:rsidRPr="002C254F">
        <w:rPr>
          <w:i/>
          <w:iCs/>
          <w:lang w:val="es-ES_tradnl" w:eastAsia="ko-KR"/>
        </w:rPr>
        <w:t xml:space="preserve"> </w:t>
      </w:r>
      <w:proofErr w:type="spellStart"/>
      <w:r w:rsidRPr="002C254F">
        <w:rPr>
          <w:i/>
          <w:iCs/>
          <w:lang w:val="es-ES_tradnl" w:eastAsia="ko-KR"/>
        </w:rPr>
        <w:t>vehicles</w:t>
      </w:r>
      <w:proofErr w:type="spellEnd"/>
      <w:r w:rsidRPr="002C254F">
        <w:rPr>
          <w:lang w:val="es-ES_tradnl" w:eastAsia="ko-KR"/>
        </w:rPr>
        <w:t>)</w:t>
      </w:r>
    </w:p>
    <w:p w:rsidR="00AC5FB0" w:rsidRPr="002C254F" w:rsidRDefault="00AC5FB0" w:rsidP="00AC5FB0">
      <w:pPr>
        <w:tabs>
          <w:tab w:val="clear" w:pos="794"/>
        </w:tabs>
        <w:rPr>
          <w:lang w:val="es-ES_tradnl" w:eastAsia="ko-KR"/>
        </w:rPr>
      </w:pPr>
      <w:r w:rsidRPr="002C254F">
        <w:rPr>
          <w:lang w:val="es-ES_tradnl"/>
        </w:rPr>
        <w:t>WPT</w:t>
      </w:r>
      <w:r w:rsidRPr="002C254F">
        <w:rPr>
          <w:lang w:val="es-ES_tradnl"/>
        </w:rPr>
        <w:tab/>
      </w:r>
      <w:bookmarkStart w:id="21" w:name="lt_pId084"/>
      <w:r w:rsidRPr="002C254F">
        <w:rPr>
          <w:lang w:val="es-ES_tradnl"/>
        </w:rPr>
        <w:t>Transmisión inalámbrica de potencia</w:t>
      </w:r>
      <w:bookmarkEnd w:id="21"/>
      <w:r w:rsidRPr="002C254F">
        <w:rPr>
          <w:lang w:val="es-ES_tradnl"/>
        </w:rPr>
        <w:t xml:space="preserve"> (</w:t>
      </w:r>
      <w:proofErr w:type="spellStart"/>
      <w:r w:rsidRPr="002C254F">
        <w:rPr>
          <w:i/>
          <w:iCs/>
          <w:lang w:val="es-ES_tradnl" w:eastAsia="ko-KR"/>
        </w:rPr>
        <w:t>wireless</w:t>
      </w:r>
      <w:proofErr w:type="spellEnd"/>
      <w:r w:rsidRPr="002C254F">
        <w:rPr>
          <w:i/>
          <w:iCs/>
          <w:lang w:val="es-ES_tradnl" w:eastAsia="ko-KR"/>
        </w:rPr>
        <w:t xml:space="preserve"> </w:t>
      </w:r>
      <w:proofErr w:type="spellStart"/>
      <w:r w:rsidRPr="002C254F">
        <w:rPr>
          <w:i/>
          <w:iCs/>
          <w:lang w:val="es-ES_tradnl" w:eastAsia="ko-KR"/>
        </w:rPr>
        <w:t>power</w:t>
      </w:r>
      <w:proofErr w:type="spellEnd"/>
      <w:r w:rsidRPr="002C254F">
        <w:rPr>
          <w:i/>
          <w:iCs/>
          <w:lang w:val="es-ES_tradnl" w:eastAsia="ko-KR"/>
        </w:rPr>
        <w:t xml:space="preserve"> </w:t>
      </w:r>
      <w:proofErr w:type="spellStart"/>
      <w:r w:rsidRPr="002C254F">
        <w:rPr>
          <w:i/>
          <w:iCs/>
          <w:lang w:val="es-ES_tradnl" w:eastAsia="ko-KR"/>
        </w:rPr>
        <w:t>transmission</w:t>
      </w:r>
      <w:proofErr w:type="spellEnd"/>
      <w:r w:rsidRPr="002C254F">
        <w:rPr>
          <w:lang w:val="es-ES_tradnl" w:eastAsia="ko-KR"/>
        </w:rPr>
        <w:t>)</w:t>
      </w:r>
    </w:p>
    <w:p w:rsidR="00AC5FB0" w:rsidRPr="002C254F" w:rsidRDefault="00AC5FB0" w:rsidP="00AC5FB0">
      <w:pPr>
        <w:pStyle w:val="Headingb"/>
        <w:rPr>
          <w:lang w:val="es-ES_tradnl"/>
        </w:rPr>
      </w:pPr>
      <w:bookmarkStart w:id="22" w:name="lt_pId087"/>
      <w:r w:rsidRPr="002C254F">
        <w:rPr>
          <w:lang w:val="es-ES_tradnl"/>
        </w:rPr>
        <w:t>Recomendaciones e Informes de la UIT conexos</w:t>
      </w:r>
      <w:bookmarkEnd w:id="22"/>
    </w:p>
    <w:p w:rsidR="00AC5FB0" w:rsidRPr="002C254F" w:rsidRDefault="00AC5FB0" w:rsidP="00AC5FB0">
      <w:pPr>
        <w:rPr>
          <w:lang w:val="es-ES_tradnl"/>
        </w:rPr>
      </w:pPr>
      <w:bookmarkStart w:id="23" w:name="lt_pId088"/>
      <w:r w:rsidRPr="002C254F">
        <w:rPr>
          <w:lang w:val="es-ES_tradnl"/>
        </w:rPr>
        <w:t>Recomendación UIT-R SM.1056; Recomendación UIT-R SM.1896; Recomendación UIT-R SM.2129; Informe UIT-R SM.2153; Informe UIT-R SM.2303; Informe UIT-R SM.2451.</w:t>
      </w:r>
      <w:bookmarkEnd w:id="23"/>
    </w:p>
    <w:p w:rsidR="00AC5FB0" w:rsidRPr="002C254F" w:rsidRDefault="00AC5FB0" w:rsidP="00AC5FB0">
      <w:pPr>
        <w:rPr>
          <w:lang w:val="es-ES_tradnl"/>
        </w:rPr>
      </w:pPr>
    </w:p>
    <w:p w:rsidR="00AC5FB0" w:rsidRPr="002C254F" w:rsidRDefault="00AC5FB0" w:rsidP="00AC5FB0">
      <w:pPr>
        <w:rPr>
          <w:lang w:val="es-ES_tradnl"/>
        </w:rPr>
      </w:pPr>
    </w:p>
    <w:p w:rsidR="00AC5FB0" w:rsidRPr="002C254F" w:rsidRDefault="00AC5FB0" w:rsidP="00AC5FB0">
      <w:pPr>
        <w:rPr>
          <w:lang w:val="es-ES_tradnl"/>
        </w:rPr>
      </w:pPr>
    </w:p>
    <w:p w:rsidR="00AC5FB0" w:rsidRPr="002C254F" w:rsidRDefault="00AC5FB0" w:rsidP="00AC5FB0">
      <w:pPr>
        <w:pStyle w:val="Normalaftertitle"/>
        <w:rPr>
          <w:lang w:val="es-ES_tradnl"/>
        </w:rPr>
      </w:pPr>
      <w:r w:rsidRPr="002C254F">
        <w:rPr>
          <w:lang w:val="es-ES_tradnl"/>
        </w:rPr>
        <w:lastRenderedPageBreak/>
        <w:t>La Asamblea de Radiocomunicaciones de la UIT,</w:t>
      </w:r>
    </w:p>
    <w:p w:rsidR="00AC5FB0" w:rsidRPr="002C254F" w:rsidRDefault="00AC5FB0" w:rsidP="00AC5FB0">
      <w:pPr>
        <w:pStyle w:val="Call"/>
        <w:rPr>
          <w:lang w:val="es-ES_tradnl" w:eastAsia="ko-KR"/>
        </w:rPr>
      </w:pPr>
      <w:r w:rsidRPr="002C254F">
        <w:rPr>
          <w:lang w:val="es-ES_tradnl"/>
        </w:rPr>
        <w:t>considerando</w:t>
      </w:r>
    </w:p>
    <w:p w:rsidR="00AC5FB0" w:rsidRPr="002C254F" w:rsidRDefault="00AC5FB0" w:rsidP="00AC5FB0">
      <w:pPr>
        <w:rPr>
          <w:lang w:val="es-ES_tradnl" w:eastAsia="ko-KR"/>
        </w:rPr>
      </w:pPr>
      <w:r w:rsidRPr="002C254F">
        <w:rPr>
          <w:i/>
          <w:iCs/>
          <w:lang w:val="es-ES_tradnl" w:eastAsia="ko-KR"/>
        </w:rPr>
        <w:t>a)</w:t>
      </w:r>
      <w:r w:rsidRPr="002C254F">
        <w:rPr>
          <w:lang w:val="es-ES_tradnl" w:eastAsia="ko-KR"/>
        </w:rPr>
        <w:tab/>
        <w:t>que por transmisión inalámbrica de potencia (TIP) se entiende la transmisión de potencia desde una fuente de alimentación a una carga eléctrica de forma inalámbrica mediante el campo electromagnético;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b)</w:t>
      </w:r>
      <w:r w:rsidRPr="002C254F">
        <w:rPr>
          <w:lang w:val="es-ES_tradnl" w:eastAsia="zh-CN"/>
        </w:rPr>
        <w:tab/>
        <w:t>que las tecnologías de TIP utilizan diversos mecanismos tales como la transmisión a través de transmisiones de radiofrecuencia radiadas en el campo lejano (haces TIP) y en el campo cercano por inducción, por resonancia y por acoplamiento capacitivo (TIP sin haces);</w:t>
      </w:r>
    </w:p>
    <w:p w:rsidR="00AC5FB0" w:rsidRPr="002C254F" w:rsidRDefault="00AC5FB0" w:rsidP="00AC5FB0">
      <w:pPr>
        <w:rPr>
          <w:szCs w:val="24"/>
          <w:lang w:val="es-ES_tradnl"/>
        </w:rPr>
      </w:pPr>
      <w:r w:rsidRPr="002C254F">
        <w:rPr>
          <w:i/>
          <w:iCs/>
          <w:lang w:val="es-ES_tradnl"/>
        </w:rPr>
        <w:t>c)</w:t>
      </w:r>
      <w:r w:rsidRPr="002C254F">
        <w:rPr>
          <w:lang w:val="es-ES_tradnl"/>
        </w:rPr>
        <w:tab/>
        <w:t>que esas tecnologías de transmisión se están considerando para aplicaciones tales como recarga de vehículos eléctricos</w:t>
      </w:r>
      <w:r w:rsidRPr="002C254F">
        <w:rPr>
          <w:szCs w:val="24"/>
          <w:lang w:val="es-ES_tradnl"/>
        </w:rPr>
        <w:t>;</w:t>
      </w:r>
    </w:p>
    <w:p w:rsidR="00AC5FB0" w:rsidRPr="002C254F" w:rsidRDefault="00AC5FB0" w:rsidP="00AC5FB0">
      <w:pPr>
        <w:rPr>
          <w:lang w:val="es-ES_tradnl"/>
        </w:rPr>
      </w:pPr>
      <w:r w:rsidRPr="002C254F">
        <w:rPr>
          <w:i/>
          <w:lang w:val="es-ES_tradnl"/>
        </w:rPr>
        <w:t>d)</w:t>
      </w:r>
      <w:r w:rsidRPr="002C254F">
        <w:rPr>
          <w:lang w:val="es-ES_tradnl"/>
        </w:rPr>
        <w:tab/>
        <w:t>que se están elaborando normas TIP a escala nacional, regional e internacional;</w:t>
      </w:r>
    </w:p>
    <w:p w:rsidR="00AC5FB0" w:rsidRPr="002C254F" w:rsidRDefault="00AC5FB0" w:rsidP="00AC5FB0">
      <w:pPr>
        <w:rPr>
          <w:lang w:val="es-ES_tradnl"/>
        </w:rPr>
      </w:pPr>
      <w:r w:rsidRPr="002C254F">
        <w:rPr>
          <w:i/>
          <w:iCs/>
          <w:lang w:val="es-ES_tradnl"/>
        </w:rPr>
        <w:t>e)</w:t>
      </w:r>
      <w:r w:rsidRPr="002C254F">
        <w:rPr>
          <w:lang w:val="es-ES_tradnl"/>
        </w:rPr>
        <w:tab/>
        <w:t xml:space="preserve">que varios consorcios, alianzas </w:t>
      </w:r>
      <w:r w:rsidRPr="002C254F">
        <w:rPr>
          <w:lang w:val="es-ES_tradnl" w:eastAsia="ko-KR"/>
        </w:rPr>
        <w:t>industriales e instituciones académicas han investigado diversas bandas de frecuencias para las tecnologías TIP, en particular; 19</w:t>
      </w:r>
      <w:r w:rsidRPr="002C254F">
        <w:rPr>
          <w:lang w:val="es-ES_tradnl" w:eastAsia="ko-KR"/>
        </w:rPr>
        <w:noBreakHyphen/>
        <w:t>21 kHz y 55</w:t>
      </w:r>
      <w:r w:rsidRPr="002C254F">
        <w:rPr>
          <w:lang w:val="es-ES_tradnl" w:eastAsia="ko-KR"/>
        </w:rPr>
        <w:noBreakHyphen/>
        <w:t xml:space="preserve">65 kHz </w:t>
      </w:r>
      <w:r w:rsidRPr="002C254F">
        <w:rPr>
          <w:color w:val="000000"/>
          <w:lang w:val="es-ES_tradnl"/>
        </w:rPr>
        <w:t>para la tecnología de campo magnético conformado en resonancia aplicada a vehículos eléctricos</w:t>
      </w:r>
      <w:r w:rsidRPr="002C254F">
        <w:rPr>
          <w:lang w:val="es-ES_tradnl" w:eastAsia="ko-KR"/>
        </w:rPr>
        <w:t>, 79</w:t>
      </w:r>
      <w:r w:rsidRPr="002C254F">
        <w:rPr>
          <w:lang w:val="es-ES_tradnl" w:eastAsia="ko-KR"/>
        </w:rPr>
        <w:noBreakHyphen/>
        <w:t xml:space="preserve">90 kHz </w:t>
      </w:r>
      <w:r w:rsidRPr="002C254F">
        <w:rPr>
          <w:color w:val="000000"/>
          <w:lang w:val="es-ES_tradnl"/>
        </w:rPr>
        <w:t>para la tecnología de resonancia magnética aplicada a vehículos eléctricos</w:t>
      </w:r>
      <w:r w:rsidRPr="002C254F">
        <w:rPr>
          <w:lang w:val="es-ES_tradnl"/>
        </w:rPr>
        <w:t>;</w:t>
      </w:r>
    </w:p>
    <w:p w:rsidR="00AC5FB0" w:rsidRPr="002C254F" w:rsidRDefault="00AC5FB0" w:rsidP="00AC5FB0">
      <w:pPr>
        <w:rPr>
          <w:lang w:val="es-ES_tradnl"/>
        </w:rPr>
      </w:pPr>
      <w:r w:rsidRPr="002C254F">
        <w:rPr>
          <w:i/>
          <w:iCs/>
          <w:lang w:val="es-ES_tradnl" w:eastAsia="zh-CN"/>
        </w:rPr>
        <w:t>f)</w:t>
      </w:r>
      <w:r w:rsidRPr="002C254F">
        <w:rPr>
          <w:lang w:val="es-ES_tradnl" w:eastAsia="zh-CN"/>
        </w:rPr>
        <w:tab/>
        <w:t>que en el marco de los estudios sobre TIP los servicios de frecuencias patrón y señales horarias y de radioastronomía deben tratarse como servicios de radiocomunicaciones;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g)</w:t>
      </w:r>
      <w:r w:rsidRPr="002C254F">
        <w:rPr>
          <w:lang w:val="es-ES_tradnl" w:eastAsia="zh-CN"/>
        </w:rPr>
        <w:tab/>
        <w:t xml:space="preserve">que se han concluido estudios sobre la incidencia de la TIP en los servicios de radiocomunicaciones en las bandas </w:t>
      </w:r>
      <w:r w:rsidRPr="002C254F">
        <w:rPr>
          <w:lang w:val="es-ES_tradnl"/>
        </w:rPr>
        <w:t>19-21 kHz, 55-57 kHz, 63-65</w:t>
      </w:r>
      <w:r w:rsidRPr="002C254F">
        <w:rPr>
          <w:lang w:val="es-ES_tradnl" w:eastAsia="zh-CN"/>
        </w:rPr>
        <w:t xml:space="preserve"> kHz y 79-90 kHz;</w:t>
      </w:r>
    </w:p>
    <w:p w:rsidR="00AC5FB0" w:rsidRPr="002C254F" w:rsidRDefault="00AC5FB0" w:rsidP="00AC5FB0">
      <w:pPr>
        <w:rPr>
          <w:lang w:val="es-ES_tradnl"/>
        </w:rPr>
      </w:pPr>
      <w:r w:rsidRPr="002C254F">
        <w:rPr>
          <w:i/>
          <w:iCs/>
          <w:lang w:val="es-ES_tradnl" w:eastAsia="ko-KR"/>
        </w:rPr>
        <w:t>h)</w:t>
      </w:r>
      <w:r w:rsidRPr="002C254F">
        <w:rPr>
          <w:rFonts w:cs="Arial"/>
          <w:lang w:val="es-ES_tradnl" w:eastAsia="ko-KR"/>
        </w:rPr>
        <w:tab/>
      </w:r>
      <w:r w:rsidRPr="002C254F">
        <w:rPr>
          <w:lang w:val="es-ES_tradnl" w:eastAsia="ko-KR"/>
        </w:rPr>
        <w:t xml:space="preserve">que a medida que proliferan en el mundo los dispositivos TIC, la utilización de las tecnologías TIP podrá afectar a los servicios de radiocomunicaciones, en particular al </w:t>
      </w:r>
      <w:r w:rsidRPr="002C254F">
        <w:rPr>
          <w:color w:val="000000"/>
          <w:lang w:val="es-ES_tradnl"/>
        </w:rPr>
        <w:t>servicio de frecuencias patrón y señales horarias y al servicio de radioastronomía, y la TIC no deberá causar interferencia perjudicial a los servicios de radiocomunicaciones</w:t>
      </w:r>
      <w:r w:rsidRPr="002C254F">
        <w:rPr>
          <w:lang w:val="es-ES_tradnl"/>
        </w:rPr>
        <w:t>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i)</w:t>
      </w:r>
      <w:r w:rsidRPr="002C254F">
        <w:rPr>
          <w:lang w:val="es-ES_tradnl" w:eastAsia="zh-CN"/>
        </w:rPr>
        <w:tab/>
        <w:t>que para atenuar las repercusiones de los dispositivos TIP en la explotación de los servicios de radiocomunicaciones, ciertas soluciones utilizan bandas concebidas para aplicaciones industriales, científicas y médicas (ICM),</w:t>
      </w:r>
    </w:p>
    <w:p w:rsidR="00AC5FB0" w:rsidRPr="002C254F" w:rsidRDefault="00AC5FB0" w:rsidP="00AC5FB0">
      <w:pPr>
        <w:pStyle w:val="Call"/>
        <w:rPr>
          <w:lang w:val="es-ES_tradnl" w:eastAsia="zh-CN"/>
        </w:rPr>
      </w:pPr>
      <w:r w:rsidRPr="002C254F">
        <w:rPr>
          <w:lang w:val="es-ES_tradnl" w:eastAsia="zh-CN"/>
        </w:rPr>
        <w:t>reconociendo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a)</w:t>
      </w:r>
      <w:r w:rsidRPr="002C254F">
        <w:rPr>
          <w:lang w:val="es-ES_tradnl" w:eastAsia="zh-CN"/>
        </w:rPr>
        <w:tab/>
        <w:t xml:space="preserve">que la TIP no es un servicio de radiocomunicaciones y no está consignada en ninguna categoría del Reglamento de Radiocomunicaciones (RR) pero se puede considerar que está sujeta a los números </w:t>
      </w:r>
      <w:r w:rsidRPr="002C254F">
        <w:rPr>
          <w:b/>
          <w:bCs/>
          <w:lang w:val="es-ES_tradnl" w:eastAsia="zh-CN"/>
        </w:rPr>
        <w:t>15.12</w:t>
      </w:r>
      <w:r w:rsidRPr="002C254F">
        <w:rPr>
          <w:lang w:val="es-ES_tradnl" w:eastAsia="zh-CN"/>
        </w:rPr>
        <w:t xml:space="preserve"> </w:t>
      </w:r>
      <w:proofErr w:type="spellStart"/>
      <w:r w:rsidRPr="002C254F">
        <w:rPr>
          <w:lang w:val="es-ES_tradnl" w:eastAsia="zh-CN"/>
        </w:rPr>
        <w:t>ó</w:t>
      </w:r>
      <w:proofErr w:type="spellEnd"/>
      <w:r w:rsidRPr="002C254F">
        <w:rPr>
          <w:lang w:val="es-ES_tradnl" w:eastAsia="zh-CN"/>
        </w:rPr>
        <w:t xml:space="preserve"> </w:t>
      </w:r>
      <w:r w:rsidRPr="002C254F">
        <w:rPr>
          <w:b/>
          <w:bCs/>
          <w:lang w:val="es-ES_tradnl" w:eastAsia="zh-CN"/>
        </w:rPr>
        <w:t>15.13</w:t>
      </w:r>
      <w:r w:rsidRPr="002C254F">
        <w:rPr>
          <w:lang w:val="es-ES_tradnl" w:eastAsia="zh-CN"/>
        </w:rPr>
        <w:t xml:space="preserve"> del RR, según el caso;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b)</w:t>
      </w:r>
      <w:r w:rsidRPr="002C254F">
        <w:rPr>
          <w:i/>
          <w:iCs/>
          <w:lang w:val="es-ES_tradnl" w:eastAsia="zh-CN"/>
        </w:rPr>
        <w:tab/>
      </w:r>
      <w:r w:rsidRPr="002C254F">
        <w:rPr>
          <w:lang w:val="es-ES_tradnl" w:eastAsia="zh-CN"/>
        </w:rPr>
        <w:t>que los criterios para proteger los diversos servicios de radiocomunicaciones de interferencias perjudiciales están especificados en las Recomendaciones UIT-R existentes;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c)</w:t>
      </w:r>
      <w:r w:rsidRPr="002C254F">
        <w:rPr>
          <w:lang w:val="es-ES_tradnl" w:eastAsia="zh-CN"/>
        </w:rPr>
        <w:tab/>
        <w:t>que tanto consumidores como fabricantes se pueden beneficiar de las gamas de frecuencias armonizadas y de las condiciones técnicas de las tecnologías TIP;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d)</w:t>
      </w:r>
      <w:r w:rsidRPr="002C254F">
        <w:rPr>
          <w:lang w:val="es-ES_tradnl" w:eastAsia="zh-CN"/>
        </w:rPr>
        <w:tab/>
        <w:t>que algunas administraciones consideran que la transferencia de energía TIP es una aplicación ICM, incluso para el funcionamiento fuera de las bandas designadas para ICM;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e)</w:t>
      </w:r>
      <w:r w:rsidRPr="002C254F">
        <w:rPr>
          <w:lang w:val="es-ES_tradnl" w:eastAsia="zh-CN"/>
        </w:rPr>
        <w:tab/>
        <w:t>que algunas administraciones consideran que los sistemas TIP sin haces son aplicaciones de radiocomunicaciones tales como los dispositivos de corto alcance;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f)</w:t>
      </w:r>
      <w:r w:rsidRPr="002C254F">
        <w:rPr>
          <w:lang w:val="es-ES_tradnl" w:eastAsia="zh-CN"/>
        </w:rPr>
        <w:tab/>
        <w:t>que para la utilización armonizada a escala mundial o regional de aplicaciones TIP específicas se están examinando bandas distintas de las utilizadas para las aplicaciones ICM;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g)</w:t>
      </w:r>
      <w:r w:rsidRPr="002C254F">
        <w:rPr>
          <w:lang w:val="es-ES_tradnl" w:eastAsia="zh-CN"/>
        </w:rPr>
        <w:tab/>
        <w:t>que la transferencia de energía TIP puede ser tratada separadamente de las comunicaciones de datos, especialmente cuando el dispositivo receptor recibe comunicaciones de datos a una frecuencia diferente a la de transferencia de energía;</w:t>
      </w:r>
    </w:p>
    <w:p w:rsidR="00AC5FB0" w:rsidRPr="002C254F" w:rsidRDefault="00AC5FB0" w:rsidP="00AC5FB0">
      <w:pPr>
        <w:rPr>
          <w:i/>
          <w:iCs/>
          <w:lang w:val="es-ES_tradnl" w:eastAsia="ko-KR"/>
        </w:rPr>
      </w:pPr>
      <w:r w:rsidRPr="002C254F">
        <w:rPr>
          <w:i/>
          <w:iCs/>
          <w:lang w:val="es-ES_tradnl" w:eastAsia="zh-CN"/>
        </w:rPr>
        <w:lastRenderedPageBreak/>
        <w:t>h)</w:t>
      </w:r>
      <w:r w:rsidRPr="002C254F">
        <w:rPr>
          <w:lang w:val="es-ES_tradnl" w:eastAsia="zh-CN"/>
        </w:rPr>
        <w:tab/>
        <w:t xml:space="preserve">que, </w:t>
      </w:r>
      <w:r w:rsidRPr="002C254F">
        <w:rPr>
          <w:lang w:val="es-ES_tradnl" w:eastAsia="ko-KR"/>
        </w:rPr>
        <w:t>en ausencia de una carga, la TIP-VE no transmite</w:t>
      </w:r>
      <w:r w:rsidRPr="002C254F">
        <w:rPr>
          <w:lang w:val="es-ES_tradnl"/>
        </w:rPr>
        <w:t>;</w:t>
      </w:r>
    </w:p>
    <w:p w:rsidR="00AC5FB0" w:rsidRPr="002C254F" w:rsidRDefault="00AC5FB0" w:rsidP="00AC5FB0">
      <w:pPr>
        <w:rPr>
          <w:lang w:val="es-ES_tradnl" w:eastAsia="ko-KR"/>
        </w:rPr>
      </w:pPr>
      <w:r w:rsidRPr="002C254F">
        <w:rPr>
          <w:i/>
          <w:iCs/>
          <w:lang w:val="es-ES_tradnl" w:eastAsia="ko-KR"/>
        </w:rPr>
        <w:t>i)</w:t>
      </w:r>
      <w:r w:rsidRPr="002C254F">
        <w:rPr>
          <w:lang w:val="es-ES_tradnl" w:eastAsia="ko-KR"/>
        </w:rPr>
        <w:tab/>
        <w:t>que para la TIP-VE sin haces la potencia radiada es muy inferior a la potencia RF transferida, y que la mayor parte de potencia se transfiere al receptor por mecanismos tales como el acoplamiento capacitivo, resonante e inductivo;</w:t>
      </w:r>
    </w:p>
    <w:p w:rsidR="00AC5FB0" w:rsidRPr="002C254F" w:rsidRDefault="00AC5FB0" w:rsidP="00AC5FB0">
      <w:pPr>
        <w:rPr>
          <w:rFonts w:eastAsia="Calibri"/>
          <w:lang w:val="es-ES_tradnl"/>
        </w:rPr>
      </w:pPr>
      <w:r w:rsidRPr="002C254F">
        <w:rPr>
          <w:i/>
          <w:iCs/>
          <w:lang w:val="es-ES_tradnl" w:eastAsia="ko-KR"/>
        </w:rPr>
        <w:t>j)</w:t>
      </w:r>
      <w:r w:rsidRPr="002C254F">
        <w:rPr>
          <w:i/>
          <w:iCs/>
          <w:lang w:val="es-ES_tradnl" w:eastAsia="ko-KR"/>
        </w:rPr>
        <w:tab/>
      </w:r>
      <w:r w:rsidRPr="002C254F">
        <w:rPr>
          <w:rFonts w:eastAsia="Calibri"/>
          <w:lang w:val="es-ES_tradnl"/>
        </w:rPr>
        <w:t xml:space="preserve">que la Recomendación UIT-R SM.1056, </w:t>
      </w:r>
      <w:r w:rsidRPr="002C254F">
        <w:rPr>
          <w:lang w:val="es-ES_tradnl"/>
        </w:rPr>
        <w:t xml:space="preserve">relativa a la limitación de la radiación procedente de equipos ICM, recomienda que las administraciones consideren la utilización de la última edición de la publicación 11 del </w:t>
      </w:r>
      <w:r w:rsidRPr="002C254F">
        <w:rPr>
          <w:rFonts w:eastAsia="Calibri"/>
          <w:lang w:val="es-ES_tradnl"/>
        </w:rPr>
        <w:t>CISPR. Estos límites no necesariamente protegen los servicios de radiocomunicaciones,</w:t>
      </w:r>
    </w:p>
    <w:p w:rsidR="00AC5FB0" w:rsidRPr="002C254F" w:rsidRDefault="00AC5FB0" w:rsidP="00AC5FB0">
      <w:pPr>
        <w:pStyle w:val="Call"/>
        <w:rPr>
          <w:lang w:val="es-ES_tradnl"/>
        </w:rPr>
      </w:pPr>
      <w:r w:rsidRPr="002C254F">
        <w:rPr>
          <w:lang w:val="es-ES_tradnl"/>
        </w:rPr>
        <w:t>observando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a)</w:t>
      </w:r>
      <w:r w:rsidRPr="002C254F">
        <w:rPr>
          <w:lang w:val="es-ES_tradnl" w:eastAsia="zh-CN"/>
        </w:rPr>
        <w:tab/>
        <w:t>que el Comité Técnico 69 de la CEI publicó la Norma Internacional 61980-1 sobre los requisitos generales de los sistemas de transferencia inalámbrica de potencia de los vehículos eléctricos, está elaborando las especificaciones técnicas de la CEI y la norma 61980-2 sobre comunicación y cont</w:t>
      </w:r>
      <w:bookmarkStart w:id="24" w:name="_GoBack"/>
      <w:bookmarkEnd w:id="24"/>
      <w:r w:rsidRPr="002C254F">
        <w:rPr>
          <w:lang w:val="es-ES_tradnl" w:eastAsia="zh-CN"/>
        </w:rPr>
        <w:t>rol de los sistemas de transferencia inalámbrica de potencia de los vehículos eléctricos para 2019 y 2020, respectivamente, y las especificaciones técnicas y la norma 61980-3 sobre los requisitos específicos para los sistemas de transferencia inalámbrica de potencia por campo electromagnético de los sistemas de transferencia inalámbrica de potencia de los vehículos eléctricos para 2019 y 2020, respectivamente;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b)</w:t>
      </w:r>
      <w:r w:rsidRPr="002C254F">
        <w:rPr>
          <w:lang w:val="es-ES_tradnl" w:eastAsia="zh-CN"/>
        </w:rPr>
        <w:tab/>
        <w:t>que la Organización Internacional de Normalización (ISO/TC22/SC37) está elaborando la Norma Internacional ISO19363 sobre transferencia inalámbrica de potencia mediante campo magnético en vehículos de carretera de propulsión eléctrica para 2019;</w:t>
      </w:r>
    </w:p>
    <w:p w:rsidR="00AC5FB0" w:rsidRPr="002C254F" w:rsidRDefault="00AC5FB0" w:rsidP="00AC5FB0">
      <w:pPr>
        <w:rPr>
          <w:lang w:val="es-ES_tradnl" w:eastAsia="zh-CN"/>
        </w:rPr>
      </w:pPr>
      <w:r w:rsidRPr="002C254F">
        <w:rPr>
          <w:i/>
          <w:iCs/>
          <w:lang w:val="es-ES_tradnl" w:eastAsia="zh-CN"/>
        </w:rPr>
        <w:t>c)</w:t>
      </w:r>
      <w:r w:rsidRPr="002C254F">
        <w:rPr>
          <w:lang w:val="es-ES_tradnl" w:eastAsia="zh-CN"/>
        </w:rPr>
        <w:tab/>
        <w:t>que la Sociedad de Ingenieros Automotrices (SAE) Internacional J2954 publicó en 2017 y 2019 las prácticas recomendadas sobre la transferencia inalámbrica de potencia para vehículos eléctricos ligeros de transporte;</w:t>
      </w:r>
    </w:p>
    <w:p w:rsidR="00AC5FB0" w:rsidRPr="002C254F" w:rsidRDefault="00AC5FB0" w:rsidP="00AC5FB0">
      <w:pPr>
        <w:rPr>
          <w:lang w:val="es-ES_tradnl"/>
        </w:rPr>
      </w:pPr>
      <w:r w:rsidRPr="002C254F">
        <w:rPr>
          <w:i/>
          <w:iCs/>
          <w:lang w:val="es-ES_tradnl"/>
        </w:rPr>
        <w:t>d)</w:t>
      </w:r>
      <w:r w:rsidRPr="002C254F">
        <w:rPr>
          <w:lang w:val="es-ES_tradnl"/>
        </w:rPr>
        <w:tab/>
        <w:t>que diversas organizaciones internacionales estudian las cuestiones relativas a la exposición a radiación no ionizante, como la Organización Mundial de la Salud (OMS), Comisión Internacional de Protección contra la Radiación no Ionizante (ICNIRP) y el TC106 de la Comisión Electrotécnica Internacional (CEI), y que las directrices ICNIRP 2010 e ICNIRP 1998 proporcionan directrices para limitar la exposición hasta 10 MHz y hasta 300 GHz, respectivamente,</w:t>
      </w:r>
    </w:p>
    <w:p w:rsidR="00AC5FB0" w:rsidRPr="002C254F" w:rsidRDefault="00AC5FB0" w:rsidP="00AC5FB0">
      <w:pPr>
        <w:pStyle w:val="Call"/>
        <w:rPr>
          <w:lang w:val="es-ES_tradnl"/>
        </w:rPr>
      </w:pPr>
      <w:r w:rsidRPr="002C254F">
        <w:rPr>
          <w:lang w:val="es-ES_tradnl"/>
        </w:rPr>
        <w:t>recomienda</w:t>
      </w:r>
    </w:p>
    <w:p w:rsidR="00AC5FB0" w:rsidRPr="002C254F" w:rsidRDefault="00AC5FB0" w:rsidP="00AC5FB0">
      <w:pPr>
        <w:rPr>
          <w:lang w:val="es-ES_tradnl"/>
        </w:rPr>
      </w:pPr>
      <w:r w:rsidRPr="002C254F">
        <w:rPr>
          <w:b/>
          <w:bCs/>
          <w:lang w:val="es-ES_tradnl"/>
        </w:rPr>
        <w:t>1</w:t>
      </w:r>
      <w:r w:rsidRPr="002C254F">
        <w:rPr>
          <w:lang w:val="es-ES_tradnl"/>
        </w:rPr>
        <w:tab/>
        <w:t>que la utilización de las gamas de frecuencias, o parte de las mismas, indicadas en el Cuadro 1 debe considerarse a título orientativo para la explotación de sistemas TIP-VE sin haces;</w:t>
      </w:r>
    </w:p>
    <w:p w:rsidR="00AC5FB0" w:rsidRPr="002C254F" w:rsidRDefault="00AC5FB0" w:rsidP="00AC5FB0">
      <w:pPr>
        <w:rPr>
          <w:lang w:val="es-ES_tradnl"/>
        </w:rPr>
      </w:pPr>
      <w:r w:rsidRPr="002C254F">
        <w:rPr>
          <w:b/>
          <w:bCs/>
          <w:lang w:val="es-ES_tradnl"/>
        </w:rPr>
        <w:t>2</w:t>
      </w:r>
      <w:r w:rsidRPr="002C254F">
        <w:rPr>
          <w:lang w:val="es-ES_tradnl"/>
        </w:rPr>
        <w:tab/>
        <w:t>que la nota siguiente se considere parte integrante de la presente Recomendación.</w:t>
      </w:r>
    </w:p>
    <w:p w:rsidR="00AC5FB0" w:rsidRPr="002C254F" w:rsidRDefault="00AC5FB0" w:rsidP="00CA285F">
      <w:pPr>
        <w:rPr>
          <w:lang w:val="es-ES_tradnl"/>
        </w:rPr>
      </w:pPr>
      <w:r w:rsidRPr="002C254F">
        <w:rPr>
          <w:lang w:val="es-ES_tradnl"/>
        </w:rPr>
        <w:t>NOTA – En el Cuadro 1 figuran directrices sobre l</w:t>
      </w:r>
      <w:r>
        <w:rPr>
          <w:lang w:val="es-ES_tradnl"/>
        </w:rPr>
        <w:t>a</w:t>
      </w:r>
      <w:r w:rsidRPr="002C254F">
        <w:rPr>
          <w:lang w:val="es-ES_tradnl"/>
        </w:rPr>
        <w:t>s medidas necesarias que se han de tomar para garantizar que las aplicaciones y los equipos TIP-VE reducen la posible interferencia perjudicial a los servicios de radiocomunicaciones, en particular el servicio de frecuencias patrón y señales horarias (</w:t>
      </w:r>
      <w:r w:rsidRPr="002C254F">
        <w:rPr>
          <w:lang w:val="es-ES_tradnl" w:eastAsia="zh-CN"/>
        </w:rPr>
        <w:t>SFPSH) y el servicio de radioastronomía, de forma que se mantengan protegidos de la energía de radiofrecuencia proveniente de la TIP-VE en todas las bandas.</w:t>
      </w:r>
    </w:p>
    <w:p w:rsidR="00AC5FB0" w:rsidRPr="002C254F" w:rsidRDefault="00AC5FB0" w:rsidP="00AC5FB0">
      <w:pPr>
        <w:pStyle w:val="TableNo"/>
        <w:rPr>
          <w:lang w:val="es-ES_tradnl"/>
        </w:rPr>
      </w:pPr>
      <w:r w:rsidRPr="002C254F">
        <w:rPr>
          <w:lang w:val="es-ES_tradnl"/>
        </w:rPr>
        <w:lastRenderedPageBreak/>
        <w:t>CUADRO 1</w:t>
      </w:r>
    </w:p>
    <w:p w:rsidR="00AC5FB0" w:rsidRPr="002C254F" w:rsidRDefault="00AC5FB0" w:rsidP="00AC5FB0">
      <w:pPr>
        <w:pStyle w:val="Tabletitle"/>
        <w:rPr>
          <w:lang w:val="es-ES_tradnl"/>
        </w:rPr>
      </w:pPr>
      <w:r w:rsidRPr="002C254F">
        <w:rPr>
          <w:lang w:val="es-ES_tradnl"/>
        </w:rPr>
        <w:t>Gama de frecuencias para la explotación de sistemas TIP sin haces para vehículos eléctricos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569"/>
        <w:gridCol w:w="6070"/>
      </w:tblGrid>
      <w:tr w:rsidR="00AC5FB0" w:rsidRPr="00FE4746" w:rsidTr="0037504E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B0" w:rsidRPr="002C254F" w:rsidRDefault="00AC5FB0" w:rsidP="006361E7">
            <w:pPr>
              <w:pStyle w:val="Tablehead"/>
              <w:rPr>
                <w:lang w:val="es-ES_tradnl"/>
              </w:rPr>
            </w:pPr>
            <w:r w:rsidRPr="002C254F">
              <w:rPr>
                <w:lang w:val="es-ES_tradnl"/>
              </w:rPr>
              <w:t>Gama de frecuencias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B0" w:rsidRPr="002C254F" w:rsidRDefault="00AC5FB0" w:rsidP="006361E7">
            <w:pPr>
              <w:pStyle w:val="Tablehead"/>
              <w:rPr>
                <w:lang w:val="es-ES_tradnl"/>
              </w:rPr>
            </w:pPr>
            <w:r w:rsidRPr="002C254F">
              <w:rPr>
                <w:lang w:val="es-ES_tradnl"/>
              </w:rPr>
              <w:t>TIP-VE sin haces adecuada</w:t>
            </w:r>
          </w:p>
        </w:tc>
      </w:tr>
      <w:tr w:rsidR="00AC5FB0" w:rsidRPr="00FE4746" w:rsidTr="0037504E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B0" w:rsidRPr="002C254F" w:rsidRDefault="00AC5FB0" w:rsidP="006361E7">
            <w:pPr>
              <w:pStyle w:val="Tabletext"/>
              <w:keepNext/>
              <w:keepLines/>
              <w:jc w:val="center"/>
              <w:rPr>
                <w:lang w:val="es-ES_tradnl"/>
              </w:rPr>
            </w:pPr>
            <w:r w:rsidRPr="002C254F">
              <w:rPr>
                <w:lang w:val="es-ES_tradnl"/>
              </w:rPr>
              <w:t>19-21 kHz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B0" w:rsidRPr="002C254F" w:rsidRDefault="00AC5FB0" w:rsidP="00676DE9">
            <w:pPr>
              <w:pStyle w:val="Tabletext"/>
              <w:jc w:val="left"/>
              <w:rPr>
                <w:lang w:val="es-ES_tradnl"/>
              </w:rPr>
            </w:pPr>
            <w:r w:rsidRPr="002C254F">
              <w:rPr>
                <w:lang w:val="es-ES_tradnl"/>
              </w:rPr>
              <w:t>Tecnología de inducción magnética o de resonancia magnética</w:t>
            </w:r>
          </w:p>
        </w:tc>
      </w:tr>
      <w:tr w:rsidR="00AC5FB0" w:rsidRPr="00FE4746" w:rsidTr="0037504E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0" w:rsidRPr="002C254F" w:rsidRDefault="00AC5FB0" w:rsidP="006361E7">
            <w:pPr>
              <w:pStyle w:val="Tabletext"/>
              <w:keepNext/>
              <w:keepLines/>
              <w:jc w:val="center"/>
              <w:rPr>
                <w:lang w:val="es-ES_tradnl"/>
              </w:rPr>
            </w:pPr>
            <w:r w:rsidRPr="002C254F">
              <w:rPr>
                <w:lang w:val="es-ES_tradnl"/>
              </w:rPr>
              <w:t>55-57 kHz</w:t>
            </w:r>
            <w:r w:rsidRPr="002C254F">
              <w:rPr>
                <w:vertAlign w:val="superscript"/>
                <w:lang w:val="es-ES_tradnl"/>
              </w:rPr>
              <w:t>(1)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0" w:rsidRPr="002C254F" w:rsidRDefault="00AC5FB0" w:rsidP="00676DE9">
            <w:pPr>
              <w:pStyle w:val="Tabletext"/>
              <w:jc w:val="left"/>
              <w:rPr>
                <w:lang w:val="es-ES_tradnl"/>
              </w:rPr>
            </w:pPr>
            <w:r w:rsidRPr="002C254F">
              <w:rPr>
                <w:lang w:val="es-ES_tradnl"/>
              </w:rPr>
              <w:t>Tecnología de inducción magnética o de resonancia magnética</w:t>
            </w:r>
          </w:p>
        </w:tc>
      </w:tr>
      <w:tr w:rsidR="00AC5FB0" w:rsidRPr="00FE4746" w:rsidTr="0037504E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0" w:rsidRPr="002C254F" w:rsidRDefault="00AC5FB0" w:rsidP="006361E7">
            <w:pPr>
              <w:pStyle w:val="Tabletext"/>
              <w:keepNext/>
              <w:keepLines/>
              <w:jc w:val="center"/>
              <w:rPr>
                <w:lang w:val="es-ES_tradnl"/>
              </w:rPr>
            </w:pPr>
            <w:r w:rsidRPr="002C254F">
              <w:rPr>
                <w:lang w:val="es-ES_tradnl"/>
              </w:rPr>
              <w:t>63-65 kHz</w:t>
            </w:r>
            <w:r w:rsidRPr="002C254F">
              <w:rPr>
                <w:vertAlign w:val="superscript"/>
                <w:lang w:val="es-ES_tradnl"/>
              </w:rPr>
              <w:t>(1)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0" w:rsidRPr="002C254F" w:rsidRDefault="00AC5FB0" w:rsidP="00676DE9">
            <w:pPr>
              <w:pStyle w:val="Tabletext"/>
              <w:jc w:val="left"/>
              <w:rPr>
                <w:lang w:val="es-ES_tradnl"/>
              </w:rPr>
            </w:pPr>
            <w:r w:rsidRPr="002C254F">
              <w:rPr>
                <w:lang w:val="es-ES_tradnl"/>
              </w:rPr>
              <w:t>Tecnología de inducción magnética o de resonancia magnética</w:t>
            </w:r>
          </w:p>
        </w:tc>
      </w:tr>
      <w:tr w:rsidR="00AC5FB0" w:rsidRPr="002C254F" w:rsidTr="0037504E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0" w:rsidRPr="002C254F" w:rsidRDefault="00AC5FB0" w:rsidP="006361E7">
            <w:pPr>
              <w:pStyle w:val="Tabletext"/>
              <w:keepNext/>
              <w:keepLines/>
              <w:jc w:val="center"/>
              <w:rPr>
                <w:lang w:val="es-ES_tradnl"/>
              </w:rPr>
            </w:pPr>
            <w:r w:rsidRPr="002C254F">
              <w:rPr>
                <w:lang w:val="es-ES_tradnl"/>
              </w:rPr>
              <w:t>79-90 kHz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0" w:rsidRPr="002C254F" w:rsidRDefault="00AC5FB0" w:rsidP="00676DE9">
            <w:pPr>
              <w:pStyle w:val="Tabletext"/>
              <w:jc w:val="left"/>
              <w:rPr>
                <w:lang w:val="es-ES_tradnl"/>
              </w:rPr>
            </w:pPr>
            <w:r w:rsidRPr="002C254F">
              <w:rPr>
                <w:lang w:val="es-ES_tradnl"/>
              </w:rPr>
              <w:t>Tecnología de resonancia magnética</w:t>
            </w:r>
          </w:p>
        </w:tc>
      </w:tr>
      <w:tr w:rsidR="00AC5FB0" w:rsidRPr="00FE4746" w:rsidTr="0037504E">
        <w:trPr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5FB0" w:rsidRPr="002C254F" w:rsidRDefault="00AC5FB0" w:rsidP="006361E7">
            <w:pPr>
              <w:pStyle w:val="Tablelegend"/>
              <w:rPr>
                <w:lang w:val="es-ES_tradnl"/>
              </w:rPr>
            </w:pPr>
            <w:r w:rsidRPr="002C254F">
              <w:rPr>
                <w:vertAlign w:val="superscript"/>
                <w:lang w:val="es-ES_tradnl"/>
              </w:rPr>
              <w:t>(1)</w:t>
            </w:r>
            <w:r w:rsidRPr="002C254F">
              <w:rPr>
                <w:lang w:val="es-ES_tradnl"/>
              </w:rPr>
              <w:tab/>
              <w:t xml:space="preserve">No utilizar para la frecuencia fundamental de la TIP-VE. </w:t>
            </w:r>
            <w:r w:rsidRPr="002C254F">
              <w:rPr>
                <w:lang w:val="es-ES_tradnl" w:eastAsia="zh-CN"/>
              </w:rPr>
              <w:t>Suponiendo una distancia de separación mínima de 50 m entre la TIP-VE y los receptores del SFPSH, el tercer armónico tiene que caer dentro de la gama de frecuencias 64-65 kHz y 55</w:t>
            </w:r>
            <w:r w:rsidRPr="002C254F">
              <w:rPr>
                <w:lang w:val="es-ES_tradnl" w:eastAsia="zh-CN"/>
              </w:rPr>
              <w:noBreakHyphen/>
              <w:t xml:space="preserve">56 kHz y la emisión de la TIP estará limitada a 35 </w:t>
            </w:r>
            <w:proofErr w:type="spellStart"/>
            <w:r w:rsidRPr="002C254F">
              <w:rPr>
                <w:lang w:val="es-ES_tradnl" w:eastAsia="zh-CN"/>
              </w:rPr>
              <w:t>dBµA</w:t>
            </w:r>
            <w:proofErr w:type="spellEnd"/>
            <w:r w:rsidRPr="002C254F">
              <w:rPr>
                <w:lang w:val="es-ES_tradnl" w:eastAsia="zh-CN"/>
              </w:rPr>
              <w:t>/m a 10 m. Cuando se pueda garantizar una distancia de separación superior a 100 m entre la TIP-EV y el receptor del SFPSH, el tercer armónico puede caer dentro de la gama 63-65 kHz y 55</w:t>
            </w:r>
            <w:r w:rsidRPr="002C254F">
              <w:rPr>
                <w:lang w:val="es-ES_tradnl" w:eastAsia="zh-CN"/>
              </w:rPr>
              <w:noBreakHyphen/>
              <w:t xml:space="preserve">57 kHz y la emisión TIP estará limitada a 44 </w:t>
            </w:r>
            <w:proofErr w:type="spellStart"/>
            <w:r w:rsidRPr="002C254F">
              <w:rPr>
                <w:lang w:val="es-ES_tradnl" w:eastAsia="zh-CN"/>
              </w:rPr>
              <w:t>dBµA</w:t>
            </w:r>
            <w:proofErr w:type="spellEnd"/>
            <w:r w:rsidRPr="002C254F">
              <w:rPr>
                <w:lang w:val="es-ES_tradnl" w:eastAsia="zh-CN"/>
              </w:rPr>
              <w:t>/m a 10 m.</w:t>
            </w:r>
          </w:p>
        </w:tc>
      </w:tr>
    </w:tbl>
    <w:p w:rsidR="00AC5FB0" w:rsidRPr="002C254F" w:rsidRDefault="00AC5FB0" w:rsidP="00AC5FB0">
      <w:pPr>
        <w:pStyle w:val="Reasons"/>
        <w:rPr>
          <w:lang w:val="es-ES_tradnl"/>
        </w:rPr>
      </w:pPr>
    </w:p>
    <w:p w:rsidR="00AC5FB0" w:rsidRPr="002C254F" w:rsidRDefault="00AC5FB0" w:rsidP="00AC5FB0">
      <w:pPr>
        <w:jc w:val="center"/>
        <w:rPr>
          <w:lang w:val="es-ES_tradnl"/>
        </w:rPr>
      </w:pPr>
      <w:r w:rsidRPr="002C254F">
        <w:rPr>
          <w:lang w:val="es-ES_tradnl"/>
        </w:rPr>
        <w:t>______________</w:t>
      </w:r>
    </w:p>
    <w:p w:rsidR="00B1717A" w:rsidRPr="00DE5A70" w:rsidRDefault="00B1717A" w:rsidP="000718CA">
      <w:pPr>
        <w:pStyle w:val="RecNo"/>
        <w:spacing w:before="0"/>
        <w:rPr>
          <w:lang w:val="es-ES_tradnl"/>
        </w:rPr>
      </w:pPr>
    </w:p>
    <w:sectPr w:rsidR="00B1717A" w:rsidRPr="00DE5A70" w:rsidSect="003F6ECC">
      <w:headerReference w:type="even" r:id="rId13"/>
      <w:headerReference w:type="default" r:id="rId14"/>
      <w:footerReference w:type="even" r:id="rId15"/>
      <w:foot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636" w:rsidRDefault="00953636">
      <w:r>
        <w:separator/>
      </w:r>
    </w:p>
  </w:endnote>
  <w:endnote w:type="continuationSeparator" w:id="0">
    <w:p w:rsidR="00953636" w:rsidRDefault="0095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692" w:rsidRDefault="007C0692" w:rsidP="007C06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692" w:rsidRDefault="007C06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636" w:rsidRDefault="00953636">
      <w:r>
        <w:separator/>
      </w:r>
    </w:p>
  </w:footnote>
  <w:footnote w:type="continuationSeparator" w:id="0">
    <w:p w:rsidR="00953636" w:rsidRDefault="00953636">
      <w:r>
        <w:continuationSeparator/>
      </w:r>
    </w:p>
  </w:footnote>
  <w:footnote w:id="1">
    <w:p w:rsidR="00AC5FB0" w:rsidRPr="000F1D3F" w:rsidRDefault="00AC5FB0" w:rsidP="00AC5FB0">
      <w:pPr>
        <w:pStyle w:val="FootnoteText"/>
        <w:rPr>
          <w:lang w:val="es-ES_tradnl"/>
        </w:rPr>
      </w:pPr>
      <w:r w:rsidRPr="000F1D3F">
        <w:rPr>
          <w:rStyle w:val="FootnoteReference"/>
          <w:lang w:val="es-ES_tradnl"/>
        </w:rPr>
        <w:t>*</w:t>
      </w:r>
      <w:r w:rsidRPr="000F1D3F">
        <w:rPr>
          <w:lang w:val="es-ES_tradnl"/>
        </w:rPr>
        <w:tab/>
        <w:t xml:space="preserve">La armonización mundial de las frecuencias de </w:t>
      </w:r>
      <w:r>
        <w:rPr>
          <w:lang w:val="es-ES_tradnl"/>
        </w:rPr>
        <w:t xml:space="preserve">TIP </w:t>
      </w:r>
      <w:r w:rsidRPr="000F1D3F">
        <w:rPr>
          <w:lang w:val="es-ES_tradnl"/>
        </w:rPr>
        <w:t xml:space="preserve">para vehículos eléctricos se abordará en el punto 9.1 del orden del día, tema 9.1.6 (es decir, el tema 1 del </w:t>
      </w:r>
      <w:r>
        <w:rPr>
          <w:lang w:val="es-ES_tradnl"/>
        </w:rPr>
        <w:t xml:space="preserve">Anexo a la Resolución </w:t>
      </w:r>
      <w:r>
        <w:rPr>
          <w:b/>
          <w:bCs/>
          <w:lang w:val="es-ES_tradnl"/>
        </w:rPr>
        <w:t>958 (</w:t>
      </w:r>
      <w:r w:rsidRPr="001B721E">
        <w:rPr>
          <w:b/>
          <w:bCs/>
          <w:lang w:val="es-ES_tradnl"/>
        </w:rPr>
        <w:t>CMR-15)</w:t>
      </w:r>
      <w:r>
        <w:rPr>
          <w:lang w:val="es-ES_tradnl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 w:rsidP="00D6288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B59" w:rsidRDefault="007F3B59" w:rsidP="007F3B59">
    <w:pPr>
      <w:pStyle w:val="Header"/>
      <w:jc w:val="both"/>
    </w:pP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BE6CC0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6CC0">
      <w:rPr>
        <w:b/>
        <w:bCs/>
        <w:noProof/>
      </w:rPr>
      <w:t>UIT-R  SM.2110-1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6CC0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6CC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9D6B3D">
      <w:rPr>
        <w:b/>
        <w:bCs/>
        <w:lang w:val="fr-CH"/>
      </w:rPr>
      <w:fldChar w:fldCharType="begin"/>
    </w:r>
    <w:r w:rsidR="009D6B3D">
      <w:rPr>
        <w:b/>
        <w:bCs/>
        <w:lang w:val="fr-CH"/>
      </w:rPr>
      <w:instrText xml:space="preserve"> DOCPROPERTY "Header" \* MERGEFORMAT </w:instrText>
    </w:r>
    <w:r w:rsidR="009D6B3D">
      <w:rPr>
        <w:b/>
        <w:bCs/>
        <w:lang w:val="fr-CH"/>
      </w:rPr>
      <w:fldChar w:fldCharType="separate"/>
    </w:r>
    <w:r w:rsidR="00BE6CC0">
      <w:rPr>
        <w:b/>
        <w:bCs/>
        <w:lang w:val="fr-CH"/>
      </w:rPr>
      <w:t xml:space="preserve">Rec. </w:t>
    </w:r>
    <w:r w:rsidR="009D6B3D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6CC0">
      <w:rPr>
        <w:b/>
        <w:bCs/>
        <w:noProof/>
      </w:rPr>
      <w:t>UIT-R  SM.2110-1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B59" w:rsidRDefault="007F3B59" w:rsidP="007F3B59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F6EC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BE6CC0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6CC0">
      <w:rPr>
        <w:b/>
        <w:bCs/>
        <w:noProof/>
      </w:rPr>
      <w:t>UIT-R  SM.2110-1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E6CC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D6B3D">
      <w:rPr>
        <w:b/>
        <w:bCs/>
        <w:lang w:val="en-US"/>
      </w:rPr>
      <w:fldChar w:fldCharType="begin"/>
    </w:r>
    <w:r w:rsidR="009D6B3D">
      <w:rPr>
        <w:b/>
        <w:bCs/>
        <w:lang w:val="en-US"/>
      </w:rPr>
      <w:instrText xml:space="preserve"> DOCPROPERTY "Header" \* MERGEFORMAT </w:instrText>
    </w:r>
    <w:r w:rsidR="009D6B3D">
      <w:rPr>
        <w:b/>
        <w:bCs/>
        <w:lang w:val="en-US"/>
      </w:rPr>
      <w:fldChar w:fldCharType="separate"/>
    </w:r>
    <w:r w:rsidR="00BE6CC0">
      <w:rPr>
        <w:b/>
        <w:bCs/>
        <w:lang w:val="en-US"/>
      </w:rPr>
      <w:t xml:space="preserve">Rec. </w:t>
    </w:r>
    <w:r w:rsidR="009D6B3D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E6CC0">
      <w:rPr>
        <w:b/>
        <w:bCs/>
        <w:noProof/>
        <w:lang w:val="en-US"/>
      </w:rPr>
      <w:t>UIT-R  SM.2110-1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</w:pP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BE6CC0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6CC0">
      <w:rPr>
        <w:b/>
        <w:bCs/>
        <w:noProof/>
      </w:rPr>
      <w:t>UIT-R  SM.2110-1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6CC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7A"/>
    <w:rsid w:val="00017762"/>
    <w:rsid w:val="00025336"/>
    <w:rsid w:val="000718CA"/>
    <w:rsid w:val="00092507"/>
    <w:rsid w:val="000B716D"/>
    <w:rsid w:val="000B758D"/>
    <w:rsid w:val="000D5870"/>
    <w:rsid w:val="001C556B"/>
    <w:rsid w:val="00236E9D"/>
    <w:rsid w:val="00266EDC"/>
    <w:rsid w:val="002D1080"/>
    <w:rsid w:val="002D76C4"/>
    <w:rsid w:val="00363835"/>
    <w:rsid w:val="00366CEE"/>
    <w:rsid w:val="0037504E"/>
    <w:rsid w:val="003A1524"/>
    <w:rsid w:val="003F6ECC"/>
    <w:rsid w:val="004253CE"/>
    <w:rsid w:val="004532F7"/>
    <w:rsid w:val="00454FAB"/>
    <w:rsid w:val="00461F16"/>
    <w:rsid w:val="00495CB6"/>
    <w:rsid w:val="005A6102"/>
    <w:rsid w:val="005C05F7"/>
    <w:rsid w:val="00607D68"/>
    <w:rsid w:val="00676DE9"/>
    <w:rsid w:val="006B22C3"/>
    <w:rsid w:val="00727BD8"/>
    <w:rsid w:val="00746AC6"/>
    <w:rsid w:val="007A6E14"/>
    <w:rsid w:val="007C0692"/>
    <w:rsid w:val="007E00FF"/>
    <w:rsid w:val="007F3B59"/>
    <w:rsid w:val="00847DD5"/>
    <w:rsid w:val="00880680"/>
    <w:rsid w:val="00885BF9"/>
    <w:rsid w:val="009000D8"/>
    <w:rsid w:val="00953636"/>
    <w:rsid w:val="0096605B"/>
    <w:rsid w:val="00966DAB"/>
    <w:rsid w:val="00975AEB"/>
    <w:rsid w:val="00980CBF"/>
    <w:rsid w:val="009D6B3D"/>
    <w:rsid w:val="00A6617B"/>
    <w:rsid w:val="00AB0DC8"/>
    <w:rsid w:val="00AC5FB0"/>
    <w:rsid w:val="00B1717A"/>
    <w:rsid w:val="00B44E24"/>
    <w:rsid w:val="00B87252"/>
    <w:rsid w:val="00B97679"/>
    <w:rsid w:val="00BB77E9"/>
    <w:rsid w:val="00BD2749"/>
    <w:rsid w:val="00BE6CC0"/>
    <w:rsid w:val="00BF7841"/>
    <w:rsid w:val="00BF7EBD"/>
    <w:rsid w:val="00C132A5"/>
    <w:rsid w:val="00C466B3"/>
    <w:rsid w:val="00C67A5B"/>
    <w:rsid w:val="00C92346"/>
    <w:rsid w:val="00CA285F"/>
    <w:rsid w:val="00D12388"/>
    <w:rsid w:val="00D21B72"/>
    <w:rsid w:val="00D62884"/>
    <w:rsid w:val="00DB6032"/>
    <w:rsid w:val="00DC08D1"/>
    <w:rsid w:val="00DE5A70"/>
    <w:rsid w:val="00DE71F7"/>
    <w:rsid w:val="00DF4176"/>
    <w:rsid w:val="00E55A9E"/>
    <w:rsid w:val="00E81F24"/>
    <w:rsid w:val="00F95576"/>
    <w:rsid w:val="00FB56BF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0DDCA3"/>
  <w15:docId w15:val="{64D77312-7C2D-417D-BAF4-D6AC8C60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A9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55A9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55A9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55A9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55A9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55A9E"/>
    <w:pPr>
      <w:outlineLvl w:val="4"/>
    </w:pPr>
  </w:style>
  <w:style w:type="paragraph" w:styleId="Heading6">
    <w:name w:val="heading 6"/>
    <w:basedOn w:val="Heading4"/>
    <w:next w:val="Normal"/>
    <w:qFormat/>
    <w:rsid w:val="00E55A9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55A9E"/>
    <w:pPr>
      <w:outlineLvl w:val="6"/>
    </w:pPr>
  </w:style>
  <w:style w:type="paragraph" w:styleId="Heading8">
    <w:name w:val="heading 8"/>
    <w:basedOn w:val="Heading6"/>
    <w:next w:val="Normal"/>
    <w:qFormat/>
    <w:rsid w:val="00E55A9E"/>
    <w:pPr>
      <w:outlineLvl w:val="7"/>
    </w:pPr>
  </w:style>
  <w:style w:type="paragraph" w:styleId="Heading9">
    <w:name w:val="heading 9"/>
    <w:basedOn w:val="Heading6"/>
    <w:next w:val="Normal"/>
    <w:qFormat/>
    <w:rsid w:val="00E55A9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E55A9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55A9E"/>
  </w:style>
  <w:style w:type="paragraph" w:styleId="Header">
    <w:name w:val="header"/>
    <w:basedOn w:val="Normal"/>
    <w:link w:val="HeaderChar"/>
    <w:rsid w:val="00E55A9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55A9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55A9E"/>
  </w:style>
  <w:style w:type="paragraph" w:customStyle="1" w:styleId="Headingb">
    <w:name w:val="Heading_b"/>
    <w:basedOn w:val="Heading3"/>
    <w:next w:val="Normal"/>
    <w:link w:val="HeadingbChar"/>
    <w:rsid w:val="00E55A9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55A9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55A9E"/>
  </w:style>
  <w:style w:type="paragraph" w:customStyle="1" w:styleId="enumlev1">
    <w:name w:val="enumlev1"/>
    <w:basedOn w:val="Normal"/>
    <w:rsid w:val="00E55A9E"/>
    <w:pPr>
      <w:spacing w:before="80"/>
      <w:ind w:left="794" w:hanging="794"/>
    </w:pPr>
  </w:style>
  <w:style w:type="paragraph" w:customStyle="1" w:styleId="enumlev2">
    <w:name w:val="enumlev2"/>
    <w:basedOn w:val="enumlev1"/>
    <w:rsid w:val="00E55A9E"/>
    <w:pPr>
      <w:ind w:left="1191" w:hanging="397"/>
    </w:pPr>
  </w:style>
  <w:style w:type="paragraph" w:customStyle="1" w:styleId="enumlev3">
    <w:name w:val="enumlev3"/>
    <w:basedOn w:val="enumlev2"/>
    <w:rsid w:val="00E55A9E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E55A9E"/>
    <w:pPr>
      <w:spacing w:before="320"/>
    </w:pPr>
  </w:style>
  <w:style w:type="paragraph" w:customStyle="1" w:styleId="Note">
    <w:name w:val="Note"/>
    <w:basedOn w:val="Normal"/>
    <w:rsid w:val="00E55A9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E55A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E55A9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E55A9E"/>
    <w:pPr>
      <w:jc w:val="center"/>
    </w:pPr>
  </w:style>
  <w:style w:type="paragraph" w:customStyle="1" w:styleId="Recdate">
    <w:name w:val="Rec_date"/>
    <w:basedOn w:val="Recref"/>
    <w:next w:val="Normalaftertitle"/>
    <w:rsid w:val="00E55A9E"/>
    <w:pPr>
      <w:jc w:val="right"/>
    </w:pPr>
  </w:style>
  <w:style w:type="paragraph" w:customStyle="1" w:styleId="AnnexNoTitle">
    <w:name w:val="Annex_NoTitle"/>
    <w:basedOn w:val="Normal"/>
    <w:next w:val="Normalaftertitle"/>
    <w:rsid w:val="00E55A9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E55A9E"/>
  </w:style>
  <w:style w:type="paragraph" w:customStyle="1" w:styleId="Tablefin">
    <w:name w:val="Table_fin"/>
    <w:basedOn w:val="Normal"/>
    <w:next w:val="Normal"/>
    <w:rsid w:val="00E55A9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E55A9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E55A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E55A9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E55A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E55A9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55A9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55A9E"/>
    <w:pPr>
      <w:ind w:left="794"/>
    </w:pPr>
  </w:style>
  <w:style w:type="paragraph" w:customStyle="1" w:styleId="Figurelegend">
    <w:name w:val="Figure_legend"/>
    <w:basedOn w:val="Normal"/>
    <w:rsid w:val="00E55A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55A9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55A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55A9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55A9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55A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55A9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55A9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55A9E"/>
    <w:rPr>
      <w:b/>
    </w:rPr>
  </w:style>
  <w:style w:type="paragraph" w:customStyle="1" w:styleId="Chaptitle">
    <w:name w:val="Chap_title"/>
    <w:basedOn w:val="Arttitle"/>
    <w:next w:val="Normalaftertitle"/>
    <w:rsid w:val="00E55A9E"/>
  </w:style>
  <w:style w:type="character" w:styleId="FootnoteReference">
    <w:name w:val="footnote reference"/>
    <w:basedOn w:val="DefaultParagraphFont"/>
    <w:rsid w:val="00E55A9E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E55A9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E55A9E"/>
  </w:style>
  <w:style w:type="paragraph" w:styleId="Index2">
    <w:name w:val="index 2"/>
    <w:basedOn w:val="Normal"/>
    <w:next w:val="Normal"/>
    <w:semiHidden/>
    <w:rsid w:val="00E55A9E"/>
    <w:pPr>
      <w:ind w:left="283"/>
    </w:pPr>
  </w:style>
  <w:style w:type="paragraph" w:styleId="Index3">
    <w:name w:val="index 3"/>
    <w:basedOn w:val="Normal"/>
    <w:next w:val="Normal"/>
    <w:semiHidden/>
    <w:rsid w:val="00E55A9E"/>
    <w:pPr>
      <w:ind w:left="566"/>
    </w:pPr>
  </w:style>
  <w:style w:type="paragraph" w:styleId="IndexHeading">
    <w:name w:val="index heading"/>
    <w:basedOn w:val="Normal"/>
    <w:next w:val="Index1"/>
    <w:semiHidden/>
    <w:rsid w:val="00E55A9E"/>
  </w:style>
  <w:style w:type="paragraph" w:customStyle="1" w:styleId="Line">
    <w:name w:val="Line"/>
    <w:basedOn w:val="Normal"/>
    <w:next w:val="Normal"/>
    <w:rsid w:val="00E55A9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55A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55A9E"/>
  </w:style>
  <w:style w:type="paragraph" w:customStyle="1" w:styleId="Partref">
    <w:name w:val="Part_ref"/>
    <w:basedOn w:val="Normal"/>
    <w:next w:val="Normal"/>
    <w:rsid w:val="00E55A9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55A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55A9E"/>
  </w:style>
  <w:style w:type="paragraph" w:customStyle="1" w:styleId="QuestionNo">
    <w:name w:val="Question_No"/>
    <w:basedOn w:val="RecNo"/>
    <w:next w:val="Normal"/>
    <w:rsid w:val="00E55A9E"/>
  </w:style>
  <w:style w:type="paragraph" w:customStyle="1" w:styleId="Questionref">
    <w:name w:val="Question_ref"/>
    <w:basedOn w:val="Recref"/>
    <w:next w:val="Questiondate"/>
    <w:rsid w:val="00E55A9E"/>
  </w:style>
  <w:style w:type="paragraph" w:customStyle="1" w:styleId="Questiontitle">
    <w:name w:val="Question_title"/>
    <w:basedOn w:val="Normal"/>
    <w:next w:val="Questionref"/>
    <w:rsid w:val="00E55A9E"/>
  </w:style>
  <w:style w:type="paragraph" w:customStyle="1" w:styleId="Reftext">
    <w:name w:val="Ref_text"/>
    <w:basedOn w:val="Normal"/>
    <w:rsid w:val="00E55A9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E55A9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55A9E"/>
  </w:style>
  <w:style w:type="paragraph" w:customStyle="1" w:styleId="RepNo">
    <w:name w:val="Rep_No"/>
    <w:basedOn w:val="RecNo"/>
    <w:next w:val="Reptitle"/>
    <w:rsid w:val="00E55A9E"/>
  </w:style>
  <w:style w:type="paragraph" w:customStyle="1" w:styleId="Repref">
    <w:name w:val="Rep_ref"/>
    <w:basedOn w:val="Recref"/>
    <w:next w:val="Repdate"/>
    <w:rsid w:val="00E55A9E"/>
  </w:style>
  <w:style w:type="paragraph" w:customStyle="1" w:styleId="Reptitle">
    <w:name w:val="Rep_title"/>
    <w:basedOn w:val="Rectitle"/>
    <w:next w:val="Repref"/>
    <w:rsid w:val="00E55A9E"/>
  </w:style>
  <w:style w:type="paragraph" w:customStyle="1" w:styleId="Resdate">
    <w:name w:val="Res_date"/>
    <w:basedOn w:val="Recdate"/>
    <w:next w:val="Normalaftertitle"/>
    <w:rsid w:val="00E55A9E"/>
  </w:style>
  <w:style w:type="paragraph" w:customStyle="1" w:styleId="ResNo">
    <w:name w:val="Res_No"/>
    <w:basedOn w:val="RecNo"/>
    <w:next w:val="Restitle"/>
    <w:rsid w:val="00E55A9E"/>
  </w:style>
  <w:style w:type="paragraph" w:customStyle="1" w:styleId="Resref">
    <w:name w:val="Res_ref"/>
    <w:basedOn w:val="Recref"/>
    <w:next w:val="Resdate"/>
    <w:rsid w:val="00E55A9E"/>
  </w:style>
  <w:style w:type="paragraph" w:customStyle="1" w:styleId="Restitle">
    <w:name w:val="Res_title"/>
    <w:basedOn w:val="Normal"/>
    <w:next w:val="Resref"/>
    <w:rsid w:val="00E55A9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E55A9E"/>
  </w:style>
  <w:style w:type="paragraph" w:customStyle="1" w:styleId="Sectiontitle">
    <w:name w:val="Section_title"/>
    <w:basedOn w:val="Normal"/>
    <w:next w:val="Normalaftertitle"/>
    <w:rsid w:val="00E55A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55A9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55A9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55A9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55A9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55A9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55A9E"/>
  </w:style>
  <w:style w:type="paragraph" w:styleId="TOC6">
    <w:name w:val="toc 6"/>
    <w:basedOn w:val="TOC4"/>
    <w:semiHidden/>
    <w:rsid w:val="00E55A9E"/>
  </w:style>
  <w:style w:type="paragraph" w:styleId="TOC7">
    <w:name w:val="toc 7"/>
    <w:basedOn w:val="TOC4"/>
    <w:semiHidden/>
    <w:rsid w:val="00E55A9E"/>
  </w:style>
  <w:style w:type="paragraph" w:styleId="TOC8">
    <w:name w:val="toc 8"/>
    <w:basedOn w:val="TOC4"/>
    <w:semiHidden/>
    <w:rsid w:val="00E55A9E"/>
  </w:style>
  <w:style w:type="paragraph" w:customStyle="1" w:styleId="Rectitle">
    <w:name w:val="Rec_title"/>
    <w:basedOn w:val="Normal"/>
    <w:next w:val="Recref"/>
    <w:link w:val="RectitleChar"/>
    <w:rsid w:val="00E55A9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E55A9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55A9E"/>
  </w:style>
  <w:style w:type="paragraph" w:customStyle="1" w:styleId="Figuretitle">
    <w:name w:val="Figure_title"/>
    <w:basedOn w:val="Normal"/>
    <w:next w:val="Figure"/>
    <w:rsid w:val="00E55A9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E55A9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E55A9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E55A9E"/>
    <w:pPr>
      <w:keepNext w:val="0"/>
      <w:spacing w:before="0" w:after="240"/>
    </w:pPr>
  </w:style>
  <w:style w:type="table" w:styleId="TableGrid">
    <w:name w:val="Table Grid"/>
    <w:basedOn w:val="TableNormal"/>
    <w:uiPriority w:val="59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E55A9E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0718C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F3B59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AC5FB0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AC5FB0"/>
    <w:rPr>
      <w:sz w:val="24"/>
      <w:lang w:val="fr-FR" w:eastAsia="en-US"/>
    </w:rPr>
  </w:style>
  <w:style w:type="character" w:customStyle="1" w:styleId="CallChar">
    <w:name w:val="Call Char"/>
    <w:link w:val="Call"/>
    <w:locked/>
    <w:rsid w:val="00AC5FB0"/>
    <w:rPr>
      <w:i/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AC5FB0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AC5FB0"/>
    <w:rPr>
      <w:b/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AC5FB0"/>
    <w:rPr>
      <w:b/>
      <w:sz w:val="2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AC5FB0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AC5FB0"/>
    <w:rPr>
      <w:sz w:val="24"/>
      <w:lang w:val="fr-FR" w:eastAsia="en-US"/>
    </w:rPr>
  </w:style>
  <w:style w:type="character" w:customStyle="1" w:styleId="TableheadChar">
    <w:name w:val="Table_head Char"/>
    <w:link w:val="Tablehead"/>
    <w:locked/>
    <w:rsid w:val="00AC5FB0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AC5FB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6</Pages>
  <Words>1674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SM.XXXX - </vt:lpstr>
    </vt:vector>
  </TitlesOfParts>
  <Manager/>
  <Company>ITU</Company>
  <LinksUpToDate>false</LinksUpToDate>
  <CharactersWithSpaces>11815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SM.XXXX -</dc:title>
  <dc:subject>Serie SM = Gestión del espectro</dc:subject>
  <dc:creator>Oficina de Radiocomunicaciones del UIT (BR)</dc:creator>
  <cp:keywords>SM,XXXX</cp:keywords>
  <dc:description>Santosbo, 26.07.2011, MSB106309</dc:description>
  <cp:lastModifiedBy>Catalano Moreira, Rossana</cp:lastModifiedBy>
  <cp:revision>13</cp:revision>
  <cp:lastPrinted>2019-11-20T10:58:00Z</cp:lastPrinted>
  <dcterms:created xsi:type="dcterms:W3CDTF">2019-11-20T10:41:00Z</dcterms:created>
  <dcterms:modified xsi:type="dcterms:W3CDTF">2019-11-20T11:04:00Z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30 May 2011</vt:lpwstr>
  </property>
</Properties>
</file>