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B74FC2"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B5265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r w:rsidRPr="0010336F">
              <w:rPr>
                <w:rFonts w:ascii="Tahoma" w:hAnsi="Tahoma" w:cs="Tahoma"/>
                <w:b/>
                <w:bCs/>
                <w:iCs/>
                <w:color w:val="243285"/>
                <w:sz w:val="36"/>
                <w:szCs w:val="36"/>
                <w:lang w:val="es-ES_tradnl"/>
              </w:rPr>
              <w:t>.</w:t>
            </w:r>
            <w:r w:rsidR="00B52654">
              <w:rPr>
                <w:rFonts w:ascii="Tahoma" w:hAnsi="Tahoma" w:cs="Tahoma"/>
                <w:b/>
                <w:bCs/>
                <w:iCs/>
                <w:color w:val="243285"/>
                <w:sz w:val="36"/>
                <w:szCs w:val="36"/>
                <w:lang w:val="es-ES_tradnl"/>
              </w:rPr>
              <w:t>2103-0</w:t>
            </w:r>
          </w:p>
          <w:p w:rsidR="00B1717A" w:rsidRPr="0010336F" w:rsidRDefault="00B1717A" w:rsidP="00B5265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52654">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B52654">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B52654"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9000D8" w:rsidRDefault="00B52654" w:rsidP="00B52654">
            <w:pPr>
              <w:spacing w:before="80" w:line="500" w:lineRule="exact"/>
              <w:jc w:val="right"/>
              <w:rPr>
                <w:rFonts w:ascii="Tahoma" w:hAnsi="Tahoma" w:cs="Tahoma"/>
                <w:b/>
                <w:bCs/>
                <w:color w:val="243285"/>
                <w:sz w:val="44"/>
                <w:szCs w:val="44"/>
                <w:lang w:val="es-ES_tradnl"/>
              </w:rPr>
            </w:pPr>
            <w:r w:rsidRPr="00B52654">
              <w:rPr>
                <w:rFonts w:ascii="Tahoma" w:hAnsi="Tahoma" w:cs="Tahoma"/>
                <w:b/>
                <w:bCs/>
                <w:color w:val="243285"/>
                <w:sz w:val="44"/>
                <w:szCs w:val="44"/>
                <w:lang w:val="es-ES_tradnl"/>
              </w:rPr>
              <w:t xml:space="preserve">Armonización mundial de categorías </w:t>
            </w:r>
            <w:r>
              <w:rPr>
                <w:rFonts w:ascii="Tahoma" w:hAnsi="Tahoma" w:cs="Tahoma"/>
                <w:b/>
                <w:bCs/>
                <w:color w:val="243285"/>
                <w:sz w:val="44"/>
                <w:szCs w:val="44"/>
                <w:lang w:val="es-ES_tradnl"/>
              </w:rPr>
              <w:br/>
            </w:r>
            <w:r w:rsidRPr="00B52654">
              <w:rPr>
                <w:rFonts w:ascii="Tahoma" w:hAnsi="Tahoma" w:cs="Tahoma"/>
                <w:b/>
                <w:bCs/>
                <w:color w:val="243285"/>
                <w:sz w:val="44"/>
                <w:szCs w:val="44"/>
                <w:lang w:val="es-ES_tradnl"/>
              </w:rPr>
              <w:t>de dispositivos de corto alcance</w:t>
            </w:r>
            <w:r>
              <w:rPr>
                <w:rFonts w:ascii="Tahoma" w:hAnsi="Tahoma" w:cs="Tahoma"/>
                <w:b/>
                <w:bCs/>
                <w:color w:val="243285"/>
                <w:sz w:val="44"/>
                <w:szCs w:val="44"/>
                <w:lang w:val="es-ES_tradnl"/>
              </w:rPr>
              <w:t xml:space="preserve"> </w:t>
            </w:r>
          </w:p>
          <w:p w:rsidR="00B1717A" w:rsidRDefault="00B1717A" w:rsidP="00BD2749">
            <w:pPr>
              <w:spacing w:before="80" w:line="500" w:lineRule="exact"/>
              <w:jc w:val="right"/>
              <w:rPr>
                <w:rFonts w:ascii="Tahoma" w:hAnsi="Tahoma" w:cs="Tahoma"/>
                <w:b/>
                <w:bCs/>
                <w:color w:val="243285"/>
                <w:sz w:val="44"/>
                <w:szCs w:val="44"/>
                <w:lang w:val="es-ES_tradnl"/>
              </w:rPr>
            </w:pP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B74FC2"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746AC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p>
          <w:p w:rsidR="00B1717A" w:rsidRPr="0010336F" w:rsidRDefault="00746AC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R 1. Los formularios que deben utilizarse en la declaración sobre patentes y utilización de</w:t>
      </w:r>
      <w:bookmarkStart w:id="2" w:name="_GoBack"/>
      <w:bookmarkEnd w:id="2"/>
      <w:r w:rsidRPr="00021E8A">
        <w:rPr>
          <w:sz w:val="20"/>
          <w:lang w:val="es-ES_tradnl"/>
        </w:rPr>
        <w:t xml:space="preserv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B74FC2"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B74FC2"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DC08D1"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B74FC2"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B74FC2"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0718C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00B1717A" w:rsidRPr="00DE71F7">
              <w:rPr>
                <w:sz w:val="20"/>
              </w:rPr>
              <w:t>astronomía</w:t>
            </w:r>
          </w:p>
        </w:tc>
      </w:tr>
      <w:tr w:rsidR="00B1717A" w:rsidRPr="00B74FC2"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975AEB">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975AEB" w:rsidTr="00746AC6">
        <w:tc>
          <w:tcPr>
            <w:tcW w:w="1140" w:type="dxa"/>
            <w:tcBorders>
              <w:top w:val="nil"/>
              <w:bottom w:val="nil"/>
            </w:tcBorders>
            <w:shd w:val="clear" w:color="auto" w:fill="auto"/>
          </w:tcPr>
          <w:p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B1717A" w:rsidRPr="00975AEB" w:rsidRDefault="00B1717A" w:rsidP="00D62884">
            <w:pPr>
              <w:spacing w:before="30" w:after="30"/>
              <w:jc w:val="left"/>
              <w:rPr>
                <w:sz w:val="20"/>
                <w:lang w:val="en-US"/>
              </w:rPr>
            </w:pPr>
            <w:r w:rsidRPr="00975AEB">
              <w:rPr>
                <w:sz w:val="20"/>
              </w:rPr>
              <w:t>Aplicaciones espaciales y meteorología</w:t>
            </w:r>
          </w:p>
        </w:tc>
      </w:tr>
      <w:tr w:rsidR="00B1717A" w:rsidRPr="00B74FC2" w:rsidTr="00746AC6">
        <w:tc>
          <w:tcPr>
            <w:tcW w:w="1140" w:type="dxa"/>
            <w:tcBorders>
              <w:top w:val="nil"/>
              <w:bottom w:val="nil"/>
            </w:tcBorders>
            <w:shd w:val="clear" w:color="auto" w:fill="auto"/>
          </w:tcPr>
          <w:p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746AC6" w:rsidTr="00746AC6">
        <w:tc>
          <w:tcPr>
            <w:tcW w:w="1140" w:type="dxa"/>
            <w:tcBorders>
              <w:top w:val="nil"/>
              <w:bottom w:val="nil"/>
            </w:tcBorders>
            <w:shd w:val="clear" w:color="auto" w:fill="F3F3F3"/>
          </w:tcPr>
          <w:p w:rsidR="00B1717A" w:rsidRPr="00746AC6" w:rsidRDefault="00B1717A" w:rsidP="00D62884">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B1717A" w:rsidRPr="00746AC6" w:rsidRDefault="00B1717A" w:rsidP="00D62884">
            <w:pPr>
              <w:spacing w:before="30" w:after="30"/>
              <w:jc w:val="left"/>
              <w:rPr>
                <w:b/>
                <w:bCs/>
                <w:color w:val="000080"/>
                <w:sz w:val="20"/>
                <w:lang w:val="en-US"/>
              </w:rPr>
            </w:pPr>
            <w:r w:rsidRPr="00746AC6">
              <w:rPr>
                <w:b/>
                <w:bCs/>
                <w:color w:val="000080"/>
                <w:sz w:val="20"/>
              </w:rPr>
              <w:t>Gestión del espectro</w:t>
            </w:r>
          </w:p>
        </w:tc>
      </w:tr>
      <w:tr w:rsidR="00B1717A" w:rsidRPr="00036EE3" w:rsidTr="00746AC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B74FC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B74FC2" w:rsidTr="00D62884">
        <w:tc>
          <w:tcPr>
            <w:tcW w:w="9360" w:type="dxa"/>
          </w:tcPr>
          <w:p w:rsidR="00B1717A" w:rsidRPr="00763D08" w:rsidRDefault="00B1717A" w:rsidP="00DB603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7E00FF">
      <w:pPr>
        <w:spacing w:before="0" w:after="40"/>
        <w:jc w:val="right"/>
        <w:rPr>
          <w:sz w:val="20"/>
          <w:lang w:val="es-ES_tradnl"/>
        </w:rPr>
      </w:pPr>
      <w:r w:rsidRPr="00763D08">
        <w:rPr>
          <w:sz w:val="20"/>
          <w:lang w:val="es-ES_tradnl"/>
        </w:rPr>
        <w:t>Ginebra, 20</w:t>
      </w:r>
      <w:r w:rsidR="00092507">
        <w:rPr>
          <w:sz w:val="20"/>
          <w:lang w:val="es-ES_tradnl"/>
        </w:rPr>
        <w:t>1</w:t>
      </w:r>
      <w:r w:rsidR="00B52654">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7E00F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092507">
        <w:rPr>
          <w:sz w:val="20"/>
          <w:lang w:val="es-ES_tradnl"/>
        </w:rPr>
        <w:t>1</w:t>
      </w:r>
      <w:r w:rsidR="004253CE">
        <w:rPr>
          <w:sz w:val="20"/>
          <w:lang w:val="es-ES_tradnl"/>
        </w:rPr>
        <w:t>7</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52654" w:rsidRDefault="00B52654" w:rsidP="00B52654">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Pr>
          <w:rStyle w:val="href"/>
          <w:lang w:val="es-ES_tradnl"/>
        </w:rPr>
        <w:t>2103-0</w:t>
      </w:r>
    </w:p>
    <w:p w:rsidR="00B52654" w:rsidRPr="007E21F1" w:rsidRDefault="00B52654" w:rsidP="00B52654">
      <w:pPr>
        <w:pStyle w:val="Rectitle"/>
        <w:rPr>
          <w:lang w:val="es-ES_tradnl"/>
        </w:rPr>
      </w:pPr>
      <w:r w:rsidRPr="007E21F1">
        <w:rPr>
          <w:lang w:val="es-ES_tradnl"/>
        </w:rPr>
        <w:t>Armonización mundial de categorías de dispositivos de corto alcance</w:t>
      </w:r>
    </w:p>
    <w:p w:rsidR="00B52654" w:rsidRPr="007E21F1" w:rsidRDefault="00B52654" w:rsidP="00B52654">
      <w:pPr>
        <w:jc w:val="right"/>
        <w:rPr>
          <w:lang w:val="es-ES_tradnl"/>
        </w:rPr>
      </w:pPr>
      <w:r w:rsidRPr="007E21F1">
        <w:rPr>
          <w:lang w:val="es-ES_tradnl"/>
        </w:rPr>
        <w:t>(2017)</w:t>
      </w:r>
    </w:p>
    <w:p w:rsidR="00B52654" w:rsidRPr="007E21F1" w:rsidRDefault="005A3B26" w:rsidP="00B52654">
      <w:pPr>
        <w:pStyle w:val="HeadingSum"/>
      </w:pPr>
      <w:r>
        <w:t>Cometido</w:t>
      </w:r>
    </w:p>
    <w:p w:rsidR="00B52654" w:rsidRPr="007E21F1" w:rsidRDefault="00B52654" w:rsidP="00B52654">
      <w:pPr>
        <w:pStyle w:val="Summary"/>
        <w:rPr>
          <w:b/>
        </w:rPr>
      </w:pPr>
      <w:r w:rsidRPr="007E21F1">
        <w:t>Esta Recomendación contiene directrices para las categorías recomendadas de dispositivos de radiocomunicaciones de corto alcance (RCA) que requieren un funcionamiento armonizado a escala mundial.</w:t>
      </w:r>
    </w:p>
    <w:p w:rsidR="00B52654" w:rsidRPr="007E21F1" w:rsidRDefault="00B52654" w:rsidP="00B52654">
      <w:pPr>
        <w:pStyle w:val="Headingb"/>
        <w:rPr>
          <w:lang w:val="es-ES_tradnl"/>
        </w:rPr>
      </w:pPr>
      <w:r w:rsidRPr="007E21F1">
        <w:rPr>
          <w:lang w:val="es-ES_tradnl"/>
        </w:rPr>
        <w:t>Palabras clave</w:t>
      </w:r>
    </w:p>
    <w:p w:rsidR="00B52654" w:rsidRPr="007E21F1" w:rsidRDefault="00B52654" w:rsidP="00215CA8">
      <w:pPr>
        <w:rPr>
          <w:lang w:val="es-ES_tradnl"/>
        </w:rPr>
      </w:pPr>
      <w:r w:rsidRPr="007E21F1">
        <w:rPr>
          <w:lang w:val="es-ES_tradnl"/>
        </w:rPr>
        <w:t>Dispositivos de corto alcance, categorías, armonización</w:t>
      </w:r>
    </w:p>
    <w:p w:rsidR="00B52654" w:rsidRPr="007E21F1" w:rsidRDefault="00B52654" w:rsidP="00B52654">
      <w:pPr>
        <w:pStyle w:val="Headingb"/>
        <w:rPr>
          <w:lang w:val="es-ES_tradnl"/>
        </w:rPr>
      </w:pPr>
      <w:r w:rsidRPr="007E21F1">
        <w:rPr>
          <w:lang w:val="es-ES_tradnl"/>
        </w:rPr>
        <w:t>Abreviaturas</w:t>
      </w:r>
    </w:p>
    <w:p w:rsidR="00B52654" w:rsidRPr="007E21F1" w:rsidRDefault="00215CA8" w:rsidP="00215CA8">
      <w:pPr>
        <w:tabs>
          <w:tab w:val="clear" w:pos="794"/>
          <w:tab w:val="clear" w:pos="1191"/>
        </w:tabs>
        <w:rPr>
          <w:lang w:val="es-ES_tradnl"/>
        </w:rPr>
      </w:pPr>
      <w:r>
        <w:rPr>
          <w:rFonts w:eastAsia="SimSun"/>
          <w:lang w:val="es-ES_tradnl" w:eastAsia="zh-CN"/>
        </w:rPr>
        <w:t>AIMD</w:t>
      </w:r>
      <w:r w:rsidR="00B52654" w:rsidRPr="007E21F1">
        <w:rPr>
          <w:rFonts w:eastAsia="SimSun"/>
          <w:lang w:val="es-ES_tradnl" w:eastAsia="zh-CN"/>
        </w:rPr>
        <w:tab/>
        <w:t>Dispositivo médico implantable activo (</w:t>
      </w:r>
      <w:r>
        <w:rPr>
          <w:rFonts w:eastAsia="SimSun"/>
          <w:i/>
          <w:iCs/>
          <w:lang w:val="es-ES_tradnl" w:eastAsia="zh-CN"/>
        </w:rPr>
        <w:t>a</w:t>
      </w:r>
      <w:r w:rsidR="00B52654" w:rsidRPr="007E21F1">
        <w:rPr>
          <w:rFonts w:eastAsia="SimSun"/>
          <w:i/>
          <w:iCs/>
          <w:lang w:val="es-ES_tradnl" w:eastAsia="zh-CN"/>
        </w:rPr>
        <w:t>ctive implantable medical device)</w:t>
      </w:r>
    </w:p>
    <w:p w:rsidR="00B52654" w:rsidRPr="007E21F1" w:rsidRDefault="00215CA8" w:rsidP="00215CA8">
      <w:pPr>
        <w:tabs>
          <w:tab w:val="clear" w:pos="794"/>
          <w:tab w:val="clear" w:pos="1191"/>
        </w:tabs>
        <w:rPr>
          <w:lang w:val="es-ES_tradnl"/>
        </w:rPr>
      </w:pPr>
      <w:r>
        <w:rPr>
          <w:lang w:val="es-ES_tradnl"/>
        </w:rPr>
        <w:t>EAS</w:t>
      </w:r>
      <w:r w:rsidR="00B52654" w:rsidRPr="007E21F1">
        <w:rPr>
          <w:lang w:val="es-ES_tradnl"/>
        </w:rPr>
        <w:tab/>
        <w:t>Vigilancia electrónica de artículos (</w:t>
      </w:r>
      <w:r>
        <w:rPr>
          <w:i/>
          <w:iCs/>
          <w:lang w:val="es-ES_tradnl"/>
        </w:rPr>
        <w:t>e</w:t>
      </w:r>
      <w:r w:rsidR="00B52654" w:rsidRPr="007E21F1">
        <w:rPr>
          <w:i/>
          <w:iCs/>
          <w:lang w:val="es-ES_tradnl"/>
        </w:rPr>
        <w:t>lectronic article surveillance)</w:t>
      </w:r>
    </w:p>
    <w:p w:rsidR="00B52654" w:rsidRPr="007E21F1" w:rsidRDefault="00215CA8" w:rsidP="00215CA8">
      <w:pPr>
        <w:tabs>
          <w:tab w:val="clear" w:pos="794"/>
          <w:tab w:val="clear" w:pos="1191"/>
        </w:tabs>
        <w:rPr>
          <w:lang w:val="es-ES_tradnl"/>
        </w:rPr>
      </w:pPr>
      <w:r>
        <w:rPr>
          <w:lang w:val="es-ES_tradnl"/>
        </w:rPr>
        <w:t>ID</w:t>
      </w:r>
      <w:r w:rsidR="00B52654" w:rsidRPr="007E21F1">
        <w:rPr>
          <w:lang w:val="es-ES_tradnl"/>
        </w:rPr>
        <w:tab/>
        <w:t>IDentificación</w:t>
      </w:r>
    </w:p>
    <w:p w:rsidR="00B52654" w:rsidRPr="00215CA8" w:rsidRDefault="00215CA8" w:rsidP="00215CA8">
      <w:pPr>
        <w:tabs>
          <w:tab w:val="clear" w:pos="794"/>
          <w:tab w:val="clear" w:pos="1191"/>
        </w:tabs>
        <w:rPr>
          <w:lang w:val="es-ES_tradnl"/>
        </w:rPr>
      </w:pPr>
      <w:r>
        <w:rPr>
          <w:lang w:val="es-ES_tradnl"/>
        </w:rPr>
        <w:t>ISM</w:t>
      </w:r>
      <w:r w:rsidR="00B52654" w:rsidRPr="007E21F1">
        <w:rPr>
          <w:lang w:val="es-ES_tradnl"/>
        </w:rPr>
        <w:tab/>
        <w:t>Industrial, científico y médico</w:t>
      </w:r>
      <w:r>
        <w:rPr>
          <w:lang w:val="es-ES_tradnl"/>
        </w:rPr>
        <w:t xml:space="preserve"> </w:t>
      </w:r>
      <w:r w:rsidRPr="00215CA8">
        <w:rPr>
          <w:lang w:val="es-ES_tradnl"/>
        </w:rPr>
        <w:t>(</w:t>
      </w:r>
      <w:r w:rsidRPr="00215CA8">
        <w:rPr>
          <w:i/>
          <w:iCs/>
          <w:lang w:val="es-ES_tradnl"/>
        </w:rPr>
        <w:t>industrial, scientific and medical</w:t>
      </w:r>
      <w:r w:rsidRPr="00215CA8">
        <w:rPr>
          <w:lang w:val="es-ES_tradnl"/>
        </w:rPr>
        <w:t>)</w:t>
      </w:r>
    </w:p>
    <w:p w:rsidR="00B52654" w:rsidRPr="00215CA8" w:rsidRDefault="00215CA8" w:rsidP="00215CA8">
      <w:pPr>
        <w:tabs>
          <w:tab w:val="clear" w:pos="794"/>
          <w:tab w:val="clear" w:pos="1191"/>
        </w:tabs>
        <w:ind w:left="1588" w:hanging="1588"/>
        <w:rPr>
          <w:lang w:val="es-ES_tradnl"/>
        </w:rPr>
      </w:pPr>
      <w:r>
        <w:rPr>
          <w:lang w:val="es-ES_tradnl"/>
        </w:rPr>
        <w:t>ISO</w:t>
      </w:r>
      <w:r w:rsidR="00B52654" w:rsidRPr="007E21F1">
        <w:rPr>
          <w:lang w:val="es-ES_tradnl"/>
        </w:rPr>
        <w:tab/>
        <w:t>Organización Internacional de Normalización</w:t>
      </w:r>
      <w:r>
        <w:rPr>
          <w:lang w:val="es-ES_tradnl"/>
        </w:rPr>
        <w:t xml:space="preserve"> </w:t>
      </w:r>
      <w:r w:rsidRPr="00215CA8">
        <w:rPr>
          <w:lang w:val="es-ES_tradnl"/>
        </w:rPr>
        <w:t>(</w:t>
      </w:r>
      <w:r w:rsidRPr="00215CA8">
        <w:rPr>
          <w:i/>
          <w:iCs/>
          <w:lang w:val="es-ES_tradnl"/>
        </w:rPr>
        <w:t>international organization for standardization</w:t>
      </w:r>
      <w:r w:rsidRPr="00215CA8">
        <w:rPr>
          <w:lang w:val="es-ES_tradnl"/>
        </w:rPr>
        <w:t>)</w:t>
      </w:r>
    </w:p>
    <w:p w:rsidR="00B52654" w:rsidRPr="007E21F1" w:rsidRDefault="00B52654" w:rsidP="00215CA8">
      <w:pPr>
        <w:tabs>
          <w:tab w:val="clear" w:pos="794"/>
          <w:tab w:val="clear" w:pos="1191"/>
        </w:tabs>
        <w:rPr>
          <w:lang w:val="es-ES_tradnl"/>
        </w:rPr>
      </w:pPr>
      <w:r w:rsidRPr="007E21F1">
        <w:rPr>
          <w:lang w:val="es-ES_tradnl"/>
        </w:rPr>
        <w:t>I</w:t>
      </w:r>
      <w:r w:rsidR="00215CA8">
        <w:rPr>
          <w:lang w:val="es-ES_tradnl"/>
        </w:rPr>
        <w:t>TS</w:t>
      </w:r>
      <w:r w:rsidRPr="007E21F1">
        <w:rPr>
          <w:lang w:val="es-ES_tradnl"/>
        </w:rPr>
        <w:tab/>
        <w:t>Sistema de transporte inteligente (</w:t>
      </w:r>
      <w:r w:rsidR="00215CA8">
        <w:rPr>
          <w:i/>
          <w:iCs/>
          <w:lang w:val="es-ES_tradnl"/>
        </w:rPr>
        <w:t>i</w:t>
      </w:r>
      <w:r w:rsidRPr="007E21F1">
        <w:rPr>
          <w:i/>
          <w:iCs/>
          <w:lang w:val="es-ES_tradnl"/>
        </w:rPr>
        <w:t>ntelligent transport system)</w:t>
      </w:r>
    </w:p>
    <w:p w:rsidR="00B52654" w:rsidRPr="007E21F1" w:rsidRDefault="00215CA8" w:rsidP="00215CA8">
      <w:pPr>
        <w:tabs>
          <w:tab w:val="clear" w:pos="794"/>
          <w:tab w:val="clear" w:pos="1191"/>
        </w:tabs>
        <w:rPr>
          <w:lang w:val="es-ES_tradnl"/>
        </w:rPr>
      </w:pPr>
      <w:r>
        <w:rPr>
          <w:lang w:val="es-ES_tradnl"/>
        </w:rPr>
        <w:t>NFC</w:t>
      </w:r>
      <w:r w:rsidR="00B52654" w:rsidRPr="007E21F1">
        <w:rPr>
          <w:lang w:val="es-ES_tradnl"/>
        </w:rPr>
        <w:tab/>
        <w:t>Comunicación de campo cercano (</w:t>
      </w:r>
      <w:r>
        <w:rPr>
          <w:i/>
          <w:iCs/>
          <w:lang w:val="es-ES_tradnl"/>
        </w:rPr>
        <w:t>n</w:t>
      </w:r>
      <w:r w:rsidR="00B52654" w:rsidRPr="007E21F1">
        <w:rPr>
          <w:i/>
          <w:iCs/>
          <w:lang w:val="es-ES_tradnl"/>
        </w:rPr>
        <w:t>ear field communication)</w:t>
      </w:r>
    </w:p>
    <w:p w:rsidR="00B52654" w:rsidRPr="007E21F1" w:rsidRDefault="00215CA8" w:rsidP="00215CA8">
      <w:pPr>
        <w:tabs>
          <w:tab w:val="clear" w:pos="794"/>
          <w:tab w:val="clear" w:pos="1191"/>
        </w:tabs>
        <w:rPr>
          <w:lang w:val="es-ES_tradnl"/>
        </w:rPr>
      </w:pPr>
      <w:r>
        <w:rPr>
          <w:lang w:val="es-ES_tradnl"/>
        </w:rPr>
        <w:t>RFID</w:t>
      </w:r>
      <w:r w:rsidR="00B52654" w:rsidRPr="007E21F1">
        <w:rPr>
          <w:lang w:val="es-ES_tradnl"/>
        </w:rPr>
        <w:tab/>
        <w:t>Identificación por radiofrecuencia (</w:t>
      </w:r>
      <w:r>
        <w:rPr>
          <w:i/>
          <w:iCs/>
          <w:lang w:val="es-ES_tradnl"/>
        </w:rPr>
        <w:t>r</w:t>
      </w:r>
      <w:r w:rsidR="00B52654" w:rsidRPr="007E21F1">
        <w:rPr>
          <w:i/>
          <w:iCs/>
          <w:lang w:val="es-ES_tradnl"/>
        </w:rPr>
        <w:t>adio frequency identification)</w:t>
      </w:r>
    </w:p>
    <w:p w:rsidR="00B52654" w:rsidRPr="00215CA8" w:rsidRDefault="00215CA8" w:rsidP="00215CA8">
      <w:pPr>
        <w:tabs>
          <w:tab w:val="clear" w:pos="794"/>
          <w:tab w:val="clear" w:pos="1191"/>
        </w:tabs>
        <w:rPr>
          <w:lang w:val="es-ES_tradnl"/>
        </w:rPr>
      </w:pPr>
      <w:r>
        <w:rPr>
          <w:lang w:val="es-ES_tradnl"/>
        </w:rPr>
        <w:t>SRD</w:t>
      </w:r>
      <w:r w:rsidR="00B52654" w:rsidRPr="007E21F1">
        <w:rPr>
          <w:lang w:val="es-ES_tradnl"/>
        </w:rPr>
        <w:tab/>
        <w:t>Dispositivo de corto alcance</w:t>
      </w:r>
      <w:r>
        <w:rPr>
          <w:lang w:val="es-ES_tradnl"/>
        </w:rPr>
        <w:t xml:space="preserve"> </w:t>
      </w:r>
      <w:r w:rsidRPr="00215CA8">
        <w:rPr>
          <w:lang w:val="es-ES_tradnl"/>
        </w:rPr>
        <w:t>(</w:t>
      </w:r>
      <w:r w:rsidRPr="00215CA8">
        <w:rPr>
          <w:i/>
          <w:iCs/>
          <w:lang w:val="es-ES_tradnl"/>
        </w:rPr>
        <w:t>short range device</w:t>
      </w:r>
      <w:r w:rsidRPr="00215CA8">
        <w:rPr>
          <w:lang w:val="es-ES_tradnl"/>
        </w:rPr>
        <w:t>)</w:t>
      </w:r>
    </w:p>
    <w:p w:rsidR="00B52654" w:rsidRPr="007E21F1" w:rsidRDefault="00215CA8" w:rsidP="00215CA8">
      <w:pPr>
        <w:tabs>
          <w:tab w:val="clear" w:pos="794"/>
          <w:tab w:val="clear" w:pos="1191"/>
        </w:tabs>
        <w:rPr>
          <w:lang w:val="es-ES_tradnl"/>
        </w:rPr>
      </w:pPr>
      <w:r>
        <w:rPr>
          <w:rFonts w:eastAsia="SimSun"/>
          <w:lang w:val="es-ES_tradnl" w:eastAsia="zh-CN"/>
        </w:rPr>
        <w:t>ULP-AMI</w:t>
      </w:r>
      <w:r w:rsidR="00B52654" w:rsidRPr="007E21F1">
        <w:rPr>
          <w:rFonts w:eastAsia="SimSun"/>
          <w:lang w:val="es-ES_tradnl" w:eastAsia="zh-CN"/>
        </w:rPr>
        <w:tab/>
        <w:t>Implantes médicos activos de potencia extremadamente baja (</w:t>
      </w:r>
      <w:r>
        <w:rPr>
          <w:rFonts w:eastAsia="SimSun"/>
          <w:i/>
          <w:iCs/>
          <w:lang w:val="es-ES_tradnl" w:eastAsia="zh-CN"/>
        </w:rPr>
        <w:t>u</w:t>
      </w:r>
      <w:r w:rsidR="00B52654" w:rsidRPr="007E21F1">
        <w:rPr>
          <w:i/>
          <w:iCs/>
          <w:lang w:val="es-ES_tradnl"/>
        </w:rPr>
        <w:t xml:space="preserve">ltra low power active </w:t>
      </w:r>
      <w:r w:rsidR="00B52654" w:rsidRPr="007E21F1">
        <w:rPr>
          <w:i/>
          <w:iCs/>
          <w:lang w:val="es-ES_tradnl"/>
        </w:rPr>
        <w:tab/>
        <w:t>medical implant)</w:t>
      </w:r>
    </w:p>
    <w:p w:rsidR="00B52654" w:rsidRPr="007E21F1" w:rsidRDefault="00B52654" w:rsidP="00215CA8">
      <w:pPr>
        <w:tabs>
          <w:tab w:val="clear" w:pos="794"/>
          <w:tab w:val="clear" w:pos="1191"/>
        </w:tabs>
        <w:rPr>
          <w:lang w:val="es-ES_tradnl"/>
        </w:rPr>
      </w:pPr>
      <w:r w:rsidRPr="007E21F1">
        <w:rPr>
          <w:lang w:val="es-ES_tradnl"/>
        </w:rPr>
        <w:t>UWB:</w:t>
      </w:r>
      <w:r w:rsidRPr="007E21F1">
        <w:rPr>
          <w:lang w:val="es-ES_tradnl"/>
        </w:rPr>
        <w:tab/>
        <w:t>banda ultraancha</w:t>
      </w:r>
      <w:r w:rsidR="00215CA8">
        <w:rPr>
          <w:lang w:val="es-ES_tradnl"/>
        </w:rPr>
        <w:t xml:space="preserve"> </w:t>
      </w:r>
      <w:r w:rsidR="00215CA8" w:rsidRPr="005A7F0C">
        <w:rPr>
          <w:lang w:val="es-ES_tradnl"/>
        </w:rPr>
        <w:t>(</w:t>
      </w:r>
      <w:r w:rsidR="00215CA8" w:rsidRPr="005A7F0C">
        <w:rPr>
          <w:i/>
          <w:iCs/>
          <w:lang w:val="es-ES_tradnl"/>
        </w:rPr>
        <w:t>ultra-wideband</w:t>
      </w:r>
      <w:r w:rsidR="00215CA8" w:rsidRPr="005A7F0C">
        <w:rPr>
          <w:lang w:val="es-ES_tradnl"/>
        </w:rPr>
        <w:t>)</w:t>
      </w:r>
    </w:p>
    <w:p w:rsidR="00B52654" w:rsidRPr="007E21F1" w:rsidRDefault="00B52654" w:rsidP="00B52654">
      <w:pPr>
        <w:pStyle w:val="Normalaftertitle"/>
        <w:rPr>
          <w:lang w:val="es-ES_tradnl"/>
        </w:rPr>
      </w:pPr>
      <w:r w:rsidRPr="007E21F1">
        <w:rPr>
          <w:lang w:val="es-ES_tradnl"/>
        </w:rPr>
        <w:t>La Asamblea de Radiocomunicaciones,</w:t>
      </w:r>
    </w:p>
    <w:p w:rsidR="00B52654" w:rsidRPr="007E21F1" w:rsidRDefault="00B52654" w:rsidP="00B52654">
      <w:pPr>
        <w:pStyle w:val="Call"/>
        <w:rPr>
          <w:lang w:val="es-ES_tradnl"/>
        </w:rPr>
      </w:pPr>
      <w:proofErr w:type="gramStart"/>
      <w:r w:rsidRPr="007E21F1">
        <w:rPr>
          <w:lang w:val="es-ES_tradnl"/>
        </w:rPr>
        <w:t>considerando</w:t>
      </w:r>
      <w:proofErr w:type="gramEnd"/>
    </w:p>
    <w:p w:rsidR="00B52654" w:rsidRPr="007E21F1" w:rsidRDefault="00B52654" w:rsidP="00B52654">
      <w:pPr>
        <w:rPr>
          <w:lang w:val="es-ES_tradnl"/>
        </w:rPr>
      </w:pPr>
      <w:r w:rsidRPr="007E21F1">
        <w:rPr>
          <w:i/>
          <w:iCs/>
          <w:lang w:val="es-ES_tradnl"/>
        </w:rPr>
        <w:t>a)</w:t>
      </w:r>
      <w:r w:rsidRPr="007E21F1">
        <w:rPr>
          <w:lang w:val="es-ES_tradnl"/>
        </w:rPr>
        <w:tab/>
        <w:t>que la Asamblea de Radiocomunicaciones de 2015 aprobó la Resolución UIT</w:t>
      </w:r>
      <w:r w:rsidRPr="007E21F1">
        <w:rPr>
          <w:lang w:val="es-ES_tradnl"/>
        </w:rPr>
        <w:noBreakHyphen/>
        <w:t>R 54-2 – Estudios para lograr la armonización de los dispositivos de corto alcance;</w:t>
      </w:r>
    </w:p>
    <w:p w:rsidR="00B52654" w:rsidRPr="007E21F1" w:rsidRDefault="00B52654" w:rsidP="00B52654">
      <w:pPr>
        <w:rPr>
          <w:lang w:val="es-ES_tradnl"/>
        </w:rPr>
      </w:pPr>
      <w:r w:rsidRPr="007E21F1">
        <w:rPr>
          <w:i/>
          <w:iCs/>
          <w:lang w:val="es-ES_tradnl"/>
        </w:rPr>
        <w:t>b)</w:t>
      </w:r>
      <w:r w:rsidRPr="007E21F1">
        <w:rPr>
          <w:lang w:val="es-ES_tradnl"/>
        </w:rPr>
        <w:tab/>
        <w:t>que cada vez hay más demanda para la utilización de dispositivos de corto alcance (</w:t>
      </w:r>
      <w:r w:rsidR="00F74BDC">
        <w:rPr>
          <w:lang w:val="es-ES_tradnl"/>
        </w:rPr>
        <w:t>SRD</w:t>
      </w:r>
      <w:r w:rsidRPr="007E21F1">
        <w:rPr>
          <w:lang w:val="es-ES_tradnl"/>
        </w:rPr>
        <w:t>) para una diversidad de aplicaciones en todo el mundo;</w:t>
      </w:r>
    </w:p>
    <w:p w:rsidR="00B52654" w:rsidRPr="007E21F1" w:rsidRDefault="00B52654" w:rsidP="00B52654">
      <w:pPr>
        <w:rPr>
          <w:lang w:val="es-ES_tradnl"/>
        </w:rPr>
      </w:pPr>
      <w:r w:rsidRPr="007E21F1">
        <w:rPr>
          <w:i/>
          <w:iCs/>
          <w:lang w:val="es-ES_tradnl"/>
        </w:rPr>
        <w:t>c)</w:t>
      </w:r>
      <w:r w:rsidRPr="007E21F1">
        <w:rPr>
          <w:lang w:val="es-ES_tradnl"/>
        </w:rPr>
        <w:tab/>
        <w:t xml:space="preserve">que las aplicaciones </w:t>
      </w:r>
      <w:r w:rsidR="00F74BDC">
        <w:rPr>
          <w:lang w:val="es-ES_tradnl"/>
        </w:rPr>
        <w:t>SRD</w:t>
      </w:r>
      <w:r w:rsidRPr="007E21F1">
        <w:rPr>
          <w:lang w:val="es-ES_tradnl"/>
        </w:rPr>
        <w:t xml:space="preserve"> no son un servicio de radiocomunicaciones definido y no necesitan de la atribución de frecuencias específicas para poder funcionar;</w:t>
      </w:r>
    </w:p>
    <w:p w:rsidR="00B52654" w:rsidRPr="007E21F1" w:rsidRDefault="00B52654" w:rsidP="00B52654">
      <w:pPr>
        <w:rPr>
          <w:lang w:val="es-ES_tradnl"/>
        </w:rPr>
      </w:pPr>
      <w:r w:rsidRPr="007E21F1">
        <w:rPr>
          <w:i/>
          <w:iCs/>
          <w:lang w:val="es-ES_tradnl"/>
        </w:rPr>
        <w:t>d)</w:t>
      </w:r>
      <w:r w:rsidRPr="007E21F1">
        <w:rPr>
          <w:lang w:val="es-ES_tradnl"/>
        </w:rPr>
        <w:tab/>
        <w:t xml:space="preserve">que los </w:t>
      </w:r>
      <w:r w:rsidR="00F74BDC">
        <w:rPr>
          <w:lang w:val="es-ES_tradnl"/>
        </w:rPr>
        <w:t>SRD</w:t>
      </w:r>
      <w:r w:rsidRPr="007E21F1">
        <w:rPr>
          <w:lang w:val="es-ES_tradnl"/>
        </w:rPr>
        <w:t xml:space="preserve"> no son aplicaciones industr</w:t>
      </w:r>
      <w:r w:rsidR="00F74BDC">
        <w:rPr>
          <w:lang w:val="es-ES_tradnl"/>
        </w:rPr>
        <w:t>iales, científicas y médicas (IS</w:t>
      </w:r>
      <w:r w:rsidRPr="007E21F1">
        <w:rPr>
          <w:lang w:val="es-ES_tradnl"/>
        </w:rPr>
        <w:t>M) según se definen en el número </w:t>
      </w:r>
      <w:r w:rsidRPr="007E21F1">
        <w:rPr>
          <w:b/>
          <w:lang w:val="es-ES_tradnl"/>
        </w:rPr>
        <w:t xml:space="preserve">1.15 </w:t>
      </w:r>
      <w:r w:rsidRPr="007E21F1">
        <w:rPr>
          <w:bCs/>
          <w:lang w:val="es-ES_tradnl"/>
        </w:rPr>
        <w:t>del Reglamento de Radiocomunicaciones (RR)</w:t>
      </w:r>
      <w:r w:rsidRPr="007E21F1">
        <w:rPr>
          <w:lang w:val="es-ES_tradnl"/>
        </w:rPr>
        <w:t>;</w:t>
      </w:r>
    </w:p>
    <w:p w:rsidR="00B52654" w:rsidRPr="007E21F1" w:rsidRDefault="00B52654" w:rsidP="00B52654">
      <w:pPr>
        <w:rPr>
          <w:lang w:val="es-ES_tradnl"/>
        </w:rPr>
      </w:pPr>
      <w:r w:rsidRPr="007E21F1">
        <w:rPr>
          <w:i/>
          <w:iCs/>
          <w:lang w:val="es-ES_tradnl"/>
        </w:rPr>
        <w:t>e)</w:t>
      </w:r>
      <w:r w:rsidRPr="007E21F1">
        <w:rPr>
          <w:lang w:val="es-ES_tradnl"/>
        </w:rPr>
        <w:tab/>
        <w:t xml:space="preserve">que, por su propia naturaleza, los </w:t>
      </w:r>
      <w:r w:rsidR="00F74BDC">
        <w:rPr>
          <w:lang w:val="es-ES_tradnl"/>
        </w:rPr>
        <w:t>SRD</w:t>
      </w:r>
      <w:r w:rsidRPr="007E21F1">
        <w:rPr>
          <w:lang w:val="es-ES_tradnl"/>
        </w:rPr>
        <w:t xml:space="preserve"> se están utilizando en todo el mundo como dispositivos independientes o como parte integrante de otros sistemas y que a menudo se transportan y utilizan a través de fronteras nacionales;</w:t>
      </w:r>
    </w:p>
    <w:p w:rsidR="00B52654" w:rsidRPr="007E21F1" w:rsidRDefault="00B52654" w:rsidP="00B52654">
      <w:pPr>
        <w:rPr>
          <w:lang w:val="es-ES_tradnl"/>
        </w:rPr>
      </w:pPr>
      <w:r w:rsidRPr="007E21F1">
        <w:rPr>
          <w:i/>
          <w:iCs/>
          <w:lang w:val="es-ES_tradnl"/>
        </w:rPr>
        <w:t>f)</w:t>
      </w:r>
      <w:r w:rsidRPr="007E21F1">
        <w:rPr>
          <w:lang w:val="es-ES_tradnl"/>
        </w:rPr>
        <w:tab/>
        <w:t xml:space="preserve">que algunas categorías de </w:t>
      </w:r>
      <w:r w:rsidR="00F74BDC">
        <w:rPr>
          <w:lang w:val="es-ES_tradnl"/>
        </w:rPr>
        <w:t>SRD</w:t>
      </w:r>
      <w:r w:rsidRPr="007E21F1">
        <w:rPr>
          <w:lang w:val="es-ES_tradnl"/>
        </w:rPr>
        <w:t xml:space="preserve">, utilizadas en distintas regiones del mundo con nombres distintos, pueden referirse a los mismos equipos </w:t>
      </w:r>
      <w:r w:rsidR="00F74BDC">
        <w:rPr>
          <w:lang w:val="es-ES_tradnl"/>
        </w:rPr>
        <w:t>SRD</w:t>
      </w:r>
      <w:r w:rsidRPr="007E21F1">
        <w:rPr>
          <w:lang w:val="es-ES_tradnl"/>
        </w:rPr>
        <w:t>;</w:t>
      </w:r>
    </w:p>
    <w:p w:rsidR="00B52654" w:rsidRPr="007E21F1" w:rsidRDefault="00B52654" w:rsidP="00B52654">
      <w:pPr>
        <w:rPr>
          <w:lang w:val="es-ES_tradnl"/>
        </w:rPr>
      </w:pPr>
      <w:r w:rsidRPr="007E21F1">
        <w:rPr>
          <w:i/>
          <w:iCs/>
          <w:lang w:val="es-ES_tradnl"/>
        </w:rPr>
        <w:lastRenderedPageBreak/>
        <w:t>g)</w:t>
      </w:r>
      <w:r w:rsidRPr="007E21F1">
        <w:rPr>
          <w:lang w:val="es-ES_tradnl"/>
        </w:rPr>
        <w:tab/>
        <w:t xml:space="preserve">que algunas categorías de </w:t>
      </w:r>
      <w:r w:rsidR="00F74BDC">
        <w:rPr>
          <w:lang w:val="es-ES_tradnl"/>
        </w:rPr>
        <w:t>SRD</w:t>
      </w:r>
      <w:r w:rsidRPr="007E21F1">
        <w:rPr>
          <w:lang w:val="es-ES_tradnl"/>
        </w:rPr>
        <w:t xml:space="preserve"> se utilizan comúnmente en muchos países, mientras que otras se utilizan sólo a nivel regional o individual en algunos países;</w:t>
      </w:r>
    </w:p>
    <w:p w:rsidR="00B52654" w:rsidRPr="007E21F1" w:rsidRDefault="00B52654" w:rsidP="00B52654">
      <w:pPr>
        <w:rPr>
          <w:lang w:val="es-ES_tradnl"/>
        </w:rPr>
      </w:pPr>
      <w:r w:rsidRPr="007E21F1">
        <w:rPr>
          <w:i/>
          <w:iCs/>
          <w:lang w:val="es-ES_tradnl"/>
        </w:rPr>
        <w:t>h)</w:t>
      </w:r>
      <w:r w:rsidRPr="007E21F1">
        <w:rPr>
          <w:lang w:val="es-ES_tradnl"/>
        </w:rPr>
        <w:tab/>
        <w:t xml:space="preserve">que se han hecho esfuerzos a nivel regional para armonizar las categorías de </w:t>
      </w:r>
      <w:r w:rsidR="00F74BDC">
        <w:rPr>
          <w:lang w:val="es-ES_tradnl"/>
        </w:rPr>
        <w:t>SRD</w:t>
      </w:r>
      <w:r w:rsidRPr="007E21F1">
        <w:rPr>
          <w:lang w:val="es-ES_tradnl"/>
        </w:rPr>
        <w:t xml:space="preserve"> con características técnicas y usos similares;</w:t>
      </w:r>
    </w:p>
    <w:p w:rsidR="00B52654" w:rsidRPr="007E21F1" w:rsidRDefault="00B52654" w:rsidP="00B52654">
      <w:pPr>
        <w:keepNext/>
        <w:rPr>
          <w:lang w:val="es-ES_tradnl"/>
        </w:rPr>
      </w:pPr>
      <w:r w:rsidRPr="007E21F1">
        <w:rPr>
          <w:i/>
          <w:iCs/>
          <w:lang w:val="es-ES_tradnl"/>
        </w:rPr>
        <w:t>i)</w:t>
      </w:r>
      <w:r w:rsidRPr="007E21F1">
        <w:rPr>
          <w:lang w:val="es-ES_tradnl"/>
        </w:rPr>
        <w:tab/>
        <w:t xml:space="preserve">que las aplicaciones </w:t>
      </w:r>
      <w:r w:rsidR="00F74BDC">
        <w:rPr>
          <w:lang w:val="es-ES_tradnl"/>
        </w:rPr>
        <w:t>SRD</w:t>
      </w:r>
      <w:r w:rsidRPr="007E21F1">
        <w:rPr>
          <w:lang w:val="es-ES_tradnl"/>
        </w:rPr>
        <w:t xml:space="preserve"> están experimentando un rápido crecimiento, lo que puede dar lugar a muchas nuevas categorías de </w:t>
      </w:r>
      <w:r w:rsidR="00F74BDC">
        <w:rPr>
          <w:lang w:val="es-ES_tradnl"/>
        </w:rPr>
        <w:t>SRD</w:t>
      </w:r>
      <w:r w:rsidRPr="007E21F1">
        <w:rPr>
          <w:lang w:val="es-ES_tradnl"/>
        </w:rPr>
        <w:t xml:space="preserve"> no coordinadas,</w:t>
      </w:r>
    </w:p>
    <w:p w:rsidR="00B52654" w:rsidRPr="007E21F1" w:rsidRDefault="00B52654" w:rsidP="00B52654">
      <w:pPr>
        <w:pStyle w:val="Call"/>
        <w:rPr>
          <w:lang w:val="es-ES_tradnl"/>
        </w:rPr>
      </w:pPr>
      <w:proofErr w:type="gramStart"/>
      <w:r w:rsidRPr="007E21F1">
        <w:rPr>
          <w:lang w:val="es-ES_tradnl"/>
        </w:rPr>
        <w:t>considerando</w:t>
      </w:r>
      <w:proofErr w:type="gramEnd"/>
      <w:r w:rsidRPr="007E21F1">
        <w:rPr>
          <w:lang w:val="es-ES_tradnl"/>
        </w:rPr>
        <w:t xml:space="preserve"> además</w:t>
      </w:r>
    </w:p>
    <w:p w:rsidR="00B52654" w:rsidRPr="007E21F1" w:rsidRDefault="00B52654" w:rsidP="00B52654">
      <w:pPr>
        <w:rPr>
          <w:lang w:val="es-ES_tradnl"/>
        </w:rPr>
      </w:pPr>
      <w:proofErr w:type="gramStart"/>
      <w:r w:rsidRPr="007E21F1">
        <w:rPr>
          <w:rFonts w:eastAsia="SimSun"/>
          <w:lang w:val="es-ES_tradnl"/>
        </w:rPr>
        <w:t>que</w:t>
      </w:r>
      <w:proofErr w:type="gramEnd"/>
      <w:r w:rsidRPr="007E21F1">
        <w:rPr>
          <w:rFonts w:eastAsia="SimSun"/>
          <w:lang w:val="es-ES_tradnl"/>
        </w:rPr>
        <w:t xml:space="preserve"> los particulares pueden transportar y utilizar a través de fronteras nacionales </w:t>
      </w:r>
      <w:r w:rsidR="00F74BDC">
        <w:rPr>
          <w:rFonts w:eastAsia="SimSun"/>
          <w:lang w:val="es-ES_tradnl"/>
        </w:rPr>
        <w:t>SRD</w:t>
      </w:r>
      <w:r w:rsidRPr="007E21F1">
        <w:rPr>
          <w:rFonts w:eastAsia="SimSun"/>
          <w:lang w:val="es-ES_tradnl"/>
        </w:rPr>
        <w:t xml:space="preserve"> cuyas categorías pueden no ser reconocibles, lo que puede causar dificultades en ciertos países,</w:t>
      </w:r>
    </w:p>
    <w:p w:rsidR="00B52654" w:rsidRPr="007E21F1" w:rsidRDefault="00B52654" w:rsidP="00B52654">
      <w:pPr>
        <w:pStyle w:val="Call"/>
        <w:rPr>
          <w:lang w:val="es-ES_tradnl"/>
        </w:rPr>
      </w:pPr>
      <w:proofErr w:type="gramStart"/>
      <w:r w:rsidRPr="007E21F1">
        <w:rPr>
          <w:lang w:val="es-ES_tradnl"/>
        </w:rPr>
        <w:t>observando</w:t>
      </w:r>
      <w:proofErr w:type="gramEnd"/>
    </w:p>
    <w:p w:rsidR="00B52654" w:rsidRPr="007E21F1" w:rsidRDefault="00B52654" w:rsidP="00B52654">
      <w:pPr>
        <w:rPr>
          <w:color w:val="000000"/>
          <w:szCs w:val="24"/>
          <w:lang w:val="es-ES_tradnl"/>
        </w:rPr>
      </w:pPr>
      <w:bookmarkStart w:id="5" w:name="OLE_LINK1"/>
      <w:bookmarkStart w:id="6" w:name="OLE_LINK2"/>
      <w:r w:rsidRPr="007E21F1">
        <w:rPr>
          <w:i/>
          <w:iCs/>
          <w:lang w:val="es-ES_tradnl"/>
        </w:rPr>
        <w:t>a)</w:t>
      </w:r>
      <w:r w:rsidRPr="007E21F1">
        <w:rPr>
          <w:lang w:val="es-ES_tradnl"/>
        </w:rPr>
        <w:tab/>
      </w:r>
      <w:bookmarkEnd w:id="5"/>
      <w:bookmarkEnd w:id="6"/>
      <w:r w:rsidRPr="007E21F1">
        <w:rPr>
          <w:lang w:val="es-ES_tradnl"/>
        </w:rPr>
        <w:t xml:space="preserve">que en el Taller de la UIT sobre </w:t>
      </w:r>
      <w:r w:rsidR="00F74BDC">
        <w:rPr>
          <w:lang w:val="es-ES_tradnl"/>
        </w:rPr>
        <w:t>SRD</w:t>
      </w:r>
      <w:r w:rsidRPr="007E21F1">
        <w:rPr>
          <w:color w:val="000000"/>
          <w:szCs w:val="24"/>
          <w:lang w:val="es-ES_tradnl"/>
        </w:rPr>
        <w:t xml:space="preserve">/UWB, celebrado el 3 de junio de 2014, se reconoció la importancia de que el UIT-R procurase avanzar en la clasificación de las aplicaciones </w:t>
      </w:r>
      <w:r w:rsidR="00F74BDC">
        <w:rPr>
          <w:color w:val="000000"/>
          <w:szCs w:val="24"/>
          <w:lang w:val="es-ES_tradnl"/>
        </w:rPr>
        <w:t>SRD</w:t>
      </w:r>
      <w:r w:rsidRPr="007E21F1">
        <w:rPr>
          <w:color w:val="000000"/>
          <w:szCs w:val="24"/>
          <w:lang w:val="es-ES_tradnl"/>
        </w:rPr>
        <w:t xml:space="preserve"> para facilitar el proceso de armonización mundial;</w:t>
      </w:r>
    </w:p>
    <w:p w:rsidR="00B52654" w:rsidRPr="007E21F1" w:rsidRDefault="00B52654" w:rsidP="00B52654">
      <w:pPr>
        <w:rPr>
          <w:lang w:val="es-ES_tradnl"/>
        </w:rPr>
      </w:pPr>
      <w:r w:rsidRPr="007E21F1">
        <w:rPr>
          <w:i/>
          <w:iCs/>
          <w:lang w:val="es-ES_tradnl"/>
        </w:rPr>
        <w:t>b)</w:t>
      </w:r>
      <w:r w:rsidRPr="007E21F1">
        <w:rPr>
          <w:lang w:val="es-ES_tradnl"/>
        </w:rPr>
        <w:tab/>
        <w:t xml:space="preserve">que en las respuestas al cuestionario preparado en el Taller de la UIT sobre </w:t>
      </w:r>
      <w:r w:rsidR="00F74BDC">
        <w:rPr>
          <w:lang w:val="es-ES_tradnl"/>
        </w:rPr>
        <w:t>SRD</w:t>
      </w:r>
      <w:r w:rsidRPr="007E21F1">
        <w:rPr>
          <w:lang w:val="es-ES_tradnl"/>
        </w:rPr>
        <w:t>/UWB, se indica que convendría crear una Recomendación UIT</w:t>
      </w:r>
      <w:r w:rsidRPr="007E21F1">
        <w:rPr>
          <w:color w:val="000000"/>
          <w:szCs w:val="24"/>
          <w:lang w:val="es-ES_tradnl"/>
        </w:rPr>
        <w:t xml:space="preserve">-R sobre la armonización de las categorías de </w:t>
      </w:r>
      <w:r w:rsidR="00F74BDC">
        <w:rPr>
          <w:color w:val="000000"/>
          <w:szCs w:val="24"/>
          <w:lang w:val="es-ES_tradnl"/>
        </w:rPr>
        <w:t>SRD</w:t>
      </w:r>
      <w:r w:rsidRPr="007E21F1">
        <w:rPr>
          <w:color w:val="000000"/>
          <w:szCs w:val="24"/>
          <w:lang w:val="es-ES_tradnl"/>
        </w:rPr>
        <w:t xml:space="preserve">, lo que permitiría una mayor armonización regional y mundial de la utilización de frecuencias y, más adelante, el reconocimiento mutuo de normas sobre aplicaciones </w:t>
      </w:r>
      <w:r w:rsidR="00F74BDC">
        <w:rPr>
          <w:color w:val="000000"/>
          <w:szCs w:val="24"/>
          <w:lang w:val="es-ES_tradnl"/>
        </w:rPr>
        <w:t>SRD</w:t>
      </w:r>
      <w:r w:rsidRPr="007E21F1">
        <w:rPr>
          <w:color w:val="000000"/>
          <w:szCs w:val="24"/>
          <w:lang w:val="es-ES_tradnl"/>
        </w:rPr>
        <w:t>;</w:t>
      </w:r>
    </w:p>
    <w:p w:rsidR="00B52654" w:rsidRPr="007E21F1" w:rsidRDefault="00B52654" w:rsidP="00B52654">
      <w:pPr>
        <w:rPr>
          <w:lang w:val="es-ES_tradnl"/>
        </w:rPr>
      </w:pPr>
      <w:r w:rsidRPr="007E21F1">
        <w:rPr>
          <w:i/>
          <w:iCs/>
          <w:lang w:val="es-ES_tradnl"/>
        </w:rPr>
        <w:t>c)</w:t>
      </w:r>
      <w:r w:rsidRPr="007E21F1">
        <w:rPr>
          <w:lang w:val="es-ES_tradnl"/>
        </w:rPr>
        <w:tab/>
        <w:t>que en la Resolución UIT</w:t>
      </w:r>
      <w:r w:rsidRPr="007E21F1">
        <w:rPr>
          <w:lang w:val="es-ES_tradnl"/>
        </w:rPr>
        <w:noBreakHyphen/>
        <w:t xml:space="preserve">R 54-2 se señala que el UIT-R debe perseverar en sus estudios para hacer posible la implementación de tecnologías avanzadas para los </w:t>
      </w:r>
      <w:r w:rsidR="00F74BDC">
        <w:rPr>
          <w:lang w:val="es-ES_tradnl"/>
        </w:rPr>
        <w:t>SRD</w:t>
      </w:r>
      <w:r w:rsidRPr="007E21F1">
        <w:rPr>
          <w:lang w:val="es-ES_tradnl"/>
        </w:rPr>
        <w:t>, centrándose, en particular, en una estrategia para el futuro;</w:t>
      </w:r>
    </w:p>
    <w:p w:rsidR="00B52654" w:rsidRPr="007E21F1" w:rsidRDefault="00B52654" w:rsidP="00B52654">
      <w:pPr>
        <w:rPr>
          <w:lang w:val="es-ES_tradnl"/>
        </w:rPr>
      </w:pPr>
      <w:r w:rsidRPr="007E21F1">
        <w:rPr>
          <w:i/>
          <w:iCs/>
          <w:lang w:val="es-ES_tradnl"/>
        </w:rPr>
        <w:t>d)</w:t>
      </w:r>
      <w:r w:rsidRPr="007E21F1">
        <w:rPr>
          <w:lang w:val="es-ES_tradnl"/>
        </w:rPr>
        <w:tab/>
        <w:t xml:space="preserve">que las gamas de frecuencias para la armonización regional o mundial de los </w:t>
      </w:r>
      <w:r w:rsidR="00F74BDC">
        <w:rPr>
          <w:lang w:val="es-ES_tradnl"/>
        </w:rPr>
        <w:t>SRD</w:t>
      </w:r>
      <w:r w:rsidRPr="007E21F1">
        <w:rPr>
          <w:lang w:val="es-ES_tradnl"/>
        </w:rPr>
        <w:t xml:space="preserve"> figuran en la Recomendación UIT-R SM.1896;</w:t>
      </w:r>
    </w:p>
    <w:p w:rsidR="00B52654" w:rsidRPr="007E21F1" w:rsidRDefault="00B52654" w:rsidP="00B52654">
      <w:pPr>
        <w:rPr>
          <w:lang w:val="es-ES_tradnl"/>
        </w:rPr>
      </w:pPr>
      <w:r w:rsidRPr="007E21F1">
        <w:rPr>
          <w:i/>
          <w:iCs/>
          <w:lang w:val="es-ES_tradnl"/>
        </w:rPr>
        <w:t>e)</w:t>
      </w:r>
      <w:r w:rsidRPr="007E21F1">
        <w:rPr>
          <w:lang w:val="es-ES_tradnl"/>
        </w:rPr>
        <w:tab/>
        <w:t xml:space="preserve">que las gamas de frecuencias, niveles de potencia y otros parámetros técnicos y operativos utilizados habitualmente por los </w:t>
      </w:r>
      <w:r w:rsidR="00F74BDC">
        <w:rPr>
          <w:lang w:val="es-ES_tradnl"/>
        </w:rPr>
        <w:t>SRD</w:t>
      </w:r>
      <w:r w:rsidRPr="007E21F1">
        <w:rPr>
          <w:lang w:val="es-ES_tradnl"/>
        </w:rPr>
        <w:t xml:space="preserve"> figuran en el Informe UIT</w:t>
      </w:r>
      <w:r w:rsidRPr="007E21F1">
        <w:rPr>
          <w:lang w:val="es-ES_tradnl"/>
        </w:rPr>
        <w:noBreakHyphen/>
        <w:t>R SM.2153 – Parámetros técnicos y de funcionamiento de los dispositivos de radiocomunicaciones de corto alcance y utilización del espectro por los mismos,</w:t>
      </w:r>
    </w:p>
    <w:p w:rsidR="00B52654" w:rsidRPr="007E21F1" w:rsidRDefault="00B52654" w:rsidP="00B52654">
      <w:pPr>
        <w:pStyle w:val="Call"/>
        <w:rPr>
          <w:lang w:val="es-ES_tradnl"/>
        </w:rPr>
      </w:pPr>
      <w:proofErr w:type="gramStart"/>
      <w:r w:rsidRPr="007E21F1">
        <w:rPr>
          <w:lang w:val="es-ES_tradnl"/>
        </w:rPr>
        <w:t>reconociendo</w:t>
      </w:r>
      <w:proofErr w:type="gramEnd"/>
    </w:p>
    <w:p w:rsidR="00B52654" w:rsidRPr="007E21F1" w:rsidRDefault="00B52654" w:rsidP="00B52654">
      <w:pPr>
        <w:rPr>
          <w:lang w:val="es-ES_tradnl"/>
        </w:rPr>
      </w:pPr>
      <w:r w:rsidRPr="007E21F1">
        <w:rPr>
          <w:rFonts w:eastAsia="SimSun"/>
          <w:i/>
          <w:iCs/>
          <w:lang w:val="es-ES_tradnl"/>
        </w:rPr>
        <w:t>a)</w:t>
      </w:r>
      <w:r w:rsidRPr="007E21F1">
        <w:rPr>
          <w:rFonts w:eastAsia="SimSun"/>
          <w:lang w:val="es-ES_tradnl"/>
        </w:rPr>
        <w:tab/>
        <w:t xml:space="preserve">que la armonización de las categorías de </w:t>
      </w:r>
      <w:r w:rsidR="00F74BDC">
        <w:rPr>
          <w:rFonts w:eastAsia="SimSun"/>
          <w:lang w:val="es-ES_tradnl"/>
        </w:rPr>
        <w:t>SRD</w:t>
      </w:r>
      <w:r w:rsidRPr="007E21F1">
        <w:rPr>
          <w:rFonts w:eastAsia="SimSun"/>
          <w:lang w:val="es-ES_tradnl"/>
        </w:rPr>
        <w:t xml:space="preserve"> presenta varias ventajas para los usuarios finales, los fabricantes y los reguladores, entre ellas:</w:t>
      </w:r>
    </w:p>
    <w:p w:rsidR="00B52654" w:rsidRPr="007E21F1" w:rsidRDefault="00B52654" w:rsidP="00B52654">
      <w:pPr>
        <w:pStyle w:val="enumlev1"/>
        <w:rPr>
          <w:lang w:val="es-ES_tradnl"/>
        </w:rPr>
      </w:pPr>
      <w:r w:rsidRPr="007E21F1">
        <w:rPr>
          <w:lang w:val="es-ES_tradnl"/>
        </w:rPr>
        <w:t>−</w:t>
      </w:r>
      <w:r w:rsidRPr="007E21F1">
        <w:rPr>
          <w:lang w:val="es-ES_tradnl"/>
        </w:rPr>
        <w:tab/>
      </w:r>
      <w:proofErr w:type="gramStart"/>
      <w:r w:rsidRPr="007E21F1">
        <w:rPr>
          <w:lang w:val="es-ES_tradnl"/>
        </w:rPr>
        <w:t>la</w:t>
      </w:r>
      <w:proofErr w:type="gramEnd"/>
      <w:r w:rsidRPr="007E21F1">
        <w:rPr>
          <w:lang w:val="es-ES_tradnl"/>
        </w:rPr>
        <w:t xml:space="preserve"> fabricación a mayor volumen y de una mayor cantidad de dispositivos, lo que genera economías de escala y la disponibilidad de los equipos;</w:t>
      </w:r>
    </w:p>
    <w:p w:rsidR="00B52654" w:rsidRPr="007E21F1" w:rsidRDefault="00B52654" w:rsidP="00B52654">
      <w:pPr>
        <w:pStyle w:val="enumlev1"/>
        <w:rPr>
          <w:lang w:val="es-ES_tradnl"/>
        </w:rPr>
      </w:pPr>
      <w:r w:rsidRPr="007E21F1">
        <w:rPr>
          <w:lang w:val="es-ES_tradnl"/>
        </w:rPr>
        <w:t>−</w:t>
      </w:r>
      <w:r w:rsidRPr="007E21F1">
        <w:rPr>
          <w:lang w:val="es-ES_tradnl"/>
        </w:rPr>
        <w:tab/>
      </w:r>
      <w:proofErr w:type="gramStart"/>
      <w:r w:rsidRPr="007E21F1">
        <w:rPr>
          <w:lang w:val="es-ES_tradnl"/>
        </w:rPr>
        <w:t>la</w:t>
      </w:r>
      <w:proofErr w:type="gramEnd"/>
      <w:r w:rsidRPr="007E21F1">
        <w:rPr>
          <w:lang w:val="es-ES_tradnl"/>
        </w:rPr>
        <w:t xml:space="preserve"> mejor normalización de los equipos;</w:t>
      </w:r>
    </w:p>
    <w:p w:rsidR="00B52654" w:rsidRPr="007E21F1" w:rsidRDefault="00B52654" w:rsidP="00B52654">
      <w:pPr>
        <w:rPr>
          <w:lang w:val="es-ES_tradnl"/>
        </w:rPr>
      </w:pPr>
      <w:r w:rsidRPr="007E21F1">
        <w:rPr>
          <w:i/>
          <w:iCs/>
          <w:lang w:val="es-ES_tradnl"/>
        </w:rPr>
        <w:t>b)</w:t>
      </w:r>
      <w:r w:rsidRPr="007E21F1">
        <w:rPr>
          <w:lang w:val="es-ES_tradnl"/>
        </w:rPr>
        <w:tab/>
        <w:t xml:space="preserve">que la armonización de las categorías de </w:t>
      </w:r>
      <w:r w:rsidR="00F74BDC">
        <w:rPr>
          <w:lang w:val="es-ES_tradnl"/>
        </w:rPr>
        <w:t>SRD</w:t>
      </w:r>
      <w:r w:rsidRPr="007E21F1">
        <w:rPr>
          <w:lang w:val="es-ES_tradnl"/>
        </w:rPr>
        <w:t xml:space="preserve"> podría contribuir a la identificación mundial de gamas de frecuencias para equipos </w:t>
      </w:r>
      <w:r w:rsidR="00F74BDC">
        <w:rPr>
          <w:lang w:val="es-ES_tradnl"/>
        </w:rPr>
        <w:t>SRD</w:t>
      </w:r>
      <w:r w:rsidRPr="007E21F1">
        <w:rPr>
          <w:lang w:val="es-ES_tradnl"/>
        </w:rPr>
        <w:t>;</w:t>
      </w:r>
    </w:p>
    <w:p w:rsidR="00B52654" w:rsidRPr="007E21F1" w:rsidRDefault="00B52654" w:rsidP="00B52654">
      <w:pPr>
        <w:rPr>
          <w:lang w:val="es-ES_tradnl"/>
        </w:rPr>
      </w:pPr>
      <w:r w:rsidRPr="007E21F1">
        <w:rPr>
          <w:i/>
          <w:iCs/>
          <w:lang w:val="es-ES_tradnl"/>
        </w:rPr>
        <w:t>c)</w:t>
      </w:r>
      <w:r w:rsidRPr="007E21F1">
        <w:rPr>
          <w:lang w:val="es-ES_tradnl"/>
        </w:rPr>
        <w:tab/>
        <w:t xml:space="preserve">que las administraciones también seguirán necesitando </w:t>
      </w:r>
      <w:r w:rsidR="00F74BDC">
        <w:rPr>
          <w:lang w:val="es-ES_tradnl"/>
        </w:rPr>
        <w:t>SRD</w:t>
      </w:r>
      <w:r w:rsidRPr="007E21F1">
        <w:rPr>
          <w:lang w:val="es-ES_tradnl"/>
        </w:rPr>
        <w:t xml:space="preserve"> cuyo funcionamiento no exija una armonización a escala mundial;</w:t>
      </w:r>
    </w:p>
    <w:p w:rsidR="00B52654" w:rsidRPr="007E21F1" w:rsidRDefault="00B52654" w:rsidP="00B52654">
      <w:pPr>
        <w:rPr>
          <w:lang w:val="es-ES_tradnl"/>
        </w:rPr>
      </w:pPr>
      <w:r w:rsidRPr="007E21F1">
        <w:rPr>
          <w:i/>
          <w:iCs/>
          <w:lang w:val="es-ES_tradnl"/>
        </w:rPr>
        <w:t>d)</w:t>
      </w:r>
      <w:r w:rsidRPr="007E21F1">
        <w:rPr>
          <w:lang w:val="es-ES_tradnl"/>
        </w:rPr>
        <w:tab/>
        <w:t xml:space="preserve">que, además de los aplicables a las aplicaciones </w:t>
      </w:r>
      <w:r w:rsidR="00F74BDC">
        <w:rPr>
          <w:lang w:val="es-ES_tradnl"/>
        </w:rPr>
        <w:t>SRD</w:t>
      </w:r>
      <w:r w:rsidRPr="007E21F1">
        <w:rPr>
          <w:lang w:val="es-ES_tradnl"/>
        </w:rPr>
        <w:t xml:space="preserve"> armonizadas, las administraciones seguirán elaborando reglamentos no armonizados adaptados a sus requisitos de </w:t>
      </w:r>
      <w:r w:rsidR="00F74BDC">
        <w:rPr>
          <w:lang w:val="es-ES_tradnl"/>
        </w:rPr>
        <w:t>SRD</w:t>
      </w:r>
      <w:r w:rsidRPr="007E21F1">
        <w:rPr>
          <w:lang w:val="es-ES_tradnl"/>
        </w:rPr>
        <w:t xml:space="preserve"> específicos,</w:t>
      </w:r>
    </w:p>
    <w:p w:rsidR="00B52654" w:rsidRPr="007E21F1" w:rsidRDefault="00B52654" w:rsidP="00B52654">
      <w:pPr>
        <w:pStyle w:val="Call"/>
        <w:rPr>
          <w:lang w:val="es-ES_tradnl"/>
        </w:rPr>
      </w:pPr>
      <w:proofErr w:type="gramStart"/>
      <w:r w:rsidRPr="007E21F1">
        <w:rPr>
          <w:lang w:val="es-ES_tradnl"/>
        </w:rPr>
        <w:t>recomienda</w:t>
      </w:r>
      <w:proofErr w:type="gramEnd"/>
    </w:p>
    <w:p w:rsidR="00B52654" w:rsidRPr="007E21F1" w:rsidRDefault="00B52654" w:rsidP="00B52654">
      <w:pPr>
        <w:rPr>
          <w:lang w:val="es-ES_tradnl"/>
        </w:rPr>
      </w:pPr>
      <w:r w:rsidRPr="007E21F1">
        <w:rPr>
          <w:b/>
          <w:bCs/>
          <w:lang w:val="es-ES_tradnl"/>
        </w:rPr>
        <w:t>1</w:t>
      </w:r>
      <w:r w:rsidRPr="007E21F1">
        <w:rPr>
          <w:lang w:val="es-ES_tradnl"/>
        </w:rPr>
        <w:tab/>
        <w:t xml:space="preserve">que para los </w:t>
      </w:r>
      <w:r w:rsidR="00F74BDC">
        <w:rPr>
          <w:lang w:val="es-ES_tradnl"/>
        </w:rPr>
        <w:t>SRD</w:t>
      </w:r>
      <w:r w:rsidRPr="007E21F1">
        <w:rPr>
          <w:lang w:val="es-ES_tradnl"/>
        </w:rPr>
        <w:t xml:space="preserve"> que necesiten una armonización mundial para su funcionamiento se consideren, si procede, las categorías especificadas en el Anexo 1;</w:t>
      </w:r>
    </w:p>
    <w:p w:rsidR="00B52654" w:rsidRPr="007E21F1" w:rsidRDefault="00B52654" w:rsidP="00B52654">
      <w:pPr>
        <w:rPr>
          <w:lang w:val="es-ES_tradnl"/>
        </w:rPr>
      </w:pPr>
      <w:r w:rsidRPr="007E21F1">
        <w:rPr>
          <w:b/>
          <w:bCs/>
          <w:lang w:val="es-ES_tradnl"/>
        </w:rPr>
        <w:lastRenderedPageBreak/>
        <w:t>2</w:t>
      </w:r>
      <w:r w:rsidRPr="007E21F1">
        <w:rPr>
          <w:lang w:val="es-ES_tradnl"/>
        </w:rPr>
        <w:tab/>
        <w:t xml:space="preserve">que las administraciones puedan seguir implementando los </w:t>
      </w:r>
      <w:r w:rsidR="00F74BDC">
        <w:rPr>
          <w:lang w:val="es-ES_tradnl"/>
        </w:rPr>
        <w:t>SRD</w:t>
      </w:r>
      <w:r w:rsidRPr="007E21F1">
        <w:rPr>
          <w:lang w:val="es-ES_tradnl"/>
        </w:rPr>
        <w:t xml:space="preserve"> que correspondan a las categorías especificadas de manera no armonizada, si procede.</w:t>
      </w:r>
    </w:p>
    <w:p w:rsidR="005A3B26" w:rsidRDefault="005A3B26" w:rsidP="005A3B26">
      <w:pPr>
        <w:rPr>
          <w:lang w:val="es-ES_tradnl"/>
        </w:rPr>
      </w:pPr>
    </w:p>
    <w:p w:rsidR="005A3B26" w:rsidRDefault="005A3B26" w:rsidP="005A3B26">
      <w:pPr>
        <w:rPr>
          <w:lang w:val="es-ES_tradnl"/>
        </w:rPr>
      </w:pPr>
    </w:p>
    <w:p w:rsidR="00B52654" w:rsidRPr="007E21F1" w:rsidRDefault="00B52654" w:rsidP="00B52654">
      <w:pPr>
        <w:pStyle w:val="AnnexNoTitle"/>
        <w:rPr>
          <w:lang w:val="es-ES_tradnl"/>
        </w:rPr>
      </w:pPr>
      <w:r w:rsidRPr="007E21F1">
        <w:rPr>
          <w:lang w:val="es-ES_tradnl"/>
        </w:rPr>
        <w:t>Anexo 1</w:t>
      </w:r>
      <w:r w:rsidRPr="007E21F1">
        <w:rPr>
          <w:lang w:val="es-ES_tradnl"/>
        </w:rPr>
        <w:br/>
      </w:r>
      <w:r w:rsidRPr="007E21F1">
        <w:rPr>
          <w:lang w:val="es-ES_tradnl"/>
        </w:rPr>
        <w:br/>
        <w:t xml:space="preserve">Categorías de </w:t>
      </w:r>
      <w:r w:rsidR="00F74BDC">
        <w:rPr>
          <w:lang w:val="es-ES_tradnl"/>
        </w:rPr>
        <w:t>SRD</w:t>
      </w:r>
      <w:r w:rsidRPr="007E21F1">
        <w:rPr>
          <w:lang w:val="es-ES_tradnl"/>
        </w:rPr>
        <w:t xml:space="preserve"> para la armonización mundial</w:t>
      </w:r>
    </w:p>
    <w:p w:rsidR="00B52654" w:rsidRPr="007E21F1" w:rsidRDefault="00B52654" w:rsidP="005A3B26">
      <w:pPr>
        <w:pStyle w:val="Heading1"/>
        <w:rPr>
          <w:lang w:val="es-ES_tradnl"/>
        </w:rPr>
      </w:pPr>
      <w:r w:rsidRPr="007E21F1">
        <w:rPr>
          <w:lang w:val="es-ES_tradnl"/>
        </w:rPr>
        <w:t>1</w:t>
      </w:r>
      <w:r w:rsidRPr="007E21F1">
        <w:rPr>
          <w:lang w:val="es-ES_tradnl"/>
        </w:rPr>
        <w:tab/>
      </w:r>
      <w:r w:rsidRPr="005A3B26">
        <w:t>Introducción</w:t>
      </w:r>
    </w:p>
    <w:p w:rsidR="00B52654" w:rsidRPr="007E21F1" w:rsidRDefault="00B52654" w:rsidP="005A3B26">
      <w:pPr>
        <w:rPr>
          <w:lang w:val="es-ES_tradnl"/>
        </w:rPr>
      </w:pPr>
      <w:r w:rsidRPr="007E21F1">
        <w:rPr>
          <w:lang w:val="es-ES_tradnl"/>
        </w:rPr>
        <w:t xml:space="preserve">Muchas aplicaciones </w:t>
      </w:r>
      <w:r w:rsidR="00F74BDC">
        <w:rPr>
          <w:lang w:val="es-ES_tradnl"/>
        </w:rPr>
        <w:t>SRD</w:t>
      </w:r>
      <w:r w:rsidRPr="007E21F1">
        <w:rPr>
          <w:lang w:val="es-ES_tradnl"/>
        </w:rPr>
        <w:t xml:space="preserve"> y las bandas de frecuencias en las que funcionan se describen en el Informe UIT</w:t>
      </w:r>
      <w:r w:rsidRPr="007E21F1">
        <w:rPr>
          <w:lang w:val="es-ES_tradnl"/>
        </w:rPr>
        <w:noBreakHyphen/>
        <w:t>R SM.2153 – Parámetros técnicos y de funcionamiento de los dispositivos de radiocomunicaciones de corto alcance y utilización del espectro por los mismos. En el Informe UIT</w:t>
      </w:r>
      <w:r w:rsidRPr="007E21F1">
        <w:rPr>
          <w:lang w:val="es-ES_tradnl"/>
        </w:rPr>
        <w:noBreakHyphen/>
        <w:t xml:space="preserve">R SM.2153 también se mencionan las categorías de </w:t>
      </w:r>
      <w:r w:rsidR="00F74BDC">
        <w:rPr>
          <w:lang w:val="es-ES_tradnl"/>
        </w:rPr>
        <w:t>SRD</w:t>
      </w:r>
      <w:r w:rsidRPr="007E21F1">
        <w:rPr>
          <w:lang w:val="es-ES_tradnl"/>
        </w:rPr>
        <w:t>, pero con un carácter más informativo que descriptivo. En el Capítulo 3 de ese Informe se indica lo siguiente:</w:t>
      </w:r>
    </w:p>
    <w:p w:rsidR="00B52654" w:rsidRPr="007E21F1" w:rsidRDefault="00B52654" w:rsidP="00CE7895">
      <w:pPr>
        <w:pStyle w:val="enumlev1"/>
        <w:rPr>
          <w:lang w:val="es-ES_tradnl"/>
        </w:rPr>
      </w:pPr>
      <w:r w:rsidRPr="007E21F1">
        <w:rPr>
          <w:lang w:val="es-ES_tradnl"/>
        </w:rPr>
        <w:tab/>
        <w:t>Debido a las muchas y diversas aplicaciones que proporcionan estos dispositivos, ninguna descripción puede ser exhaustiva. Sin embargo, las categorías siguientes se encuentran entre las consideradas como dispositivos de radiocomunicaciones de corto alcance:</w:t>
      </w:r>
    </w:p>
    <w:p w:rsidR="00B52654" w:rsidRPr="007E21F1" w:rsidRDefault="00B52654" w:rsidP="00B52654">
      <w:pPr>
        <w:pStyle w:val="enumlev2"/>
        <w:rPr>
          <w:lang w:val="es-ES_tradnl"/>
        </w:rPr>
      </w:pPr>
      <w:r w:rsidRPr="007E21F1">
        <w:rPr>
          <w:lang w:val="es-ES_tradnl"/>
        </w:rPr>
        <w:t>–</w:t>
      </w:r>
      <w:r w:rsidRPr="007E21F1">
        <w:rPr>
          <w:lang w:val="es-ES_tradnl"/>
        </w:rPr>
        <w:tab/>
        <w:t>Telemando.</w:t>
      </w:r>
    </w:p>
    <w:p w:rsidR="00B52654" w:rsidRPr="007E21F1" w:rsidRDefault="00B52654" w:rsidP="00B52654">
      <w:pPr>
        <w:pStyle w:val="enumlev2"/>
        <w:rPr>
          <w:lang w:val="es-ES_tradnl"/>
        </w:rPr>
      </w:pPr>
      <w:r w:rsidRPr="007E21F1">
        <w:rPr>
          <w:lang w:val="es-ES_tradnl"/>
        </w:rPr>
        <w:t>–</w:t>
      </w:r>
      <w:r w:rsidRPr="007E21F1">
        <w:rPr>
          <w:lang w:val="es-ES_tradnl"/>
        </w:rPr>
        <w:tab/>
        <w:t>Telemedida.</w:t>
      </w:r>
    </w:p>
    <w:p w:rsidR="00B52654" w:rsidRPr="007E21F1" w:rsidRDefault="00B52654" w:rsidP="00B52654">
      <w:pPr>
        <w:pStyle w:val="enumlev2"/>
        <w:rPr>
          <w:lang w:val="es-ES_tradnl"/>
        </w:rPr>
      </w:pPr>
      <w:r w:rsidRPr="007E21F1">
        <w:rPr>
          <w:lang w:val="es-ES_tradnl"/>
        </w:rPr>
        <w:t>–</w:t>
      </w:r>
      <w:r w:rsidRPr="007E21F1">
        <w:rPr>
          <w:lang w:val="es-ES_tradnl"/>
        </w:rPr>
        <w:tab/>
        <w:t>Voz y vídeo.</w:t>
      </w:r>
    </w:p>
    <w:p w:rsidR="00B52654" w:rsidRPr="007E21F1" w:rsidRDefault="00B52654" w:rsidP="00B52654">
      <w:pPr>
        <w:pStyle w:val="enumlev2"/>
        <w:rPr>
          <w:lang w:val="es-ES_tradnl"/>
        </w:rPr>
      </w:pPr>
      <w:r w:rsidRPr="007E21F1">
        <w:rPr>
          <w:lang w:val="es-ES_tradnl"/>
        </w:rPr>
        <w:t>–</w:t>
      </w:r>
      <w:r w:rsidRPr="007E21F1">
        <w:rPr>
          <w:lang w:val="es-ES_tradnl"/>
        </w:rPr>
        <w:tab/>
        <w:t>Equipos para detectar víctimas de avalanchas.</w:t>
      </w:r>
    </w:p>
    <w:p w:rsidR="00B52654" w:rsidRPr="007E21F1" w:rsidRDefault="00B52654" w:rsidP="00B52654">
      <w:pPr>
        <w:pStyle w:val="enumlev2"/>
        <w:rPr>
          <w:lang w:val="es-ES_tradnl"/>
        </w:rPr>
      </w:pPr>
      <w:r w:rsidRPr="007E21F1">
        <w:rPr>
          <w:lang w:val="es-ES_tradnl"/>
        </w:rPr>
        <w:t>–</w:t>
      </w:r>
      <w:r w:rsidRPr="007E21F1">
        <w:rPr>
          <w:lang w:val="es-ES_tradnl"/>
        </w:rPr>
        <w:tab/>
        <w:t>Redes radioeléctricas de área local (RLAN) de banda ancha.</w:t>
      </w:r>
    </w:p>
    <w:p w:rsidR="00B52654" w:rsidRPr="007E21F1" w:rsidRDefault="00B52654" w:rsidP="00B52654">
      <w:pPr>
        <w:pStyle w:val="enumlev2"/>
        <w:rPr>
          <w:lang w:val="es-ES_tradnl"/>
        </w:rPr>
      </w:pPr>
      <w:r w:rsidRPr="007E21F1">
        <w:rPr>
          <w:lang w:val="es-ES_tradnl"/>
        </w:rPr>
        <w:t>–</w:t>
      </w:r>
      <w:r w:rsidRPr="007E21F1">
        <w:rPr>
          <w:lang w:val="es-ES_tradnl"/>
        </w:rPr>
        <w:tab/>
        <w:t>Aplicaciones ferroviarias.</w:t>
      </w:r>
    </w:p>
    <w:p w:rsidR="00B52654" w:rsidRPr="007E21F1" w:rsidRDefault="00B52654" w:rsidP="00B52654">
      <w:pPr>
        <w:pStyle w:val="enumlev2"/>
        <w:rPr>
          <w:lang w:val="es-ES_tradnl"/>
        </w:rPr>
      </w:pPr>
      <w:r w:rsidRPr="007E21F1">
        <w:rPr>
          <w:lang w:val="es-ES_tradnl"/>
        </w:rPr>
        <w:t>–</w:t>
      </w:r>
      <w:r w:rsidRPr="007E21F1">
        <w:rPr>
          <w:lang w:val="es-ES_tradnl"/>
        </w:rPr>
        <w:tab/>
        <w:t>Identificación automática de vehículos.</w:t>
      </w:r>
    </w:p>
    <w:p w:rsidR="00B52654" w:rsidRPr="007E21F1" w:rsidRDefault="00B52654" w:rsidP="00B52654">
      <w:pPr>
        <w:pStyle w:val="enumlev2"/>
        <w:rPr>
          <w:lang w:val="es-ES_tradnl"/>
        </w:rPr>
      </w:pPr>
      <w:r w:rsidRPr="007E21F1">
        <w:rPr>
          <w:lang w:val="es-ES_tradnl"/>
        </w:rPr>
        <w:t>–</w:t>
      </w:r>
      <w:r w:rsidRPr="007E21F1">
        <w:rPr>
          <w:lang w:val="es-ES_tradnl"/>
        </w:rPr>
        <w:tab/>
        <w:t>Telemática de transporte y tráfico en carreteras.</w:t>
      </w:r>
    </w:p>
    <w:p w:rsidR="00B52654" w:rsidRPr="007E21F1" w:rsidRDefault="00B52654" w:rsidP="00B52654">
      <w:pPr>
        <w:pStyle w:val="enumlev2"/>
        <w:rPr>
          <w:lang w:val="es-ES_tradnl"/>
        </w:rPr>
      </w:pPr>
      <w:r w:rsidRPr="007E21F1">
        <w:rPr>
          <w:lang w:val="es-ES_tradnl"/>
        </w:rPr>
        <w:t>–</w:t>
      </w:r>
      <w:r w:rsidRPr="007E21F1">
        <w:rPr>
          <w:lang w:val="es-ES_tradnl"/>
        </w:rPr>
        <w:tab/>
        <w:t>Equipamiento para detectar movimiento y equipamiento para alertas.</w:t>
      </w:r>
    </w:p>
    <w:p w:rsidR="00B52654" w:rsidRPr="007E21F1" w:rsidRDefault="00B52654" w:rsidP="00B52654">
      <w:pPr>
        <w:pStyle w:val="enumlev2"/>
        <w:rPr>
          <w:lang w:val="es-ES_tradnl"/>
        </w:rPr>
      </w:pPr>
      <w:r w:rsidRPr="007E21F1">
        <w:rPr>
          <w:lang w:val="es-ES_tradnl"/>
        </w:rPr>
        <w:t>–</w:t>
      </w:r>
      <w:r w:rsidRPr="007E21F1">
        <w:rPr>
          <w:lang w:val="es-ES_tradnl"/>
        </w:rPr>
        <w:tab/>
        <w:t>Alarmas.</w:t>
      </w:r>
    </w:p>
    <w:p w:rsidR="00B52654" w:rsidRPr="007E21F1" w:rsidRDefault="00B52654" w:rsidP="00B52654">
      <w:pPr>
        <w:pStyle w:val="enumlev2"/>
        <w:rPr>
          <w:lang w:val="es-ES_tradnl"/>
        </w:rPr>
      </w:pPr>
      <w:r w:rsidRPr="007E21F1">
        <w:rPr>
          <w:lang w:val="es-ES_tradnl"/>
        </w:rPr>
        <w:t>–</w:t>
      </w:r>
      <w:r w:rsidRPr="007E21F1">
        <w:rPr>
          <w:lang w:val="es-ES_tradnl"/>
        </w:rPr>
        <w:tab/>
        <w:t>Control de modelos.</w:t>
      </w:r>
    </w:p>
    <w:p w:rsidR="00B52654" w:rsidRPr="007E21F1" w:rsidRDefault="00B52654" w:rsidP="00B52654">
      <w:pPr>
        <w:pStyle w:val="enumlev2"/>
        <w:rPr>
          <w:lang w:val="es-ES_tradnl"/>
        </w:rPr>
      </w:pPr>
      <w:r w:rsidRPr="007E21F1">
        <w:rPr>
          <w:lang w:val="es-ES_tradnl"/>
        </w:rPr>
        <w:t>–</w:t>
      </w:r>
      <w:r w:rsidRPr="007E21F1">
        <w:rPr>
          <w:lang w:val="es-ES_tradnl"/>
        </w:rPr>
        <w:tab/>
        <w:t>Aplicaciones inductivas.</w:t>
      </w:r>
    </w:p>
    <w:p w:rsidR="00B52654" w:rsidRPr="007E21F1" w:rsidRDefault="00B52654" w:rsidP="00B52654">
      <w:pPr>
        <w:pStyle w:val="enumlev2"/>
        <w:rPr>
          <w:lang w:val="es-ES_tradnl"/>
        </w:rPr>
      </w:pPr>
      <w:r w:rsidRPr="007E21F1">
        <w:rPr>
          <w:lang w:val="es-ES_tradnl"/>
        </w:rPr>
        <w:t>–</w:t>
      </w:r>
      <w:r w:rsidRPr="007E21F1">
        <w:rPr>
          <w:lang w:val="es-ES_tradnl"/>
        </w:rPr>
        <w:tab/>
        <w:t>Micrófonos radioeléctricos.</w:t>
      </w:r>
    </w:p>
    <w:p w:rsidR="00B52654" w:rsidRPr="007E21F1" w:rsidRDefault="00B52654" w:rsidP="00B52654">
      <w:pPr>
        <w:pStyle w:val="enumlev2"/>
        <w:rPr>
          <w:lang w:val="es-ES_tradnl"/>
        </w:rPr>
      </w:pPr>
      <w:r w:rsidRPr="007E21F1">
        <w:rPr>
          <w:lang w:val="es-ES_tradnl"/>
        </w:rPr>
        <w:t>–</w:t>
      </w:r>
      <w:r w:rsidRPr="007E21F1">
        <w:rPr>
          <w:lang w:val="es-ES_tradnl"/>
        </w:rPr>
        <w:tab/>
        <w:t>Sistemas de identificación de RF.</w:t>
      </w:r>
    </w:p>
    <w:p w:rsidR="00B52654" w:rsidRPr="007E21F1" w:rsidRDefault="00B52654" w:rsidP="00B52654">
      <w:pPr>
        <w:pStyle w:val="enumlev2"/>
        <w:rPr>
          <w:lang w:val="es-ES_tradnl"/>
        </w:rPr>
      </w:pPr>
      <w:r w:rsidRPr="007E21F1">
        <w:rPr>
          <w:lang w:val="es-ES_tradnl"/>
        </w:rPr>
        <w:t>–</w:t>
      </w:r>
      <w:r w:rsidRPr="007E21F1">
        <w:rPr>
          <w:lang w:val="es-ES_tradnl"/>
        </w:rPr>
        <w:tab/>
        <w:t>Implantes médicos activos de potencia extremadamente baja.</w:t>
      </w:r>
    </w:p>
    <w:p w:rsidR="00B52654" w:rsidRPr="007E21F1" w:rsidRDefault="00B52654" w:rsidP="00B52654">
      <w:pPr>
        <w:pStyle w:val="enumlev2"/>
        <w:rPr>
          <w:lang w:val="es-ES_tradnl"/>
        </w:rPr>
      </w:pPr>
      <w:r w:rsidRPr="007E21F1">
        <w:rPr>
          <w:lang w:val="es-ES_tradnl"/>
        </w:rPr>
        <w:t>–</w:t>
      </w:r>
      <w:r w:rsidRPr="007E21F1">
        <w:rPr>
          <w:lang w:val="es-ES_tradnl"/>
        </w:rPr>
        <w:tab/>
        <w:t>Aplicaciones inalámbricas de audio</w:t>
      </w:r>
    </w:p>
    <w:p w:rsidR="00B52654" w:rsidRPr="007E21F1" w:rsidRDefault="00B52654" w:rsidP="00B52654">
      <w:pPr>
        <w:pStyle w:val="enumlev2"/>
        <w:rPr>
          <w:lang w:val="es-ES_tradnl"/>
        </w:rPr>
      </w:pPr>
      <w:r w:rsidRPr="007E21F1">
        <w:rPr>
          <w:lang w:val="es-ES_tradnl"/>
        </w:rPr>
        <w:t>–</w:t>
      </w:r>
      <w:r w:rsidRPr="007E21F1">
        <w:rPr>
          <w:lang w:val="es-ES_tradnl"/>
        </w:rPr>
        <w:tab/>
        <w:t>Indicadores de nivel de RF (radar).</w:t>
      </w:r>
    </w:p>
    <w:p w:rsidR="00B52654" w:rsidRPr="007E21F1" w:rsidRDefault="00B52654" w:rsidP="00B52654">
      <w:pPr>
        <w:rPr>
          <w:lang w:val="es-ES_tradnl"/>
        </w:rPr>
      </w:pPr>
      <w:r w:rsidRPr="007E21F1">
        <w:rPr>
          <w:lang w:val="es-ES_tradnl"/>
        </w:rPr>
        <w:t xml:space="preserve">Además, otras aplicaciones </w:t>
      </w:r>
      <w:r w:rsidR="00F74BDC">
        <w:rPr>
          <w:lang w:val="es-ES_tradnl"/>
        </w:rPr>
        <w:t>SRD</w:t>
      </w:r>
      <w:r w:rsidRPr="007E21F1">
        <w:rPr>
          <w:lang w:val="es-ES_tradnl"/>
        </w:rPr>
        <w:t xml:space="preserve"> pueden ser las tecnologías de banda ultraancha que pueden emplearse para las comunicaciones, la medida, la determinación de ubicación, la toma de imágenes, los sistemas médicos y de vigilancia, las comunicaciones en el campo cercano, los dispositivos de espacios en blanco; la automatización doméstica, la medición y los dispositivos para las ciudades inteligentes y sostenibles.</w:t>
      </w:r>
    </w:p>
    <w:p w:rsidR="00B52654" w:rsidRPr="007E21F1" w:rsidRDefault="00B52654" w:rsidP="00E16483">
      <w:pPr>
        <w:keepNext/>
        <w:keepLines/>
        <w:rPr>
          <w:lang w:val="es-ES_tradnl"/>
        </w:rPr>
      </w:pPr>
      <w:r w:rsidRPr="007E21F1">
        <w:rPr>
          <w:lang w:val="es-ES_tradnl"/>
        </w:rPr>
        <w:lastRenderedPageBreak/>
        <w:t xml:space="preserve">Estas categorías no están armonizadas, por lo que es necesario que el UIT-R emprenda otros estudios para determinar si la armonización mundial o regional de estas categorías es viable, habida cuenta de que hay muchas aplicaciones </w:t>
      </w:r>
      <w:r w:rsidR="00F74BDC">
        <w:rPr>
          <w:lang w:val="es-ES_tradnl"/>
        </w:rPr>
        <w:t>SRD</w:t>
      </w:r>
      <w:r w:rsidRPr="007E21F1">
        <w:rPr>
          <w:lang w:val="es-ES_tradnl"/>
        </w:rPr>
        <w:t xml:space="preserve"> (como las que funcionan a través de fronteras nacionales), para las que una armonización mundial sería ventajosa.</w:t>
      </w:r>
    </w:p>
    <w:p w:rsidR="00B52654" w:rsidRPr="007E21F1" w:rsidRDefault="00B52654" w:rsidP="00B52654">
      <w:pPr>
        <w:rPr>
          <w:lang w:val="es-ES_tradnl"/>
        </w:rPr>
      </w:pPr>
      <w:r w:rsidRPr="007E21F1">
        <w:rPr>
          <w:lang w:val="es-ES_tradnl"/>
        </w:rPr>
        <w:t xml:space="preserve">Entre las aplicaciones </w:t>
      </w:r>
      <w:r w:rsidR="00F74BDC">
        <w:rPr>
          <w:lang w:val="es-ES_tradnl"/>
        </w:rPr>
        <w:t>SRD</w:t>
      </w:r>
      <w:r w:rsidRPr="007E21F1">
        <w:rPr>
          <w:lang w:val="es-ES_tradnl"/>
        </w:rPr>
        <w:t xml:space="preserve"> que funcionan a través de fronteras pueden mencionarse las siguientes: aplicaciones médicas, aplicaciones </w:t>
      </w:r>
      <w:r w:rsidR="00F74BDC">
        <w:rPr>
          <w:lang w:val="es-ES_tradnl"/>
        </w:rPr>
        <w:t>SRD</w:t>
      </w:r>
      <w:r w:rsidRPr="007E21F1">
        <w:rPr>
          <w:lang w:val="es-ES_tradnl"/>
        </w:rPr>
        <w:t xml:space="preserve"> utilizadas en el interior y el exterior de aeronaves, </w:t>
      </w:r>
      <w:r w:rsidR="00F74BDC">
        <w:rPr>
          <w:lang w:val="es-ES_tradnl"/>
        </w:rPr>
        <w:t>SRD</w:t>
      </w:r>
      <w:r w:rsidRPr="007E21F1">
        <w:rPr>
          <w:lang w:val="es-ES_tradnl"/>
        </w:rPr>
        <w:t xml:space="preserve"> empleados en tarjetas identificativas, determinadas aplicaciones de sistemas de transporte inteligentes (ITS), aplicaciones RFID para sistemas de gestión de equipajes en aeropuertos, gestión de objetos, aplicaciones de logística, ganadería, vigilancia electrónica de artículos (EAS), así como comunicaciones de campo cercano (NFC). La ISO y otros organismos de normalización internacional han elaborado normas para muchas de esas aplicaciones.</w:t>
      </w:r>
    </w:p>
    <w:p w:rsidR="00B52654" w:rsidRPr="007E21F1" w:rsidRDefault="00B52654" w:rsidP="00B52654">
      <w:pPr>
        <w:spacing w:before="80"/>
        <w:rPr>
          <w:lang w:val="es-ES_tradnl"/>
        </w:rPr>
      </w:pPr>
      <w:r w:rsidRPr="007E21F1">
        <w:rPr>
          <w:lang w:val="es-ES_tradnl"/>
        </w:rPr>
        <w:t xml:space="preserve">En el UIT-R aún no se ha tomado una decisión acerca de cómo categorizar estas aplicaciones de </w:t>
      </w:r>
      <w:r w:rsidR="00F74BDC">
        <w:rPr>
          <w:lang w:val="es-ES_tradnl"/>
        </w:rPr>
        <w:t>SRD</w:t>
      </w:r>
      <w:r w:rsidRPr="007E21F1">
        <w:rPr>
          <w:lang w:val="es-ES_tradnl"/>
        </w:rPr>
        <w:t xml:space="preserve"> a nivel mundial y las diferencias en las condiciones de acceso al espectro y normas técnicas para los dispositivos que pueden entrar en una misma categoría pueden aumentar los costos para los consumidores de </w:t>
      </w:r>
      <w:r w:rsidR="00F74BDC">
        <w:rPr>
          <w:lang w:val="es-ES_tradnl"/>
        </w:rPr>
        <w:t>SRD</w:t>
      </w:r>
      <w:r w:rsidRPr="007E21F1">
        <w:rPr>
          <w:lang w:val="es-ES_tradnl"/>
        </w:rPr>
        <w:t xml:space="preserve">. En Recomendaciones UIT-R e Informes UIT-R deben definirse categorías de </w:t>
      </w:r>
      <w:r w:rsidR="00F74BDC">
        <w:rPr>
          <w:lang w:val="es-ES_tradnl"/>
        </w:rPr>
        <w:t>SRD</w:t>
      </w:r>
      <w:r w:rsidRPr="007E21F1">
        <w:rPr>
          <w:lang w:val="es-ES_tradnl"/>
        </w:rPr>
        <w:t xml:space="preserve"> comunes, además de las bandas de frecuencias y normas técnicas comunes para los dispositivos de una misma categoría, a fin de servir de orientación para las administraciones nacionales.</w:t>
      </w:r>
    </w:p>
    <w:p w:rsidR="00B52654" w:rsidRPr="007E21F1" w:rsidRDefault="00B52654" w:rsidP="00B52654">
      <w:pPr>
        <w:pStyle w:val="Heading1"/>
        <w:rPr>
          <w:lang w:val="es-ES_tradnl"/>
        </w:rPr>
      </w:pPr>
      <w:r w:rsidRPr="007E21F1">
        <w:rPr>
          <w:lang w:val="es-ES_tradnl"/>
        </w:rPr>
        <w:t>2</w:t>
      </w:r>
      <w:r w:rsidRPr="007E21F1">
        <w:rPr>
          <w:lang w:val="es-ES_tradnl"/>
        </w:rPr>
        <w:tab/>
        <w:t xml:space="preserve">Categorías de </w:t>
      </w:r>
      <w:r w:rsidR="00F74BDC">
        <w:rPr>
          <w:lang w:val="es-ES_tradnl"/>
        </w:rPr>
        <w:t>SRD</w:t>
      </w:r>
      <w:r w:rsidRPr="007E21F1">
        <w:rPr>
          <w:lang w:val="es-ES_tradnl"/>
        </w:rPr>
        <w:t xml:space="preserve"> para la armonización mundial</w:t>
      </w:r>
    </w:p>
    <w:p w:rsidR="00B52654" w:rsidRPr="007E21F1" w:rsidRDefault="00B52654" w:rsidP="00B52654">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4361"/>
        <w:gridCol w:w="2551"/>
      </w:tblGrid>
      <w:tr w:rsidR="00B52654" w:rsidRPr="007E21F1" w:rsidTr="003E595B">
        <w:trPr>
          <w:cantSplit/>
          <w:tblHeader/>
          <w:jc w:val="center"/>
        </w:trPr>
        <w:tc>
          <w:tcPr>
            <w:tcW w:w="2727" w:type="dxa"/>
            <w:vAlign w:val="center"/>
          </w:tcPr>
          <w:p w:rsidR="00B52654" w:rsidRPr="007E21F1" w:rsidRDefault="00B52654" w:rsidP="002E46C0">
            <w:pPr>
              <w:pStyle w:val="Tablehead"/>
              <w:rPr>
                <w:lang w:val="es-ES_tradnl"/>
              </w:rPr>
            </w:pPr>
            <w:r w:rsidRPr="007E21F1">
              <w:rPr>
                <w:lang w:val="es-ES_tradnl"/>
              </w:rPr>
              <w:t xml:space="preserve">Categoría de </w:t>
            </w:r>
            <w:r w:rsidR="00F74BDC">
              <w:rPr>
                <w:lang w:val="es-ES_tradnl"/>
              </w:rPr>
              <w:t>SRD</w:t>
            </w:r>
          </w:p>
        </w:tc>
        <w:tc>
          <w:tcPr>
            <w:tcW w:w="4361" w:type="dxa"/>
            <w:vAlign w:val="center"/>
          </w:tcPr>
          <w:p w:rsidR="00B52654" w:rsidRPr="007E21F1" w:rsidRDefault="00B52654" w:rsidP="002E46C0">
            <w:pPr>
              <w:pStyle w:val="Tablehead"/>
              <w:rPr>
                <w:lang w:val="es-ES_tradnl"/>
              </w:rPr>
            </w:pPr>
            <w:r w:rsidRPr="007E21F1">
              <w:rPr>
                <w:lang w:val="es-ES_tradnl"/>
              </w:rPr>
              <w:t>Definición</w:t>
            </w:r>
          </w:p>
        </w:tc>
        <w:tc>
          <w:tcPr>
            <w:tcW w:w="2551" w:type="dxa"/>
            <w:vAlign w:val="center"/>
          </w:tcPr>
          <w:p w:rsidR="00B52654" w:rsidRPr="007E21F1" w:rsidRDefault="00B52654" w:rsidP="002E46C0">
            <w:pPr>
              <w:pStyle w:val="Tablehead"/>
              <w:rPr>
                <w:lang w:val="es-ES_tradnl"/>
              </w:rPr>
            </w:pPr>
            <w:r w:rsidRPr="007E21F1">
              <w:rPr>
                <w:lang w:val="es-ES_tradnl"/>
              </w:rPr>
              <w:t>Problemas de implementación</w:t>
            </w:r>
          </w:p>
        </w:tc>
      </w:tr>
      <w:tr w:rsidR="00B52654" w:rsidRPr="00514E94" w:rsidTr="002E46C0">
        <w:trPr>
          <w:cantSplit/>
          <w:jc w:val="center"/>
        </w:trPr>
        <w:tc>
          <w:tcPr>
            <w:tcW w:w="2727" w:type="dxa"/>
          </w:tcPr>
          <w:p w:rsidR="00B52654" w:rsidRPr="007E21F1" w:rsidRDefault="00B52654" w:rsidP="003E595B">
            <w:pPr>
              <w:pStyle w:val="Tabletext"/>
              <w:jc w:val="left"/>
              <w:rPr>
                <w:lang w:val="es-ES_tradnl"/>
              </w:rPr>
            </w:pPr>
            <w:r w:rsidRPr="007E21F1">
              <w:rPr>
                <w:lang w:val="es-ES_tradnl"/>
              </w:rPr>
              <w:t xml:space="preserve">Aplicaciones </w:t>
            </w:r>
            <w:r w:rsidR="00F74BDC">
              <w:rPr>
                <w:lang w:val="es-ES_tradnl"/>
              </w:rPr>
              <w:t>SRD</w:t>
            </w:r>
            <w:r w:rsidRPr="007E21F1">
              <w:rPr>
                <w:lang w:val="es-ES_tradnl"/>
              </w:rPr>
              <w:t xml:space="preserve"> no específicas</w:t>
            </w:r>
          </w:p>
        </w:tc>
        <w:tc>
          <w:tcPr>
            <w:tcW w:w="4361" w:type="dxa"/>
          </w:tcPr>
          <w:p w:rsidR="00B52654" w:rsidRPr="007E21F1" w:rsidRDefault="00B52654" w:rsidP="003E595B">
            <w:pPr>
              <w:pStyle w:val="Tabletext"/>
              <w:jc w:val="left"/>
              <w:rPr>
                <w:lang w:val="es-ES_tradnl"/>
              </w:rPr>
            </w:pPr>
            <w:r w:rsidRPr="007E21F1">
              <w:rPr>
                <w:lang w:val="es-ES_tradnl"/>
              </w:rPr>
              <w:t xml:space="preserve">Categoría abierta a todas las aplicaciones </w:t>
            </w:r>
            <w:r w:rsidR="00F74BDC">
              <w:rPr>
                <w:lang w:val="es-ES_tradnl"/>
              </w:rPr>
              <w:t>SRD</w:t>
            </w:r>
          </w:p>
        </w:tc>
        <w:tc>
          <w:tcPr>
            <w:tcW w:w="2551" w:type="dxa"/>
          </w:tcPr>
          <w:p w:rsidR="00B52654" w:rsidRPr="007E21F1" w:rsidRDefault="00B52654" w:rsidP="003E595B">
            <w:pPr>
              <w:pStyle w:val="Tabletext"/>
              <w:jc w:val="left"/>
              <w:rPr>
                <w:lang w:val="es-ES_tradnl"/>
              </w:rPr>
            </w:pPr>
            <w:r w:rsidRPr="007E21F1">
              <w:rPr>
                <w:lang w:val="es-ES_tradnl"/>
              </w:rPr>
              <w:t xml:space="preserve">Las aplicaciones </w:t>
            </w:r>
            <w:r w:rsidR="00F74BDC">
              <w:rPr>
                <w:lang w:val="es-ES_tradnl"/>
              </w:rPr>
              <w:t>SRD</w:t>
            </w:r>
            <w:r w:rsidRPr="007E21F1">
              <w:rPr>
                <w:lang w:val="es-ES_tradnl"/>
              </w:rPr>
              <w:t xml:space="preserve"> no específicas pueden evitar la fragmentación de la utilización del espectro y fomentar la innovación </w:t>
            </w:r>
          </w:p>
        </w:tc>
      </w:tr>
      <w:tr w:rsidR="00B52654" w:rsidRPr="00514E94" w:rsidTr="002E46C0">
        <w:trPr>
          <w:cantSplit/>
          <w:jc w:val="center"/>
        </w:trPr>
        <w:tc>
          <w:tcPr>
            <w:tcW w:w="2727" w:type="dxa"/>
          </w:tcPr>
          <w:p w:rsidR="00B52654" w:rsidRPr="007E21F1" w:rsidRDefault="00F74BDC" w:rsidP="003E595B">
            <w:pPr>
              <w:pStyle w:val="Tabletext"/>
              <w:jc w:val="left"/>
              <w:rPr>
                <w:lang w:val="es-ES_tradnl"/>
              </w:rPr>
            </w:pPr>
            <w:r>
              <w:rPr>
                <w:lang w:val="es-ES_tradnl"/>
              </w:rPr>
              <w:t>SRD</w:t>
            </w:r>
            <w:r w:rsidR="00B52654" w:rsidRPr="007E21F1">
              <w:rPr>
                <w:lang w:val="es-ES_tradnl"/>
              </w:rPr>
              <w:t xml:space="preserve"> para telemática del transporte y el tráfico</w:t>
            </w:r>
          </w:p>
        </w:tc>
        <w:tc>
          <w:tcPr>
            <w:tcW w:w="4361" w:type="dxa"/>
          </w:tcPr>
          <w:p w:rsidR="00B52654" w:rsidRPr="007E21F1" w:rsidRDefault="00B52654" w:rsidP="003E595B">
            <w:pPr>
              <w:pStyle w:val="Tabletext"/>
              <w:jc w:val="left"/>
              <w:rPr>
                <w:lang w:val="es-ES_tradnl"/>
              </w:rPr>
            </w:pPr>
            <w:r w:rsidRPr="007E21F1">
              <w:rPr>
                <w:lang w:val="es-ES_tradnl"/>
              </w:rPr>
              <w:t xml:space="preserve">Aplicaciones </w:t>
            </w:r>
            <w:r w:rsidR="00F74BDC">
              <w:rPr>
                <w:lang w:val="es-ES_tradnl"/>
              </w:rPr>
              <w:t>SRD</w:t>
            </w:r>
            <w:r w:rsidRPr="007E21F1">
              <w:rPr>
                <w:lang w:val="es-ES_tradnl"/>
              </w:rPr>
              <w:t xml:space="preserve"> utilizadas en el ámbito de la telemática del transporte y el tráfico (vial, ferroviario, por mar y aire, en función de las restricciones técnicas pertinentes), gestión del tráfico, navegación y gestión de la movilidad. Las aplicaciones típicas se emplean como interfaz entre distintos modos de transporte, comunicación entre vehículos (por ejemplo, coche-coche), entre vehículos y puntos fijos (por ejemplo, coche-infraestructura), la comunicación entre y hacia los usuarios y las instalaciones de sistemas de radar</w:t>
            </w:r>
          </w:p>
        </w:tc>
        <w:tc>
          <w:tcPr>
            <w:tcW w:w="2551" w:type="dxa"/>
          </w:tcPr>
          <w:p w:rsidR="00B52654" w:rsidRPr="007E21F1" w:rsidRDefault="00B52654" w:rsidP="003E595B">
            <w:pPr>
              <w:pStyle w:val="Tabletext"/>
              <w:jc w:val="left"/>
              <w:rPr>
                <w:lang w:val="es-ES_tradnl"/>
              </w:rPr>
            </w:pPr>
            <w:r w:rsidRPr="007E21F1">
              <w:rPr>
                <w:lang w:val="es-ES_tradnl"/>
              </w:rPr>
              <w:t>Los estudios de compartición normalmente han considerado la compatibilidad de las aplicaciones en tierra</w:t>
            </w:r>
          </w:p>
        </w:tc>
      </w:tr>
      <w:tr w:rsidR="00B52654" w:rsidRPr="00514E94" w:rsidTr="002E46C0">
        <w:trPr>
          <w:cantSplit/>
          <w:jc w:val="center"/>
        </w:trPr>
        <w:tc>
          <w:tcPr>
            <w:tcW w:w="2727" w:type="dxa"/>
          </w:tcPr>
          <w:p w:rsidR="00B52654" w:rsidRPr="007E21F1" w:rsidRDefault="00F74BDC" w:rsidP="003E595B">
            <w:pPr>
              <w:pStyle w:val="Tabletext"/>
              <w:jc w:val="left"/>
              <w:rPr>
                <w:lang w:val="es-ES_tradnl"/>
              </w:rPr>
            </w:pPr>
            <w:r>
              <w:rPr>
                <w:lang w:val="es-ES_tradnl"/>
              </w:rPr>
              <w:t>SRD</w:t>
            </w:r>
            <w:r w:rsidR="00B52654" w:rsidRPr="007E21F1">
              <w:rPr>
                <w:lang w:val="es-ES_tradnl"/>
              </w:rPr>
              <w:t xml:space="preserve"> para radiodeterminación</w:t>
            </w:r>
          </w:p>
        </w:tc>
        <w:tc>
          <w:tcPr>
            <w:tcW w:w="4361" w:type="dxa"/>
          </w:tcPr>
          <w:p w:rsidR="00B52654" w:rsidRPr="007E21F1" w:rsidRDefault="00B52654" w:rsidP="003E595B">
            <w:pPr>
              <w:pStyle w:val="Tabletext"/>
              <w:jc w:val="left"/>
              <w:rPr>
                <w:lang w:val="es-ES_tradnl"/>
              </w:rPr>
            </w:pPr>
            <w:r w:rsidRPr="007E21F1">
              <w:rPr>
                <w:lang w:val="es-ES_tradnl"/>
              </w:rPr>
              <w:t xml:space="preserve">Aplicaciones </w:t>
            </w:r>
            <w:r w:rsidR="00F74BDC">
              <w:rPr>
                <w:lang w:val="es-ES_tradnl"/>
              </w:rPr>
              <w:t>SRD</w:t>
            </w:r>
            <w:r w:rsidRPr="007E21F1">
              <w:rPr>
                <w:lang w:val="es-ES_tradnl"/>
              </w:rPr>
              <w:t xml:space="preserve"> de radiodeterminación, </w:t>
            </w:r>
            <w:proofErr w:type="gramStart"/>
            <w:r w:rsidRPr="007E21F1">
              <w:rPr>
                <w:lang w:val="es-ES_tradnl"/>
              </w:rPr>
              <w:t>incluidos</w:t>
            </w:r>
            <w:proofErr w:type="gramEnd"/>
            <w:r w:rsidRPr="007E21F1">
              <w:rPr>
                <w:lang w:val="es-ES_tradnl"/>
              </w:rPr>
              <w:t xml:space="preserve"> los equipos para detectar el movimiento y los equipos de alerta. La radiodeterminación se define como la determinación de la posición, la velocidad y/u otras características de un objeto, o la obtención de información relativa a estos parámetros</w:t>
            </w:r>
          </w:p>
        </w:tc>
        <w:tc>
          <w:tcPr>
            <w:tcW w:w="2551" w:type="dxa"/>
          </w:tcPr>
          <w:p w:rsidR="00B52654" w:rsidRPr="007E21F1" w:rsidRDefault="00B52654" w:rsidP="003E595B">
            <w:pPr>
              <w:pStyle w:val="Tabletext"/>
              <w:jc w:val="left"/>
              <w:rPr>
                <w:lang w:val="es-ES_tradnl"/>
              </w:rPr>
            </w:pPr>
            <w:r w:rsidRPr="007E21F1">
              <w:rPr>
                <w:lang w:val="es-ES_tradnl"/>
              </w:rPr>
              <w:t xml:space="preserve">Los equipos </w:t>
            </w:r>
            <w:r w:rsidR="00F74BDC">
              <w:rPr>
                <w:lang w:val="es-ES_tradnl"/>
              </w:rPr>
              <w:t>SRD</w:t>
            </w:r>
            <w:r w:rsidRPr="007E21F1">
              <w:rPr>
                <w:lang w:val="es-ES_tradnl"/>
              </w:rPr>
              <w:t xml:space="preserve"> de radiodeterminación suelen realizar mediciones para obtener esas características. Las radiocomunicaciones punto a punto o punto a multipunto del tipo que sean quedan fuera de esta definición</w:t>
            </w:r>
          </w:p>
        </w:tc>
      </w:tr>
      <w:tr w:rsidR="00B52654" w:rsidRPr="00514E94" w:rsidTr="002E46C0">
        <w:trPr>
          <w:cantSplit/>
          <w:jc w:val="center"/>
        </w:trPr>
        <w:tc>
          <w:tcPr>
            <w:tcW w:w="2727" w:type="dxa"/>
          </w:tcPr>
          <w:p w:rsidR="00B52654" w:rsidRPr="007E21F1" w:rsidRDefault="00F74BDC" w:rsidP="003E595B">
            <w:pPr>
              <w:pStyle w:val="Tabletext"/>
              <w:jc w:val="left"/>
              <w:rPr>
                <w:lang w:val="es-ES_tradnl"/>
              </w:rPr>
            </w:pPr>
            <w:r>
              <w:rPr>
                <w:lang w:val="es-ES_tradnl"/>
              </w:rPr>
              <w:lastRenderedPageBreak/>
              <w:t>SRD</w:t>
            </w:r>
            <w:r w:rsidR="00B52654" w:rsidRPr="007E21F1">
              <w:rPr>
                <w:lang w:val="es-ES_tradnl"/>
              </w:rPr>
              <w:t xml:space="preserve"> para alarmas inalámbricas</w:t>
            </w:r>
          </w:p>
        </w:tc>
        <w:tc>
          <w:tcPr>
            <w:tcW w:w="4361" w:type="dxa"/>
          </w:tcPr>
          <w:p w:rsidR="00B52654" w:rsidRPr="007E21F1" w:rsidRDefault="00B52654" w:rsidP="003E595B">
            <w:pPr>
              <w:pStyle w:val="Tabletext"/>
              <w:jc w:val="left"/>
              <w:rPr>
                <w:lang w:val="es-ES_tradnl"/>
              </w:rPr>
            </w:pPr>
            <w:r w:rsidRPr="007E21F1">
              <w:rPr>
                <w:lang w:val="es-ES_tradnl"/>
              </w:rPr>
              <w:t xml:space="preserve">Aplicaciones </w:t>
            </w:r>
            <w:r w:rsidR="00F74BDC">
              <w:rPr>
                <w:lang w:val="es-ES_tradnl"/>
              </w:rPr>
              <w:t>SRD</w:t>
            </w:r>
            <w:r w:rsidRPr="007E21F1">
              <w:rPr>
                <w:lang w:val="es-ES_tradnl"/>
              </w:rPr>
              <w:t xml:space="preserve"> para alarmas inalámbricas, incluidas las alarmas de seguridad</w:t>
            </w:r>
          </w:p>
        </w:tc>
        <w:tc>
          <w:tcPr>
            <w:tcW w:w="2551" w:type="dxa"/>
          </w:tcPr>
          <w:p w:rsidR="00B52654" w:rsidRPr="007E21F1" w:rsidRDefault="00B52654" w:rsidP="003E595B">
            <w:pPr>
              <w:pStyle w:val="Tabletext"/>
              <w:jc w:val="left"/>
              <w:rPr>
                <w:lang w:val="es-ES_tradnl"/>
              </w:rPr>
            </w:pPr>
            <w:r w:rsidRPr="007E21F1">
              <w:rPr>
                <w:lang w:val="es-ES_tradnl"/>
              </w:rPr>
              <w:t>Un sistema de alarma es un dispositivo que utiliza las radiocomunicaciones para alertar a un sistema o una persona, como principal funcionalidad, que se encuentra en otro lugar cuando ocurre un problema o se da una situación específica</w:t>
            </w:r>
          </w:p>
        </w:tc>
      </w:tr>
      <w:tr w:rsidR="00B52654" w:rsidRPr="00514E94" w:rsidTr="002E46C0">
        <w:trPr>
          <w:cantSplit/>
          <w:jc w:val="center"/>
        </w:trPr>
        <w:tc>
          <w:tcPr>
            <w:tcW w:w="2727" w:type="dxa"/>
          </w:tcPr>
          <w:p w:rsidR="00B52654" w:rsidRPr="007E21F1" w:rsidRDefault="00F74BDC" w:rsidP="003E595B">
            <w:pPr>
              <w:pStyle w:val="Tabletext"/>
              <w:jc w:val="left"/>
              <w:rPr>
                <w:lang w:val="es-ES_tradnl"/>
              </w:rPr>
            </w:pPr>
            <w:r>
              <w:rPr>
                <w:lang w:val="es-ES_tradnl"/>
              </w:rPr>
              <w:t>SRD</w:t>
            </w:r>
            <w:r w:rsidR="00B52654" w:rsidRPr="007E21F1">
              <w:rPr>
                <w:lang w:val="es-ES_tradnl"/>
              </w:rPr>
              <w:t xml:space="preserve"> para control de modelos</w:t>
            </w:r>
          </w:p>
        </w:tc>
        <w:tc>
          <w:tcPr>
            <w:tcW w:w="4361" w:type="dxa"/>
          </w:tcPr>
          <w:p w:rsidR="00B52654" w:rsidRPr="007E21F1" w:rsidRDefault="00B52654" w:rsidP="003E595B">
            <w:pPr>
              <w:pStyle w:val="Tabletext"/>
              <w:jc w:val="left"/>
              <w:rPr>
                <w:lang w:val="es-ES_tradnl"/>
              </w:rPr>
            </w:pPr>
            <w:r w:rsidRPr="007E21F1">
              <w:rPr>
                <w:lang w:val="es-ES_tradnl"/>
              </w:rPr>
              <w:t xml:space="preserve">Aplicación </w:t>
            </w:r>
            <w:r w:rsidR="00F74BDC">
              <w:rPr>
                <w:lang w:val="es-ES_tradnl"/>
              </w:rPr>
              <w:t>SRD</w:t>
            </w:r>
            <w:r w:rsidRPr="007E21F1">
              <w:rPr>
                <w:lang w:val="es-ES_tradnl"/>
              </w:rPr>
              <w:t xml:space="preserve"> de equipos de control de modelos cuyo único fin es el control del movimiento del modelo en el aire, la tierra, la superficie del agua o debajo de ella.</w:t>
            </w:r>
          </w:p>
        </w:tc>
        <w:tc>
          <w:tcPr>
            <w:tcW w:w="2551" w:type="dxa"/>
          </w:tcPr>
          <w:p w:rsidR="00B52654" w:rsidRPr="007E21F1" w:rsidRDefault="00B52654" w:rsidP="003E595B">
            <w:pPr>
              <w:pStyle w:val="Tabletext"/>
              <w:jc w:val="left"/>
              <w:rPr>
                <w:lang w:val="es-ES_tradnl"/>
              </w:rPr>
            </w:pPr>
            <w:r w:rsidRPr="007E21F1">
              <w:rPr>
                <w:lang w:val="es-ES_tradnl"/>
              </w:rPr>
              <w:t xml:space="preserve">Los reglamentos nacionales suelen incluir límites de peso y altura por encima del suelo para las maquetas voladoras </w:t>
            </w:r>
          </w:p>
        </w:tc>
      </w:tr>
      <w:tr w:rsidR="00B52654" w:rsidRPr="00514E94" w:rsidTr="002E46C0">
        <w:trPr>
          <w:cantSplit/>
          <w:jc w:val="center"/>
        </w:trPr>
        <w:tc>
          <w:tcPr>
            <w:tcW w:w="2727" w:type="dxa"/>
          </w:tcPr>
          <w:p w:rsidR="00B52654" w:rsidRPr="007E21F1" w:rsidRDefault="00B52654" w:rsidP="003E595B">
            <w:pPr>
              <w:pStyle w:val="Tabletext"/>
              <w:jc w:val="left"/>
              <w:rPr>
                <w:lang w:val="es-ES_tradnl"/>
              </w:rPr>
            </w:pPr>
            <w:r w:rsidRPr="007E21F1">
              <w:rPr>
                <w:lang w:val="es-ES_tradnl"/>
              </w:rPr>
              <w:t>Aplicaciones de radiomicrófonos, aplicaciones de audio, incluidas las ayudas para las personas con deficiencias auditivas sujetas a un régimen libre de licencias</w:t>
            </w:r>
          </w:p>
        </w:tc>
        <w:tc>
          <w:tcPr>
            <w:tcW w:w="4361" w:type="dxa"/>
          </w:tcPr>
          <w:p w:rsidR="00B52654" w:rsidRPr="007E21F1" w:rsidRDefault="00B52654" w:rsidP="003E595B">
            <w:pPr>
              <w:pStyle w:val="Tabletext"/>
              <w:jc w:val="left"/>
              <w:rPr>
                <w:lang w:val="es-ES_tradnl"/>
              </w:rPr>
            </w:pPr>
            <w:r w:rsidRPr="007E21F1">
              <w:rPr>
                <w:lang w:val="es-ES_tradnl"/>
              </w:rPr>
              <w:t>Aplicaciones de radiomicrófonos (también denominados micrófonos inalámbricos o micrófonos sin cordón), incluidas las ayudas para las personas con deficiencias auditivas (también denominados dispositivos de escucha asistida). Los radiomicrófonos son transmisores de pequeño tamaño y baja potencia (normalmente 50 mW o menos) diseñados para estar acoplados al propio cuerpo, o de bolsillo, destinados a la transmisión del sonido. Los receptores están más adaptados a usos específicos y pueden ser desde módulos pequeños y portátiles hasta montados en bastidores formando parte de un sistema multicanal. Los radiomicrófonos pueden ser profesionales y de usuario, tanto de bolsillo como incorporados al cuerpo y ayudas para las personas con deficiencias auditivas. Debido a la dificultad para determinar bandas de frecuencias armonizadas para los radiomicrófonos, los límites de las bandas de frecuencia deben considerarse como gamas de sintonía dentro de las cuales debe funcionar el dispositivo.</w:t>
            </w:r>
          </w:p>
        </w:tc>
        <w:tc>
          <w:tcPr>
            <w:tcW w:w="2551" w:type="dxa"/>
          </w:tcPr>
          <w:p w:rsidR="00B52654" w:rsidRPr="007E21F1" w:rsidRDefault="00B52654" w:rsidP="003E595B">
            <w:pPr>
              <w:pStyle w:val="Tabletext"/>
              <w:jc w:val="left"/>
              <w:rPr>
                <w:lang w:val="es-ES_tradnl"/>
              </w:rPr>
            </w:pPr>
            <w:r w:rsidRPr="007E21F1">
              <w:rPr>
                <w:lang w:val="es-ES_tradnl"/>
              </w:rPr>
              <w:t>Puede que se necesiten autorizaciones individuales para las aplicaciones de radiomicrófonos con mayores niveles de emisión</w:t>
            </w:r>
          </w:p>
        </w:tc>
      </w:tr>
      <w:tr w:rsidR="00B52654" w:rsidRPr="00514E94" w:rsidTr="002E46C0">
        <w:trPr>
          <w:cantSplit/>
          <w:jc w:val="center"/>
        </w:trPr>
        <w:tc>
          <w:tcPr>
            <w:tcW w:w="2727" w:type="dxa"/>
          </w:tcPr>
          <w:p w:rsidR="00B52654" w:rsidRPr="007E21F1" w:rsidRDefault="00B52654" w:rsidP="003E595B">
            <w:pPr>
              <w:pStyle w:val="Tabletext"/>
              <w:jc w:val="left"/>
              <w:rPr>
                <w:lang w:val="es-ES_tradnl"/>
              </w:rPr>
            </w:pPr>
            <w:r w:rsidRPr="007E21F1">
              <w:rPr>
                <w:lang w:val="es-ES_tradnl"/>
              </w:rPr>
              <w:lastRenderedPageBreak/>
              <w:t>Aplicaciones de identificación por radiofrecuencia (RFID)</w:t>
            </w:r>
          </w:p>
        </w:tc>
        <w:tc>
          <w:tcPr>
            <w:tcW w:w="4361" w:type="dxa"/>
          </w:tcPr>
          <w:p w:rsidR="00B52654" w:rsidRPr="007E21F1" w:rsidRDefault="00B52654" w:rsidP="003E595B">
            <w:pPr>
              <w:pStyle w:val="Tabletext"/>
              <w:jc w:val="left"/>
              <w:rPr>
                <w:lang w:val="es-ES_tradnl"/>
              </w:rPr>
            </w:pPr>
            <w:r w:rsidRPr="007E21F1">
              <w:rPr>
                <w:lang w:val="es-ES_tradnl"/>
              </w:rPr>
              <w:t>Las aplicaciones de identificación por radiofrecuencia (RFID) incluyen, por ejemplo, la identificación automática de artículos, el seguimiento de bienes y mercancías, los sistemas de alarma, la gestión de residuos, la identificación personal, el control de acceso, los sensores de proximidad, los sistemas antirrobo, los sistemas de localización, la transferencia de datos a dispositivos de bolsillo y los sistemas de control inalámbricos.</w:t>
            </w:r>
          </w:p>
          <w:p w:rsidR="00B52654" w:rsidRPr="007E21F1" w:rsidRDefault="00B52654" w:rsidP="003E595B">
            <w:pPr>
              <w:pStyle w:val="Tabletext"/>
              <w:jc w:val="left"/>
              <w:rPr>
                <w:lang w:val="es-ES_tradnl"/>
              </w:rPr>
            </w:pPr>
            <w:r w:rsidRPr="007E21F1">
              <w:rPr>
                <w:lang w:val="es-ES_tradnl"/>
              </w:rPr>
              <w:t xml:space="preserve">La tecnología RFID permite todo tipo de aplicaciones en red en todos los ámbitos, que suelen denominarse </w:t>
            </w:r>
            <w:r w:rsidR="003D6E75">
              <w:rPr>
                <w:lang w:val="es-ES_tradnl"/>
              </w:rPr>
              <w:t>«</w:t>
            </w:r>
            <w:r w:rsidRPr="007E21F1">
              <w:rPr>
                <w:lang w:val="es-ES_tradnl"/>
              </w:rPr>
              <w:t>Internet de las cosas</w:t>
            </w:r>
            <w:r w:rsidR="003D6E75">
              <w:rPr>
                <w:lang w:val="es-ES_tradnl"/>
              </w:rPr>
              <w:t>»</w:t>
            </w:r>
            <w:r w:rsidRPr="007E21F1">
              <w:rPr>
                <w:lang w:val="es-ES_tradnl"/>
              </w:rPr>
              <w:t xml:space="preserve"> o </w:t>
            </w:r>
            <w:r w:rsidR="003D6E75">
              <w:rPr>
                <w:lang w:val="es-ES_tradnl"/>
              </w:rPr>
              <w:t>«</w:t>
            </w:r>
            <w:r w:rsidRPr="007E21F1">
              <w:rPr>
                <w:lang w:val="es-ES_tradnl"/>
              </w:rPr>
              <w:t>comunicaciones máquina a máquina</w:t>
            </w:r>
            <w:r w:rsidR="003D6E75">
              <w:rPr>
                <w:lang w:val="es-ES_tradnl"/>
              </w:rPr>
              <w:t>»</w:t>
            </w:r>
            <w:r w:rsidRPr="007E21F1">
              <w:rPr>
                <w:lang w:val="es-ES_tradnl"/>
              </w:rPr>
              <w:t xml:space="preserve"> y no dependen de la aplicación.</w:t>
            </w:r>
          </w:p>
          <w:p w:rsidR="00B52654" w:rsidRPr="007E21F1" w:rsidRDefault="00B52654" w:rsidP="003E595B">
            <w:pPr>
              <w:pStyle w:val="Tabletext"/>
              <w:jc w:val="left"/>
              <w:rPr>
                <w:lang w:val="es-ES_tradnl"/>
              </w:rPr>
            </w:pPr>
            <w:r w:rsidRPr="007E21F1">
              <w:rPr>
                <w:lang w:val="es-ES_tradnl"/>
              </w:rPr>
              <w:t>Los sistemas RFID suelen utilizarse para rastrear, identificar y recopilar/transportar datos relativos a objetos animados o inanimados que llevan etiquetas. Las etiquetas pueden carecer de batería, pueden utilizarla y pueden estar alimentadas con ella. El interrogador valida las respuestas recibidas de las etiquetas y las transmite al sistema anfitrión.</w:t>
            </w:r>
          </w:p>
        </w:tc>
        <w:tc>
          <w:tcPr>
            <w:tcW w:w="2551" w:type="dxa"/>
          </w:tcPr>
          <w:p w:rsidR="00B52654" w:rsidRPr="007E21F1" w:rsidRDefault="00B52654" w:rsidP="003E595B">
            <w:pPr>
              <w:pStyle w:val="Tabletext"/>
              <w:jc w:val="left"/>
              <w:rPr>
                <w:lang w:val="es-ES_tradnl"/>
              </w:rPr>
            </w:pPr>
            <w:r w:rsidRPr="007E21F1">
              <w:rPr>
                <w:lang w:val="es-ES_tradnl"/>
              </w:rPr>
              <w:t>Se sugiere mantener la definición de RFID lo más amplia posible, pues incluye todos los tipos de sistemas etiqueta/interrogador</w:t>
            </w:r>
          </w:p>
        </w:tc>
      </w:tr>
      <w:tr w:rsidR="00B52654" w:rsidRPr="00514E94" w:rsidTr="002E46C0">
        <w:trPr>
          <w:cantSplit/>
          <w:jc w:val="center"/>
        </w:trPr>
        <w:tc>
          <w:tcPr>
            <w:tcW w:w="2727" w:type="dxa"/>
          </w:tcPr>
          <w:p w:rsidR="00B52654" w:rsidRPr="007E21F1" w:rsidRDefault="00B52654" w:rsidP="003E595B">
            <w:pPr>
              <w:pStyle w:val="Tabletext"/>
              <w:jc w:val="left"/>
              <w:rPr>
                <w:lang w:val="es-ES_tradnl"/>
              </w:rPr>
            </w:pPr>
            <w:r w:rsidRPr="007E21F1">
              <w:rPr>
                <w:lang w:val="es-ES_tradnl"/>
              </w:rPr>
              <w:t>Implantes médicos activos de potencia extremadamente baja</w:t>
            </w:r>
          </w:p>
        </w:tc>
        <w:tc>
          <w:tcPr>
            <w:tcW w:w="4361" w:type="dxa"/>
          </w:tcPr>
          <w:p w:rsidR="00B52654" w:rsidRPr="007E21F1" w:rsidRDefault="00B52654" w:rsidP="003E595B">
            <w:pPr>
              <w:pStyle w:val="Tabletext"/>
              <w:jc w:val="left"/>
              <w:rPr>
                <w:rFonts w:eastAsia="SimSun"/>
                <w:lang w:val="es-ES_tradnl"/>
              </w:rPr>
            </w:pPr>
            <w:r w:rsidRPr="007E21F1">
              <w:rPr>
                <w:lang w:val="es-ES_tradnl"/>
              </w:rPr>
              <w:t xml:space="preserve">Las aplicaciones </w:t>
            </w:r>
            <w:r w:rsidR="00F74BDC">
              <w:rPr>
                <w:lang w:val="es-ES_tradnl"/>
              </w:rPr>
              <w:t>SRD</w:t>
            </w:r>
            <w:r w:rsidRPr="007E21F1">
              <w:rPr>
                <w:lang w:val="es-ES_tradnl"/>
              </w:rPr>
              <w:t xml:space="preserve"> para implantes médicos de potencia extremadamente baja </w:t>
            </w:r>
            <w:r w:rsidRPr="007E21F1">
              <w:rPr>
                <w:rFonts w:eastAsia="SimSun"/>
                <w:lang w:val="es-ES_tradnl"/>
              </w:rPr>
              <w:t>(ULP-AMI) son la parte radioeléctrica de los dispositivos médicos implantables (AIMD). Los AIMD son todos los dispositivos médicos activos destinados a estar total o parcialmente introducidos quirúrgicamente en el cuerpo humano o médicamente en un orificio natural, y cuyo objetivo es permanecer ahí tras el procedimiento correspondiente.</w:t>
            </w:r>
          </w:p>
          <w:p w:rsidR="00B52654" w:rsidRPr="007E21F1" w:rsidRDefault="00B52654" w:rsidP="003E595B">
            <w:pPr>
              <w:pStyle w:val="Tabletext"/>
              <w:jc w:val="left"/>
              <w:rPr>
                <w:lang w:val="es-ES_tradnl"/>
              </w:rPr>
            </w:pPr>
            <w:r w:rsidRPr="007E21F1">
              <w:rPr>
                <w:rFonts w:eastAsia="SimSun"/>
                <w:lang w:val="es-ES_tradnl"/>
              </w:rPr>
              <w:t>Los ULP-AMI suelen utilizarse para mantener y mejorar la calidad de vida de las personas. Los implantes activos realizan una variedad creciente de funciones terapéuticas: regulación del ritmo cardiaco (mediante marcapasos y/o desfibrilación), control del dolor, administración de productos farmacéuticos, control de la incontinencia y tratamiento de convulsiones neurológicas, por citar sólo algunas.</w:t>
            </w:r>
          </w:p>
        </w:tc>
        <w:tc>
          <w:tcPr>
            <w:tcW w:w="2551" w:type="dxa"/>
          </w:tcPr>
          <w:p w:rsidR="00B52654" w:rsidRPr="007E21F1" w:rsidRDefault="00B52654" w:rsidP="003E595B">
            <w:pPr>
              <w:pStyle w:val="Tabletext"/>
              <w:jc w:val="left"/>
              <w:rPr>
                <w:lang w:val="es-ES_tradnl"/>
              </w:rPr>
            </w:pPr>
            <w:r w:rsidRPr="007E21F1">
              <w:rPr>
                <w:rFonts w:eastAsia="SimSun"/>
                <w:lang w:val="es-ES_tradnl"/>
              </w:rPr>
              <w:t xml:space="preserve">Los ULP-AMI son inherentemente portátiles. Los pacientes se desplazan por todo el mundo y pueden encontrarse lejos de su médico de cabecera cuando se produce una emergencia y surge la necesidad de establecer una comunicación con el dispositivo. </w:t>
            </w:r>
          </w:p>
        </w:tc>
      </w:tr>
    </w:tbl>
    <w:p w:rsidR="00B52654" w:rsidRPr="007E21F1" w:rsidRDefault="00B52654" w:rsidP="00B52654">
      <w:pPr>
        <w:pStyle w:val="Reasons"/>
        <w:rPr>
          <w:lang w:val="es-ES_tradnl"/>
        </w:rPr>
      </w:pPr>
    </w:p>
    <w:p w:rsidR="00B52654" w:rsidRPr="007E21F1" w:rsidRDefault="00B52654" w:rsidP="00B52654">
      <w:pPr>
        <w:jc w:val="center"/>
        <w:rPr>
          <w:lang w:val="es-ES_tradnl"/>
        </w:rPr>
      </w:pPr>
      <w:r w:rsidRPr="007E21F1">
        <w:rPr>
          <w:lang w:val="es-ES_tradnl"/>
        </w:rPr>
        <w:t>______________</w:t>
      </w:r>
    </w:p>
    <w:p w:rsidR="00B1717A" w:rsidRPr="00DE5A70" w:rsidRDefault="00B1717A" w:rsidP="000718CA">
      <w:pPr>
        <w:pStyle w:val="RecNo"/>
        <w:spacing w:before="0"/>
        <w:rPr>
          <w:lang w:val="es-ES_tradnl"/>
        </w:rPr>
      </w:pPr>
    </w:p>
    <w:sectPr w:rsidR="00B1717A" w:rsidRPr="00DE5A70" w:rsidSect="005A3B26">
      <w:headerReference w:type="even" r:id="rId13"/>
      <w:headerReference w:type="default" r:id="rId14"/>
      <w:footerReference w:type="even" r:id="rId15"/>
      <w:footerReference w:type="default" r:id="rId16"/>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636" w:rsidRDefault="00953636">
      <w:r>
        <w:separator/>
      </w:r>
    </w:p>
  </w:endnote>
  <w:endnote w:type="continuationSeparator" w:id="0">
    <w:p w:rsidR="00953636" w:rsidRDefault="00953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692" w:rsidRDefault="007C0692" w:rsidP="007C06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692" w:rsidRDefault="007C06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636" w:rsidRDefault="00953636">
      <w:r>
        <w:separator/>
      </w:r>
    </w:p>
  </w:footnote>
  <w:footnote w:type="continuationSeparator" w:id="0">
    <w:p w:rsidR="00953636" w:rsidRDefault="009536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rsidP="00D62884">
    <w:pPr>
      <w:pStyle w:val="Header"/>
      <w:ind w:right="360" w:firstLine="360"/>
    </w:pPr>
    <w:r>
      <w:rPr>
        <w:noProof/>
        <w:lang w:val="en-GB"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B59" w:rsidRDefault="007F3B59" w:rsidP="007F3B59">
    <w:pPr>
      <w:pStyle w:val="Header"/>
      <w:jc w:val="both"/>
    </w:pPr>
    <w:r>
      <w:tab/>
    </w:r>
    <w:fldSimple w:instr=" DOCPROPERTY &quot;Header&quot; \* MERGEFORMAT ">
      <w:r w:rsidR="008C5470" w:rsidRPr="008C547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C5470">
      <w:rPr>
        <w:b/>
        <w:bCs/>
        <w:noProof/>
      </w:rPr>
      <w:t>UIT-R  SM.2103-0</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8C5470">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C5470">
      <w:rPr>
        <w:rStyle w:val="PageNumber"/>
        <w:b/>
        <w:bCs/>
        <w:noProof/>
      </w:rPr>
      <w:t>ii</w:t>
    </w:r>
    <w:r>
      <w:rPr>
        <w:rStyle w:val="PageNumber"/>
        <w:b/>
        <w:bCs/>
      </w:rPr>
      <w:fldChar w:fldCharType="end"/>
    </w:r>
    <w:r>
      <w:tab/>
    </w:r>
    <w:fldSimple w:instr=" DOCPROPERTY &quot;Header&quot; \* MERGEFORMAT ">
      <w:r w:rsidR="008C5470" w:rsidRPr="008C5470">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8C5470">
      <w:rPr>
        <w:b/>
        <w:bCs/>
        <w:noProof/>
      </w:rPr>
      <w:t>UIT-R  SM.2103-0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B59" w:rsidRDefault="007F3B59"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5A3B26">
      <w:rPr>
        <w:rStyle w:val="PageNumber"/>
        <w:b/>
        <w:bCs/>
        <w:noProof/>
      </w:rPr>
      <w:t>ii</w:t>
    </w:r>
    <w:r>
      <w:rPr>
        <w:rStyle w:val="PageNumber"/>
        <w:b/>
        <w:bCs/>
      </w:rPr>
      <w:fldChar w:fldCharType="end"/>
    </w:r>
    <w:r>
      <w:tab/>
    </w:r>
    <w:fldSimple w:instr=" DOCPROPERTY &quot;Header&quot; \* MERGEFORMAT ">
      <w:r w:rsidR="008C5470" w:rsidRPr="008C547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C5470">
      <w:rPr>
        <w:b/>
        <w:bCs/>
        <w:noProof/>
      </w:rPr>
      <w:t>UIT-R  SM.2103-0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C5470">
      <w:rPr>
        <w:rStyle w:val="PageNumber"/>
        <w:b/>
        <w:bCs/>
        <w:noProof/>
        <w:lang w:val="en-US"/>
      </w:rPr>
      <w:t>6</w:t>
    </w:r>
    <w:r>
      <w:rPr>
        <w:rStyle w:val="PageNumber"/>
        <w:b/>
        <w:bCs/>
      </w:rPr>
      <w:fldChar w:fldCharType="end"/>
    </w:r>
    <w:r>
      <w:rPr>
        <w:lang w:val="en-US"/>
      </w:rPr>
      <w:tab/>
    </w:r>
    <w:fldSimple w:instr=" DOCPROPERTY &quot;Header&quot; \* MERGEFORMAT ">
      <w:r w:rsidR="008C5470" w:rsidRPr="008C547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8C5470">
      <w:rPr>
        <w:b/>
        <w:bCs/>
        <w:noProof/>
      </w:rPr>
      <w:t>UIT-R  SM.2103-0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pPr>
      <w:pStyle w:val="Header"/>
    </w:pPr>
    <w:r>
      <w:tab/>
    </w:r>
    <w:fldSimple w:instr=" DOCPROPERTY &quot;Header&quot; \* MERGEFORMAT ">
      <w:r w:rsidR="008C5470" w:rsidRPr="008C547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C5470">
      <w:rPr>
        <w:b/>
        <w:bCs/>
        <w:noProof/>
      </w:rPr>
      <w:t>UIT-R  SM.2103-0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C5470">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17762"/>
    <w:rsid w:val="00025336"/>
    <w:rsid w:val="000718CA"/>
    <w:rsid w:val="00092507"/>
    <w:rsid w:val="000B716D"/>
    <w:rsid w:val="000B758D"/>
    <w:rsid w:val="000D5870"/>
    <w:rsid w:val="00215CA8"/>
    <w:rsid w:val="00236E9D"/>
    <w:rsid w:val="00266EDC"/>
    <w:rsid w:val="00282F22"/>
    <w:rsid w:val="002D1080"/>
    <w:rsid w:val="002D76C4"/>
    <w:rsid w:val="00363835"/>
    <w:rsid w:val="00366CEE"/>
    <w:rsid w:val="003A1524"/>
    <w:rsid w:val="003D6E75"/>
    <w:rsid w:val="003E595B"/>
    <w:rsid w:val="004253CE"/>
    <w:rsid w:val="004532F7"/>
    <w:rsid w:val="00454FAB"/>
    <w:rsid w:val="00461F16"/>
    <w:rsid w:val="005A3B26"/>
    <w:rsid w:val="005A6102"/>
    <w:rsid w:val="005C05F7"/>
    <w:rsid w:val="005C07DE"/>
    <w:rsid w:val="00607D68"/>
    <w:rsid w:val="006B22C3"/>
    <w:rsid w:val="00727BD8"/>
    <w:rsid w:val="00746AC6"/>
    <w:rsid w:val="007A6E14"/>
    <w:rsid w:val="007C0692"/>
    <w:rsid w:val="007E00FF"/>
    <w:rsid w:val="007F3B59"/>
    <w:rsid w:val="00847DD5"/>
    <w:rsid w:val="00880680"/>
    <w:rsid w:val="00885BF9"/>
    <w:rsid w:val="008C5470"/>
    <w:rsid w:val="009000D8"/>
    <w:rsid w:val="00953636"/>
    <w:rsid w:val="0096605B"/>
    <w:rsid w:val="00975AEB"/>
    <w:rsid w:val="00980CBF"/>
    <w:rsid w:val="00A02C72"/>
    <w:rsid w:val="00A073FF"/>
    <w:rsid w:val="00A6617B"/>
    <w:rsid w:val="00AB0DC8"/>
    <w:rsid w:val="00B1717A"/>
    <w:rsid w:val="00B44E24"/>
    <w:rsid w:val="00B52654"/>
    <w:rsid w:val="00B74FC2"/>
    <w:rsid w:val="00B87252"/>
    <w:rsid w:val="00B97679"/>
    <w:rsid w:val="00BB77E9"/>
    <w:rsid w:val="00BD2749"/>
    <w:rsid w:val="00BF7841"/>
    <w:rsid w:val="00C466B3"/>
    <w:rsid w:val="00C67A5B"/>
    <w:rsid w:val="00CE7895"/>
    <w:rsid w:val="00D12388"/>
    <w:rsid w:val="00D62884"/>
    <w:rsid w:val="00DB6032"/>
    <w:rsid w:val="00DC08D1"/>
    <w:rsid w:val="00DE5A70"/>
    <w:rsid w:val="00DE71F7"/>
    <w:rsid w:val="00DF4176"/>
    <w:rsid w:val="00E16483"/>
    <w:rsid w:val="00E81F24"/>
    <w:rsid w:val="00F74BDC"/>
    <w:rsid w:val="00F95576"/>
    <w:rsid w:val="00FB56BF"/>
    <w:rsid w:val="00FF20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4D77312-7C2D-417D-BAF4-D6AC8C60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65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52654"/>
    <w:pPr>
      <w:keepNext/>
      <w:keepLines/>
      <w:spacing w:before="480"/>
      <w:ind w:left="794" w:hanging="794"/>
      <w:outlineLvl w:val="0"/>
    </w:pPr>
    <w:rPr>
      <w:b/>
    </w:rPr>
  </w:style>
  <w:style w:type="paragraph" w:styleId="Heading2">
    <w:name w:val="heading 2"/>
    <w:basedOn w:val="Heading1"/>
    <w:next w:val="Normal"/>
    <w:qFormat/>
    <w:rsid w:val="00B52654"/>
    <w:pPr>
      <w:spacing w:before="320"/>
      <w:outlineLvl w:val="1"/>
    </w:pPr>
  </w:style>
  <w:style w:type="paragraph" w:styleId="Heading3">
    <w:name w:val="heading 3"/>
    <w:basedOn w:val="Heading1"/>
    <w:next w:val="Normal"/>
    <w:qFormat/>
    <w:rsid w:val="00B52654"/>
    <w:pPr>
      <w:spacing w:before="200"/>
      <w:outlineLvl w:val="2"/>
    </w:pPr>
  </w:style>
  <w:style w:type="paragraph" w:styleId="Heading4">
    <w:name w:val="heading 4"/>
    <w:basedOn w:val="Heading3"/>
    <w:next w:val="Normal"/>
    <w:qFormat/>
    <w:rsid w:val="00B52654"/>
    <w:pPr>
      <w:tabs>
        <w:tab w:val="clear" w:pos="794"/>
        <w:tab w:val="left" w:pos="992"/>
      </w:tabs>
      <w:ind w:left="992" w:hanging="992"/>
      <w:outlineLvl w:val="3"/>
    </w:pPr>
  </w:style>
  <w:style w:type="paragraph" w:styleId="Heading5">
    <w:name w:val="heading 5"/>
    <w:basedOn w:val="Heading4"/>
    <w:next w:val="Normal"/>
    <w:qFormat/>
    <w:rsid w:val="00B52654"/>
    <w:pPr>
      <w:outlineLvl w:val="4"/>
    </w:pPr>
  </w:style>
  <w:style w:type="paragraph" w:styleId="Heading6">
    <w:name w:val="heading 6"/>
    <w:basedOn w:val="Heading4"/>
    <w:next w:val="Normal"/>
    <w:qFormat/>
    <w:rsid w:val="00B52654"/>
    <w:pPr>
      <w:tabs>
        <w:tab w:val="clear" w:pos="992"/>
        <w:tab w:val="clear" w:pos="1191"/>
      </w:tabs>
      <w:ind w:left="1588" w:hanging="1588"/>
      <w:outlineLvl w:val="5"/>
    </w:pPr>
  </w:style>
  <w:style w:type="paragraph" w:styleId="Heading7">
    <w:name w:val="heading 7"/>
    <w:basedOn w:val="Heading6"/>
    <w:next w:val="Normal"/>
    <w:qFormat/>
    <w:rsid w:val="00B52654"/>
    <w:pPr>
      <w:outlineLvl w:val="6"/>
    </w:pPr>
  </w:style>
  <w:style w:type="paragraph" w:styleId="Heading8">
    <w:name w:val="heading 8"/>
    <w:basedOn w:val="Heading6"/>
    <w:next w:val="Normal"/>
    <w:qFormat/>
    <w:rsid w:val="00B52654"/>
    <w:pPr>
      <w:outlineLvl w:val="7"/>
    </w:pPr>
  </w:style>
  <w:style w:type="paragraph" w:styleId="Heading9">
    <w:name w:val="heading 9"/>
    <w:basedOn w:val="Heading6"/>
    <w:next w:val="Normal"/>
    <w:qFormat/>
    <w:rsid w:val="00B52654"/>
    <w:pPr>
      <w:jc w:val="left"/>
      <w:outlineLvl w:val="8"/>
    </w:pPr>
  </w:style>
  <w:style w:type="character" w:default="1" w:styleId="DefaultParagraphFont">
    <w:name w:val="Default Paragraph Font"/>
    <w:uiPriority w:val="1"/>
    <w:semiHidden/>
    <w:unhideWhenUsed/>
    <w:rsid w:val="00B5265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52654"/>
  </w:style>
  <w:style w:type="paragraph" w:styleId="Header">
    <w:name w:val="header"/>
    <w:basedOn w:val="Normal"/>
    <w:link w:val="HeaderChar"/>
    <w:rsid w:val="00B5265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5265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52654"/>
  </w:style>
  <w:style w:type="paragraph" w:customStyle="1" w:styleId="Headingb">
    <w:name w:val="Heading_b"/>
    <w:basedOn w:val="Heading3"/>
    <w:next w:val="Normal"/>
    <w:rsid w:val="00B52654"/>
    <w:pPr>
      <w:spacing w:before="160"/>
      <w:ind w:left="0" w:firstLine="0"/>
      <w:outlineLvl w:val="9"/>
    </w:pPr>
  </w:style>
  <w:style w:type="paragraph" w:customStyle="1" w:styleId="Headingi">
    <w:name w:val="Heading_i"/>
    <w:basedOn w:val="Heading3"/>
    <w:next w:val="Normal"/>
    <w:rsid w:val="00B52654"/>
    <w:pPr>
      <w:spacing w:before="160"/>
      <w:ind w:left="0" w:firstLine="0"/>
    </w:pPr>
    <w:rPr>
      <w:b w:val="0"/>
      <w:i/>
    </w:rPr>
  </w:style>
  <w:style w:type="character" w:customStyle="1" w:styleId="href">
    <w:name w:val="href"/>
    <w:basedOn w:val="DefaultParagraphFont"/>
    <w:rsid w:val="00B52654"/>
  </w:style>
  <w:style w:type="paragraph" w:customStyle="1" w:styleId="enumlev1">
    <w:name w:val="enumlev1"/>
    <w:basedOn w:val="Normal"/>
    <w:rsid w:val="00B52654"/>
    <w:pPr>
      <w:spacing w:before="80"/>
      <w:ind w:left="794" w:hanging="794"/>
    </w:pPr>
  </w:style>
  <w:style w:type="paragraph" w:customStyle="1" w:styleId="enumlev2">
    <w:name w:val="enumlev2"/>
    <w:basedOn w:val="enumlev1"/>
    <w:rsid w:val="00B52654"/>
    <w:pPr>
      <w:ind w:left="1191" w:hanging="397"/>
    </w:pPr>
  </w:style>
  <w:style w:type="paragraph" w:customStyle="1" w:styleId="enumlev3">
    <w:name w:val="enumlev3"/>
    <w:basedOn w:val="enumlev2"/>
    <w:rsid w:val="00B52654"/>
    <w:pPr>
      <w:ind w:left="1588"/>
    </w:pPr>
  </w:style>
  <w:style w:type="paragraph" w:customStyle="1" w:styleId="Normalaftertitle">
    <w:name w:val="Normal_after_title"/>
    <w:basedOn w:val="Normal"/>
    <w:next w:val="Normal"/>
    <w:rsid w:val="00B52654"/>
    <w:pPr>
      <w:spacing w:before="320"/>
    </w:pPr>
  </w:style>
  <w:style w:type="paragraph" w:customStyle="1" w:styleId="Note">
    <w:name w:val="Note"/>
    <w:basedOn w:val="Normal"/>
    <w:rsid w:val="00B5265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5265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52654"/>
    <w:pPr>
      <w:spacing w:before="240"/>
    </w:pPr>
    <w:rPr>
      <w:sz w:val="22"/>
      <w:lang w:val="es-ES_tradnl"/>
    </w:rPr>
  </w:style>
  <w:style w:type="paragraph" w:customStyle="1" w:styleId="Recref">
    <w:name w:val="Rec_ref"/>
    <w:basedOn w:val="Normal"/>
    <w:next w:val="Recdate"/>
    <w:rsid w:val="00B52654"/>
    <w:pPr>
      <w:jc w:val="center"/>
    </w:pPr>
  </w:style>
  <w:style w:type="paragraph" w:customStyle="1" w:styleId="Recdate">
    <w:name w:val="Rec_date"/>
    <w:basedOn w:val="Recref"/>
    <w:next w:val="Normalaftertitle"/>
    <w:rsid w:val="00B52654"/>
    <w:pPr>
      <w:jc w:val="right"/>
    </w:pPr>
  </w:style>
  <w:style w:type="paragraph" w:customStyle="1" w:styleId="AnnexNoTitle">
    <w:name w:val="Annex_NoTitle"/>
    <w:basedOn w:val="Normal"/>
    <w:next w:val="Normalaftertitle"/>
    <w:link w:val="AnnexNoTitleChar"/>
    <w:rsid w:val="00B52654"/>
    <w:pPr>
      <w:keepNext/>
      <w:keepLines/>
      <w:spacing w:before="480" w:after="80"/>
      <w:jc w:val="center"/>
    </w:pPr>
    <w:rPr>
      <w:b/>
      <w:sz w:val="28"/>
    </w:rPr>
  </w:style>
  <w:style w:type="paragraph" w:customStyle="1" w:styleId="AppendixNoTitle">
    <w:name w:val="Appendix_NoTitle"/>
    <w:basedOn w:val="AnnexNoTitle"/>
    <w:next w:val="Normal"/>
    <w:rsid w:val="00B52654"/>
  </w:style>
  <w:style w:type="paragraph" w:customStyle="1" w:styleId="Tablefin">
    <w:name w:val="Table_fin"/>
    <w:basedOn w:val="Normal"/>
    <w:next w:val="Normal"/>
    <w:rsid w:val="00B52654"/>
    <w:pPr>
      <w:spacing w:before="0"/>
    </w:pPr>
    <w:rPr>
      <w:sz w:val="20"/>
      <w:lang w:val="en-GB"/>
    </w:rPr>
  </w:style>
  <w:style w:type="paragraph" w:customStyle="1" w:styleId="Tablehead">
    <w:name w:val="Table_head"/>
    <w:basedOn w:val="Normal"/>
    <w:next w:val="Normal"/>
    <w:link w:val="TableheadChar"/>
    <w:rsid w:val="00B5265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526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52654"/>
    <w:pPr>
      <w:keepNext/>
      <w:spacing w:before="360" w:after="120"/>
      <w:jc w:val="center"/>
    </w:pPr>
  </w:style>
  <w:style w:type="paragraph" w:customStyle="1" w:styleId="Tabletext">
    <w:name w:val="Table_text"/>
    <w:basedOn w:val="Normal"/>
    <w:link w:val="TabletextChar"/>
    <w:rsid w:val="00B526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52654"/>
    <w:pPr>
      <w:tabs>
        <w:tab w:val="clear" w:pos="1191"/>
        <w:tab w:val="clear" w:pos="1588"/>
        <w:tab w:val="clear" w:pos="1985"/>
        <w:tab w:val="center" w:pos="4820"/>
        <w:tab w:val="right" w:pos="9639"/>
      </w:tabs>
    </w:pPr>
  </w:style>
  <w:style w:type="paragraph" w:customStyle="1" w:styleId="Equationlegend">
    <w:name w:val="Equation_legend"/>
    <w:basedOn w:val="NormalIndent"/>
    <w:rsid w:val="00B5265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52654"/>
    <w:pPr>
      <w:ind w:left="794"/>
    </w:pPr>
  </w:style>
  <w:style w:type="paragraph" w:customStyle="1" w:styleId="Figurelegend">
    <w:name w:val="Figure_legend"/>
    <w:basedOn w:val="Normal"/>
    <w:rsid w:val="00B5265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52654"/>
    <w:pPr>
      <w:keepNext/>
      <w:keepLines/>
      <w:spacing w:before="480" w:after="80"/>
      <w:jc w:val="center"/>
    </w:pPr>
    <w:rPr>
      <w:caps/>
      <w:sz w:val="18"/>
    </w:rPr>
  </w:style>
  <w:style w:type="paragraph" w:customStyle="1" w:styleId="tocpart">
    <w:name w:val="tocpart"/>
    <w:basedOn w:val="Normal"/>
    <w:rsid w:val="00B5265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52654"/>
    <w:pPr>
      <w:keepNext/>
      <w:keepLines/>
      <w:spacing w:before="480"/>
      <w:jc w:val="center"/>
    </w:pPr>
    <w:rPr>
      <w:sz w:val="28"/>
    </w:rPr>
  </w:style>
  <w:style w:type="paragraph" w:customStyle="1" w:styleId="Arttitle">
    <w:name w:val="Art_title"/>
    <w:basedOn w:val="Normal"/>
    <w:next w:val="Normalaftertitle"/>
    <w:rsid w:val="00B52654"/>
    <w:pPr>
      <w:keepNext/>
      <w:keepLines/>
      <w:spacing w:before="240"/>
      <w:jc w:val="center"/>
    </w:pPr>
    <w:rPr>
      <w:b/>
      <w:sz w:val="28"/>
    </w:rPr>
  </w:style>
  <w:style w:type="paragraph" w:customStyle="1" w:styleId="Blanc">
    <w:name w:val="Blanc"/>
    <w:basedOn w:val="Normal"/>
    <w:next w:val="Tabletext"/>
    <w:rsid w:val="00B5265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5265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52654"/>
    <w:pPr>
      <w:keepNext/>
      <w:keepLines/>
      <w:spacing w:before="160"/>
      <w:ind w:left="794"/>
    </w:pPr>
    <w:rPr>
      <w:i/>
    </w:rPr>
  </w:style>
  <w:style w:type="paragraph" w:customStyle="1" w:styleId="ChapNo">
    <w:name w:val="Chap_No"/>
    <w:basedOn w:val="ArtNo"/>
    <w:next w:val="Chaptitle"/>
    <w:rsid w:val="00B52654"/>
    <w:rPr>
      <w:b/>
    </w:rPr>
  </w:style>
  <w:style w:type="paragraph" w:customStyle="1" w:styleId="Chaptitle">
    <w:name w:val="Chap_title"/>
    <w:basedOn w:val="Arttitle"/>
    <w:next w:val="Normalaftertitle"/>
    <w:rsid w:val="00B52654"/>
  </w:style>
  <w:style w:type="character" w:styleId="FootnoteReference">
    <w:name w:val="footnote reference"/>
    <w:basedOn w:val="DefaultParagraphFont"/>
    <w:semiHidden/>
    <w:rsid w:val="00B52654"/>
    <w:rPr>
      <w:position w:val="6"/>
      <w:sz w:val="18"/>
    </w:rPr>
  </w:style>
  <w:style w:type="paragraph" w:styleId="FootnoteText">
    <w:name w:val="footnote text"/>
    <w:basedOn w:val="Normal"/>
    <w:semiHidden/>
    <w:rsid w:val="00B52654"/>
    <w:pPr>
      <w:keepLines/>
      <w:tabs>
        <w:tab w:val="left" w:pos="255"/>
      </w:tabs>
      <w:ind w:left="255" w:hanging="255"/>
    </w:pPr>
    <w:rPr>
      <w:sz w:val="22"/>
    </w:rPr>
  </w:style>
  <w:style w:type="paragraph" w:styleId="Index1">
    <w:name w:val="index 1"/>
    <w:basedOn w:val="Normal"/>
    <w:next w:val="Normal"/>
    <w:semiHidden/>
    <w:rsid w:val="00B52654"/>
  </w:style>
  <w:style w:type="paragraph" w:styleId="Index2">
    <w:name w:val="index 2"/>
    <w:basedOn w:val="Normal"/>
    <w:next w:val="Normal"/>
    <w:semiHidden/>
    <w:rsid w:val="00B52654"/>
    <w:pPr>
      <w:ind w:left="283"/>
    </w:pPr>
  </w:style>
  <w:style w:type="paragraph" w:styleId="Index3">
    <w:name w:val="index 3"/>
    <w:basedOn w:val="Normal"/>
    <w:next w:val="Normal"/>
    <w:semiHidden/>
    <w:rsid w:val="00B52654"/>
    <w:pPr>
      <w:ind w:left="566"/>
    </w:pPr>
  </w:style>
  <w:style w:type="paragraph" w:styleId="IndexHeading">
    <w:name w:val="index heading"/>
    <w:basedOn w:val="Normal"/>
    <w:next w:val="Index1"/>
    <w:semiHidden/>
    <w:rsid w:val="00B52654"/>
  </w:style>
  <w:style w:type="paragraph" w:customStyle="1" w:styleId="Line">
    <w:name w:val="Line"/>
    <w:basedOn w:val="Normal"/>
    <w:next w:val="Normal"/>
    <w:rsid w:val="00B5265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5265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52654"/>
  </w:style>
  <w:style w:type="paragraph" w:customStyle="1" w:styleId="Partref">
    <w:name w:val="Part_ref"/>
    <w:basedOn w:val="Normal"/>
    <w:next w:val="Normal"/>
    <w:rsid w:val="00B52654"/>
    <w:pPr>
      <w:keepNext/>
      <w:keepLines/>
      <w:spacing w:after="280"/>
      <w:jc w:val="center"/>
    </w:pPr>
  </w:style>
  <w:style w:type="paragraph" w:customStyle="1" w:styleId="Parttitle">
    <w:name w:val="Part_title"/>
    <w:basedOn w:val="Normal"/>
    <w:next w:val="Normalaftertitle"/>
    <w:rsid w:val="00B5265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52654"/>
  </w:style>
  <w:style w:type="paragraph" w:customStyle="1" w:styleId="QuestionNo">
    <w:name w:val="Question_No"/>
    <w:basedOn w:val="RecNo"/>
    <w:next w:val="Normal"/>
    <w:rsid w:val="00B52654"/>
  </w:style>
  <w:style w:type="paragraph" w:customStyle="1" w:styleId="Questionref">
    <w:name w:val="Question_ref"/>
    <w:basedOn w:val="Recref"/>
    <w:next w:val="Questiondate"/>
    <w:rsid w:val="00B52654"/>
  </w:style>
  <w:style w:type="paragraph" w:customStyle="1" w:styleId="Questiontitle">
    <w:name w:val="Question_title"/>
    <w:basedOn w:val="Normal"/>
    <w:next w:val="Questionref"/>
    <w:rsid w:val="00B52654"/>
  </w:style>
  <w:style w:type="paragraph" w:customStyle="1" w:styleId="Reftext">
    <w:name w:val="Ref_text"/>
    <w:basedOn w:val="Normal"/>
    <w:rsid w:val="00B52654"/>
    <w:pPr>
      <w:ind w:left="794" w:hanging="794"/>
    </w:pPr>
    <w:rPr>
      <w:sz w:val="22"/>
    </w:rPr>
  </w:style>
  <w:style w:type="paragraph" w:customStyle="1" w:styleId="Reftitle">
    <w:name w:val="Ref_title"/>
    <w:basedOn w:val="Normal"/>
    <w:next w:val="Reftext"/>
    <w:rsid w:val="00B5265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52654"/>
  </w:style>
  <w:style w:type="paragraph" w:customStyle="1" w:styleId="RepNo">
    <w:name w:val="Rep_No"/>
    <w:basedOn w:val="RecNo"/>
    <w:next w:val="Reptitle"/>
    <w:rsid w:val="00B52654"/>
  </w:style>
  <w:style w:type="paragraph" w:customStyle="1" w:styleId="Repref">
    <w:name w:val="Rep_ref"/>
    <w:basedOn w:val="Recref"/>
    <w:next w:val="Repdate"/>
    <w:rsid w:val="00B52654"/>
  </w:style>
  <w:style w:type="paragraph" w:customStyle="1" w:styleId="Reptitle">
    <w:name w:val="Rep_title"/>
    <w:basedOn w:val="Rectitle"/>
    <w:next w:val="Repref"/>
    <w:rsid w:val="00B52654"/>
  </w:style>
  <w:style w:type="paragraph" w:customStyle="1" w:styleId="Resdate">
    <w:name w:val="Res_date"/>
    <w:basedOn w:val="Recdate"/>
    <w:next w:val="Normalaftertitle"/>
    <w:rsid w:val="00B52654"/>
  </w:style>
  <w:style w:type="paragraph" w:customStyle="1" w:styleId="ResNo">
    <w:name w:val="Res_No"/>
    <w:basedOn w:val="RecNo"/>
    <w:next w:val="Restitle"/>
    <w:rsid w:val="00B52654"/>
  </w:style>
  <w:style w:type="paragraph" w:customStyle="1" w:styleId="Resref">
    <w:name w:val="Res_ref"/>
    <w:basedOn w:val="Recref"/>
    <w:next w:val="Resdate"/>
    <w:rsid w:val="00B52654"/>
  </w:style>
  <w:style w:type="paragraph" w:customStyle="1" w:styleId="Restitle">
    <w:name w:val="Res_title"/>
    <w:basedOn w:val="Normal"/>
    <w:next w:val="Resref"/>
    <w:rsid w:val="00B52654"/>
    <w:pPr>
      <w:spacing w:before="240"/>
      <w:jc w:val="center"/>
    </w:pPr>
    <w:rPr>
      <w:b/>
      <w:sz w:val="28"/>
    </w:rPr>
  </w:style>
  <w:style w:type="paragraph" w:customStyle="1" w:styleId="SectionNo">
    <w:name w:val="Section_No"/>
    <w:basedOn w:val="Normal"/>
    <w:next w:val="Normal"/>
    <w:rsid w:val="00B52654"/>
  </w:style>
  <w:style w:type="paragraph" w:customStyle="1" w:styleId="Sectiontitle">
    <w:name w:val="Section_title"/>
    <w:basedOn w:val="Normal"/>
    <w:next w:val="Normalaftertitle"/>
    <w:rsid w:val="00B5265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52654"/>
    <w:pPr>
      <w:tabs>
        <w:tab w:val="clear" w:pos="794"/>
        <w:tab w:val="clear" w:pos="1191"/>
        <w:tab w:val="clear" w:pos="1588"/>
        <w:tab w:val="clear" w:pos="1985"/>
        <w:tab w:val="right" w:pos="9611"/>
      </w:tabs>
    </w:pPr>
    <w:rPr>
      <w:i/>
    </w:rPr>
  </w:style>
  <w:style w:type="paragraph" w:styleId="TOC1">
    <w:name w:val="toc 1"/>
    <w:basedOn w:val="Normal"/>
    <w:semiHidden/>
    <w:rsid w:val="00B5265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52654"/>
    <w:pPr>
      <w:tabs>
        <w:tab w:val="clear" w:pos="567"/>
        <w:tab w:val="left" w:pos="1276"/>
      </w:tabs>
      <w:spacing w:before="160"/>
      <w:ind w:left="1276" w:hanging="709"/>
    </w:pPr>
  </w:style>
  <w:style w:type="paragraph" w:styleId="TOC3">
    <w:name w:val="toc 3"/>
    <w:basedOn w:val="TOC2"/>
    <w:semiHidden/>
    <w:rsid w:val="00B52654"/>
    <w:pPr>
      <w:tabs>
        <w:tab w:val="clear" w:pos="1276"/>
        <w:tab w:val="left" w:pos="2155"/>
      </w:tabs>
      <w:ind w:left="2155" w:hanging="879"/>
    </w:pPr>
  </w:style>
  <w:style w:type="paragraph" w:styleId="TOC4">
    <w:name w:val="toc 4"/>
    <w:basedOn w:val="TOC3"/>
    <w:semiHidden/>
    <w:rsid w:val="00B52654"/>
    <w:pPr>
      <w:tabs>
        <w:tab w:val="left" w:pos="3261"/>
      </w:tabs>
      <w:spacing w:before="80"/>
      <w:ind w:left="3261" w:hanging="993"/>
    </w:pPr>
  </w:style>
  <w:style w:type="paragraph" w:styleId="TOC5">
    <w:name w:val="toc 5"/>
    <w:basedOn w:val="TOC4"/>
    <w:semiHidden/>
    <w:rsid w:val="00B52654"/>
  </w:style>
  <w:style w:type="paragraph" w:styleId="TOC6">
    <w:name w:val="toc 6"/>
    <w:basedOn w:val="TOC4"/>
    <w:semiHidden/>
    <w:rsid w:val="00B52654"/>
  </w:style>
  <w:style w:type="paragraph" w:styleId="TOC7">
    <w:name w:val="toc 7"/>
    <w:basedOn w:val="TOC4"/>
    <w:semiHidden/>
    <w:rsid w:val="00B52654"/>
  </w:style>
  <w:style w:type="paragraph" w:styleId="TOC8">
    <w:name w:val="toc 8"/>
    <w:basedOn w:val="TOC4"/>
    <w:semiHidden/>
    <w:rsid w:val="00B52654"/>
  </w:style>
  <w:style w:type="paragraph" w:customStyle="1" w:styleId="Rectitle">
    <w:name w:val="Rec_title"/>
    <w:basedOn w:val="Normal"/>
    <w:next w:val="Recref"/>
    <w:rsid w:val="00B52654"/>
    <w:pPr>
      <w:keepNext/>
      <w:keepLines/>
      <w:spacing w:before="240"/>
      <w:jc w:val="center"/>
    </w:pPr>
    <w:rPr>
      <w:b/>
      <w:sz w:val="28"/>
    </w:rPr>
  </w:style>
  <w:style w:type="paragraph" w:customStyle="1" w:styleId="Annexref">
    <w:name w:val="Annex_ref"/>
    <w:basedOn w:val="Normal"/>
    <w:next w:val="Normalaftertitle"/>
    <w:rsid w:val="00B52654"/>
    <w:pPr>
      <w:keepNext/>
      <w:keepLines/>
      <w:spacing w:after="280"/>
      <w:jc w:val="center"/>
    </w:pPr>
  </w:style>
  <w:style w:type="paragraph" w:customStyle="1" w:styleId="Appendixref">
    <w:name w:val="Appendix_ref"/>
    <w:basedOn w:val="Annexref"/>
    <w:next w:val="Normalaftertitle"/>
    <w:rsid w:val="00B52654"/>
  </w:style>
  <w:style w:type="paragraph" w:customStyle="1" w:styleId="Figuretitle">
    <w:name w:val="Figure_title"/>
    <w:basedOn w:val="Normal"/>
    <w:next w:val="Figure"/>
    <w:rsid w:val="00B5265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52654"/>
    <w:pPr>
      <w:keepNext/>
      <w:spacing w:before="0" w:after="120"/>
      <w:jc w:val="center"/>
    </w:pPr>
    <w:rPr>
      <w:b/>
    </w:rPr>
  </w:style>
  <w:style w:type="paragraph" w:customStyle="1" w:styleId="Summary">
    <w:name w:val="Summary"/>
    <w:basedOn w:val="Normal"/>
    <w:next w:val="Normalaftertitle"/>
    <w:autoRedefine/>
    <w:rsid w:val="00B52654"/>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B52654"/>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B52654"/>
    <w:pPr>
      <w:ind w:left="-85" w:firstLine="0"/>
    </w:pPr>
    <w:rPr>
      <w:lang w:val="en-US"/>
    </w:rPr>
  </w:style>
  <w:style w:type="character" w:customStyle="1" w:styleId="Heading1Char">
    <w:name w:val="Heading 1 Char"/>
    <w:basedOn w:val="DefaultParagraphFont"/>
    <w:link w:val="Heading1"/>
    <w:rsid w:val="000718CA"/>
    <w:rPr>
      <w:b/>
      <w:sz w:val="24"/>
      <w:lang w:val="fr-FR" w:eastAsia="en-US"/>
    </w:rPr>
  </w:style>
  <w:style w:type="character" w:customStyle="1" w:styleId="HeaderChar">
    <w:name w:val="Header Char"/>
    <w:basedOn w:val="DefaultParagraphFont"/>
    <w:link w:val="Header"/>
    <w:rsid w:val="007F3B59"/>
    <w:rPr>
      <w:sz w:val="24"/>
      <w:lang w:val="fr-FR" w:eastAsia="en-US"/>
    </w:rPr>
  </w:style>
  <w:style w:type="character" w:customStyle="1" w:styleId="AnnexNoTitleChar">
    <w:name w:val="Annex_NoTitle Char"/>
    <w:basedOn w:val="DefaultParagraphFont"/>
    <w:link w:val="AnnexNoTitle"/>
    <w:rsid w:val="00B52654"/>
    <w:rPr>
      <w:b/>
      <w:sz w:val="28"/>
      <w:lang w:val="fr-FR" w:eastAsia="en-US"/>
    </w:rPr>
  </w:style>
  <w:style w:type="character" w:customStyle="1" w:styleId="TableheadChar">
    <w:name w:val="Table_head Char"/>
    <w:basedOn w:val="DefaultParagraphFont"/>
    <w:link w:val="Tablehead"/>
    <w:locked/>
    <w:rsid w:val="00B52654"/>
    <w:rPr>
      <w:b/>
      <w:sz w:val="22"/>
      <w:lang w:val="fr-FR" w:eastAsia="en-US"/>
    </w:rPr>
  </w:style>
  <w:style w:type="character" w:customStyle="1" w:styleId="TabletextChar">
    <w:name w:val="Table_text Char"/>
    <w:basedOn w:val="DefaultParagraphFont"/>
    <w:link w:val="Tabletext"/>
    <w:locked/>
    <w:rsid w:val="00B52654"/>
    <w:rPr>
      <w:sz w:val="22"/>
      <w:lang w:val="fr-FR" w:eastAsia="en-US"/>
    </w:rPr>
  </w:style>
  <w:style w:type="paragraph" w:customStyle="1" w:styleId="Reasons">
    <w:name w:val="Reasons"/>
    <w:basedOn w:val="Normal"/>
    <w:qFormat/>
    <w:rsid w:val="00B52654"/>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CallChar">
    <w:name w:val="Call Char"/>
    <w:basedOn w:val="DefaultParagraphFont"/>
    <w:link w:val="Call"/>
    <w:locked/>
    <w:rsid w:val="00B52654"/>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itu.int/publ/R-REC/es" TargetMode="External"/><Relationship Id="rId4" Type="http://schemas.openxmlformats.org/officeDocument/2006/relationships/footnotes" Target="footnotes.xml"/><Relationship Id="rId9" Type="http://schemas.openxmlformats.org/officeDocument/2006/relationships/hyperlink" Target="http://www.itu.int/ITU-R/go/patents/es" TargetMode="External"/><Relationship Id="rId14"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41</TotalTime>
  <Pages>8</Pages>
  <Words>2422</Words>
  <Characters>14658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RECOMENDACIÓN  UIT-R  SM.XXXX - </vt:lpstr>
    </vt:vector>
  </TitlesOfParts>
  <Manager/>
  <Company>ITU</Company>
  <LinksUpToDate>false</LinksUpToDate>
  <CharactersWithSpaces>17046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SM.XXXX -</dc:title>
  <dc:subject>Serie SM = Gestión del espectro</dc:subject>
  <dc:creator>Oficina de Radiocomunicaciones del UIT (BR)</dc:creator>
  <cp:keywords>SM,XXXX</cp:keywords>
  <dc:description>Santosbo, 26.07.2011, MSB106309</dc:description>
  <cp:lastModifiedBy>Catalano Moreira, Rossana</cp:lastModifiedBy>
  <cp:revision>15</cp:revision>
  <cp:lastPrinted>2018-02-16T10:55:00Z</cp:lastPrinted>
  <dcterms:created xsi:type="dcterms:W3CDTF">2018-02-16T10:16:00Z</dcterms:created>
  <dcterms:modified xsi:type="dcterms:W3CDTF">2018-02-16T11:00:00Z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