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717A" w:rsidRPr="00575CB8" w:rsidRDefault="00B1717A" w:rsidP="00B1717A">
      <w:pPr>
        <w:rPr>
          <w:lang w:val="en-US"/>
        </w:rPr>
      </w:pPr>
      <w:bookmarkStart w:id="0" w:name="dbreak"/>
      <w:bookmarkEnd w:id="0"/>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C466B3"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E228D0">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DE71F7">
              <w:rPr>
                <w:rFonts w:ascii="Tahoma" w:hAnsi="Tahoma" w:cs="Tahoma"/>
                <w:b/>
                <w:bCs/>
                <w:iCs/>
                <w:color w:val="243285"/>
                <w:sz w:val="36"/>
                <w:szCs w:val="36"/>
                <w:lang w:val="es-ES_tradnl"/>
              </w:rPr>
              <w:t>S</w:t>
            </w:r>
            <w:r w:rsidR="00746AC6">
              <w:rPr>
                <w:rFonts w:ascii="Tahoma" w:hAnsi="Tahoma" w:cs="Tahoma"/>
                <w:b/>
                <w:bCs/>
                <w:iCs/>
                <w:color w:val="243285"/>
                <w:sz w:val="36"/>
                <w:szCs w:val="36"/>
                <w:lang w:val="es-ES_tradnl"/>
              </w:rPr>
              <w:t>M</w:t>
            </w:r>
            <w:r w:rsidRPr="0010336F">
              <w:rPr>
                <w:rFonts w:ascii="Tahoma" w:hAnsi="Tahoma" w:cs="Tahoma"/>
                <w:b/>
                <w:bCs/>
                <w:iCs/>
                <w:color w:val="243285"/>
                <w:sz w:val="36"/>
                <w:szCs w:val="36"/>
                <w:lang w:val="es-ES_tradnl"/>
              </w:rPr>
              <w:t>.</w:t>
            </w:r>
            <w:r w:rsidR="00E228D0">
              <w:rPr>
                <w:rFonts w:ascii="Tahoma" w:hAnsi="Tahoma" w:cs="Tahoma"/>
                <w:b/>
                <w:bCs/>
                <w:iCs/>
                <w:color w:val="243285"/>
                <w:sz w:val="36"/>
                <w:szCs w:val="36"/>
                <w:lang w:val="es-ES_tradnl"/>
              </w:rPr>
              <w:t>2080-0</w:t>
            </w:r>
          </w:p>
          <w:p w:rsidR="00B1717A" w:rsidRPr="0010336F" w:rsidRDefault="00B1717A" w:rsidP="00E228D0">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E228D0">
              <w:rPr>
                <w:rFonts w:ascii="Tahoma" w:hAnsi="Tahoma" w:cs="Tahoma"/>
                <w:b/>
                <w:bCs/>
                <w:iCs/>
                <w:color w:val="243285"/>
                <w:szCs w:val="24"/>
                <w:lang w:val="es-ES_tradnl"/>
              </w:rPr>
              <w:t>08</w:t>
            </w:r>
            <w:r w:rsidRPr="0010336F">
              <w:rPr>
                <w:rFonts w:ascii="Tahoma" w:hAnsi="Tahoma" w:cs="Tahoma"/>
                <w:b/>
                <w:bCs/>
                <w:iCs/>
                <w:color w:val="243285"/>
                <w:szCs w:val="24"/>
                <w:lang w:val="es-ES_tradnl"/>
              </w:rPr>
              <w:t>/</w:t>
            </w:r>
            <w:r w:rsidR="00E228D0">
              <w:rPr>
                <w:rFonts w:ascii="Tahoma" w:hAnsi="Tahoma" w:cs="Tahoma"/>
                <w:b/>
                <w:bCs/>
                <w:iCs/>
                <w:color w:val="243285"/>
                <w:szCs w:val="24"/>
                <w:lang w:val="es-ES_tradnl"/>
              </w:rPr>
              <w:t>2015</w:t>
            </w:r>
            <w:r w:rsidRPr="0010336F">
              <w:rPr>
                <w:rFonts w:ascii="Tahoma" w:hAnsi="Tahoma" w:cs="Tahoma"/>
                <w:b/>
                <w:bCs/>
                <w:iCs/>
                <w:color w:val="243285"/>
                <w:szCs w:val="24"/>
                <w:lang w:val="es-ES_tradnl"/>
              </w:rPr>
              <w:t>)</w:t>
            </w:r>
          </w:p>
        </w:tc>
      </w:tr>
      <w:tr w:rsidR="00B1717A" w:rsidRPr="00280392" w:rsidTr="00D62884">
        <w:tc>
          <w:tcPr>
            <w:tcW w:w="10089" w:type="dxa"/>
          </w:tcPr>
          <w:p w:rsidR="00B1717A" w:rsidRPr="0010336F" w:rsidRDefault="00B1717A" w:rsidP="00D62884">
            <w:pPr>
              <w:spacing w:before="80" w:line="500" w:lineRule="exact"/>
              <w:jc w:val="right"/>
              <w:rPr>
                <w:rFonts w:ascii="Tahoma" w:hAnsi="Tahoma" w:cs="Tahoma"/>
                <w:b/>
                <w:bCs/>
                <w:iCs/>
                <w:color w:val="243285"/>
                <w:sz w:val="44"/>
                <w:szCs w:val="44"/>
                <w:lang w:val="es-ES_tradnl"/>
              </w:rPr>
            </w:pPr>
          </w:p>
          <w:p w:rsidR="009000D8" w:rsidRDefault="00280392" w:rsidP="00280392">
            <w:pPr>
              <w:spacing w:before="80" w:line="500" w:lineRule="exact"/>
              <w:jc w:val="right"/>
              <w:rPr>
                <w:rFonts w:ascii="Tahoma" w:hAnsi="Tahoma" w:cs="Tahoma"/>
                <w:b/>
                <w:bCs/>
                <w:color w:val="243285"/>
                <w:sz w:val="44"/>
                <w:szCs w:val="44"/>
                <w:lang w:val="es-ES_tradnl"/>
              </w:rPr>
            </w:pPr>
            <w:r w:rsidRPr="00280392">
              <w:rPr>
                <w:rFonts w:ascii="Tahoma" w:hAnsi="Tahoma" w:cs="Tahoma"/>
                <w:b/>
                <w:bCs/>
                <w:color w:val="243285"/>
                <w:sz w:val="44"/>
                <w:szCs w:val="44"/>
                <w:lang w:val="es-ES_tradnl"/>
              </w:rPr>
              <w:t xml:space="preserve">Exactitud de la información horaria en </w:t>
            </w:r>
            <w:r>
              <w:rPr>
                <w:rFonts w:ascii="Tahoma" w:hAnsi="Tahoma" w:cs="Tahoma"/>
                <w:b/>
                <w:bCs/>
                <w:color w:val="243285"/>
                <w:sz w:val="44"/>
                <w:szCs w:val="44"/>
                <w:lang w:val="es-ES_tradnl"/>
              </w:rPr>
              <w:br/>
            </w:r>
            <w:r w:rsidRPr="00280392">
              <w:rPr>
                <w:rFonts w:ascii="Tahoma" w:hAnsi="Tahoma" w:cs="Tahoma"/>
                <w:b/>
                <w:bCs/>
                <w:color w:val="243285"/>
                <w:sz w:val="44"/>
                <w:szCs w:val="44"/>
                <w:lang w:val="es-ES_tradnl"/>
              </w:rPr>
              <w:t>los datos a la salida de</w:t>
            </w:r>
            <w:r>
              <w:rPr>
                <w:rFonts w:ascii="Tahoma" w:hAnsi="Tahoma" w:cs="Tahoma"/>
                <w:b/>
                <w:bCs/>
                <w:color w:val="243285"/>
                <w:sz w:val="44"/>
                <w:szCs w:val="44"/>
                <w:lang w:val="es-ES_tradnl"/>
              </w:rPr>
              <w:t xml:space="preserve"> </w:t>
            </w:r>
            <w:r w:rsidRPr="00280392">
              <w:rPr>
                <w:rFonts w:ascii="Tahoma" w:hAnsi="Tahoma" w:cs="Tahoma"/>
                <w:b/>
                <w:bCs/>
                <w:color w:val="243285"/>
                <w:sz w:val="44"/>
                <w:szCs w:val="44"/>
                <w:lang w:val="es-ES_tradnl"/>
              </w:rPr>
              <w:t xml:space="preserve">los receptores </w:t>
            </w:r>
            <w:r>
              <w:rPr>
                <w:rFonts w:ascii="Tahoma" w:hAnsi="Tahoma" w:cs="Tahoma"/>
                <w:b/>
                <w:bCs/>
                <w:color w:val="243285"/>
                <w:sz w:val="44"/>
                <w:szCs w:val="44"/>
                <w:lang w:val="es-ES_tradnl"/>
              </w:rPr>
              <w:br/>
            </w:r>
            <w:r w:rsidRPr="00280392">
              <w:rPr>
                <w:rFonts w:ascii="Tahoma" w:hAnsi="Tahoma" w:cs="Tahoma"/>
                <w:b/>
                <w:bCs/>
                <w:color w:val="243285"/>
                <w:sz w:val="44"/>
                <w:szCs w:val="44"/>
                <w:lang w:val="es-ES_tradnl"/>
              </w:rPr>
              <w:t>de comprobación técnica</w:t>
            </w:r>
          </w:p>
          <w:p w:rsidR="00B1717A" w:rsidRDefault="00B1717A" w:rsidP="00BD2749">
            <w:pPr>
              <w:spacing w:before="80" w:line="500" w:lineRule="exact"/>
              <w:jc w:val="right"/>
              <w:rPr>
                <w:rFonts w:ascii="Tahoma" w:hAnsi="Tahoma" w:cs="Tahoma"/>
                <w:b/>
                <w:bCs/>
                <w:color w:val="243285"/>
                <w:sz w:val="44"/>
                <w:szCs w:val="44"/>
                <w:lang w:val="es-ES_tradnl"/>
              </w:rPr>
            </w:pPr>
          </w:p>
          <w:p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E228D0"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746AC6">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DE71F7">
              <w:rPr>
                <w:rFonts w:ascii="Tahoma" w:hAnsi="Tahoma" w:cs="Tahoma"/>
                <w:b/>
                <w:bCs/>
                <w:iCs/>
                <w:color w:val="243285"/>
                <w:sz w:val="36"/>
                <w:szCs w:val="36"/>
                <w:lang w:val="es-ES_tradnl"/>
              </w:rPr>
              <w:t>S</w:t>
            </w:r>
            <w:r w:rsidR="00746AC6">
              <w:rPr>
                <w:rFonts w:ascii="Tahoma" w:hAnsi="Tahoma" w:cs="Tahoma"/>
                <w:b/>
                <w:bCs/>
                <w:iCs/>
                <w:color w:val="243285"/>
                <w:sz w:val="36"/>
                <w:szCs w:val="36"/>
                <w:lang w:val="es-ES_tradnl"/>
              </w:rPr>
              <w:t>M</w:t>
            </w:r>
          </w:p>
          <w:p w:rsidR="00B1717A" w:rsidRPr="0010336F" w:rsidRDefault="00746AC6"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Gestión del espectro</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6"/>
          <w:headerReference w:type="default" r:id="rId7"/>
          <w:headerReference w:type="first" r:id="rId8"/>
          <w:pgSz w:w="11907" w:h="16840" w:code="9"/>
          <w:pgMar w:top="1089" w:right="1089" w:bottom="284" w:left="1089" w:header="567" w:footer="284" w:gutter="0"/>
          <w:pgNumType w:start="1"/>
          <w:cols w:space="720"/>
        </w:sectPr>
      </w:pPr>
    </w:p>
    <w:p w:rsidR="00B1717A" w:rsidRPr="006C718C" w:rsidRDefault="00B1717A"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B1717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E228D0"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proofErr w:type="spellStart"/>
            <w:r>
              <w:rPr>
                <w:bCs/>
                <w:sz w:val="20"/>
                <w:lang w:val="en-US"/>
              </w:rPr>
              <w:t>Título</w:t>
            </w:r>
            <w:proofErr w:type="spellEnd"/>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4532F7">
              <w:rPr>
                <w:b w:val="0"/>
                <w:sz w:val="20"/>
              </w:rPr>
              <w:t>Distribución</w:t>
            </w:r>
            <w:proofErr w:type="spellEnd"/>
            <w:r w:rsidRPr="004532F7">
              <w:rPr>
                <w:b w:val="0"/>
                <w:sz w:val="20"/>
              </w:rPr>
              <w:t xml:space="preserve"> </w:t>
            </w:r>
            <w:proofErr w:type="spellStart"/>
            <w:r w:rsidRPr="004532F7">
              <w:rPr>
                <w:b w:val="0"/>
                <w:sz w:val="20"/>
              </w:rPr>
              <w:t>por</w:t>
            </w:r>
            <w:proofErr w:type="spellEnd"/>
            <w:r w:rsidRPr="004532F7">
              <w:rPr>
                <w:b w:val="0"/>
                <w:sz w:val="20"/>
              </w:rPr>
              <w:t xml:space="preserve"> </w:t>
            </w:r>
            <w:proofErr w:type="spellStart"/>
            <w:r w:rsidRPr="004532F7">
              <w:rPr>
                <w:b w:val="0"/>
                <w:sz w:val="20"/>
              </w:rPr>
              <w:t>satélite</w:t>
            </w:r>
            <w:proofErr w:type="spellEnd"/>
          </w:p>
        </w:tc>
      </w:tr>
      <w:tr w:rsidR="00B1717A" w:rsidRPr="00E228D0" w:rsidTr="00847DD5">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rsidTr="00847DD5">
        <w:tc>
          <w:tcPr>
            <w:tcW w:w="1140" w:type="dxa"/>
            <w:tcBorders>
              <w:top w:val="nil"/>
              <w:bottom w:val="nil"/>
            </w:tcBorders>
            <w:shd w:val="clear" w:color="auto" w:fill="auto"/>
          </w:tcPr>
          <w:p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B1717A" w:rsidRPr="00847DD5" w:rsidRDefault="00DC08D1"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r>
              <w:rPr>
                <w:b w:val="0"/>
                <w:bCs/>
                <w:sz w:val="20"/>
              </w:rPr>
              <w:t>(</w:t>
            </w:r>
            <w:proofErr w:type="spellStart"/>
            <w:r w:rsidRPr="00021E8A">
              <w:rPr>
                <w:b w:val="0"/>
                <w:bCs/>
                <w:sz w:val="20"/>
              </w:rPr>
              <w:t>sonora</w:t>
            </w:r>
            <w:proofErr w:type="spellEnd"/>
            <w:r>
              <w:rPr>
                <w:b w:val="0"/>
                <w:bCs/>
                <w:sz w:val="20"/>
              </w:rPr>
              <w:t>)</w:t>
            </w:r>
          </w:p>
        </w:tc>
      </w:tr>
      <w:tr w:rsidR="00B1717A" w:rsidRPr="00ED2695" w:rsidTr="00366CEE">
        <w:tc>
          <w:tcPr>
            <w:tcW w:w="1140" w:type="dxa"/>
            <w:tcBorders>
              <w:top w:val="nil"/>
              <w:bottom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proofErr w:type="spellStart"/>
            <w:r w:rsidRPr="00021E8A">
              <w:rPr>
                <w:b w:val="0"/>
                <w:bCs/>
                <w:sz w:val="20"/>
              </w:rPr>
              <w:t>televisión</w:t>
            </w:r>
            <w:proofErr w:type="spellEnd"/>
            <w:r w:rsidRPr="00021E8A">
              <w:rPr>
                <w:b w:val="0"/>
                <w:bCs/>
                <w:sz w:val="20"/>
              </w:rPr>
              <w:t>)</w:t>
            </w:r>
          </w:p>
        </w:tc>
      </w:tr>
      <w:tr w:rsidR="00B1717A" w:rsidRPr="00366CEE" w:rsidTr="00366CEE">
        <w:tc>
          <w:tcPr>
            <w:tcW w:w="1140" w:type="dxa"/>
            <w:tcBorders>
              <w:top w:val="nil"/>
              <w:bottom w:val="nil"/>
            </w:tcBorders>
            <w:shd w:val="clear" w:color="auto" w:fill="auto"/>
          </w:tcPr>
          <w:p w:rsidR="00B1717A" w:rsidRPr="00366CEE" w:rsidRDefault="00B1717A"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B1717A" w:rsidRPr="00366CE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proofErr w:type="spellStart"/>
            <w:r w:rsidRPr="00366CEE">
              <w:rPr>
                <w:sz w:val="20"/>
              </w:rPr>
              <w:t>Servicio</w:t>
            </w:r>
            <w:proofErr w:type="spellEnd"/>
            <w:r w:rsidRPr="00366CEE">
              <w:rPr>
                <w:sz w:val="20"/>
              </w:rPr>
              <w:t xml:space="preserve"> </w:t>
            </w:r>
            <w:proofErr w:type="spellStart"/>
            <w:r w:rsidRPr="00366CEE">
              <w:rPr>
                <w:sz w:val="20"/>
              </w:rPr>
              <w:t>fijo</w:t>
            </w:r>
            <w:proofErr w:type="spellEnd"/>
          </w:p>
        </w:tc>
      </w:tr>
      <w:tr w:rsidR="00B1717A" w:rsidRPr="00E228D0" w:rsidTr="00F95576">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 xml:space="preserve">viles, de </w:t>
            </w:r>
            <w:proofErr w:type="spellStart"/>
            <w:r w:rsidRPr="0010336F">
              <w:rPr>
                <w:rFonts w:hAnsi="Times New Roman Bold"/>
                <w:b w:val="0"/>
                <w:sz w:val="20"/>
                <w:lang w:val="es-ES_tradnl"/>
              </w:rPr>
              <w:t>radiodeterminaci</w:t>
            </w:r>
            <w:r w:rsidRPr="0010336F">
              <w:rPr>
                <w:rFonts w:hAnsi="Times New Roman Bold"/>
                <w:b w:val="0"/>
                <w:sz w:val="20"/>
                <w:lang w:val="es-ES_tradnl"/>
              </w:rPr>
              <w:t>ó</w:t>
            </w:r>
            <w:r w:rsidRPr="0010336F">
              <w:rPr>
                <w:rFonts w:hAnsi="Times New Roman Bold"/>
                <w:b w:val="0"/>
                <w:sz w:val="20"/>
                <w:lang w:val="es-ES_tradnl"/>
              </w:rPr>
              <w:t>n</w:t>
            </w:r>
            <w:proofErr w:type="spellEnd"/>
            <w:r w:rsidRPr="0010336F">
              <w:rPr>
                <w:rFonts w:hAnsi="Times New Roman Bold"/>
                <w:b w:val="0"/>
                <w:sz w:val="20"/>
                <w:lang w:val="es-ES_tradnl"/>
              </w:rPr>
              <w:t>,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E228D0" w:rsidTr="00DE71F7">
        <w:tc>
          <w:tcPr>
            <w:tcW w:w="1140" w:type="dxa"/>
            <w:tcBorders>
              <w:top w:val="nil"/>
              <w:bottom w:val="nil"/>
            </w:tcBorders>
            <w:shd w:val="clear" w:color="auto" w:fill="auto"/>
          </w:tcPr>
          <w:p w:rsidR="00B1717A" w:rsidRPr="00F95576" w:rsidRDefault="00B1717A" w:rsidP="00D62884">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rsidR="00B1717A" w:rsidRPr="00F95576" w:rsidRDefault="00B1717A" w:rsidP="00D62884">
            <w:pPr>
              <w:spacing w:before="30" w:after="30"/>
              <w:jc w:val="left"/>
              <w:rPr>
                <w:sz w:val="20"/>
                <w:lang w:val="es-ES_tradnl"/>
              </w:rPr>
            </w:pPr>
            <w:r w:rsidRPr="00F95576">
              <w:rPr>
                <w:sz w:val="20"/>
                <w:lang w:val="es-ES_tradnl"/>
              </w:rPr>
              <w:t>Propagación de las ondas radioeléctricas</w:t>
            </w:r>
          </w:p>
        </w:tc>
      </w:tr>
      <w:tr w:rsidR="00B1717A" w:rsidRPr="00DE71F7" w:rsidTr="00D12388">
        <w:tc>
          <w:tcPr>
            <w:tcW w:w="1140" w:type="dxa"/>
            <w:tcBorders>
              <w:top w:val="nil"/>
              <w:bottom w:val="nil"/>
            </w:tcBorders>
            <w:shd w:val="clear" w:color="auto" w:fill="auto"/>
          </w:tcPr>
          <w:p w:rsidR="00B1717A" w:rsidRPr="00DE71F7" w:rsidRDefault="00B1717A" w:rsidP="00D62884">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rsidR="00B1717A" w:rsidRPr="00DE71F7" w:rsidRDefault="000718C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proofErr w:type="spellStart"/>
            <w:r>
              <w:rPr>
                <w:sz w:val="20"/>
              </w:rPr>
              <w:t>Radio</w:t>
            </w:r>
            <w:r w:rsidR="00B1717A" w:rsidRPr="00DE71F7">
              <w:rPr>
                <w:sz w:val="20"/>
              </w:rPr>
              <w:t>astronomía</w:t>
            </w:r>
            <w:proofErr w:type="spellEnd"/>
          </w:p>
        </w:tc>
      </w:tr>
      <w:tr w:rsidR="00B1717A" w:rsidRPr="00E228D0" w:rsidTr="00025336">
        <w:tc>
          <w:tcPr>
            <w:tcW w:w="1140" w:type="dxa"/>
            <w:tcBorders>
              <w:top w:val="nil"/>
              <w:bottom w:val="nil"/>
            </w:tcBorders>
            <w:shd w:val="clear" w:color="auto" w:fill="auto"/>
          </w:tcPr>
          <w:p w:rsidR="00B1717A" w:rsidRPr="00D12388" w:rsidRDefault="00B1717A" w:rsidP="00D62884">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rsidR="00B1717A" w:rsidRPr="00D12388"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B1717A" w:rsidRPr="00025336" w:rsidTr="00975AEB">
        <w:tc>
          <w:tcPr>
            <w:tcW w:w="1140" w:type="dxa"/>
            <w:tcBorders>
              <w:top w:val="nil"/>
              <w:bottom w:val="nil"/>
            </w:tcBorders>
            <w:shd w:val="clear" w:color="auto" w:fill="auto"/>
          </w:tcPr>
          <w:p w:rsidR="00B1717A" w:rsidRPr="00025336" w:rsidRDefault="00B1717A" w:rsidP="00D62884">
            <w:pPr>
              <w:spacing w:before="30" w:after="30"/>
              <w:ind w:left="57"/>
              <w:jc w:val="left"/>
              <w:rPr>
                <w:b/>
                <w:bCs/>
                <w:sz w:val="20"/>
                <w:lang w:val="en-US"/>
              </w:rPr>
            </w:pPr>
            <w:r w:rsidRPr="00025336">
              <w:rPr>
                <w:b/>
                <w:bCs/>
                <w:sz w:val="20"/>
                <w:lang w:val="en-US"/>
              </w:rPr>
              <w:t>S</w:t>
            </w:r>
          </w:p>
        </w:tc>
        <w:tc>
          <w:tcPr>
            <w:tcW w:w="8220" w:type="dxa"/>
            <w:tcBorders>
              <w:top w:val="nil"/>
              <w:bottom w:val="nil"/>
            </w:tcBorders>
            <w:shd w:val="clear" w:color="auto" w:fill="auto"/>
          </w:tcPr>
          <w:p w:rsidR="00B1717A" w:rsidRPr="00025336" w:rsidRDefault="00B1717A" w:rsidP="00D62884">
            <w:pPr>
              <w:spacing w:before="30" w:after="30"/>
              <w:jc w:val="left"/>
              <w:rPr>
                <w:sz w:val="20"/>
                <w:lang w:val="en-US"/>
              </w:rPr>
            </w:pPr>
            <w:proofErr w:type="spellStart"/>
            <w:r w:rsidRPr="00025336">
              <w:rPr>
                <w:sz w:val="20"/>
              </w:rPr>
              <w:t>Servicio</w:t>
            </w:r>
            <w:proofErr w:type="spellEnd"/>
            <w:r w:rsidRPr="00025336">
              <w:rPr>
                <w:sz w:val="20"/>
              </w:rPr>
              <w:t xml:space="preserve"> </w:t>
            </w:r>
            <w:proofErr w:type="spellStart"/>
            <w:r w:rsidRPr="00025336">
              <w:rPr>
                <w:sz w:val="20"/>
              </w:rPr>
              <w:t>fijo</w:t>
            </w:r>
            <w:proofErr w:type="spellEnd"/>
            <w:r w:rsidRPr="00025336">
              <w:rPr>
                <w:sz w:val="20"/>
              </w:rPr>
              <w:t xml:space="preserve"> </w:t>
            </w:r>
            <w:proofErr w:type="spellStart"/>
            <w:r w:rsidRPr="00025336">
              <w:rPr>
                <w:sz w:val="20"/>
              </w:rPr>
              <w:t>por</w:t>
            </w:r>
            <w:proofErr w:type="spellEnd"/>
            <w:r w:rsidRPr="00025336">
              <w:rPr>
                <w:sz w:val="20"/>
              </w:rPr>
              <w:t xml:space="preserve"> </w:t>
            </w:r>
            <w:proofErr w:type="spellStart"/>
            <w:r w:rsidRPr="00025336">
              <w:rPr>
                <w:sz w:val="20"/>
              </w:rPr>
              <w:t>satélite</w:t>
            </w:r>
            <w:proofErr w:type="spellEnd"/>
          </w:p>
        </w:tc>
      </w:tr>
      <w:tr w:rsidR="00B1717A" w:rsidRPr="00975AEB" w:rsidTr="00746AC6">
        <w:tc>
          <w:tcPr>
            <w:tcW w:w="1140" w:type="dxa"/>
            <w:tcBorders>
              <w:top w:val="nil"/>
              <w:bottom w:val="nil"/>
            </w:tcBorders>
            <w:shd w:val="clear" w:color="auto" w:fill="auto"/>
          </w:tcPr>
          <w:p w:rsidR="00B1717A" w:rsidRPr="00975AEB" w:rsidRDefault="00B1717A" w:rsidP="00D62884">
            <w:pPr>
              <w:spacing w:before="30" w:after="30"/>
              <w:ind w:left="57"/>
              <w:jc w:val="left"/>
              <w:rPr>
                <w:b/>
                <w:bCs/>
                <w:sz w:val="20"/>
                <w:lang w:val="en-US"/>
              </w:rPr>
            </w:pPr>
            <w:r w:rsidRPr="00975AEB">
              <w:rPr>
                <w:b/>
                <w:bCs/>
                <w:sz w:val="20"/>
                <w:lang w:val="en-US"/>
              </w:rPr>
              <w:t>SA</w:t>
            </w:r>
          </w:p>
        </w:tc>
        <w:tc>
          <w:tcPr>
            <w:tcW w:w="8220" w:type="dxa"/>
            <w:tcBorders>
              <w:top w:val="nil"/>
              <w:bottom w:val="nil"/>
            </w:tcBorders>
            <w:shd w:val="clear" w:color="auto" w:fill="auto"/>
          </w:tcPr>
          <w:p w:rsidR="00B1717A" w:rsidRPr="00975AEB" w:rsidRDefault="00B1717A" w:rsidP="00D62884">
            <w:pPr>
              <w:spacing w:before="30" w:after="30"/>
              <w:jc w:val="left"/>
              <w:rPr>
                <w:sz w:val="20"/>
                <w:lang w:val="en-US"/>
              </w:rPr>
            </w:pPr>
            <w:proofErr w:type="spellStart"/>
            <w:r w:rsidRPr="00975AEB">
              <w:rPr>
                <w:sz w:val="20"/>
              </w:rPr>
              <w:t>Aplicaciones</w:t>
            </w:r>
            <w:proofErr w:type="spellEnd"/>
            <w:r w:rsidRPr="00975AEB">
              <w:rPr>
                <w:sz w:val="20"/>
              </w:rPr>
              <w:t xml:space="preserve"> </w:t>
            </w:r>
            <w:proofErr w:type="spellStart"/>
            <w:r w:rsidRPr="00975AEB">
              <w:rPr>
                <w:sz w:val="20"/>
              </w:rPr>
              <w:t>espaciales</w:t>
            </w:r>
            <w:proofErr w:type="spellEnd"/>
            <w:r w:rsidRPr="00975AEB">
              <w:rPr>
                <w:sz w:val="20"/>
              </w:rPr>
              <w:t xml:space="preserve"> y </w:t>
            </w:r>
            <w:proofErr w:type="spellStart"/>
            <w:r w:rsidRPr="00975AEB">
              <w:rPr>
                <w:sz w:val="20"/>
              </w:rPr>
              <w:t>meteorología</w:t>
            </w:r>
            <w:proofErr w:type="spellEnd"/>
          </w:p>
        </w:tc>
      </w:tr>
      <w:tr w:rsidR="00B1717A" w:rsidRPr="00E228D0" w:rsidTr="00746AC6">
        <w:tc>
          <w:tcPr>
            <w:tcW w:w="1140" w:type="dxa"/>
            <w:tcBorders>
              <w:top w:val="nil"/>
              <w:bottom w:val="nil"/>
            </w:tcBorders>
            <w:shd w:val="clear" w:color="auto" w:fill="auto"/>
          </w:tcPr>
          <w:p w:rsidR="00B1717A" w:rsidRPr="00746AC6" w:rsidRDefault="00B1717A" w:rsidP="00D62884">
            <w:pPr>
              <w:spacing w:before="30" w:after="30"/>
              <w:ind w:left="57"/>
              <w:jc w:val="left"/>
              <w:rPr>
                <w:b/>
                <w:bCs/>
                <w:sz w:val="20"/>
                <w:lang w:val="en-US"/>
              </w:rPr>
            </w:pPr>
            <w:r w:rsidRPr="00746AC6">
              <w:rPr>
                <w:b/>
                <w:bCs/>
                <w:sz w:val="20"/>
                <w:lang w:val="en-US"/>
              </w:rPr>
              <w:t>SF</w:t>
            </w:r>
          </w:p>
        </w:tc>
        <w:tc>
          <w:tcPr>
            <w:tcW w:w="8220" w:type="dxa"/>
            <w:tcBorders>
              <w:top w:val="nil"/>
              <w:bottom w:val="nil"/>
            </w:tcBorders>
            <w:shd w:val="clear" w:color="auto" w:fill="auto"/>
          </w:tcPr>
          <w:p w:rsidR="00B1717A" w:rsidRPr="00746AC6" w:rsidRDefault="00B1717A" w:rsidP="00D62884">
            <w:pPr>
              <w:spacing w:before="30" w:after="30"/>
              <w:jc w:val="left"/>
              <w:rPr>
                <w:sz w:val="20"/>
                <w:lang w:val="es-ES_tradnl"/>
              </w:rPr>
            </w:pPr>
            <w:r w:rsidRPr="00746AC6">
              <w:rPr>
                <w:sz w:val="20"/>
                <w:lang w:val="es-ES_tradnl"/>
              </w:rPr>
              <w:t>Compartición de frecuencias y coordinación entre los sistemas del servicio fijo por satélite y del servicio fijo</w:t>
            </w:r>
          </w:p>
        </w:tc>
      </w:tr>
      <w:tr w:rsidR="00B1717A" w:rsidRPr="00746AC6" w:rsidTr="00746AC6">
        <w:tc>
          <w:tcPr>
            <w:tcW w:w="1140" w:type="dxa"/>
            <w:tcBorders>
              <w:top w:val="nil"/>
              <w:bottom w:val="nil"/>
            </w:tcBorders>
            <w:shd w:val="clear" w:color="auto" w:fill="F3F3F3"/>
          </w:tcPr>
          <w:p w:rsidR="00B1717A" w:rsidRPr="00746AC6" w:rsidRDefault="00B1717A" w:rsidP="00D62884">
            <w:pPr>
              <w:spacing w:before="30" w:after="30"/>
              <w:ind w:left="57"/>
              <w:jc w:val="left"/>
              <w:rPr>
                <w:b/>
                <w:bCs/>
                <w:color w:val="000080"/>
                <w:sz w:val="20"/>
                <w:lang w:val="en-US"/>
              </w:rPr>
            </w:pPr>
            <w:r w:rsidRPr="00746AC6">
              <w:rPr>
                <w:b/>
                <w:bCs/>
                <w:color w:val="000080"/>
                <w:sz w:val="20"/>
                <w:lang w:val="en-US"/>
              </w:rPr>
              <w:t>SM</w:t>
            </w:r>
          </w:p>
        </w:tc>
        <w:tc>
          <w:tcPr>
            <w:tcW w:w="8220" w:type="dxa"/>
            <w:tcBorders>
              <w:top w:val="nil"/>
              <w:bottom w:val="nil"/>
            </w:tcBorders>
            <w:shd w:val="clear" w:color="auto" w:fill="F3F3F3"/>
          </w:tcPr>
          <w:p w:rsidR="00B1717A" w:rsidRPr="00746AC6" w:rsidRDefault="00B1717A" w:rsidP="00D62884">
            <w:pPr>
              <w:spacing w:before="30" w:after="30"/>
              <w:jc w:val="left"/>
              <w:rPr>
                <w:b/>
                <w:bCs/>
                <w:color w:val="000080"/>
                <w:sz w:val="20"/>
                <w:lang w:val="en-US"/>
              </w:rPr>
            </w:pPr>
            <w:proofErr w:type="spellStart"/>
            <w:r w:rsidRPr="00746AC6">
              <w:rPr>
                <w:b/>
                <w:bCs/>
                <w:color w:val="000080"/>
                <w:sz w:val="20"/>
              </w:rPr>
              <w:t>Gestión</w:t>
            </w:r>
            <w:proofErr w:type="spellEnd"/>
            <w:r w:rsidRPr="00746AC6">
              <w:rPr>
                <w:b/>
                <w:bCs/>
                <w:color w:val="000080"/>
                <w:sz w:val="20"/>
              </w:rPr>
              <w:t xml:space="preserve"> </w:t>
            </w:r>
            <w:proofErr w:type="spellStart"/>
            <w:r w:rsidRPr="00746AC6">
              <w:rPr>
                <w:b/>
                <w:bCs/>
                <w:color w:val="000080"/>
                <w:sz w:val="20"/>
              </w:rPr>
              <w:t>del</w:t>
            </w:r>
            <w:proofErr w:type="spellEnd"/>
            <w:r w:rsidRPr="00746AC6">
              <w:rPr>
                <w:b/>
                <w:bCs/>
                <w:color w:val="000080"/>
                <w:sz w:val="20"/>
              </w:rPr>
              <w:t xml:space="preserve"> </w:t>
            </w:r>
            <w:proofErr w:type="spellStart"/>
            <w:r w:rsidRPr="00746AC6">
              <w:rPr>
                <w:b/>
                <w:bCs/>
                <w:color w:val="000080"/>
                <w:sz w:val="20"/>
              </w:rPr>
              <w:t>espectro</w:t>
            </w:r>
            <w:proofErr w:type="spellEnd"/>
          </w:p>
        </w:tc>
      </w:tr>
      <w:tr w:rsidR="00B1717A" w:rsidRPr="00036EE3" w:rsidTr="00746AC6">
        <w:tc>
          <w:tcPr>
            <w:tcW w:w="1140" w:type="dxa"/>
            <w:tcBorders>
              <w:top w:val="nil"/>
            </w:tcBorders>
          </w:tcPr>
          <w:p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Borders>
              <w:top w:val="nil"/>
            </w:tcBorders>
          </w:tcPr>
          <w:p w:rsidR="00B1717A" w:rsidRPr="00021E8A" w:rsidRDefault="00B1717A" w:rsidP="00D62884">
            <w:pPr>
              <w:spacing w:before="30" w:after="30"/>
              <w:jc w:val="left"/>
              <w:rPr>
                <w:bCs/>
                <w:sz w:val="20"/>
                <w:lang w:val="en-US"/>
              </w:rPr>
            </w:pPr>
            <w:proofErr w:type="spellStart"/>
            <w:r w:rsidRPr="00021E8A">
              <w:rPr>
                <w:bCs/>
                <w:sz w:val="20"/>
              </w:rPr>
              <w:t>Periodismo</w:t>
            </w:r>
            <w:proofErr w:type="spellEnd"/>
            <w:r w:rsidRPr="00021E8A">
              <w:rPr>
                <w:bCs/>
                <w:sz w:val="20"/>
              </w:rPr>
              <w:t xml:space="preserve"> </w:t>
            </w:r>
            <w:proofErr w:type="spellStart"/>
            <w:r w:rsidRPr="00021E8A">
              <w:rPr>
                <w:bCs/>
                <w:sz w:val="20"/>
              </w:rPr>
              <w:t>electrónico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B1717A" w:rsidRPr="00E228D0"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rsidR="00B1717A" w:rsidRPr="00021E8A" w:rsidRDefault="00B1717A" w:rsidP="00D62884">
            <w:pPr>
              <w:spacing w:before="30" w:after="140"/>
              <w:jc w:val="left"/>
              <w:rPr>
                <w:bCs/>
                <w:sz w:val="20"/>
                <w:lang w:val="en-US"/>
              </w:rPr>
            </w:pPr>
            <w:proofErr w:type="spellStart"/>
            <w:r w:rsidRPr="00021E8A">
              <w:rPr>
                <w:bCs/>
                <w:sz w:val="20"/>
              </w:rPr>
              <w:t>Vocabulario</w:t>
            </w:r>
            <w:proofErr w:type="spellEnd"/>
            <w:r w:rsidRPr="00021E8A">
              <w:rPr>
                <w:bCs/>
                <w:sz w:val="20"/>
              </w:rPr>
              <w:t xml:space="preserve"> y </w:t>
            </w:r>
            <w:proofErr w:type="spellStart"/>
            <w:r w:rsidRPr="00021E8A">
              <w:rPr>
                <w:bCs/>
                <w:sz w:val="20"/>
              </w:rPr>
              <w:t>cuestiones</w:t>
            </w:r>
            <w:proofErr w:type="spellEnd"/>
            <w:r w:rsidRPr="00021E8A">
              <w:rPr>
                <w:bCs/>
                <w:sz w:val="20"/>
              </w:rPr>
              <w:t xml:space="preserve"> </w:t>
            </w:r>
            <w:proofErr w:type="spellStart"/>
            <w:r w:rsidRPr="00021E8A">
              <w:rPr>
                <w:bCs/>
                <w:sz w:val="20"/>
              </w:rPr>
              <w:t>afines</w:t>
            </w:r>
            <w:proofErr w:type="spellEnd"/>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rsidTr="00D62884">
        <w:tc>
          <w:tcPr>
            <w:tcW w:w="720" w:type="dxa"/>
          </w:tcPr>
          <w:p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E228D0" w:rsidTr="00D62884">
        <w:tc>
          <w:tcPr>
            <w:tcW w:w="9360" w:type="dxa"/>
          </w:tcPr>
          <w:p w:rsidR="00B1717A" w:rsidRPr="00763D08" w:rsidRDefault="00B1717A" w:rsidP="00DB6032">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7E00FF">
      <w:pPr>
        <w:spacing w:before="0" w:after="40"/>
        <w:jc w:val="right"/>
        <w:rPr>
          <w:sz w:val="20"/>
          <w:lang w:val="es-ES_tradnl"/>
        </w:rPr>
      </w:pPr>
      <w:r w:rsidRPr="00763D08">
        <w:rPr>
          <w:sz w:val="20"/>
          <w:lang w:val="es-ES_tradnl"/>
        </w:rPr>
        <w:t>Ginebra, 20</w:t>
      </w:r>
      <w:r w:rsidR="00092507">
        <w:rPr>
          <w:sz w:val="20"/>
          <w:lang w:val="es-ES_tradnl"/>
        </w:rPr>
        <w:t>1</w:t>
      </w:r>
      <w:r w:rsidR="00C466B3">
        <w:rPr>
          <w:sz w:val="20"/>
          <w:lang w:val="es-ES_tradnl"/>
        </w:rPr>
        <w:t>6</w:t>
      </w:r>
    </w:p>
    <w:p w:rsidR="00B1717A" w:rsidRPr="00763D08" w:rsidRDefault="00B1717A" w:rsidP="00B1717A">
      <w:pPr>
        <w:spacing w:before="0"/>
        <w:jc w:val="center"/>
        <w:rPr>
          <w:sz w:val="22"/>
          <w:lang w:val="es-ES_tradnl"/>
        </w:rPr>
      </w:pPr>
    </w:p>
    <w:p w:rsidR="00B1717A" w:rsidRPr="00763D08" w:rsidRDefault="00B1717A" w:rsidP="007E00FF">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092507">
        <w:rPr>
          <w:sz w:val="20"/>
          <w:lang w:val="es-ES_tradnl"/>
        </w:rPr>
        <w:t>1</w:t>
      </w:r>
      <w:r w:rsidR="00C466B3">
        <w:rPr>
          <w:sz w:val="20"/>
          <w:lang w:val="es-ES_tradnl"/>
        </w:rPr>
        <w:t>6</w:t>
      </w:r>
    </w:p>
    <w:p w:rsidR="00B1717A" w:rsidRPr="006C718C" w:rsidRDefault="00B1717A"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1"/>
          <w:headerReference w:type="default" r:id="rId12"/>
          <w:pgSz w:w="11907" w:h="16834" w:code="9"/>
          <w:pgMar w:top="1418" w:right="1134" w:bottom="1134" w:left="1134" w:header="720" w:footer="482" w:gutter="0"/>
          <w:pgNumType w:fmt="lowerRoman" w:start="2"/>
          <w:cols w:space="720"/>
        </w:sectPr>
      </w:pPr>
    </w:p>
    <w:p w:rsidR="00E228D0" w:rsidRDefault="00E228D0" w:rsidP="00280392">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SM</w:t>
      </w:r>
      <w:r w:rsidRPr="0010336F">
        <w:rPr>
          <w:rStyle w:val="href"/>
          <w:lang w:val="es-ES_tradnl"/>
        </w:rPr>
        <w:t>.</w:t>
      </w:r>
      <w:r w:rsidR="00280392">
        <w:rPr>
          <w:rStyle w:val="href"/>
          <w:lang w:val="es-ES_tradnl"/>
        </w:rPr>
        <w:t>2080-0</w:t>
      </w:r>
    </w:p>
    <w:p w:rsidR="00E228D0" w:rsidRPr="00685AFA" w:rsidRDefault="00E228D0" w:rsidP="00E228D0">
      <w:pPr>
        <w:pStyle w:val="Rectitle"/>
        <w:rPr>
          <w:lang w:val="es-ES_tradnl"/>
        </w:rPr>
      </w:pPr>
      <w:r w:rsidRPr="00685AFA">
        <w:rPr>
          <w:lang w:val="es-ES_tradnl"/>
        </w:rPr>
        <w:t xml:space="preserve">Exactitud de la información horaria en los datos a la salida de </w:t>
      </w:r>
      <w:r>
        <w:rPr>
          <w:lang w:val="es-ES_tradnl"/>
        </w:rPr>
        <w:br/>
      </w:r>
      <w:r w:rsidRPr="00685AFA">
        <w:rPr>
          <w:lang w:val="es-ES_tradnl"/>
        </w:rPr>
        <w:t>los receptores de comprobación técnica</w:t>
      </w:r>
    </w:p>
    <w:p w:rsidR="00E228D0" w:rsidRPr="00685AFA" w:rsidRDefault="00E228D0" w:rsidP="00E228D0">
      <w:pPr>
        <w:pStyle w:val="Recdate"/>
        <w:rPr>
          <w:lang w:val="es-ES_tradnl"/>
        </w:rPr>
      </w:pPr>
      <w:r w:rsidRPr="00685AFA">
        <w:rPr>
          <w:lang w:val="es-ES_tradnl"/>
        </w:rPr>
        <w:t>(2015)</w:t>
      </w:r>
    </w:p>
    <w:p w:rsidR="00E228D0" w:rsidRPr="00094F88" w:rsidRDefault="00E228D0" w:rsidP="00E53472">
      <w:pPr>
        <w:pStyle w:val="HeadingSum"/>
      </w:pPr>
      <w:r w:rsidRPr="00094F88">
        <w:t>Alcance</w:t>
      </w:r>
    </w:p>
    <w:p w:rsidR="00E228D0" w:rsidRPr="00685AFA" w:rsidRDefault="00E228D0" w:rsidP="00E228D0">
      <w:pPr>
        <w:pStyle w:val="Summary"/>
      </w:pPr>
      <w:r w:rsidRPr="00685AFA">
        <w:t>En esta Recomendación se dan ejemplos de los posibles métodos para medir la exactitud de la información horaria en los datos I/Q de los receptores de comprobación técnica.</w:t>
      </w:r>
    </w:p>
    <w:p w:rsidR="00E228D0" w:rsidRPr="00094F88" w:rsidRDefault="00E228D0" w:rsidP="00E53472">
      <w:pPr>
        <w:pStyle w:val="Headingb"/>
        <w:rPr>
          <w:lang w:val="es-ES_tradnl"/>
        </w:rPr>
      </w:pPr>
      <w:r w:rsidRPr="00E53472">
        <w:t>Palabras</w:t>
      </w:r>
      <w:r w:rsidRPr="00094F88">
        <w:rPr>
          <w:lang w:val="es-ES_tradnl"/>
        </w:rPr>
        <w:t xml:space="preserve"> clave</w:t>
      </w:r>
    </w:p>
    <w:p w:rsidR="00E228D0" w:rsidRPr="00685AFA" w:rsidRDefault="00E228D0" w:rsidP="00E228D0">
      <w:pPr>
        <w:rPr>
          <w:lang w:val="es-ES_tradnl"/>
        </w:rPr>
      </w:pPr>
      <w:r w:rsidRPr="00685AFA">
        <w:rPr>
          <w:lang w:val="es-ES_tradnl"/>
        </w:rPr>
        <w:t>Datos I/Q, exactitud del sello de tiempo</w:t>
      </w:r>
    </w:p>
    <w:p w:rsidR="00E228D0" w:rsidRPr="00685AFA" w:rsidRDefault="00E228D0" w:rsidP="00E228D0">
      <w:pPr>
        <w:pStyle w:val="Normalaftertitle"/>
        <w:rPr>
          <w:lang w:val="es-ES_tradnl"/>
        </w:rPr>
      </w:pPr>
      <w:r w:rsidRPr="00685AFA">
        <w:rPr>
          <w:lang w:val="es-ES_tradnl"/>
        </w:rPr>
        <w:t>La Asamblea de Radiocomunicaciones de la UIT,</w:t>
      </w:r>
    </w:p>
    <w:p w:rsidR="00E228D0" w:rsidRPr="00685AFA" w:rsidRDefault="00E228D0" w:rsidP="00E228D0">
      <w:pPr>
        <w:pStyle w:val="Call"/>
        <w:rPr>
          <w:lang w:val="es-ES_tradnl"/>
        </w:rPr>
      </w:pPr>
      <w:r w:rsidRPr="00685AFA">
        <w:rPr>
          <w:lang w:val="es-ES_tradnl"/>
        </w:rPr>
        <w:t>considerando</w:t>
      </w:r>
    </w:p>
    <w:p w:rsidR="00E228D0" w:rsidRPr="00685AFA" w:rsidRDefault="00E228D0" w:rsidP="00E228D0">
      <w:pPr>
        <w:rPr>
          <w:lang w:val="es-ES_tradnl"/>
        </w:rPr>
      </w:pPr>
      <w:r w:rsidRPr="00685AFA">
        <w:rPr>
          <w:i/>
          <w:iCs/>
          <w:lang w:val="es-ES_tradnl"/>
        </w:rPr>
        <w:t>a)</w:t>
      </w:r>
      <w:r w:rsidRPr="00685AFA">
        <w:rPr>
          <w:lang w:val="es-ES_tradnl"/>
        </w:rPr>
        <w:tab/>
        <w:t>que en el ámbito de la comprobación técnica radioeléctrica la exactitud de la información horaria en los datos I/Q reviste una gran importancia;</w:t>
      </w:r>
    </w:p>
    <w:p w:rsidR="00E228D0" w:rsidRPr="00685AFA" w:rsidRDefault="00E228D0" w:rsidP="00E228D0">
      <w:pPr>
        <w:rPr>
          <w:lang w:val="es-ES_tradnl"/>
        </w:rPr>
      </w:pPr>
      <w:r w:rsidRPr="00685AFA">
        <w:rPr>
          <w:i/>
          <w:iCs/>
          <w:lang w:val="es-ES_tradnl" w:eastAsia="ja-JP"/>
        </w:rPr>
        <w:t>b)</w:t>
      </w:r>
      <w:r w:rsidRPr="00685AFA">
        <w:rPr>
          <w:lang w:val="es-ES_tradnl" w:eastAsia="ja-JP"/>
        </w:rPr>
        <w:tab/>
        <w:t>que la ambigüedad en la especificación del sello de tiempo entre usuarios y distintos fabricantes puede dar pie a una mala interpretación de la información horaria en los datos I/Q;</w:t>
      </w:r>
    </w:p>
    <w:p w:rsidR="00E228D0" w:rsidRPr="00685AFA" w:rsidRDefault="00E228D0" w:rsidP="00E228D0">
      <w:pPr>
        <w:rPr>
          <w:lang w:val="es-ES_tradnl"/>
        </w:rPr>
      </w:pPr>
      <w:r w:rsidRPr="00685AFA">
        <w:rPr>
          <w:i/>
          <w:iCs/>
          <w:lang w:val="es-ES_tradnl"/>
        </w:rPr>
        <w:t>c)</w:t>
      </w:r>
      <w:r w:rsidRPr="00685AFA">
        <w:rPr>
          <w:lang w:val="es-ES_tradnl"/>
        </w:rPr>
        <w:tab/>
        <w:t>que los relojes internos de los receptores de comprobación técnica pueden desviarse si no se toman medidas para mantener la exactitud horaria;</w:t>
      </w:r>
    </w:p>
    <w:p w:rsidR="00E228D0" w:rsidRPr="00685AFA" w:rsidRDefault="00E228D0" w:rsidP="00E228D0">
      <w:pPr>
        <w:rPr>
          <w:lang w:val="es-ES_tradnl"/>
        </w:rPr>
      </w:pPr>
      <w:r w:rsidRPr="00685AFA">
        <w:rPr>
          <w:i/>
          <w:iCs/>
          <w:lang w:val="es-ES_tradnl"/>
        </w:rPr>
        <w:t>d)</w:t>
      </w:r>
      <w:r w:rsidRPr="00685AFA">
        <w:rPr>
          <w:lang w:val="es-ES_tradnl"/>
        </w:rPr>
        <w:tab/>
        <w:t>que, en función de la configuración del receptor de comprobación técnica, varía el desfase temporal entre la llegada de la señal al conector RF de entrada y el momento en que se inserta la información horaria precisa en los datos I/Q;</w:t>
      </w:r>
    </w:p>
    <w:p w:rsidR="00E228D0" w:rsidRPr="00685AFA" w:rsidRDefault="00E228D0" w:rsidP="00E228D0">
      <w:pPr>
        <w:rPr>
          <w:lang w:val="es-ES_tradnl"/>
        </w:rPr>
      </w:pPr>
      <w:r w:rsidRPr="00685AFA">
        <w:rPr>
          <w:i/>
          <w:iCs/>
          <w:lang w:val="es-ES_tradnl"/>
        </w:rPr>
        <w:t>e)</w:t>
      </w:r>
      <w:r w:rsidRPr="00685AFA">
        <w:rPr>
          <w:lang w:val="es-ES_tradnl"/>
        </w:rPr>
        <w:tab/>
        <w:t>que la adopción por los fabricantes de receptores de comprobación técnica radioeléctrica de una especificación bien definida de la exactitud de la información horaria en los datos I/Q redundará en beneficio de los usuarios al permitirles realizar fácilmente una comparación más objetiva de productos semejantes de distintos fabricantes,</w:t>
      </w:r>
    </w:p>
    <w:p w:rsidR="00E228D0" w:rsidRPr="00685AFA" w:rsidRDefault="00E228D0" w:rsidP="00E228D0">
      <w:pPr>
        <w:pStyle w:val="Call"/>
        <w:rPr>
          <w:lang w:val="es-ES_tradnl"/>
        </w:rPr>
      </w:pPr>
      <w:r w:rsidRPr="00685AFA">
        <w:rPr>
          <w:lang w:val="es-ES_tradnl"/>
        </w:rPr>
        <w:t>recomienda</w:t>
      </w:r>
    </w:p>
    <w:p w:rsidR="00E228D0" w:rsidRPr="00685AFA" w:rsidRDefault="00E228D0" w:rsidP="00E228D0">
      <w:pPr>
        <w:rPr>
          <w:lang w:val="es-ES_tradnl"/>
        </w:rPr>
      </w:pPr>
      <w:r w:rsidRPr="00685AFA">
        <w:rPr>
          <w:b/>
          <w:bCs/>
          <w:lang w:val="es-ES_tradnl"/>
        </w:rPr>
        <w:t>1</w:t>
      </w:r>
      <w:r w:rsidRPr="00685AFA">
        <w:rPr>
          <w:lang w:val="es-ES_tradnl"/>
        </w:rPr>
        <w:tab/>
        <w:t>que la exactitud de la información horaria en el flujo de datos I/Q sea constante para cada uno de los pares de muestra (I/Q) a fin de poder marcar con la misma precisión hasta las señales de corta duración, intermitentes o impulsivas;</w:t>
      </w:r>
    </w:p>
    <w:p w:rsidR="00E228D0" w:rsidRPr="00685AFA" w:rsidRDefault="00E228D0" w:rsidP="00E228D0">
      <w:pPr>
        <w:rPr>
          <w:lang w:val="es-ES_tradnl"/>
        </w:rPr>
      </w:pPr>
      <w:r w:rsidRPr="00685AFA">
        <w:rPr>
          <w:b/>
          <w:bCs/>
          <w:lang w:val="es-ES_tradnl"/>
        </w:rPr>
        <w:t>2</w:t>
      </w:r>
      <w:r w:rsidRPr="00685AFA">
        <w:rPr>
          <w:b/>
          <w:bCs/>
          <w:lang w:val="es-ES_tradnl"/>
        </w:rPr>
        <w:tab/>
      </w:r>
      <w:r w:rsidRPr="00685AFA">
        <w:rPr>
          <w:lang w:val="es-ES_tradnl"/>
        </w:rPr>
        <w:t>que la información horaria exacta en los datos I/Q tome como referencia el conector RF de entrada del receptor de comprobación técnica a fin de que el retardo de propagación de la señal en el receptor no influya en el sello de tiempo;</w:t>
      </w:r>
    </w:p>
    <w:p w:rsidR="00E228D0" w:rsidRPr="00685AFA" w:rsidRDefault="00E228D0" w:rsidP="00E228D0">
      <w:pPr>
        <w:rPr>
          <w:lang w:val="es-ES_tradnl"/>
        </w:rPr>
      </w:pPr>
      <w:r w:rsidRPr="00685AFA">
        <w:rPr>
          <w:b/>
          <w:bCs/>
          <w:lang w:val="es-ES_tradnl"/>
        </w:rPr>
        <w:t>3</w:t>
      </w:r>
      <w:r w:rsidRPr="00685AFA">
        <w:rPr>
          <w:b/>
          <w:bCs/>
          <w:lang w:val="es-ES_tradnl"/>
        </w:rPr>
        <w:tab/>
      </w:r>
      <w:r w:rsidRPr="00685AFA">
        <w:rPr>
          <w:lang w:val="es-ES_tradnl"/>
        </w:rPr>
        <w:t>que el reloj interno de los receptores de comprobación técnica se sincronice con un reloj de alta precisión;</w:t>
      </w:r>
    </w:p>
    <w:p w:rsidR="00E228D0" w:rsidRPr="00685AFA" w:rsidRDefault="00E228D0" w:rsidP="00E228D0">
      <w:pPr>
        <w:rPr>
          <w:lang w:val="es-ES_tradnl"/>
        </w:rPr>
      </w:pPr>
      <w:r w:rsidRPr="00685AFA">
        <w:rPr>
          <w:b/>
          <w:bCs/>
          <w:lang w:val="es-ES_tradnl"/>
        </w:rPr>
        <w:t>4</w:t>
      </w:r>
      <w:r w:rsidRPr="00685AFA">
        <w:rPr>
          <w:b/>
          <w:bCs/>
          <w:lang w:val="es-ES_tradnl"/>
        </w:rPr>
        <w:tab/>
      </w:r>
      <w:r w:rsidRPr="00685AFA">
        <w:rPr>
          <w:lang w:val="es-ES_tradnl"/>
        </w:rPr>
        <w:t>que la precisión de la información temporal en los datos I/Q de un receptor de comprobación técnica se defina mediante la desviación entre el tiempo de referencia y el sello de tiempo facilitado por el receptor, y se exprese con un valor medio y una desviación normal;</w:t>
      </w:r>
    </w:p>
    <w:p w:rsidR="00E228D0" w:rsidRPr="00685AFA" w:rsidRDefault="00E228D0" w:rsidP="00E228D0">
      <w:pPr>
        <w:rPr>
          <w:lang w:val="es-ES_tradnl"/>
        </w:rPr>
      </w:pPr>
      <w:r w:rsidRPr="00685AFA">
        <w:rPr>
          <w:b/>
          <w:bCs/>
          <w:lang w:val="es-ES_tradnl"/>
        </w:rPr>
        <w:t>5</w:t>
      </w:r>
      <w:r w:rsidRPr="00685AFA">
        <w:rPr>
          <w:b/>
          <w:bCs/>
          <w:lang w:val="es-ES_tradnl"/>
        </w:rPr>
        <w:tab/>
      </w:r>
      <w:r w:rsidRPr="00685AFA">
        <w:rPr>
          <w:lang w:val="es-ES_tradnl"/>
        </w:rPr>
        <w:t>que en la ficha técnica, el fabricante especifique la precisión de la información temporal en los datos I/Q de un receptor de comprobación técnica y el método de medición. En los anexos siguientes se muestran ejemplos de métodos posibles.</w:t>
      </w:r>
    </w:p>
    <w:p w:rsidR="00E228D0" w:rsidRPr="00685AFA" w:rsidRDefault="00E228D0" w:rsidP="001B123C">
      <w:pPr>
        <w:pStyle w:val="Heading1"/>
        <w:rPr>
          <w:lang w:val="es-ES_tradnl"/>
        </w:rPr>
      </w:pPr>
      <w:r w:rsidRPr="00685AFA">
        <w:rPr>
          <w:lang w:val="es-ES_tradnl"/>
        </w:rPr>
        <w:lastRenderedPageBreak/>
        <w:t>Anexo 1</w:t>
      </w:r>
      <w:r w:rsidRPr="00685AFA">
        <w:rPr>
          <w:lang w:val="es-ES_tradnl"/>
        </w:rPr>
        <w:br/>
      </w:r>
      <w:r w:rsidRPr="00685AFA">
        <w:rPr>
          <w:lang w:val="es-ES_tradnl"/>
        </w:rPr>
        <w:br/>
        <w:t xml:space="preserve">Definición de la exactitud del sello de tiempo de los receptores de </w:t>
      </w:r>
      <w:r>
        <w:rPr>
          <w:lang w:val="es-ES_tradnl"/>
        </w:rPr>
        <w:br/>
      </w:r>
      <w:r w:rsidRPr="00685AFA">
        <w:rPr>
          <w:lang w:val="es-ES_tradnl"/>
        </w:rPr>
        <w:t>comprobación técnica radioeléctricos</w:t>
      </w:r>
    </w:p>
    <w:p w:rsidR="00E228D0" w:rsidRPr="00685AFA" w:rsidRDefault="00E228D0" w:rsidP="00E228D0">
      <w:pPr>
        <w:pStyle w:val="Heading1"/>
        <w:rPr>
          <w:lang w:val="es-ES_tradnl"/>
        </w:rPr>
      </w:pPr>
      <w:r w:rsidRPr="00685AFA">
        <w:rPr>
          <w:lang w:val="es-ES_tradnl"/>
        </w:rPr>
        <w:t>1</w:t>
      </w:r>
      <w:r w:rsidRPr="00685AFA">
        <w:rPr>
          <w:lang w:val="es-ES_tradnl"/>
        </w:rPr>
        <w:tab/>
        <w:t>Alcance</w:t>
      </w:r>
    </w:p>
    <w:p w:rsidR="00E228D0" w:rsidRPr="00685AFA" w:rsidRDefault="00E228D0" w:rsidP="001140C9">
      <w:pPr>
        <w:rPr>
          <w:lang w:val="es-ES_tradnl" w:eastAsia="ja-JP"/>
        </w:rPr>
      </w:pPr>
      <w:r w:rsidRPr="00685AFA">
        <w:rPr>
          <w:lang w:val="es-ES_tradnl"/>
        </w:rPr>
        <w:t>Determinadas aplicaciones en el ámbito de la comprobación técnica radioeléctrica precisan de información horaria exacta en los receptores de comprobación técnica. En este Anexo se define la exactitud del sello de tiempo en los datos</w:t>
      </w:r>
      <w:r w:rsidRPr="00685AFA">
        <w:rPr>
          <w:lang w:val="es-ES_tradnl" w:eastAsia="ja-JP"/>
        </w:rPr>
        <w:t xml:space="preserve"> </w:t>
      </w:r>
      <w:r w:rsidRPr="00685AFA">
        <w:rPr>
          <w:lang w:val="es-ES_tradnl"/>
        </w:rPr>
        <w:t>I/Q de los receptores de comprobación técnica. Todos los fabricantes de receptores de comprobación técnica radioeléctricos deben adoptar esta definición como interpretación común de los términos y utilizarla en los datos técnicos de sus productos</w:t>
      </w:r>
      <w:r w:rsidRPr="00685AFA">
        <w:rPr>
          <w:lang w:val="es-ES_tradnl" w:eastAsia="ja-JP"/>
        </w:rPr>
        <w:t>.</w:t>
      </w:r>
    </w:p>
    <w:p w:rsidR="00E228D0" w:rsidRPr="00685AFA" w:rsidRDefault="00E228D0" w:rsidP="00E228D0">
      <w:pPr>
        <w:pStyle w:val="Heading1"/>
        <w:rPr>
          <w:lang w:val="es-ES_tradnl"/>
        </w:rPr>
      </w:pPr>
      <w:r w:rsidRPr="00685AFA">
        <w:rPr>
          <w:lang w:val="es-ES_tradnl"/>
        </w:rPr>
        <w:t>2</w:t>
      </w:r>
      <w:r w:rsidRPr="00685AFA">
        <w:rPr>
          <w:lang w:val="es-ES_tradnl"/>
        </w:rPr>
        <w:tab/>
        <w:t>Aclaración</w:t>
      </w:r>
    </w:p>
    <w:p w:rsidR="00E228D0" w:rsidRPr="00685AFA" w:rsidRDefault="00E228D0" w:rsidP="00E228D0">
      <w:pPr>
        <w:rPr>
          <w:caps/>
          <w:sz w:val="28"/>
          <w:lang w:val="es-ES_tradnl" w:eastAsia="ja-JP"/>
        </w:rPr>
      </w:pPr>
      <w:r w:rsidRPr="00685AFA">
        <w:rPr>
          <w:lang w:val="es-ES_tradnl"/>
        </w:rPr>
        <w:t>La precisión del sello de tiempo se compone de dos partes. La primera es la sincronización del receptor con el tiempo de referencia; y la segunda es la compensación del tiempo de transmisión de la señal dentro del receptor</w:t>
      </w:r>
      <w:r w:rsidRPr="00685AFA">
        <w:rPr>
          <w:lang w:val="es-ES_tradnl" w:eastAsia="ja-JP"/>
        </w:rPr>
        <w:t>.</w:t>
      </w:r>
    </w:p>
    <w:p w:rsidR="00E228D0" w:rsidRPr="00685AFA" w:rsidRDefault="00E228D0" w:rsidP="001140C9">
      <w:pPr>
        <w:pStyle w:val="FigureNo"/>
        <w:rPr>
          <w:lang w:val="es-ES_tradnl"/>
        </w:rPr>
      </w:pPr>
      <w:r w:rsidRPr="00685AFA">
        <w:rPr>
          <w:lang w:val="es-ES_tradnl"/>
        </w:rPr>
        <w:t xml:space="preserve">FigurA </w:t>
      </w:r>
      <w:r w:rsidRPr="001140C9">
        <w:t>A1</w:t>
      </w:r>
      <w:r w:rsidRPr="00685AFA">
        <w:rPr>
          <w:lang w:val="es-ES_tradnl"/>
        </w:rPr>
        <w:t>-1</w:t>
      </w:r>
    </w:p>
    <w:p w:rsidR="00E228D0" w:rsidRPr="00685AFA" w:rsidRDefault="00E228D0" w:rsidP="001140C9">
      <w:pPr>
        <w:pStyle w:val="Figuretitle"/>
        <w:rPr>
          <w:lang w:val="es-ES_tradnl"/>
        </w:rPr>
      </w:pPr>
      <w:r w:rsidRPr="00685AFA">
        <w:rPr>
          <w:lang w:val="es-ES_tradnl"/>
        </w:rPr>
        <w:t xml:space="preserve">Error de temporización con respecto al </w:t>
      </w:r>
      <w:proofErr w:type="spellStart"/>
      <w:r w:rsidRPr="001140C9">
        <w:t>tiempo</w:t>
      </w:r>
      <w:proofErr w:type="spellEnd"/>
      <w:r w:rsidRPr="00685AFA">
        <w:rPr>
          <w:lang w:val="es-ES_tradnl"/>
        </w:rPr>
        <w:t xml:space="preserve"> de referencia durante la captura de datos I/Q</w:t>
      </w:r>
    </w:p>
    <w:p w:rsidR="00E228D0" w:rsidRPr="00685AFA" w:rsidRDefault="00E228D0" w:rsidP="00E228D0">
      <w:pPr>
        <w:pStyle w:val="Figure"/>
        <w:rPr>
          <w:lang w:val="es-ES_tradnl" w:eastAsia="ja-JP"/>
        </w:rPr>
      </w:pPr>
      <w:r w:rsidRPr="00685AFA">
        <w:rPr>
          <w:lang w:val="es-ES_tradnl"/>
        </w:rPr>
        <w:object w:dxaOrig="6046" w:dyaOrig="41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2.35pt;height:194.7pt" o:ole="">
            <v:imagedata r:id="rId13" o:title=""/>
          </v:shape>
          <o:OLEObject Type="Embed" ProgID="CorelDraw.Graphic.16" ShapeID="_x0000_i1025" DrawAspect="Content" ObjectID="_1540639428" r:id="rId14"/>
        </w:object>
      </w:r>
    </w:p>
    <w:p w:rsidR="00E228D0" w:rsidRPr="00685AFA" w:rsidRDefault="00E228D0" w:rsidP="00E228D0">
      <w:pPr>
        <w:pStyle w:val="Normalaftertitle"/>
        <w:rPr>
          <w:lang w:val="es-ES_tradnl" w:eastAsia="ja-JP"/>
        </w:rPr>
      </w:pPr>
      <w:r w:rsidRPr="00685AFA">
        <w:rPr>
          <w:lang w:val="es-ES_tradnl" w:eastAsia="ja-JP"/>
        </w:rPr>
        <w:t>En la Figura A1-1 el conector RF de entrada del receptor obtiene la seña</w:t>
      </w:r>
      <w:r>
        <w:rPr>
          <w:lang w:val="es-ES_tradnl" w:eastAsia="ja-JP"/>
        </w:rPr>
        <w:t>l RF en el tiempo de referencia </w:t>
      </w:r>
      <w:r w:rsidRPr="00685AFA">
        <w:rPr>
          <w:lang w:val="es-ES_tradnl" w:eastAsia="ja-JP"/>
        </w:rPr>
        <w:t>T0, pero el reloj interno del receptor de comprobación técnica tiene un error de sincronización temporal (t1) entre su tiempo y el tiempo de referencia.</w:t>
      </w:r>
    </w:p>
    <w:p w:rsidR="00E228D0" w:rsidRPr="00685AFA" w:rsidRDefault="00E228D0" w:rsidP="00E228D0">
      <w:pPr>
        <w:rPr>
          <w:lang w:val="es-ES_tradnl" w:eastAsia="ja-JP"/>
        </w:rPr>
      </w:pPr>
      <w:r w:rsidRPr="00685AFA">
        <w:rPr>
          <w:lang w:val="es-ES_tradnl" w:eastAsia="ja-JP"/>
        </w:rPr>
        <w:t>El retardo de propagación dentro del receptor, t2, representa el tiempo de transmisión de la señal desde el conector RF de entrada a la entrada del digitalizador de datos I/Q. El reloj de digitalización de datos I/Q tiene un error de muestreo (t3). Por último, puede haber un error de sello de tiempo debido al procesamiento interno (t4).</w:t>
      </w:r>
    </w:p>
    <w:p w:rsidR="00E228D0" w:rsidRPr="00685AFA" w:rsidRDefault="00E228D0" w:rsidP="00E228D0">
      <w:pPr>
        <w:rPr>
          <w:lang w:val="es-ES_tradnl" w:eastAsia="ja-JP"/>
        </w:rPr>
      </w:pPr>
      <w:r w:rsidRPr="00685AFA">
        <w:rPr>
          <w:lang w:val="es-ES_tradnl" w:eastAsia="ja-JP"/>
        </w:rPr>
        <w:t>El error del sello temporal total de los datos I/Q es t5 = t1 + t2 + t3 + t4.</w:t>
      </w:r>
    </w:p>
    <w:p w:rsidR="00E228D0" w:rsidRPr="00685AFA" w:rsidRDefault="00E228D0" w:rsidP="00E228D0">
      <w:pPr>
        <w:pStyle w:val="Heading1"/>
        <w:rPr>
          <w:lang w:val="es-ES_tradnl"/>
        </w:rPr>
      </w:pPr>
      <w:r w:rsidRPr="00685AFA">
        <w:rPr>
          <w:lang w:val="es-ES_tradnl"/>
        </w:rPr>
        <w:lastRenderedPageBreak/>
        <w:t>3</w:t>
      </w:r>
      <w:r w:rsidRPr="00685AFA">
        <w:rPr>
          <w:lang w:val="es-ES_tradnl"/>
        </w:rPr>
        <w:tab/>
        <w:t>Especificación de la precisión del sello de tiempo que habrá de indicarse en la ficha técnica</w:t>
      </w:r>
    </w:p>
    <w:p w:rsidR="00E228D0" w:rsidRPr="00685AFA" w:rsidRDefault="00E228D0" w:rsidP="00E228D0">
      <w:pPr>
        <w:rPr>
          <w:lang w:val="es-ES_tradnl" w:eastAsia="ja-JP"/>
        </w:rPr>
      </w:pPr>
      <w:r w:rsidRPr="00685AFA">
        <w:rPr>
          <w:lang w:val="es-ES_tradnl" w:eastAsia="ja-JP"/>
        </w:rPr>
        <w:t>Como se ha expuesto anteriormente, la precisión del sello de tiempo tiene dos partes. En la ficha técnica se ha de distinguir entre la precisión de la sincronización temporal (t1) y el retardo de procesamiento en el receptor (t2 + t3 + t4). Sin embargo, en algunos casos estos dos elementos pueden ser difíciles de distinguir. Si resulta difícil establecer la distinción, la precisión del sello de tiempo puede indicarse como el error del sello temporal total (t5) como valor medio y desviación normal.</w:t>
      </w:r>
    </w:p>
    <w:p w:rsidR="00E228D0" w:rsidRPr="00685AFA" w:rsidRDefault="00E228D0" w:rsidP="00E228D0">
      <w:pPr>
        <w:rPr>
          <w:lang w:val="es-ES_tradnl"/>
        </w:rPr>
      </w:pPr>
    </w:p>
    <w:p w:rsidR="00E228D0" w:rsidRPr="00685AFA" w:rsidRDefault="00E228D0" w:rsidP="00E228D0">
      <w:pPr>
        <w:rPr>
          <w:lang w:val="es-ES_tradnl"/>
        </w:rPr>
      </w:pPr>
    </w:p>
    <w:p w:rsidR="00E228D0" w:rsidRPr="00685AFA" w:rsidRDefault="00E228D0" w:rsidP="001B123C">
      <w:pPr>
        <w:pStyle w:val="Heading1"/>
        <w:rPr>
          <w:lang w:val="es-ES_tradnl"/>
        </w:rPr>
      </w:pPr>
      <w:r w:rsidRPr="00685AFA">
        <w:rPr>
          <w:lang w:val="es-ES_tradnl"/>
        </w:rPr>
        <w:t>Ane</w:t>
      </w:r>
      <w:bookmarkStart w:id="4" w:name="_GoBack"/>
      <w:bookmarkEnd w:id="4"/>
      <w:r w:rsidRPr="00685AFA">
        <w:rPr>
          <w:lang w:val="es-ES_tradnl"/>
        </w:rPr>
        <w:t>xo 2</w:t>
      </w:r>
      <w:r w:rsidRPr="00685AFA">
        <w:rPr>
          <w:lang w:val="es-ES_tradnl"/>
        </w:rPr>
        <w:br/>
      </w:r>
      <w:r w:rsidRPr="00685AFA">
        <w:rPr>
          <w:lang w:val="es-ES_tradnl"/>
        </w:rPr>
        <w:br/>
        <w:t>Ejemplos de procedimientos de prueba para medir la exactitud del sello de tiempo de los receptores de comprobación técnica radioeléctricos</w:t>
      </w:r>
    </w:p>
    <w:p w:rsidR="00E228D0" w:rsidRPr="00685AFA" w:rsidRDefault="00E228D0" w:rsidP="00E228D0">
      <w:pPr>
        <w:pStyle w:val="Heading1"/>
        <w:rPr>
          <w:lang w:val="es-ES_tradnl"/>
        </w:rPr>
      </w:pPr>
      <w:r w:rsidRPr="00685AFA">
        <w:rPr>
          <w:lang w:val="es-ES_tradnl"/>
        </w:rPr>
        <w:t>1</w:t>
      </w:r>
      <w:r w:rsidRPr="00685AFA">
        <w:rPr>
          <w:lang w:val="es-ES_tradnl"/>
        </w:rPr>
        <w:tab/>
        <w:t>Alcance</w:t>
      </w:r>
    </w:p>
    <w:p w:rsidR="00E228D0" w:rsidRPr="00685AFA" w:rsidRDefault="00E228D0" w:rsidP="00E228D0">
      <w:pPr>
        <w:rPr>
          <w:lang w:val="es-ES_tradnl"/>
        </w:rPr>
      </w:pPr>
      <w:r w:rsidRPr="00685AFA">
        <w:rPr>
          <w:lang w:val="es-ES_tradnl"/>
        </w:rPr>
        <w:t xml:space="preserve">En este anexo se describen los medios y procedimientos necesarios para verificar que el sello de tiempo en los datos I/Q de un receptor de comprobación técnica refleja con exactitud el tiempo de referencia de un reloj de alta precisión y se dan ejemplos de procedimientos de medición para lograr una mayor uniformidad de la especificación en receptores de distintos fabricantes en términos de exactitud del sello de tiempo. </w:t>
      </w:r>
    </w:p>
    <w:p w:rsidR="00E228D0" w:rsidRPr="00685AFA" w:rsidRDefault="00E228D0" w:rsidP="00E228D0">
      <w:pPr>
        <w:pStyle w:val="Heading1"/>
        <w:rPr>
          <w:lang w:val="es-ES_tradnl"/>
        </w:rPr>
      </w:pPr>
      <w:r w:rsidRPr="00685AFA">
        <w:rPr>
          <w:lang w:val="es-ES_tradnl"/>
        </w:rPr>
        <w:t>2</w:t>
      </w:r>
      <w:r w:rsidRPr="00685AFA">
        <w:rPr>
          <w:lang w:val="es-ES_tradnl"/>
        </w:rPr>
        <w:tab/>
        <w:t>Aspectos generales</w:t>
      </w:r>
    </w:p>
    <w:p w:rsidR="00E228D0" w:rsidRPr="00685AFA" w:rsidRDefault="00E228D0" w:rsidP="00E228D0">
      <w:pPr>
        <w:rPr>
          <w:lang w:val="es-ES_tradnl"/>
        </w:rPr>
      </w:pPr>
      <w:r w:rsidRPr="00685AFA">
        <w:rPr>
          <w:lang w:val="es-ES_tradnl"/>
        </w:rPr>
        <w:t>La medición se realiza para toda la gama de frecuencias del receptor, centrándose en la compensación del retardo temporal interno.</w:t>
      </w:r>
    </w:p>
    <w:p w:rsidR="00E228D0" w:rsidRPr="00685AFA" w:rsidRDefault="00E228D0" w:rsidP="00E228D0">
      <w:pPr>
        <w:pStyle w:val="Heading1"/>
        <w:rPr>
          <w:lang w:val="es-ES_tradnl"/>
        </w:rPr>
      </w:pPr>
      <w:r w:rsidRPr="00685AFA">
        <w:rPr>
          <w:lang w:val="es-ES_tradnl"/>
        </w:rPr>
        <w:lastRenderedPageBreak/>
        <w:t>3</w:t>
      </w:r>
      <w:r w:rsidRPr="00685AFA">
        <w:rPr>
          <w:lang w:val="es-ES_tradnl"/>
        </w:rPr>
        <w:tab/>
        <w:t>Configuración de la medición</w:t>
      </w:r>
    </w:p>
    <w:p w:rsidR="00E228D0" w:rsidRPr="00685AFA" w:rsidRDefault="00E228D0" w:rsidP="007556B9">
      <w:pPr>
        <w:pStyle w:val="FigureNo"/>
        <w:rPr>
          <w:lang w:val="es-ES_tradnl"/>
        </w:rPr>
      </w:pPr>
      <w:r w:rsidRPr="007556B9">
        <w:t>FigurA</w:t>
      </w:r>
      <w:r w:rsidRPr="00685AFA">
        <w:rPr>
          <w:lang w:val="es-ES_tradnl"/>
        </w:rPr>
        <w:t xml:space="preserve"> A2-1</w:t>
      </w:r>
    </w:p>
    <w:p w:rsidR="00E228D0" w:rsidRDefault="00E228D0" w:rsidP="00E228D0">
      <w:pPr>
        <w:pStyle w:val="Figuretitle"/>
        <w:rPr>
          <w:lang w:val="es-ES_tradnl"/>
        </w:rPr>
      </w:pPr>
      <w:r w:rsidRPr="00685AFA">
        <w:rPr>
          <w:lang w:val="es-ES_tradnl"/>
        </w:rPr>
        <w:t>Configuración de medición típica para medir la exactitud del sello de tiempo de un receptor de comprobación técnica radioeléctrico con una entrada de referencia de frecuencia externa</w:t>
      </w:r>
    </w:p>
    <w:p w:rsidR="00E228D0" w:rsidRPr="00685AFA" w:rsidRDefault="00E228D0" w:rsidP="00E228D0">
      <w:pPr>
        <w:pStyle w:val="Figure"/>
        <w:rPr>
          <w:szCs w:val="24"/>
          <w:lang w:val="es-ES_tradnl"/>
        </w:rPr>
      </w:pPr>
      <w:r w:rsidRPr="00685AFA">
        <w:rPr>
          <w:lang w:val="es-ES_tradnl"/>
        </w:rPr>
        <w:object w:dxaOrig="5937" w:dyaOrig="4567">
          <v:shape id="_x0000_i1026" type="#_x0000_t75" style="width:333.7pt;height:256.05pt" o:ole="">
            <v:imagedata r:id="rId15" o:title=""/>
          </v:shape>
          <o:OLEObject Type="Embed" ProgID="CorelDraw.Graphic.16" ShapeID="_x0000_i1026" DrawAspect="Content" ObjectID="_1540639429" r:id="rId16"/>
        </w:object>
      </w:r>
    </w:p>
    <w:p w:rsidR="00E228D0" w:rsidRPr="00685AFA" w:rsidRDefault="00E228D0" w:rsidP="00E228D0">
      <w:pPr>
        <w:pStyle w:val="FigureNo"/>
        <w:rPr>
          <w:lang w:val="es-ES_tradnl"/>
        </w:rPr>
      </w:pPr>
      <w:r w:rsidRPr="00685AFA">
        <w:rPr>
          <w:lang w:val="es-ES_tradnl"/>
        </w:rPr>
        <w:t>FigurA A2-2</w:t>
      </w:r>
    </w:p>
    <w:p w:rsidR="00E228D0" w:rsidRDefault="00E228D0" w:rsidP="00E228D0">
      <w:pPr>
        <w:pStyle w:val="Figuretitle"/>
        <w:rPr>
          <w:lang w:val="es-ES_tradnl"/>
        </w:rPr>
      </w:pPr>
      <w:r w:rsidRPr="00685AFA">
        <w:rPr>
          <w:lang w:val="es-ES_tradnl"/>
        </w:rPr>
        <w:t>Configuración de medición típica para medir la exactitud del sello de tiempo de un receptor de comprobación técnica radioeléctrico sin entrada de referencia de frecuencia externa</w:t>
      </w:r>
    </w:p>
    <w:p w:rsidR="00E228D0" w:rsidRPr="00F37815" w:rsidRDefault="00E228D0" w:rsidP="00E228D0">
      <w:pPr>
        <w:pStyle w:val="Figure"/>
        <w:rPr>
          <w:lang w:val="es-ES_tradnl"/>
        </w:rPr>
      </w:pPr>
    </w:p>
    <w:p w:rsidR="00E228D0" w:rsidRPr="00685AFA" w:rsidRDefault="00E228D0" w:rsidP="00E228D0">
      <w:pPr>
        <w:pStyle w:val="Figure"/>
        <w:rPr>
          <w:lang w:val="es-ES_tradnl" w:eastAsia="ja-JP"/>
        </w:rPr>
      </w:pPr>
      <w:r w:rsidRPr="00685AFA">
        <w:rPr>
          <w:lang w:val="es-ES_tradnl"/>
        </w:rPr>
        <w:object w:dxaOrig="6068" w:dyaOrig="3160">
          <v:shape id="_x0000_i1027" type="#_x0000_t75" style="width:357.5pt;height:186.55pt" o:ole="">
            <v:imagedata r:id="rId17" o:title=""/>
          </v:shape>
          <o:OLEObject Type="Embed" ProgID="CorelDraw.Graphic.16" ShapeID="_x0000_i1027" DrawAspect="Content" ObjectID="_1540639430" r:id="rId18"/>
        </w:object>
      </w:r>
    </w:p>
    <w:p w:rsidR="00E228D0" w:rsidRPr="00685AFA" w:rsidRDefault="00E228D0" w:rsidP="00E228D0">
      <w:pPr>
        <w:pStyle w:val="Heading1"/>
        <w:rPr>
          <w:lang w:val="es-ES_tradnl"/>
        </w:rPr>
      </w:pPr>
      <w:r w:rsidRPr="00685AFA">
        <w:rPr>
          <w:lang w:val="es-ES_tradnl"/>
        </w:rPr>
        <w:lastRenderedPageBreak/>
        <w:t>4</w:t>
      </w:r>
      <w:r w:rsidRPr="00685AFA">
        <w:rPr>
          <w:lang w:val="es-ES_tradnl"/>
        </w:rPr>
        <w:tab/>
        <w:t>Descripción de las configuraciones de medición</w:t>
      </w:r>
    </w:p>
    <w:p w:rsidR="00E228D0" w:rsidRPr="00685AFA" w:rsidRDefault="00E228D0" w:rsidP="00E228D0">
      <w:pPr>
        <w:pStyle w:val="Headingb"/>
        <w:rPr>
          <w:lang w:val="es-ES_tradnl"/>
        </w:rPr>
      </w:pPr>
      <w:r w:rsidRPr="00685AFA">
        <w:rPr>
          <w:lang w:val="es-ES_tradnl"/>
        </w:rPr>
        <w:t>Figura A2-1</w:t>
      </w:r>
    </w:p>
    <w:p w:rsidR="00E228D0" w:rsidRPr="00685AFA" w:rsidRDefault="00E228D0" w:rsidP="00E228D0">
      <w:pPr>
        <w:rPr>
          <w:lang w:val="es-ES_tradnl"/>
        </w:rPr>
      </w:pPr>
      <w:r w:rsidRPr="00685AFA">
        <w:rPr>
          <w:lang w:val="es-ES_tradnl"/>
        </w:rPr>
        <w:t>Se utiliza una frecuencia de referencia de una referencia de frecuencia común para sincronizar el generador de señal y el receptor de comprobación técnica cuya exactitud de sello de tiempo se ha de medir</w:t>
      </w:r>
      <w:r>
        <w:rPr>
          <w:lang w:val="es-ES_tradnl"/>
        </w:rPr>
        <w:t>.</w:t>
      </w:r>
    </w:p>
    <w:p w:rsidR="00E228D0" w:rsidRPr="00685AFA" w:rsidRDefault="00E228D0" w:rsidP="0085575C">
      <w:pPr>
        <w:rPr>
          <w:lang w:val="es-ES_tradnl"/>
        </w:rPr>
      </w:pPr>
      <w:r w:rsidRPr="00685AFA">
        <w:rPr>
          <w:lang w:val="es-ES_tradnl"/>
        </w:rPr>
        <w:t xml:space="preserve">La referencia de tiempo común (PPS=impulsos por segundo) tiene dos objetivos: cuando </w:t>
      </w:r>
      <w:r w:rsidR="003B0414">
        <w:rPr>
          <w:lang w:val="es-ES_tradnl"/>
        </w:rPr>
        <w:t xml:space="preserve">el conmutador está en posición </w:t>
      </w:r>
      <w:r w:rsidR="0085575C">
        <w:rPr>
          <w:lang w:val="es-ES_tradnl"/>
        </w:rPr>
        <w:t>«</w:t>
      </w:r>
      <w:r w:rsidRPr="00685AFA">
        <w:rPr>
          <w:lang w:val="es-ES_tradnl"/>
        </w:rPr>
        <w:t>B</w:t>
      </w:r>
      <w:r w:rsidR="0085575C">
        <w:rPr>
          <w:lang w:val="es-ES_tradnl"/>
        </w:rPr>
        <w:t>»</w:t>
      </w:r>
      <w:r w:rsidRPr="00685AFA">
        <w:rPr>
          <w:lang w:val="es-ES_tradnl"/>
        </w:rPr>
        <w:t xml:space="preserve"> fija correctamente el tiempo del reloj interno del receptor de comprobación técnica. El tiempo se fija sólo una vez al principio de la medición. Cuando se realiza la medición real, es la referencia de frecuencia externa la que mantiene la exactitud del reloj interno del receptor de comprobación técnica.</w:t>
      </w:r>
    </w:p>
    <w:p w:rsidR="00E228D0" w:rsidRPr="00685AFA" w:rsidRDefault="00E228D0" w:rsidP="00E228D0">
      <w:pPr>
        <w:rPr>
          <w:lang w:val="es-ES_tradnl"/>
        </w:rPr>
      </w:pPr>
      <w:r w:rsidRPr="00685AFA">
        <w:rPr>
          <w:lang w:val="es-ES_tradnl"/>
        </w:rPr>
        <w:t>Se pone entonces el conmutador en posición A para que la señal PPS de la referencia de tiempo active una señal de salida en el generador de señal vectorial. Se conoce el tiempo exacto de llegada de la señal al conector RF de entrada del receptor de comprobación técnica. La exactitud del sello de tiempo se calcula a partir de la diferencia entre el tiempo de llegada al conector RF de entrada conocido y el sello de tiempo en los datos I/Q.</w:t>
      </w:r>
    </w:p>
    <w:p w:rsidR="00E228D0" w:rsidRPr="00685AFA" w:rsidRDefault="00E228D0" w:rsidP="00E228D0">
      <w:pPr>
        <w:pStyle w:val="Headingb"/>
        <w:rPr>
          <w:lang w:val="es-ES_tradnl"/>
        </w:rPr>
      </w:pPr>
      <w:r w:rsidRPr="00685AFA">
        <w:rPr>
          <w:lang w:val="es-ES_tradnl"/>
        </w:rPr>
        <w:t>Figura A2-2</w:t>
      </w:r>
    </w:p>
    <w:p w:rsidR="00E228D0" w:rsidRPr="00685AFA" w:rsidRDefault="00E228D0" w:rsidP="00E228D0">
      <w:pPr>
        <w:rPr>
          <w:lang w:val="es-ES_tradnl" w:eastAsia="ja-JP"/>
        </w:rPr>
      </w:pPr>
      <w:r w:rsidRPr="00685AFA">
        <w:rPr>
          <w:lang w:val="es-ES_tradnl" w:eastAsia="ja-JP"/>
        </w:rPr>
        <w:t>La referencia de tiempo debe estar sincronizada con el tiempo de referencia y generar una señal PPS.</w:t>
      </w:r>
    </w:p>
    <w:p w:rsidR="00E228D0" w:rsidRPr="00685AFA" w:rsidRDefault="00E228D0" w:rsidP="00E228D0">
      <w:pPr>
        <w:rPr>
          <w:lang w:val="es-ES_tradnl" w:eastAsia="ja-JP"/>
        </w:rPr>
      </w:pPr>
      <w:r w:rsidRPr="00685AFA">
        <w:rPr>
          <w:lang w:val="es-ES_tradnl" w:eastAsia="ja-JP"/>
        </w:rPr>
        <w:t>La referencia de tiempo activa el generador en banda base para alternar el tipo de modulación de la señal en banda base mediante una señal PPS y está conectada en paralelo a un osciloscopio de alta velocidad con suficiente ancho de banda y velocidad de muestreo para mostrar la variación temporal de la señal RF.</w:t>
      </w:r>
    </w:p>
    <w:p w:rsidR="00E228D0" w:rsidRPr="00685AFA" w:rsidRDefault="00E228D0" w:rsidP="00E228D0">
      <w:pPr>
        <w:rPr>
          <w:lang w:val="es-ES_tradnl" w:eastAsia="ja-JP"/>
        </w:rPr>
      </w:pPr>
      <w:r w:rsidRPr="00685AFA">
        <w:rPr>
          <w:lang w:val="es-ES_tradnl" w:eastAsia="ja-JP"/>
        </w:rPr>
        <w:t>La señal en banda base se conecta al generador de señal vectorial, que genera una señal RF.</w:t>
      </w:r>
    </w:p>
    <w:p w:rsidR="00E228D0" w:rsidRPr="00685AFA" w:rsidRDefault="00E228D0" w:rsidP="00E228D0">
      <w:pPr>
        <w:rPr>
          <w:lang w:val="es-ES_tradnl" w:eastAsia="ja-JP"/>
        </w:rPr>
      </w:pPr>
      <w:r w:rsidRPr="00685AFA">
        <w:rPr>
          <w:lang w:val="es-ES_tradnl" w:eastAsia="ja-JP"/>
        </w:rPr>
        <w:t>La salida de la señal RF está conectada al receptor y al osciloscopio para verificar el tiempo exacto de la transformación del tipo de modulación en el conector RF de entrada del receptor. Así, se ha de medir el tiempo de transmisión del generador PPS al conector RF de entrada comparando las dos entradas en el osciloscopio.</w:t>
      </w:r>
    </w:p>
    <w:p w:rsidR="00E228D0" w:rsidRPr="00685AFA" w:rsidRDefault="00E228D0" w:rsidP="00E228D0">
      <w:pPr>
        <w:rPr>
          <w:lang w:val="es-ES_tradnl" w:eastAsia="ja-JP"/>
        </w:rPr>
      </w:pPr>
      <w:r w:rsidRPr="00685AFA">
        <w:rPr>
          <w:lang w:val="es-ES_tradnl" w:eastAsia="ja-JP"/>
        </w:rPr>
        <w:t>La exactitud del sello de tiempo se calcula a partir de la diferencia entre el tiempo preciso de llegada al conector RF de entrada del receptor y el tiempo de transformación de la modulación sobre la base de la información temporal de los datos I/Q capturados. No obstante, esta exactitud comprende tanto la exactitud de la sincronización temporal (t1) como el retardo de procesamiento en el receptor</w:t>
      </w:r>
      <w:r>
        <w:rPr>
          <w:lang w:val="es-ES_tradnl" w:eastAsia="ja-JP"/>
        </w:rPr>
        <w:t> </w:t>
      </w:r>
      <w:r w:rsidRPr="00685AFA">
        <w:rPr>
          <w:lang w:val="es-ES_tradnl" w:eastAsia="ja-JP"/>
        </w:rPr>
        <w:t>(t2</w:t>
      </w:r>
      <w:r>
        <w:rPr>
          <w:lang w:val="es-ES_tradnl" w:eastAsia="ja-JP"/>
        </w:rPr>
        <w:t> </w:t>
      </w:r>
      <w:r w:rsidRPr="00685AFA">
        <w:rPr>
          <w:lang w:val="es-ES_tradnl" w:eastAsia="ja-JP"/>
        </w:rPr>
        <w:t>+</w:t>
      </w:r>
      <w:r>
        <w:rPr>
          <w:lang w:val="es-ES_tradnl" w:eastAsia="ja-JP"/>
        </w:rPr>
        <w:t> </w:t>
      </w:r>
      <w:r w:rsidRPr="00685AFA">
        <w:rPr>
          <w:lang w:val="es-ES_tradnl" w:eastAsia="ja-JP"/>
        </w:rPr>
        <w:t>t3+ t4).</w:t>
      </w:r>
    </w:p>
    <w:p w:rsidR="00E228D0" w:rsidRPr="00685AFA" w:rsidRDefault="00E228D0" w:rsidP="00E228D0">
      <w:pPr>
        <w:rPr>
          <w:lang w:val="es-ES_tradnl" w:eastAsia="ja-JP"/>
        </w:rPr>
      </w:pPr>
      <w:r w:rsidRPr="00685AFA">
        <w:rPr>
          <w:lang w:val="es-ES_tradnl" w:eastAsia="ja-JP"/>
        </w:rPr>
        <w:t>La exactitud del sello de tiempo se manifestará como una desviación del sello de tiempo producida por el receptor de comprobación técnica a partir del tiempo de referencia, que se ha de especificar como un valor medio y una desviación normal</w:t>
      </w:r>
      <w:r>
        <w:rPr>
          <w:lang w:val="es-ES_tradnl" w:eastAsia="ja-JP"/>
        </w:rPr>
        <w:t>.</w:t>
      </w:r>
    </w:p>
    <w:p w:rsidR="00E228D0" w:rsidRPr="00685AFA" w:rsidRDefault="00E228D0" w:rsidP="00E228D0">
      <w:pPr>
        <w:rPr>
          <w:lang w:val="es-ES_tradnl" w:eastAsia="ja-JP"/>
        </w:rPr>
      </w:pPr>
      <w:r w:rsidRPr="00685AFA">
        <w:rPr>
          <w:lang w:val="es-ES_tradnl" w:eastAsia="ja-JP"/>
        </w:rPr>
        <w:t>Es necesario realizar múltiples mediciones de las mismas condiciones a lo largo del tiempo.</w:t>
      </w:r>
    </w:p>
    <w:p w:rsidR="00E228D0" w:rsidRPr="00010EE9" w:rsidRDefault="00E228D0" w:rsidP="00E228D0">
      <w:pPr>
        <w:pStyle w:val="Reasons"/>
        <w:rPr>
          <w:lang w:val="es-ES_tradnl"/>
        </w:rPr>
      </w:pPr>
    </w:p>
    <w:p w:rsidR="00E228D0" w:rsidRDefault="00E228D0" w:rsidP="00E228D0">
      <w:pPr>
        <w:jc w:val="center"/>
      </w:pPr>
      <w:r>
        <w:t>______________</w:t>
      </w:r>
    </w:p>
    <w:p w:rsidR="00E228D0" w:rsidRPr="00E228D0" w:rsidRDefault="00E228D0" w:rsidP="00E228D0">
      <w:pPr>
        <w:rPr>
          <w:lang w:val="es-ES_tradnl"/>
        </w:rPr>
      </w:pPr>
    </w:p>
    <w:sectPr w:rsidR="00E228D0" w:rsidRPr="00E228D0" w:rsidSect="007F3B59">
      <w:headerReference w:type="even" r:id="rId19"/>
      <w:headerReference w:type="default" r:id="rId20"/>
      <w:footerReference w:type="even" r:id="rId21"/>
      <w:footerReference w:type="default" r:id="rId22"/>
      <w:pgSz w:w="11907" w:h="16834" w:code="9"/>
      <w:pgMar w:top="1418" w:right="1134" w:bottom="1134" w:left="1134" w:header="720" w:footer="482" w:gutter="0"/>
      <w:paperSrc w:first="15" w:other="15"/>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3636" w:rsidRDefault="00953636">
      <w:r>
        <w:separator/>
      </w:r>
    </w:p>
  </w:endnote>
  <w:endnote w:type="continuationSeparator" w:id="0">
    <w:p w:rsidR="00953636" w:rsidRDefault="009536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692" w:rsidRDefault="007C0692" w:rsidP="007C069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692" w:rsidRDefault="007C06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3636" w:rsidRDefault="00953636">
      <w:r>
        <w:separator/>
      </w:r>
    </w:p>
  </w:footnote>
  <w:footnote w:type="continuationSeparator" w:id="0">
    <w:p w:rsidR="00953636" w:rsidRDefault="009536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636" w:rsidRDefault="00953636">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636" w:rsidRDefault="00953636" w:rsidP="00D62884">
    <w:pPr>
      <w:pStyle w:val="Header"/>
      <w:ind w:right="360" w:firstLine="360"/>
    </w:pPr>
    <w:r>
      <w:rPr>
        <w:noProof/>
        <w:lang w:val="en-GB"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B59" w:rsidRDefault="007F3B59" w:rsidP="007F3B59">
    <w:pPr>
      <w:pStyle w:val="Header"/>
      <w:jc w:val="both"/>
    </w:pPr>
    <w:r>
      <w:tab/>
    </w:r>
    <w:r w:rsidR="001B123C">
      <w:fldChar w:fldCharType="begin"/>
    </w:r>
    <w:r w:rsidR="001B123C">
      <w:instrText xml:space="preserve"> DOCPROPERTY "Header" \* MERGEFORMAT </w:instrText>
    </w:r>
    <w:r w:rsidR="001B123C">
      <w:fldChar w:fldCharType="separate"/>
    </w:r>
    <w:r w:rsidR="00C56303" w:rsidRPr="00C56303">
      <w:rPr>
        <w:b/>
        <w:bCs/>
      </w:rPr>
      <w:t xml:space="preserve">Rec. </w:t>
    </w:r>
    <w:r w:rsidR="001B123C">
      <w:rPr>
        <w:b/>
        <w:bCs/>
      </w:rPr>
      <w:fldChar w:fldCharType="end"/>
    </w:r>
    <w:r>
      <w:rPr>
        <w:b/>
        <w:bCs/>
      </w:rPr>
      <w:t xml:space="preserve"> </w:t>
    </w:r>
    <w:r>
      <w:rPr>
        <w:b/>
        <w:bCs/>
      </w:rPr>
      <w:fldChar w:fldCharType="begin"/>
    </w:r>
    <w:r>
      <w:rPr>
        <w:b/>
        <w:bCs/>
      </w:rPr>
      <w:instrText>styleref href</w:instrText>
    </w:r>
    <w:r>
      <w:rPr>
        <w:b/>
        <w:bCs/>
      </w:rPr>
      <w:fldChar w:fldCharType="separate"/>
    </w:r>
    <w:r w:rsidR="001B123C">
      <w:rPr>
        <w:b/>
        <w:bCs/>
        <w:noProof/>
      </w:rPr>
      <w:t>UIT-R  SM.2080-0</w:t>
    </w:r>
    <w:r>
      <w:rPr>
        <w:b/>
        <w:bCs/>
      </w:rPr>
      <w:fldChar w:fldCharType="end"/>
    </w:r>
    <w:r>
      <w:rPr>
        <w:b/>
        <w:bCs/>
      </w:rPr>
      <w:tab/>
    </w:r>
    <w:r>
      <w:rPr>
        <w:rStyle w:val="PageNumber"/>
        <w:b/>
        <w:bCs/>
      </w:rPr>
      <w:fldChar w:fldCharType="begin"/>
    </w:r>
    <w:r>
      <w:rPr>
        <w:rStyle w:val="PageNumber"/>
        <w:b/>
        <w:bCs/>
      </w:rPr>
      <w:instrText xml:space="preserve"> PAGE </w:instrText>
    </w:r>
    <w:r>
      <w:rPr>
        <w:rStyle w:val="PageNumber"/>
        <w:b/>
        <w:bCs/>
      </w:rPr>
      <w:fldChar w:fldCharType="separate"/>
    </w:r>
    <w:r w:rsidR="001B123C">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636" w:rsidRDefault="00953636"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7C0692">
      <w:rPr>
        <w:rStyle w:val="PageNumber"/>
        <w:b/>
        <w:bCs/>
        <w:noProof/>
      </w:rPr>
      <w:t>ii</w:t>
    </w:r>
    <w:r>
      <w:rPr>
        <w:rStyle w:val="PageNumber"/>
        <w:b/>
        <w:bCs/>
      </w:rPr>
      <w:fldChar w:fldCharType="end"/>
    </w:r>
    <w:r>
      <w:tab/>
    </w:r>
    <w:r w:rsidR="001B123C">
      <w:fldChar w:fldCharType="begin"/>
    </w:r>
    <w:r w:rsidR="001B123C">
      <w:instrText xml:space="preserve"> DOCPROPERTY "Header" \* MERGEFORMAT </w:instrText>
    </w:r>
    <w:r w:rsidR="001B123C">
      <w:fldChar w:fldCharType="separate"/>
    </w:r>
    <w:r w:rsidR="00C56303" w:rsidRPr="00C56303">
      <w:rPr>
        <w:b/>
        <w:bCs/>
        <w:lang w:val="fr-CH"/>
      </w:rPr>
      <w:t xml:space="preserve">Rec. </w:t>
    </w:r>
    <w:r w:rsidR="001B123C">
      <w:rPr>
        <w:b/>
        <w:bCs/>
        <w:lang w:val="fr-CH"/>
      </w:rPr>
      <w:fldChar w:fldCharType="end"/>
    </w:r>
    <w:r>
      <w:rPr>
        <w:b/>
        <w:bCs/>
      </w:rPr>
      <w:t xml:space="preserve"> </w:t>
    </w:r>
    <w:r>
      <w:rPr>
        <w:b/>
        <w:bCs/>
      </w:rPr>
      <w:fldChar w:fldCharType="begin"/>
    </w:r>
    <w:r>
      <w:rPr>
        <w:b/>
        <w:bCs/>
      </w:rPr>
      <w:instrText>styleref href</w:instrText>
    </w:r>
    <w:r>
      <w:rPr>
        <w:b/>
        <w:bCs/>
      </w:rPr>
      <w:fldChar w:fldCharType="separate"/>
    </w:r>
    <w:r w:rsidR="00C56303">
      <w:rPr>
        <w:b/>
        <w:bCs/>
        <w:noProof/>
      </w:rPr>
      <w:t>UIT-R  SM.2080-0</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B59" w:rsidRDefault="007F3B59" w:rsidP="007F3B59">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sidR="00C56303">
      <w:rPr>
        <w:rStyle w:val="PageNumber"/>
        <w:b/>
        <w:bCs/>
        <w:noProof/>
      </w:rPr>
      <w:t>ii</w:t>
    </w:r>
    <w:r>
      <w:rPr>
        <w:rStyle w:val="PageNumber"/>
        <w:b/>
        <w:bCs/>
      </w:rPr>
      <w:fldChar w:fldCharType="end"/>
    </w:r>
    <w:r>
      <w:tab/>
    </w:r>
    <w:r w:rsidR="001B123C">
      <w:fldChar w:fldCharType="begin"/>
    </w:r>
    <w:r w:rsidR="001B123C">
      <w:instrText xml:space="preserve"> DOCPROPERTY "Header" \* MERGEFORMAT </w:instrText>
    </w:r>
    <w:r w:rsidR="001B123C">
      <w:fldChar w:fldCharType="separate"/>
    </w:r>
    <w:r w:rsidR="00C56303" w:rsidRPr="00C56303">
      <w:rPr>
        <w:b/>
        <w:bCs/>
      </w:rPr>
      <w:t xml:space="preserve">Rec. </w:t>
    </w:r>
    <w:r w:rsidR="001B123C">
      <w:rPr>
        <w:b/>
        <w:bCs/>
      </w:rPr>
      <w:fldChar w:fldCharType="end"/>
    </w:r>
    <w:r>
      <w:rPr>
        <w:b/>
        <w:bCs/>
      </w:rPr>
      <w:t xml:space="preserve"> </w:t>
    </w:r>
    <w:r>
      <w:rPr>
        <w:b/>
        <w:bCs/>
      </w:rPr>
      <w:fldChar w:fldCharType="begin"/>
    </w:r>
    <w:r>
      <w:rPr>
        <w:b/>
        <w:bCs/>
      </w:rPr>
      <w:instrText>styleref href</w:instrText>
    </w:r>
    <w:r>
      <w:rPr>
        <w:b/>
        <w:bCs/>
      </w:rPr>
      <w:fldChar w:fldCharType="separate"/>
    </w:r>
    <w:r w:rsidR="00C56303">
      <w:rPr>
        <w:b/>
        <w:bCs/>
        <w:noProof/>
      </w:rPr>
      <w:t>UIT-R  SM.2080-0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636" w:rsidRDefault="0095363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C0692">
      <w:rPr>
        <w:rStyle w:val="PageNumber"/>
        <w:b/>
        <w:bCs/>
        <w:noProof/>
        <w:lang w:val="en-US"/>
      </w:rPr>
      <w:t>4</w:t>
    </w:r>
    <w:r>
      <w:rPr>
        <w:rStyle w:val="PageNumber"/>
        <w:b/>
        <w:bCs/>
      </w:rPr>
      <w:fldChar w:fldCharType="end"/>
    </w:r>
    <w:r>
      <w:rPr>
        <w:lang w:val="en-US"/>
      </w:rPr>
      <w:tab/>
    </w:r>
    <w:r w:rsidR="001B123C">
      <w:fldChar w:fldCharType="begin"/>
    </w:r>
    <w:r w:rsidR="001B123C">
      <w:instrText xml:space="preserve"> DOCPROPERTY "Header" \* MERGEFORMAT </w:instrText>
    </w:r>
    <w:r w:rsidR="001B123C">
      <w:fldChar w:fldCharType="separate"/>
    </w:r>
    <w:r w:rsidR="00C56303" w:rsidRPr="00C56303">
      <w:rPr>
        <w:b/>
        <w:bCs/>
        <w:lang w:val="en-US"/>
      </w:rPr>
      <w:t xml:space="preserve">Rec. </w:t>
    </w:r>
    <w:r w:rsidR="001B123C">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C56303">
      <w:rPr>
        <w:b/>
        <w:bCs/>
        <w:noProof/>
      </w:rPr>
      <w:t>UIT-R  SM.2080-0</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636" w:rsidRDefault="00953636">
    <w:pPr>
      <w:pStyle w:val="Header"/>
    </w:pPr>
    <w:r>
      <w:tab/>
    </w:r>
    <w:r w:rsidR="001B123C">
      <w:fldChar w:fldCharType="begin"/>
    </w:r>
    <w:r w:rsidR="001B123C">
      <w:instrText xml:space="preserve"> DOCPROPERTY "Header" \* MERGEFORMAT </w:instrText>
    </w:r>
    <w:r w:rsidR="001B123C">
      <w:fldChar w:fldCharType="separate"/>
    </w:r>
    <w:r w:rsidR="00C56303" w:rsidRPr="00C56303">
      <w:rPr>
        <w:b/>
        <w:bCs/>
      </w:rPr>
      <w:t xml:space="preserve">Rec. </w:t>
    </w:r>
    <w:r w:rsidR="001B123C">
      <w:rPr>
        <w:b/>
        <w:bCs/>
      </w:rPr>
      <w:fldChar w:fldCharType="end"/>
    </w:r>
    <w:r>
      <w:rPr>
        <w:b/>
        <w:bCs/>
      </w:rPr>
      <w:t xml:space="preserve"> </w:t>
    </w:r>
    <w:r>
      <w:rPr>
        <w:b/>
        <w:bCs/>
      </w:rPr>
      <w:fldChar w:fldCharType="begin"/>
    </w:r>
    <w:r>
      <w:rPr>
        <w:b/>
        <w:bCs/>
      </w:rPr>
      <w:instrText>styleref href</w:instrText>
    </w:r>
    <w:r>
      <w:rPr>
        <w:b/>
        <w:bCs/>
      </w:rPr>
      <w:fldChar w:fldCharType="separate"/>
    </w:r>
    <w:r w:rsidR="001B123C">
      <w:rPr>
        <w:b/>
        <w:bCs/>
        <w:noProof/>
      </w:rPr>
      <w:t>UIT-R  SM.2080-0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B123C">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hideSpellingErrors/>
  <w:hideGrammaticalErrors/>
  <w:activeWritingStyle w:appName="MSWord" w:lang="en-US" w:vendorID="64" w:dllVersion="131077" w:nlCheck="1" w:checkStyle="0"/>
  <w:activeWritingStyle w:appName="MSWord" w:lang="es-ES_tradnl"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17A"/>
    <w:rsid w:val="00017762"/>
    <w:rsid w:val="00025336"/>
    <w:rsid w:val="000718CA"/>
    <w:rsid w:val="00092507"/>
    <w:rsid w:val="000B716D"/>
    <w:rsid w:val="000B758D"/>
    <w:rsid w:val="000D5870"/>
    <w:rsid w:val="001140C9"/>
    <w:rsid w:val="001B123C"/>
    <w:rsid w:val="00236E9D"/>
    <w:rsid w:val="00266EDC"/>
    <w:rsid w:val="00280392"/>
    <w:rsid w:val="002D1080"/>
    <w:rsid w:val="002D76C4"/>
    <w:rsid w:val="00363835"/>
    <w:rsid w:val="00366CEE"/>
    <w:rsid w:val="003A1524"/>
    <w:rsid w:val="003B0414"/>
    <w:rsid w:val="004532F7"/>
    <w:rsid w:val="00454FAB"/>
    <w:rsid w:val="00461F16"/>
    <w:rsid w:val="005A6102"/>
    <w:rsid w:val="005C05F7"/>
    <w:rsid w:val="00607D68"/>
    <w:rsid w:val="006B22C3"/>
    <w:rsid w:val="00727BD8"/>
    <w:rsid w:val="00746AC6"/>
    <w:rsid w:val="007556B9"/>
    <w:rsid w:val="007A6E14"/>
    <w:rsid w:val="007C0692"/>
    <w:rsid w:val="007E00FF"/>
    <w:rsid w:val="007F3B59"/>
    <w:rsid w:val="00847DD5"/>
    <w:rsid w:val="0085575C"/>
    <w:rsid w:val="00880680"/>
    <w:rsid w:val="00885BF9"/>
    <w:rsid w:val="008B7769"/>
    <w:rsid w:val="009000D8"/>
    <w:rsid w:val="00953636"/>
    <w:rsid w:val="0096605B"/>
    <w:rsid w:val="00975AEB"/>
    <w:rsid w:val="00980CBF"/>
    <w:rsid w:val="00A6617B"/>
    <w:rsid w:val="00AB0DC8"/>
    <w:rsid w:val="00B1717A"/>
    <w:rsid w:val="00B44E24"/>
    <w:rsid w:val="00B57EDD"/>
    <w:rsid w:val="00B87252"/>
    <w:rsid w:val="00B97679"/>
    <w:rsid w:val="00BB77E9"/>
    <w:rsid w:val="00BD2749"/>
    <w:rsid w:val="00BF7841"/>
    <w:rsid w:val="00C466B3"/>
    <w:rsid w:val="00C56303"/>
    <w:rsid w:val="00C67A5B"/>
    <w:rsid w:val="00D12388"/>
    <w:rsid w:val="00D62884"/>
    <w:rsid w:val="00DB6032"/>
    <w:rsid w:val="00DC08D1"/>
    <w:rsid w:val="00DE5A70"/>
    <w:rsid w:val="00DE71F7"/>
    <w:rsid w:val="00DF4176"/>
    <w:rsid w:val="00E228D0"/>
    <w:rsid w:val="00E53472"/>
    <w:rsid w:val="00E81F24"/>
    <w:rsid w:val="00F95576"/>
    <w:rsid w:val="00FB56BF"/>
    <w:rsid w:val="00FF20B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64D77312-7C2D-417D-BAF4-D6AC8C603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347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E53472"/>
    <w:pPr>
      <w:keepNext/>
      <w:keepLines/>
      <w:spacing w:before="480"/>
      <w:ind w:left="794" w:hanging="794"/>
      <w:outlineLvl w:val="0"/>
    </w:pPr>
    <w:rPr>
      <w:b/>
    </w:rPr>
  </w:style>
  <w:style w:type="paragraph" w:styleId="Heading2">
    <w:name w:val="heading 2"/>
    <w:basedOn w:val="Heading1"/>
    <w:next w:val="Normal"/>
    <w:qFormat/>
    <w:rsid w:val="00E53472"/>
    <w:pPr>
      <w:spacing w:before="320"/>
      <w:outlineLvl w:val="1"/>
    </w:pPr>
  </w:style>
  <w:style w:type="paragraph" w:styleId="Heading3">
    <w:name w:val="heading 3"/>
    <w:basedOn w:val="Heading1"/>
    <w:next w:val="Normal"/>
    <w:qFormat/>
    <w:rsid w:val="00E53472"/>
    <w:pPr>
      <w:spacing w:before="200"/>
      <w:outlineLvl w:val="2"/>
    </w:pPr>
  </w:style>
  <w:style w:type="paragraph" w:styleId="Heading4">
    <w:name w:val="heading 4"/>
    <w:basedOn w:val="Heading3"/>
    <w:next w:val="Normal"/>
    <w:qFormat/>
    <w:rsid w:val="00E53472"/>
    <w:pPr>
      <w:tabs>
        <w:tab w:val="clear" w:pos="794"/>
        <w:tab w:val="left" w:pos="992"/>
      </w:tabs>
      <w:ind w:left="992" w:hanging="992"/>
      <w:outlineLvl w:val="3"/>
    </w:pPr>
  </w:style>
  <w:style w:type="paragraph" w:styleId="Heading5">
    <w:name w:val="heading 5"/>
    <w:basedOn w:val="Heading4"/>
    <w:next w:val="Normal"/>
    <w:qFormat/>
    <w:rsid w:val="00E53472"/>
    <w:pPr>
      <w:outlineLvl w:val="4"/>
    </w:pPr>
  </w:style>
  <w:style w:type="paragraph" w:styleId="Heading6">
    <w:name w:val="heading 6"/>
    <w:basedOn w:val="Heading4"/>
    <w:next w:val="Normal"/>
    <w:qFormat/>
    <w:rsid w:val="00E53472"/>
    <w:pPr>
      <w:tabs>
        <w:tab w:val="clear" w:pos="992"/>
        <w:tab w:val="clear" w:pos="1191"/>
      </w:tabs>
      <w:ind w:left="1588" w:hanging="1588"/>
      <w:outlineLvl w:val="5"/>
    </w:pPr>
  </w:style>
  <w:style w:type="paragraph" w:styleId="Heading7">
    <w:name w:val="heading 7"/>
    <w:basedOn w:val="Heading6"/>
    <w:next w:val="Normal"/>
    <w:qFormat/>
    <w:rsid w:val="00E53472"/>
    <w:pPr>
      <w:outlineLvl w:val="6"/>
    </w:pPr>
  </w:style>
  <w:style w:type="paragraph" w:styleId="Heading8">
    <w:name w:val="heading 8"/>
    <w:basedOn w:val="Heading6"/>
    <w:next w:val="Normal"/>
    <w:qFormat/>
    <w:rsid w:val="00E53472"/>
    <w:pPr>
      <w:outlineLvl w:val="7"/>
    </w:pPr>
  </w:style>
  <w:style w:type="paragraph" w:styleId="Heading9">
    <w:name w:val="heading 9"/>
    <w:basedOn w:val="Heading6"/>
    <w:next w:val="Normal"/>
    <w:qFormat/>
    <w:rsid w:val="00E53472"/>
    <w:pPr>
      <w:jc w:val="left"/>
      <w:outlineLvl w:val="8"/>
    </w:pPr>
  </w:style>
  <w:style w:type="character" w:default="1" w:styleId="DefaultParagraphFont">
    <w:name w:val="Default Paragraph Font"/>
    <w:uiPriority w:val="1"/>
    <w:semiHidden/>
    <w:unhideWhenUsed/>
    <w:rsid w:val="00E5347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E53472"/>
  </w:style>
  <w:style w:type="paragraph" w:styleId="Header">
    <w:name w:val="header"/>
    <w:basedOn w:val="Normal"/>
    <w:link w:val="HeaderChar"/>
    <w:rsid w:val="00E5347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E5347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53472"/>
  </w:style>
  <w:style w:type="paragraph" w:customStyle="1" w:styleId="Headingb">
    <w:name w:val="Heading_b"/>
    <w:basedOn w:val="Heading3"/>
    <w:next w:val="Normal"/>
    <w:rsid w:val="00E53472"/>
    <w:pPr>
      <w:spacing w:before="160"/>
      <w:ind w:left="0" w:firstLine="0"/>
      <w:outlineLvl w:val="9"/>
    </w:pPr>
  </w:style>
  <w:style w:type="paragraph" w:customStyle="1" w:styleId="Headingi">
    <w:name w:val="Heading_i"/>
    <w:basedOn w:val="Heading3"/>
    <w:next w:val="Normal"/>
    <w:rsid w:val="00E53472"/>
    <w:pPr>
      <w:spacing w:before="160"/>
      <w:ind w:left="0" w:firstLine="0"/>
    </w:pPr>
    <w:rPr>
      <w:b w:val="0"/>
      <w:i/>
    </w:rPr>
  </w:style>
  <w:style w:type="character" w:customStyle="1" w:styleId="href">
    <w:name w:val="href"/>
    <w:basedOn w:val="DefaultParagraphFont"/>
    <w:rsid w:val="00E53472"/>
  </w:style>
  <w:style w:type="paragraph" w:customStyle="1" w:styleId="enumlev1">
    <w:name w:val="enumlev1"/>
    <w:basedOn w:val="Normal"/>
    <w:rsid w:val="00E53472"/>
    <w:pPr>
      <w:spacing w:before="80"/>
      <w:ind w:left="794" w:hanging="794"/>
    </w:pPr>
  </w:style>
  <w:style w:type="paragraph" w:customStyle="1" w:styleId="enumlev2">
    <w:name w:val="enumlev2"/>
    <w:basedOn w:val="enumlev1"/>
    <w:rsid w:val="00E53472"/>
    <w:pPr>
      <w:ind w:left="1191" w:hanging="397"/>
    </w:pPr>
  </w:style>
  <w:style w:type="paragraph" w:customStyle="1" w:styleId="enumlev3">
    <w:name w:val="enumlev3"/>
    <w:basedOn w:val="enumlev2"/>
    <w:rsid w:val="00E53472"/>
    <w:pPr>
      <w:ind w:left="1588"/>
    </w:pPr>
  </w:style>
  <w:style w:type="paragraph" w:customStyle="1" w:styleId="Normalaftertitle">
    <w:name w:val="Normal_after_title"/>
    <w:basedOn w:val="Normal"/>
    <w:next w:val="Normal"/>
    <w:link w:val="NormalaftertitleChar"/>
    <w:rsid w:val="00E53472"/>
    <w:pPr>
      <w:spacing w:before="320"/>
    </w:pPr>
  </w:style>
  <w:style w:type="paragraph" w:customStyle="1" w:styleId="Note">
    <w:name w:val="Note"/>
    <w:basedOn w:val="Normal"/>
    <w:rsid w:val="00E53472"/>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E53472"/>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E53472"/>
    <w:pPr>
      <w:spacing w:before="240"/>
    </w:pPr>
    <w:rPr>
      <w:sz w:val="22"/>
      <w:lang w:val="es-ES_tradnl"/>
    </w:rPr>
  </w:style>
  <w:style w:type="paragraph" w:customStyle="1" w:styleId="Recref">
    <w:name w:val="Rec_ref"/>
    <w:basedOn w:val="Normal"/>
    <w:next w:val="Recdate"/>
    <w:rsid w:val="00E53472"/>
    <w:pPr>
      <w:jc w:val="center"/>
    </w:pPr>
  </w:style>
  <w:style w:type="paragraph" w:customStyle="1" w:styleId="Recdate">
    <w:name w:val="Rec_date"/>
    <w:basedOn w:val="Recref"/>
    <w:next w:val="Normalaftertitle"/>
    <w:rsid w:val="00E53472"/>
    <w:pPr>
      <w:jc w:val="right"/>
    </w:pPr>
  </w:style>
  <w:style w:type="paragraph" w:customStyle="1" w:styleId="AnnexNoTitle">
    <w:name w:val="Annex_NoTitle"/>
    <w:basedOn w:val="Normal"/>
    <w:next w:val="Normalaftertitle"/>
    <w:rsid w:val="00E53472"/>
    <w:pPr>
      <w:keepNext/>
      <w:keepLines/>
      <w:spacing w:before="480" w:after="80"/>
      <w:jc w:val="center"/>
    </w:pPr>
    <w:rPr>
      <w:b/>
      <w:sz w:val="28"/>
    </w:rPr>
  </w:style>
  <w:style w:type="paragraph" w:customStyle="1" w:styleId="AppendixNoTitle">
    <w:name w:val="Appendix_NoTitle"/>
    <w:basedOn w:val="AnnexNoTitle"/>
    <w:next w:val="Normal"/>
    <w:rsid w:val="00E53472"/>
  </w:style>
  <w:style w:type="paragraph" w:customStyle="1" w:styleId="Tablefin">
    <w:name w:val="Table_fin"/>
    <w:basedOn w:val="Normal"/>
    <w:next w:val="Normal"/>
    <w:rsid w:val="00E53472"/>
    <w:pPr>
      <w:spacing w:before="0"/>
    </w:pPr>
    <w:rPr>
      <w:sz w:val="20"/>
      <w:lang w:val="en-GB"/>
    </w:rPr>
  </w:style>
  <w:style w:type="paragraph" w:customStyle="1" w:styleId="Tablehead">
    <w:name w:val="Table_head"/>
    <w:basedOn w:val="Normal"/>
    <w:next w:val="Normal"/>
    <w:rsid w:val="00E5347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5347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E53472"/>
    <w:pPr>
      <w:keepNext/>
      <w:spacing w:before="360" w:after="120"/>
      <w:jc w:val="center"/>
    </w:pPr>
  </w:style>
  <w:style w:type="paragraph" w:customStyle="1" w:styleId="Tabletext">
    <w:name w:val="Table_text"/>
    <w:basedOn w:val="Normal"/>
    <w:rsid w:val="00E5347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E53472"/>
    <w:pPr>
      <w:tabs>
        <w:tab w:val="clear" w:pos="1191"/>
        <w:tab w:val="clear" w:pos="1588"/>
        <w:tab w:val="clear" w:pos="1985"/>
        <w:tab w:val="center" w:pos="4820"/>
        <w:tab w:val="right" w:pos="9639"/>
      </w:tabs>
    </w:pPr>
  </w:style>
  <w:style w:type="paragraph" w:customStyle="1" w:styleId="Equationlegend">
    <w:name w:val="Equation_legend"/>
    <w:basedOn w:val="NormalIndent"/>
    <w:rsid w:val="00E5347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53472"/>
    <w:pPr>
      <w:ind w:left="794"/>
    </w:pPr>
  </w:style>
  <w:style w:type="paragraph" w:customStyle="1" w:styleId="Figurelegend">
    <w:name w:val="Figure_legend"/>
    <w:basedOn w:val="Normal"/>
    <w:rsid w:val="00E5347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E53472"/>
    <w:pPr>
      <w:keepNext/>
      <w:keepLines/>
      <w:spacing w:before="480" w:after="80"/>
      <w:jc w:val="center"/>
    </w:pPr>
    <w:rPr>
      <w:caps/>
      <w:sz w:val="18"/>
    </w:rPr>
  </w:style>
  <w:style w:type="paragraph" w:customStyle="1" w:styleId="tocpart">
    <w:name w:val="tocpart"/>
    <w:basedOn w:val="Normal"/>
    <w:rsid w:val="00E5347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53472"/>
    <w:pPr>
      <w:keepNext/>
      <w:keepLines/>
      <w:spacing w:before="480"/>
      <w:jc w:val="center"/>
    </w:pPr>
    <w:rPr>
      <w:sz w:val="28"/>
    </w:rPr>
  </w:style>
  <w:style w:type="paragraph" w:customStyle="1" w:styleId="Arttitle">
    <w:name w:val="Art_title"/>
    <w:basedOn w:val="Normal"/>
    <w:next w:val="Normalaftertitle"/>
    <w:rsid w:val="00E53472"/>
    <w:pPr>
      <w:keepNext/>
      <w:keepLines/>
      <w:spacing w:before="240"/>
      <w:jc w:val="center"/>
    </w:pPr>
    <w:rPr>
      <w:b/>
      <w:sz w:val="28"/>
    </w:rPr>
  </w:style>
  <w:style w:type="paragraph" w:customStyle="1" w:styleId="Blanc">
    <w:name w:val="Blanc"/>
    <w:basedOn w:val="Normal"/>
    <w:next w:val="Tabletext"/>
    <w:rsid w:val="00E5347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5347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E53472"/>
    <w:pPr>
      <w:keepNext/>
      <w:keepLines/>
      <w:spacing w:before="160"/>
      <w:ind w:left="794"/>
    </w:pPr>
    <w:rPr>
      <w:i/>
    </w:rPr>
  </w:style>
  <w:style w:type="paragraph" w:customStyle="1" w:styleId="ChapNo">
    <w:name w:val="Chap_No"/>
    <w:basedOn w:val="ArtNo"/>
    <w:next w:val="Chaptitle"/>
    <w:rsid w:val="00E53472"/>
    <w:rPr>
      <w:b/>
    </w:rPr>
  </w:style>
  <w:style w:type="paragraph" w:customStyle="1" w:styleId="Chaptitle">
    <w:name w:val="Chap_title"/>
    <w:basedOn w:val="Arttitle"/>
    <w:next w:val="Normalaftertitle"/>
    <w:rsid w:val="00E53472"/>
  </w:style>
  <w:style w:type="character" w:styleId="FootnoteReference">
    <w:name w:val="footnote reference"/>
    <w:basedOn w:val="DefaultParagraphFont"/>
    <w:semiHidden/>
    <w:rsid w:val="00E53472"/>
    <w:rPr>
      <w:position w:val="6"/>
      <w:sz w:val="18"/>
    </w:rPr>
  </w:style>
  <w:style w:type="paragraph" w:styleId="FootnoteText">
    <w:name w:val="footnote text"/>
    <w:basedOn w:val="Normal"/>
    <w:semiHidden/>
    <w:rsid w:val="00E53472"/>
    <w:pPr>
      <w:keepLines/>
      <w:tabs>
        <w:tab w:val="left" w:pos="255"/>
      </w:tabs>
      <w:ind w:left="255" w:hanging="255"/>
    </w:pPr>
    <w:rPr>
      <w:sz w:val="22"/>
    </w:rPr>
  </w:style>
  <w:style w:type="paragraph" w:styleId="Index1">
    <w:name w:val="index 1"/>
    <w:basedOn w:val="Normal"/>
    <w:next w:val="Normal"/>
    <w:semiHidden/>
    <w:rsid w:val="00E53472"/>
  </w:style>
  <w:style w:type="paragraph" w:styleId="Index2">
    <w:name w:val="index 2"/>
    <w:basedOn w:val="Normal"/>
    <w:next w:val="Normal"/>
    <w:semiHidden/>
    <w:rsid w:val="00E53472"/>
    <w:pPr>
      <w:ind w:left="283"/>
    </w:pPr>
  </w:style>
  <w:style w:type="paragraph" w:styleId="Index3">
    <w:name w:val="index 3"/>
    <w:basedOn w:val="Normal"/>
    <w:next w:val="Normal"/>
    <w:semiHidden/>
    <w:rsid w:val="00E53472"/>
    <w:pPr>
      <w:ind w:left="566"/>
    </w:pPr>
  </w:style>
  <w:style w:type="paragraph" w:styleId="IndexHeading">
    <w:name w:val="index heading"/>
    <w:basedOn w:val="Normal"/>
    <w:next w:val="Index1"/>
    <w:semiHidden/>
    <w:rsid w:val="00E53472"/>
  </w:style>
  <w:style w:type="paragraph" w:customStyle="1" w:styleId="Line">
    <w:name w:val="Line"/>
    <w:basedOn w:val="Normal"/>
    <w:next w:val="Normal"/>
    <w:rsid w:val="00E5347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5347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53472"/>
  </w:style>
  <w:style w:type="paragraph" w:customStyle="1" w:styleId="Partref">
    <w:name w:val="Part_ref"/>
    <w:basedOn w:val="Normal"/>
    <w:next w:val="Normal"/>
    <w:rsid w:val="00E53472"/>
    <w:pPr>
      <w:keepNext/>
      <w:keepLines/>
      <w:spacing w:after="280"/>
      <w:jc w:val="center"/>
    </w:pPr>
  </w:style>
  <w:style w:type="paragraph" w:customStyle="1" w:styleId="Parttitle">
    <w:name w:val="Part_title"/>
    <w:basedOn w:val="Normal"/>
    <w:next w:val="Normalaftertitle"/>
    <w:rsid w:val="00E5347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53472"/>
  </w:style>
  <w:style w:type="paragraph" w:customStyle="1" w:styleId="QuestionNo">
    <w:name w:val="Question_No"/>
    <w:basedOn w:val="RecNo"/>
    <w:next w:val="Normal"/>
    <w:rsid w:val="00E53472"/>
  </w:style>
  <w:style w:type="paragraph" w:customStyle="1" w:styleId="Questionref">
    <w:name w:val="Question_ref"/>
    <w:basedOn w:val="Recref"/>
    <w:next w:val="Questiondate"/>
    <w:rsid w:val="00E53472"/>
  </w:style>
  <w:style w:type="paragraph" w:customStyle="1" w:styleId="Questiontitle">
    <w:name w:val="Question_title"/>
    <w:basedOn w:val="Normal"/>
    <w:next w:val="Questionref"/>
    <w:rsid w:val="00E53472"/>
  </w:style>
  <w:style w:type="paragraph" w:customStyle="1" w:styleId="Reftext">
    <w:name w:val="Ref_text"/>
    <w:basedOn w:val="Normal"/>
    <w:rsid w:val="00E53472"/>
    <w:pPr>
      <w:ind w:left="794" w:hanging="794"/>
    </w:pPr>
    <w:rPr>
      <w:sz w:val="22"/>
    </w:rPr>
  </w:style>
  <w:style w:type="paragraph" w:customStyle="1" w:styleId="Reftitle">
    <w:name w:val="Ref_title"/>
    <w:basedOn w:val="Normal"/>
    <w:next w:val="Reftext"/>
    <w:rsid w:val="00E5347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53472"/>
  </w:style>
  <w:style w:type="paragraph" w:customStyle="1" w:styleId="RepNo">
    <w:name w:val="Rep_No"/>
    <w:basedOn w:val="RecNo"/>
    <w:next w:val="Reptitle"/>
    <w:rsid w:val="00E53472"/>
  </w:style>
  <w:style w:type="paragraph" w:customStyle="1" w:styleId="Repref">
    <w:name w:val="Rep_ref"/>
    <w:basedOn w:val="Recref"/>
    <w:next w:val="Repdate"/>
    <w:rsid w:val="00E53472"/>
  </w:style>
  <w:style w:type="paragraph" w:customStyle="1" w:styleId="Reptitle">
    <w:name w:val="Rep_title"/>
    <w:basedOn w:val="Rectitle"/>
    <w:next w:val="Repref"/>
    <w:rsid w:val="00E53472"/>
  </w:style>
  <w:style w:type="paragraph" w:customStyle="1" w:styleId="Resdate">
    <w:name w:val="Res_date"/>
    <w:basedOn w:val="Recdate"/>
    <w:next w:val="Normalaftertitle"/>
    <w:rsid w:val="00E53472"/>
  </w:style>
  <w:style w:type="paragraph" w:customStyle="1" w:styleId="ResNo">
    <w:name w:val="Res_No"/>
    <w:basedOn w:val="RecNo"/>
    <w:next w:val="Restitle"/>
    <w:rsid w:val="00E53472"/>
  </w:style>
  <w:style w:type="paragraph" w:customStyle="1" w:styleId="Resref">
    <w:name w:val="Res_ref"/>
    <w:basedOn w:val="Recref"/>
    <w:next w:val="Resdate"/>
    <w:rsid w:val="00E53472"/>
  </w:style>
  <w:style w:type="paragraph" w:customStyle="1" w:styleId="Restitle">
    <w:name w:val="Res_title"/>
    <w:basedOn w:val="Normal"/>
    <w:next w:val="Resref"/>
    <w:rsid w:val="00E53472"/>
    <w:pPr>
      <w:spacing w:before="240"/>
      <w:jc w:val="center"/>
    </w:pPr>
    <w:rPr>
      <w:b/>
      <w:sz w:val="28"/>
    </w:rPr>
  </w:style>
  <w:style w:type="paragraph" w:customStyle="1" w:styleId="SectionNo">
    <w:name w:val="Section_No"/>
    <w:basedOn w:val="Normal"/>
    <w:next w:val="Normal"/>
    <w:rsid w:val="00E53472"/>
  </w:style>
  <w:style w:type="paragraph" w:customStyle="1" w:styleId="Sectiontitle">
    <w:name w:val="Section_title"/>
    <w:basedOn w:val="Normal"/>
    <w:next w:val="Normalaftertitle"/>
    <w:rsid w:val="00E5347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53472"/>
    <w:pPr>
      <w:tabs>
        <w:tab w:val="clear" w:pos="794"/>
        <w:tab w:val="clear" w:pos="1191"/>
        <w:tab w:val="clear" w:pos="1588"/>
        <w:tab w:val="clear" w:pos="1985"/>
        <w:tab w:val="right" w:pos="9611"/>
      </w:tabs>
    </w:pPr>
    <w:rPr>
      <w:i/>
    </w:rPr>
  </w:style>
  <w:style w:type="paragraph" w:styleId="TOC1">
    <w:name w:val="toc 1"/>
    <w:basedOn w:val="Normal"/>
    <w:semiHidden/>
    <w:rsid w:val="00E5347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E53472"/>
    <w:pPr>
      <w:tabs>
        <w:tab w:val="clear" w:pos="567"/>
        <w:tab w:val="left" w:pos="1276"/>
      </w:tabs>
      <w:spacing w:before="160"/>
      <w:ind w:left="1276" w:hanging="709"/>
    </w:pPr>
  </w:style>
  <w:style w:type="paragraph" w:styleId="TOC3">
    <w:name w:val="toc 3"/>
    <w:basedOn w:val="TOC2"/>
    <w:semiHidden/>
    <w:rsid w:val="00E53472"/>
    <w:pPr>
      <w:tabs>
        <w:tab w:val="clear" w:pos="1276"/>
        <w:tab w:val="left" w:pos="2155"/>
      </w:tabs>
      <w:ind w:left="2155" w:hanging="879"/>
    </w:pPr>
  </w:style>
  <w:style w:type="paragraph" w:styleId="TOC4">
    <w:name w:val="toc 4"/>
    <w:basedOn w:val="TOC3"/>
    <w:semiHidden/>
    <w:rsid w:val="00E53472"/>
    <w:pPr>
      <w:tabs>
        <w:tab w:val="left" w:pos="3261"/>
      </w:tabs>
      <w:spacing w:before="80"/>
      <w:ind w:left="3261" w:hanging="993"/>
    </w:pPr>
  </w:style>
  <w:style w:type="paragraph" w:styleId="TOC5">
    <w:name w:val="toc 5"/>
    <w:basedOn w:val="TOC4"/>
    <w:semiHidden/>
    <w:rsid w:val="00E53472"/>
  </w:style>
  <w:style w:type="paragraph" w:styleId="TOC6">
    <w:name w:val="toc 6"/>
    <w:basedOn w:val="TOC4"/>
    <w:semiHidden/>
    <w:rsid w:val="00E53472"/>
  </w:style>
  <w:style w:type="paragraph" w:styleId="TOC7">
    <w:name w:val="toc 7"/>
    <w:basedOn w:val="TOC4"/>
    <w:semiHidden/>
    <w:rsid w:val="00E53472"/>
  </w:style>
  <w:style w:type="paragraph" w:styleId="TOC8">
    <w:name w:val="toc 8"/>
    <w:basedOn w:val="TOC4"/>
    <w:semiHidden/>
    <w:rsid w:val="00E53472"/>
  </w:style>
  <w:style w:type="paragraph" w:customStyle="1" w:styleId="Rectitle">
    <w:name w:val="Rec_title"/>
    <w:basedOn w:val="Normal"/>
    <w:next w:val="Recref"/>
    <w:rsid w:val="00E53472"/>
    <w:pPr>
      <w:keepNext/>
      <w:keepLines/>
      <w:spacing w:before="240"/>
      <w:jc w:val="center"/>
    </w:pPr>
    <w:rPr>
      <w:b/>
      <w:sz w:val="28"/>
    </w:rPr>
  </w:style>
  <w:style w:type="paragraph" w:customStyle="1" w:styleId="Annexref">
    <w:name w:val="Annex_ref"/>
    <w:basedOn w:val="Normal"/>
    <w:next w:val="Normalaftertitle"/>
    <w:rsid w:val="00E53472"/>
    <w:pPr>
      <w:keepNext/>
      <w:keepLines/>
      <w:spacing w:after="280"/>
      <w:jc w:val="center"/>
    </w:pPr>
  </w:style>
  <w:style w:type="paragraph" w:customStyle="1" w:styleId="Appendixref">
    <w:name w:val="Appendix_ref"/>
    <w:basedOn w:val="Annexref"/>
    <w:next w:val="Normalaftertitle"/>
    <w:rsid w:val="00E53472"/>
  </w:style>
  <w:style w:type="paragraph" w:customStyle="1" w:styleId="Figuretitle">
    <w:name w:val="Figure_title"/>
    <w:basedOn w:val="Normal"/>
    <w:next w:val="Figure"/>
    <w:rsid w:val="00E53472"/>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E53472"/>
    <w:pPr>
      <w:keepNext/>
      <w:spacing w:before="0" w:after="120"/>
      <w:jc w:val="center"/>
    </w:pPr>
    <w:rPr>
      <w:b/>
    </w:rPr>
  </w:style>
  <w:style w:type="paragraph" w:customStyle="1" w:styleId="Summary">
    <w:name w:val="Summary"/>
    <w:basedOn w:val="Normal"/>
    <w:next w:val="Normalaftertitle"/>
    <w:autoRedefine/>
    <w:rsid w:val="00E53472"/>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E53472"/>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E53472"/>
    <w:pPr>
      <w:ind w:left="-85" w:firstLine="0"/>
    </w:pPr>
    <w:rPr>
      <w:lang w:val="en-US"/>
    </w:rPr>
  </w:style>
  <w:style w:type="character" w:customStyle="1" w:styleId="Heading1Char">
    <w:name w:val="Heading 1 Char"/>
    <w:basedOn w:val="DefaultParagraphFont"/>
    <w:link w:val="Heading1"/>
    <w:rsid w:val="000718CA"/>
    <w:rPr>
      <w:b/>
      <w:sz w:val="24"/>
      <w:lang w:val="fr-FR" w:eastAsia="en-US"/>
    </w:rPr>
  </w:style>
  <w:style w:type="character" w:customStyle="1" w:styleId="HeaderChar">
    <w:name w:val="Header Char"/>
    <w:basedOn w:val="DefaultParagraphFont"/>
    <w:link w:val="Header"/>
    <w:rsid w:val="007F3B59"/>
    <w:rPr>
      <w:sz w:val="24"/>
      <w:lang w:val="fr-FR" w:eastAsia="en-US"/>
    </w:rPr>
  </w:style>
  <w:style w:type="character" w:customStyle="1" w:styleId="NormalaftertitleChar">
    <w:name w:val="Normal_after_title Char"/>
    <w:basedOn w:val="DefaultParagraphFont"/>
    <w:link w:val="Normalaftertitle"/>
    <w:rsid w:val="00E228D0"/>
    <w:rPr>
      <w:sz w:val="24"/>
      <w:lang w:val="fr-FR" w:eastAsia="en-US"/>
    </w:rPr>
  </w:style>
  <w:style w:type="character" w:customStyle="1" w:styleId="CallChar">
    <w:name w:val="Call Char"/>
    <w:link w:val="Call"/>
    <w:locked/>
    <w:rsid w:val="00E228D0"/>
    <w:rPr>
      <w:i/>
      <w:sz w:val="24"/>
      <w:lang w:val="fr-FR" w:eastAsia="en-US"/>
    </w:rPr>
  </w:style>
  <w:style w:type="paragraph" w:customStyle="1" w:styleId="Reasons">
    <w:name w:val="Reasons"/>
    <w:basedOn w:val="Normal"/>
    <w:qFormat/>
    <w:rsid w:val="00E228D0"/>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13" Type="http://schemas.openxmlformats.org/officeDocument/2006/relationships/image" Target="media/image2.emf"/><Relationship Id="rId18" Type="http://schemas.openxmlformats.org/officeDocument/2006/relationships/oleObject" Target="embeddings/oleObject3.bin"/><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header" Target="header2.xml"/><Relationship Id="rId12" Type="http://schemas.openxmlformats.org/officeDocument/2006/relationships/header" Target="header5.xml"/><Relationship Id="rId17" Type="http://schemas.openxmlformats.org/officeDocument/2006/relationships/image" Target="media/image4.emf"/><Relationship Id="rId2" Type="http://schemas.openxmlformats.org/officeDocument/2006/relationships/settings" Target="settings.xml"/><Relationship Id="rId16" Type="http://schemas.openxmlformats.org/officeDocument/2006/relationships/oleObject" Target="embeddings/oleObject2.bin"/><Relationship Id="rId20" Type="http://schemas.openxmlformats.org/officeDocument/2006/relationships/header" Target="header7.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hyperlink" Target="http://www.itu.int/publ/R-REC/es" TargetMode="External"/><Relationship Id="rId19" Type="http://schemas.openxmlformats.org/officeDocument/2006/relationships/header" Target="header6.xml"/><Relationship Id="rId4" Type="http://schemas.openxmlformats.org/officeDocument/2006/relationships/footnotes" Target="footnotes.xml"/><Relationship Id="rId9" Type="http://schemas.openxmlformats.org/officeDocument/2006/relationships/hyperlink" Target="http://www.itu.int/ITU-R/go/patents/es" TargetMode="External"/><Relationship Id="rId14" Type="http://schemas.openxmlformats.org/officeDocument/2006/relationships/oleObject" Target="embeddings/oleObject1.bin"/><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23</TotalTime>
  <Pages>7</Pages>
  <Words>1814</Words>
  <Characters>9789</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RECOMENDACIÓN  UIT-R  SM.XXXX -</vt:lpstr>
    </vt:vector>
  </TitlesOfParts>
  <Manager/>
  <Company>ITU</Company>
  <LinksUpToDate>false</LinksUpToDate>
  <CharactersWithSpaces>11580</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SM.XXXX -</dc:title>
  <dc:subject>Serie SM = Gestión del espectro</dc:subject>
  <dc:creator>Oficina de Radiocomunicaciones del UIT (BR)</dc:creator>
  <cp:keywords>SM,XXXX</cp:keywords>
  <dc:description>Santosbo, 26.07.2011, MSB106309</dc:description>
  <cp:lastModifiedBy>Catalano Moreira, Rossana</cp:lastModifiedBy>
  <cp:revision>10</cp:revision>
  <cp:lastPrinted>2016-11-14T13:34:00Z</cp:lastPrinted>
  <dcterms:created xsi:type="dcterms:W3CDTF">2016-11-14T12:56:00Z</dcterms:created>
  <dcterms:modified xsi:type="dcterms:W3CDTF">2016-11-14T13:36:00Z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Santosbo</vt:lpwstr>
  </property>
  <property fmtid="{D5CDD505-2E9C-101B-9397-08002B2CF9AE}" pid="11" name="Date completed">
    <vt:lpwstr>30 May 2011</vt:lpwstr>
  </property>
</Properties>
</file>