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C9385B" w:rsidP="00C9385B">
            <w:pPr>
              <w:shd w:val="solid" w:color="FFFFFF" w:fill="FFFFFF"/>
              <w:spacing w:before="0" w:line="240" w:lineRule="atLeast"/>
            </w:pPr>
            <w:bookmarkStart w:id="1" w:name="ditulogo"/>
            <w:bookmarkEnd w:id="1"/>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AB6C13" w:rsidRDefault="008F778B" w:rsidP="00AB6C13">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sidRPr="00AB6C13">
              <w:rPr>
                <w:rFonts w:ascii="Verdana" w:hAnsi="Verdana"/>
                <w:sz w:val="20"/>
                <w:lang w:val="en-US"/>
              </w:rPr>
              <w:t>Source</w:t>
            </w:r>
            <w:r w:rsidR="00C9385B" w:rsidRPr="00AB6C13">
              <w:rPr>
                <w:rFonts w:ascii="Verdana" w:hAnsi="Verdana"/>
                <w:sz w:val="20"/>
                <w:lang w:val="en-US"/>
              </w:rPr>
              <w:t>:</w:t>
            </w:r>
            <w:r w:rsidR="00C9385B" w:rsidRPr="00AB6C13">
              <w:rPr>
                <w:rFonts w:ascii="Verdana" w:hAnsi="Verdana"/>
                <w:sz w:val="20"/>
                <w:lang w:val="en-US"/>
              </w:rPr>
              <w:tab/>
            </w:r>
            <w:r w:rsidRPr="00AB6C13">
              <w:rPr>
                <w:rFonts w:ascii="Verdana" w:hAnsi="Verdana"/>
                <w:sz w:val="20"/>
                <w:lang w:val="en-US"/>
              </w:rPr>
              <w:t>Document 1/</w:t>
            </w:r>
            <w:r w:rsidR="00AB6C13" w:rsidRPr="00AB6C13">
              <w:rPr>
                <w:rFonts w:ascii="Verdana" w:hAnsi="Verdana"/>
                <w:sz w:val="20"/>
                <w:lang w:val="en-US"/>
              </w:rPr>
              <w:t>1</w:t>
            </w:r>
            <w:r w:rsidR="00713275">
              <w:rPr>
                <w:rFonts w:ascii="Verdana" w:hAnsi="Verdana"/>
                <w:sz w:val="20"/>
                <w:lang w:val="en-US"/>
              </w:rPr>
              <w:t>06</w:t>
            </w:r>
            <w:r w:rsidR="00AB6C13">
              <w:rPr>
                <w:rFonts w:ascii="Verdana" w:hAnsi="Verdana"/>
                <w:sz w:val="20"/>
                <w:lang w:val="en-US"/>
              </w:rPr>
              <w:t>(Rev.1)</w:t>
            </w:r>
          </w:p>
          <w:p w:rsidR="00C9385B" w:rsidRPr="00982084" w:rsidRDefault="00C9385B" w:rsidP="00EE17F5">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AD056D">
              <w:rPr>
                <w:rFonts w:ascii="Verdana" w:hAnsi="Verdana"/>
                <w:sz w:val="20"/>
              </w:rPr>
              <w:t>Direction Find</w:t>
            </w:r>
            <w:r w:rsidR="00EE17F5">
              <w:rPr>
                <w:rFonts w:ascii="Verdana" w:hAnsi="Verdana"/>
                <w:sz w:val="20"/>
              </w:rPr>
              <w:t>er</w:t>
            </w:r>
            <w:r w:rsidR="00AD056D">
              <w:rPr>
                <w:rFonts w:ascii="Verdana" w:hAnsi="Verdana"/>
                <w:sz w:val="20"/>
              </w:rPr>
              <w:t xml:space="preserve"> (DF) </w:t>
            </w:r>
            <w:r w:rsidR="00EE17F5">
              <w:rPr>
                <w:rFonts w:ascii="Verdana" w:hAnsi="Verdana"/>
                <w:sz w:val="20"/>
              </w:rPr>
              <w:t>immunity</w:t>
            </w:r>
          </w:p>
        </w:tc>
        <w:tc>
          <w:tcPr>
            <w:tcW w:w="3451" w:type="dxa"/>
          </w:tcPr>
          <w:p w:rsidR="000069D4" w:rsidRPr="00C9385B" w:rsidRDefault="00C9385B" w:rsidP="00AB6C13">
            <w:pPr>
              <w:shd w:val="solid" w:color="FFFFFF" w:fill="FFFFFF"/>
              <w:spacing w:before="0" w:line="240" w:lineRule="atLeast"/>
              <w:rPr>
                <w:rFonts w:ascii="Verdana" w:hAnsi="Verdana"/>
                <w:sz w:val="20"/>
                <w:lang w:eastAsia="zh-CN"/>
              </w:rPr>
            </w:pPr>
            <w:r>
              <w:rPr>
                <w:rFonts w:ascii="Verdana" w:hAnsi="Verdana"/>
                <w:b/>
                <w:sz w:val="20"/>
                <w:lang w:eastAsia="zh-CN"/>
              </w:rPr>
              <w:t>Document 1/</w:t>
            </w:r>
            <w:r w:rsidR="00A76739">
              <w:rPr>
                <w:rFonts w:ascii="Verdana" w:hAnsi="Verdana"/>
                <w:b/>
                <w:sz w:val="20"/>
                <w:lang w:eastAsia="zh-CN"/>
              </w:rPr>
              <w:t>BL/3</w:t>
            </w:r>
            <w:r w:rsidR="00880E84">
              <w:rPr>
                <w:rFonts w:ascii="Verdana" w:hAnsi="Verdana"/>
                <w:b/>
                <w:sz w:val="20"/>
                <w:lang w:eastAsia="zh-CN"/>
              </w:rPr>
              <w:t>-</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C9385B" w:rsidRDefault="00AB6C13" w:rsidP="00A76739">
            <w:pPr>
              <w:shd w:val="solid" w:color="FFFFFF" w:fill="FFFFFF"/>
              <w:spacing w:before="0" w:line="240" w:lineRule="atLeast"/>
              <w:rPr>
                <w:rFonts w:ascii="Verdana" w:hAnsi="Verdana"/>
                <w:sz w:val="20"/>
                <w:lang w:eastAsia="zh-CN"/>
              </w:rPr>
            </w:pPr>
            <w:r>
              <w:rPr>
                <w:rFonts w:ascii="Verdana" w:hAnsi="Verdana"/>
                <w:b/>
                <w:sz w:val="20"/>
                <w:lang w:eastAsia="zh-CN"/>
              </w:rPr>
              <w:t>2</w:t>
            </w:r>
            <w:r w:rsidR="00A76739">
              <w:rPr>
                <w:rFonts w:ascii="Verdana" w:hAnsi="Verdana"/>
                <w:b/>
                <w:sz w:val="20"/>
                <w:lang w:eastAsia="zh-CN"/>
              </w:rPr>
              <w:t xml:space="preserve">8 </w:t>
            </w:r>
            <w:r>
              <w:rPr>
                <w:rFonts w:ascii="Verdana" w:hAnsi="Verdana"/>
                <w:b/>
                <w:sz w:val="20"/>
                <w:lang w:eastAsia="zh-CN"/>
              </w:rPr>
              <w:t>August</w:t>
            </w:r>
            <w:r w:rsidR="00C9385B">
              <w:rPr>
                <w:rFonts w:ascii="Verdana" w:hAnsi="Verdana"/>
                <w:b/>
                <w:sz w:val="20"/>
                <w:lang w:eastAsia="zh-CN"/>
              </w:rPr>
              <w:t xml:space="preserv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C9385B" w:rsidRDefault="00C9385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AB6C13" w:rsidP="00AD056D">
            <w:pPr>
              <w:pStyle w:val="Source"/>
              <w:rPr>
                <w:lang w:eastAsia="zh-CN"/>
              </w:rPr>
            </w:pPr>
            <w:bookmarkStart w:id="6" w:name="dsource" w:colFirst="0" w:colLast="0"/>
            <w:bookmarkEnd w:id="5"/>
            <w:r>
              <w:t>Radiocommunication Study Group 1</w:t>
            </w:r>
          </w:p>
        </w:tc>
      </w:tr>
      <w:tr w:rsidR="000069D4">
        <w:trPr>
          <w:cantSplit/>
        </w:trPr>
        <w:tc>
          <w:tcPr>
            <w:tcW w:w="10031" w:type="dxa"/>
            <w:gridSpan w:val="2"/>
          </w:tcPr>
          <w:p w:rsidR="000069D4" w:rsidRDefault="008F778B" w:rsidP="007B6EB0">
            <w:pPr>
              <w:pStyle w:val="Title1"/>
              <w:rPr>
                <w:lang w:eastAsia="zh-CN"/>
              </w:rPr>
            </w:pPr>
            <w:bookmarkStart w:id="7" w:name="drec" w:colFirst="0" w:colLast="0"/>
            <w:bookmarkEnd w:id="6"/>
            <w:r w:rsidRPr="00822906">
              <w:rPr>
                <w:lang w:val="en-US"/>
              </w:rPr>
              <w:t xml:space="preserve">DRAFT NEW </w:t>
            </w:r>
            <w:r w:rsidRPr="00626AD1">
              <w:t>RECOMMENDATION</w:t>
            </w:r>
            <w:r w:rsidRPr="00822906">
              <w:rPr>
                <w:lang w:val="en-US"/>
              </w:rPr>
              <w:t xml:space="preserve"> ITU-R SM.[DF_</w:t>
            </w:r>
            <w:r>
              <w:rPr>
                <w:lang w:val="en-US"/>
              </w:rPr>
              <w:t>IMMUNITY</w:t>
            </w:r>
            <w:r w:rsidRPr="00822906">
              <w:rPr>
                <w:lang w:val="en-US"/>
              </w:rPr>
              <w:t>]</w:t>
            </w:r>
          </w:p>
        </w:tc>
      </w:tr>
      <w:tr w:rsidR="000069D4">
        <w:trPr>
          <w:cantSplit/>
        </w:trPr>
        <w:tc>
          <w:tcPr>
            <w:tcW w:w="10031" w:type="dxa"/>
            <w:gridSpan w:val="2"/>
          </w:tcPr>
          <w:p w:rsidR="000069D4" w:rsidRDefault="008F778B" w:rsidP="00BE2BB5">
            <w:pPr>
              <w:pStyle w:val="Title4"/>
              <w:rPr>
                <w:lang w:eastAsia="zh-CN"/>
              </w:rPr>
            </w:pPr>
            <w:bookmarkStart w:id="8" w:name="dtitle1" w:colFirst="0" w:colLast="0"/>
            <w:bookmarkEnd w:id="7"/>
            <w:r>
              <w:t xml:space="preserve">Test procedure for measuring </w:t>
            </w:r>
            <w:r w:rsidR="00BE2BB5">
              <w:t>d</w:t>
            </w:r>
            <w:r w:rsidR="00D308C0">
              <w:t xml:space="preserve">irection </w:t>
            </w:r>
            <w:r w:rsidR="00BE2BB5">
              <w:t>f</w:t>
            </w:r>
            <w:r w:rsidR="00D308C0">
              <w:t>inder</w:t>
            </w:r>
            <w:r w:rsidR="00880E84">
              <w:t xml:space="preserve"> immunity</w:t>
            </w:r>
            <w:r w:rsidR="00880E84">
              <w:br/>
            </w:r>
            <w:r>
              <w:t>against multi-path propagation</w:t>
            </w:r>
          </w:p>
        </w:tc>
      </w:tr>
    </w:tbl>
    <w:p w:rsidR="00C9385B" w:rsidRPr="008F778B" w:rsidRDefault="00C9385B" w:rsidP="00C9385B">
      <w:pPr>
        <w:pStyle w:val="Normalaftertitle"/>
        <w:rPr>
          <w:lang w:val="en-US" w:eastAsia="zh-CN"/>
        </w:rPr>
      </w:pPr>
      <w:bookmarkStart w:id="9" w:name="dbreak"/>
      <w:bookmarkEnd w:id="8"/>
      <w:bookmarkEnd w:id="9"/>
    </w:p>
    <w:p w:rsidR="008F778B" w:rsidRPr="00AD056D" w:rsidRDefault="007B6EB0" w:rsidP="008F778B">
      <w:pPr>
        <w:pStyle w:val="Headingb"/>
        <w:rPr>
          <w:rFonts w:ascii="Times New Roman" w:hAnsi="Times New Roman"/>
          <w:lang w:val="en-US" w:eastAsia="ko-KR"/>
        </w:rPr>
      </w:pPr>
      <w:bookmarkStart w:id="10" w:name="Related_Questions"/>
      <w:r>
        <w:rPr>
          <w:rFonts w:ascii="Times New Roman" w:hAnsi="Times New Roman"/>
          <w:lang w:val="en-US" w:eastAsia="ko-KR"/>
        </w:rPr>
        <w:t>Introduction</w:t>
      </w:r>
    </w:p>
    <w:p w:rsidR="008F778B" w:rsidRDefault="008F778B" w:rsidP="00880E84">
      <w:r w:rsidRPr="005D08A0">
        <w:t>Th</w:t>
      </w:r>
      <w:r>
        <w:t xml:space="preserve">is document presents the output of the Correspondence Group on DF Accuracy for consideration at the 2014 meeting of Working Party 1C.  This document is based on Document </w:t>
      </w:r>
      <w:hyperlink r:id="rId8" w:history="1">
        <w:r w:rsidRPr="00E5272B">
          <w:rPr>
            <w:rStyle w:val="Hyperlink"/>
          </w:rPr>
          <w:t>1C/74</w:t>
        </w:r>
      </w:hyperlink>
      <w:r>
        <w:t xml:space="preserve">, Annex 5, which was prepared as an output from the June 2013 meeting of Working Party 1C. </w:t>
      </w:r>
    </w:p>
    <w:p w:rsidR="008F778B" w:rsidRDefault="008F778B" w:rsidP="00E5272B">
      <w:r w:rsidRPr="00B31C9F">
        <w:t xml:space="preserve">The discussions at the last meeting aimed to simplify the recommended test methods </w:t>
      </w:r>
      <w:r>
        <w:t>in</w:t>
      </w:r>
      <w:r w:rsidRPr="00B31C9F">
        <w:t xml:space="preserve"> </w:t>
      </w:r>
      <w:r>
        <w:t xml:space="preserve">the output document from the Drafting Group who worked during the last meeting.  The DG proposed </w:t>
      </w:r>
      <w:r w:rsidR="005F6334">
        <w:t>3 </w:t>
      </w:r>
      <w:r w:rsidRPr="00B31C9F">
        <w:t>different DF accuracy measurement test setups and procedures</w:t>
      </w:r>
      <w:r w:rsidR="00880E84">
        <w:t xml:space="preserve">; </w:t>
      </w:r>
      <w:r>
        <w:t xml:space="preserve">- </w:t>
      </w:r>
      <w:r w:rsidRPr="00B31C9F">
        <w:t>DF accuracy in idealized propagation condition at OATS or anechoic chambers</w:t>
      </w:r>
      <w:r>
        <w:t xml:space="preserve">; - </w:t>
      </w:r>
      <w:r w:rsidRPr="00B31C9F">
        <w:t>DF accuracy in operational conditions in a real environment</w:t>
      </w:r>
      <w:r w:rsidR="00B91F23">
        <w:t xml:space="preserve">; and </w:t>
      </w:r>
      <w:r>
        <w:t xml:space="preserve">- </w:t>
      </w:r>
      <w:r w:rsidRPr="00B31C9F">
        <w:t>DF accuracy in emulated multi-path propagation conditions</w:t>
      </w:r>
      <w:r>
        <w:t>.  The view was that the testing in emulated multipath conditions be simplified, and that DF accuracy measurements in a real operational environment, while very important, was primarily an acceptance test and not as useful in comparing DF accuracy between manufacturers.</w:t>
      </w:r>
    </w:p>
    <w:p w:rsidR="008F778B" w:rsidRDefault="008F778B" w:rsidP="00880E84">
      <w:r>
        <w:t xml:space="preserve">During the 2014 meeting of Working Party 1C it was decided to split the document and create three individual recommendations. This recommendation covers </w:t>
      </w:r>
      <w:r w:rsidRPr="00B31C9F">
        <w:t xml:space="preserve">DF </w:t>
      </w:r>
      <w:r>
        <w:t>immunity against multi-path propagation.</w:t>
      </w:r>
    </w:p>
    <w:p w:rsidR="008F778B" w:rsidRDefault="008F778B" w:rsidP="00880E84">
      <w:r>
        <w:t>This document incorporates comments and contributions made to the Drafting Group established during the meeting to do this work.  The contribution from Japan, which proposes an additional method not considered in the original document, may become a report in the future.</w:t>
      </w:r>
    </w:p>
    <w:p w:rsidR="007B6EB0" w:rsidRPr="00AD056D" w:rsidRDefault="007B6EB0" w:rsidP="007B6EB0">
      <w:pPr>
        <w:pStyle w:val="Headingb"/>
        <w:rPr>
          <w:rFonts w:ascii="Times New Roman" w:hAnsi="Times New Roman"/>
          <w:lang w:val="en-US" w:eastAsia="ko-KR"/>
        </w:rPr>
      </w:pPr>
      <w:r w:rsidRPr="00AD056D">
        <w:rPr>
          <w:rFonts w:ascii="Times New Roman" w:hAnsi="Times New Roman"/>
          <w:lang w:val="en-US" w:eastAsia="ko-KR"/>
        </w:rPr>
        <w:t>Summary</w:t>
      </w:r>
    </w:p>
    <w:p w:rsidR="00EE17F5" w:rsidRPr="005F6334" w:rsidRDefault="00EE17F5" w:rsidP="00880E84">
      <w:pPr>
        <w:rPr>
          <w:b/>
          <w:color w:val="000000"/>
          <w:lang w:val="en-US"/>
        </w:rPr>
      </w:pPr>
      <w:r w:rsidRPr="005F6334">
        <w:rPr>
          <w:lang w:val="en-US"/>
        </w:rPr>
        <w:t xml:space="preserve">The </w:t>
      </w:r>
      <w:r>
        <w:rPr>
          <w:lang w:val="en-US"/>
        </w:rPr>
        <w:t xml:space="preserve">Recommendation provides </w:t>
      </w:r>
      <w:r w:rsidRPr="005F6334">
        <w:rPr>
          <w:lang w:val="en-US"/>
        </w:rPr>
        <w:t xml:space="preserve">test procedures for measuring the immunity against multi-path propagation of fixed and mobile direction finders (DF). </w:t>
      </w:r>
    </w:p>
    <w:p w:rsidR="007B6EB0" w:rsidRPr="00EE17F5" w:rsidRDefault="007B6EB0" w:rsidP="005F6334">
      <w:pPr>
        <w:rPr>
          <w:lang w:val="en-US" w:eastAsia="ko-KR"/>
        </w:rPr>
      </w:pPr>
    </w:p>
    <w:p w:rsidR="005F6334" w:rsidRDefault="005F6334" w:rsidP="008F778B">
      <w:pPr>
        <w:pStyle w:val="RecNo"/>
        <w:rPr>
          <w:lang w:val="en-US"/>
        </w:rPr>
      </w:pPr>
      <w:r>
        <w:rPr>
          <w:lang w:val="en-US"/>
        </w:rPr>
        <w:br w:type="page"/>
      </w:r>
    </w:p>
    <w:p w:rsidR="008F778B" w:rsidRPr="00822906" w:rsidRDefault="008F778B" w:rsidP="007B6EB0">
      <w:pPr>
        <w:pStyle w:val="RecNo"/>
        <w:rPr>
          <w:color w:val="000000"/>
          <w:sz w:val="24"/>
          <w:szCs w:val="24"/>
          <w:lang w:val="en-US"/>
        </w:rPr>
      </w:pPr>
      <w:r w:rsidRPr="00822906">
        <w:rPr>
          <w:lang w:val="en-US"/>
        </w:rPr>
        <w:lastRenderedPageBreak/>
        <w:t xml:space="preserve">DRAFT NEW </w:t>
      </w:r>
      <w:r w:rsidRPr="00626AD1">
        <w:t>RECOMMENDATION</w:t>
      </w:r>
      <w:r w:rsidR="007B6EB0">
        <w:t xml:space="preserve"> </w:t>
      </w:r>
      <w:r w:rsidRPr="00822906">
        <w:rPr>
          <w:lang w:val="en-US"/>
        </w:rPr>
        <w:t>ITU-R SM.[DF_</w:t>
      </w:r>
      <w:r>
        <w:rPr>
          <w:lang w:val="en-US"/>
        </w:rPr>
        <w:t>IMMUNITY</w:t>
      </w:r>
      <w:r w:rsidRPr="00822906">
        <w:rPr>
          <w:lang w:val="en-US"/>
        </w:rPr>
        <w:t>]</w:t>
      </w:r>
    </w:p>
    <w:p w:rsidR="008F778B" w:rsidRDefault="008F778B" w:rsidP="00BE2BB5">
      <w:pPr>
        <w:pStyle w:val="Rectitle"/>
      </w:pPr>
      <w:r w:rsidRPr="00524091">
        <w:rPr>
          <w:lang w:val="en-US"/>
        </w:rPr>
        <w:t xml:space="preserve">Test procedure for </w:t>
      </w:r>
      <w:r w:rsidRPr="0053657A">
        <w:t>measuring</w:t>
      </w:r>
      <w:r w:rsidRPr="00524091">
        <w:rPr>
          <w:lang w:val="en-US"/>
        </w:rPr>
        <w:t xml:space="preserve"> </w:t>
      </w:r>
      <w:r w:rsidR="00BE2BB5">
        <w:rPr>
          <w:lang w:val="en-US"/>
        </w:rPr>
        <w:t>d</w:t>
      </w:r>
      <w:r w:rsidR="00EE17F5">
        <w:rPr>
          <w:lang w:val="en-US"/>
        </w:rPr>
        <w:t xml:space="preserve">irection </w:t>
      </w:r>
      <w:r w:rsidR="00BE2BB5">
        <w:rPr>
          <w:lang w:val="en-US"/>
        </w:rPr>
        <w:t>f</w:t>
      </w:r>
      <w:r w:rsidR="00EE17F5">
        <w:rPr>
          <w:lang w:val="en-US"/>
        </w:rPr>
        <w:t>inder</w:t>
      </w:r>
      <w:r w:rsidRPr="00524091">
        <w:rPr>
          <w:lang w:val="en-US"/>
        </w:rPr>
        <w:t xml:space="preserve"> </w:t>
      </w:r>
      <w:r w:rsidR="00880E84">
        <w:t>immunity</w:t>
      </w:r>
      <w:r w:rsidR="00880E84">
        <w:br/>
      </w:r>
      <w:r>
        <w:t>against multi-path propagation</w:t>
      </w:r>
    </w:p>
    <w:p w:rsidR="008F778B" w:rsidRDefault="008F778B" w:rsidP="008F778B"/>
    <w:p w:rsidR="008F778B" w:rsidRPr="005F6334" w:rsidRDefault="008F778B" w:rsidP="008F778B">
      <w:pPr>
        <w:pStyle w:val="Headingb"/>
        <w:rPr>
          <w:rFonts w:ascii="Times New Roman" w:hAnsi="Times New Roman"/>
          <w:sz w:val="22"/>
          <w:szCs w:val="22"/>
          <w:lang w:val="en-US" w:eastAsia="ko-KR"/>
        </w:rPr>
      </w:pPr>
      <w:r w:rsidRPr="005F6334">
        <w:rPr>
          <w:rFonts w:ascii="Times New Roman" w:hAnsi="Times New Roman"/>
          <w:sz w:val="22"/>
          <w:szCs w:val="22"/>
          <w:lang w:val="en-US" w:eastAsia="ko-KR"/>
        </w:rPr>
        <w:t>Scope</w:t>
      </w:r>
    </w:p>
    <w:p w:rsidR="008F778B" w:rsidRPr="005F6334" w:rsidRDefault="008F778B" w:rsidP="007B6EB0">
      <w:pPr>
        <w:rPr>
          <w:b/>
          <w:color w:val="000000"/>
          <w:sz w:val="22"/>
          <w:szCs w:val="22"/>
          <w:lang w:val="en-US"/>
        </w:rPr>
      </w:pPr>
      <w:r w:rsidRPr="005F6334">
        <w:rPr>
          <w:sz w:val="22"/>
          <w:szCs w:val="22"/>
          <w:lang w:val="en-US"/>
        </w:rPr>
        <w:t xml:space="preserve">The </w:t>
      </w:r>
      <w:r w:rsidR="007B6EB0">
        <w:rPr>
          <w:sz w:val="22"/>
          <w:szCs w:val="22"/>
          <w:lang w:val="en-US"/>
        </w:rPr>
        <w:t xml:space="preserve">Recommendation provides </w:t>
      </w:r>
      <w:r w:rsidRPr="005F6334">
        <w:rPr>
          <w:sz w:val="22"/>
          <w:szCs w:val="22"/>
          <w:lang w:val="en-US"/>
        </w:rPr>
        <w:t xml:space="preserve">test procedures for measuring the immunity against multi-path propagation of fixed and mobile direction finders (DF). </w:t>
      </w:r>
    </w:p>
    <w:p w:rsidR="008F778B" w:rsidRPr="008F778B" w:rsidRDefault="008F778B" w:rsidP="008F778B">
      <w:pPr>
        <w:pStyle w:val="Headingb"/>
        <w:rPr>
          <w:rFonts w:ascii="Times New Roman" w:hAnsi="Times New Roman"/>
          <w:lang w:val="en-US" w:eastAsia="ko-KR"/>
        </w:rPr>
      </w:pPr>
      <w:r w:rsidRPr="008F778B">
        <w:rPr>
          <w:rFonts w:ascii="Times New Roman" w:hAnsi="Times New Roman"/>
          <w:lang w:val="en-US" w:eastAsia="ko-KR"/>
        </w:rPr>
        <w:t>Keywords</w:t>
      </w:r>
    </w:p>
    <w:p w:rsidR="008F778B" w:rsidRPr="00E33594" w:rsidRDefault="008F778B" w:rsidP="00C17316">
      <w:r>
        <w:t xml:space="preserve">DF, direction finder, </w:t>
      </w:r>
      <w:r w:rsidR="00C17316">
        <w:t xml:space="preserve">test </w:t>
      </w:r>
      <w:r>
        <w:rPr>
          <w:lang w:val="en-US"/>
        </w:rPr>
        <w:t>procedure, immunity, multi-path propagation, reflections</w:t>
      </w:r>
      <w:r w:rsidR="00C17316">
        <w:t>, open-air-test-site, OATS</w:t>
      </w:r>
      <w:r w:rsidR="00C17316">
        <w:rPr>
          <w:lang w:val="en-US"/>
        </w:rPr>
        <w:t xml:space="preserve"> </w:t>
      </w:r>
    </w:p>
    <w:p w:rsidR="00357593" w:rsidRPr="00515560" w:rsidRDefault="00357593" w:rsidP="00357593">
      <w:pPr>
        <w:jc w:val="center"/>
        <w:rPr>
          <w:b/>
          <w:lang w:eastAsia="zh-CN"/>
        </w:rPr>
      </w:pPr>
      <w:r w:rsidRPr="00515560">
        <w:rPr>
          <w:b/>
          <w:lang w:eastAsia="zh-CN"/>
        </w:rPr>
        <w:t>Related ITU Recommendations</w:t>
      </w:r>
    </w:p>
    <w:p w:rsidR="00357593" w:rsidRDefault="00357593" w:rsidP="00C009A0">
      <w:pPr>
        <w:pStyle w:val="Reftext"/>
        <w:rPr>
          <w:lang w:eastAsia="zh-CN"/>
        </w:rPr>
      </w:pPr>
      <w:r w:rsidRPr="003B74A0">
        <w:rPr>
          <w:lang w:eastAsia="zh-CN"/>
        </w:rPr>
        <w:t xml:space="preserve">Recommendation ITU-R </w:t>
      </w:r>
      <w:r w:rsidRPr="00782222">
        <w:t>SM.</w:t>
      </w:r>
      <w:r w:rsidRPr="00822906">
        <w:rPr>
          <w:lang w:val="en-US"/>
        </w:rPr>
        <w:t>[DF_ACCURACY</w:t>
      </w:r>
      <w:r>
        <w:rPr>
          <w:lang w:val="en-US"/>
        </w:rPr>
        <w:t>-DOC.</w:t>
      </w:r>
      <w:r w:rsidR="00C009A0">
        <w:rPr>
          <w:lang w:val="en-US"/>
        </w:rPr>
        <w:t xml:space="preserve"> </w:t>
      </w:r>
      <w:hyperlink r:id="rId9" w:history="1">
        <w:r w:rsidR="00C009A0" w:rsidRPr="00911CE9">
          <w:rPr>
            <w:rStyle w:val="Hyperlink"/>
            <w:lang w:val="en-US"/>
          </w:rPr>
          <w:t>1/105</w:t>
        </w:r>
      </w:hyperlink>
      <w:r>
        <w:t>]</w:t>
      </w:r>
    </w:p>
    <w:p w:rsidR="00357593" w:rsidRPr="002D6026" w:rsidRDefault="00357593" w:rsidP="00357593">
      <w:pPr>
        <w:pStyle w:val="Note"/>
        <w:rPr>
          <w:rFonts w:asciiTheme="majorBidi" w:hAnsiTheme="majorBidi" w:cstheme="majorBidi"/>
          <w:szCs w:val="24"/>
          <w:lang w:val="en-US"/>
        </w:rPr>
      </w:pPr>
      <w:r w:rsidRPr="002D6026">
        <w:rPr>
          <w:rFonts w:asciiTheme="majorBidi" w:hAnsiTheme="majorBidi" w:cstheme="majorBidi"/>
          <w:szCs w:val="24"/>
          <w:lang w:val="en-US"/>
        </w:rPr>
        <w:t>NOTE – In every case the latest edition of the Recommendation/Reports in force should be used.</w:t>
      </w:r>
    </w:p>
    <w:p w:rsidR="008F778B" w:rsidRDefault="008F778B" w:rsidP="008F778B">
      <w:pPr>
        <w:pStyle w:val="Normalaftertitle0"/>
      </w:pPr>
      <w:r>
        <w:t>The ITU Radiocommunication As</w:t>
      </w:r>
      <w:r w:rsidR="00B91F23">
        <w:t>s</w:t>
      </w:r>
      <w:r>
        <w:t>embly,</w:t>
      </w:r>
    </w:p>
    <w:p w:rsidR="008F778B" w:rsidRDefault="008F778B" w:rsidP="008F778B">
      <w:pPr>
        <w:pStyle w:val="Call"/>
      </w:pPr>
      <w:r>
        <w:t>considering</w:t>
      </w:r>
    </w:p>
    <w:p w:rsidR="008F778B" w:rsidRDefault="008F778B" w:rsidP="008F778B">
      <w:r>
        <w:rPr>
          <w:i/>
          <w:iCs/>
        </w:rPr>
        <w:t>a)</w:t>
      </w:r>
      <w:r>
        <w:tab/>
        <w:t>that ITU-R has published the DF immunity against distorted wave fronts of different DF methods in the ITU Handbook on Spectrum Monitoring (Edition 2011);</w:t>
      </w:r>
    </w:p>
    <w:p w:rsidR="008F778B" w:rsidRDefault="008F778B" w:rsidP="008F778B">
      <w:r>
        <w:rPr>
          <w:i/>
          <w:iCs/>
        </w:rPr>
        <w:t>b)</w:t>
      </w:r>
      <w:r>
        <w:tab/>
        <w:t>that the immunity against distorted wave fronts is an important specification of a DF since distorted wave fronts from multipath propagation are typical in practice;</w:t>
      </w:r>
    </w:p>
    <w:p w:rsidR="008F778B" w:rsidRDefault="008F778B" w:rsidP="008F778B">
      <w:r>
        <w:rPr>
          <w:i/>
          <w:iCs/>
        </w:rPr>
        <w:t>c)</w:t>
      </w:r>
      <w:r>
        <w:tab/>
        <w:t>that the specification of  DF immunity against distorted wave fronts strongly depends on the test procedures applied;</w:t>
      </w:r>
    </w:p>
    <w:p w:rsidR="008F778B" w:rsidRDefault="008F778B" w:rsidP="008F778B">
      <w:r>
        <w:rPr>
          <w:i/>
          <w:iCs/>
        </w:rPr>
        <w:t>d)</w:t>
      </w:r>
      <w:r>
        <w:tab/>
        <w:t>that a test procedure for DF immunity against distorted wave fronts must be independent of the direction finder design;</w:t>
      </w:r>
    </w:p>
    <w:p w:rsidR="008F778B" w:rsidRDefault="008F778B" w:rsidP="008F778B">
      <w:r>
        <w:rPr>
          <w:i/>
          <w:iCs/>
        </w:rPr>
        <w:t>e)</w:t>
      </w:r>
      <w:r>
        <w:tab/>
        <w:t xml:space="preserve">that a well-defined test procedures for DF immunity against distorted wave fronts to test the influence of multi-path propagation </w:t>
      </w:r>
      <w:r w:rsidRPr="003E0C7C">
        <w:t>under approximated real-world conditions</w:t>
      </w:r>
      <w:r>
        <w:t>, if adopted by all manufacturers of direction finders intended for civil radio monitoring, will have the advantage for the users of such direction finders, that an easier and more objective assessment of products from diff</w:t>
      </w:r>
      <w:r w:rsidR="005F6334">
        <w:t>erent manufacturers is possible,</w:t>
      </w:r>
    </w:p>
    <w:p w:rsidR="008F778B" w:rsidRDefault="008F778B" w:rsidP="008F778B">
      <w:pPr>
        <w:pStyle w:val="Call"/>
      </w:pPr>
      <w:r>
        <w:t>recommends</w:t>
      </w:r>
    </w:p>
    <w:p w:rsidR="008F778B" w:rsidRDefault="008F778B" w:rsidP="008F778B">
      <w:r>
        <w:t>1</w:t>
      </w:r>
      <w:r>
        <w:tab/>
        <w:t xml:space="preserve">that the measurement method in the Annex 1 should be used to determine and report the immunity against distorted wave fronts due to multi-path propagation on </w:t>
      </w:r>
      <w:r w:rsidRPr="000F461C">
        <w:t>fixed and mobile</w:t>
      </w:r>
      <w:r>
        <w:t xml:space="preserve"> direction-finding systems.</w:t>
      </w:r>
    </w:p>
    <w:p w:rsidR="008F778B" w:rsidRDefault="008F778B" w:rsidP="008F778B"/>
    <w:bookmarkEnd w:id="10"/>
    <w:p w:rsidR="005F6334" w:rsidRDefault="005F6334" w:rsidP="008F778B">
      <w:pPr>
        <w:pStyle w:val="AnnexNo"/>
      </w:pPr>
      <w:r>
        <w:br w:type="page"/>
      </w:r>
    </w:p>
    <w:p w:rsidR="008F778B" w:rsidRDefault="008F778B" w:rsidP="008F778B">
      <w:pPr>
        <w:pStyle w:val="AnnexNo"/>
      </w:pPr>
      <w:r>
        <w:lastRenderedPageBreak/>
        <w:t>Annex 1</w:t>
      </w:r>
    </w:p>
    <w:p w:rsidR="008F778B" w:rsidRDefault="008F778B" w:rsidP="008F778B">
      <w:pPr>
        <w:pStyle w:val="Annextitle"/>
        <w:rPr>
          <w:rFonts w:ascii="Times New Roman" w:hAnsi="Times New Roman"/>
        </w:rPr>
      </w:pPr>
      <w:r>
        <w:rPr>
          <w:rFonts w:ascii="Times New Roman" w:hAnsi="Times New Roman"/>
        </w:rPr>
        <w:t>Immunity against distorted wave fronts</w:t>
      </w:r>
      <w:r w:rsidR="005F6334">
        <w:rPr>
          <w:rFonts w:ascii="Times New Roman" w:hAnsi="Times New Roman"/>
        </w:rPr>
        <w:t xml:space="preserve"> due to multi-path propagation:</w:t>
      </w:r>
      <w:r w:rsidR="005F6334">
        <w:rPr>
          <w:rFonts w:ascii="Times New Roman" w:hAnsi="Times New Roman"/>
        </w:rPr>
        <w:br/>
      </w:r>
      <w:r>
        <w:rPr>
          <w:rFonts w:ascii="Times New Roman" w:hAnsi="Times New Roman"/>
        </w:rPr>
        <w:t xml:space="preserve">test procedure for </w:t>
      </w:r>
      <w:r w:rsidRPr="000F461C">
        <w:rPr>
          <w:rFonts w:ascii="Times New Roman" w:hAnsi="Times New Roman"/>
        </w:rPr>
        <w:t>fixed and mobile</w:t>
      </w:r>
      <w:r>
        <w:rPr>
          <w:rFonts w:ascii="Times New Roman" w:hAnsi="Times New Roman"/>
        </w:rPr>
        <w:t xml:space="preserve"> DF</w:t>
      </w:r>
    </w:p>
    <w:p w:rsidR="008F778B" w:rsidRDefault="008F778B" w:rsidP="008F778B"/>
    <w:p w:rsidR="008F778B" w:rsidRPr="005F6334" w:rsidRDefault="008F778B" w:rsidP="005F6334">
      <w:pPr>
        <w:pStyle w:val="Heading1"/>
      </w:pPr>
      <w:r w:rsidRPr="005F6334">
        <w:t>1</w:t>
      </w:r>
      <w:r w:rsidRPr="005F6334">
        <w:tab/>
        <w:t>General considerations</w:t>
      </w:r>
    </w:p>
    <w:p w:rsidR="008F778B" w:rsidRDefault="008F778B" w:rsidP="005F6334">
      <w:r w:rsidRPr="004A5724">
        <w:t>Under normal circumstances, wave propagation between the emitter and direction finder is disrupted by buildings, mountains, hills, etc. Even if we have direct line of sight, secondary waves will still arise due to reflection, refraction and diffraction and superimpose the direct wave at the receiving location as interfering fields. If the interfering wave component has a lower power level than the desired wave component, the bearing error can be minimized by choosing suitable design parameters in the direction finder.</w:t>
      </w:r>
      <w:r>
        <w:t xml:space="preserve"> This recommendation serves to measure the DF immunity to distorted wave fronts caused by a secondary wave (reflection). It is meant to be used for an exemplary measurement of one single sample of the serial production version of the direction finder system under test.</w:t>
      </w:r>
    </w:p>
    <w:p w:rsidR="008F778B" w:rsidRPr="00BB09C8" w:rsidRDefault="008F778B" w:rsidP="005F6334">
      <w:pPr>
        <w:pStyle w:val="Heading1"/>
      </w:pPr>
      <w:r w:rsidRPr="00BB09C8">
        <w:t>2</w:t>
      </w:r>
      <w:r w:rsidRPr="00BB09C8">
        <w:tab/>
        <w:t>Principle of measurement</w:t>
      </w:r>
    </w:p>
    <w:p w:rsidR="008F778B" w:rsidRDefault="008F778B" w:rsidP="00C17316">
      <w:r w:rsidRPr="004A5724">
        <w:t xml:space="preserve">The </w:t>
      </w:r>
      <w:r>
        <w:t>measurement</w:t>
      </w:r>
      <w:r w:rsidRPr="004A5724">
        <w:t xml:space="preserve"> will be conducted </w:t>
      </w:r>
      <w:r w:rsidRPr="000F461C">
        <w:t>under simplified conditions, thus permitting great simplicity of the tests and easy repeatability of the results at any time and at any site.</w:t>
      </w:r>
      <w:r>
        <w:t xml:space="preserve"> </w:t>
      </w:r>
      <w:r w:rsidRPr="004A5724">
        <w:t>In order to simulate</w:t>
      </w:r>
      <w:r>
        <w:t xml:space="preserve"> a multipath</w:t>
      </w:r>
      <w:r w:rsidRPr="004A5724">
        <w:t xml:space="preserve"> environment, an arrangement of two transmitting antennas (two</w:t>
      </w:r>
      <w:r>
        <w:t>-</w:t>
      </w:r>
      <w:r w:rsidRPr="004A5724">
        <w:t>wave field</w:t>
      </w:r>
      <w:r>
        <w:t xml:space="preserve"> produced by a single transmitter</w:t>
      </w:r>
      <w:r w:rsidRPr="004A5724">
        <w:t xml:space="preserve">) is proposed subsequently. Both antennas are connected to the test transmitter via a power divider. By using </w:t>
      </w:r>
      <w:r>
        <w:t>an</w:t>
      </w:r>
      <w:r w:rsidRPr="004A5724">
        <w:t xml:space="preserve"> attenuator the amplitude of the signal which represents the</w:t>
      </w:r>
      <w:r>
        <w:t xml:space="preserve"> reflection (secondary wave) can be set</w:t>
      </w:r>
      <w:r w:rsidRPr="004A5724">
        <w:t>, and hence determine the amplitude relation between direct (primary) a</w:t>
      </w:r>
      <w:r>
        <w:t>nd reflecting (secondary) path</w:t>
      </w:r>
      <w:r w:rsidRPr="004A5724">
        <w:t>.</w:t>
      </w:r>
      <w:r>
        <w:t xml:space="preserve"> The angle of arrival and the phase angle of the secondary wave is varied. Considering the objective to simplify the measurement ,</w:t>
      </w:r>
      <w:r w:rsidRPr="000F461C">
        <w:t xml:space="preserve"> effects of modulation type</w:t>
      </w:r>
      <w:r>
        <w:t xml:space="preserve"> (</w:t>
      </w:r>
      <w:r w:rsidRPr="003E0C7C">
        <w:t>including phase and time variant signals</w:t>
      </w:r>
      <w:r>
        <w:t>)</w:t>
      </w:r>
      <w:r w:rsidRPr="003E0C7C">
        <w:t>, signal duty cycle,</w:t>
      </w:r>
      <w:r>
        <w:t xml:space="preserve"> bandwidth,</w:t>
      </w:r>
      <w:r w:rsidRPr="003E0C7C">
        <w:t xml:space="preserve"> signal polarization</w:t>
      </w:r>
      <w:r>
        <w:t>,</w:t>
      </w:r>
      <w:r w:rsidRPr="003E0C7C">
        <w:t xml:space="preserve"> and signal duration</w:t>
      </w:r>
      <w:r>
        <w:t>,</w:t>
      </w:r>
      <w:r w:rsidRPr="000F461C">
        <w:t xml:space="preserve"> </w:t>
      </w:r>
      <w:r>
        <w:t xml:space="preserve">noise </w:t>
      </w:r>
      <w:r w:rsidRPr="000F461C">
        <w:t xml:space="preserve">and other </w:t>
      </w:r>
      <w:r>
        <w:t xml:space="preserve">signal and DF quality </w:t>
      </w:r>
      <w:r w:rsidRPr="000F461C">
        <w:t xml:space="preserve">parameters </w:t>
      </w:r>
      <w:r>
        <w:t xml:space="preserve">(e.g., DF sensitivity) </w:t>
      </w:r>
      <w:r w:rsidRPr="000F461C">
        <w:t>are intentionally ignored</w:t>
      </w:r>
      <w:r>
        <w:t xml:space="preserve"> to reduce the complexity of the tests procedure and the time duration of the measurements</w:t>
      </w:r>
      <w:r w:rsidRPr="000F461C">
        <w:t>.</w:t>
      </w:r>
      <w:r>
        <w:t xml:space="preserve"> The measurement takes place in an otherwise reflection-free environment such as an </w:t>
      </w:r>
      <w:r w:rsidR="00C17316">
        <w:t xml:space="preserve">open-air-test-site </w:t>
      </w:r>
      <w:r>
        <w:t>(OATS) or an anechoic chamber.</w:t>
      </w:r>
      <w:r>
        <w:rPr>
          <w:rStyle w:val="FootnoteReference"/>
        </w:rPr>
        <w:footnoteReference w:id="1"/>
      </w:r>
    </w:p>
    <w:p w:rsidR="008F778B" w:rsidRDefault="008F778B" w:rsidP="00C009A0">
      <w:pPr>
        <w:rPr>
          <w:strike/>
        </w:rPr>
      </w:pPr>
      <w:r>
        <w:t xml:space="preserve">In addition to the recommended measurement procedure described here, it is possible to measure the DF immunity against distorted wave fronts by means of multi-channel emulators which can simulate the propagation effects of a real environment, in situations where an OATS or anechoic chamber is not readily available.  </w:t>
      </w:r>
    </w:p>
    <w:p w:rsidR="008F778B" w:rsidRPr="005F6334" w:rsidRDefault="008F778B" w:rsidP="005F6334">
      <w:pPr>
        <w:pStyle w:val="Heading1"/>
      </w:pPr>
      <w:r w:rsidRPr="005F6334">
        <w:t>3</w:t>
      </w:r>
      <w:r w:rsidRPr="005F6334">
        <w:tab/>
        <w:t>Measurement set up</w:t>
      </w:r>
    </w:p>
    <w:p w:rsidR="00880E84" w:rsidRDefault="008F778B" w:rsidP="00357593">
      <w:r w:rsidRPr="004A5724">
        <w:t xml:space="preserve">The proposed measurement setup is shown in Figure </w:t>
      </w:r>
      <w:r>
        <w:t>1</w:t>
      </w:r>
      <w:r w:rsidRPr="004A5724">
        <w:t>. In order to ensure a well-defined dual-path propagation scenario the environment of the DF and transmitting antennas should be free of reflecting obstacles</w:t>
      </w:r>
      <w:r>
        <w:t xml:space="preserve"> and interferences as indicated in the </w:t>
      </w:r>
      <w:r w:rsidR="005F6334" w:rsidRPr="00782222">
        <w:t xml:space="preserve">preliminary draft new </w:t>
      </w:r>
      <w:r w:rsidR="00880E84">
        <w:br w:type="page"/>
      </w:r>
    </w:p>
    <w:p w:rsidR="008F778B" w:rsidRDefault="008F778B" w:rsidP="00C009A0">
      <w:r w:rsidRPr="00782222">
        <w:lastRenderedPageBreak/>
        <w:t>R</w:t>
      </w:r>
      <w:r w:rsidR="005F6334" w:rsidRPr="00782222">
        <w:t>ecommendation</w:t>
      </w:r>
      <w:r w:rsidR="00357593">
        <w:t> </w:t>
      </w:r>
      <w:r w:rsidRPr="00782222">
        <w:t>ITU-R SM.</w:t>
      </w:r>
      <w:r w:rsidR="00357593" w:rsidRPr="00822906">
        <w:rPr>
          <w:lang w:val="en-US"/>
        </w:rPr>
        <w:t>[DF_ACCURACY</w:t>
      </w:r>
      <w:r w:rsidR="00357593">
        <w:rPr>
          <w:lang w:val="en-US"/>
        </w:rPr>
        <w:t>-DOC.</w:t>
      </w:r>
      <w:r w:rsidR="00C009A0">
        <w:rPr>
          <w:lang w:val="en-US"/>
        </w:rPr>
        <w:t xml:space="preserve"> 1/105</w:t>
      </w:r>
      <w:r>
        <w:t>]</w:t>
      </w:r>
      <w:r w:rsidRPr="004A5724">
        <w:t>. The distances between the DF antenna and both transmittin</w:t>
      </w:r>
      <w:r>
        <w:t xml:space="preserve">g antennas, as well as the height of all antennas involved should be in line with </w:t>
      </w:r>
      <w:r w:rsidR="005F6334" w:rsidRPr="00782222">
        <w:t>preliminary draft new</w:t>
      </w:r>
      <w:r w:rsidRPr="00782222">
        <w:t xml:space="preserve"> R</w:t>
      </w:r>
      <w:r w:rsidR="005F6334" w:rsidRPr="00782222">
        <w:t xml:space="preserve">ecommendation </w:t>
      </w:r>
      <w:r w:rsidRPr="00782222">
        <w:t xml:space="preserve">ITU-R </w:t>
      </w:r>
      <w:r w:rsidR="00357593" w:rsidRPr="00782222">
        <w:t>SM.</w:t>
      </w:r>
      <w:r w:rsidR="00357593" w:rsidRPr="00822906">
        <w:rPr>
          <w:lang w:val="en-US"/>
        </w:rPr>
        <w:t>[DF_ACCURACY</w:t>
      </w:r>
      <w:r w:rsidR="00357593">
        <w:rPr>
          <w:lang w:val="en-US"/>
        </w:rPr>
        <w:t>-DOC.</w:t>
      </w:r>
      <w:r w:rsidR="00C009A0">
        <w:rPr>
          <w:lang w:val="en-US"/>
        </w:rPr>
        <w:t xml:space="preserve"> 1/105</w:t>
      </w:r>
      <w:r w:rsidR="00357593">
        <w:t>]</w:t>
      </w:r>
      <w:r>
        <w:t xml:space="preserve">. </w:t>
      </w:r>
    </w:p>
    <w:p w:rsidR="008F778B" w:rsidRPr="00BB09C8" w:rsidRDefault="008F778B" w:rsidP="005F6334">
      <w:pPr>
        <w:pStyle w:val="Heading1"/>
      </w:pPr>
      <w:r>
        <w:t>4</w:t>
      </w:r>
      <w:r w:rsidRPr="00BB09C8">
        <w:tab/>
      </w:r>
      <w:r>
        <w:t>Measurement procedure</w:t>
      </w:r>
    </w:p>
    <w:p w:rsidR="008F778B" w:rsidRDefault="008F778B" w:rsidP="008F778B">
      <w:r>
        <w:t>In order to simulate a basic multipath wave environment (two-wave field produced by a single transmitter), an experimental test bed as shown in Fig. 1 is recommended:</w:t>
      </w:r>
    </w:p>
    <w:p w:rsidR="008F778B" w:rsidRDefault="005F6334" w:rsidP="005F6334">
      <w:pPr>
        <w:pStyle w:val="enumlev1"/>
      </w:pPr>
      <w:r>
        <w:t>•</w:t>
      </w:r>
      <w:r>
        <w:tab/>
        <w:t>a</w:t>
      </w:r>
      <w:r w:rsidR="008F778B">
        <w:t>n un-modulated continuous wave input signal S on various measurement frequencies within the operational frequency range of the direction finder is gen</w:t>
      </w:r>
      <w:r w:rsidR="00B91F23">
        <w:t>erated using a signal generator;</w:t>
      </w:r>
    </w:p>
    <w:p w:rsidR="008F778B" w:rsidRDefault="005F6334" w:rsidP="005F6334">
      <w:pPr>
        <w:pStyle w:val="enumlev1"/>
      </w:pPr>
      <w:r>
        <w:t>•</w:t>
      </w:r>
      <w:r>
        <w:tab/>
      </w:r>
      <w:r w:rsidR="008F778B">
        <w:t xml:space="preserve">the input signal S is divided into S1 and S2 signals by </w:t>
      </w:r>
      <w:r w:rsidR="00B91F23">
        <w:t>means of a power divider;</w:t>
      </w:r>
    </w:p>
    <w:p w:rsidR="008F778B" w:rsidRDefault="005F6334" w:rsidP="005F6334">
      <w:pPr>
        <w:pStyle w:val="enumlev1"/>
      </w:pPr>
      <w:r>
        <w:t>•</w:t>
      </w:r>
      <w:r>
        <w:tab/>
      </w:r>
      <w:r w:rsidR="008F778B">
        <w:t>the S1 signal is transmitted by transmit antenna 1, and</w:t>
      </w:r>
    </w:p>
    <w:p w:rsidR="008F778B" w:rsidRDefault="005F6334" w:rsidP="005F6334">
      <w:pPr>
        <w:pStyle w:val="enumlev1"/>
      </w:pPr>
      <w:r>
        <w:t>•</w:t>
      </w:r>
      <w:r>
        <w:tab/>
      </w:r>
      <w:r w:rsidR="008F778B">
        <w:t>attenuation and phase shift is added to the S2 signal before it is transmitted by transmit antenna 2 from a different angle than S1.</w:t>
      </w:r>
    </w:p>
    <w:p w:rsidR="008F778B" w:rsidRDefault="008F778B" w:rsidP="005F6334">
      <w:r>
        <w:t>Both S1 and S2 signals must have a power level high enough to ensure a minimum SNR of 20 dB (in order to ensure that system noise does not affect the measurement results).</w:t>
      </w:r>
    </w:p>
    <w:p w:rsidR="008F778B" w:rsidRDefault="008F778B" w:rsidP="00357593">
      <w:r>
        <w:t xml:space="preserve">Due to the fact that the DF immunity to distorted wave fronts tends to vary with frequency it is required to repeat the measurement for various measurement frequencies. The measurement frequencies are selected in line with Recommendation ITU-R </w:t>
      </w:r>
      <w:r w:rsidR="00357593" w:rsidRPr="00782222">
        <w:t>SM.</w:t>
      </w:r>
      <w:r w:rsidR="00357593" w:rsidRPr="00822906">
        <w:rPr>
          <w:lang w:val="en-US"/>
        </w:rPr>
        <w:t>[DF_ACCURACY</w:t>
      </w:r>
      <w:r w:rsidR="00C009A0">
        <w:rPr>
          <w:lang w:val="en-US"/>
        </w:rPr>
        <w:t>-DOC. 1/105</w:t>
      </w:r>
      <w:r w:rsidR="00357593">
        <w:t>]</w:t>
      </w:r>
      <w:r>
        <w:t>.</w:t>
      </w:r>
    </w:p>
    <w:p w:rsidR="008F778B" w:rsidRDefault="008F778B" w:rsidP="005F6334">
      <w:r>
        <w:t>For each measurement frequency the S2 signal from antenna A2 (the “reflected” signal) is varied in azimuth, amplitude and phase shift as follows:</w:t>
      </w:r>
    </w:p>
    <w:p w:rsidR="008F778B" w:rsidRDefault="00B91F23" w:rsidP="00B91F23">
      <w:pPr>
        <w:pStyle w:val="enumlev1"/>
      </w:pPr>
      <w:r>
        <w:t>•</w:t>
      </w:r>
      <w:r>
        <w:tab/>
      </w:r>
      <w:r w:rsidR="008F778B">
        <w:t xml:space="preserve">the angle of arrival difference </w:t>
      </w:r>
      <w:r w:rsidR="008F778B">
        <w:rPr>
          <w:rFonts w:ascii="Symbol" w:hAnsi="Symbol"/>
        </w:rPr>
        <w:t></w:t>
      </w:r>
      <w:r w:rsidR="008F778B">
        <w:rPr>
          <w:rFonts w:ascii="Symbol" w:hAnsi="Symbol"/>
        </w:rPr>
        <w:t></w:t>
      </w:r>
      <w:r w:rsidR="008F778B">
        <w:t xml:space="preserve"> between the reflected wave S2 and the main wav</w:t>
      </w:r>
      <w:r>
        <w:t>e S1 is set to 20°, 60° and 90°;</w:t>
      </w:r>
    </w:p>
    <w:p w:rsidR="008F778B" w:rsidRDefault="00B91F23" w:rsidP="00B91F23">
      <w:pPr>
        <w:pStyle w:val="enumlev1"/>
      </w:pPr>
      <w:r>
        <w:t>•</w:t>
      </w:r>
      <w:r>
        <w:tab/>
      </w:r>
      <w:r w:rsidR="008F778B">
        <w:t xml:space="preserve">the amplitude ratio </w:t>
      </w:r>
      <w:r w:rsidR="008F778B">
        <w:rPr>
          <w:rFonts w:ascii="Symbol" w:hAnsi="Symbol"/>
        </w:rPr>
        <w:t></w:t>
      </w:r>
      <w:r w:rsidR="008F778B">
        <w:t xml:space="preserve"> of the reflected wave S2 and the main wave S1 is set so that the power level of S2 is 0.25 (-6 dB)</w:t>
      </w:r>
      <w:r w:rsidR="008F778B" w:rsidRPr="00404D1F">
        <w:t xml:space="preserve"> </w:t>
      </w:r>
      <w:r w:rsidR="008F778B">
        <w:t xml:space="preserve">with respect to S1 at the DF antenna. Note that </w:t>
      </w:r>
      <w:r w:rsidR="008F778B">
        <w:rPr>
          <w:rFonts w:ascii="Symbol" w:hAnsi="Symbol"/>
        </w:rPr>
        <w:t></w:t>
      </w:r>
      <w:r w:rsidR="008F778B">
        <w:rPr>
          <w:rFonts w:ascii="Symbol" w:hAnsi="Symbol"/>
        </w:rPr>
        <w:t></w:t>
      </w:r>
      <w:r w:rsidR="008F778B">
        <w:t>takes into account all gains and losse</w:t>
      </w:r>
      <w:r>
        <w:t>s over cables, antennas and air;</w:t>
      </w:r>
    </w:p>
    <w:p w:rsidR="008F778B" w:rsidRDefault="00B91F23" w:rsidP="00B91F23">
      <w:pPr>
        <w:pStyle w:val="enumlev1"/>
      </w:pPr>
      <w:r>
        <w:t>•</w:t>
      </w:r>
      <w:r>
        <w:tab/>
      </w:r>
      <w:r w:rsidR="008F778B">
        <w:t xml:space="preserve">the positive time delay difference </w:t>
      </w:r>
      <w:r w:rsidR="008F778B">
        <w:rPr>
          <w:rFonts w:ascii="Symbol" w:hAnsi="Symbol"/>
        </w:rPr>
        <w:t></w:t>
      </w:r>
      <w:r w:rsidR="008F778B">
        <w:rPr>
          <w:rFonts w:ascii="Symbol" w:hAnsi="Symbol"/>
        </w:rPr>
        <w:t></w:t>
      </w:r>
      <w:r w:rsidR="008F778B">
        <w:t xml:space="preserve"> of the reflected wave S2 is set so that a phase difference </w:t>
      </w:r>
      <w:r w:rsidR="008F778B">
        <w:rPr>
          <w:rFonts w:ascii="Symbol" w:hAnsi="Symbol"/>
        </w:rPr>
        <w:t></w:t>
      </w:r>
      <w:r w:rsidR="008F778B">
        <w:rPr>
          <w:rFonts w:ascii="Symbol" w:hAnsi="Symbol"/>
          <w:szCs w:val="24"/>
        </w:rPr>
        <w:sym w:font="Symbol" w:char="F06A"/>
      </w:r>
      <w:r w:rsidR="008F778B">
        <w:t xml:space="preserve"> of 0°±5°, 90°±5° and 200°±5° between S1 and S2 occurs at the DF antenna. Note that </w:t>
      </w:r>
      <w:r w:rsidR="008F778B">
        <w:rPr>
          <w:rFonts w:ascii="Symbol" w:hAnsi="Symbol"/>
        </w:rPr>
        <w:t></w:t>
      </w:r>
      <w:r w:rsidR="008F778B">
        <w:rPr>
          <w:rFonts w:ascii="Symbol" w:hAnsi="Symbol"/>
        </w:rPr>
        <w:t></w:t>
      </w:r>
      <w:r w:rsidR="008F778B">
        <w:t xml:space="preserve"> takes into account all propagation delays over cables, antennas and air. Note further that the phase shift can be applied by a variable phase shifter or a delay line, besides ±5° have been included to consider uncertainties of the setup configuration, e.g., small variations of the antenna locations during placement.</w:t>
      </w:r>
    </w:p>
    <w:p w:rsidR="008F778B" w:rsidRDefault="008F778B" w:rsidP="00487BCD">
      <w:r>
        <w:t xml:space="preserve">For all different settings described above the bearing error is measured and the RMS bearing error is calculated with the formula stated in Recommendation ITU-R </w:t>
      </w:r>
      <w:r w:rsidR="00357593" w:rsidRPr="00782222">
        <w:t>SM.</w:t>
      </w:r>
      <w:r w:rsidR="00357593" w:rsidRPr="00822906">
        <w:rPr>
          <w:lang w:val="en-US"/>
        </w:rPr>
        <w:t>[DF_ACCURACY</w:t>
      </w:r>
      <w:r w:rsidR="00357593">
        <w:rPr>
          <w:lang w:val="en-US"/>
        </w:rPr>
        <w:t>-DOC.</w:t>
      </w:r>
      <w:r w:rsidR="00C009A0">
        <w:rPr>
          <w:lang w:val="en-US"/>
        </w:rPr>
        <w:t> 1/105</w:t>
      </w:r>
      <w:r w:rsidR="00357593">
        <w:t>]</w:t>
      </w:r>
      <w:r>
        <w:t xml:space="preserve">, resulting in one RMS bearing error per measurement frequency. The final result is presented as a table or chart indicating the RMS bearing error for each measurement frequency as indicated in Table 1. </w:t>
      </w:r>
    </w:p>
    <w:p w:rsidR="008F778B" w:rsidRDefault="008F778B" w:rsidP="005F6334">
      <w:r>
        <w:t>It should be noted that the recommended measurement procedure is focused on a single angle of arrival of the primary wave. However, it would be desired in specific cases that different angles of arrival of the primary wave are measured by rotating the antenna. If such specific test conditions are applied, this should be indicated in the test reports.</w:t>
      </w:r>
    </w:p>
    <w:p w:rsidR="008F778B" w:rsidRDefault="008F778B" w:rsidP="008F778B">
      <w:pPr>
        <w:pStyle w:val="FigureNo"/>
      </w:pPr>
      <w:r>
        <w:lastRenderedPageBreak/>
        <w:t>Figure 1</w:t>
      </w:r>
    </w:p>
    <w:p w:rsidR="008F778B" w:rsidRDefault="008F778B" w:rsidP="008F778B">
      <w:pPr>
        <w:pStyle w:val="Figuretitle"/>
        <w:rPr>
          <w:rFonts w:ascii="Times New Roman" w:hAnsi="Times New Roman"/>
        </w:rPr>
      </w:pPr>
      <w:r>
        <w:rPr>
          <w:rFonts w:ascii="Times New Roman" w:hAnsi="Times New Roman"/>
        </w:rPr>
        <w:t>Measurement setup for determining the direction finder immunity to distorted wave fronts</w:t>
      </w:r>
    </w:p>
    <w:p w:rsidR="008F778B" w:rsidRDefault="008F778B" w:rsidP="008F778B">
      <w:pPr>
        <w:pStyle w:val="Heading1"/>
        <w:keepLines w:val="0"/>
        <w:spacing w:before="240" w:after="60"/>
        <w:ind w:left="0" w:firstLine="0"/>
        <w:jc w:val="center"/>
        <w:rPr>
          <w:sz w:val="24"/>
          <w:szCs w:val="24"/>
        </w:rPr>
      </w:pPr>
      <w:r>
        <w:rPr>
          <w:noProof/>
          <w:sz w:val="24"/>
          <w:szCs w:val="24"/>
          <w:lang w:val="en-US" w:eastAsia="fr-FR"/>
        </w:rPr>
        <w:t xml:space="preserve">   </w:t>
      </w:r>
      <w:r w:rsidRPr="008F4409">
        <w:rPr>
          <w:noProof/>
          <w:sz w:val="24"/>
          <w:szCs w:val="24"/>
          <w:lang w:val="en-US" w:eastAsia="fr-FR"/>
        </w:rPr>
        <w:t xml:space="preserve">    </w:t>
      </w:r>
      <w:r w:rsidRPr="008F4409">
        <w:rPr>
          <w:sz w:val="24"/>
          <w:szCs w:val="24"/>
          <w:lang w:val="en-US"/>
        </w:rPr>
        <w:t xml:space="preserve"> </w:t>
      </w:r>
      <w:r>
        <w:rPr>
          <w:noProof/>
          <w:lang w:val="en-US" w:eastAsia="zh-CN"/>
        </w:rPr>
        <w:drawing>
          <wp:inline distT="0" distB="0" distL="0" distR="0" wp14:anchorId="31BC7977" wp14:editId="268C8AAC">
            <wp:extent cx="3943985" cy="3466465"/>
            <wp:effectExtent l="0" t="0" r="0" b="63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985" cy="3466465"/>
                    </a:xfrm>
                    <a:prstGeom prst="rect">
                      <a:avLst/>
                    </a:prstGeom>
                    <a:noFill/>
                    <a:ln>
                      <a:noFill/>
                    </a:ln>
                  </pic:spPr>
                </pic:pic>
              </a:graphicData>
            </a:graphic>
          </wp:inline>
        </w:drawing>
      </w:r>
    </w:p>
    <w:p w:rsidR="008F778B" w:rsidRPr="002C3E32" w:rsidRDefault="008F778B" w:rsidP="008F778B">
      <w:pPr>
        <w:pStyle w:val="TableNo"/>
        <w:rPr>
          <w:rFonts w:eastAsia="MS Mincho"/>
        </w:rPr>
      </w:pPr>
      <w:r w:rsidRPr="002C3E32">
        <w:rPr>
          <w:rFonts w:eastAsia="MS Mincho"/>
        </w:rPr>
        <w:t>TABLE 1</w:t>
      </w:r>
    </w:p>
    <w:p w:rsidR="008F778B" w:rsidRPr="002C3E32" w:rsidRDefault="008F778B" w:rsidP="008F778B">
      <w:pPr>
        <w:pStyle w:val="Tabletitle"/>
      </w:pPr>
      <w:r w:rsidRPr="002C3E32">
        <w:rPr>
          <w:rFonts w:eastAsia="MS Mincho"/>
        </w:rPr>
        <w:t>Sample test data table</w:t>
      </w:r>
    </w:p>
    <w:p w:rsidR="008F778B" w:rsidRPr="002C3E32" w:rsidRDefault="008F778B" w:rsidP="008F778B">
      <w:pPr>
        <w:keepNext/>
        <w:keepLines/>
        <w:tabs>
          <w:tab w:val="clear" w:pos="1134"/>
          <w:tab w:val="clear" w:pos="1871"/>
          <w:tab w:val="clear" w:pos="2268"/>
        </w:tabs>
        <w:spacing w:before="0"/>
        <w:jc w:val="center"/>
        <w:rPr>
          <w:sz w:val="16"/>
          <w:szCs w:val="16"/>
        </w:rPr>
      </w:pPr>
    </w:p>
    <w:p w:rsidR="008F778B" w:rsidRPr="00875B7B" w:rsidRDefault="008F778B" w:rsidP="008F77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75B7B">
        <w:rPr>
          <w:sz w:val="20"/>
        </w:rPr>
        <w:t>[Signal modulation:_____________</w:t>
      </w:r>
      <w:r w:rsidR="00713275">
        <w:rPr>
          <w:sz w:val="20"/>
        </w:rPr>
        <w:t xml:space="preserve"> </w:t>
      </w:r>
      <w:r w:rsidRPr="00875B7B">
        <w:rPr>
          <w:sz w:val="20"/>
        </w:rPr>
        <w:t>Signal polarization: _______  S2 relative power level at the DF antenna: __ [dB]</w:t>
      </w:r>
    </w:p>
    <w:p w:rsidR="008F778B" w:rsidRPr="00875B7B" w:rsidRDefault="008F778B" w:rsidP="008F778B">
      <w:pPr>
        <w:spacing w:before="0"/>
        <w:jc w:val="both"/>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636"/>
        <w:gridCol w:w="636"/>
        <w:gridCol w:w="759"/>
        <w:gridCol w:w="759"/>
        <w:gridCol w:w="758"/>
        <w:gridCol w:w="758"/>
        <w:gridCol w:w="758"/>
        <w:gridCol w:w="758"/>
        <w:gridCol w:w="337"/>
        <w:gridCol w:w="758"/>
        <w:gridCol w:w="758"/>
      </w:tblGrid>
      <w:tr w:rsidR="008F778B" w:rsidRPr="00875B7B" w:rsidTr="004975B4">
        <w:trPr>
          <w:trHeight w:val="315"/>
        </w:trPr>
        <w:tc>
          <w:tcPr>
            <w:tcW w:w="851" w:type="dxa"/>
            <w:noWrap/>
          </w:tcPr>
          <w:p w:rsidR="008F778B" w:rsidRPr="00875B7B" w:rsidRDefault="008F778B" w:rsidP="00B91F23">
            <w:pPr>
              <w:pStyle w:val="Tablehead"/>
              <w:rPr>
                <w:rFonts w:eastAsia="Arial Unicode MS"/>
              </w:rPr>
            </w:pPr>
          </w:p>
        </w:tc>
        <w:tc>
          <w:tcPr>
            <w:tcW w:w="1134" w:type="dxa"/>
          </w:tcPr>
          <w:p w:rsidR="008F778B" w:rsidRPr="00875B7B" w:rsidRDefault="008F778B" w:rsidP="00B91F23">
            <w:pPr>
              <w:pStyle w:val="Tablehead"/>
              <w:rPr>
                <w:rFonts w:eastAsia="Arial Unicode MS"/>
              </w:rPr>
            </w:pPr>
            <w:r w:rsidRPr="00875B7B">
              <w:t>True</w:t>
            </w:r>
          </w:p>
        </w:tc>
        <w:tc>
          <w:tcPr>
            <w:tcW w:w="636" w:type="dxa"/>
          </w:tcPr>
          <w:p w:rsidR="008F778B" w:rsidRPr="00875B7B" w:rsidRDefault="008F778B" w:rsidP="00B91F23">
            <w:pPr>
              <w:pStyle w:val="Tablehead"/>
              <w:rPr>
                <w:rFonts w:ascii="Symbol" w:hAnsi="Symbol"/>
              </w:rPr>
            </w:pPr>
            <w:r w:rsidRPr="00875B7B">
              <w:rPr>
                <w:rFonts w:ascii="Symbol" w:hAnsi="Symbol"/>
              </w:rPr>
              <w:t></w:t>
            </w:r>
            <w:r w:rsidRPr="00875B7B">
              <w:rPr>
                <w:rFonts w:ascii="Symbol" w:hAnsi="Symbol"/>
              </w:rPr>
              <w:t></w:t>
            </w:r>
          </w:p>
        </w:tc>
        <w:tc>
          <w:tcPr>
            <w:tcW w:w="636" w:type="dxa"/>
          </w:tcPr>
          <w:p w:rsidR="008F778B" w:rsidRPr="00875B7B" w:rsidRDefault="008F778B" w:rsidP="00B91F23">
            <w:pPr>
              <w:pStyle w:val="Tablehead"/>
            </w:pPr>
            <w:r w:rsidRPr="00875B7B">
              <w:rPr>
                <w:rFonts w:ascii="Symbol" w:hAnsi="Symbol"/>
              </w:rPr>
              <w:t></w:t>
            </w:r>
            <w:r w:rsidRPr="00875B7B">
              <w:rPr>
                <w:rFonts w:ascii="Symbol" w:hAnsi="Symbol"/>
                <w:szCs w:val="24"/>
              </w:rPr>
              <w:sym w:font="Symbol" w:char="F06A"/>
            </w:r>
          </w:p>
        </w:tc>
        <w:tc>
          <w:tcPr>
            <w:tcW w:w="1518" w:type="dxa"/>
            <w:gridSpan w:val="2"/>
            <w:noWrap/>
          </w:tcPr>
          <w:p w:rsidR="008F778B" w:rsidRPr="00875B7B" w:rsidRDefault="008F778B" w:rsidP="00B91F23">
            <w:pPr>
              <w:pStyle w:val="Tablehead"/>
              <w:rPr>
                <w:rFonts w:eastAsia="Arial Unicode MS"/>
              </w:rPr>
            </w:pPr>
            <w:r w:rsidRPr="00875B7B">
              <w:t>Frequency 1</w:t>
            </w:r>
          </w:p>
        </w:tc>
        <w:tc>
          <w:tcPr>
            <w:tcW w:w="1516" w:type="dxa"/>
            <w:gridSpan w:val="2"/>
            <w:noWrap/>
          </w:tcPr>
          <w:p w:rsidR="008F778B" w:rsidRPr="00875B7B" w:rsidRDefault="008F778B" w:rsidP="00B91F23">
            <w:pPr>
              <w:pStyle w:val="Tablehead"/>
              <w:rPr>
                <w:rFonts w:eastAsia="Arial Unicode MS"/>
              </w:rPr>
            </w:pPr>
            <w:r w:rsidRPr="00875B7B">
              <w:t>Frequency 2</w:t>
            </w:r>
          </w:p>
        </w:tc>
        <w:tc>
          <w:tcPr>
            <w:tcW w:w="1516" w:type="dxa"/>
            <w:gridSpan w:val="2"/>
            <w:noWrap/>
          </w:tcPr>
          <w:p w:rsidR="008F778B" w:rsidRPr="00875B7B" w:rsidRDefault="008F778B" w:rsidP="00B91F23">
            <w:pPr>
              <w:pStyle w:val="Tablehead"/>
              <w:rPr>
                <w:rFonts w:eastAsia="Arial Unicode MS"/>
              </w:rPr>
            </w:pPr>
            <w:r w:rsidRPr="00875B7B">
              <w:t>Frequency 3</w:t>
            </w:r>
          </w:p>
        </w:tc>
        <w:tc>
          <w:tcPr>
            <w:tcW w:w="337" w:type="dxa"/>
            <w:noWrap/>
          </w:tcPr>
          <w:p w:rsidR="008F778B" w:rsidRPr="00875B7B" w:rsidRDefault="008F778B" w:rsidP="00B91F23">
            <w:pPr>
              <w:pStyle w:val="Tablehead"/>
              <w:rPr>
                <w:rFonts w:eastAsia="Arial Unicode MS"/>
              </w:rPr>
            </w:pPr>
          </w:p>
        </w:tc>
        <w:tc>
          <w:tcPr>
            <w:tcW w:w="1516" w:type="dxa"/>
            <w:gridSpan w:val="2"/>
            <w:noWrap/>
          </w:tcPr>
          <w:p w:rsidR="008F778B" w:rsidRPr="00875B7B" w:rsidRDefault="008F778B" w:rsidP="00B91F23">
            <w:pPr>
              <w:pStyle w:val="Tablehead"/>
              <w:rPr>
                <w:rFonts w:eastAsia="Arial Unicode MS"/>
              </w:rPr>
            </w:pPr>
            <w:r w:rsidRPr="00875B7B">
              <w:t>Frequency M</w:t>
            </w:r>
          </w:p>
        </w:tc>
      </w:tr>
      <w:tr w:rsidR="008F778B" w:rsidRPr="00875B7B" w:rsidTr="004975B4">
        <w:trPr>
          <w:trHeight w:val="315"/>
        </w:trPr>
        <w:tc>
          <w:tcPr>
            <w:tcW w:w="851" w:type="dxa"/>
            <w:noWrap/>
          </w:tcPr>
          <w:p w:rsidR="008F778B" w:rsidRPr="00875B7B" w:rsidRDefault="008F778B" w:rsidP="00B91F23">
            <w:pPr>
              <w:pStyle w:val="Tablehead"/>
              <w:rPr>
                <w:rFonts w:eastAsia="Arial Unicode MS"/>
              </w:rPr>
            </w:pPr>
            <w:r w:rsidRPr="00875B7B">
              <w:t>Index</w:t>
            </w:r>
          </w:p>
        </w:tc>
        <w:tc>
          <w:tcPr>
            <w:tcW w:w="1134" w:type="dxa"/>
          </w:tcPr>
          <w:p w:rsidR="008F778B" w:rsidRPr="00875B7B" w:rsidRDefault="008F778B" w:rsidP="00B91F23">
            <w:pPr>
              <w:pStyle w:val="Tablehead"/>
              <w:rPr>
                <w:rFonts w:eastAsia="Arial Unicode MS"/>
              </w:rPr>
            </w:pPr>
            <w:r w:rsidRPr="00875B7B">
              <w:t>Azimuth</w:t>
            </w:r>
          </w:p>
        </w:tc>
        <w:tc>
          <w:tcPr>
            <w:tcW w:w="636" w:type="dxa"/>
          </w:tcPr>
          <w:p w:rsidR="008F778B" w:rsidRPr="00875B7B" w:rsidRDefault="008F778B" w:rsidP="00B91F23">
            <w:pPr>
              <w:pStyle w:val="Tablehead"/>
            </w:pPr>
          </w:p>
        </w:tc>
        <w:tc>
          <w:tcPr>
            <w:tcW w:w="636" w:type="dxa"/>
          </w:tcPr>
          <w:p w:rsidR="008F778B" w:rsidRPr="00875B7B" w:rsidRDefault="008F778B" w:rsidP="00B91F23">
            <w:pPr>
              <w:pStyle w:val="Tablehead"/>
            </w:pPr>
          </w:p>
        </w:tc>
        <w:tc>
          <w:tcPr>
            <w:tcW w:w="759" w:type="dxa"/>
          </w:tcPr>
          <w:p w:rsidR="008F778B" w:rsidRPr="00875B7B" w:rsidRDefault="008F778B" w:rsidP="00B91F23">
            <w:pPr>
              <w:pStyle w:val="Tablehead"/>
              <w:rPr>
                <w:rFonts w:eastAsia="Arial Unicode MS"/>
              </w:rPr>
            </w:pPr>
            <w:r w:rsidRPr="00875B7B">
              <w:t>DF</w:t>
            </w:r>
          </w:p>
        </w:tc>
        <w:tc>
          <w:tcPr>
            <w:tcW w:w="759" w:type="dxa"/>
          </w:tcPr>
          <w:p w:rsidR="008F778B" w:rsidRPr="00875B7B" w:rsidRDefault="008F778B" w:rsidP="00B91F23">
            <w:pPr>
              <w:pStyle w:val="Tablehead"/>
              <w:rPr>
                <w:rFonts w:eastAsia="Arial Unicode MS"/>
              </w:rPr>
            </w:pPr>
            <w:r w:rsidRPr="00875B7B">
              <w:sym w:font="Symbol" w:char="F044"/>
            </w:r>
          </w:p>
        </w:tc>
        <w:tc>
          <w:tcPr>
            <w:tcW w:w="758" w:type="dxa"/>
          </w:tcPr>
          <w:p w:rsidR="008F778B" w:rsidRPr="00875B7B" w:rsidRDefault="008F778B" w:rsidP="00B91F23">
            <w:pPr>
              <w:pStyle w:val="Tablehead"/>
              <w:rPr>
                <w:rFonts w:eastAsia="Arial Unicode MS"/>
              </w:rPr>
            </w:pPr>
            <w:r w:rsidRPr="00875B7B">
              <w:t>DF</w:t>
            </w:r>
          </w:p>
        </w:tc>
        <w:tc>
          <w:tcPr>
            <w:tcW w:w="758" w:type="dxa"/>
          </w:tcPr>
          <w:p w:rsidR="008F778B" w:rsidRPr="00875B7B" w:rsidRDefault="008F778B" w:rsidP="00B91F23">
            <w:pPr>
              <w:pStyle w:val="Tablehead"/>
              <w:rPr>
                <w:rFonts w:eastAsia="Arial Unicode MS"/>
              </w:rPr>
            </w:pPr>
            <w:r w:rsidRPr="00875B7B">
              <w:sym w:font="Symbol" w:char="F044"/>
            </w:r>
          </w:p>
        </w:tc>
        <w:tc>
          <w:tcPr>
            <w:tcW w:w="758" w:type="dxa"/>
          </w:tcPr>
          <w:p w:rsidR="008F778B" w:rsidRPr="00875B7B" w:rsidRDefault="008F778B" w:rsidP="00B91F23">
            <w:pPr>
              <w:pStyle w:val="Tablehead"/>
              <w:rPr>
                <w:rFonts w:eastAsia="Arial Unicode MS"/>
              </w:rPr>
            </w:pPr>
            <w:r w:rsidRPr="00875B7B">
              <w:t>DF</w:t>
            </w:r>
          </w:p>
        </w:tc>
        <w:tc>
          <w:tcPr>
            <w:tcW w:w="758" w:type="dxa"/>
          </w:tcPr>
          <w:p w:rsidR="008F778B" w:rsidRPr="00875B7B" w:rsidRDefault="008F778B" w:rsidP="00B91F23">
            <w:pPr>
              <w:pStyle w:val="Tablehead"/>
              <w:rPr>
                <w:rFonts w:eastAsia="Arial Unicode MS"/>
              </w:rPr>
            </w:pPr>
            <w:r w:rsidRPr="00875B7B">
              <w:sym w:font="Symbol" w:char="F044"/>
            </w:r>
          </w:p>
        </w:tc>
        <w:tc>
          <w:tcPr>
            <w:tcW w:w="337" w:type="dxa"/>
          </w:tcPr>
          <w:p w:rsidR="008F778B" w:rsidRPr="00875B7B" w:rsidRDefault="008F778B" w:rsidP="00B91F23">
            <w:pPr>
              <w:pStyle w:val="Tablehead"/>
              <w:rPr>
                <w:rFonts w:eastAsia="Arial Unicode MS"/>
              </w:rPr>
            </w:pPr>
          </w:p>
        </w:tc>
        <w:tc>
          <w:tcPr>
            <w:tcW w:w="758" w:type="dxa"/>
          </w:tcPr>
          <w:p w:rsidR="008F778B" w:rsidRPr="00875B7B" w:rsidRDefault="008F778B" w:rsidP="00B91F23">
            <w:pPr>
              <w:pStyle w:val="Tablehead"/>
              <w:rPr>
                <w:rFonts w:eastAsia="Arial Unicode MS"/>
              </w:rPr>
            </w:pPr>
            <w:r w:rsidRPr="00875B7B">
              <w:t>DF</w:t>
            </w:r>
          </w:p>
        </w:tc>
        <w:tc>
          <w:tcPr>
            <w:tcW w:w="758" w:type="dxa"/>
          </w:tcPr>
          <w:p w:rsidR="008F778B" w:rsidRPr="00875B7B" w:rsidRDefault="008F778B" w:rsidP="00B91F23">
            <w:pPr>
              <w:pStyle w:val="Tablehead"/>
              <w:rPr>
                <w:rFonts w:eastAsia="Arial Unicode MS"/>
              </w:rPr>
            </w:pPr>
            <w:r w:rsidRPr="00875B7B">
              <w:sym w:font="Symbol" w:char="F044"/>
            </w:r>
          </w:p>
        </w:tc>
      </w:tr>
      <w:tr w:rsidR="008F778B" w:rsidRPr="00875B7B" w:rsidTr="004975B4">
        <w:trPr>
          <w:trHeight w:val="255"/>
        </w:trPr>
        <w:tc>
          <w:tcPr>
            <w:tcW w:w="851" w:type="dxa"/>
            <w:noWrap/>
          </w:tcPr>
          <w:p w:rsidR="008F778B" w:rsidRPr="00875B7B" w:rsidRDefault="008F778B" w:rsidP="00B91F23">
            <w:pPr>
              <w:pStyle w:val="Tabletext"/>
              <w:jc w:val="center"/>
              <w:rPr>
                <w:rFonts w:eastAsia="Arial Unicode MS"/>
              </w:rPr>
            </w:pPr>
            <w:r w:rsidRPr="00875B7B">
              <w:t>1</w:t>
            </w:r>
          </w:p>
        </w:tc>
        <w:tc>
          <w:tcPr>
            <w:tcW w:w="1134" w:type="dxa"/>
            <w:vMerge w:val="restart"/>
            <w:noWrap/>
          </w:tcPr>
          <w:p w:rsidR="008F778B" w:rsidRPr="00875B7B" w:rsidRDefault="008F778B" w:rsidP="00B91F23">
            <w:pPr>
              <w:pStyle w:val="Tabletext"/>
              <w:jc w:val="center"/>
              <w:rPr>
                <w:rFonts w:eastAsia="Arial Unicode MS"/>
              </w:rPr>
            </w:pPr>
            <w:r w:rsidRPr="00875B7B">
              <w:t>0°</w:t>
            </w:r>
          </w:p>
          <w:p w:rsidR="008F778B" w:rsidRPr="00875B7B" w:rsidRDefault="008F778B" w:rsidP="00B91F23">
            <w:pPr>
              <w:pStyle w:val="Tabletext"/>
              <w:jc w:val="center"/>
              <w:rPr>
                <w:rFonts w:eastAsia="Arial Unicode MS"/>
              </w:rPr>
            </w:pPr>
          </w:p>
          <w:p w:rsidR="008F778B" w:rsidRPr="00875B7B" w:rsidRDefault="008F778B" w:rsidP="00B91F23">
            <w:pPr>
              <w:pStyle w:val="Tabletext"/>
              <w:jc w:val="center"/>
              <w:rPr>
                <w:rFonts w:eastAsia="Arial Unicode MS"/>
              </w:rPr>
            </w:pPr>
          </w:p>
        </w:tc>
        <w:tc>
          <w:tcPr>
            <w:tcW w:w="636" w:type="dxa"/>
            <w:vMerge w:val="restart"/>
          </w:tcPr>
          <w:p w:rsidR="008F778B" w:rsidRPr="00875B7B" w:rsidRDefault="008F778B" w:rsidP="00B91F23">
            <w:pPr>
              <w:pStyle w:val="Tabletext"/>
              <w:jc w:val="center"/>
              <w:rPr>
                <w:rFonts w:eastAsia="Arial Unicode MS"/>
              </w:rPr>
            </w:pPr>
            <w:r w:rsidRPr="00875B7B">
              <w:rPr>
                <w:rFonts w:eastAsia="Arial Unicode MS"/>
              </w:rPr>
              <w:t>20°</w:t>
            </w:r>
          </w:p>
        </w:tc>
        <w:tc>
          <w:tcPr>
            <w:tcW w:w="636" w:type="dxa"/>
          </w:tcPr>
          <w:p w:rsidR="008F778B" w:rsidRPr="00875B7B" w:rsidRDefault="008F778B" w:rsidP="00B91F23">
            <w:pPr>
              <w:pStyle w:val="Tabletext"/>
              <w:jc w:val="center"/>
              <w:rPr>
                <w:rFonts w:eastAsia="Arial Unicode MS"/>
              </w:rPr>
            </w:pPr>
            <w:r w:rsidRPr="00875B7B">
              <w:rPr>
                <w:rFonts w:eastAsia="Arial Unicode MS"/>
              </w:rPr>
              <w:t>0°</w:t>
            </w:r>
          </w:p>
        </w:tc>
        <w:tc>
          <w:tcPr>
            <w:tcW w:w="759" w:type="dxa"/>
            <w:noWrap/>
          </w:tcPr>
          <w:p w:rsidR="008F778B" w:rsidRPr="00875B7B" w:rsidRDefault="008F778B" w:rsidP="00B91F23">
            <w:pPr>
              <w:pStyle w:val="Tabletext"/>
              <w:jc w:val="center"/>
              <w:rPr>
                <w:rFonts w:eastAsia="Arial Unicode MS"/>
              </w:rPr>
            </w:pPr>
          </w:p>
        </w:tc>
        <w:tc>
          <w:tcPr>
            <w:tcW w:w="759"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337"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r>
      <w:tr w:rsidR="008F778B" w:rsidRPr="00875B7B" w:rsidTr="004975B4">
        <w:trPr>
          <w:trHeight w:val="255"/>
        </w:trPr>
        <w:tc>
          <w:tcPr>
            <w:tcW w:w="851" w:type="dxa"/>
            <w:noWrap/>
          </w:tcPr>
          <w:p w:rsidR="008F778B" w:rsidRPr="00875B7B" w:rsidRDefault="008F778B" w:rsidP="00B91F23">
            <w:pPr>
              <w:pStyle w:val="Tabletext"/>
              <w:jc w:val="center"/>
              <w:rPr>
                <w:rFonts w:eastAsia="Arial Unicode MS"/>
              </w:rPr>
            </w:pPr>
            <w:r w:rsidRPr="00875B7B">
              <w:t>2</w:t>
            </w:r>
          </w:p>
        </w:tc>
        <w:tc>
          <w:tcPr>
            <w:tcW w:w="1134" w:type="dxa"/>
            <w:vMerge/>
            <w:noWrap/>
          </w:tcPr>
          <w:p w:rsidR="008F778B" w:rsidRPr="00875B7B" w:rsidRDefault="008F778B" w:rsidP="00B91F23">
            <w:pPr>
              <w:pStyle w:val="Tabletext"/>
              <w:jc w:val="center"/>
              <w:rPr>
                <w:rFonts w:eastAsia="Arial Unicode MS"/>
              </w:rPr>
            </w:pPr>
          </w:p>
        </w:tc>
        <w:tc>
          <w:tcPr>
            <w:tcW w:w="636" w:type="dxa"/>
            <w:vMerge/>
          </w:tcPr>
          <w:p w:rsidR="008F778B" w:rsidRPr="00875B7B" w:rsidRDefault="008F778B" w:rsidP="00B91F23">
            <w:pPr>
              <w:pStyle w:val="Tabletext"/>
              <w:jc w:val="center"/>
              <w:rPr>
                <w:rFonts w:eastAsia="Arial Unicode MS"/>
              </w:rPr>
            </w:pPr>
          </w:p>
        </w:tc>
        <w:tc>
          <w:tcPr>
            <w:tcW w:w="636" w:type="dxa"/>
          </w:tcPr>
          <w:p w:rsidR="008F778B" w:rsidRPr="00875B7B" w:rsidRDefault="008F778B" w:rsidP="00B91F23">
            <w:pPr>
              <w:pStyle w:val="Tabletext"/>
              <w:jc w:val="center"/>
              <w:rPr>
                <w:rFonts w:eastAsia="Arial Unicode MS"/>
              </w:rPr>
            </w:pPr>
            <w:r w:rsidRPr="00875B7B">
              <w:rPr>
                <w:rFonts w:eastAsia="Arial Unicode MS"/>
              </w:rPr>
              <w:t>90°</w:t>
            </w:r>
          </w:p>
        </w:tc>
        <w:tc>
          <w:tcPr>
            <w:tcW w:w="759" w:type="dxa"/>
            <w:noWrap/>
          </w:tcPr>
          <w:p w:rsidR="008F778B" w:rsidRPr="00875B7B" w:rsidRDefault="008F778B" w:rsidP="00B91F23">
            <w:pPr>
              <w:pStyle w:val="Tabletext"/>
              <w:jc w:val="center"/>
              <w:rPr>
                <w:rFonts w:eastAsia="Arial Unicode MS"/>
              </w:rPr>
            </w:pPr>
          </w:p>
        </w:tc>
        <w:tc>
          <w:tcPr>
            <w:tcW w:w="759"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337"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r>
      <w:tr w:rsidR="008F778B" w:rsidRPr="00875B7B" w:rsidTr="004975B4">
        <w:trPr>
          <w:trHeight w:val="255"/>
        </w:trPr>
        <w:tc>
          <w:tcPr>
            <w:tcW w:w="851" w:type="dxa"/>
            <w:noWrap/>
          </w:tcPr>
          <w:p w:rsidR="008F778B" w:rsidRPr="00875B7B" w:rsidRDefault="008F778B" w:rsidP="00B91F23">
            <w:pPr>
              <w:pStyle w:val="Tabletext"/>
              <w:jc w:val="center"/>
              <w:rPr>
                <w:rFonts w:eastAsia="Arial Unicode MS"/>
              </w:rPr>
            </w:pPr>
            <w:r w:rsidRPr="00875B7B">
              <w:t>3</w:t>
            </w:r>
          </w:p>
        </w:tc>
        <w:tc>
          <w:tcPr>
            <w:tcW w:w="1134" w:type="dxa"/>
            <w:vMerge/>
            <w:noWrap/>
          </w:tcPr>
          <w:p w:rsidR="008F778B" w:rsidRPr="00875B7B" w:rsidRDefault="008F778B" w:rsidP="00B91F23">
            <w:pPr>
              <w:pStyle w:val="Tabletext"/>
              <w:jc w:val="center"/>
              <w:rPr>
                <w:rFonts w:eastAsia="Arial Unicode MS"/>
              </w:rPr>
            </w:pPr>
          </w:p>
        </w:tc>
        <w:tc>
          <w:tcPr>
            <w:tcW w:w="636" w:type="dxa"/>
            <w:vMerge/>
          </w:tcPr>
          <w:p w:rsidR="008F778B" w:rsidRPr="00875B7B" w:rsidRDefault="008F778B" w:rsidP="00B91F23">
            <w:pPr>
              <w:pStyle w:val="Tabletext"/>
              <w:jc w:val="center"/>
              <w:rPr>
                <w:rFonts w:eastAsia="Arial Unicode MS"/>
              </w:rPr>
            </w:pPr>
          </w:p>
        </w:tc>
        <w:tc>
          <w:tcPr>
            <w:tcW w:w="636" w:type="dxa"/>
          </w:tcPr>
          <w:p w:rsidR="008F778B" w:rsidRPr="00875B7B" w:rsidRDefault="008F778B" w:rsidP="00B91F23">
            <w:pPr>
              <w:pStyle w:val="Tabletext"/>
              <w:jc w:val="center"/>
              <w:rPr>
                <w:rFonts w:eastAsia="Arial Unicode MS"/>
              </w:rPr>
            </w:pPr>
            <w:r w:rsidRPr="00875B7B">
              <w:rPr>
                <w:rFonts w:eastAsia="Arial Unicode MS"/>
              </w:rPr>
              <w:t>200°</w:t>
            </w:r>
          </w:p>
        </w:tc>
        <w:tc>
          <w:tcPr>
            <w:tcW w:w="759" w:type="dxa"/>
            <w:noWrap/>
          </w:tcPr>
          <w:p w:rsidR="008F778B" w:rsidRPr="00875B7B" w:rsidRDefault="008F778B" w:rsidP="00B91F23">
            <w:pPr>
              <w:pStyle w:val="Tabletext"/>
              <w:jc w:val="center"/>
              <w:rPr>
                <w:rFonts w:eastAsia="Arial Unicode MS"/>
              </w:rPr>
            </w:pPr>
          </w:p>
        </w:tc>
        <w:tc>
          <w:tcPr>
            <w:tcW w:w="759"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337"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r>
      <w:tr w:rsidR="008F778B" w:rsidRPr="00875B7B" w:rsidTr="004975B4">
        <w:trPr>
          <w:trHeight w:val="255"/>
        </w:trPr>
        <w:tc>
          <w:tcPr>
            <w:tcW w:w="851" w:type="dxa"/>
            <w:noWrap/>
          </w:tcPr>
          <w:p w:rsidR="008F778B" w:rsidRPr="00875B7B" w:rsidRDefault="008F778B" w:rsidP="00B91F23">
            <w:pPr>
              <w:pStyle w:val="Tabletext"/>
              <w:jc w:val="center"/>
              <w:rPr>
                <w:rFonts w:eastAsia="Arial Unicode MS"/>
              </w:rPr>
            </w:pPr>
          </w:p>
        </w:tc>
        <w:tc>
          <w:tcPr>
            <w:tcW w:w="1134" w:type="dxa"/>
            <w:vMerge/>
            <w:noWrap/>
          </w:tcPr>
          <w:p w:rsidR="008F778B" w:rsidRPr="00875B7B" w:rsidRDefault="008F778B" w:rsidP="00B91F23">
            <w:pPr>
              <w:pStyle w:val="Tabletext"/>
              <w:jc w:val="center"/>
              <w:rPr>
                <w:rFonts w:eastAsia="Arial Unicode MS"/>
              </w:rPr>
            </w:pPr>
          </w:p>
        </w:tc>
        <w:tc>
          <w:tcPr>
            <w:tcW w:w="636" w:type="dxa"/>
            <w:vMerge w:val="restart"/>
          </w:tcPr>
          <w:p w:rsidR="008F778B" w:rsidRPr="00875B7B" w:rsidRDefault="008F778B" w:rsidP="00B91F23">
            <w:pPr>
              <w:pStyle w:val="Tabletext"/>
              <w:jc w:val="center"/>
              <w:rPr>
                <w:rFonts w:eastAsia="Arial Unicode MS"/>
              </w:rPr>
            </w:pPr>
            <w:r w:rsidRPr="00875B7B">
              <w:rPr>
                <w:rFonts w:eastAsia="Arial Unicode MS"/>
              </w:rPr>
              <w:t>60°</w:t>
            </w:r>
          </w:p>
        </w:tc>
        <w:tc>
          <w:tcPr>
            <w:tcW w:w="636" w:type="dxa"/>
          </w:tcPr>
          <w:p w:rsidR="008F778B" w:rsidRPr="00875B7B" w:rsidRDefault="008F778B" w:rsidP="00B91F23">
            <w:pPr>
              <w:pStyle w:val="Tabletext"/>
              <w:jc w:val="center"/>
              <w:rPr>
                <w:rFonts w:eastAsia="Arial Unicode MS"/>
              </w:rPr>
            </w:pPr>
            <w:r w:rsidRPr="00875B7B">
              <w:rPr>
                <w:rFonts w:eastAsia="Arial Unicode MS"/>
              </w:rPr>
              <w:t>0°</w:t>
            </w:r>
          </w:p>
        </w:tc>
        <w:tc>
          <w:tcPr>
            <w:tcW w:w="759" w:type="dxa"/>
            <w:noWrap/>
          </w:tcPr>
          <w:p w:rsidR="008F778B" w:rsidRPr="00875B7B" w:rsidRDefault="008F778B" w:rsidP="00B91F23">
            <w:pPr>
              <w:pStyle w:val="Tabletext"/>
              <w:jc w:val="center"/>
              <w:rPr>
                <w:rFonts w:eastAsia="Arial Unicode MS"/>
              </w:rPr>
            </w:pPr>
          </w:p>
        </w:tc>
        <w:tc>
          <w:tcPr>
            <w:tcW w:w="759"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337"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r>
      <w:tr w:rsidR="008F778B" w:rsidRPr="00875B7B" w:rsidTr="004975B4">
        <w:trPr>
          <w:trHeight w:val="255"/>
        </w:trPr>
        <w:tc>
          <w:tcPr>
            <w:tcW w:w="851" w:type="dxa"/>
            <w:noWrap/>
          </w:tcPr>
          <w:p w:rsidR="008F778B" w:rsidRPr="00875B7B" w:rsidRDefault="008F778B" w:rsidP="00B91F23">
            <w:pPr>
              <w:pStyle w:val="Tabletext"/>
              <w:jc w:val="center"/>
              <w:rPr>
                <w:rFonts w:eastAsia="Arial Unicode MS"/>
              </w:rPr>
            </w:pPr>
          </w:p>
        </w:tc>
        <w:tc>
          <w:tcPr>
            <w:tcW w:w="1134" w:type="dxa"/>
            <w:vMerge/>
            <w:noWrap/>
          </w:tcPr>
          <w:p w:rsidR="008F778B" w:rsidRPr="00875B7B" w:rsidRDefault="008F778B" w:rsidP="00B91F23">
            <w:pPr>
              <w:pStyle w:val="Tabletext"/>
              <w:jc w:val="center"/>
              <w:rPr>
                <w:rFonts w:eastAsia="Arial Unicode MS"/>
              </w:rPr>
            </w:pPr>
          </w:p>
        </w:tc>
        <w:tc>
          <w:tcPr>
            <w:tcW w:w="636" w:type="dxa"/>
            <w:vMerge/>
          </w:tcPr>
          <w:p w:rsidR="008F778B" w:rsidRPr="00875B7B" w:rsidRDefault="008F778B" w:rsidP="00B91F23">
            <w:pPr>
              <w:pStyle w:val="Tabletext"/>
              <w:jc w:val="center"/>
              <w:rPr>
                <w:rFonts w:eastAsia="Arial Unicode MS"/>
              </w:rPr>
            </w:pPr>
          </w:p>
        </w:tc>
        <w:tc>
          <w:tcPr>
            <w:tcW w:w="636" w:type="dxa"/>
          </w:tcPr>
          <w:p w:rsidR="008F778B" w:rsidRPr="00875B7B" w:rsidRDefault="008F778B" w:rsidP="00B91F23">
            <w:pPr>
              <w:pStyle w:val="Tabletext"/>
              <w:jc w:val="center"/>
              <w:rPr>
                <w:rFonts w:eastAsia="Arial Unicode MS"/>
              </w:rPr>
            </w:pPr>
            <w:r w:rsidRPr="00875B7B">
              <w:rPr>
                <w:rFonts w:eastAsia="Arial Unicode MS"/>
              </w:rPr>
              <w:t>90°</w:t>
            </w:r>
          </w:p>
        </w:tc>
        <w:tc>
          <w:tcPr>
            <w:tcW w:w="759" w:type="dxa"/>
            <w:noWrap/>
          </w:tcPr>
          <w:p w:rsidR="008F778B" w:rsidRPr="00875B7B" w:rsidRDefault="008F778B" w:rsidP="00B91F23">
            <w:pPr>
              <w:pStyle w:val="Tabletext"/>
              <w:jc w:val="center"/>
              <w:rPr>
                <w:rFonts w:eastAsia="Arial Unicode MS"/>
              </w:rPr>
            </w:pPr>
          </w:p>
        </w:tc>
        <w:tc>
          <w:tcPr>
            <w:tcW w:w="759"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337"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r>
      <w:tr w:rsidR="008F778B" w:rsidRPr="00875B7B" w:rsidTr="004975B4">
        <w:trPr>
          <w:trHeight w:val="255"/>
        </w:trPr>
        <w:tc>
          <w:tcPr>
            <w:tcW w:w="851" w:type="dxa"/>
            <w:noWrap/>
          </w:tcPr>
          <w:p w:rsidR="008F778B" w:rsidRPr="00875B7B" w:rsidRDefault="008F778B" w:rsidP="00B91F23">
            <w:pPr>
              <w:pStyle w:val="Tabletext"/>
              <w:jc w:val="center"/>
              <w:rPr>
                <w:rFonts w:eastAsia="Arial Unicode MS"/>
              </w:rPr>
            </w:pPr>
          </w:p>
        </w:tc>
        <w:tc>
          <w:tcPr>
            <w:tcW w:w="1134" w:type="dxa"/>
            <w:vMerge/>
            <w:noWrap/>
          </w:tcPr>
          <w:p w:rsidR="008F778B" w:rsidRPr="00875B7B" w:rsidRDefault="008F778B" w:rsidP="00B91F23">
            <w:pPr>
              <w:pStyle w:val="Tabletext"/>
              <w:jc w:val="center"/>
              <w:rPr>
                <w:rFonts w:eastAsia="Arial Unicode MS"/>
              </w:rPr>
            </w:pPr>
          </w:p>
        </w:tc>
        <w:tc>
          <w:tcPr>
            <w:tcW w:w="636" w:type="dxa"/>
            <w:vMerge/>
          </w:tcPr>
          <w:p w:rsidR="008F778B" w:rsidRPr="00875B7B" w:rsidRDefault="008F778B" w:rsidP="00B91F23">
            <w:pPr>
              <w:pStyle w:val="Tabletext"/>
              <w:jc w:val="center"/>
              <w:rPr>
                <w:rFonts w:eastAsia="Arial Unicode MS"/>
              </w:rPr>
            </w:pPr>
          </w:p>
        </w:tc>
        <w:tc>
          <w:tcPr>
            <w:tcW w:w="636" w:type="dxa"/>
          </w:tcPr>
          <w:p w:rsidR="008F778B" w:rsidRPr="00875B7B" w:rsidRDefault="008F778B" w:rsidP="00B91F23">
            <w:pPr>
              <w:pStyle w:val="Tabletext"/>
              <w:jc w:val="center"/>
              <w:rPr>
                <w:rFonts w:eastAsia="Arial Unicode MS"/>
              </w:rPr>
            </w:pPr>
            <w:r w:rsidRPr="00875B7B">
              <w:rPr>
                <w:rFonts w:eastAsia="Arial Unicode MS"/>
              </w:rPr>
              <w:t>200°</w:t>
            </w:r>
          </w:p>
        </w:tc>
        <w:tc>
          <w:tcPr>
            <w:tcW w:w="759" w:type="dxa"/>
            <w:noWrap/>
          </w:tcPr>
          <w:p w:rsidR="008F778B" w:rsidRPr="00875B7B" w:rsidRDefault="008F778B" w:rsidP="00B91F23">
            <w:pPr>
              <w:pStyle w:val="Tabletext"/>
              <w:jc w:val="center"/>
              <w:rPr>
                <w:rFonts w:eastAsia="Arial Unicode MS"/>
              </w:rPr>
            </w:pPr>
          </w:p>
        </w:tc>
        <w:tc>
          <w:tcPr>
            <w:tcW w:w="759"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337"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r>
      <w:tr w:rsidR="008F778B" w:rsidRPr="00875B7B" w:rsidTr="004975B4">
        <w:trPr>
          <w:trHeight w:val="255"/>
        </w:trPr>
        <w:tc>
          <w:tcPr>
            <w:tcW w:w="851" w:type="dxa"/>
            <w:noWrap/>
          </w:tcPr>
          <w:p w:rsidR="008F778B" w:rsidRPr="00875B7B" w:rsidRDefault="008F778B" w:rsidP="00B91F23">
            <w:pPr>
              <w:pStyle w:val="Tabletext"/>
              <w:jc w:val="center"/>
              <w:rPr>
                <w:rFonts w:eastAsia="Arial Unicode MS"/>
              </w:rPr>
            </w:pPr>
          </w:p>
        </w:tc>
        <w:tc>
          <w:tcPr>
            <w:tcW w:w="1134" w:type="dxa"/>
            <w:vMerge/>
            <w:noWrap/>
          </w:tcPr>
          <w:p w:rsidR="008F778B" w:rsidRPr="00875B7B" w:rsidRDefault="008F778B" w:rsidP="00B91F23">
            <w:pPr>
              <w:pStyle w:val="Tabletext"/>
              <w:jc w:val="center"/>
              <w:rPr>
                <w:rFonts w:eastAsia="Arial Unicode MS"/>
              </w:rPr>
            </w:pPr>
          </w:p>
        </w:tc>
        <w:tc>
          <w:tcPr>
            <w:tcW w:w="636" w:type="dxa"/>
            <w:vMerge w:val="restart"/>
          </w:tcPr>
          <w:p w:rsidR="008F778B" w:rsidRPr="00875B7B" w:rsidRDefault="008F778B" w:rsidP="00B91F23">
            <w:pPr>
              <w:pStyle w:val="Tabletext"/>
              <w:jc w:val="center"/>
              <w:rPr>
                <w:rFonts w:eastAsia="Arial Unicode MS"/>
              </w:rPr>
            </w:pPr>
            <w:r w:rsidRPr="00875B7B">
              <w:rPr>
                <w:rFonts w:eastAsia="Arial Unicode MS"/>
              </w:rPr>
              <w:t>90°</w:t>
            </w:r>
          </w:p>
        </w:tc>
        <w:tc>
          <w:tcPr>
            <w:tcW w:w="636" w:type="dxa"/>
          </w:tcPr>
          <w:p w:rsidR="008F778B" w:rsidRPr="00875B7B" w:rsidRDefault="008F778B" w:rsidP="00B91F23">
            <w:pPr>
              <w:pStyle w:val="Tabletext"/>
              <w:jc w:val="center"/>
              <w:rPr>
                <w:rFonts w:eastAsia="Arial Unicode MS"/>
              </w:rPr>
            </w:pPr>
            <w:r w:rsidRPr="00875B7B">
              <w:rPr>
                <w:rFonts w:eastAsia="Arial Unicode MS"/>
              </w:rPr>
              <w:t>0°</w:t>
            </w:r>
          </w:p>
        </w:tc>
        <w:tc>
          <w:tcPr>
            <w:tcW w:w="759" w:type="dxa"/>
            <w:noWrap/>
          </w:tcPr>
          <w:p w:rsidR="008F778B" w:rsidRPr="00875B7B" w:rsidRDefault="008F778B" w:rsidP="00B91F23">
            <w:pPr>
              <w:pStyle w:val="Tabletext"/>
              <w:jc w:val="center"/>
              <w:rPr>
                <w:rFonts w:eastAsia="Arial Unicode MS"/>
              </w:rPr>
            </w:pPr>
          </w:p>
        </w:tc>
        <w:tc>
          <w:tcPr>
            <w:tcW w:w="759"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337"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r>
      <w:tr w:rsidR="008F778B" w:rsidRPr="00875B7B" w:rsidTr="004975B4">
        <w:trPr>
          <w:trHeight w:val="255"/>
        </w:trPr>
        <w:tc>
          <w:tcPr>
            <w:tcW w:w="851" w:type="dxa"/>
            <w:noWrap/>
          </w:tcPr>
          <w:p w:rsidR="008F778B" w:rsidRPr="00875B7B" w:rsidRDefault="008F778B" w:rsidP="00B91F23">
            <w:pPr>
              <w:pStyle w:val="Tabletext"/>
              <w:jc w:val="center"/>
              <w:rPr>
                <w:rFonts w:eastAsia="Arial Unicode MS"/>
              </w:rPr>
            </w:pPr>
          </w:p>
        </w:tc>
        <w:tc>
          <w:tcPr>
            <w:tcW w:w="1134" w:type="dxa"/>
            <w:vMerge/>
            <w:noWrap/>
          </w:tcPr>
          <w:p w:rsidR="008F778B" w:rsidRPr="00875B7B" w:rsidRDefault="008F778B" w:rsidP="00B91F23">
            <w:pPr>
              <w:pStyle w:val="Tabletext"/>
              <w:jc w:val="center"/>
              <w:rPr>
                <w:rFonts w:eastAsia="Arial Unicode MS"/>
              </w:rPr>
            </w:pPr>
          </w:p>
        </w:tc>
        <w:tc>
          <w:tcPr>
            <w:tcW w:w="636" w:type="dxa"/>
            <w:vMerge/>
          </w:tcPr>
          <w:p w:rsidR="008F778B" w:rsidRPr="00875B7B" w:rsidRDefault="008F778B" w:rsidP="00B91F23">
            <w:pPr>
              <w:pStyle w:val="Tabletext"/>
              <w:jc w:val="center"/>
              <w:rPr>
                <w:rFonts w:eastAsia="Arial Unicode MS"/>
              </w:rPr>
            </w:pPr>
          </w:p>
        </w:tc>
        <w:tc>
          <w:tcPr>
            <w:tcW w:w="636" w:type="dxa"/>
          </w:tcPr>
          <w:p w:rsidR="008F778B" w:rsidRPr="00875B7B" w:rsidRDefault="008F778B" w:rsidP="00B91F23">
            <w:pPr>
              <w:pStyle w:val="Tabletext"/>
              <w:jc w:val="center"/>
              <w:rPr>
                <w:rFonts w:eastAsia="Arial Unicode MS"/>
              </w:rPr>
            </w:pPr>
            <w:r w:rsidRPr="00875B7B">
              <w:rPr>
                <w:rFonts w:eastAsia="Arial Unicode MS"/>
              </w:rPr>
              <w:t>90°</w:t>
            </w:r>
          </w:p>
        </w:tc>
        <w:tc>
          <w:tcPr>
            <w:tcW w:w="759" w:type="dxa"/>
            <w:noWrap/>
          </w:tcPr>
          <w:p w:rsidR="008F778B" w:rsidRPr="00875B7B" w:rsidRDefault="008F778B" w:rsidP="00B91F23">
            <w:pPr>
              <w:pStyle w:val="Tabletext"/>
              <w:jc w:val="center"/>
              <w:rPr>
                <w:rFonts w:eastAsia="Arial Unicode MS"/>
              </w:rPr>
            </w:pPr>
          </w:p>
        </w:tc>
        <w:tc>
          <w:tcPr>
            <w:tcW w:w="759"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337"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r>
      <w:tr w:rsidR="008F778B" w:rsidRPr="00875B7B" w:rsidTr="004975B4">
        <w:trPr>
          <w:trHeight w:val="255"/>
        </w:trPr>
        <w:tc>
          <w:tcPr>
            <w:tcW w:w="851" w:type="dxa"/>
            <w:noWrap/>
          </w:tcPr>
          <w:p w:rsidR="008F778B" w:rsidRPr="00875B7B" w:rsidRDefault="008F778B" w:rsidP="00B91F23">
            <w:pPr>
              <w:pStyle w:val="Tabletext"/>
              <w:jc w:val="center"/>
              <w:rPr>
                <w:rFonts w:eastAsia="Arial Unicode MS"/>
              </w:rPr>
            </w:pPr>
          </w:p>
        </w:tc>
        <w:tc>
          <w:tcPr>
            <w:tcW w:w="1134" w:type="dxa"/>
            <w:vMerge/>
            <w:noWrap/>
          </w:tcPr>
          <w:p w:rsidR="008F778B" w:rsidRPr="00875B7B" w:rsidRDefault="008F778B" w:rsidP="00B91F23">
            <w:pPr>
              <w:pStyle w:val="Tabletext"/>
              <w:jc w:val="center"/>
              <w:rPr>
                <w:rFonts w:eastAsia="Arial Unicode MS"/>
              </w:rPr>
            </w:pPr>
          </w:p>
        </w:tc>
        <w:tc>
          <w:tcPr>
            <w:tcW w:w="636" w:type="dxa"/>
            <w:vMerge/>
          </w:tcPr>
          <w:p w:rsidR="008F778B" w:rsidRPr="00875B7B" w:rsidRDefault="008F778B" w:rsidP="00B91F23">
            <w:pPr>
              <w:pStyle w:val="Tabletext"/>
              <w:jc w:val="center"/>
              <w:rPr>
                <w:rFonts w:eastAsia="Arial Unicode MS"/>
              </w:rPr>
            </w:pPr>
          </w:p>
        </w:tc>
        <w:tc>
          <w:tcPr>
            <w:tcW w:w="636" w:type="dxa"/>
          </w:tcPr>
          <w:p w:rsidR="008F778B" w:rsidRPr="00875B7B" w:rsidRDefault="008F778B" w:rsidP="00B91F23">
            <w:pPr>
              <w:pStyle w:val="Tabletext"/>
              <w:jc w:val="center"/>
              <w:rPr>
                <w:rFonts w:eastAsia="Arial Unicode MS"/>
              </w:rPr>
            </w:pPr>
            <w:r w:rsidRPr="00875B7B">
              <w:rPr>
                <w:rFonts w:eastAsia="Arial Unicode MS"/>
              </w:rPr>
              <w:t>200°</w:t>
            </w:r>
          </w:p>
        </w:tc>
        <w:tc>
          <w:tcPr>
            <w:tcW w:w="759" w:type="dxa"/>
            <w:noWrap/>
          </w:tcPr>
          <w:p w:rsidR="008F778B" w:rsidRPr="00875B7B" w:rsidRDefault="008F778B" w:rsidP="00B91F23">
            <w:pPr>
              <w:pStyle w:val="Tabletext"/>
              <w:jc w:val="center"/>
              <w:rPr>
                <w:rFonts w:eastAsia="Arial Unicode MS"/>
              </w:rPr>
            </w:pPr>
          </w:p>
        </w:tc>
        <w:tc>
          <w:tcPr>
            <w:tcW w:w="759"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337"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p>
        </w:tc>
      </w:tr>
      <w:tr w:rsidR="008F778B" w:rsidRPr="00875B7B" w:rsidTr="004975B4">
        <w:trPr>
          <w:trHeight w:val="255"/>
        </w:trPr>
        <w:tc>
          <w:tcPr>
            <w:tcW w:w="851" w:type="dxa"/>
            <w:noWrap/>
          </w:tcPr>
          <w:p w:rsidR="008F778B" w:rsidRPr="00875B7B" w:rsidRDefault="008F778B" w:rsidP="00B91F23">
            <w:pPr>
              <w:pStyle w:val="Tabletext"/>
              <w:jc w:val="center"/>
              <w:rPr>
                <w:rFonts w:eastAsia="Arial Unicode MS"/>
              </w:rPr>
            </w:pPr>
            <w:r w:rsidRPr="00875B7B">
              <w:rPr>
                <w:rFonts w:eastAsia="Arial Unicode MS"/>
              </w:rPr>
              <w:t>…</w:t>
            </w:r>
          </w:p>
        </w:tc>
        <w:tc>
          <w:tcPr>
            <w:tcW w:w="1134" w:type="dxa"/>
            <w:noWrap/>
          </w:tcPr>
          <w:p w:rsidR="008F778B" w:rsidRPr="00875B7B" w:rsidRDefault="008F778B" w:rsidP="00B91F23">
            <w:pPr>
              <w:pStyle w:val="Tabletext"/>
              <w:jc w:val="center"/>
              <w:rPr>
                <w:rFonts w:eastAsia="Arial Unicode MS"/>
              </w:rPr>
            </w:pPr>
            <w:r w:rsidRPr="00875B7B">
              <w:t>…</w:t>
            </w:r>
          </w:p>
        </w:tc>
        <w:tc>
          <w:tcPr>
            <w:tcW w:w="636" w:type="dxa"/>
          </w:tcPr>
          <w:p w:rsidR="008F778B" w:rsidRPr="00875B7B" w:rsidRDefault="008F778B" w:rsidP="00B91F23">
            <w:pPr>
              <w:pStyle w:val="Tabletext"/>
              <w:jc w:val="center"/>
              <w:rPr>
                <w:rFonts w:eastAsia="Arial Unicode MS"/>
              </w:rPr>
            </w:pPr>
            <w:r w:rsidRPr="00875B7B">
              <w:rPr>
                <w:rFonts w:eastAsia="Arial Unicode MS"/>
              </w:rPr>
              <w:t>…</w:t>
            </w:r>
          </w:p>
        </w:tc>
        <w:tc>
          <w:tcPr>
            <w:tcW w:w="636" w:type="dxa"/>
          </w:tcPr>
          <w:p w:rsidR="008F778B" w:rsidRPr="00875B7B" w:rsidRDefault="008F778B" w:rsidP="00B91F23">
            <w:pPr>
              <w:pStyle w:val="Tabletext"/>
              <w:jc w:val="center"/>
              <w:rPr>
                <w:rFonts w:eastAsia="Arial Unicode MS"/>
              </w:rPr>
            </w:pPr>
            <w:r w:rsidRPr="00875B7B">
              <w:rPr>
                <w:rFonts w:eastAsia="Arial Unicode MS"/>
              </w:rPr>
              <w:t>…</w:t>
            </w:r>
          </w:p>
        </w:tc>
        <w:tc>
          <w:tcPr>
            <w:tcW w:w="759" w:type="dxa"/>
            <w:noWrap/>
          </w:tcPr>
          <w:p w:rsidR="008F778B" w:rsidRPr="00875B7B" w:rsidRDefault="008F778B" w:rsidP="00B91F23">
            <w:pPr>
              <w:pStyle w:val="Tabletext"/>
              <w:jc w:val="center"/>
              <w:rPr>
                <w:rFonts w:eastAsia="Arial Unicode MS"/>
              </w:rPr>
            </w:pPr>
            <w:r w:rsidRPr="00875B7B">
              <w:rPr>
                <w:rFonts w:eastAsia="Arial Unicode MS"/>
              </w:rPr>
              <w:t>…</w:t>
            </w:r>
          </w:p>
        </w:tc>
        <w:tc>
          <w:tcPr>
            <w:tcW w:w="759" w:type="dxa"/>
            <w:noWrap/>
          </w:tcPr>
          <w:p w:rsidR="008F778B" w:rsidRPr="00875B7B" w:rsidRDefault="008F778B" w:rsidP="00B91F23">
            <w:pPr>
              <w:pStyle w:val="Tabletext"/>
              <w:jc w:val="center"/>
              <w:rPr>
                <w:rFonts w:eastAsia="Arial Unicode MS"/>
              </w:rPr>
            </w:pPr>
            <w:r w:rsidRPr="00875B7B">
              <w:rPr>
                <w:rFonts w:eastAsia="Arial Unicode MS"/>
              </w:rPr>
              <w:t>…</w:t>
            </w:r>
          </w:p>
        </w:tc>
        <w:tc>
          <w:tcPr>
            <w:tcW w:w="758" w:type="dxa"/>
            <w:noWrap/>
          </w:tcPr>
          <w:p w:rsidR="008F778B" w:rsidRPr="00875B7B" w:rsidRDefault="008F778B" w:rsidP="00B91F23">
            <w:pPr>
              <w:pStyle w:val="Tabletext"/>
              <w:jc w:val="center"/>
              <w:rPr>
                <w:rFonts w:eastAsia="Arial Unicode MS"/>
              </w:rPr>
            </w:pPr>
            <w:r w:rsidRPr="00875B7B">
              <w:rPr>
                <w:rFonts w:eastAsia="Arial Unicode MS"/>
              </w:rPr>
              <w:t>…</w:t>
            </w:r>
          </w:p>
        </w:tc>
        <w:tc>
          <w:tcPr>
            <w:tcW w:w="758" w:type="dxa"/>
            <w:noWrap/>
          </w:tcPr>
          <w:p w:rsidR="008F778B" w:rsidRPr="00875B7B" w:rsidRDefault="008F778B" w:rsidP="00B91F23">
            <w:pPr>
              <w:pStyle w:val="Tabletext"/>
              <w:jc w:val="center"/>
              <w:rPr>
                <w:rFonts w:eastAsia="Arial Unicode MS"/>
              </w:rPr>
            </w:pPr>
            <w:r w:rsidRPr="00875B7B">
              <w:rPr>
                <w:rFonts w:eastAsia="Arial Unicode MS"/>
              </w:rPr>
              <w:t>…</w:t>
            </w:r>
          </w:p>
        </w:tc>
        <w:tc>
          <w:tcPr>
            <w:tcW w:w="758" w:type="dxa"/>
            <w:noWrap/>
          </w:tcPr>
          <w:p w:rsidR="008F778B" w:rsidRPr="00875B7B" w:rsidRDefault="008F778B" w:rsidP="00B91F23">
            <w:pPr>
              <w:pStyle w:val="Tabletext"/>
              <w:jc w:val="center"/>
              <w:rPr>
                <w:rFonts w:eastAsia="Arial Unicode MS"/>
              </w:rPr>
            </w:pPr>
            <w:r w:rsidRPr="00875B7B">
              <w:rPr>
                <w:rFonts w:eastAsia="Arial Unicode MS"/>
              </w:rPr>
              <w:t>…</w:t>
            </w:r>
          </w:p>
        </w:tc>
        <w:tc>
          <w:tcPr>
            <w:tcW w:w="758" w:type="dxa"/>
            <w:noWrap/>
          </w:tcPr>
          <w:p w:rsidR="008F778B" w:rsidRPr="00875B7B" w:rsidRDefault="008F778B" w:rsidP="00B91F23">
            <w:pPr>
              <w:pStyle w:val="Tabletext"/>
              <w:jc w:val="center"/>
              <w:rPr>
                <w:rFonts w:eastAsia="Arial Unicode MS"/>
              </w:rPr>
            </w:pPr>
            <w:r w:rsidRPr="00875B7B">
              <w:rPr>
                <w:rFonts w:eastAsia="Arial Unicode MS"/>
              </w:rPr>
              <w:t>…</w:t>
            </w:r>
          </w:p>
        </w:tc>
        <w:tc>
          <w:tcPr>
            <w:tcW w:w="337" w:type="dxa"/>
            <w:noWrap/>
          </w:tcPr>
          <w:p w:rsidR="008F778B" w:rsidRPr="00875B7B" w:rsidRDefault="008F778B" w:rsidP="00B91F23">
            <w:pPr>
              <w:pStyle w:val="Tabletext"/>
              <w:jc w:val="center"/>
              <w:rPr>
                <w:rFonts w:eastAsia="Arial Unicode MS"/>
              </w:rPr>
            </w:pPr>
          </w:p>
        </w:tc>
        <w:tc>
          <w:tcPr>
            <w:tcW w:w="758" w:type="dxa"/>
            <w:noWrap/>
          </w:tcPr>
          <w:p w:rsidR="008F778B" w:rsidRPr="00875B7B" w:rsidRDefault="008F778B" w:rsidP="00B91F23">
            <w:pPr>
              <w:pStyle w:val="Tabletext"/>
              <w:jc w:val="center"/>
              <w:rPr>
                <w:rFonts w:eastAsia="Arial Unicode MS"/>
              </w:rPr>
            </w:pPr>
            <w:r w:rsidRPr="00875B7B">
              <w:rPr>
                <w:rFonts w:eastAsia="Arial Unicode MS"/>
              </w:rPr>
              <w:t>…</w:t>
            </w:r>
          </w:p>
        </w:tc>
        <w:tc>
          <w:tcPr>
            <w:tcW w:w="758" w:type="dxa"/>
            <w:noWrap/>
          </w:tcPr>
          <w:p w:rsidR="008F778B" w:rsidRPr="00875B7B" w:rsidRDefault="008F778B" w:rsidP="00B91F23">
            <w:pPr>
              <w:pStyle w:val="Tabletext"/>
              <w:jc w:val="center"/>
              <w:rPr>
                <w:rFonts w:eastAsia="Arial Unicode MS"/>
              </w:rPr>
            </w:pPr>
            <w:r w:rsidRPr="00875B7B">
              <w:rPr>
                <w:rFonts w:eastAsia="Arial Unicode MS"/>
              </w:rPr>
              <w:t>…</w:t>
            </w:r>
          </w:p>
        </w:tc>
      </w:tr>
    </w:tbl>
    <w:p w:rsidR="008F778B" w:rsidRPr="002C3E32" w:rsidRDefault="008F778B" w:rsidP="008F778B">
      <w:pPr>
        <w:jc w:val="both"/>
      </w:pPr>
      <w:r>
        <w:t>Note that</w:t>
      </w:r>
      <w:r w:rsidRPr="00875B7B">
        <w:t xml:space="preserve"> </w:t>
      </w:r>
      <w:r w:rsidRPr="00875B7B">
        <w:rPr>
          <w:szCs w:val="24"/>
        </w:rPr>
        <w:sym w:font="Symbol" w:char="F044"/>
      </w:r>
      <w:r w:rsidRPr="00875B7B">
        <w:t xml:space="preserve"> is</w:t>
      </w:r>
      <w:r>
        <w:t xml:space="preserve"> </w:t>
      </w:r>
      <w:r w:rsidRPr="002C3E32">
        <w:t>the difference between the true azimuth (angle of the transmitter’s test antenna) and the displayed bearing on the DF equipment.</w:t>
      </w:r>
    </w:p>
    <w:p w:rsidR="008F778B" w:rsidRDefault="008F778B" w:rsidP="008F778B">
      <w:pPr>
        <w:jc w:val="both"/>
      </w:pPr>
    </w:p>
    <w:p w:rsidR="008F778B" w:rsidRDefault="008F778B" w:rsidP="00B91F23">
      <w:r w:rsidRPr="00EB7F69">
        <w:lastRenderedPageBreak/>
        <w:t>Example for a sp</w:t>
      </w:r>
      <w:r>
        <w:t>ecification in a data sheet of DF immunity against multi-path propagation conditions</w:t>
      </w:r>
      <w:r w:rsidRPr="00EB7F69">
        <w:t xml:space="preserve">: </w:t>
      </w:r>
    </w:p>
    <w:p w:rsidR="00B91F23" w:rsidRPr="00B91F23" w:rsidRDefault="00B91F23" w:rsidP="00B91F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704"/>
        <w:gridCol w:w="1604"/>
        <w:gridCol w:w="1604"/>
        <w:gridCol w:w="1598"/>
        <w:gridCol w:w="1604"/>
      </w:tblGrid>
      <w:tr w:rsidR="008F778B" w:rsidTr="004975B4">
        <w:tc>
          <w:tcPr>
            <w:tcW w:w="1526" w:type="dxa"/>
          </w:tcPr>
          <w:p w:rsidR="008F778B" w:rsidRPr="00D86F12" w:rsidRDefault="008F778B" w:rsidP="00B91F23">
            <w:pPr>
              <w:pStyle w:val="Tablehead"/>
              <w:rPr>
                <w:lang w:eastAsia="zh-CN"/>
              </w:rPr>
            </w:pPr>
            <w:r w:rsidRPr="00D86F12">
              <w:rPr>
                <w:lang w:eastAsia="zh-CN"/>
              </w:rPr>
              <w:t>Frequency</w:t>
            </w:r>
          </w:p>
        </w:tc>
        <w:tc>
          <w:tcPr>
            <w:tcW w:w="1733" w:type="dxa"/>
          </w:tcPr>
          <w:p w:rsidR="008F778B" w:rsidRDefault="008F778B" w:rsidP="00B91F23">
            <w:pPr>
              <w:pStyle w:val="Tablehead"/>
              <w:rPr>
                <w:lang w:eastAsia="zh-CN"/>
              </w:rPr>
            </w:pPr>
            <w:r>
              <w:rPr>
                <w:lang w:eastAsia="zh-CN"/>
              </w:rPr>
              <w:t>f</w:t>
            </w:r>
            <w:r w:rsidRPr="00D86F12">
              <w:rPr>
                <w:vertAlign w:val="subscript"/>
                <w:lang w:eastAsia="zh-CN"/>
              </w:rPr>
              <w:t>1</w:t>
            </w:r>
          </w:p>
        </w:tc>
        <w:tc>
          <w:tcPr>
            <w:tcW w:w="1630" w:type="dxa"/>
          </w:tcPr>
          <w:p w:rsidR="008F778B" w:rsidRDefault="008F778B" w:rsidP="00B91F23">
            <w:pPr>
              <w:pStyle w:val="Tablehead"/>
              <w:rPr>
                <w:lang w:eastAsia="zh-CN"/>
              </w:rPr>
            </w:pPr>
            <w:r>
              <w:rPr>
                <w:lang w:eastAsia="zh-CN"/>
              </w:rPr>
              <w:t>f</w:t>
            </w:r>
            <w:r w:rsidRPr="00D86F12">
              <w:rPr>
                <w:vertAlign w:val="subscript"/>
                <w:lang w:eastAsia="zh-CN"/>
              </w:rPr>
              <w:t>2</w:t>
            </w:r>
          </w:p>
        </w:tc>
        <w:tc>
          <w:tcPr>
            <w:tcW w:w="1630" w:type="dxa"/>
          </w:tcPr>
          <w:p w:rsidR="008F778B" w:rsidRDefault="008F778B" w:rsidP="00B91F23">
            <w:pPr>
              <w:pStyle w:val="Tablehead"/>
              <w:rPr>
                <w:lang w:eastAsia="zh-CN"/>
              </w:rPr>
            </w:pPr>
            <w:r>
              <w:rPr>
                <w:lang w:eastAsia="zh-CN"/>
              </w:rPr>
              <w:t>f</w:t>
            </w:r>
            <w:r w:rsidRPr="00D86F12">
              <w:rPr>
                <w:vertAlign w:val="subscript"/>
                <w:lang w:eastAsia="zh-CN"/>
              </w:rPr>
              <w:t>3</w:t>
            </w:r>
          </w:p>
        </w:tc>
        <w:tc>
          <w:tcPr>
            <w:tcW w:w="1630" w:type="dxa"/>
          </w:tcPr>
          <w:p w:rsidR="008F778B" w:rsidRDefault="008F778B" w:rsidP="00B91F23">
            <w:pPr>
              <w:pStyle w:val="Tablehead"/>
              <w:rPr>
                <w:lang w:eastAsia="zh-CN"/>
              </w:rPr>
            </w:pPr>
            <w:r>
              <w:rPr>
                <w:lang w:eastAsia="zh-CN"/>
              </w:rPr>
              <w:t>…</w:t>
            </w:r>
          </w:p>
        </w:tc>
        <w:tc>
          <w:tcPr>
            <w:tcW w:w="1630" w:type="dxa"/>
          </w:tcPr>
          <w:p w:rsidR="008F778B" w:rsidRDefault="008F778B" w:rsidP="00B91F23">
            <w:pPr>
              <w:pStyle w:val="Tablehead"/>
              <w:rPr>
                <w:lang w:eastAsia="zh-CN"/>
              </w:rPr>
            </w:pPr>
            <w:r>
              <w:rPr>
                <w:lang w:eastAsia="zh-CN"/>
              </w:rPr>
              <w:t>f</w:t>
            </w:r>
            <w:r w:rsidRPr="00D86F12">
              <w:rPr>
                <w:vertAlign w:val="subscript"/>
                <w:lang w:eastAsia="zh-CN"/>
              </w:rPr>
              <w:t>N</w:t>
            </w:r>
          </w:p>
        </w:tc>
      </w:tr>
      <w:tr w:rsidR="008F778B" w:rsidRPr="008713B8" w:rsidTr="004975B4">
        <w:tc>
          <w:tcPr>
            <w:tcW w:w="1526" w:type="dxa"/>
          </w:tcPr>
          <w:p w:rsidR="008F778B" w:rsidRPr="00D86F12" w:rsidRDefault="008F778B" w:rsidP="00880E84">
            <w:pPr>
              <w:pStyle w:val="Tabletext"/>
              <w:jc w:val="center"/>
              <w:rPr>
                <w:lang w:eastAsia="zh-CN"/>
              </w:rPr>
            </w:pPr>
            <w:r w:rsidRPr="00D86F12">
              <w:rPr>
                <w:lang w:eastAsia="zh-CN"/>
              </w:rPr>
              <w:t>RMS DF error</w:t>
            </w:r>
          </w:p>
        </w:tc>
        <w:tc>
          <w:tcPr>
            <w:tcW w:w="1733" w:type="dxa"/>
          </w:tcPr>
          <w:p w:rsidR="008F778B" w:rsidRDefault="00880E84" w:rsidP="00880E84">
            <w:pPr>
              <w:pStyle w:val="Tabletext"/>
              <w:jc w:val="center"/>
              <w:rPr>
                <w:lang w:eastAsia="zh-CN"/>
              </w:rPr>
            </w:pPr>
            <w:r>
              <w:rPr>
                <w:lang w:eastAsia="zh-CN"/>
              </w:rPr>
              <w:t>RMS DF error at </w:t>
            </w:r>
            <w:r w:rsidR="008F778B">
              <w:rPr>
                <w:lang w:eastAsia="zh-CN"/>
              </w:rPr>
              <w:t>f</w:t>
            </w:r>
            <w:r w:rsidR="008F778B" w:rsidRPr="00D86F12">
              <w:rPr>
                <w:vertAlign w:val="subscript"/>
                <w:lang w:eastAsia="zh-CN"/>
              </w:rPr>
              <w:t>1</w:t>
            </w:r>
          </w:p>
        </w:tc>
        <w:tc>
          <w:tcPr>
            <w:tcW w:w="1630" w:type="dxa"/>
          </w:tcPr>
          <w:p w:rsidR="008F778B" w:rsidRDefault="00880E84" w:rsidP="00880E84">
            <w:pPr>
              <w:pStyle w:val="Tabletext"/>
              <w:jc w:val="center"/>
              <w:rPr>
                <w:lang w:eastAsia="zh-CN"/>
              </w:rPr>
            </w:pPr>
            <w:r>
              <w:rPr>
                <w:lang w:eastAsia="zh-CN"/>
              </w:rPr>
              <w:t>RMS DF error at </w:t>
            </w:r>
            <w:r w:rsidR="008F778B">
              <w:rPr>
                <w:lang w:eastAsia="zh-CN"/>
              </w:rPr>
              <w:t>f</w:t>
            </w:r>
            <w:r w:rsidR="008F778B" w:rsidRPr="00D86F12">
              <w:rPr>
                <w:vertAlign w:val="subscript"/>
                <w:lang w:eastAsia="zh-CN"/>
              </w:rPr>
              <w:t>2</w:t>
            </w:r>
          </w:p>
        </w:tc>
        <w:tc>
          <w:tcPr>
            <w:tcW w:w="1630" w:type="dxa"/>
          </w:tcPr>
          <w:p w:rsidR="008F778B" w:rsidRDefault="00880E84" w:rsidP="00880E84">
            <w:pPr>
              <w:pStyle w:val="Tabletext"/>
              <w:jc w:val="center"/>
              <w:rPr>
                <w:lang w:eastAsia="zh-CN"/>
              </w:rPr>
            </w:pPr>
            <w:r>
              <w:rPr>
                <w:lang w:eastAsia="zh-CN"/>
              </w:rPr>
              <w:t>RMS DF error at </w:t>
            </w:r>
            <w:r w:rsidR="008F778B">
              <w:rPr>
                <w:lang w:eastAsia="zh-CN"/>
              </w:rPr>
              <w:t>f</w:t>
            </w:r>
            <w:r w:rsidR="008F778B" w:rsidRPr="00D86F12">
              <w:rPr>
                <w:vertAlign w:val="subscript"/>
                <w:lang w:eastAsia="zh-CN"/>
              </w:rPr>
              <w:t>3</w:t>
            </w:r>
          </w:p>
        </w:tc>
        <w:tc>
          <w:tcPr>
            <w:tcW w:w="1630" w:type="dxa"/>
          </w:tcPr>
          <w:p w:rsidR="008F778B" w:rsidRDefault="008F778B" w:rsidP="00880E84">
            <w:pPr>
              <w:pStyle w:val="Tabletext"/>
              <w:jc w:val="center"/>
              <w:rPr>
                <w:lang w:eastAsia="zh-CN"/>
              </w:rPr>
            </w:pPr>
            <w:r>
              <w:rPr>
                <w:lang w:eastAsia="zh-CN"/>
              </w:rPr>
              <w:t>…</w:t>
            </w:r>
          </w:p>
        </w:tc>
        <w:tc>
          <w:tcPr>
            <w:tcW w:w="1630" w:type="dxa"/>
          </w:tcPr>
          <w:p w:rsidR="008F778B" w:rsidRPr="00D86F12" w:rsidRDefault="00880E84" w:rsidP="00880E84">
            <w:pPr>
              <w:pStyle w:val="Tabletext"/>
              <w:jc w:val="center"/>
              <w:rPr>
                <w:lang w:val="nb-NO" w:eastAsia="zh-CN"/>
              </w:rPr>
            </w:pPr>
            <w:r>
              <w:rPr>
                <w:lang w:val="nb-NO" w:eastAsia="zh-CN"/>
              </w:rPr>
              <w:t>RMS DF error at </w:t>
            </w:r>
            <w:r w:rsidR="008F778B" w:rsidRPr="00D86F12">
              <w:rPr>
                <w:lang w:val="nb-NO" w:eastAsia="zh-CN"/>
              </w:rPr>
              <w:t>f</w:t>
            </w:r>
            <w:r w:rsidR="008F778B" w:rsidRPr="00D86F12">
              <w:rPr>
                <w:vertAlign w:val="subscript"/>
                <w:lang w:val="nb-NO" w:eastAsia="zh-CN"/>
              </w:rPr>
              <w:t>N</w:t>
            </w:r>
          </w:p>
        </w:tc>
      </w:tr>
    </w:tbl>
    <w:p w:rsidR="008F778B" w:rsidRDefault="008F778B" w:rsidP="008F778B">
      <w:pPr>
        <w:rPr>
          <w:lang w:val="nb-NO" w:eastAsia="zh-CN"/>
        </w:rPr>
      </w:pPr>
    </w:p>
    <w:p w:rsidR="008F778B" w:rsidRPr="00357593" w:rsidRDefault="008F778B" w:rsidP="008F778B">
      <w:pPr>
        <w:rPr>
          <w:lang w:val="en-US" w:eastAsia="zh-CN"/>
        </w:rPr>
      </w:pPr>
    </w:p>
    <w:p w:rsidR="008F778B" w:rsidRDefault="008F778B" w:rsidP="008F778B">
      <w:pPr>
        <w:rPr>
          <w:lang w:eastAsia="zh-CN"/>
        </w:rPr>
      </w:pPr>
    </w:p>
    <w:p w:rsidR="000069D4" w:rsidRPr="00B91F23" w:rsidRDefault="008F778B" w:rsidP="00B91F23">
      <w:pPr>
        <w:jc w:val="center"/>
        <w:rPr>
          <w:lang w:eastAsia="zh-CN"/>
        </w:rPr>
      </w:pPr>
      <w:r w:rsidRPr="00404D1F">
        <w:rPr>
          <w:sz w:val="20"/>
        </w:rPr>
        <w:t>_________________</w:t>
      </w:r>
    </w:p>
    <w:sectPr w:rsidR="000069D4" w:rsidRPr="00B91F23" w:rsidSect="00D02712">
      <w:head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F3" w:rsidRDefault="001460F3">
      <w:r>
        <w:separator/>
      </w:r>
    </w:p>
  </w:endnote>
  <w:endnote w:type="continuationSeparator" w:id="0">
    <w:p w:rsidR="001460F3" w:rsidRDefault="0014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F3" w:rsidRDefault="001460F3">
      <w:r>
        <w:t>____________________</w:t>
      </w:r>
    </w:p>
  </w:footnote>
  <w:footnote w:type="continuationSeparator" w:id="0">
    <w:p w:rsidR="001460F3" w:rsidRDefault="001460F3">
      <w:r>
        <w:continuationSeparator/>
      </w:r>
    </w:p>
  </w:footnote>
  <w:footnote w:id="1">
    <w:p w:rsidR="008F778B" w:rsidRPr="00585B9B" w:rsidRDefault="008F778B" w:rsidP="008F778B">
      <w:pPr>
        <w:pStyle w:val="FootnoteText"/>
        <w:rPr>
          <w:lang w:val="en-US"/>
        </w:rPr>
      </w:pPr>
      <w:r>
        <w:rPr>
          <w:rStyle w:val="FootnoteReference"/>
        </w:rPr>
        <w:footnoteRef/>
      </w:r>
      <w:r w:rsidR="005F6334">
        <w:tab/>
      </w:r>
      <w:r w:rsidRPr="005F6334">
        <w:rPr>
          <w:szCs w:val="24"/>
        </w:rPr>
        <w:t>OATS definition can be found in a number of standards documents such as ANSI C63.7, CISPR or EN55 022. The OATS is considered as line-of sight (LOS) with no interference signal, no reflection and far-field (Fraunhofer Region).</w:t>
      </w:r>
      <w:r w:rsidRPr="00585B9B">
        <w:rPr>
          <w:sz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C6DC2">
      <w:rPr>
        <w:rStyle w:val="PageNumber"/>
        <w:noProof/>
      </w:rPr>
      <w:t>2</w:t>
    </w:r>
    <w:r w:rsidR="00D02712">
      <w:rPr>
        <w:rStyle w:val="PageNumber"/>
      </w:rPr>
      <w:fldChar w:fldCharType="end"/>
    </w:r>
    <w:r>
      <w:rPr>
        <w:rStyle w:val="PageNumber"/>
      </w:rPr>
      <w:t xml:space="preserve"> -</w:t>
    </w:r>
  </w:p>
  <w:p w:rsidR="00FA124A" w:rsidRDefault="00880E84" w:rsidP="00AB6C13">
    <w:pPr>
      <w:pStyle w:val="Header"/>
      <w:rPr>
        <w:lang w:val="en-US"/>
      </w:rPr>
    </w:pPr>
    <w:r>
      <w:rPr>
        <w:lang w:val="en-US"/>
      </w:rPr>
      <w:t>1/</w:t>
    </w:r>
    <w:r w:rsidR="00A76739">
      <w:rPr>
        <w:lang w:val="en-US"/>
      </w:rPr>
      <w:t>BL/3</w:t>
    </w:r>
    <w:r w:rsidR="00C9385B">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832FE"/>
    <w:multiLevelType w:val="hybridMultilevel"/>
    <w:tmpl w:val="A7F02D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5B"/>
    <w:rsid w:val="000069D4"/>
    <w:rsid w:val="000174AD"/>
    <w:rsid w:val="000A7D55"/>
    <w:rsid w:val="000C2E8E"/>
    <w:rsid w:val="000E0E7C"/>
    <w:rsid w:val="000F1B4B"/>
    <w:rsid w:val="0012744F"/>
    <w:rsid w:val="001460F3"/>
    <w:rsid w:val="00156F66"/>
    <w:rsid w:val="00182528"/>
    <w:rsid w:val="0018500B"/>
    <w:rsid w:val="00196A19"/>
    <w:rsid w:val="00202DC1"/>
    <w:rsid w:val="002116EE"/>
    <w:rsid w:val="002309D8"/>
    <w:rsid w:val="002A7FE2"/>
    <w:rsid w:val="002E1B4F"/>
    <w:rsid w:val="002F2E67"/>
    <w:rsid w:val="00315546"/>
    <w:rsid w:val="00330567"/>
    <w:rsid w:val="00357593"/>
    <w:rsid w:val="00386A9D"/>
    <w:rsid w:val="00391081"/>
    <w:rsid w:val="003B2789"/>
    <w:rsid w:val="003C13CE"/>
    <w:rsid w:val="003C47B5"/>
    <w:rsid w:val="003E2518"/>
    <w:rsid w:val="003E7CEF"/>
    <w:rsid w:val="00445BD0"/>
    <w:rsid w:val="00487BCD"/>
    <w:rsid w:val="004B1EF7"/>
    <w:rsid w:val="004B3FAD"/>
    <w:rsid w:val="004C7E65"/>
    <w:rsid w:val="00501DCA"/>
    <w:rsid w:val="00513A47"/>
    <w:rsid w:val="005408DF"/>
    <w:rsid w:val="00573344"/>
    <w:rsid w:val="00583F9B"/>
    <w:rsid w:val="005E5C10"/>
    <w:rsid w:val="005F2C78"/>
    <w:rsid w:val="005F6334"/>
    <w:rsid w:val="006144E4"/>
    <w:rsid w:val="00650299"/>
    <w:rsid w:val="00655FC5"/>
    <w:rsid w:val="00713275"/>
    <w:rsid w:val="007B6EB0"/>
    <w:rsid w:val="00822581"/>
    <w:rsid w:val="008309DD"/>
    <w:rsid w:val="0083227A"/>
    <w:rsid w:val="00866900"/>
    <w:rsid w:val="00880E84"/>
    <w:rsid w:val="00881BA1"/>
    <w:rsid w:val="008C26B8"/>
    <w:rsid w:val="008F208F"/>
    <w:rsid w:val="008F3CBD"/>
    <w:rsid w:val="008F778B"/>
    <w:rsid w:val="00911CE9"/>
    <w:rsid w:val="00982084"/>
    <w:rsid w:val="00995963"/>
    <w:rsid w:val="009B61EB"/>
    <w:rsid w:val="009C2064"/>
    <w:rsid w:val="009D1697"/>
    <w:rsid w:val="00A014F8"/>
    <w:rsid w:val="00A5173C"/>
    <w:rsid w:val="00A61AEF"/>
    <w:rsid w:val="00A76739"/>
    <w:rsid w:val="00AB6C13"/>
    <w:rsid w:val="00AD056D"/>
    <w:rsid w:val="00AF173A"/>
    <w:rsid w:val="00B066A4"/>
    <w:rsid w:val="00B07A13"/>
    <w:rsid w:val="00B3327A"/>
    <w:rsid w:val="00B4279B"/>
    <w:rsid w:val="00B45FC9"/>
    <w:rsid w:val="00B91F23"/>
    <w:rsid w:val="00BC7CCF"/>
    <w:rsid w:val="00BE2BB5"/>
    <w:rsid w:val="00BE470B"/>
    <w:rsid w:val="00C009A0"/>
    <w:rsid w:val="00C17316"/>
    <w:rsid w:val="00C57A91"/>
    <w:rsid w:val="00C9385B"/>
    <w:rsid w:val="00CC01C2"/>
    <w:rsid w:val="00CF21F2"/>
    <w:rsid w:val="00D02712"/>
    <w:rsid w:val="00D214D0"/>
    <w:rsid w:val="00D308C0"/>
    <w:rsid w:val="00D6546B"/>
    <w:rsid w:val="00DB2BD2"/>
    <w:rsid w:val="00DC6DC2"/>
    <w:rsid w:val="00DD4BED"/>
    <w:rsid w:val="00DE39F0"/>
    <w:rsid w:val="00DF0AF3"/>
    <w:rsid w:val="00E27D7E"/>
    <w:rsid w:val="00E42E13"/>
    <w:rsid w:val="00E5272B"/>
    <w:rsid w:val="00E6257C"/>
    <w:rsid w:val="00E63C59"/>
    <w:rsid w:val="00EE17F5"/>
    <w:rsid w:val="00FA124A"/>
    <w:rsid w:val="00FA344B"/>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65E33B-76F4-402D-8359-E5810694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customStyle="1" w:styleId="AnnexNo">
    <w:name w:val="Annex_No"/>
    <w:basedOn w:val="Normal"/>
    <w:next w:val="Normal"/>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uiPriority w:val="99"/>
    <w:locked/>
    <w:rsid w:val="008F778B"/>
    <w:rPr>
      <w:rFonts w:ascii="Times New Roman" w:hAnsi="Times New Roman"/>
      <w:b/>
      <w:sz w:val="28"/>
      <w:lang w:val="en-GB" w:eastAsia="en-US"/>
    </w:rPr>
  </w:style>
  <w:style w:type="character" w:styleId="Hyperlink">
    <w:name w:val="Hyperlink"/>
    <w:basedOn w:val="DefaultParagraphFont"/>
    <w:rsid w:val="00E5272B"/>
    <w:rPr>
      <w:color w:val="0000FF" w:themeColor="hyperlink"/>
      <w:u w:val="single"/>
    </w:rPr>
  </w:style>
  <w:style w:type="character" w:styleId="FollowedHyperlink">
    <w:name w:val="FollowedHyperlink"/>
    <w:basedOn w:val="DefaultParagraphFont"/>
    <w:rsid w:val="00911C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WP1C-C-0074/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tu.int/md/R12-SG01-C-010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6</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Gomez, Yoanni</cp:lastModifiedBy>
  <cp:revision>2</cp:revision>
  <cp:lastPrinted>2014-08-21T13:40:00Z</cp:lastPrinted>
  <dcterms:created xsi:type="dcterms:W3CDTF">2014-09-12T09:21:00Z</dcterms:created>
  <dcterms:modified xsi:type="dcterms:W3CDTF">2014-09-12T09:21:00Z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