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E7140B">
      <w:bookmarkStart w:id="0" w:name="_GoBack"/>
      <w:bookmarkEnd w:id="0"/>
    </w:p>
    <w:p w:rsidR="00E7140B" w:rsidRPr="003E3FEA" w:rsidRDefault="00E7140B" w:rsidP="00E7140B">
      <w:pPr>
        <w:rPr>
          <w:lang w:val="es-ES_tradnl"/>
        </w:rPr>
      </w:pPr>
      <w:bookmarkStart w:id="1" w:name="dbreak"/>
      <w:bookmarkEnd w:id="1"/>
    </w:p>
    <w:p w:rsidR="00E7140B" w:rsidRPr="003E3FEA" w:rsidRDefault="00E7140B" w:rsidP="00E7140B">
      <w:pPr>
        <w:rPr>
          <w:lang w:val="es-ES_tradnl"/>
        </w:rPr>
      </w:pPr>
    </w:p>
    <w:p w:rsidR="00E7140B" w:rsidRPr="003E3FEA" w:rsidRDefault="00E7140B" w:rsidP="00E7140B">
      <w:pPr>
        <w:rPr>
          <w:lang w:val="es-ES_tradnl"/>
        </w:rPr>
      </w:pPr>
    </w:p>
    <w:p w:rsidR="00E7140B" w:rsidRPr="003E3FEA" w:rsidRDefault="00E7140B" w:rsidP="00E7140B">
      <w:pPr>
        <w:rPr>
          <w:lang w:val="es-ES_tradnl"/>
        </w:rPr>
      </w:pPr>
    </w:p>
    <w:p w:rsidR="00E7140B" w:rsidRPr="003E3FEA" w:rsidRDefault="00E7140B" w:rsidP="00E7140B">
      <w:pPr>
        <w:rPr>
          <w:lang w:val="es-ES_tradnl"/>
        </w:rPr>
      </w:pPr>
    </w:p>
    <w:p w:rsidR="00E7140B" w:rsidRPr="003E3FEA" w:rsidRDefault="00E7140B" w:rsidP="00E7140B">
      <w:pPr>
        <w:rPr>
          <w:lang w:val="es-ES_tradnl"/>
        </w:rPr>
      </w:pPr>
    </w:p>
    <w:p w:rsidR="00E7140B" w:rsidRPr="003E3FEA" w:rsidRDefault="00E7140B" w:rsidP="00E7140B">
      <w:pPr>
        <w:rPr>
          <w:lang w:val="es-ES_tradnl"/>
        </w:rPr>
      </w:pPr>
    </w:p>
    <w:p w:rsidR="00E7140B" w:rsidRPr="003E3FEA" w:rsidRDefault="00E7140B" w:rsidP="00E7140B">
      <w:pPr>
        <w:rPr>
          <w:lang w:val="es-ES_tradnl"/>
        </w:rPr>
      </w:pPr>
    </w:p>
    <w:p w:rsidR="00E7140B" w:rsidRPr="003E3FEA" w:rsidRDefault="00E7140B" w:rsidP="00E7140B">
      <w:pPr>
        <w:rPr>
          <w:lang w:val="es-ES_tradnl"/>
        </w:rPr>
      </w:pPr>
    </w:p>
    <w:p w:rsidR="00E7140B" w:rsidRPr="003E3FEA" w:rsidRDefault="00E7140B" w:rsidP="00E7140B">
      <w:pPr>
        <w:rPr>
          <w:lang w:val="es-ES_tradnl"/>
        </w:rPr>
      </w:pPr>
    </w:p>
    <w:p w:rsidR="00E7140B" w:rsidRPr="003E3FEA" w:rsidRDefault="00E7140B" w:rsidP="00E7140B">
      <w:pPr>
        <w:rPr>
          <w:lang w:val="es-ES_tradnl"/>
        </w:rPr>
      </w:pPr>
    </w:p>
    <w:p w:rsidR="00E7140B" w:rsidRPr="003E3FEA" w:rsidRDefault="00E7140B" w:rsidP="00E7140B">
      <w:pPr>
        <w:rPr>
          <w:lang w:val="es-ES_tradnl"/>
        </w:rPr>
      </w:pPr>
    </w:p>
    <w:tbl>
      <w:tblPr>
        <w:tblW w:w="10089" w:type="dxa"/>
        <w:tblLook w:val="01E0" w:firstRow="1" w:lastRow="1" w:firstColumn="1" w:lastColumn="1" w:noHBand="0" w:noVBand="0"/>
      </w:tblPr>
      <w:tblGrid>
        <w:gridCol w:w="10089"/>
      </w:tblGrid>
      <w:tr w:rsidR="00E7140B" w:rsidRPr="003E3FEA" w:rsidTr="00447EAB">
        <w:tc>
          <w:tcPr>
            <w:tcW w:w="10089" w:type="dxa"/>
          </w:tcPr>
          <w:p w:rsidR="00E7140B" w:rsidRPr="003E3FEA" w:rsidRDefault="00E7140B" w:rsidP="00447EAB">
            <w:pPr>
              <w:spacing w:before="380" w:line="280" w:lineRule="exact"/>
              <w:jc w:val="right"/>
              <w:rPr>
                <w:rFonts w:ascii="Tahoma" w:hAnsi="Tahoma" w:cs="Tahoma"/>
                <w:b/>
                <w:bCs/>
                <w:iCs/>
                <w:color w:val="243285"/>
                <w:sz w:val="32"/>
                <w:szCs w:val="32"/>
                <w:lang w:val="es-ES_tradnl"/>
              </w:rPr>
            </w:pPr>
          </w:p>
          <w:p w:rsidR="00E7140B" w:rsidRPr="003E3FEA" w:rsidRDefault="00E7140B" w:rsidP="00E7140B">
            <w:pPr>
              <w:spacing w:before="380" w:line="280" w:lineRule="exact"/>
              <w:jc w:val="right"/>
              <w:rPr>
                <w:rFonts w:ascii="Tahoma" w:hAnsi="Tahoma" w:cs="Tahoma"/>
                <w:b/>
                <w:bCs/>
                <w:iCs/>
                <w:color w:val="243285"/>
                <w:sz w:val="36"/>
                <w:szCs w:val="36"/>
                <w:lang w:val="es-ES_tradnl"/>
              </w:rPr>
            </w:pPr>
            <w:r w:rsidRPr="003E3FEA">
              <w:rPr>
                <w:rFonts w:ascii="Tahoma" w:hAnsi="Tahoma" w:cs="Tahoma"/>
                <w:b/>
                <w:bCs/>
                <w:iCs/>
                <w:color w:val="243285"/>
                <w:sz w:val="36"/>
                <w:szCs w:val="36"/>
                <w:lang w:val="es-ES_tradnl"/>
              </w:rPr>
              <w:t>Recomendación  UIT-R  SM.2061-0</w:t>
            </w:r>
          </w:p>
          <w:p w:rsidR="00E7140B" w:rsidRPr="003E3FEA" w:rsidRDefault="00E7140B" w:rsidP="00E7140B">
            <w:pPr>
              <w:spacing w:before="80" w:line="280" w:lineRule="exact"/>
              <w:jc w:val="right"/>
              <w:rPr>
                <w:rFonts w:ascii="Tahoma" w:hAnsi="Tahoma" w:cs="Tahoma"/>
                <w:b/>
                <w:bCs/>
                <w:iCs/>
                <w:color w:val="243285"/>
                <w:szCs w:val="24"/>
                <w:lang w:val="es-ES_tradnl"/>
              </w:rPr>
            </w:pPr>
            <w:r w:rsidRPr="003E3FEA">
              <w:rPr>
                <w:rFonts w:ascii="Tahoma" w:hAnsi="Tahoma" w:cs="Tahoma"/>
                <w:b/>
                <w:bCs/>
                <w:iCs/>
                <w:color w:val="243285"/>
                <w:szCs w:val="24"/>
                <w:lang w:val="es-ES_tradnl"/>
              </w:rPr>
              <w:t>(08/2014)</w:t>
            </w:r>
          </w:p>
        </w:tc>
      </w:tr>
      <w:tr w:rsidR="00E7140B" w:rsidRPr="004F6627" w:rsidTr="00447EAB">
        <w:tc>
          <w:tcPr>
            <w:tcW w:w="10089" w:type="dxa"/>
          </w:tcPr>
          <w:p w:rsidR="00E7140B" w:rsidRPr="003E3FEA" w:rsidRDefault="00E7140B" w:rsidP="00447EAB">
            <w:pPr>
              <w:spacing w:before="80" w:line="500" w:lineRule="exact"/>
              <w:jc w:val="right"/>
              <w:rPr>
                <w:rFonts w:ascii="Tahoma" w:hAnsi="Tahoma" w:cs="Tahoma"/>
                <w:b/>
                <w:bCs/>
                <w:iCs/>
                <w:color w:val="243285"/>
                <w:sz w:val="44"/>
                <w:szCs w:val="44"/>
                <w:lang w:val="es-ES_tradnl"/>
              </w:rPr>
            </w:pPr>
          </w:p>
          <w:p w:rsidR="00E7140B" w:rsidRPr="003E3FEA" w:rsidRDefault="00E7140B" w:rsidP="00E7140B">
            <w:pPr>
              <w:spacing w:before="80" w:line="500" w:lineRule="exact"/>
              <w:jc w:val="right"/>
              <w:rPr>
                <w:rFonts w:ascii="Tahoma" w:hAnsi="Tahoma" w:cs="Tahoma"/>
                <w:b/>
                <w:bCs/>
                <w:color w:val="243285"/>
                <w:sz w:val="44"/>
                <w:szCs w:val="44"/>
                <w:lang w:val="es-ES_tradnl"/>
              </w:rPr>
            </w:pPr>
            <w:bookmarkStart w:id="2" w:name="lt_pId002"/>
            <w:r w:rsidRPr="003E3FEA">
              <w:rPr>
                <w:rFonts w:ascii="Tahoma" w:hAnsi="Tahoma" w:cs="Tahoma"/>
                <w:b/>
                <w:bCs/>
                <w:iCs/>
                <w:color w:val="243285"/>
                <w:sz w:val="44"/>
                <w:szCs w:val="44"/>
                <w:lang w:val="es-ES_tradnl"/>
              </w:rPr>
              <w:t>Procedimiento de prueba para medir</w:t>
            </w:r>
            <w:r w:rsidRPr="003E3FEA">
              <w:rPr>
                <w:rFonts w:ascii="Tahoma" w:hAnsi="Tahoma" w:cs="Tahoma"/>
                <w:b/>
                <w:bCs/>
                <w:iCs/>
                <w:color w:val="243285"/>
                <w:sz w:val="44"/>
                <w:szCs w:val="44"/>
                <w:lang w:val="es-ES_tradnl"/>
              </w:rPr>
              <w:br/>
              <w:t>la inmunidad de los sistemas</w:t>
            </w:r>
            <w:r w:rsidRPr="003E3FEA">
              <w:rPr>
                <w:rFonts w:ascii="Tahoma" w:hAnsi="Tahoma" w:cs="Tahoma"/>
                <w:b/>
                <w:bCs/>
                <w:iCs/>
                <w:color w:val="243285"/>
                <w:sz w:val="44"/>
                <w:szCs w:val="44"/>
                <w:lang w:val="es-ES_tradnl"/>
              </w:rPr>
              <w:br/>
              <w:t>de radiogoniometría a la</w:t>
            </w:r>
            <w:r w:rsidRPr="003E3FEA">
              <w:rPr>
                <w:rFonts w:ascii="Tahoma" w:hAnsi="Tahoma" w:cs="Tahoma"/>
                <w:b/>
                <w:bCs/>
                <w:iCs/>
                <w:color w:val="243285"/>
                <w:sz w:val="44"/>
                <w:szCs w:val="44"/>
                <w:lang w:val="es-ES_tradnl"/>
              </w:rPr>
              <w:br/>
              <w:t>propagación multitrayecto</w:t>
            </w:r>
            <w:bookmarkEnd w:id="2"/>
          </w:p>
          <w:p w:rsidR="00E7140B" w:rsidRPr="003E3FEA" w:rsidRDefault="00E7140B" w:rsidP="00447EAB">
            <w:pPr>
              <w:spacing w:before="80" w:line="500" w:lineRule="exact"/>
              <w:jc w:val="right"/>
              <w:rPr>
                <w:rFonts w:ascii="Tahoma" w:hAnsi="Tahoma" w:cs="Tahoma"/>
                <w:b/>
                <w:bCs/>
                <w:color w:val="243285"/>
                <w:sz w:val="44"/>
                <w:szCs w:val="44"/>
                <w:lang w:val="es-ES_tradnl"/>
              </w:rPr>
            </w:pPr>
          </w:p>
          <w:p w:rsidR="00E7140B" w:rsidRPr="003E3FEA" w:rsidRDefault="00E7140B" w:rsidP="00447EAB">
            <w:pPr>
              <w:spacing w:before="80" w:line="500" w:lineRule="exact"/>
              <w:jc w:val="right"/>
              <w:rPr>
                <w:rFonts w:ascii="Tahoma" w:hAnsi="Tahoma" w:cs="Tahoma"/>
                <w:b/>
                <w:bCs/>
                <w:iCs/>
                <w:color w:val="243285"/>
                <w:sz w:val="44"/>
                <w:szCs w:val="44"/>
                <w:lang w:val="es-ES_tradnl"/>
              </w:rPr>
            </w:pPr>
          </w:p>
        </w:tc>
      </w:tr>
      <w:tr w:rsidR="00E7140B" w:rsidRPr="004F6627" w:rsidTr="00447EAB">
        <w:tc>
          <w:tcPr>
            <w:tcW w:w="10089" w:type="dxa"/>
          </w:tcPr>
          <w:p w:rsidR="00E7140B" w:rsidRPr="003E3FEA" w:rsidRDefault="00E7140B" w:rsidP="00447EAB">
            <w:pPr>
              <w:spacing w:before="80" w:line="280" w:lineRule="exact"/>
              <w:ind w:right="640"/>
              <w:rPr>
                <w:rFonts w:ascii="Tahoma" w:hAnsi="Tahoma" w:cs="Tahoma"/>
                <w:b/>
                <w:bCs/>
                <w:iCs/>
                <w:color w:val="243285"/>
                <w:sz w:val="32"/>
                <w:szCs w:val="32"/>
                <w:lang w:val="es-ES_tradnl"/>
              </w:rPr>
            </w:pPr>
          </w:p>
          <w:p w:rsidR="00E7140B" w:rsidRPr="003E3FEA" w:rsidRDefault="00E7140B" w:rsidP="00447EAB">
            <w:pPr>
              <w:spacing w:before="80" w:line="280" w:lineRule="exact"/>
              <w:ind w:right="640"/>
              <w:rPr>
                <w:rFonts w:ascii="Tahoma" w:hAnsi="Tahoma" w:cs="Tahoma"/>
                <w:b/>
                <w:bCs/>
                <w:iCs/>
                <w:color w:val="243285"/>
                <w:sz w:val="32"/>
                <w:szCs w:val="32"/>
                <w:lang w:val="es-ES_tradnl"/>
              </w:rPr>
            </w:pPr>
          </w:p>
          <w:p w:rsidR="00E7140B" w:rsidRPr="003E3FEA" w:rsidRDefault="00E7140B" w:rsidP="00447EAB">
            <w:pPr>
              <w:spacing w:before="80" w:after="180" w:line="360" w:lineRule="exact"/>
              <w:ind w:right="720"/>
              <w:rPr>
                <w:rFonts w:ascii="Tahoma" w:hAnsi="Tahoma" w:cs="Tahoma"/>
                <w:b/>
                <w:bCs/>
                <w:iCs/>
                <w:color w:val="243285"/>
                <w:sz w:val="36"/>
                <w:szCs w:val="36"/>
                <w:lang w:val="es-ES_tradnl"/>
              </w:rPr>
            </w:pPr>
          </w:p>
          <w:p w:rsidR="00E7140B" w:rsidRPr="003E3FEA" w:rsidRDefault="00E7140B" w:rsidP="00447EAB">
            <w:pPr>
              <w:spacing w:before="80" w:after="180" w:line="360" w:lineRule="exact"/>
              <w:jc w:val="right"/>
              <w:rPr>
                <w:rFonts w:ascii="Tahoma" w:hAnsi="Tahoma" w:cs="Tahoma"/>
                <w:b/>
                <w:bCs/>
                <w:iCs/>
                <w:color w:val="243285"/>
                <w:sz w:val="36"/>
                <w:szCs w:val="36"/>
                <w:lang w:val="es-ES_tradnl"/>
              </w:rPr>
            </w:pPr>
            <w:r w:rsidRPr="003E3FEA">
              <w:rPr>
                <w:rFonts w:ascii="Tahoma" w:hAnsi="Tahoma" w:cs="Tahoma"/>
                <w:b/>
                <w:bCs/>
                <w:iCs/>
                <w:color w:val="243285"/>
                <w:sz w:val="36"/>
                <w:szCs w:val="36"/>
                <w:lang w:val="es-ES_tradnl"/>
              </w:rPr>
              <w:t>Serie SM</w:t>
            </w:r>
          </w:p>
          <w:p w:rsidR="00E7140B" w:rsidRPr="003E3FEA" w:rsidRDefault="00E7140B" w:rsidP="00447EAB">
            <w:pPr>
              <w:spacing w:before="80" w:line="420" w:lineRule="exact"/>
              <w:jc w:val="right"/>
              <w:rPr>
                <w:rFonts w:ascii="Tahoma" w:hAnsi="Tahoma" w:cs="Tahoma"/>
                <w:b/>
                <w:bCs/>
                <w:iCs/>
                <w:color w:val="243285"/>
                <w:sz w:val="36"/>
                <w:szCs w:val="36"/>
                <w:lang w:val="es-ES_tradnl"/>
              </w:rPr>
            </w:pPr>
            <w:r w:rsidRPr="003E3FEA">
              <w:rPr>
                <w:rFonts w:ascii="Tahoma" w:hAnsi="Tahoma" w:cs="Tahoma"/>
                <w:b/>
                <w:bCs/>
                <w:iCs/>
                <w:color w:val="243285"/>
                <w:sz w:val="36"/>
                <w:szCs w:val="36"/>
                <w:lang w:val="es-ES_tradnl"/>
              </w:rPr>
              <w:t>Gestión del espectro</w:t>
            </w:r>
          </w:p>
        </w:tc>
      </w:tr>
    </w:tbl>
    <w:p w:rsidR="00E7140B" w:rsidRPr="003E3FEA" w:rsidRDefault="00E7140B" w:rsidP="00E7140B">
      <w:pPr>
        <w:spacing w:before="80"/>
        <w:rPr>
          <w:i/>
          <w:sz w:val="22"/>
          <w:lang w:val="es-ES_tradnl"/>
        </w:rPr>
      </w:pPr>
    </w:p>
    <w:p w:rsidR="00E7140B" w:rsidRPr="003E3FEA" w:rsidRDefault="00E7140B" w:rsidP="00E7140B">
      <w:pPr>
        <w:spacing w:before="80"/>
        <w:rPr>
          <w:i/>
          <w:sz w:val="22"/>
          <w:lang w:val="es-ES_tradnl"/>
        </w:rPr>
      </w:pPr>
    </w:p>
    <w:p w:rsidR="00E7140B" w:rsidRPr="003E3FEA" w:rsidRDefault="00E7140B" w:rsidP="00E7140B">
      <w:pPr>
        <w:spacing w:before="80"/>
        <w:rPr>
          <w:i/>
          <w:sz w:val="22"/>
          <w:lang w:val="es-ES_tradnl"/>
        </w:rPr>
      </w:pPr>
    </w:p>
    <w:p w:rsidR="00E7140B" w:rsidRPr="003E3FEA" w:rsidRDefault="00E7140B" w:rsidP="00E7140B">
      <w:pPr>
        <w:spacing w:before="80"/>
        <w:rPr>
          <w:i/>
          <w:sz w:val="22"/>
          <w:lang w:val="es-ES_tradnl"/>
        </w:rPr>
      </w:pPr>
    </w:p>
    <w:p w:rsidR="00E7140B" w:rsidRPr="003E3FEA" w:rsidRDefault="00E7140B" w:rsidP="00E7140B">
      <w:pPr>
        <w:spacing w:before="80"/>
        <w:rPr>
          <w:i/>
          <w:sz w:val="22"/>
          <w:lang w:val="es-ES_tradnl"/>
        </w:rPr>
      </w:pPr>
    </w:p>
    <w:p w:rsidR="00E7140B" w:rsidRPr="003E3FEA" w:rsidRDefault="00E7140B" w:rsidP="00E7140B">
      <w:pPr>
        <w:spacing w:before="80"/>
        <w:rPr>
          <w:i/>
          <w:sz w:val="22"/>
          <w:lang w:val="es-ES_tradnl"/>
        </w:rPr>
      </w:pPr>
    </w:p>
    <w:p w:rsidR="00E7140B" w:rsidRPr="003E3FEA" w:rsidRDefault="00E7140B" w:rsidP="00E7140B">
      <w:pPr>
        <w:pStyle w:val="Equation"/>
        <w:tabs>
          <w:tab w:val="clear" w:pos="4820"/>
          <w:tab w:val="clear" w:pos="9639"/>
          <w:tab w:val="left" w:pos="1191"/>
          <w:tab w:val="left" w:pos="1588"/>
          <w:tab w:val="left" w:pos="1985"/>
        </w:tabs>
        <w:rPr>
          <w:rFonts w:ascii="Palatino Linotype" w:hAnsi="Palatino Linotype"/>
          <w:lang w:val="es-ES_tradnl"/>
        </w:rPr>
        <w:sectPr w:rsidR="00E7140B" w:rsidRPr="003E3FEA">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E7140B" w:rsidRPr="003E3FEA" w:rsidRDefault="00E7140B" w:rsidP="00E714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3" w:name="c2tope"/>
      <w:bookmarkEnd w:id="3"/>
      <w:r w:rsidRPr="003E3FEA">
        <w:rPr>
          <w:bCs/>
          <w:sz w:val="24"/>
          <w:szCs w:val="24"/>
          <w:lang w:val="es-ES_tradnl"/>
        </w:rPr>
        <w:lastRenderedPageBreak/>
        <w:t>Prólogo</w:t>
      </w:r>
    </w:p>
    <w:p w:rsidR="00E7140B" w:rsidRPr="003E3FEA" w:rsidRDefault="00E7140B" w:rsidP="00E7140B">
      <w:pPr>
        <w:spacing w:before="180"/>
        <w:rPr>
          <w:sz w:val="20"/>
          <w:lang w:val="es-ES_tradnl"/>
        </w:rPr>
      </w:pPr>
      <w:r w:rsidRPr="003E3FEA">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7140B" w:rsidRPr="003E3FEA" w:rsidRDefault="00E7140B" w:rsidP="00E7140B">
      <w:pPr>
        <w:rPr>
          <w:sz w:val="20"/>
          <w:lang w:val="es-ES_tradnl"/>
        </w:rPr>
      </w:pPr>
      <w:r w:rsidRPr="003E3FEA">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E7140B" w:rsidRPr="003E3FEA" w:rsidRDefault="00E7140B" w:rsidP="00E7140B">
      <w:pPr>
        <w:pStyle w:val="Heading1"/>
        <w:spacing w:before="340"/>
        <w:jc w:val="center"/>
        <w:rPr>
          <w:szCs w:val="24"/>
          <w:lang w:val="es-ES_tradnl"/>
        </w:rPr>
      </w:pPr>
      <w:r w:rsidRPr="003E3FEA">
        <w:rPr>
          <w:lang w:val="es-ES_tradnl"/>
        </w:rPr>
        <w:t>Política sobre Derechos de Propiedad Intelectual</w:t>
      </w:r>
      <w:r w:rsidRPr="003E3FEA">
        <w:rPr>
          <w:szCs w:val="24"/>
          <w:lang w:val="es-ES_tradnl"/>
        </w:rPr>
        <w:t xml:space="preserve"> (IPR)</w:t>
      </w:r>
    </w:p>
    <w:p w:rsidR="00E7140B" w:rsidRPr="003E3FEA" w:rsidRDefault="00E7140B" w:rsidP="00E7140B">
      <w:pPr>
        <w:spacing w:before="180"/>
        <w:rPr>
          <w:sz w:val="20"/>
          <w:lang w:val="es-ES_tradnl"/>
        </w:rPr>
      </w:pPr>
      <w:r w:rsidRPr="003E3FEA">
        <w:rPr>
          <w:sz w:val="20"/>
          <w:lang w:val="es-ES_tradnl"/>
        </w:rPr>
        <w:t>La política del UIT</w:t>
      </w:r>
      <w:r w:rsidRPr="003E3FEA">
        <w:rPr>
          <w:sz w:val="20"/>
          <w:lang w:val="es-ES_tradnl"/>
        </w:rPr>
        <w:noBreakHyphen/>
        <w:t>R sobre Derechos de Propiedad Intelectual se describe en la Política Común de Patentes UIT</w:t>
      </w:r>
      <w:r w:rsidRPr="003E3FEA">
        <w:rPr>
          <w:sz w:val="20"/>
          <w:lang w:val="es-ES_tradnl"/>
        </w:rPr>
        <w:noBreakHyphen/>
        <w:t>T/UIT</w:t>
      </w:r>
      <w:r w:rsidRPr="003E3FEA">
        <w:rPr>
          <w:sz w:val="20"/>
          <w:lang w:val="es-ES_tradnl"/>
        </w:rPr>
        <w:noBreakHyphen/>
        <w:t>R/ISO/CEI a la que se hace referencia en el Anexo 1 a la Resolución UIT</w:t>
      </w:r>
      <w:r w:rsidRPr="003E3FE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3E3FEA">
          <w:rPr>
            <w:rStyle w:val="Hyperlink"/>
            <w:sz w:val="20"/>
            <w:lang w:val="es-ES_tradnl"/>
          </w:rPr>
          <w:t>http://www.itu.int/ITU-R/go/patents/es</w:t>
        </w:r>
      </w:hyperlink>
      <w:r w:rsidRPr="003E3FEA">
        <w:rPr>
          <w:sz w:val="20"/>
          <w:lang w:val="es-ES_tradnl"/>
        </w:rPr>
        <w:t>, donde también aparecen las Directrices para la implementación de la Política Común de Patentes UIT</w:t>
      </w:r>
      <w:r w:rsidRPr="003E3FEA">
        <w:rPr>
          <w:sz w:val="20"/>
          <w:lang w:val="es-ES_tradnl"/>
        </w:rPr>
        <w:noBreakHyphen/>
        <w:t>T/UIT</w:t>
      </w:r>
      <w:r w:rsidRPr="003E3FEA">
        <w:rPr>
          <w:sz w:val="20"/>
          <w:lang w:val="es-ES_tradnl"/>
        </w:rPr>
        <w:noBreakHyphen/>
        <w:t>R/ISO/CEI y la base de datos sobre información de patentes del UIT</w:t>
      </w:r>
      <w:r w:rsidRPr="003E3FEA">
        <w:rPr>
          <w:sz w:val="20"/>
          <w:lang w:val="es-ES_tradnl"/>
        </w:rPr>
        <w:noBreakHyphen/>
        <w:t>R sobre este asunto.</w:t>
      </w:r>
    </w:p>
    <w:p w:rsidR="00E7140B" w:rsidRPr="003E3FEA" w:rsidRDefault="00E7140B" w:rsidP="00E7140B">
      <w:pPr>
        <w:spacing w:before="0"/>
        <w:jc w:val="center"/>
        <w:rPr>
          <w:sz w:val="22"/>
          <w:lang w:val="es-ES_tradnl"/>
        </w:rPr>
      </w:pPr>
    </w:p>
    <w:p w:rsidR="00E7140B" w:rsidRPr="003E3FEA" w:rsidRDefault="00E7140B" w:rsidP="00E7140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7140B" w:rsidRPr="004F6627" w:rsidTr="00447EAB">
        <w:tc>
          <w:tcPr>
            <w:tcW w:w="9360" w:type="dxa"/>
            <w:gridSpan w:val="2"/>
          </w:tcPr>
          <w:p w:rsidR="00E7140B" w:rsidRPr="003E3FEA" w:rsidRDefault="00E7140B" w:rsidP="00447EA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3E3FEA">
              <w:rPr>
                <w:sz w:val="22"/>
                <w:szCs w:val="22"/>
                <w:lang w:val="es-ES_tradnl"/>
              </w:rPr>
              <w:t xml:space="preserve">Series de las Recomendaciones UIT-R </w:t>
            </w:r>
          </w:p>
          <w:p w:rsidR="00E7140B" w:rsidRPr="003E3FEA" w:rsidRDefault="00E7140B" w:rsidP="00447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3E3FEA">
              <w:rPr>
                <w:b w:val="0"/>
                <w:sz w:val="18"/>
                <w:szCs w:val="18"/>
                <w:lang w:val="es-ES_tradnl"/>
              </w:rPr>
              <w:t xml:space="preserve">(También disponible en línea en </w:t>
            </w:r>
            <w:hyperlink r:id="rId12" w:history="1">
              <w:r w:rsidRPr="003E3FEA">
                <w:rPr>
                  <w:rStyle w:val="Hyperlink"/>
                  <w:b w:val="0"/>
                  <w:bCs/>
                  <w:sz w:val="18"/>
                  <w:szCs w:val="18"/>
                  <w:lang w:val="es-ES_tradnl"/>
                </w:rPr>
                <w:t>http://www.itu.int/publ/R-REC/es</w:t>
              </w:r>
            </w:hyperlink>
            <w:r w:rsidRPr="003E3FEA">
              <w:rPr>
                <w:b w:val="0"/>
                <w:bCs/>
                <w:sz w:val="18"/>
                <w:szCs w:val="18"/>
                <w:lang w:val="es-ES_tradnl"/>
              </w:rPr>
              <w:t>)</w:t>
            </w:r>
          </w:p>
        </w:tc>
      </w:tr>
      <w:tr w:rsidR="00E7140B" w:rsidRPr="003E3FEA" w:rsidTr="00447EAB">
        <w:tc>
          <w:tcPr>
            <w:tcW w:w="1140" w:type="dxa"/>
            <w:tcBorders>
              <w:bottom w:val="nil"/>
            </w:tcBorders>
          </w:tcPr>
          <w:p w:rsidR="00E7140B" w:rsidRPr="003E3FEA" w:rsidRDefault="00E7140B" w:rsidP="00447EAB">
            <w:pPr>
              <w:spacing w:before="180" w:after="100"/>
              <w:ind w:left="57"/>
              <w:rPr>
                <w:b/>
                <w:bCs/>
                <w:sz w:val="20"/>
                <w:lang w:val="es-ES_tradnl"/>
              </w:rPr>
            </w:pPr>
            <w:r w:rsidRPr="003E3FEA">
              <w:rPr>
                <w:b/>
                <w:bCs/>
                <w:sz w:val="20"/>
                <w:lang w:val="es-ES_tradnl"/>
              </w:rPr>
              <w:t>Series</w:t>
            </w:r>
          </w:p>
        </w:tc>
        <w:tc>
          <w:tcPr>
            <w:tcW w:w="8220" w:type="dxa"/>
            <w:tcBorders>
              <w:bottom w:val="nil"/>
            </w:tcBorders>
          </w:tcPr>
          <w:p w:rsidR="00E7140B" w:rsidRPr="003E3FEA" w:rsidRDefault="00E7140B" w:rsidP="00447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3E3FEA">
              <w:rPr>
                <w:bCs/>
                <w:sz w:val="20"/>
                <w:lang w:val="es-ES_tradnl"/>
              </w:rPr>
              <w:t>Título</w:t>
            </w:r>
          </w:p>
        </w:tc>
      </w:tr>
      <w:tr w:rsidR="00E7140B" w:rsidRPr="003E3FEA" w:rsidTr="00447EAB">
        <w:tc>
          <w:tcPr>
            <w:tcW w:w="1140" w:type="dxa"/>
            <w:tcBorders>
              <w:top w:val="nil"/>
              <w:bottom w:val="nil"/>
            </w:tcBorders>
            <w:shd w:val="clear" w:color="auto" w:fill="auto"/>
          </w:tcPr>
          <w:p w:rsidR="00E7140B" w:rsidRPr="003E3FEA" w:rsidRDefault="00E7140B" w:rsidP="00447EAB">
            <w:pPr>
              <w:spacing w:before="30" w:after="30"/>
              <w:ind w:left="57"/>
              <w:jc w:val="left"/>
              <w:rPr>
                <w:b/>
                <w:bCs/>
                <w:sz w:val="20"/>
                <w:lang w:val="es-ES_tradnl"/>
              </w:rPr>
            </w:pPr>
            <w:r w:rsidRPr="003E3FEA">
              <w:rPr>
                <w:b/>
                <w:bCs/>
                <w:sz w:val="20"/>
                <w:lang w:val="es-ES_tradnl"/>
              </w:rPr>
              <w:t>BO</w:t>
            </w:r>
          </w:p>
        </w:tc>
        <w:tc>
          <w:tcPr>
            <w:tcW w:w="8220" w:type="dxa"/>
            <w:tcBorders>
              <w:top w:val="nil"/>
              <w:bottom w:val="nil"/>
            </w:tcBorders>
            <w:shd w:val="clear" w:color="auto" w:fill="auto"/>
          </w:tcPr>
          <w:p w:rsidR="00E7140B" w:rsidRPr="003E3FEA" w:rsidRDefault="00E7140B" w:rsidP="00447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3E3FEA">
              <w:rPr>
                <w:b w:val="0"/>
                <w:sz w:val="20"/>
                <w:lang w:val="es-ES_tradnl"/>
              </w:rPr>
              <w:t>Distribución por satélite</w:t>
            </w:r>
          </w:p>
        </w:tc>
      </w:tr>
      <w:tr w:rsidR="00E7140B" w:rsidRPr="004F6627" w:rsidTr="00447EAB">
        <w:tc>
          <w:tcPr>
            <w:tcW w:w="1140" w:type="dxa"/>
            <w:tcBorders>
              <w:top w:val="nil"/>
              <w:bottom w:val="nil"/>
            </w:tcBorders>
            <w:shd w:val="clear" w:color="auto" w:fill="auto"/>
          </w:tcPr>
          <w:p w:rsidR="00E7140B" w:rsidRPr="003E3FEA" w:rsidRDefault="00E7140B" w:rsidP="00447EAB">
            <w:pPr>
              <w:spacing w:before="30" w:after="30"/>
              <w:ind w:left="57"/>
              <w:jc w:val="left"/>
              <w:rPr>
                <w:b/>
                <w:bCs/>
                <w:sz w:val="20"/>
                <w:lang w:val="es-ES_tradnl"/>
              </w:rPr>
            </w:pPr>
            <w:r w:rsidRPr="003E3FEA">
              <w:rPr>
                <w:b/>
                <w:bCs/>
                <w:sz w:val="20"/>
                <w:lang w:val="es-ES_tradnl"/>
              </w:rPr>
              <w:t>BR</w:t>
            </w:r>
          </w:p>
        </w:tc>
        <w:tc>
          <w:tcPr>
            <w:tcW w:w="8220" w:type="dxa"/>
            <w:tcBorders>
              <w:top w:val="nil"/>
              <w:bottom w:val="nil"/>
            </w:tcBorders>
            <w:shd w:val="clear" w:color="auto" w:fill="auto"/>
          </w:tcPr>
          <w:p w:rsidR="00E7140B" w:rsidRPr="003E3FEA" w:rsidRDefault="00E7140B" w:rsidP="00447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3E3FEA">
              <w:rPr>
                <w:b w:val="0"/>
                <w:sz w:val="20"/>
                <w:lang w:val="es-ES_tradnl"/>
              </w:rPr>
              <w:t>Registro para producción, archivo y reproducción; películas en televisión</w:t>
            </w:r>
          </w:p>
        </w:tc>
      </w:tr>
      <w:tr w:rsidR="00E7140B" w:rsidRPr="003E3FEA" w:rsidTr="00447EAB">
        <w:tc>
          <w:tcPr>
            <w:tcW w:w="1140" w:type="dxa"/>
            <w:tcBorders>
              <w:top w:val="nil"/>
              <w:bottom w:val="nil"/>
            </w:tcBorders>
            <w:shd w:val="clear" w:color="auto" w:fill="auto"/>
          </w:tcPr>
          <w:p w:rsidR="00E7140B" w:rsidRPr="003E3FEA" w:rsidRDefault="00E7140B" w:rsidP="00447EAB">
            <w:pPr>
              <w:spacing w:before="30" w:after="30"/>
              <w:ind w:left="57"/>
              <w:jc w:val="left"/>
              <w:rPr>
                <w:b/>
                <w:bCs/>
                <w:sz w:val="20"/>
                <w:lang w:val="es-ES_tradnl"/>
              </w:rPr>
            </w:pPr>
            <w:r w:rsidRPr="003E3FEA">
              <w:rPr>
                <w:b/>
                <w:bCs/>
                <w:sz w:val="20"/>
                <w:lang w:val="es-ES_tradnl"/>
              </w:rPr>
              <w:t>BS</w:t>
            </w:r>
          </w:p>
        </w:tc>
        <w:tc>
          <w:tcPr>
            <w:tcW w:w="8220" w:type="dxa"/>
            <w:tcBorders>
              <w:top w:val="nil"/>
              <w:bottom w:val="nil"/>
            </w:tcBorders>
            <w:shd w:val="clear" w:color="auto" w:fill="auto"/>
          </w:tcPr>
          <w:p w:rsidR="00E7140B" w:rsidRPr="003E3FEA" w:rsidRDefault="00E7140B" w:rsidP="00447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3E3FEA">
              <w:rPr>
                <w:b w:val="0"/>
                <w:bCs/>
                <w:sz w:val="20"/>
                <w:lang w:val="es-ES_tradnl"/>
              </w:rPr>
              <w:t>Servicio de radiodifusión (sonora)</w:t>
            </w:r>
          </w:p>
        </w:tc>
      </w:tr>
      <w:tr w:rsidR="00E7140B" w:rsidRPr="003E3FEA" w:rsidTr="00447EAB">
        <w:tc>
          <w:tcPr>
            <w:tcW w:w="1140" w:type="dxa"/>
            <w:tcBorders>
              <w:top w:val="nil"/>
              <w:bottom w:val="nil"/>
            </w:tcBorders>
            <w:shd w:val="clear" w:color="auto" w:fill="auto"/>
          </w:tcPr>
          <w:p w:rsidR="00E7140B" w:rsidRPr="003E3FEA" w:rsidRDefault="00E7140B" w:rsidP="00447EAB">
            <w:pPr>
              <w:spacing w:before="30" w:after="30"/>
              <w:ind w:left="57"/>
              <w:jc w:val="left"/>
              <w:rPr>
                <w:b/>
                <w:bCs/>
                <w:sz w:val="20"/>
                <w:lang w:val="es-ES_tradnl"/>
              </w:rPr>
            </w:pPr>
            <w:r w:rsidRPr="003E3FEA">
              <w:rPr>
                <w:b/>
                <w:bCs/>
                <w:sz w:val="20"/>
                <w:lang w:val="es-ES_tradnl"/>
              </w:rPr>
              <w:t>BT</w:t>
            </w:r>
          </w:p>
        </w:tc>
        <w:tc>
          <w:tcPr>
            <w:tcW w:w="8220" w:type="dxa"/>
            <w:tcBorders>
              <w:top w:val="nil"/>
              <w:bottom w:val="nil"/>
            </w:tcBorders>
            <w:shd w:val="clear" w:color="auto" w:fill="auto"/>
          </w:tcPr>
          <w:p w:rsidR="00E7140B" w:rsidRPr="003E3FEA" w:rsidRDefault="00E7140B" w:rsidP="00447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3E3FEA">
              <w:rPr>
                <w:b w:val="0"/>
                <w:bCs/>
                <w:sz w:val="20"/>
                <w:lang w:val="es-ES_tradnl"/>
              </w:rPr>
              <w:t>Servicio de radiodifusión (televisión)</w:t>
            </w:r>
          </w:p>
        </w:tc>
      </w:tr>
      <w:tr w:rsidR="00E7140B" w:rsidRPr="003E3FEA" w:rsidTr="00447EAB">
        <w:tc>
          <w:tcPr>
            <w:tcW w:w="1140" w:type="dxa"/>
            <w:tcBorders>
              <w:top w:val="nil"/>
              <w:bottom w:val="nil"/>
            </w:tcBorders>
            <w:shd w:val="clear" w:color="auto" w:fill="auto"/>
          </w:tcPr>
          <w:p w:rsidR="00E7140B" w:rsidRPr="003E3FEA" w:rsidRDefault="00E7140B" w:rsidP="00447EAB">
            <w:pPr>
              <w:spacing w:before="30" w:after="30"/>
              <w:ind w:left="57"/>
              <w:jc w:val="left"/>
              <w:rPr>
                <w:b/>
                <w:bCs/>
                <w:sz w:val="20"/>
                <w:lang w:val="es-ES_tradnl"/>
              </w:rPr>
            </w:pPr>
            <w:r w:rsidRPr="003E3FEA">
              <w:rPr>
                <w:b/>
                <w:bCs/>
                <w:sz w:val="20"/>
                <w:lang w:val="es-ES_tradnl"/>
              </w:rPr>
              <w:t>F</w:t>
            </w:r>
          </w:p>
        </w:tc>
        <w:tc>
          <w:tcPr>
            <w:tcW w:w="8220" w:type="dxa"/>
            <w:tcBorders>
              <w:top w:val="nil"/>
              <w:bottom w:val="nil"/>
            </w:tcBorders>
            <w:shd w:val="clear" w:color="auto" w:fill="auto"/>
          </w:tcPr>
          <w:p w:rsidR="00E7140B" w:rsidRPr="003E3FEA" w:rsidRDefault="00E7140B" w:rsidP="00447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3E3FEA">
              <w:rPr>
                <w:sz w:val="20"/>
                <w:lang w:val="es-ES_tradnl"/>
              </w:rPr>
              <w:t>Servicio fijo</w:t>
            </w:r>
          </w:p>
        </w:tc>
      </w:tr>
      <w:tr w:rsidR="00E7140B" w:rsidRPr="004F6627" w:rsidTr="00447EAB">
        <w:tc>
          <w:tcPr>
            <w:tcW w:w="1140" w:type="dxa"/>
            <w:tcBorders>
              <w:top w:val="nil"/>
              <w:bottom w:val="nil"/>
            </w:tcBorders>
            <w:shd w:val="clear" w:color="auto" w:fill="auto"/>
          </w:tcPr>
          <w:p w:rsidR="00E7140B" w:rsidRPr="003E3FEA" w:rsidRDefault="00E7140B" w:rsidP="00447EAB">
            <w:pPr>
              <w:spacing w:before="30" w:after="30"/>
              <w:ind w:left="57"/>
              <w:jc w:val="left"/>
              <w:rPr>
                <w:rFonts w:hAnsi="Times New Roman Bold"/>
                <w:b/>
                <w:bCs/>
                <w:sz w:val="20"/>
                <w:lang w:val="es-ES_tradnl"/>
              </w:rPr>
            </w:pPr>
            <w:r w:rsidRPr="003E3FEA">
              <w:rPr>
                <w:rFonts w:hAnsi="Times New Roman Bold"/>
                <w:b/>
                <w:bCs/>
                <w:sz w:val="20"/>
                <w:lang w:val="es-ES_tradnl"/>
              </w:rPr>
              <w:t>M</w:t>
            </w:r>
          </w:p>
        </w:tc>
        <w:tc>
          <w:tcPr>
            <w:tcW w:w="8220" w:type="dxa"/>
            <w:tcBorders>
              <w:top w:val="nil"/>
              <w:bottom w:val="nil"/>
            </w:tcBorders>
            <w:shd w:val="clear" w:color="auto" w:fill="auto"/>
          </w:tcPr>
          <w:p w:rsidR="00E7140B" w:rsidRPr="003E3FEA" w:rsidRDefault="00E7140B" w:rsidP="00447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3E3FEA">
              <w:rPr>
                <w:rFonts w:hAnsi="Times New Roman Bold"/>
                <w:b w:val="0"/>
                <w:sz w:val="20"/>
                <w:lang w:val="es-ES_tradnl"/>
              </w:rPr>
              <w:t>Servicios m</w:t>
            </w:r>
            <w:r w:rsidRPr="003E3FEA">
              <w:rPr>
                <w:rFonts w:hAnsi="Times New Roman Bold"/>
                <w:b w:val="0"/>
                <w:sz w:val="20"/>
                <w:lang w:val="es-ES_tradnl"/>
              </w:rPr>
              <w:t>ó</w:t>
            </w:r>
            <w:r w:rsidRPr="003E3FEA">
              <w:rPr>
                <w:rFonts w:hAnsi="Times New Roman Bold"/>
                <w:b w:val="0"/>
                <w:sz w:val="20"/>
                <w:lang w:val="es-ES_tradnl"/>
              </w:rPr>
              <w:t>viles, de radiodeterminaci</w:t>
            </w:r>
            <w:r w:rsidRPr="003E3FEA">
              <w:rPr>
                <w:rFonts w:hAnsi="Times New Roman Bold"/>
                <w:b w:val="0"/>
                <w:sz w:val="20"/>
                <w:lang w:val="es-ES_tradnl"/>
              </w:rPr>
              <w:t>ó</w:t>
            </w:r>
            <w:r w:rsidRPr="003E3FEA">
              <w:rPr>
                <w:rFonts w:hAnsi="Times New Roman Bold"/>
                <w:b w:val="0"/>
                <w:sz w:val="20"/>
                <w:lang w:val="es-ES_tradnl"/>
              </w:rPr>
              <w:t>n, de aficionados y otros servicios por sat</w:t>
            </w:r>
            <w:r w:rsidRPr="003E3FEA">
              <w:rPr>
                <w:rFonts w:hAnsi="Times New Roman Bold"/>
                <w:b w:val="0"/>
                <w:sz w:val="20"/>
                <w:lang w:val="es-ES_tradnl"/>
              </w:rPr>
              <w:t>é</w:t>
            </w:r>
            <w:r w:rsidRPr="003E3FEA">
              <w:rPr>
                <w:rFonts w:hAnsi="Times New Roman Bold"/>
                <w:b w:val="0"/>
                <w:sz w:val="20"/>
                <w:lang w:val="es-ES_tradnl"/>
              </w:rPr>
              <w:t>lite conexos</w:t>
            </w:r>
          </w:p>
        </w:tc>
      </w:tr>
      <w:tr w:rsidR="00E7140B" w:rsidRPr="004F6627" w:rsidTr="00447EAB">
        <w:tc>
          <w:tcPr>
            <w:tcW w:w="1140" w:type="dxa"/>
            <w:tcBorders>
              <w:top w:val="nil"/>
              <w:bottom w:val="nil"/>
            </w:tcBorders>
            <w:shd w:val="clear" w:color="auto" w:fill="auto"/>
          </w:tcPr>
          <w:p w:rsidR="00E7140B" w:rsidRPr="003E3FEA" w:rsidRDefault="00E7140B" w:rsidP="00447EAB">
            <w:pPr>
              <w:spacing w:before="30" w:after="30"/>
              <w:ind w:left="57"/>
              <w:jc w:val="left"/>
              <w:rPr>
                <w:b/>
                <w:bCs/>
                <w:sz w:val="20"/>
                <w:lang w:val="es-ES_tradnl"/>
              </w:rPr>
            </w:pPr>
            <w:r w:rsidRPr="003E3FEA">
              <w:rPr>
                <w:b/>
                <w:bCs/>
                <w:sz w:val="20"/>
                <w:lang w:val="es-ES_tradnl"/>
              </w:rPr>
              <w:t>P</w:t>
            </w:r>
          </w:p>
        </w:tc>
        <w:tc>
          <w:tcPr>
            <w:tcW w:w="8220" w:type="dxa"/>
            <w:tcBorders>
              <w:top w:val="nil"/>
              <w:bottom w:val="nil"/>
            </w:tcBorders>
            <w:shd w:val="clear" w:color="auto" w:fill="auto"/>
          </w:tcPr>
          <w:p w:rsidR="00E7140B" w:rsidRPr="003E3FEA" w:rsidRDefault="00E7140B" w:rsidP="00447EAB">
            <w:pPr>
              <w:spacing w:before="30" w:after="30"/>
              <w:jc w:val="left"/>
              <w:rPr>
                <w:sz w:val="20"/>
                <w:lang w:val="es-ES_tradnl"/>
              </w:rPr>
            </w:pPr>
            <w:r w:rsidRPr="003E3FEA">
              <w:rPr>
                <w:sz w:val="20"/>
                <w:lang w:val="es-ES_tradnl"/>
              </w:rPr>
              <w:t>Propagación de las ondas radioeléctricas</w:t>
            </w:r>
          </w:p>
        </w:tc>
      </w:tr>
      <w:tr w:rsidR="00E7140B" w:rsidRPr="003E3FEA" w:rsidTr="00447EAB">
        <w:tc>
          <w:tcPr>
            <w:tcW w:w="1140" w:type="dxa"/>
            <w:tcBorders>
              <w:top w:val="nil"/>
              <w:bottom w:val="nil"/>
            </w:tcBorders>
            <w:shd w:val="clear" w:color="auto" w:fill="auto"/>
          </w:tcPr>
          <w:p w:rsidR="00E7140B" w:rsidRPr="003E3FEA" w:rsidRDefault="00E7140B" w:rsidP="00447EAB">
            <w:pPr>
              <w:spacing w:before="30" w:after="30"/>
              <w:ind w:left="57"/>
              <w:jc w:val="left"/>
              <w:rPr>
                <w:b/>
                <w:bCs/>
                <w:sz w:val="20"/>
                <w:lang w:val="es-ES_tradnl"/>
              </w:rPr>
            </w:pPr>
            <w:r w:rsidRPr="003E3FEA">
              <w:rPr>
                <w:b/>
                <w:bCs/>
                <w:sz w:val="20"/>
                <w:lang w:val="es-ES_tradnl"/>
              </w:rPr>
              <w:t>RA</w:t>
            </w:r>
          </w:p>
        </w:tc>
        <w:tc>
          <w:tcPr>
            <w:tcW w:w="8220" w:type="dxa"/>
            <w:tcBorders>
              <w:top w:val="nil"/>
              <w:bottom w:val="nil"/>
            </w:tcBorders>
            <w:shd w:val="clear" w:color="auto" w:fill="auto"/>
          </w:tcPr>
          <w:p w:rsidR="00E7140B" w:rsidRPr="003E3FEA" w:rsidRDefault="00E7140B" w:rsidP="00447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3E3FEA">
              <w:rPr>
                <w:sz w:val="20"/>
                <w:lang w:val="es-ES_tradnl"/>
              </w:rPr>
              <w:t>Radioastronomía</w:t>
            </w:r>
          </w:p>
        </w:tc>
      </w:tr>
      <w:tr w:rsidR="00E7140B" w:rsidRPr="004F6627" w:rsidTr="00447EAB">
        <w:tc>
          <w:tcPr>
            <w:tcW w:w="1140" w:type="dxa"/>
            <w:tcBorders>
              <w:top w:val="nil"/>
              <w:bottom w:val="nil"/>
            </w:tcBorders>
            <w:shd w:val="clear" w:color="auto" w:fill="auto"/>
          </w:tcPr>
          <w:p w:rsidR="00E7140B" w:rsidRPr="003E3FEA" w:rsidRDefault="00E7140B" w:rsidP="00447EAB">
            <w:pPr>
              <w:spacing w:before="30" w:after="30"/>
              <w:ind w:left="57"/>
              <w:jc w:val="left"/>
              <w:rPr>
                <w:b/>
                <w:bCs/>
                <w:sz w:val="20"/>
                <w:lang w:val="es-ES_tradnl"/>
              </w:rPr>
            </w:pPr>
            <w:r w:rsidRPr="003E3FEA">
              <w:rPr>
                <w:b/>
                <w:bCs/>
                <w:sz w:val="20"/>
                <w:lang w:val="es-ES_tradnl"/>
              </w:rPr>
              <w:t>RS</w:t>
            </w:r>
          </w:p>
        </w:tc>
        <w:tc>
          <w:tcPr>
            <w:tcW w:w="8220" w:type="dxa"/>
            <w:tcBorders>
              <w:top w:val="nil"/>
              <w:bottom w:val="nil"/>
            </w:tcBorders>
            <w:shd w:val="clear" w:color="auto" w:fill="auto"/>
          </w:tcPr>
          <w:p w:rsidR="00E7140B" w:rsidRPr="003E3FEA" w:rsidRDefault="00E7140B" w:rsidP="00447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3E3FEA">
              <w:rPr>
                <w:sz w:val="20"/>
                <w:lang w:val="es-ES_tradnl"/>
              </w:rPr>
              <w:t>Sistemas de detección a distancia</w:t>
            </w:r>
          </w:p>
        </w:tc>
      </w:tr>
      <w:tr w:rsidR="00E7140B" w:rsidRPr="003E3FEA" w:rsidTr="00447EAB">
        <w:tc>
          <w:tcPr>
            <w:tcW w:w="1140" w:type="dxa"/>
            <w:tcBorders>
              <w:top w:val="nil"/>
              <w:bottom w:val="nil"/>
            </w:tcBorders>
            <w:shd w:val="clear" w:color="auto" w:fill="auto"/>
          </w:tcPr>
          <w:p w:rsidR="00E7140B" w:rsidRPr="003E3FEA" w:rsidRDefault="00E7140B" w:rsidP="00447EAB">
            <w:pPr>
              <w:spacing w:before="30" w:after="30"/>
              <w:ind w:left="57"/>
              <w:jc w:val="left"/>
              <w:rPr>
                <w:b/>
                <w:bCs/>
                <w:sz w:val="20"/>
                <w:lang w:val="es-ES_tradnl"/>
              </w:rPr>
            </w:pPr>
            <w:r w:rsidRPr="003E3FEA">
              <w:rPr>
                <w:b/>
                <w:bCs/>
                <w:sz w:val="20"/>
                <w:lang w:val="es-ES_tradnl"/>
              </w:rPr>
              <w:t>S</w:t>
            </w:r>
          </w:p>
        </w:tc>
        <w:tc>
          <w:tcPr>
            <w:tcW w:w="8220" w:type="dxa"/>
            <w:tcBorders>
              <w:top w:val="nil"/>
              <w:bottom w:val="nil"/>
            </w:tcBorders>
            <w:shd w:val="clear" w:color="auto" w:fill="auto"/>
          </w:tcPr>
          <w:p w:rsidR="00E7140B" w:rsidRPr="003E3FEA" w:rsidRDefault="00E7140B" w:rsidP="00447EAB">
            <w:pPr>
              <w:spacing w:before="30" w:after="30"/>
              <w:jc w:val="left"/>
              <w:rPr>
                <w:sz w:val="20"/>
                <w:lang w:val="es-ES_tradnl"/>
              </w:rPr>
            </w:pPr>
            <w:r w:rsidRPr="003E3FEA">
              <w:rPr>
                <w:sz w:val="20"/>
                <w:lang w:val="es-ES_tradnl"/>
              </w:rPr>
              <w:t>Servicio fijo por satélite</w:t>
            </w:r>
          </w:p>
        </w:tc>
      </w:tr>
      <w:tr w:rsidR="00E7140B" w:rsidRPr="003E3FEA" w:rsidTr="00447EAB">
        <w:tc>
          <w:tcPr>
            <w:tcW w:w="1140" w:type="dxa"/>
            <w:tcBorders>
              <w:top w:val="nil"/>
              <w:bottom w:val="nil"/>
            </w:tcBorders>
            <w:shd w:val="clear" w:color="auto" w:fill="auto"/>
          </w:tcPr>
          <w:p w:rsidR="00E7140B" w:rsidRPr="003E3FEA" w:rsidRDefault="00E7140B" w:rsidP="00447EAB">
            <w:pPr>
              <w:spacing w:before="30" w:after="30"/>
              <w:ind w:left="57"/>
              <w:jc w:val="left"/>
              <w:rPr>
                <w:b/>
                <w:bCs/>
                <w:sz w:val="20"/>
                <w:lang w:val="es-ES_tradnl"/>
              </w:rPr>
            </w:pPr>
            <w:r w:rsidRPr="003E3FEA">
              <w:rPr>
                <w:b/>
                <w:bCs/>
                <w:sz w:val="20"/>
                <w:lang w:val="es-ES_tradnl"/>
              </w:rPr>
              <w:t>SA</w:t>
            </w:r>
          </w:p>
        </w:tc>
        <w:tc>
          <w:tcPr>
            <w:tcW w:w="8220" w:type="dxa"/>
            <w:tcBorders>
              <w:top w:val="nil"/>
              <w:bottom w:val="nil"/>
            </w:tcBorders>
            <w:shd w:val="clear" w:color="auto" w:fill="auto"/>
          </w:tcPr>
          <w:p w:rsidR="00E7140B" w:rsidRPr="003E3FEA" w:rsidRDefault="00E7140B" w:rsidP="00447EAB">
            <w:pPr>
              <w:spacing w:before="30" w:after="30"/>
              <w:jc w:val="left"/>
              <w:rPr>
                <w:sz w:val="20"/>
                <w:lang w:val="es-ES_tradnl"/>
              </w:rPr>
            </w:pPr>
            <w:r w:rsidRPr="003E3FEA">
              <w:rPr>
                <w:sz w:val="20"/>
                <w:lang w:val="es-ES_tradnl"/>
              </w:rPr>
              <w:t>Aplicaciones espaciales y meteorología</w:t>
            </w:r>
          </w:p>
        </w:tc>
      </w:tr>
      <w:tr w:rsidR="00E7140B" w:rsidRPr="004F6627" w:rsidTr="00447EAB">
        <w:tc>
          <w:tcPr>
            <w:tcW w:w="1140" w:type="dxa"/>
            <w:tcBorders>
              <w:top w:val="nil"/>
              <w:bottom w:val="nil"/>
            </w:tcBorders>
            <w:shd w:val="clear" w:color="auto" w:fill="auto"/>
          </w:tcPr>
          <w:p w:rsidR="00E7140B" w:rsidRPr="003E3FEA" w:rsidRDefault="00E7140B" w:rsidP="00447EAB">
            <w:pPr>
              <w:spacing w:before="30" w:after="30"/>
              <w:ind w:left="57"/>
              <w:jc w:val="left"/>
              <w:rPr>
                <w:b/>
                <w:bCs/>
                <w:sz w:val="20"/>
                <w:lang w:val="es-ES_tradnl"/>
              </w:rPr>
            </w:pPr>
            <w:r w:rsidRPr="003E3FEA">
              <w:rPr>
                <w:b/>
                <w:bCs/>
                <w:sz w:val="20"/>
                <w:lang w:val="es-ES_tradnl"/>
              </w:rPr>
              <w:t>SF</w:t>
            </w:r>
          </w:p>
        </w:tc>
        <w:tc>
          <w:tcPr>
            <w:tcW w:w="8220" w:type="dxa"/>
            <w:tcBorders>
              <w:top w:val="nil"/>
              <w:bottom w:val="nil"/>
            </w:tcBorders>
            <w:shd w:val="clear" w:color="auto" w:fill="auto"/>
          </w:tcPr>
          <w:p w:rsidR="00E7140B" w:rsidRPr="003E3FEA" w:rsidRDefault="00E7140B" w:rsidP="00447EAB">
            <w:pPr>
              <w:spacing w:before="30" w:after="30"/>
              <w:jc w:val="left"/>
              <w:rPr>
                <w:sz w:val="20"/>
                <w:lang w:val="es-ES_tradnl"/>
              </w:rPr>
            </w:pPr>
            <w:r w:rsidRPr="003E3FEA">
              <w:rPr>
                <w:sz w:val="20"/>
                <w:lang w:val="es-ES_tradnl"/>
              </w:rPr>
              <w:t>Compartición de frecuencias y coordinación entre los sistemas del servicio fijo por satélite y del servicio fijo</w:t>
            </w:r>
          </w:p>
        </w:tc>
      </w:tr>
      <w:tr w:rsidR="00E7140B" w:rsidRPr="003E3FEA" w:rsidTr="00447EAB">
        <w:tc>
          <w:tcPr>
            <w:tcW w:w="1140" w:type="dxa"/>
            <w:tcBorders>
              <w:top w:val="nil"/>
              <w:bottom w:val="nil"/>
            </w:tcBorders>
            <w:shd w:val="clear" w:color="auto" w:fill="F3F3F3"/>
          </w:tcPr>
          <w:p w:rsidR="00E7140B" w:rsidRPr="003E3FEA" w:rsidRDefault="00E7140B" w:rsidP="00447EAB">
            <w:pPr>
              <w:spacing w:before="30" w:after="30"/>
              <w:ind w:left="57"/>
              <w:jc w:val="left"/>
              <w:rPr>
                <w:b/>
                <w:bCs/>
                <w:color w:val="000080"/>
                <w:sz w:val="20"/>
                <w:lang w:val="es-ES_tradnl"/>
              </w:rPr>
            </w:pPr>
            <w:r w:rsidRPr="003E3FEA">
              <w:rPr>
                <w:b/>
                <w:bCs/>
                <w:color w:val="000080"/>
                <w:sz w:val="20"/>
                <w:lang w:val="es-ES_tradnl"/>
              </w:rPr>
              <w:t>SM</w:t>
            </w:r>
          </w:p>
        </w:tc>
        <w:tc>
          <w:tcPr>
            <w:tcW w:w="8220" w:type="dxa"/>
            <w:tcBorders>
              <w:top w:val="nil"/>
              <w:bottom w:val="nil"/>
            </w:tcBorders>
            <w:shd w:val="clear" w:color="auto" w:fill="F3F3F3"/>
          </w:tcPr>
          <w:p w:rsidR="00E7140B" w:rsidRPr="003E3FEA" w:rsidRDefault="00E7140B" w:rsidP="00447EAB">
            <w:pPr>
              <w:spacing w:before="30" w:after="30"/>
              <w:jc w:val="left"/>
              <w:rPr>
                <w:b/>
                <w:bCs/>
                <w:color w:val="000080"/>
                <w:sz w:val="20"/>
                <w:lang w:val="es-ES_tradnl"/>
              </w:rPr>
            </w:pPr>
            <w:r w:rsidRPr="003E3FEA">
              <w:rPr>
                <w:b/>
                <w:bCs/>
                <w:color w:val="000080"/>
                <w:sz w:val="20"/>
                <w:lang w:val="es-ES_tradnl"/>
              </w:rPr>
              <w:t>Gestión del espectro</w:t>
            </w:r>
          </w:p>
        </w:tc>
      </w:tr>
      <w:tr w:rsidR="00E7140B" w:rsidRPr="003E3FEA" w:rsidTr="00447EAB">
        <w:tc>
          <w:tcPr>
            <w:tcW w:w="1140" w:type="dxa"/>
            <w:tcBorders>
              <w:top w:val="nil"/>
            </w:tcBorders>
          </w:tcPr>
          <w:p w:rsidR="00E7140B" w:rsidRPr="003E3FEA" w:rsidRDefault="00E7140B" w:rsidP="00447EAB">
            <w:pPr>
              <w:spacing w:before="30" w:after="30"/>
              <w:ind w:left="57"/>
              <w:jc w:val="left"/>
              <w:rPr>
                <w:b/>
                <w:bCs/>
                <w:sz w:val="20"/>
                <w:lang w:val="es-ES_tradnl"/>
              </w:rPr>
            </w:pPr>
            <w:r w:rsidRPr="003E3FEA">
              <w:rPr>
                <w:b/>
                <w:bCs/>
                <w:sz w:val="20"/>
                <w:lang w:val="es-ES_tradnl"/>
              </w:rPr>
              <w:t>SNG</w:t>
            </w:r>
          </w:p>
        </w:tc>
        <w:tc>
          <w:tcPr>
            <w:tcW w:w="8220" w:type="dxa"/>
            <w:tcBorders>
              <w:top w:val="nil"/>
            </w:tcBorders>
          </w:tcPr>
          <w:p w:rsidR="00E7140B" w:rsidRPr="003E3FEA" w:rsidRDefault="00E7140B" w:rsidP="00447EAB">
            <w:pPr>
              <w:spacing w:before="30" w:after="30"/>
              <w:jc w:val="left"/>
              <w:rPr>
                <w:bCs/>
                <w:sz w:val="20"/>
                <w:lang w:val="es-ES_tradnl"/>
              </w:rPr>
            </w:pPr>
            <w:r w:rsidRPr="003E3FEA">
              <w:rPr>
                <w:bCs/>
                <w:sz w:val="20"/>
                <w:lang w:val="es-ES_tradnl"/>
              </w:rPr>
              <w:t>Periodismo electrónico por satélite</w:t>
            </w:r>
          </w:p>
        </w:tc>
      </w:tr>
      <w:tr w:rsidR="00E7140B" w:rsidRPr="004F6627" w:rsidTr="00447EAB">
        <w:tc>
          <w:tcPr>
            <w:tcW w:w="1140" w:type="dxa"/>
          </w:tcPr>
          <w:p w:rsidR="00E7140B" w:rsidRPr="003E3FEA" w:rsidRDefault="00E7140B" w:rsidP="00447EAB">
            <w:pPr>
              <w:spacing w:before="30" w:after="30"/>
              <w:ind w:left="57"/>
              <w:jc w:val="left"/>
              <w:rPr>
                <w:b/>
                <w:bCs/>
                <w:sz w:val="20"/>
                <w:lang w:val="es-ES_tradnl"/>
              </w:rPr>
            </w:pPr>
            <w:r w:rsidRPr="003E3FEA">
              <w:rPr>
                <w:b/>
                <w:bCs/>
                <w:sz w:val="20"/>
                <w:lang w:val="es-ES_tradnl"/>
              </w:rPr>
              <w:t>TF</w:t>
            </w:r>
          </w:p>
        </w:tc>
        <w:tc>
          <w:tcPr>
            <w:tcW w:w="8220" w:type="dxa"/>
          </w:tcPr>
          <w:p w:rsidR="00E7140B" w:rsidRPr="003E3FEA" w:rsidRDefault="00E7140B" w:rsidP="00447EAB">
            <w:pPr>
              <w:spacing w:before="30" w:after="30"/>
              <w:jc w:val="left"/>
              <w:rPr>
                <w:bCs/>
                <w:sz w:val="20"/>
                <w:lang w:val="es-ES_tradnl"/>
              </w:rPr>
            </w:pPr>
            <w:r w:rsidRPr="003E3FEA">
              <w:rPr>
                <w:bCs/>
                <w:sz w:val="20"/>
                <w:lang w:val="es-ES_tradnl"/>
              </w:rPr>
              <w:t>Emisiones de frecuencias patrón y señales horarias</w:t>
            </w:r>
          </w:p>
        </w:tc>
      </w:tr>
      <w:tr w:rsidR="00E7140B" w:rsidRPr="003E3FEA" w:rsidTr="00447EAB">
        <w:tc>
          <w:tcPr>
            <w:tcW w:w="1140" w:type="dxa"/>
          </w:tcPr>
          <w:p w:rsidR="00E7140B" w:rsidRPr="003E3FEA" w:rsidRDefault="00E7140B" w:rsidP="00447EAB">
            <w:pPr>
              <w:spacing w:before="30" w:after="30"/>
              <w:ind w:left="57"/>
              <w:jc w:val="left"/>
              <w:rPr>
                <w:b/>
                <w:bCs/>
                <w:sz w:val="20"/>
                <w:lang w:val="es-ES_tradnl"/>
              </w:rPr>
            </w:pPr>
            <w:r w:rsidRPr="003E3FEA">
              <w:rPr>
                <w:b/>
                <w:bCs/>
                <w:sz w:val="20"/>
                <w:lang w:val="es-ES_tradnl"/>
              </w:rPr>
              <w:t>V</w:t>
            </w:r>
          </w:p>
        </w:tc>
        <w:tc>
          <w:tcPr>
            <w:tcW w:w="8220" w:type="dxa"/>
          </w:tcPr>
          <w:p w:rsidR="00E7140B" w:rsidRPr="003E3FEA" w:rsidRDefault="00E7140B" w:rsidP="00447EAB">
            <w:pPr>
              <w:spacing w:before="30" w:after="140"/>
              <w:jc w:val="left"/>
              <w:rPr>
                <w:bCs/>
                <w:sz w:val="20"/>
                <w:lang w:val="es-ES_tradnl"/>
              </w:rPr>
            </w:pPr>
            <w:r w:rsidRPr="003E3FEA">
              <w:rPr>
                <w:bCs/>
                <w:sz w:val="20"/>
                <w:lang w:val="es-ES_tradnl"/>
              </w:rPr>
              <w:t>Vocabulario y cuestiones afines</w:t>
            </w:r>
          </w:p>
        </w:tc>
      </w:tr>
    </w:tbl>
    <w:p w:rsidR="00E7140B" w:rsidRPr="003E3FEA" w:rsidRDefault="00E7140B" w:rsidP="00E7140B">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E7140B" w:rsidRPr="003E3FEA" w:rsidTr="00447EAB">
        <w:tc>
          <w:tcPr>
            <w:tcW w:w="720" w:type="dxa"/>
          </w:tcPr>
          <w:p w:rsidR="00E7140B" w:rsidRPr="003E3FEA" w:rsidRDefault="00E7140B" w:rsidP="00447EAB">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7140B" w:rsidRPr="004F6627" w:rsidTr="00447EAB">
        <w:tc>
          <w:tcPr>
            <w:tcW w:w="9360" w:type="dxa"/>
          </w:tcPr>
          <w:p w:rsidR="00E7140B" w:rsidRPr="003E3FEA" w:rsidRDefault="00E7140B" w:rsidP="00447EAB">
            <w:pPr>
              <w:spacing w:before="92" w:after="92"/>
              <w:jc w:val="left"/>
              <w:rPr>
                <w:i/>
                <w:iCs/>
                <w:sz w:val="20"/>
                <w:lang w:val="es-ES_tradnl"/>
              </w:rPr>
            </w:pPr>
            <w:r w:rsidRPr="003E3FEA">
              <w:rPr>
                <w:b/>
                <w:bCs/>
                <w:i/>
                <w:iCs/>
                <w:sz w:val="20"/>
                <w:lang w:val="es-ES_tradnl"/>
              </w:rPr>
              <w:t>Nota</w:t>
            </w:r>
            <w:r w:rsidRPr="003E3FEA">
              <w:rPr>
                <w:i/>
                <w:iCs/>
                <w:sz w:val="20"/>
                <w:lang w:val="es-ES_tradnl"/>
              </w:rPr>
              <w:t xml:space="preserve">: Esta Recomendación UIT-R fue aprobada en inglés conforme al procedimiento detallado en la </w:t>
            </w:r>
            <w:r w:rsidRPr="003E3FEA">
              <w:rPr>
                <w:i/>
                <w:iCs/>
                <w:sz w:val="20"/>
                <w:lang w:val="es-ES_tradnl"/>
              </w:rPr>
              <w:br/>
              <w:t>Resolución UIT-R 1.</w:t>
            </w:r>
          </w:p>
        </w:tc>
      </w:tr>
    </w:tbl>
    <w:p w:rsidR="00E7140B" w:rsidRPr="003E3FEA" w:rsidRDefault="00E7140B" w:rsidP="00E7140B">
      <w:pPr>
        <w:spacing w:before="0"/>
        <w:jc w:val="center"/>
        <w:rPr>
          <w:sz w:val="22"/>
          <w:lang w:val="es-ES_tradnl"/>
        </w:rPr>
      </w:pPr>
    </w:p>
    <w:p w:rsidR="00E7140B" w:rsidRPr="003E3FEA" w:rsidRDefault="00E7140B" w:rsidP="00E7140B">
      <w:pPr>
        <w:spacing w:before="60"/>
        <w:jc w:val="right"/>
        <w:rPr>
          <w:i/>
          <w:iCs/>
          <w:sz w:val="20"/>
          <w:lang w:val="es-ES_tradnl"/>
        </w:rPr>
      </w:pPr>
      <w:r w:rsidRPr="003E3FEA">
        <w:rPr>
          <w:i/>
          <w:iCs/>
          <w:sz w:val="20"/>
          <w:lang w:val="es-ES_tradnl"/>
        </w:rPr>
        <w:t>Publicación electrónica</w:t>
      </w:r>
    </w:p>
    <w:p w:rsidR="00E7140B" w:rsidRPr="003E3FEA" w:rsidRDefault="00E7140B" w:rsidP="00E7140B">
      <w:pPr>
        <w:spacing w:before="0" w:after="40"/>
        <w:jc w:val="right"/>
        <w:rPr>
          <w:sz w:val="20"/>
          <w:lang w:val="es-ES_tradnl"/>
        </w:rPr>
      </w:pPr>
      <w:r w:rsidRPr="003E3FEA">
        <w:rPr>
          <w:sz w:val="20"/>
          <w:lang w:val="es-ES_tradnl"/>
        </w:rPr>
        <w:t>Ginebra, 2015</w:t>
      </w:r>
    </w:p>
    <w:p w:rsidR="00E7140B" w:rsidRPr="003E3FEA" w:rsidRDefault="00E7140B" w:rsidP="00E7140B">
      <w:pPr>
        <w:spacing w:before="0"/>
        <w:jc w:val="center"/>
        <w:rPr>
          <w:sz w:val="22"/>
          <w:lang w:val="es-ES_tradnl"/>
        </w:rPr>
      </w:pPr>
    </w:p>
    <w:p w:rsidR="00E7140B" w:rsidRPr="003E3FEA" w:rsidRDefault="00E7140B" w:rsidP="00E7140B">
      <w:pPr>
        <w:spacing w:before="0"/>
        <w:jc w:val="center"/>
        <w:rPr>
          <w:sz w:val="20"/>
          <w:lang w:val="es-ES_tradnl"/>
        </w:rPr>
      </w:pPr>
      <w:r w:rsidRPr="003E3FEA">
        <w:rPr>
          <w:sz w:val="20"/>
          <w:lang w:val="es-ES_tradnl"/>
        </w:rPr>
        <w:sym w:font="Symbol" w:char="F0E3"/>
      </w:r>
      <w:r w:rsidRPr="003E3FEA">
        <w:rPr>
          <w:sz w:val="20"/>
          <w:lang w:val="es-ES_tradnl"/>
        </w:rPr>
        <w:t xml:space="preserve"> UIT </w:t>
      </w:r>
      <w:bookmarkStart w:id="4" w:name="iiannee"/>
      <w:bookmarkEnd w:id="4"/>
      <w:r w:rsidRPr="003E3FEA">
        <w:rPr>
          <w:sz w:val="20"/>
          <w:lang w:val="es-ES_tradnl"/>
        </w:rPr>
        <w:t>2015</w:t>
      </w:r>
    </w:p>
    <w:p w:rsidR="00E7140B" w:rsidRPr="003E3FEA" w:rsidRDefault="00E7140B" w:rsidP="00E7140B">
      <w:pPr>
        <w:spacing w:before="80"/>
        <w:rPr>
          <w:sz w:val="18"/>
          <w:szCs w:val="18"/>
          <w:lang w:val="es-ES_tradnl"/>
        </w:rPr>
      </w:pPr>
      <w:r w:rsidRPr="003E3FEA">
        <w:rPr>
          <w:sz w:val="18"/>
          <w:szCs w:val="18"/>
          <w:lang w:val="es-ES_tradnl"/>
        </w:rPr>
        <w:t>Reservados todos los derechos. Ninguna parte de esta publicación puede reproducirse por ningún procedimiento sin previa autorización escrita por parte de la UIT.</w:t>
      </w:r>
    </w:p>
    <w:p w:rsidR="00E7140B" w:rsidRPr="003E3FEA" w:rsidRDefault="00E7140B" w:rsidP="00E7140B">
      <w:pPr>
        <w:spacing w:before="160"/>
        <w:rPr>
          <w:i/>
          <w:sz w:val="20"/>
          <w:highlight w:val="yellow"/>
          <w:lang w:val="es-ES_tradnl"/>
        </w:rPr>
        <w:sectPr w:rsidR="00E7140B" w:rsidRPr="003E3FEA" w:rsidSect="00D62884">
          <w:headerReference w:type="even" r:id="rId13"/>
          <w:headerReference w:type="default" r:id="rId14"/>
          <w:pgSz w:w="11907" w:h="16834" w:code="9"/>
          <w:pgMar w:top="1418" w:right="1134" w:bottom="1134" w:left="1134" w:header="720" w:footer="482" w:gutter="0"/>
          <w:pgNumType w:fmt="lowerRoman" w:start="2"/>
          <w:cols w:space="720"/>
        </w:sectPr>
      </w:pPr>
    </w:p>
    <w:p w:rsidR="00E7140B" w:rsidRPr="003E3FEA" w:rsidRDefault="00E7140B" w:rsidP="0022407D">
      <w:pPr>
        <w:pStyle w:val="RecNo"/>
        <w:spacing w:before="0"/>
        <w:rPr>
          <w:lang w:val="es-ES_tradnl"/>
        </w:rPr>
      </w:pPr>
      <w:bookmarkStart w:id="5" w:name="irecnoe"/>
      <w:bookmarkEnd w:id="5"/>
      <w:r w:rsidRPr="003E3FEA">
        <w:rPr>
          <w:lang w:val="es-ES_tradnl"/>
        </w:rPr>
        <w:lastRenderedPageBreak/>
        <w:t xml:space="preserve">RECOMENDACIÓN  </w:t>
      </w:r>
      <w:r w:rsidRPr="003E3FEA">
        <w:rPr>
          <w:rStyle w:val="href"/>
          <w:lang w:val="es-ES_tradnl"/>
        </w:rPr>
        <w:t>UIT-R  SM.2061-0</w:t>
      </w:r>
      <w:r w:rsidR="0022407D">
        <w:rPr>
          <w:rStyle w:val="FootnoteReference"/>
          <w:lang w:val="es-ES_tradnl"/>
        </w:rPr>
        <w:footnoteReference w:id="1"/>
      </w:r>
    </w:p>
    <w:p w:rsidR="00E7140B" w:rsidRPr="003E3FEA" w:rsidRDefault="00E7140B" w:rsidP="00A921EC">
      <w:pPr>
        <w:pStyle w:val="Rectitle"/>
        <w:spacing w:before="120"/>
        <w:rPr>
          <w:lang w:val="es-ES_tradnl"/>
        </w:rPr>
      </w:pPr>
      <w:bookmarkStart w:id="6" w:name="lt_pId059"/>
      <w:r w:rsidRPr="003E3FEA">
        <w:rPr>
          <w:lang w:val="es-ES_tradnl"/>
        </w:rPr>
        <w:t>Procedimiento de prueba para medir la inmunidad de los sistemas</w:t>
      </w:r>
      <w:r w:rsidR="008F1D6B" w:rsidRPr="003E3FEA">
        <w:rPr>
          <w:lang w:val="es-ES_tradnl"/>
        </w:rPr>
        <w:br/>
      </w:r>
      <w:r w:rsidRPr="003E3FEA">
        <w:rPr>
          <w:lang w:val="es-ES_tradnl"/>
        </w:rPr>
        <w:t>de radiogoniometría a la propagación multitrayecto</w:t>
      </w:r>
      <w:bookmarkEnd w:id="6"/>
    </w:p>
    <w:p w:rsidR="00E7140B" w:rsidRPr="003E3FEA" w:rsidRDefault="00E7140B" w:rsidP="00E7140B">
      <w:pPr>
        <w:pStyle w:val="Recdate"/>
        <w:rPr>
          <w:lang w:val="es-ES_tradnl"/>
        </w:rPr>
      </w:pPr>
      <w:r w:rsidRPr="003E3FEA">
        <w:rPr>
          <w:lang w:val="es-ES_tradnl"/>
        </w:rPr>
        <w:t>(2014)</w:t>
      </w:r>
    </w:p>
    <w:p w:rsidR="00E7140B" w:rsidRPr="003E3FEA" w:rsidRDefault="00E7140B" w:rsidP="00E7140B">
      <w:pPr>
        <w:pStyle w:val="HeadingSum"/>
        <w:rPr>
          <w:lang w:eastAsia="ko-KR"/>
        </w:rPr>
      </w:pPr>
      <w:r w:rsidRPr="003E3FEA">
        <w:rPr>
          <w:lang w:eastAsia="ko-KR"/>
        </w:rPr>
        <w:t>Cometido</w:t>
      </w:r>
    </w:p>
    <w:p w:rsidR="00E7140B" w:rsidRPr="003E3FEA" w:rsidRDefault="00E7140B" w:rsidP="00E7140B">
      <w:pPr>
        <w:pStyle w:val="Summary"/>
        <w:rPr>
          <w:b/>
          <w:color w:val="000000"/>
        </w:rPr>
      </w:pPr>
      <w:bookmarkStart w:id="7" w:name="lt_pId063"/>
      <w:r w:rsidRPr="003E3FEA">
        <w:t>La presente Recomendación describe procedimientos de prueba para medir la inmunidad de los sistemas de radiogoniometría fijos y móviles a la propagación multitrayecto.</w:t>
      </w:r>
      <w:bookmarkEnd w:id="7"/>
      <w:r w:rsidRPr="003E3FEA">
        <w:t xml:space="preserve"> </w:t>
      </w:r>
    </w:p>
    <w:p w:rsidR="00E7140B" w:rsidRPr="003E3FEA" w:rsidRDefault="00E7140B" w:rsidP="0022407D">
      <w:pPr>
        <w:pStyle w:val="Headingb"/>
        <w:spacing w:before="120"/>
        <w:rPr>
          <w:lang w:val="es-ES_tradnl" w:eastAsia="ko-KR"/>
        </w:rPr>
      </w:pPr>
      <w:bookmarkStart w:id="8" w:name="lt_pId064"/>
      <w:r w:rsidRPr="003E3FEA">
        <w:rPr>
          <w:lang w:val="es-ES_tradnl" w:eastAsia="ko-KR"/>
        </w:rPr>
        <w:t>Palabras clave</w:t>
      </w:r>
      <w:bookmarkEnd w:id="8"/>
    </w:p>
    <w:p w:rsidR="00E7140B" w:rsidRPr="003E3FEA" w:rsidRDefault="00E7140B" w:rsidP="00E7140B">
      <w:pPr>
        <w:rPr>
          <w:lang w:val="es-ES_tradnl"/>
        </w:rPr>
      </w:pPr>
      <w:bookmarkStart w:id="9" w:name="lt_pId065"/>
      <w:r w:rsidRPr="003E3FEA">
        <w:rPr>
          <w:lang w:val="es-ES_tradnl"/>
        </w:rPr>
        <w:t>Sistema de radiogoniometría, procedimiento de prueba, inmunidad, propagación multitrayecto, emplazamiento de prueba de zona abierta, EPZA</w:t>
      </w:r>
      <w:bookmarkEnd w:id="9"/>
      <w:r w:rsidR="003E3FEA">
        <w:rPr>
          <w:lang w:val="es-ES_tradnl"/>
        </w:rPr>
        <w:t>.</w:t>
      </w:r>
    </w:p>
    <w:p w:rsidR="00E7140B" w:rsidRPr="003E3FEA" w:rsidRDefault="00E7140B" w:rsidP="00E7140B">
      <w:pPr>
        <w:pStyle w:val="Headingb"/>
        <w:rPr>
          <w:lang w:val="es-ES_tradnl" w:eastAsia="zh-CN"/>
        </w:rPr>
      </w:pPr>
      <w:bookmarkStart w:id="10" w:name="lt_pId066"/>
      <w:r w:rsidRPr="003E3FEA">
        <w:rPr>
          <w:lang w:val="es-ES_tradnl" w:eastAsia="zh-CN"/>
        </w:rPr>
        <w:t>Recomendaciones e Informes de la UIT relacionados</w:t>
      </w:r>
      <w:bookmarkEnd w:id="10"/>
    </w:p>
    <w:p w:rsidR="00E7140B" w:rsidRPr="003E3FEA" w:rsidRDefault="00E7140B" w:rsidP="004F6627">
      <w:pPr>
        <w:rPr>
          <w:lang w:val="es-ES_tradnl" w:eastAsia="zh-CN"/>
        </w:rPr>
      </w:pPr>
      <w:bookmarkStart w:id="11" w:name="lt_pId067"/>
      <w:r w:rsidRPr="003E3FEA">
        <w:rPr>
          <w:lang w:val="es-ES_tradnl" w:eastAsia="zh-CN"/>
        </w:rPr>
        <w:t xml:space="preserve">Recomendación UIT-R </w:t>
      </w:r>
      <w:r w:rsidRPr="003E3FEA">
        <w:rPr>
          <w:lang w:val="es-ES_tradnl"/>
        </w:rPr>
        <w:t>SM.2060.</w:t>
      </w:r>
      <w:bookmarkEnd w:id="11"/>
    </w:p>
    <w:p w:rsidR="004F6627" w:rsidRDefault="004F6627" w:rsidP="00E7140B">
      <w:pPr>
        <w:rPr>
          <w:lang w:val="es-ES_tradnl"/>
        </w:rPr>
      </w:pPr>
      <w:bookmarkStart w:id="12" w:name="lt_pId068"/>
      <w:r>
        <w:rPr>
          <w:lang w:val="es-ES_tradnl"/>
        </w:rPr>
        <w:t>Informe UIT-R SM.2354.</w:t>
      </w:r>
    </w:p>
    <w:p w:rsidR="00E7140B" w:rsidRPr="003E3FEA" w:rsidRDefault="00E7140B" w:rsidP="00E7140B">
      <w:pPr>
        <w:rPr>
          <w:lang w:val="es-ES_tradnl"/>
        </w:rPr>
      </w:pPr>
      <w:r w:rsidRPr="003E3FEA">
        <w:rPr>
          <w:lang w:val="es-ES_tradnl"/>
        </w:rPr>
        <w:t>NOTA – Siempre se habrá de utilizar la última edición en vigor de la Recomendación/Informe.</w:t>
      </w:r>
      <w:bookmarkEnd w:id="12"/>
    </w:p>
    <w:p w:rsidR="00E7140B" w:rsidRPr="003E3FEA" w:rsidRDefault="00E7140B" w:rsidP="00E7140B">
      <w:pPr>
        <w:pStyle w:val="Normalaftertitle"/>
        <w:rPr>
          <w:lang w:val="es-ES_tradnl"/>
        </w:rPr>
      </w:pPr>
      <w:bookmarkStart w:id="13" w:name="lt_pId069"/>
      <w:r w:rsidRPr="003E3FEA">
        <w:rPr>
          <w:lang w:val="es-ES_tradnl"/>
        </w:rPr>
        <w:t>La Asamblea de Radiocomunicaciones de la UIT,</w:t>
      </w:r>
      <w:bookmarkEnd w:id="13"/>
    </w:p>
    <w:p w:rsidR="00E7140B" w:rsidRPr="003E3FEA" w:rsidRDefault="00E7140B" w:rsidP="00E7140B">
      <w:pPr>
        <w:pStyle w:val="Call"/>
        <w:rPr>
          <w:lang w:val="es-ES_tradnl"/>
        </w:rPr>
      </w:pPr>
      <w:bookmarkStart w:id="14" w:name="lt_pId070"/>
      <w:r w:rsidRPr="003E3FEA">
        <w:rPr>
          <w:lang w:val="es-ES_tradnl"/>
        </w:rPr>
        <w:t>considerando</w:t>
      </w:r>
      <w:bookmarkEnd w:id="14"/>
    </w:p>
    <w:p w:rsidR="00E7140B" w:rsidRPr="003E3FEA" w:rsidRDefault="00E7140B" w:rsidP="00A921EC">
      <w:pPr>
        <w:spacing w:before="80"/>
        <w:rPr>
          <w:lang w:val="es-ES_tradnl"/>
        </w:rPr>
      </w:pPr>
      <w:r w:rsidRPr="003E3FEA">
        <w:rPr>
          <w:i/>
          <w:iCs/>
          <w:lang w:val="es-ES_tradnl"/>
        </w:rPr>
        <w:t>a)</w:t>
      </w:r>
      <w:r w:rsidRPr="003E3FEA">
        <w:rPr>
          <w:lang w:val="es-ES_tradnl"/>
        </w:rPr>
        <w:tab/>
      </w:r>
      <w:bookmarkStart w:id="15" w:name="lt_pId072"/>
      <w:r w:rsidRPr="003E3FEA">
        <w:rPr>
          <w:lang w:val="es-ES_tradnl"/>
        </w:rPr>
        <w:t>que el UIT-R ha publicado la inmunidad a frentes de onda distorsionados de los distintos sistemas de radiogoniometría en el Manual sobre Comprobación técnica del espectro de la UIT (edición de 2011);</w:t>
      </w:r>
      <w:bookmarkEnd w:id="15"/>
    </w:p>
    <w:p w:rsidR="00E7140B" w:rsidRPr="003E3FEA" w:rsidRDefault="00E7140B" w:rsidP="00A921EC">
      <w:pPr>
        <w:spacing w:before="80"/>
        <w:rPr>
          <w:lang w:val="es-ES_tradnl"/>
        </w:rPr>
      </w:pPr>
      <w:r w:rsidRPr="003E3FEA">
        <w:rPr>
          <w:i/>
          <w:iCs/>
          <w:lang w:val="es-ES_tradnl"/>
        </w:rPr>
        <w:t>b)</w:t>
      </w:r>
      <w:r w:rsidRPr="003E3FEA">
        <w:rPr>
          <w:lang w:val="es-ES_tradnl"/>
        </w:rPr>
        <w:tab/>
      </w:r>
      <w:bookmarkStart w:id="16" w:name="lt_pId074"/>
      <w:r w:rsidRPr="003E3FEA">
        <w:rPr>
          <w:lang w:val="es-ES_tradnl"/>
        </w:rPr>
        <w:t>que la inmunidad a frentes de onda distorsionados es una importante especificación de los sistemas de radiogoniometría, pues en la realidad la propagación multitrayecto suele generar frentes de onda distorsionados;</w:t>
      </w:r>
      <w:bookmarkEnd w:id="16"/>
    </w:p>
    <w:p w:rsidR="00E7140B" w:rsidRPr="003E3FEA" w:rsidRDefault="00E7140B" w:rsidP="00A921EC">
      <w:pPr>
        <w:spacing w:before="80"/>
        <w:rPr>
          <w:lang w:val="es-ES_tradnl"/>
        </w:rPr>
      </w:pPr>
      <w:r w:rsidRPr="003E3FEA">
        <w:rPr>
          <w:i/>
          <w:iCs/>
          <w:lang w:val="es-ES_tradnl"/>
        </w:rPr>
        <w:t>c)</w:t>
      </w:r>
      <w:r w:rsidRPr="003E3FEA">
        <w:rPr>
          <w:lang w:val="es-ES_tradnl"/>
        </w:rPr>
        <w:tab/>
      </w:r>
      <w:bookmarkStart w:id="17" w:name="lt_pId076"/>
      <w:r w:rsidRPr="003E3FEA">
        <w:rPr>
          <w:lang w:val="es-ES_tradnl"/>
        </w:rPr>
        <w:t>que la especificación de la inmunidad de los sistemas de radiogoniometría a los frentes de onda distorsionados depende en gran medida de los procedimientos de prueba aplicados;</w:t>
      </w:r>
      <w:bookmarkEnd w:id="17"/>
    </w:p>
    <w:p w:rsidR="00E7140B" w:rsidRPr="003E3FEA" w:rsidRDefault="00E7140B" w:rsidP="00A921EC">
      <w:pPr>
        <w:spacing w:before="80"/>
        <w:rPr>
          <w:lang w:val="es-ES_tradnl"/>
        </w:rPr>
      </w:pPr>
      <w:r w:rsidRPr="003E3FEA">
        <w:rPr>
          <w:i/>
          <w:iCs/>
          <w:lang w:val="es-ES_tradnl"/>
        </w:rPr>
        <w:t>d)</w:t>
      </w:r>
      <w:r w:rsidRPr="003E3FEA">
        <w:rPr>
          <w:lang w:val="es-ES_tradnl"/>
        </w:rPr>
        <w:tab/>
      </w:r>
      <w:bookmarkStart w:id="18" w:name="lt_pId078"/>
      <w:r w:rsidRPr="003E3FEA">
        <w:rPr>
          <w:lang w:val="es-ES_tradnl"/>
        </w:rPr>
        <w:t>que los procedimientos de prueba para medir la inmunidad de los sistemas de radiogoniometría a los frentes de onda distorsionados deben ser independientes del diseño del sistema de radiogoniometría;</w:t>
      </w:r>
      <w:bookmarkEnd w:id="18"/>
    </w:p>
    <w:p w:rsidR="00E7140B" w:rsidRPr="003E3FEA" w:rsidRDefault="00E7140B" w:rsidP="00A921EC">
      <w:pPr>
        <w:spacing w:before="80"/>
        <w:rPr>
          <w:lang w:val="es-ES_tradnl"/>
        </w:rPr>
      </w:pPr>
      <w:r w:rsidRPr="003E3FEA">
        <w:rPr>
          <w:i/>
          <w:iCs/>
          <w:lang w:val="es-ES_tradnl"/>
        </w:rPr>
        <w:t>e)</w:t>
      </w:r>
      <w:r w:rsidRPr="003E3FEA">
        <w:rPr>
          <w:lang w:val="es-ES_tradnl"/>
        </w:rPr>
        <w:tab/>
      </w:r>
      <w:bookmarkStart w:id="19" w:name="lt_pId080"/>
      <w:r w:rsidRPr="003E3FEA">
        <w:rPr>
          <w:lang w:val="es-ES_tradnl"/>
        </w:rPr>
        <w:t>que, si todos los fabricantes de sistemas de radiogoniometría destinados a la comprobación técnica del espectro civil adoptan procedimientos de prueba bien definidos para medir la inmunidad de los sistemas de radiogoniometría a los frentes de onda distorsionados a fin de probar la influencia de la propagación multitrayecto en condiciones que se aproximan a la realidad, se derivará un beneficio para los usuarios de tales sistemas de radiogoniometría, pues será posible realizar una evaluación más fácil y objetiva de los productos de distintos fabricantes,</w:t>
      </w:r>
      <w:bookmarkEnd w:id="19"/>
    </w:p>
    <w:p w:rsidR="00E7140B" w:rsidRPr="003E3FEA" w:rsidRDefault="00E7140B" w:rsidP="00E7140B">
      <w:pPr>
        <w:pStyle w:val="Call"/>
        <w:rPr>
          <w:lang w:val="es-ES_tradnl"/>
        </w:rPr>
      </w:pPr>
      <w:bookmarkStart w:id="20" w:name="lt_pId081"/>
      <w:r w:rsidRPr="003E3FEA">
        <w:rPr>
          <w:lang w:val="es-ES_tradnl"/>
        </w:rPr>
        <w:t>recomienda</w:t>
      </w:r>
      <w:bookmarkEnd w:id="20"/>
    </w:p>
    <w:p w:rsidR="00E7140B" w:rsidRPr="003E3FEA" w:rsidRDefault="00E7140B" w:rsidP="00E7140B">
      <w:pPr>
        <w:rPr>
          <w:lang w:val="es-ES_tradnl"/>
        </w:rPr>
      </w:pPr>
      <w:r w:rsidRPr="003E3FEA">
        <w:rPr>
          <w:b/>
          <w:bCs/>
          <w:lang w:val="es-ES_tradnl"/>
        </w:rPr>
        <w:t>1</w:t>
      </w:r>
      <w:r w:rsidRPr="003E3FEA">
        <w:rPr>
          <w:lang w:val="es-ES_tradnl"/>
        </w:rPr>
        <w:tab/>
      </w:r>
      <w:bookmarkStart w:id="21" w:name="lt_pId083"/>
      <w:r w:rsidRPr="003E3FEA">
        <w:rPr>
          <w:lang w:val="es-ES_tradnl"/>
        </w:rPr>
        <w:t>que se utilice el método expuesto en el Anexo 1 para determinar y dar cuenta de la inmunidad de los sistemas de radiogoniometría fijos y móviles a frentes de onda distorsionados causados por la propagación multitrayecto.</w:t>
      </w:r>
      <w:bookmarkEnd w:id="21"/>
    </w:p>
    <w:p w:rsidR="00E7140B" w:rsidRPr="003E3FEA" w:rsidRDefault="00E7140B" w:rsidP="00FD064D">
      <w:pPr>
        <w:pStyle w:val="AnnexNoTitle"/>
        <w:rPr>
          <w:lang w:val="es-ES_tradnl"/>
        </w:rPr>
      </w:pPr>
      <w:bookmarkStart w:id="22" w:name="lt_pId084"/>
      <w:r w:rsidRPr="003E3FEA">
        <w:rPr>
          <w:lang w:val="es-ES_tradnl"/>
        </w:rPr>
        <w:lastRenderedPageBreak/>
        <w:t>Anexo 1</w:t>
      </w:r>
      <w:bookmarkEnd w:id="22"/>
      <w:r w:rsidRPr="003E3FEA">
        <w:rPr>
          <w:lang w:val="es-ES_tradnl"/>
        </w:rPr>
        <w:br/>
      </w:r>
      <w:r w:rsidRPr="003E3FEA">
        <w:rPr>
          <w:lang w:val="es-ES_tradnl"/>
        </w:rPr>
        <w:br/>
      </w:r>
      <w:bookmarkStart w:id="23" w:name="lt_pId085"/>
      <w:r w:rsidRPr="003E3FEA">
        <w:rPr>
          <w:lang w:val="es-ES_tradnl"/>
        </w:rPr>
        <w:t>Inmunidad a frentes de onda distorsionados causados por la propagación</w:t>
      </w:r>
      <w:r w:rsidR="00FD064D" w:rsidRPr="003E3FEA">
        <w:rPr>
          <w:lang w:val="es-ES_tradnl"/>
        </w:rPr>
        <w:br/>
      </w:r>
      <w:r w:rsidRPr="003E3FEA">
        <w:rPr>
          <w:lang w:val="es-ES_tradnl"/>
        </w:rPr>
        <w:t xml:space="preserve">multitrayecto: procedimiento de prueba para sistemas </w:t>
      </w:r>
      <w:r w:rsidRPr="003E3FEA">
        <w:rPr>
          <w:lang w:val="es-ES_tradnl"/>
        </w:rPr>
        <w:br/>
      </w:r>
      <w:r w:rsidR="008F1D6B" w:rsidRPr="003E3FEA">
        <w:rPr>
          <w:lang w:val="es-ES_tradnl"/>
        </w:rPr>
        <w:t xml:space="preserve">de </w:t>
      </w:r>
      <w:r w:rsidRPr="003E3FEA">
        <w:rPr>
          <w:lang w:val="es-ES_tradnl"/>
        </w:rPr>
        <w:t>radiogoniometría fijos y móviles</w:t>
      </w:r>
      <w:bookmarkEnd w:id="23"/>
    </w:p>
    <w:p w:rsidR="00E7140B" w:rsidRPr="003E3FEA" w:rsidRDefault="00E7140B" w:rsidP="00E7140B">
      <w:pPr>
        <w:pStyle w:val="Heading1"/>
        <w:rPr>
          <w:lang w:val="es-ES_tradnl"/>
        </w:rPr>
      </w:pPr>
      <w:r w:rsidRPr="003E3FEA">
        <w:rPr>
          <w:lang w:val="es-ES_tradnl"/>
        </w:rPr>
        <w:t>1</w:t>
      </w:r>
      <w:r w:rsidRPr="003E3FEA">
        <w:rPr>
          <w:lang w:val="es-ES_tradnl"/>
        </w:rPr>
        <w:tab/>
      </w:r>
      <w:bookmarkStart w:id="24" w:name="lt_pId088"/>
      <w:r w:rsidRPr="003E3FEA">
        <w:rPr>
          <w:lang w:val="es-ES_tradnl"/>
        </w:rPr>
        <w:t>Consideraciones generales</w:t>
      </w:r>
      <w:bookmarkEnd w:id="24"/>
    </w:p>
    <w:p w:rsidR="00E7140B" w:rsidRPr="003E3FEA" w:rsidRDefault="00E7140B" w:rsidP="00E7140B">
      <w:pPr>
        <w:rPr>
          <w:lang w:val="es-ES_tradnl"/>
        </w:rPr>
      </w:pPr>
      <w:bookmarkStart w:id="25" w:name="lt_pId089"/>
      <w:r w:rsidRPr="003E3FEA">
        <w:rPr>
          <w:lang w:val="es-ES_tradnl"/>
        </w:rPr>
        <w:t>En circunstancias normales, la propagación de las ondas entre el emisor y el sistema de radiogoniometría se ve afectada por los edificios, las montañas, las colinas, etc. Incluso en caso de visibilidad directa se generarán ondas secundarias a causa de la reflexión, la refracción y la difracción que se superpondrán a la onda directa en el emplazamiento receptor como campos interferentes. Si la componente de onda interferente tiene un nivel de potencia más bajo que la componente de onda deseada, puede minimizarse el error de marcación escogiendo para el sistema de radiogoniometría los parámetros de diseño adecuados. Esta Recomendación está destinada a medir la inmunidad de los sistemas de radiogoniometría a los frentes de onda distorsionados causados por una onda secundaria (reflexión). Está prevista para realizar una medición ejemplo de una única muestra de la versión de producción en serie del sistema de radiogoniometría sometido a prueba</w:t>
      </w:r>
      <w:bookmarkStart w:id="26" w:name="lt_pId093"/>
      <w:bookmarkEnd w:id="25"/>
      <w:r w:rsidRPr="003E3FEA">
        <w:rPr>
          <w:lang w:val="es-ES_tradnl"/>
        </w:rPr>
        <w:t>.</w:t>
      </w:r>
      <w:bookmarkEnd w:id="26"/>
    </w:p>
    <w:p w:rsidR="00E7140B" w:rsidRPr="003E3FEA" w:rsidRDefault="00E7140B" w:rsidP="00E7140B">
      <w:pPr>
        <w:pStyle w:val="Heading1"/>
        <w:rPr>
          <w:lang w:val="es-ES_tradnl"/>
        </w:rPr>
      </w:pPr>
      <w:r w:rsidRPr="003E3FEA">
        <w:rPr>
          <w:lang w:val="es-ES_tradnl"/>
        </w:rPr>
        <w:t>2</w:t>
      </w:r>
      <w:r w:rsidRPr="003E3FEA">
        <w:rPr>
          <w:lang w:val="es-ES_tradnl"/>
        </w:rPr>
        <w:tab/>
      </w:r>
      <w:bookmarkStart w:id="27" w:name="lt_pId095"/>
      <w:r w:rsidRPr="003E3FEA">
        <w:rPr>
          <w:lang w:val="es-ES_tradnl"/>
        </w:rPr>
        <w:t>Principio de medición</w:t>
      </w:r>
      <w:bookmarkEnd w:id="27"/>
    </w:p>
    <w:p w:rsidR="00E7140B" w:rsidRPr="003E3FEA" w:rsidRDefault="00E7140B" w:rsidP="00E7140B">
      <w:pPr>
        <w:rPr>
          <w:lang w:val="es-ES_tradnl"/>
        </w:rPr>
      </w:pPr>
      <w:bookmarkStart w:id="28" w:name="lt_pId096"/>
      <w:r w:rsidRPr="003E3FEA">
        <w:rPr>
          <w:lang w:val="es-ES_tradnl"/>
        </w:rPr>
        <w:t>La medición se realizará en condiciones simplificadas, permitiendo así que las pruebas sean más simples y se puedan repetir fácilmente los resultados en cualquier momento y lugar. Para simular un entorno multitrayecto se propone a continuación una disposición de dos antenas transmisoras (campo de dos ondas producido por un único transmisor). Ambas antenas se conectan al transmisor de prueba con un divisor de potencia. Al utilizar un atenuador, puede definirse la amplitud de la señal que representa la reflexión (onda secundaria) y, así, determinar la relación de amplitud entre el trayecto directo (primario) y de reflexión (secundario). Se varían el ángulo de llegada y el ángulo de fase de la onda secundaria. Habida cuenta de que el objetivo es simplificar la medición, se ignoran voluntariamente los efectos del tipo de modulación (incluidas las señales con variación de fase y tiempo), el ciclo de trabajo de la señal, el ancho de banda, la polarización de la señal, así como la duración de la señal, el ruido y demás parámetros de calidad del sistema de radiogoniometría (por ejemplo, sensibilidad del sistema de radiogoniometría), para reducir la complejidad del procedimiento de prueba y la duración de las mediciones. La medición se realiza en un entorno sin reflexión, como un emplazamiento de prueba de zona abierta (EPZA) o una cámara anecoica</w:t>
      </w:r>
      <w:bookmarkStart w:id="29" w:name="lt_pId102"/>
      <w:bookmarkEnd w:id="28"/>
      <w:r w:rsidRPr="003E3FEA">
        <w:rPr>
          <w:lang w:val="es-ES_tradnl"/>
        </w:rPr>
        <w:t>.</w:t>
      </w:r>
      <w:bookmarkEnd w:id="29"/>
      <w:r w:rsidRPr="003E3FEA">
        <w:rPr>
          <w:rStyle w:val="FootnoteReference"/>
          <w:lang w:val="es-ES_tradnl"/>
        </w:rPr>
        <w:footnoteReference w:id="2"/>
      </w:r>
    </w:p>
    <w:p w:rsidR="00E7140B" w:rsidRPr="003E3FEA" w:rsidRDefault="00E7140B" w:rsidP="00E7140B">
      <w:pPr>
        <w:rPr>
          <w:lang w:val="es-ES_tradnl"/>
        </w:rPr>
      </w:pPr>
      <w:bookmarkStart w:id="32" w:name="lt_pId103"/>
      <w:r w:rsidRPr="003E3FEA">
        <w:rPr>
          <w:lang w:val="es-ES_tradnl"/>
        </w:rPr>
        <w:t>Además del procedimiento de medición recomendado que se describe aquí, es posible medir la inmunidad de los sistemas de radiogoniometría a los frentes de onda distorsionados utilizando emuladores multicanal que simulan los efectos de propagación de un entorno real cuando no se dispone de un EPZA o una cámara anecoica.</w:t>
      </w:r>
      <w:bookmarkEnd w:id="32"/>
    </w:p>
    <w:p w:rsidR="00E7140B" w:rsidRPr="003E3FEA" w:rsidRDefault="00E7140B" w:rsidP="00E7140B">
      <w:pPr>
        <w:pStyle w:val="Heading1"/>
        <w:rPr>
          <w:lang w:val="es-ES_tradnl"/>
        </w:rPr>
      </w:pPr>
      <w:r w:rsidRPr="003E3FEA">
        <w:rPr>
          <w:lang w:val="es-ES_tradnl"/>
        </w:rPr>
        <w:lastRenderedPageBreak/>
        <w:t>3</w:t>
      </w:r>
      <w:r w:rsidRPr="003E3FEA">
        <w:rPr>
          <w:lang w:val="es-ES_tradnl"/>
        </w:rPr>
        <w:tab/>
      </w:r>
      <w:bookmarkStart w:id="33" w:name="lt_pId105"/>
      <w:r w:rsidRPr="003E3FEA">
        <w:rPr>
          <w:lang w:val="es-ES_tradnl"/>
        </w:rPr>
        <w:t>Configuración de la medición</w:t>
      </w:r>
      <w:bookmarkEnd w:id="33"/>
    </w:p>
    <w:p w:rsidR="00E7140B" w:rsidRPr="003E3FEA" w:rsidRDefault="00E7140B" w:rsidP="00E7140B">
      <w:pPr>
        <w:rPr>
          <w:lang w:val="es-ES_tradnl"/>
        </w:rPr>
      </w:pPr>
      <w:bookmarkStart w:id="34" w:name="lt_pId106"/>
      <w:r w:rsidRPr="003E3FEA">
        <w:rPr>
          <w:lang w:val="es-ES_tradnl"/>
        </w:rPr>
        <w:t>En la Fig. 1 se muestra la configuración de medición propuesta. Para garantizar una propagación por dos trayectos bien definida, el entorno del sistema de radiogoniometría y de las antenas transmisoras debe carecer de obstáculos reflectantes e interferencias, como se indica en la Recomendación UIT</w:t>
      </w:r>
      <w:bookmarkStart w:id="35" w:name="lt_pId108"/>
      <w:bookmarkEnd w:id="34"/>
      <w:r w:rsidRPr="003E3FEA">
        <w:rPr>
          <w:lang w:val="es-ES_tradnl"/>
        </w:rPr>
        <w:t>-R SM.2060-0.</w:t>
      </w:r>
      <w:bookmarkEnd w:id="35"/>
      <w:r w:rsidRPr="003E3FEA">
        <w:rPr>
          <w:lang w:val="es-ES_tradnl"/>
        </w:rPr>
        <w:t xml:space="preserve"> </w:t>
      </w:r>
      <w:bookmarkStart w:id="36" w:name="lt_pId109"/>
      <w:r w:rsidRPr="003E3FEA">
        <w:rPr>
          <w:lang w:val="es-ES_tradnl"/>
        </w:rPr>
        <w:t>La distancia entre la antena del sistema de radiogoniometría y las dos antenas transmisoras, así como la altura de las antenas utilizadas deberán ser conformes con la Recomendación UIT-R SM.2060-0.</w:t>
      </w:r>
      <w:bookmarkEnd w:id="36"/>
      <w:r w:rsidRPr="003E3FEA">
        <w:rPr>
          <w:lang w:val="es-ES_tradnl"/>
        </w:rPr>
        <w:t xml:space="preserve"> </w:t>
      </w:r>
    </w:p>
    <w:p w:rsidR="00E7140B" w:rsidRPr="003E3FEA" w:rsidRDefault="00E7140B" w:rsidP="00E7140B">
      <w:pPr>
        <w:pStyle w:val="Heading1"/>
        <w:rPr>
          <w:lang w:val="es-ES_tradnl"/>
        </w:rPr>
      </w:pPr>
      <w:r w:rsidRPr="003E3FEA">
        <w:rPr>
          <w:lang w:val="es-ES_tradnl"/>
        </w:rPr>
        <w:t>4</w:t>
      </w:r>
      <w:r w:rsidRPr="003E3FEA">
        <w:rPr>
          <w:lang w:val="es-ES_tradnl"/>
        </w:rPr>
        <w:tab/>
      </w:r>
      <w:bookmarkStart w:id="37" w:name="lt_pId111"/>
      <w:r w:rsidRPr="003E3FEA">
        <w:rPr>
          <w:lang w:val="es-ES_tradnl"/>
        </w:rPr>
        <w:t>Procedimiento de medición</w:t>
      </w:r>
      <w:bookmarkEnd w:id="37"/>
    </w:p>
    <w:p w:rsidR="00E7140B" w:rsidRPr="003E3FEA" w:rsidRDefault="00E7140B" w:rsidP="00E7140B">
      <w:pPr>
        <w:rPr>
          <w:lang w:val="es-ES_tradnl"/>
        </w:rPr>
      </w:pPr>
      <w:bookmarkStart w:id="38" w:name="lt_pId112"/>
      <w:r w:rsidRPr="003E3FEA">
        <w:rPr>
          <w:lang w:val="es-ES_tradnl"/>
        </w:rPr>
        <w:t>Para similar un entorno de ondas multitrayecto básico (campo de dos ondas producido por un único transmisor), se recomienda el banco de pruebas experimental que se muestra en la Fig. 1:</w:t>
      </w:r>
      <w:bookmarkEnd w:id="38"/>
    </w:p>
    <w:p w:rsidR="00E7140B" w:rsidRPr="003E3FEA" w:rsidRDefault="00E7140B" w:rsidP="00E7140B">
      <w:pPr>
        <w:pStyle w:val="enumlev1"/>
        <w:rPr>
          <w:lang w:val="es-ES_tradnl"/>
        </w:rPr>
      </w:pPr>
      <w:r w:rsidRPr="003E3FEA">
        <w:rPr>
          <w:lang w:val="es-ES_tradnl"/>
        </w:rPr>
        <w:t>–</w:t>
      </w:r>
      <w:r w:rsidRPr="003E3FEA">
        <w:rPr>
          <w:lang w:val="es-ES_tradnl"/>
        </w:rPr>
        <w:tab/>
      </w:r>
      <w:bookmarkStart w:id="39" w:name="lt_pId114"/>
      <w:r w:rsidRPr="003E3FEA">
        <w:rPr>
          <w:lang w:val="es-ES_tradnl"/>
        </w:rPr>
        <w:t>utilizando un generador de señal se genera una señal de entrada de onda continua no modulada, S, en las distintas frecuencias de medición dentro de la gama de frecuencias operativa del sistema de radiogoniometría;</w:t>
      </w:r>
      <w:bookmarkEnd w:id="39"/>
    </w:p>
    <w:p w:rsidR="00E7140B" w:rsidRPr="003E3FEA" w:rsidRDefault="00E7140B" w:rsidP="00E7140B">
      <w:pPr>
        <w:pStyle w:val="enumlev1"/>
        <w:rPr>
          <w:lang w:val="es-ES_tradnl"/>
        </w:rPr>
      </w:pPr>
      <w:r w:rsidRPr="003E3FEA">
        <w:rPr>
          <w:lang w:val="es-ES_tradnl"/>
        </w:rPr>
        <w:t>–</w:t>
      </w:r>
      <w:r w:rsidRPr="003E3FEA">
        <w:rPr>
          <w:lang w:val="es-ES_tradnl"/>
        </w:rPr>
        <w:tab/>
      </w:r>
      <w:bookmarkStart w:id="40" w:name="lt_pId116"/>
      <w:r w:rsidRPr="003E3FEA">
        <w:rPr>
          <w:lang w:val="es-ES_tradnl"/>
        </w:rPr>
        <w:t>la señal de entrada, S, se divide en las señales S1 y S2 con un divisor de potencia;</w:t>
      </w:r>
      <w:bookmarkEnd w:id="40"/>
    </w:p>
    <w:p w:rsidR="00E7140B" w:rsidRPr="003E3FEA" w:rsidRDefault="00E7140B" w:rsidP="00E7140B">
      <w:pPr>
        <w:pStyle w:val="enumlev1"/>
        <w:rPr>
          <w:lang w:val="es-ES_tradnl"/>
        </w:rPr>
      </w:pPr>
      <w:r w:rsidRPr="003E3FEA">
        <w:rPr>
          <w:lang w:val="es-ES_tradnl"/>
        </w:rPr>
        <w:t>–</w:t>
      </w:r>
      <w:r w:rsidRPr="003E3FEA">
        <w:rPr>
          <w:lang w:val="es-ES_tradnl"/>
        </w:rPr>
        <w:tab/>
      </w:r>
      <w:bookmarkStart w:id="41" w:name="lt_pId118"/>
      <w:r w:rsidRPr="003E3FEA">
        <w:rPr>
          <w:lang w:val="es-ES_tradnl"/>
        </w:rPr>
        <w:t>la antena de transmisión 1 emite la señal S1; y</w:t>
      </w:r>
      <w:bookmarkEnd w:id="41"/>
    </w:p>
    <w:p w:rsidR="00E7140B" w:rsidRPr="003E3FEA" w:rsidRDefault="00E7140B" w:rsidP="00E7140B">
      <w:pPr>
        <w:pStyle w:val="enumlev1"/>
        <w:rPr>
          <w:lang w:val="es-ES_tradnl"/>
        </w:rPr>
      </w:pPr>
      <w:r w:rsidRPr="003E3FEA">
        <w:rPr>
          <w:lang w:val="es-ES_tradnl"/>
        </w:rPr>
        <w:t>–</w:t>
      </w:r>
      <w:r w:rsidRPr="003E3FEA">
        <w:rPr>
          <w:lang w:val="es-ES_tradnl"/>
        </w:rPr>
        <w:tab/>
      </w:r>
      <w:bookmarkStart w:id="42" w:name="lt_pId120"/>
      <w:r w:rsidRPr="003E3FEA">
        <w:rPr>
          <w:lang w:val="es-ES_tradnl"/>
        </w:rPr>
        <w:t>se añaden a la señal S2 una atenuación y un desplazamiento de fase antes de emitirla por la antena 2 desde un ángulo diferente al de S1.</w:t>
      </w:r>
      <w:bookmarkEnd w:id="42"/>
    </w:p>
    <w:p w:rsidR="00E7140B" w:rsidRPr="003E3FEA" w:rsidRDefault="00E7140B" w:rsidP="00E7140B">
      <w:pPr>
        <w:rPr>
          <w:lang w:val="es-ES_tradnl"/>
        </w:rPr>
      </w:pPr>
      <w:bookmarkStart w:id="43" w:name="lt_pId121"/>
      <w:r w:rsidRPr="003E3FEA">
        <w:rPr>
          <w:lang w:val="es-ES_tradnl"/>
        </w:rPr>
        <w:t>Las señales S1 y S2 deben tener un nivel de potencia suficientemente alto para garantizar una relación S/N mínima de 20 dB (a fin de garantizar que el ruido del sistema no afecta a los resultados de la medición).</w:t>
      </w:r>
      <w:bookmarkEnd w:id="43"/>
    </w:p>
    <w:p w:rsidR="00E7140B" w:rsidRPr="003E3FEA" w:rsidRDefault="00E7140B" w:rsidP="00E7140B">
      <w:pPr>
        <w:rPr>
          <w:lang w:val="es-ES_tradnl"/>
        </w:rPr>
      </w:pPr>
      <w:bookmarkStart w:id="44" w:name="lt_pId122"/>
      <w:r w:rsidRPr="003E3FEA">
        <w:rPr>
          <w:lang w:val="es-ES_tradnl"/>
        </w:rPr>
        <w:t>Dado que la inmunidad del sistema de radiogoniometría a los frentes de onda distorsionados tiende a variar con la frecuencia, es necesario repetir la medición en distintas frecuencias. Las frecuencias de medición se seleccionarán de conformidad con la Recomendación UIT</w:t>
      </w:r>
      <w:bookmarkStart w:id="45" w:name="lt_pId123"/>
      <w:bookmarkEnd w:id="44"/>
      <w:r w:rsidRPr="003E3FEA">
        <w:rPr>
          <w:lang w:val="es-ES_tradnl"/>
        </w:rPr>
        <w:t>-R SM.2060-0.</w:t>
      </w:r>
      <w:bookmarkEnd w:id="45"/>
    </w:p>
    <w:p w:rsidR="00E7140B" w:rsidRPr="003E3FEA" w:rsidRDefault="00E7140B" w:rsidP="00E7140B">
      <w:pPr>
        <w:rPr>
          <w:lang w:val="es-ES_tradnl"/>
        </w:rPr>
      </w:pPr>
      <w:bookmarkStart w:id="46" w:name="lt_pId124"/>
      <w:r w:rsidRPr="003E3FEA">
        <w:rPr>
          <w:lang w:val="es-ES_tradnl"/>
        </w:rPr>
        <w:t>Para cada frecuencia de medición, la señal S2 de la antena A2 (la señal «reflejada») variará en acimut, amplitud y desplazamiento de fase como se explica a continuación:</w:t>
      </w:r>
      <w:bookmarkEnd w:id="46"/>
    </w:p>
    <w:p w:rsidR="00E7140B" w:rsidRPr="003E3FEA" w:rsidRDefault="00E7140B" w:rsidP="00E7140B">
      <w:pPr>
        <w:pStyle w:val="enumlev1"/>
        <w:rPr>
          <w:lang w:val="es-ES_tradnl"/>
        </w:rPr>
      </w:pPr>
      <w:r w:rsidRPr="003E3FEA">
        <w:rPr>
          <w:lang w:val="es-ES_tradnl"/>
        </w:rPr>
        <w:t>–</w:t>
      </w:r>
      <w:r w:rsidRPr="003E3FEA">
        <w:rPr>
          <w:lang w:val="es-ES_tradnl"/>
        </w:rPr>
        <w:tab/>
      </w:r>
      <w:bookmarkStart w:id="47" w:name="lt_pId126"/>
      <w:r w:rsidRPr="003E3FEA">
        <w:rPr>
          <w:lang w:val="es-ES_tradnl"/>
        </w:rPr>
        <w:t xml:space="preserve">la diferencia del ángulo de llegada, </w:t>
      </w:r>
      <w:r w:rsidRPr="003E3FEA">
        <w:rPr>
          <w:rFonts w:ascii="Normal" w:eastAsia="Normal" w:hAnsi="Normal" w:cs="Normal"/>
          <w:lang w:val="es-ES_tradnl"/>
        </w:rPr>
        <w:t>Δθ,</w:t>
      </w:r>
      <w:r w:rsidRPr="003E3FEA">
        <w:rPr>
          <w:lang w:val="es-ES_tradnl"/>
        </w:rPr>
        <w:t xml:space="preserve"> entre la onda reflejada, S2, y la onda principal, S1, se pone a 20°, 60° y 90°;</w:t>
      </w:r>
      <w:bookmarkEnd w:id="47"/>
    </w:p>
    <w:p w:rsidR="00E7140B" w:rsidRPr="003E3FEA" w:rsidRDefault="00E7140B" w:rsidP="00E7140B">
      <w:pPr>
        <w:pStyle w:val="enumlev1"/>
        <w:rPr>
          <w:lang w:val="es-ES_tradnl"/>
        </w:rPr>
      </w:pPr>
      <w:r w:rsidRPr="003E3FEA">
        <w:rPr>
          <w:lang w:val="es-ES_tradnl"/>
        </w:rPr>
        <w:t>–</w:t>
      </w:r>
      <w:r w:rsidRPr="003E3FEA">
        <w:rPr>
          <w:lang w:val="es-ES_tradnl"/>
        </w:rPr>
        <w:tab/>
      </w:r>
      <w:bookmarkStart w:id="48" w:name="lt_pId128"/>
      <w:r w:rsidRPr="003E3FEA">
        <w:rPr>
          <w:lang w:val="es-ES_tradnl"/>
        </w:rPr>
        <w:t xml:space="preserve">la relación de amplitud, </w:t>
      </w:r>
      <w:r w:rsidRPr="003E3FEA">
        <w:rPr>
          <w:rFonts w:eastAsia="Normal"/>
          <w:lang w:val="es-ES_tradnl"/>
        </w:rPr>
        <w:t>α</w:t>
      </w:r>
      <w:r w:rsidRPr="003E3FEA">
        <w:rPr>
          <w:rFonts w:ascii="Normal" w:eastAsia="Normal" w:hAnsi="Normal" w:cs="Normal"/>
          <w:lang w:val="es-ES_tradnl"/>
        </w:rPr>
        <w:t>, entre la onda reflejada, S2, y la onda principal, S1, se configure de manera que el nivel de potencia de</w:t>
      </w:r>
      <w:r w:rsidRPr="003E3FEA">
        <w:rPr>
          <w:lang w:val="es-ES_tradnl"/>
        </w:rPr>
        <w:t xml:space="preserve"> S2 sea 0,25 (–6 dB) con respecto al de S1 en la antena del sistema de radiogoniometría. Téngase en cuenta de que</w:t>
      </w:r>
      <w:bookmarkEnd w:id="48"/>
      <w:r w:rsidRPr="003E3FEA">
        <w:rPr>
          <w:lang w:val="es-ES_tradnl"/>
        </w:rPr>
        <w:t xml:space="preserve"> </w:t>
      </w:r>
      <w:r w:rsidRPr="003E3FEA">
        <w:rPr>
          <w:rFonts w:eastAsia="Normal"/>
          <w:lang w:val="es-ES_tradnl"/>
        </w:rPr>
        <w:t>α</w:t>
      </w:r>
      <w:r w:rsidRPr="003E3FEA">
        <w:rPr>
          <w:rFonts w:ascii="Normal" w:eastAsia="Normal" w:hAnsi="Normal" w:cs="Normal"/>
          <w:lang w:val="es-ES_tradnl"/>
        </w:rPr>
        <w:t xml:space="preserve"> tiene en cuenta todas las </w:t>
      </w:r>
      <w:r w:rsidRPr="003E3FEA">
        <w:rPr>
          <w:rFonts w:eastAsia="Normal"/>
          <w:lang w:val="es-ES_tradnl"/>
        </w:rPr>
        <w:t>ganancias</w:t>
      </w:r>
      <w:r w:rsidRPr="003E3FEA">
        <w:rPr>
          <w:rFonts w:ascii="Normal" w:eastAsia="Normal" w:hAnsi="Normal" w:cs="Normal"/>
          <w:lang w:val="es-ES_tradnl"/>
        </w:rPr>
        <w:t xml:space="preserve"> y pérdidas debidas a los cables, las antenas y el aire</w:t>
      </w:r>
      <w:r w:rsidRPr="003E3FEA">
        <w:rPr>
          <w:lang w:val="es-ES_tradnl"/>
        </w:rPr>
        <w:t>;</w:t>
      </w:r>
    </w:p>
    <w:p w:rsidR="00E7140B" w:rsidRPr="003E3FEA" w:rsidRDefault="00E7140B" w:rsidP="003E3FEA">
      <w:pPr>
        <w:pStyle w:val="enumlev1"/>
        <w:rPr>
          <w:lang w:val="es-ES_tradnl"/>
        </w:rPr>
      </w:pPr>
      <w:r w:rsidRPr="003E3FEA">
        <w:rPr>
          <w:lang w:val="es-ES_tradnl"/>
        </w:rPr>
        <w:t>–</w:t>
      </w:r>
      <w:r w:rsidRPr="003E3FEA">
        <w:rPr>
          <w:lang w:val="es-ES_tradnl"/>
        </w:rPr>
        <w:tab/>
        <w:t xml:space="preserve">la diferencia de retardo positive, </w:t>
      </w:r>
      <w:r w:rsidRPr="003E3FEA">
        <w:rPr>
          <w:rFonts w:ascii="Normal" w:eastAsia="Normal" w:hAnsi="Normal" w:cs="Normal"/>
          <w:lang w:val="es-ES_tradnl"/>
        </w:rPr>
        <w:t>Δτ, de la onda reflejada, S2, se configura de manera que haya una diferencia de fase,</w:t>
      </w:r>
      <w:r w:rsidRPr="003E3FEA">
        <w:rPr>
          <w:lang w:val="es-ES_tradnl"/>
        </w:rPr>
        <w:t xml:space="preserve"> </w:t>
      </w:r>
      <w:r w:rsidRPr="003E3FEA">
        <w:rPr>
          <w:rFonts w:ascii="Normal" w:eastAsia="Normal" w:hAnsi="Normal" w:cs="Normal"/>
          <w:lang w:val="es-ES_tradnl"/>
        </w:rPr>
        <w:t>Δ</w:t>
      </w:r>
      <w:r w:rsidR="003E3FEA">
        <w:rPr>
          <w:rFonts w:ascii="Normal" w:eastAsia="Normal" w:hAnsi="Normal" w:cs="Normal"/>
          <w:lang w:val="es-ES_tradnl"/>
        </w:rPr>
        <w:sym w:font="Symbol" w:char="F06A"/>
      </w:r>
      <w:r w:rsidRPr="003E3FEA">
        <w:rPr>
          <w:rFonts w:ascii="Normal" w:eastAsia="Normal" w:hAnsi="Normal" w:cs="Normal"/>
          <w:szCs w:val="24"/>
          <w:lang w:val="es-ES_tradnl"/>
        </w:rPr>
        <w:t>,</w:t>
      </w:r>
      <w:r w:rsidRPr="003E3FEA">
        <w:rPr>
          <w:lang w:val="es-ES_tradnl"/>
        </w:rPr>
        <w:t xml:space="preserve"> de 0°±5°, 90°±5° y 200°±5° entre S1 y S2 en la antena del sistema de radiogoniometría. Téngase en cuenta que</w:t>
      </w:r>
      <w:bookmarkStart w:id="49" w:name="lt_pId132"/>
      <w:r w:rsidRPr="003E3FEA">
        <w:rPr>
          <w:lang w:val="es-ES_tradnl"/>
        </w:rPr>
        <w:t xml:space="preserve"> </w:t>
      </w:r>
      <w:r w:rsidRPr="003E3FEA">
        <w:rPr>
          <w:rFonts w:ascii="Normal" w:eastAsia="Normal" w:hAnsi="Normal" w:cs="Normal"/>
          <w:lang w:val="es-ES_tradnl"/>
        </w:rPr>
        <w:t>Δτ</w:t>
      </w:r>
      <w:r w:rsidRPr="003E3FEA">
        <w:rPr>
          <w:lang w:val="es-ES_tradnl"/>
        </w:rPr>
        <w:t xml:space="preserve"> tiene en cuenta todos los retardos de propagación debidos a los cables, las antenas y el aire. Téngase también en cuenta que el desplazamiento de fase puede aplicarse con un desplazador de fase variable o una línea de retardo. Además, el</w:t>
      </w:r>
      <w:bookmarkStart w:id="50" w:name="lt_pId133"/>
      <w:bookmarkEnd w:id="49"/>
      <w:r w:rsidRPr="003E3FEA">
        <w:rPr>
          <w:lang w:val="es-ES_tradnl"/>
        </w:rPr>
        <w:t xml:space="preserve"> ±5° se ha incluido para cubrir las incertidumbres de la configuración, por ejemplo, pequeñas variaciones en el emplazamiento de la antena durante el montaje.</w:t>
      </w:r>
      <w:bookmarkEnd w:id="50"/>
    </w:p>
    <w:p w:rsidR="00E7140B" w:rsidRPr="003E3FEA" w:rsidRDefault="00E7140B" w:rsidP="00E7140B">
      <w:pPr>
        <w:rPr>
          <w:lang w:val="es-ES_tradnl"/>
        </w:rPr>
      </w:pPr>
      <w:bookmarkStart w:id="51" w:name="lt_pId134"/>
      <w:r w:rsidRPr="003E3FEA">
        <w:rPr>
          <w:lang w:val="es-ES_tradnl"/>
        </w:rPr>
        <w:t>En todas las configuraciones descritas se mide el error de marcación y se calcula el error de marcación RMS con la fórmula de la Recomendación UIT-R SM.2060-0, que da como resultado un error de marcación RMS por frecuencia de medición. El resultado final se presenta en un cuadro o gráfico donde se indique el error de marcación RMS para cada frecuencia de medición, como se muestra en el Cuadro</w:t>
      </w:r>
      <w:bookmarkStart w:id="52" w:name="lt_pId135"/>
      <w:bookmarkEnd w:id="51"/>
      <w:r w:rsidRPr="003E3FEA">
        <w:rPr>
          <w:lang w:val="es-ES_tradnl"/>
        </w:rPr>
        <w:t xml:space="preserve"> 1.</w:t>
      </w:r>
      <w:bookmarkEnd w:id="52"/>
    </w:p>
    <w:p w:rsidR="00E7140B" w:rsidRPr="003E3FEA" w:rsidRDefault="00E7140B" w:rsidP="00FD064D">
      <w:pPr>
        <w:rPr>
          <w:lang w:val="es-ES_tradnl"/>
        </w:rPr>
      </w:pPr>
      <w:bookmarkStart w:id="53" w:name="lt_pId136"/>
      <w:r w:rsidRPr="003E3FEA">
        <w:rPr>
          <w:lang w:val="es-ES_tradnl"/>
        </w:rPr>
        <w:lastRenderedPageBreak/>
        <w:t>Cabe señalar que el procedimiento de medición recomendado se centra en un único ángulo de llegada de la onda primaria. Sin embargo, en algunos casos sería preferible efectuar la medición en distintos ángulos de llegada de la onda primaria rotando la antena. En el informe de la prueba se indicará si se han aplicado tales condiciones de prueba específicas</w:t>
      </w:r>
      <w:bookmarkStart w:id="54" w:name="lt_pId138"/>
      <w:bookmarkEnd w:id="53"/>
      <w:r w:rsidRPr="003E3FEA">
        <w:rPr>
          <w:lang w:val="es-ES_tradnl"/>
        </w:rPr>
        <w:t>.</w:t>
      </w:r>
      <w:bookmarkEnd w:id="54"/>
    </w:p>
    <w:p w:rsidR="00E7140B" w:rsidRPr="003E3FEA" w:rsidRDefault="00E7140B" w:rsidP="00E7140B">
      <w:pPr>
        <w:pStyle w:val="FigureNo"/>
        <w:rPr>
          <w:lang w:val="es-ES_tradnl"/>
        </w:rPr>
      </w:pPr>
      <w:bookmarkStart w:id="55" w:name="lt_pId139"/>
      <w:r w:rsidRPr="003E3FEA">
        <w:rPr>
          <w:lang w:val="es-ES_tradnl"/>
        </w:rPr>
        <w:t>FigurA 1</w:t>
      </w:r>
      <w:bookmarkEnd w:id="55"/>
    </w:p>
    <w:p w:rsidR="00E7140B" w:rsidRPr="003E3FEA" w:rsidRDefault="00E7140B" w:rsidP="00E7140B">
      <w:pPr>
        <w:pStyle w:val="Figuretitle"/>
        <w:rPr>
          <w:rFonts w:ascii="Times New Roman" w:hAnsi="Times New Roman"/>
          <w:lang w:val="es-ES_tradnl"/>
        </w:rPr>
      </w:pPr>
      <w:bookmarkStart w:id="56" w:name="lt_pId140"/>
      <w:r w:rsidRPr="003E3FEA">
        <w:rPr>
          <w:rFonts w:ascii="Times New Roman" w:hAnsi="Times New Roman"/>
          <w:lang w:val="es-ES_tradnl"/>
        </w:rPr>
        <w:t xml:space="preserve">Configuración de la medición para determinar la inmunidad de los </w:t>
      </w:r>
      <w:r w:rsidRPr="003E3FEA">
        <w:rPr>
          <w:lang w:val="es-ES_tradnl"/>
        </w:rPr>
        <w:t>sistemas</w:t>
      </w:r>
      <w:r w:rsidRPr="003E3FEA">
        <w:rPr>
          <w:lang w:val="es-ES_tradnl"/>
        </w:rPr>
        <w:br/>
        <w:t>de radiogoniometría</w:t>
      </w:r>
      <w:r w:rsidRPr="003E3FEA">
        <w:rPr>
          <w:rFonts w:ascii="Times New Roman" w:hAnsi="Times New Roman"/>
          <w:lang w:val="es-ES_tradnl"/>
        </w:rPr>
        <w:t xml:space="preserve"> a los frentes de onda distorsionados</w:t>
      </w:r>
      <w:bookmarkEnd w:id="56"/>
    </w:p>
    <w:p w:rsidR="00E7140B" w:rsidRPr="003E3FEA" w:rsidRDefault="00A35035" w:rsidP="00E7140B">
      <w:pPr>
        <w:pStyle w:val="Figure"/>
        <w:rPr>
          <w:lang w:val="es-ES_tradnl"/>
        </w:rPr>
      </w:pPr>
      <w:r w:rsidRPr="003E3FEA">
        <w:rPr>
          <w:lang w:val="es-ES_tradnl"/>
        </w:rPr>
        <w:object w:dxaOrig="4044" w:dyaOrig="3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85pt;height:282.8pt" o:ole="">
            <v:imagedata r:id="rId15" o:title=""/>
          </v:shape>
          <o:OLEObject Type="Embed" ProgID="CorelDRAW.Graphic.14" ShapeID="_x0000_i1025" DrawAspect="Content" ObjectID="_1500992649" r:id="rId16"/>
        </w:object>
      </w:r>
    </w:p>
    <w:p w:rsidR="00E7140B" w:rsidRPr="003E3FEA" w:rsidRDefault="00E7140B" w:rsidP="00E7140B">
      <w:pPr>
        <w:pStyle w:val="TableNo"/>
        <w:rPr>
          <w:rFonts w:eastAsia="MS Mincho"/>
          <w:lang w:val="es-ES_tradnl"/>
        </w:rPr>
      </w:pPr>
      <w:bookmarkStart w:id="57" w:name="lt_pId141"/>
      <w:r w:rsidRPr="003E3FEA">
        <w:rPr>
          <w:rFonts w:eastAsia="MS Mincho"/>
          <w:lang w:val="es-ES_tradnl"/>
        </w:rPr>
        <w:lastRenderedPageBreak/>
        <w:t>CUADRO 1</w:t>
      </w:r>
      <w:bookmarkEnd w:id="57"/>
    </w:p>
    <w:p w:rsidR="00E7140B" w:rsidRPr="003E3FEA" w:rsidRDefault="00E7140B" w:rsidP="00E7140B">
      <w:pPr>
        <w:pStyle w:val="Tabletitle"/>
        <w:rPr>
          <w:rFonts w:eastAsia="MS Mincho"/>
          <w:lang w:val="es-ES_tradnl"/>
        </w:rPr>
      </w:pPr>
      <w:bookmarkStart w:id="58" w:name="lt_pId142"/>
      <w:r w:rsidRPr="003E3FEA">
        <w:rPr>
          <w:rFonts w:eastAsia="MS Mincho"/>
          <w:lang w:val="es-ES_tradnl"/>
        </w:rPr>
        <w:t>Cuadro de muestras de prueba</w:t>
      </w:r>
      <w:bookmarkEnd w:id="58"/>
    </w:p>
    <w:p w:rsidR="00E138B2" w:rsidRPr="003E3FEA" w:rsidRDefault="00E138B2" w:rsidP="00E138B2">
      <w:pPr>
        <w:pStyle w:val="Blanc"/>
        <w:rPr>
          <w:lang w:val="es-ES_tradnl"/>
        </w:rPr>
      </w:pPr>
    </w:p>
    <w:tbl>
      <w:tblPr>
        <w:tblW w:w="9639" w:type="dxa"/>
        <w:jc w:val="center"/>
        <w:tblLayout w:type="fixed"/>
        <w:tblLook w:val="0000" w:firstRow="0" w:lastRow="0" w:firstColumn="0" w:lastColumn="0" w:noHBand="0" w:noVBand="0"/>
      </w:tblPr>
      <w:tblGrid>
        <w:gridCol w:w="846"/>
        <w:gridCol w:w="1276"/>
        <w:gridCol w:w="567"/>
        <w:gridCol w:w="708"/>
        <w:gridCol w:w="851"/>
        <w:gridCol w:w="709"/>
        <w:gridCol w:w="850"/>
        <w:gridCol w:w="709"/>
        <w:gridCol w:w="709"/>
        <w:gridCol w:w="666"/>
        <w:gridCol w:w="236"/>
        <w:gridCol w:w="756"/>
        <w:gridCol w:w="756"/>
      </w:tblGrid>
      <w:tr w:rsidR="004D1409" w:rsidRPr="004F6627" w:rsidTr="004D1409">
        <w:trPr>
          <w:trHeight w:val="315"/>
          <w:jc w:val="center"/>
        </w:trPr>
        <w:tc>
          <w:tcPr>
            <w:tcW w:w="9639" w:type="dxa"/>
            <w:gridSpan w:val="13"/>
            <w:noWrap/>
          </w:tcPr>
          <w:p w:rsidR="004D1409" w:rsidRPr="003E3FEA" w:rsidRDefault="004D1409" w:rsidP="004D1409">
            <w:pPr>
              <w:pStyle w:val="Tabletext"/>
              <w:keepNext/>
              <w:keepLines/>
              <w:rPr>
                <w:lang w:val="es-ES_tradnl"/>
              </w:rPr>
            </w:pPr>
            <w:bookmarkStart w:id="59" w:name="lt_pId143"/>
            <w:r w:rsidRPr="003E3FEA">
              <w:rPr>
                <w:lang w:val="es-ES_tradnl"/>
              </w:rPr>
              <w:t>[Modulación de la señal: _____________ Polarización de la señal: _______ Nivel de potencia relativa de S2 en la antena del sistema de radiogoniometría: __ (dB)</w:t>
            </w:r>
            <w:bookmarkEnd w:id="59"/>
          </w:p>
          <w:p w:rsidR="004D1409" w:rsidRPr="003E3FEA" w:rsidRDefault="004D1409" w:rsidP="004D1409">
            <w:pPr>
              <w:pStyle w:val="Tabletext"/>
              <w:keepNext/>
              <w:keepLines/>
              <w:spacing w:before="0" w:after="0"/>
              <w:rPr>
                <w:rFonts w:eastAsia="Arial Unicode MS"/>
                <w:lang w:val="es-ES_tradnl"/>
              </w:rPr>
            </w:pPr>
          </w:p>
        </w:tc>
      </w:tr>
      <w:tr w:rsidR="00E7140B" w:rsidRPr="003E3FEA" w:rsidTr="00A350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jc w:val="center"/>
        </w:trPr>
        <w:tc>
          <w:tcPr>
            <w:tcW w:w="846" w:type="dxa"/>
            <w:noWrap/>
          </w:tcPr>
          <w:p w:rsidR="00E7140B" w:rsidRPr="003E3FEA" w:rsidRDefault="00E7140B" w:rsidP="00A35035">
            <w:pPr>
              <w:pStyle w:val="Tablehead"/>
              <w:keepLines/>
              <w:rPr>
                <w:rFonts w:eastAsia="Arial Unicode MS"/>
                <w:lang w:val="es-ES_tradnl"/>
              </w:rPr>
            </w:pPr>
          </w:p>
        </w:tc>
        <w:tc>
          <w:tcPr>
            <w:tcW w:w="1276" w:type="dxa"/>
          </w:tcPr>
          <w:p w:rsidR="00E7140B" w:rsidRPr="003E3FEA" w:rsidRDefault="00E7140B" w:rsidP="00A35035">
            <w:pPr>
              <w:pStyle w:val="Tablehead"/>
              <w:keepLines/>
              <w:rPr>
                <w:rFonts w:eastAsia="Arial Unicode MS"/>
                <w:lang w:val="es-ES_tradnl"/>
              </w:rPr>
            </w:pPr>
            <w:r w:rsidRPr="003E3FEA">
              <w:rPr>
                <w:lang w:val="es-ES_tradnl"/>
              </w:rPr>
              <w:t>Acimut</w:t>
            </w:r>
          </w:p>
        </w:tc>
        <w:tc>
          <w:tcPr>
            <w:tcW w:w="567" w:type="dxa"/>
          </w:tcPr>
          <w:p w:rsidR="00E7140B" w:rsidRPr="003E3FEA" w:rsidRDefault="00E7140B" w:rsidP="00A35035">
            <w:pPr>
              <w:pStyle w:val="Tablehead"/>
              <w:keepLines/>
              <w:rPr>
                <w:rFonts w:ascii="Symbol" w:hAnsi="Symbol"/>
                <w:lang w:val="es-ES_tradnl"/>
              </w:rPr>
            </w:pPr>
            <w:bookmarkStart w:id="60" w:name="lt_pId145"/>
            <w:r w:rsidRPr="003E3FEA">
              <w:rPr>
                <w:rFonts w:ascii="Normal" w:eastAsia="Normal" w:hAnsi="Normal" w:cs="Normal"/>
                <w:lang w:val="es-ES_tradnl"/>
              </w:rPr>
              <w:t>Δθ</w:t>
            </w:r>
            <w:bookmarkEnd w:id="60"/>
          </w:p>
        </w:tc>
        <w:tc>
          <w:tcPr>
            <w:tcW w:w="708" w:type="dxa"/>
          </w:tcPr>
          <w:p w:rsidR="00E7140B" w:rsidRPr="003E3FEA" w:rsidRDefault="00E7140B" w:rsidP="003E3FEA">
            <w:pPr>
              <w:pStyle w:val="Tablehead"/>
              <w:keepLines/>
              <w:rPr>
                <w:lang w:val="es-ES_tradnl"/>
              </w:rPr>
            </w:pPr>
            <w:r w:rsidRPr="003E3FEA">
              <w:rPr>
                <w:rFonts w:ascii="Normal" w:eastAsia="Normal" w:hAnsi="Normal" w:cs="Normal"/>
                <w:lang w:val="es-ES_tradnl"/>
              </w:rPr>
              <w:t>Δ</w:t>
            </w:r>
            <w:r w:rsidR="003E3FEA">
              <w:rPr>
                <w:rFonts w:ascii="Normal" w:eastAsia="Normal" w:hAnsi="Normal" w:cs="Normal"/>
                <w:lang w:val="es-ES_tradnl"/>
              </w:rPr>
              <w:sym w:font="Symbol" w:char="F06A"/>
            </w:r>
          </w:p>
        </w:tc>
        <w:tc>
          <w:tcPr>
            <w:tcW w:w="1560" w:type="dxa"/>
            <w:gridSpan w:val="2"/>
            <w:noWrap/>
          </w:tcPr>
          <w:p w:rsidR="00E7140B" w:rsidRPr="003E3FEA" w:rsidRDefault="00E7140B" w:rsidP="00A35035">
            <w:pPr>
              <w:pStyle w:val="Tablehead"/>
              <w:keepLines/>
              <w:rPr>
                <w:rFonts w:eastAsia="Arial Unicode MS"/>
                <w:lang w:val="es-ES_tradnl"/>
              </w:rPr>
            </w:pPr>
            <w:r w:rsidRPr="003E3FEA">
              <w:rPr>
                <w:lang w:val="es-ES_tradnl"/>
              </w:rPr>
              <w:t>Frecuencia 1</w:t>
            </w:r>
          </w:p>
        </w:tc>
        <w:tc>
          <w:tcPr>
            <w:tcW w:w="1559" w:type="dxa"/>
            <w:gridSpan w:val="2"/>
            <w:noWrap/>
          </w:tcPr>
          <w:p w:rsidR="00E7140B" w:rsidRPr="003E3FEA" w:rsidRDefault="00E7140B" w:rsidP="00A35035">
            <w:pPr>
              <w:pStyle w:val="Tablehead"/>
              <w:keepLines/>
              <w:rPr>
                <w:rFonts w:eastAsia="Arial Unicode MS"/>
                <w:lang w:val="es-ES_tradnl"/>
              </w:rPr>
            </w:pPr>
            <w:r w:rsidRPr="003E3FEA">
              <w:rPr>
                <w:lang w:val="es-ES_tradnl"/>
              </w:rPr>
              <w:t>Frecuencia 2</w:t>
            </w:r>
          </w:p>
        </w:tc>
        <w:tc>
          <w:tcPr>
            <w:tcW w:w="1375" w:type="dxa"/>
            <w:gridSpan w:val="2"/>
            <w:noWrap/>
          </w:tcPr>
          <w:p w:rsidR="00E7140B" w:rsidRPr="003E3FEA" w:rsidRDefault="00E7140B" w:rsidP="00A35035">
            <w:pPr>
              <w:pStyle w:val="Tablehead"/>
              <w:keepLines/>
              <w:ind w:left="-57" w:right="-57"/>
              <w:rPr>
                <w:rFonts w:eastAsia="Arial Unicode MS"/>
                <w:lang w:val="es-ES_tradnl"/>
              </w:rPr>
            </w:pPr>
            <w:r w:rsidRPr="003E3FEA">
              <w:rPr>
                <w:lang w:val="es-ES_tradnl"/>
              </w:rPr>
              <w:t>Frecuencia 3</w:t>
            </w:r>
          </w:p>
        </w:tc>
        <w:tc>
          <w:tcPr>
            <w:tcW w:w="236" w:type="dxa"/>
            <w:noWrap/>
          </w:tcPr>
          <w:p w:rsidR="00E7140B" w:rsidRPr="003E3FEA" w:rsidRDefault="00E7140B" w:rsidP="00A35035">
            <w:pPr>
              <w:pStyle w:val="Tablehead"/>
              <w:keepLines/>
              <w:rPr>
                <w:rFonts w:eastAsia="Arial Unicode MS"/>
                <w:lang w:val="es-ES_tradnl"/>
              </w:rPr>
            </w:pPr>
          </w:p>
        </w:tc>
        <w:tc>
          <w:tcPr>
            <w:tcW w:w="1512" w:type="dxa"/>
            <w:gridSpan w:val="2"/>
            <w:noWrap/>
          </w:tcPr>
          <w:p w:rsidR="00E7140B" w:rsidRPr="003E3FEA" w:rsidRDefault="00E7140B" w:rsidP="00A35035">
            <w:pPr>
              <w:pStyle w:val="Tablehead"/>
              <w:keepLines/>
              <w:rPr>
                <w:rFonts w:eastAsia="Arial Unicode MS"/>
                <w:lang w:val="es-ES_tradnl"/>
              </w:rPr>
            </w:pPr>
            <w:r w:rsidRPr="003E3FEA">
              <w:rPr>
                <w:lang w:val="es-ES_tradnl"/>
              </w:rPr>
              <w:t xml:space="preserve">Frecuencia </w:t>
            </w:r>
            <w:r w:rsidRPr="003E3FEA">
              <w:rPr>
                <w:i/>
                <w:iCs/>
                <w:lang w:val="es-ES_tradnl"/>
              </w:rPr>
              <w:t>M</w:t>
            </w:r>
          </w:p>
        </w:tc>
      </w:tr>
      <w:tr w:rsidR="00E7140B" w:rsidRPr="003E3FEA" w:rsidTr="00A350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jc w:val="center"/>
        </w:trPr>
        <w:tc>
          <w:tcPr>
            <w:tcW w:w="846" w:type="dxa"/>
            <w:noWrap/>
          </w:tcPr>
          <w:p w:rsidR="00E7140B" w:rsidRPr="003E3FEA" w:rsidRDefault="00E7140B" w:rsidP="00A35035">
            <w:pPr>
              <w:pStyle w:val="Tablehead"/>
              <w:keepLines/>
              <w:rPr>
                <w:rFonts w:eastAsia="Arial Unicode MS"/>
                <w:lang w:val="es-ES_tradnl"/>
              </w:rPr>
            </w:pPr>
            <w:bookmarkStart w:id="61" w:name="lt_pId151"/>
            <w:r w:rsidRPr="003E3FEA">
              <w:rPr>
                <w:lang w:val="es-ES_tradnl"/>
              </w:rPr>
              <w:t>Índice</w:t>
            </w:r>
            <w:bookmarkEnd w:id="61"/>
          </w:p>
        </w:tc>
        <w:tc>
          <w:tcPr>
            <w:tcW w:w="1276" w:type="dxa"/>
          </w:tcPr>
          <w:p w:rsidR="00E7140B" w:rsidRPr="003E3FEA" w:rsidRDefault="00E7140B" w:rsidP="00A35035">
            <w:pPr>
              <w:pStyle w:val="Tablehead"/>
              <w:keepLines/>
              <w:rPr>
                <w:rFonts w:eastAsia="Arial Unicode MS"/>
                <w:lang w:val="es-ES_tradnl"/>
              </w:rPr>
            </w:pPr>
            <w:r w:rsidRPr="003E3FEA">
              <w:rPr>
                <w:lang w:val="es-ES_tradnl"/>
              </w:rPr>
              <w:t>Verdadero</w:t>
            </w:r>
          </w:p>
        </w:tc>
        <w:tc>
          <w:tcPr>
            <w:tcW w:w="567" w:type="dxa"/>
          </w:tcPr>
          <w:p w:rsidR="00E7140B" w:rsidRPr="003E3FEA" w:rsidRDefault="00E7140B" w:rsidP="00A35035">
            <w:pPr>
              <w:pStyle w:val="Tablehead"/>
              <w:keepLines/>
              <w:rPr>
                <w:lang w:val="es-ES_tradnl"/>
              </w:rPr>
            </w:pPr>
          </w:p>
        </w:tc>
        <w:tc>
          <w:tcPr>
            <w:tcW w:w="708" w:type="dxa"/>
          </w:tcPr>
          <w:p w:rsidR="00E7140B" w:rsidRPr="003E3FEA" w:rsidRDefault="00E7140B" w:rsidP="00A35035">
            <w:pPr>
              <w:pStyle w:val="Tablehead"/>
              <w:keepLines/>
              <w:rPr>
                <w:lang w:val="es-ES_tradnl"/>
              </w:rPr>
            </w:pPr>
          </w:p>
        </w:tc>
        <w:tc>
          <w:tcPr>
            <w:tcW w:w="851" w:type="dxa"/>
          </w:tcPr>
          <w:p w:rsidR="00E7140B" w:rsidRPr="003E3FEA" w:rsidRDefault="00E7140B" w:rsidP="00A35035">
            <w:pPr>
              <w:pStyle w:val="Tablehead"/>
              <w:keepLines/>
              <w:rPr>
                <w:rFonts w:eastAsia="Arial Unicode MS"/>
                <w:lang w:val="es-ES_tradnl"/>
              </w:rPr>
            </w:pPr>
            <w:bookmarkStart w:id="62" w:name="lt_pId153"/>
            <w:r w:rsidRPr="003E3FEA">
              <w:rPr>
                <w:lang w:val="es-ES_tradnl"/>
              </w:rPr>
              <w:t>DF</w:t>
            </w:r>
            <w:bookmarkEnd w:id="62"/>
          </w:p>
        </w:tc>
        <w:tc>
          <w:tcPr>
            <w:tcW w:w="709" w:type="dxa"/>
          </w:tcPr>
          <w:p w:rsidR="00E7140B" w:rsidRPr="003E3FEA" w:rsidRDefault="00E7140B" w:rsidP="00A35035">
            <w:pPr>
              <w:pStyle w:val="Tablehead"/>
              <w:keepLines/>
              <w:rPr>
                <w:rFonts w:eastAsia="Arial Unicode MS"/>
                <w:lang w:val="es-ES_tradnl"/>
              </w:rPr>
            </w:pPr>
            <w:r w:rsidRPr="003E3FEA">
              <w:rPr>
                <w:rFonts w:ascii="Normal" w:eastAsia="Normal" w:hAnsi="Normal" w:cs="Normal"/>
                <w:lang w:val="es-ES_tradnl"/>
              </w:rPr>
              <w:t>Δ</w:t>
            </w:r>
          </w:p>
        </w:tc>
        <w:tc>
          <w:tcPr>
            <w:tcW w:w="850" w:type="dxa"/>
          </w:tcPr>
          <w:p w:rsidR="00E7140B" w:rsidRPr="003E3FEA" w:rsidRDefault="00E7140B" w:rsidP="00A35035">
            <w:pPr>
              <w:pStyle w:val="Tablehead"/>
              <w:keepLines/>
              <w:rPr>
                <w:rFonts w:eastAsia="Arial Unicode MS"/>
                <w:lang w:val="es-ES_tradnl"/>
              </w:rPr>
            </w:pPr>
            <w:bookmarkStart w:id="63" w:name="lt_pId155"/>
            <w:r w:rsidRPr="003E3FEA">
              <w:rPr>
                <w:lang w:val="es-ES_tradnl"/>
              </w:rPr>
              <w:t>DF</w:t>
            </w:r>
            <w:bookmarkEnd w:id="63"/>
          </w:p>
        </w:tc>
        <w:tc>
          <w:tcPr>
            <w:tcW w:w="709" w:type="dxa"/>
          </w:tcPr>
          <w:p w:rsidR="00E7140B" w:rsidRPr="003E3FEA" w:rsidRDefault="00E7140B" w:rsidP="00A35035">
            <w:pPr>
              <w:pStyle w:val="Tablehead"/>
              <w:keepLines/>
              <w:rPr>
                <w:rFonts w:eastAsia="Arial Unicode MS"/>
                <w:lang w:val="es-ES_tradnl"/>
              </w:rPr>
            </w:pPr>
            <w:r w:rsidRPr="003E3FEA">
              <w:rPr>
                <w:rFonts w:ascii="Normal" w:eastAsia="Normal" w:hAnsi="Normal" w:cs="Normal"/>
                <w:lang w:val="es-ES_tradnl"/>
              </w:rPr>
              <w:t>Δ</w:t>
            </w:r>
          </w:p>
        </w:tc>
        <w:tc>
          <w:tcPr>
            <w:tcW w:w="709" w:type="dxa"/>
          </w:tcPr>
          <w:p w:rsidR="00E7140B" w:rsidRPr="003E3FEA" w:rsidRDefault="00E7140B" w:rsidP="00A35035">
            <w:pPr>
              <w:pStyle w:val="Tablehead"/>
              <w:keepLines/>
              <w:rPr>
                <w:rFonts w:eastAsia="Arial Unicode MS"/>
                <w:lang w:val="es-ES_tradnl"/>
              </w:rPr>
            </w:pPr>
            <w:bookmarkStart w:id="64" w:name="lt_pId157"/>
            <w:r w:rsidRPr="003E3FEA">
              <w:rPr>
                <w:lang w:val="es-ES_tradnl"/>
              </w:rPr>
              <w:t>DF</w:t>
            </w:r>
            <w:bookmarkEnd w:id="64"/>
          </w:p>
        </w:tc>
        <w:tc>
          <w:tcPr>
            <w:tcW w:w="666" w:type="dxa"/>
          </w:tcPr>
          <w:p w:rsidR="00E7140B" w:rsidRPr="003E3FEA" w:rsidRDefault="00E7140B" w:rsidP="00A35035">
            <w:pPr>
              <w:pStyle w:val="Tablehead"/>
              <w:keepLines/>
              <w:rPr>
                <w:rFonts w:eastAsia="Arial Unicode MS"/>
                <w:lang w:val="es-ES_tradnl"/>
              </w:rPr>
            </w:pPr>
            <w:r w:rsidRPr="003E3FEA">
              <w:rPr>
                <w:rFonts w:ascii="Normal" w:eastAsia="Normal" w:hAnsi="Normal" w:cs="Normal"/>
                <w:lang w:val="es-ES_tradnl"/>
              </w:rPr>
              <w:t>Δ</w:t>
            </w:r>
          </w:p>
        </w:tc>
        <w:tc>
          <w:tcPr>
            <w:tcW w:w="236" w:type="dxa"/>
          </w:tcPr>
          <w:p w:rsidR="00E7140B" w:rsidRPr="003E3FEA" w:rsidRDefault="00E7140B" w:rsidP="00A35035">
            <w:pPr>
              <w:pStyle w:val="Tablehead"/>
              <w:keepLines/>
              <w:rPr>
                <w:rFonts w:eastAsia="Arial Unicode MS"/>
                <w:lang w:val="es-ES_tradnl"/>
              </w:rPr>
            </w:pPr>
          </w:p>
        </w:tc>
        <w:tc>
          <w:tcPr>
            <w:tcW w:w="756" w:type="dxa"/>
          </w:tcPr>
          <w:p w:rsidR="00E7140B" w:rsidRPr="003E3FEA" w:rsidRDefault="00E7140B" w:rsidP="00A35035">
            <w:pPr>
              <w:pStyle w:val="Tablehead"/>
              <w:keepLines/>
              <w:rPr>
                <w:rFonts w:eastAsia="Arial Unicode MS"/>
                <w:lang w:val="es-ES_tradnl"/>
              </w:rPr>
            </w:pPr>
            <w:bookmarkStart w:id="65" w:name="lt_pId159"/>
            <w:r w:rsidRPr="003E3FEA">
              <w:rPr>
                <w:lang w:val="es-ES_tradnl"/>
              </w:rPr>
              <w:t>DF</w:t>
            </w:r>
            <w:bookmarkEnd w:id="65"/>
          </w:p>
        </w:tc>
        <w:tc>
          <w:tcPr>
            <w:tcW w:w="756" w:type="dxa"/>
          </w:tcPr>
          <w:p w:rsidR="00E7140B" w:rsidRPr="003E3FEA" w:rsidRDefault="00E7140B" w:rsidP="00A35035">
            <w:pPr>
              <w:pStyle w:val="Tablehead"/>
              <w:keepLines/>
              <w:rPr>
                <w:rFonts w:eastAsia="Arial Unicode MS"/>
                <w:lang w:val="es-ES_tradnl"/>
              </w:rPr>
            </w:pPr>
            <w:r w:rsidRPr="003E3FEA">
              <w:rPr>
                <w:rFonts w:ascii="Normal" w:eastAsia="Normal" w:hAnsi="Normal" w:cs="Normal"/>
                <w:lang w:val="es-ES_tradnl"/>
              </w:rPr>
              <w:t>Δ</w:t>
            </w:r>
          </w:p>
        </w:tc>
      </w:tr>
      <w:tr w:rsidR="00E7140B" w:rsidRPr="003E3FEA" w:rsidTr="00A350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846" w:type="dxa"/>
            <w:noWrap/>
          </w:tcPr>
          <w:p w:rsidR="00E7140B" w:rsidRPr="003E3FEA" w:rsidRDefault="00E7140B" w:rsidP="00A35035">
            <w:pPr>
              <w:pStyle w:val="Tabletext"/>
              <w:keepNext/>
              <w:keepLines/>
              <w:jc w:val="center"/>
              <w:rPr>
                <w:rFonts w:eastAsia="Arial Unicode MS"/>
                <w:lang w:val="es-ES_tradnl"/>
              </w:rPr>
            </w:pPr>
            <w:r w:rsidRPr="003E3FEA">
              <w:rPr>
                <w:lang w:val="es-ES_tradnl"/>
              </w:rPr>
              <w:t>1</w:t>
            </w:r>
          </w:p>
        </w:tc>
        <w:tc>
          <w:tcPr>
            <w:tcW w:w="1276" w:type="dxa"/>
            <w:vMerge w:val="restart"/>
            <w:noWrap/>
          </w:tcPr>
          <w:p w:rsidR="00E7140B" w:rsidRPr="003E3FEA" w:rsidRDefault="00E7140B" w:rsidP="00A35035">
            <w:pPr>
              <w:pStyle w:val="Tabletext"/>
              <w:keepNext/>
              <w:keepLines/>
              <w:jc w:val="center"/>
              <w:rPr>
                <w:rFonts w:eastAsia="Arial Unicode MS"/>
                <w:lang w:val="es-ES_tradnl"/>
              </w:rPr>
            </w:pPr>
            <w:r w:rsidRPr="003E3FEA">
              <w:rPr>
                <w:lang w:val="es-ES_tradnl"/>
              </w:rPr>
              <w:t>0°</w:t>
            </w:r>
          </w:p>
        </w:tc>
        <w:tc>
          <w:tcPr>
            <w:tcW w:w="567" w:type="dxa"/>
            <w:vMerge w:val="restart"/>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20°</w:t>
            </w:r>
          </w:p>
        </w:tc>
        <w:tc>
          <w:tcPr>
            <w:tcW w:w="708" w:type="dxa"/>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0°</w:t>
            </w:r>
          </w:p>
        </w:tc>
        <w:tc>
          <w:tcPr>
            <w:tcW w:w="851"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850"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666" w:type="dxa"/>
            <w:noWrap/>
          </w:tcPr>
          <w:p w:rsidR="00E7140B" w:rsidRPr="003E3FEA" w:rsidRDefault="00E7140B" w:rsidP="00A35035">
            <w:pPr>
              <w:pStyle w:val="Tabletext"/>
              <w:keepNext/>
              <w:keepLines/>
              <w:jc w:val="center"/>
              <w:rPr>
                <w:rFonts w:eastAsia="Arial Unicode MS"/>
                <w:lang w:val="es-ES_tradnl"/>
              </w:rPr>
            </w:pPr>
          </w:p>
        </w:tc>
        <w:tc>
          <w:tcPr>
            <w:tcW w:w="236" w:type="dxa"/>
            <w:noWrap/>
          </w:tcPr>
          <w:p w:rsidR="00E7140B" w:rsidRPr="003E3FEA" w:rsidRDefault="00E7140B" w:rsidP="00A35035">
            <w:pPr>
              <w:pStyle w:val="Tabletext"/>
              <w:keepNext/>
              <w:keepLines/>
              <w:jc w:val="center"/>
              <w:rPr>
                <w:rFonts w:eastAsia="Arial Unicode MS"/>
                <w:lang w:val="es-ES_tradnl"/>
              </w:rPr>
            </w:pPr>
          </w:p>
        </w:tc>
        <w:tc>
          <w:tcPr>
            <w:tcW w:w="756" w:type="dxa"/>
            <w:noWrap/>
          </w:tcPr>
          <w:p w:rsidR="00E7140B" w:rsidRPr="003E3FEA" w:rsidRDefault="00E7140B" w:rsidP="00A35035">
            <w:pPr>
              <w:pStyle w:val="Tabletext"/>
              <w:keepNext/>
              <w:keepLines/>
              <w:jc w:val="center"/>
              <w:rPr>
                <w:rFonts w:eastAsia="Arial Unicode MS"/>
                <w:lang w:val="es-ES_tradnl"/>
              </w:rPr>
            </w:pPr>
          </w:p>
        </w:tc>
        <w:tc>
          <w:tcPr>
            <w:tcW w:w="756" w:type="dxa"/>
            <w:noWrap/>
          </w:tcPr>
          <w:p w:rsidR="00E7140B" w:rsidRPr="003E3FEA" w:rsidRDefault="00E7140B" w:rsidP="00A35035">
            <w:pPr>
              <w:pStyle w:val="Tabletext"/>
              <w:keepNext/>
              <w:keepLines/>
              <w:jc w:val="center"/>
              <w:rPr>
                <w:rFonts w:eastAsia="Arial Unicode MS"/>
                <w:lang w:val="es-ES_tradnl"/>
              </w:rPr>
            </w:pPr>
          </w:p>
        </w:tc>
      </w:tr>
      <w:tr w:rsidR="00E7140B" w:rsidRPr="003E3FEA" w:rsidTr="00A350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846" w:type="dxa"/>
            <w:noWrap/>
          </w:tcPr>
          <w:p w:rsidR="00E7140B" w:rsidRPr="003E3FEA" w:rsidRDefault="00E7140B" w:rsidP="00A35035">
            <w:pPr>
              <w:pStyle w:val="Tabletext"/>
              <w:keepNext/>
              <w:keepLines/>
              <w:jc w:val="center"/>
              <w:rPr>
                <w:rFonts w:eastAsia="Arial Unicode MS"/>
                <w:lang w:val="es-ES_tradnl"/>
              </w:rPr>
            </w:pPr>
            <w:r w:rsidRPr="003E3FEA">
              <w:rPr>
                <w:lang w:val="es-ES_tradnl"/>
              </w:rPr>
              <w:t>2</w:t>
            </w:r>
          </w:p>
        </w:tc>
        <w:tc>
          <w:tcPr>
            <w:tcW w:w="1276" w:type="dxa"/>
            <w:vMerge/>
            <w:noWrap/>
          </w:tcPr>
          <w:p w:rsidR="00E7140B" w:rsidRPr="003E3FEA" w:rsidRDefault="00E7140B" w:rsidP="00A35035">
            <w:pPr>
              <w:pStyle w:val="Tabletext"/>
              <w:keepNext/>
              <w:keepLines/>
              <w:jc w:val="center"/>
              <w:rPr>
                <w:rFonts w:eastAsia="Arial Unicode MS"/>
                <w:lang w:val="es-ES_tradnl"/>
              </w:rPr>
            </w:pPr>
          </w:p>
        </w:tc>
        <w:tc>
          <w:tcPr>
            <w:tcW w:w="567" w:type="dxa"/>
            <w:vMerge/>
          </w:tcPr>
          <w:p w:rsidR="00E7140B" w:rsidRPr="003E3FEA" w:rsidRDefault="00E7140B" w:rsidP="00A35035">
            <w:pPr>
              <w:pStyle w:val="Tabletext"/>
              <w:keepNext/>
              <w:keepLines/>
              <w:jc w:val="center"/>
              <w:rPr>
                <w:rFonts w:eastAsia="Arial Unicode MS"/>
                <w:lang w:val="es-ES_tradnl"/>
              </w:rPr>
            </w:pPr>
          </w:p>
        </w:tc>
        <w:tc>
          <w:tcPr>
            <w:tcW w:w="708" w:type="dxa"/>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90°</w:t>
            </w:r>
          </w:p>
        </w:tc>
        <w:tc>
          <w:tcPr>
            <w:tcW w:w="851"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850"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666" w:type="dxa"/>
            <w:noWrap/>
          </w:tcPr>
          <w:p w:rsidR="00E7140B" w:rsidRPr="003E3FEA" w:rsidRDefault="00E7140B" w:rsidP="00A35035">
            <w:pPr>
              <w:pStyle w:val="Tabletext"/>
              <w:keepNext/>
              <w:keepLines/>
              <w:jc w:val="center"/>
              <w:rPr>
                <w:rFonts w:eastAsia="Arial Unicode MS"/>
                <w:lang w:val="es-ES_tradnl"/>
              </w:rPr>
            </w:pPr>
          </w:p>
        </w:tc>
        <w:tc>
          <w:tcPr>
            <w:tcW w:w="236" w:type="dxa"/>
            <w:noWrap/>
          </w:tcPr>
          <w:p w:rsidR="00E7140B" w:rsidRPr="003E3FEA" w:rsidRDefault="00E7140B" w:rsidP="00A35035">
            <w:pPr>
              <w:pStyle w:val="Tabletext"/>
              <w:keepNext/>
              <w:keepLines/>
              <w:jc w:val="center"/>
              <w:rPr>
                <w:rFonts w:eastAsia="Arial Unicode MS"/>
                <w:lang w:val="es-ES_tradnl"/>
              </w:rPr>
            </w:pPr>
          </w:p>
        </w:tc>
        <w:tc>
          <w:tcPr>
            <w:tcW w:w="756" w:type="dxa"/>
            <w:noWrap/>
          </w:tcPr>
          <w:p w:rsidR="00E7140B" w:rsidRPr="003E3FEA" w:rsidRDefault="00E7140B" w:rsidP="00A35035">
            <w:pPr>
              <w:pStyle w:val="Tabletext"/>
              <w:keepNext/>
              <w:keepLines/>
              <w:jc w:val="center"/>
              <w:rPr>
                <w:rFonts w:eastAsia="Arial Unicode MS"/>
                <w:lang w:val="es-ES_tradnl"/>
              </w:rPr>
            </w:pPr>
          </w:p>
        </w:tc>
        <w:tc>
          <w:tcPr>
            <w:tcW w:w="756" w:type="dxa"/>
            <w:noWrap/>
          </w:tcPr>
          <w:p w:rsidR="00E7140B" w:rsidRPr="003E3FEA" w:rsidRDefault="00E7140B" w:rsidP="00A35035">
            <w:pPr>
              <w:pStyle w:val="Tabletext"/>
              <w:keepNext/>
              <w:keepLines/>
              <w:jc w:val="center"/>
              <w:rPr>
                <w:rFonts w:eastAsia="Arial Unicode MS"/>
                <w:lang w:val="es-ES_tradnl"/>
              </w:rPr>
            </w:pPr>
          </w:p>
        </w:tc>
      </w:tr>
      <w:tr w:rsidR="00E7140B" w:rsidRPr="003E3FEA" w:rsidTr="00A350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846" w:type="dxa"/>
            <w:noWrap/>
          </w:tcPr>
          <w:p w:rsidR="00E7140B" w:rsidRPr="003E3FEA" w:rsidRDefault="00E7140B" w:rsidP="00A35035">
            <w:pPr>
              <w:pStyle w:val="Tabletext"/>
              <w:keepNext/>
              <w:keepLines/>
              <w:jc w:val="center"/>
              <w:rPr>
                <w:rFonts w:eastAsia="Arial Unicode MS"/>
                <w:lang w:val="es-ES_tradnl"/>
              </w:rPr>
            </w:pPr>
            <w:r w:rsidRPr="003E3FEA">
              <w:rPr>
                <w:lang w:val="es-ES_tradnl"/>
              </w:rPr>
              <w:t>3</w:t>
            </w:r>
          </w:p>
        </w:tc>
        <w:tc>
          <w:tcPr>
            <w:tcW w:w="1276" w:type="dxa"/>
            <w:vMerge/>
            <w:noWrap/>
          </w:tcPr>
          <w:p w:rsidR="00E7140B" w:rsidRPr="003E3FEA" w:rsidRDefault="00E7140B" w:rsidP="00A35035">
            <w:pPr>
              <w:pStyle w:val="Tabletext"/>
              <w:keepNext/>
              <w:keepLines/>
              <w:jc w:val="center"/>
              <w:rPr>
                <w:rFonts w:eastAsia="Arial Unicode MS"/>
                <w:lang w:val="es-ES_tradnl"/>
              </w:rPr>
            </w:pPr>
          </w:p>
        </w:tc>
        <w:tc>
          <w:tcPr>
            <w:tcW w:w="567" w:type="dxa"/>
            <w:vMerge/>
          </w:tcPr>
          <w:p w:rsidR="00E7140B" w:rsidRPr="003E3FEA" w:rsidRDefault="00E7140B" w:rsidP="00A35035">
            <w:pPr>
              <w:pStyle w:val="Tabletext"/>
              <w:keepNext/>
              <w:keepLines/>
              <w:jc w:val="center"/>
              <w:rPr>
                <w:rFonts w:eastAsia="Arial Unicode MS"/>
                <w:lang w:val="es-ES_tradnl"/>
              </w:rPr>
            </w:pPr>
          </w:p>
        </w:tc>
        <w:tc>
          <w:tcPr>
            <w:tcW w:w="708" w:type="dxa"/>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200°</w:t>
            </w:r>
          </w:p>
        </w:tc>
        <w:tc>
          <w:tcPr>
            <w:tcW w:w="851"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850"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666" w:type="dxa"/>
            <w:noWrap/>
          </w:tcPr>
          <w:p w:rsidR="00E7140B" w:rsidRPr="003E3FEA" w:rsidRDefault="00E7140B" w:rsidP="00A35035">
            <w:pPr>
              <w:pStyle w:val="Tabletext"/>
              <w:keepNext/>
              <w:keepLines/>
              <w:jc w:val="center"/>
              <w:rPr>
                <w:rFonts w:eastAsia="Arial Unicode MS"/>
                <w:lang w:val="es-ES_tradnl"/>
              </w:rPr>
            </w:pPr>
          </w:p>
        </w:tc>
        <w:tc>
          <w:tcPr>
            <w:tcW w:w="236" w:type="dxa"/>
            <w:noWrap/>
          </w:tcPr>
          <w:p w:rsidR="00E7140B" w:rsidRPr="003E3FEA" w:rsidRDefault="00E7140B" w:rsidP="00A35035">
            <w:pPr>
              <w:pStyle w:val="Tabletext"/>
              <w:keepNext/>
              <w:keepLines/>
              <w:jc w:val="center"/>
              <w:rPr>
                <w:rFonts w:eastAsia="Arial Unicode MS"/>
                <w:lang w:val="es-ES_tradnl"/>
              </w:rPr>
            </w:pPr>
          </w:p>
        </w:tc>
        <w:tc>
          <w:tcPr>
            <w:tcW w:w="756" w:type="dxa"/>
            <w:noWrap/>
          </w:tcPr>
          <w:p w:rsidR="00E7140B" w:rsidRPr="003E3FEA" w:rsidRDefault="00E7140B" w:rsidP="00A35035">
            <w:pPr>
              <w:pStyle w:val="Tabletext"/>
              <w:keepNext/>
              <w:keepLines/>
              <w:jc w:val="center"/>
              <w:rPr>
                <w:rFonts w:eastAsia="Arial Unicode MS"/>
                <w:lang w:val="es-ES_tradnl"/>
              </w:rPr>
            </w:pPr>
          </w:p>
        </w:tc>
        <w:tc>
          <w:tcPr>
            <w:tcW w:w="756" w:type="dxa"/>
            <w:noWrap/>
          </w:tcPr>
          <w:p w:rsidR="00E7140B" w:rsidRPr="003E3FEA" w:rsidRDefault="00E7140B" w:rsidP="00A35035">
            <w:pPr>
              <w:pStyle w:val="Tabletext"/>
              <w:keepNext/>
              <w:keepLines/>
              <w:jc w:val="center"/>
              <w:rPr>
                <w:rFonts w:eastAsia="Arial Unicode MS"/>
                <w:lang w:val="es-ES_tradnl"/>
              </w:rPr>
            </w:pPr>
          </w:p>
        </w:tc>
      </w:tr>
      <w:tr w:rsidR="00E7140B" w:rsidRPr="003E3FEA" w:rsidTr="00A350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846" w:type="dxa"/>
            <w:noWrap/>
          </w:tcPr>
          <w:p w:rsidR="00E7140B" w:rsidRPr="003E3FEA" w:rsidRDefault="00E7140B" w:rsidP="00A35035">
            <w:pPr>
              <w:pStyle w:val="Tabletext"/>
              <w:keepNext/>
              <w:keepLines/>
              <w:jc w:val="center"/>
              <w:rPr>
                <w:rFonts w:eastAsia="Arial Unicode MS"/>
                <w:lang w:val="es-ES_tradnl"/>
              </w:rPr>
            </w:pPr>
          </w:p>
        </w:tc>
        <w:tc>
          <w:tcPr>
            <w:tcW w:w="1276" w:type="dxa"/>
            <w:vMerge/>
            <w:noWrap/>
          </w:tcPr>
          <w:p w:rsidR="00E7140B" w:rsidRPr="003E3FEA" w:rsidRDefault="00E7140B" w:rsidP="00A35035">
            <w:pPr>
              <w:pStyle w:val="Tabletext"/>
              <w:keepNext/>
              <w:keepLines/>
              <w:jc w:val="center"/>
              <w:rPr>
                <w:rFonts w:eastAsia="Arial Unicode MS"/>
                <w:lang w:val="es-ES_tradnl"/>
              </w:rPr>
            </w:pPr>
          </w:p>
        </w:tc>
        <w:tc>
          <w:tcPr>
            <w:tcW w:w="567" w:type="dxa"/>
            <w:vMerge w:val="restart"/>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60°</w:t>
            </w:r>
          </w:p>
        </w:tc>
        <w:tc>
          <w:tcPr>
            <w:tcW w:w="708" w:type="dxa"/>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0°</w:t>
            </w:r>
          </w:p>
        </w:tc>
        <w:tc>
          <w:tcPr>
            <w:tcW w:w="851"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850"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666" w:type="dxa"/>
            <w:noWrap/>
          </w:tcPr>
          <w:p w:rsidR="00E7140B" w:rsidRPr="003E3FEA" w:rsidRDefault="00E7140B" w:rsidP="00A35035">
            <w:pPr>
              <w:pStyle w:val="Tabletext"/>
              <w:keepNext/>
              <w:keepLines/>
              <w:jc w:val="center"/>
              <w:rPr>
                <w:rFonts w:eastAsia="Arial Unicode MS"/>
                <w:lang w:val="es-ES_tradnl"/>
              </w:rPr>
            </w:pPr>
          </w:p>
        </w:tc>
        <w:tc>
          <w:tcPr>
            <w:tcW w:w="236" w:type="dxa"/>
            <w:noWrap/>
          </w:tcPr>
          <w:p w:rsidR="00E7140B" w:rsidRPr="003E3FEA" w:rsidRDefault="00E7140B" w:rsidP="00A35035">
            <w:pPr>
              <w:pStyle w:val="Tabletext"/>
              <w:keepNext/>
              <w:keepLines/>
              <w:jc w:val="center"/>
              <w:rPr>
                <w:rFonts w:eastAsia="Arial Unicode MS"/>
                <w:lang w:val="es-ES_tradnl"/>
              </w:rPr>
            </w:pPr>
          </w:p>
        </w:tc>
        <w:tc>
          <w:tcPr>
            <w:tcW w:w="756" w:type="dxa"/>
            <w:noWrap/>
          </w:tcPr>
          <w:p w:rsidR="00E7140B" w:rsidRPr="003E3FEA" w:rsidRDefault="00E7140B" w:rsidP="00A35035">
            <w:pPr>
              <w:pStyle w:val="Tabletext"/>
              <w:keepNext/>
              <w:keepLines/>
              <w:jc w:val="center"/>
              <w:rPr>
                <w:rFonts w:eastAsia="Arial Unicode MS"/>
                <w:lang w:val="es-ES_tradnl"/>
              </w:rPr>
            </w:pPr>
          </w:p>
        </w:tc>
        <w:tc>
          <w:tcPr>
            <w:tcW w:w="756" w:type="dxa"/>
            <w:noWrap/>
          </w:tcPr>
          <w:p w:rsidR="00E7140B" w:rsidRPr="003E3FEA" w:rsidRDefault="00E7140B" w:rsidP="00A35035">
            <w:pPr>
              <w:pStyle w:val="Tabletext"/>
              <w:keepNext/>
              <w:keepLines/>
              <w:jc w:val="center"/>
              <w:rPr>
                <w:rFonts w:eastAsia="Arial Unicode MS"/>
                <w:lang w:val="es-ES_tradnl"/>
              </w:rPr>
            </w:pPr>
          </w:p>
        </w:tc>
      </w:tr>
      <w:tr w:rsidR="00E7140B" w:rsidRPr="003E3FEA" w:rsidTr="00A350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846" w:type="dxa"/>
            <w:noWrap/>
          </w:tcPr>
          <w:p w:rsidR="00E7140B" w:rsidRPr="003E3FEA" w:rsidRDefault="00E7140B" w:rsidP="00A35035">
            <w:pPr>
              <w:pStyle w:val="Tabletext"/>
              <w:keepNext/>
              <w:keepLines/>
              <w:jc w:val="center"/>
              <w:rPr>
                <w:rFonts w:eastAsia="Arial Unicode MS"/>
                <w:lang w:val="es-ES_tradnl"/>
              </w:rPr>
            </w:pPr>
          </w:p>
        </w:tc>
        <w:tc>
          <w:tcPr>
            <w:tcW w:w="1276" w:type="dxa"/>
            <w:vMerge/>
            <w:noWrap/>
          </w:tcPr>
          <w:p w:rsidR="00E7140B" w:rsidRPr="003E3FEA" w:rsidRDefault="00E7140B" w:rsidP="00A35035">
            <w:pPr>
              <w:pStyle w:val="Tabletext"/>
              <w:keepNext/>
              <w:keepLines/>
              <w:jc w:val="center"/>
              <w:rPr>
                <w:rFonts w:eastAsia="Arial Unicode MS"/>
                <w:lang w:val="es-ES_tradnl"/>
              </w:rPr>
            </w:pPr>
          </w:p>
        </w:tc>
        <w:tc>
          <w:tcPr>
            <w:tcW w:w="567" w:type="dxa"/>
            <w:vMerge/>
          </w:tcPr>
          <w:p w:rsidR="00E7140B" w:rsidRPr="003E3FEA" w:rsidRDefault="00E7140B" w:rsidP="00A35035">
            <w:pPr>
              <w:pStyle w:val="Tabletext"/>
              <w:keepNext/>
              <w:keepLines/>
              <w:jc w:val="center"/>
              <w:rPr>
                <w:rFonts w:eastAsia="Arial Unicode MS"/>
                <w:lang w:val="es-ES_tradnl"/>
              </w:rPr>
            </w:pPr>
          </w:p>
        </w:tc>
        <w:tc>
          <w:tcPr>
            <w:tcW w:w="708" w:type="dxa"/>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90°</w:t>
            </w:r>
          </w:p>
        </w:tc>
        <w:tc>
          <w:tcPr>
            <w:tcW w:w="851"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850"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666" w:type="dxa"/>
            <w:noWrap/>
          </w:tcPr>
          <w:p w:rsidR="00E7140B" w:rsidRPr="003E3FEA" w:rsidRDefault="00E7140B" w:rsidP="00A35035">
            <w:pPr>
              <w:pStyle w:val="Tabletext"/>
              <w:keepNext/>
              <w:keepLines/>
              <w:jc w:val="center"/>
              <w:rPr>
                <w:rFonts w:eastAsia="Arial Unicode MS"/>
                <w:lang w:val="es-ES_tradnl"/>
              </w:rPr>
            </w:pPr>
          </w:p>
        </w:tc>
        <w:tc>
          <w:tcPr>
            <w:tcW w:w="236" w:type="dxa"/>
            <w:noWrap/>
          </w:tcPr>
          <w:p w:rsidR="00E7140B" w:rsidRPr="003E3FEA" w:rsidRDefault="00E7140B" w:rsidP="00A35035">
            <w:pPr>
              <w:pStyle w:val="Tabletext"/>
              <w:keepNext/>
              <w:keepLines/>
              <w:jc w:val="center"/>
              <w:rPr>
                <w:rFonts w:eastAsia="Arial Unicode MS"/>
                <w:lang w:val="es-ES_tradnl"/>
              </w:rPr>
            </w:pPr>
          </w:p>
        </w:tc>
        <w:tc>
          <w:tcPr>
            <w:tcW w:w="756" w:type="dxa"/>
            <w:noWrap/>
          </w:tcPr>
          <w:p w:rsidR="00E7140B" w:rsidRPr="003E3FEA" w:rsidRDefault="00E7140B" w:rsidP="00A35035">
            <w:pPr>
              <w:pStyle w:val="Tabletext"/>
              <w:keepNext/>
              <w:keepLines/>
              <w:jc w:val="center"/>
              <w:rPr>
                <w:rFonts w:eastAsia="Arial Unicode MS"/>
                <w:lang w:val="es-ES_tradnl"/>
              </w:rPr>
            </w:pPr>
          </w:p>
        </w:tc>
        <w:tc>
          <w:tcPr>
            <w:tcW w:w="756" w:type="dxa"/>
            <w:noWrap/>
          </w:tcPr>
          <w:p w:rsidR="00E7140B" w:rsidRPr="003E3FEA" w:rsidRDefault="00E7140B" w:rsidP="00A35035">
            <w:pPr>
              <w:pStyle w:val="Tabletext"/>
              <w:keepNext/>
              <w:keepLines/>
              <w:jc w:val="center"/>
              <w:rPr>
                <w:rFonts w:eastAsia="Arial Unicode MS"/>
                <w:lang w:val="es-ES_tradnl"/>
              </w:rPr>
            </w:pPr>
          </w:p>
        </w:tc>
      </w:tr>
      <w:tr w:rsidR="00E7140B" w:rsidRPr="003E3FEA" w:rsidTr="00A350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846" w:type="dxa"/>
            <w:noWrap/>
          </w:tcPr>
          <w:p w:rsidR="00E7140B" w:rsidRPr="003E3FEA" w:rsidRDefault="00E7140B" w:rsidP="00A35035">
            <w:pPr>
              <w:pStyle w:val="Tabletext"/>
              <w:keepNext/>
              <w:keepLines/>
              <w:jc w:val="center"/>
              <w:rPr>
                <w:rFonts w:eastAsia="Arial Unicode MS"/>
                <w:lang w:val="es-ES_tradnl"/>
              </w:rPr>
            </w:pPr>
          </w:p>
        </w:tc>
        <w:tc>
          <w:tcPr>
            <w:tcW w:w="1276" w:type="dxa"/>
            <w:vMerge/>
            <w:noWrap/>
          </w:tcPr>
          <w:p w:rsidR="00E7140B" w:rsidRPr="003E3FEA" w:rsidRDefault="00E7140B" w:rsidP="00A35035">
            <w:pPr>
              <w:pStyle w:val="Tabletext"/>
              <w:keepNext/>
              <w:keepLines/>
              <w:jc w:val="center"/>
              <w:rPr>
                <w:rFonts w:eastAsia="Arial Unicode MS"/>
                <w:lang w:val="es-ES_tradnl"/>
              </w:rPr>
            </w:pPr>
          </w:p>
        </w:tc>
        <w:tc>
          <w:tcPr>
            <w:tcW w:w="567" w:type="dxa"/>
            <w:vMerge/>
          </w:tcPr>
          <w:p w:rsidR="00E7140B" w:rsidRPr="003E3FEA" w:rsidRDefault="00E7140B" w:rsidP="00A35035">
            <w:pPr>
              <w:pStyle w:val="Tabletext"/>
              <w:keepNext/>
              <w:keepLines/>
              <w:jc w:val="center"/>
              <w:rPr>
                <w:rFonts w:eastAsia="Arial Unicode MS"/>
                <w:lang w:val="es-ES_tradnl"/>
              </w:rPr>
            </w:pPr>
          </w:p>
        </w:tc>
        <w:tc>
          <w:tcPr>
            <w:tcW w:w="708" w:type="dxa"/>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200°</w:t>
            </w:r>
          </w:p>
        </w:tc>
        <w:tc>
          <w:tcPr>
            <w:tcW w:w="851"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850"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666" w:type="dxa"/>
            <w:noWrap/>
          </w:tcPr>
          <w:p w:rsidR="00E7140B" w:rsidRPr="003E3FEA" w:rsidRDefault="00E7140B" w:rsidP="00A35035">
            <w:pPr>
              <w:pStyle w:val="Tabletext"/>
              <w:keepNext/>
              <w:keepLines/>
              <w:jc w:val="center"/>
              <w:rPr>
                <w:rFonts w:eastAsia="Arial Unicode MS"/>
                <w:lang w:val="es-ES_tradnl"/>
              </w:rPr>
            </w:pPr>
          </w:p>
        </w:tc>
        <w:tc>
          <w:tcPr>
            <w:tcW w:w="236" w:type="dxa"/>
            <w:noWrap/>
          </w:tcPr>
          <w:p w:rsidR="00E7140B" w:rsidRPr="003E3FEA" w:rsidRDefault="00E7140B" w:rsidP="00A35035">
            <w:pPr>
              <w:pStyle w:val="Tabletext"/>
              <w:keepNext/>
              <w:keepLines/>
              <w:jc w:val="center"/>
              <w:rPr>
                <w:rFonts w:eastAsia="Arial Unicode MS"/>
                <w:lang w:val="es-ES_tradnl"/>
              </w:rPr>
            </w:pPr>
          </w:p>
        </w:tc>
        <w:tc>
          <w:tcPr>
            <w:tcW w:w="756" w:type="dxa"/>
            <w:noWrap/>
          </w:tcPr>
          <w:p w:rsidR="00E7140B" w:rsidRPr="003E3FEA" w:rsidRDefault="00E7140B" w:rsidP="00A35035">
            <w:pPr>
              <w:pStyle w:val="Tabletext"/>
              <w:keepNext/>
              <w:keepLines/>
              <w:jc w:val="center"/>
              <w:rPr>
                <w:rFonts w:eastAsia="Arial Unicode MS"/>
                <w:lang w:val="es-ES_tradnl"/>
              </w:rPr>
            </w:pPr>
          </w:p>
        </w:tc>
        <w:tc>
          <w:tcPr>
            <w:tcW w:w="756" w:type="dxa"/>
            <w:noWrap/>
          </w:tcPr>
          <w:p w:rsidR="00E7140B" w:rsidRPr="003E3FEA" w:rsidRDefault="00E7140B" w:rsidP="00A35035">
            <w:pPr>
              <w:pStyle w:val="Tabletext"/>
              <w:keepNext/>
              <w:keepLines/>
              <w:jc w:val="center"/>
              <w:rPr>
                <w:rFonts w:eastAsia="Arial Unicode MS"/>
                <w:lang w:val="es-ES_tradnl"/>
              </w:rPr>
            </w:pPr>
          </w:p>
        </w:tc>
      </w:tr>
      <w:tr w:rsidR="00E7140B" w:rsidRPr="003E3FEA" w:rsidTr="00A350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846" w:type="dxa"/>
            <w:noWrap/>
          </w:tcPr>
          <w:p w:rsidR="00E7140B" w:rsidRPr="003E3FEA" w:rsidRDefault="00E7140B" w:rsidP="00A35035">
            <w:pPr>
              <w:pStyle w:val="Tabletext"/>
              <w:keepNext/>
              <w:keepLines/>
              <w:jc w:val="center"/>
              <w:rPr>
                <w:rFonts w:eastAsia="Arial Unicode MS"/>
                <w:lang w:val="es-ES_tradnl"/>
              </w:rPr>
            </w:pPr>
          </w:p>
        </w:tc>
        <w:tc>
          <w:tcPr>
            <w:tcW w:w="1276" w:type="dxa"/>
            <w:vMerge/>
            <w:noWrap/>
          </w:tcPr>
          <w:p w:rsidR="00E7140B" w:rsidRPr="003E3FEA" w:rsidRDefault="00E7140B" w:rsidP="00A35035">
            <w:pPr>
              <w:pStyle w:val="Tabletext"/>
              <w:keepNext/>
              <w:keepLines/>
              <w:jc w:val="center"/>
              <w:rPr>
                <w:rFonts w:eastAsia="Arial Unicode MS"/>
                <w:lang w:val="es-ES_tradnl"/>
              </w:rPr>
            </w:pPr>
          </w:p>
        </w:tc>
        <w:tc>
          <w:tcPr>
            <w:tcW w:w="567" w:type="dxa"/>
            <w:vMerge w:val="restart"/>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90°</w:t>
            </w:r>
          </w:p>
        </w:tc>
        <w:tc>
          <w:tcPr>
            <w:tcW w:w="708" w:type="dxa"/>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0°</w:t>
            </w:r>
          </w:p>
        </w:tc>
        <w:tc>
          <w:tcPr>
            <w:tcW w:w="851"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850"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666" w:type="dxa"/>
            <w:noWrap/>
          </w:tcPr>
          <w:p w:rsidR="00E7140B" w:rsidRPr="003E3FEA" w:rsidRDefault="00E7140B" w:rsidP="00A35035">
            <w:pPr>
              <w:pStyle w:val="Tabletext"/>
              <w:keepNext/>
              <w:keepLines/>
              <w:jc w:val="center"/>
              <w:rPr>
                <w:rFonts w:eastAsia="Arial Unicode MS"/>
                <w:lang w:val="es-ES_tradnl"/>
              </w:rPr>
            </w:pPr>
          </w:p>
        </w:tc>
        <w:tc>
          <w:tcPr>
            <w:tcW w:w="236" w:type="dxa"/>
            <w:noWrap/>
          </w:tcPr>
          <w:p w:rsidR="00E7140B" w:rsidRPr="003E3FEA" w:rsidRDefault="00E7140B" w:rsidP="00A35035">
            <w:pPr>
              <w:pStyle w:val="Tabletext"/>
              <w:keepNext/>
              <w:keepLines/>
              <w:jc w:val="center"/>
              <w:rPr>
                <w:rFonts w:eastAsia="Arial Unicode MS"/>
                <w:lang w:val="es-ES_tradnl"/>
              </w:rPr>
            </w:pPr>
          </w:p>
        </w:tc>
        <w:tc>
          <w:tcPr>
            <w:tcW w:w="756" w:type="dxa"/>
            <w:noWrap/>
          </w:tcPr>
          <w:p w:rsidR="00E7140B" w:rsidRPr="003E3FEA" w:rsidRDefault="00E7140B" w:rsidP="00A35035">
            <w:pPr>
              <w:pStyle w:val="Tabletext"/>
              <w:keepNext/>
              <w:keepLines/>
              <w:jc w:val="center"/>
              <w:rPr>
                <w:rFonts w:eastAsia="Arial Unicode MS"/>
                <w:lang w:val="es-ES_tradnl"/>
              </w:rPr>
            </w:pPr>
          </w:p>
        </w:tc>
        <w:tc>
          <w:tcPr>
            <w:tcW w:w="756" w:type="dxa"/>
            <w:noWrap/>
          </w:tcPr>
          <w:p w:rsidR="00E7140B" w:rsidRPr="003E3FEA" w:rsidRDefault="00E7140B" w:rsidP="00A35035">
            <w:pPr>
              <w:pStyle w:val="Tabletext"/>
              <w:keepNext/>
              <w:keepLines/>
              <w:jc w:val="center"/>
              <w:rPr>
                <w:rFonts w:eastAsia="Arial Unicode MS"/>
                <w:lang w:val="es-ES_tradnl"/>
              </w:rPr>
            </w:pPr>
          </w:p>
        </w:tc>
      </w:tr>
      <w:tr w:rsidR="00E7140B" w:rsidRPr="003E3FEA" w:rsidTr="00A350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846" w:type="dxa"/>
            <w:noWrap/>
          </w:tcPr>
          <w:p w:rsidR="00E7140B" w:rsidRPr="003E3FEA" w:rsidRDefault="00E7140B" w:rsidP="00A35035">
            <w:pPr>
              <w:pStyle w:val="Tabletext"/>
              <w:keepNext/>
              <w:keepLines/>
              <w:jc w:val="center"/>
              <w:rPr>
                <w:rFonts w:eastAsia="Arial Unicode MS"/>
                <w:lang w:val="es-ES_tradnl"/>
              </w:rPr>
            </w:pPr>
          </w:p>
        </w:tc>
        <w:tc>
          <w:tcPr>
            <w:tcW w:w="1276" w:type="dxa"/>
            <w:vMerge/>
            <w:noWrap/>
          </w:tcPr>
          <w:p w:rsidR="00E7140B" w:rsidRPr="003E3FEA" w:rsidRDefault="00E7140B" w:rsidP="00A35035">
            <w:pPr>
              <w:pStyle w:val="Tabletext"/>
              <w:keepNext/>
              <w:keepLines/>
              <w:jc w:val="center"/>
              <w:rPr>
                <w:rFonts w:eastAsia="Arial Unicode MS"/>
                <w:lang w:val="es-ES_tradnl"/>
              </w:rPr>
            </w:pPr>
          </w:p>
        </w:tc>
        <w:tc>
          <w:tcPr>
            <w:tcW w:w="567" w:type="dxa"/>
            <w:vMerge/>
          </w:tcPr>
          <w:p w:rsidR="00E7140B" w:rsidRPr="003E3FEA" w:rsidRDefault="00E7140B" w:rsidP="00A35035">
            <w:pPr>
              <w:pStyle w:val="Tabletext"/>
              <w:keepNext/>
              <w:keepLines/>
              <w:jc w:val="center"/>
              <w:rPr>
                <w:rFonts w:eastAsia="Arial Unicode MS"/>
                <w:lang w:val="es-ES_tradnl"/>
              </w:rPr>
            </w:pPr>
          </w:p>
        </w:tc>
        <w:tc>
          <w:tcPr>
            <w:tcW w:w="708" w:type="dxa"/>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90°</w:t>
            </w:r>
          </w:p>
        </w:tc>
        <w:tc>
          <w:tcPr>
            <w:tcW w:w="851"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850"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666" w:type="dxa"/>
            <w:noWrap/>
          </w:tcPr>
          <w:p w:rsidR="00E7140B" w:rsidRPr="003E3FEA" w:rsidRDefault="00E7140B" w:rsidP="00A35035">
            <w:pPr>
              <w:pStyle w:val="Tabletext"/>
              <w:keepNext/>
              <w:keepLines/>
              <w:jc w:val="center"/>
              <w:rPr>
                <w:rFonts w:eastAsia="Arial Unicode MS"/>
                <w:lang w:val="es-ES_tradnl"/>
              </w:rPr>
            </w:pPr>
          </w:p>
        </w:tc>
        <w:tc>
          <w:tcPr>
            <w:tcW w:w="236" w:type="dxa"/>
            <w:noWrap/>
          </w:tcPr>
          <w:p w:rsidR="00E7140B" w:rsidRPr="003E3FEA" w:rsidRDefault="00E7140B" w:rsidP="00A35035">
            <w:pPr>
              <w:pStyle w:val="Tabletext"/>
              <w:keepNext/>
              <w:keepLines/>
              <w:jc w:val="center"/>
              <w:rPr>
                <w:rFonts w:eastAsia="Arial Unicode MS"/>
                <w:lang w:val="es-ES_tradnl"/>
              </w:rPr>
            </w:pPr>
          </w:p>
        </w:tc>
        <w:tc>
          <w:tcPr>
            <w:tcW w:w="756" w:type="dxa"/>
            <w:noWrap/>
          </w:tcPr>
          <w:p w:rsidR="00E7140B" w:rsidRPr="003E3FEA" w:rsidRDefault="00E7140B" w:rsidP="00A35035">
            <w:pPr>
              <w:pStyle w:val="Tabletext"/>
              <w:keepNext/>
              <w:keepLines/>
              <w:jc w:val="center"/>
              <w:rPr>
                <w:rFonts w:eastAsia="Arial Unicode MS"/>
                <w:lang w:val="es-ES_tradnl"/>
              </w:rPr>
            </w:pPr>
          </w:p>
        </w:tc>
        <w:tc>
          <w:tcPr>
            <w:tcW w:w="756" w:type="dxa"/>
            <w:noWrap/>
          </w:tcPr>
          <w:p w:rsidR="00E7140B" w:rsidRPr="003E3FEA" w:rsidRDefault="00E7140B" w:rsidP="00A35035">
            <w:pPr>
              <w:pStyle w:val="Tabletext"/>
              <w:keepNext/>
              <w:keepLines/>
              <w:jc w:val="center"/>
              <w:rPr>
                <w:rFonts w:eastAsia="Arial Unicode MS"/>
                <w:lang w:val="es-ES_tradnl"/>
              </w:rPr>
            </w:pPr>
          </w:p>
        </w:tc>
      </w:tr>
      <w:tr w:rsidR="00E7140B" w:rsidRPr="003E3FEA" w:rsidTr="00A350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846" w:type="dxa"/>
            <w:noWrap/>
          </w:tcPr>
          <w:p w:rsidR="00E7140B" w:rsidRPr="003E3FEA" w:rsidRDefault="00E7140B" w:rsidP="00A35035">
            <w:pPr>
              <w:pStyle w:val="Tabletext"/>
              <w:keepNext/>
              <w:keepLines/>
              <w:jc w:val="center"/>
              <w:rPr>
                <w:rFonts w:eastAsia="Arial Unicode MS"/>
                <w:lang w:val="es-ES_tradnl"/>
              </w:rPr>
            </w:pPr>
          </w:p>
        </w:tc>
        <w:tc>
          <w:tcPr>
            <w:tcW w:w="1276" w:type="dxa"/>
            <w:vMerge/>
            <w:noWrap/>
          </w:tcPr>
          <w:p w:rsidR="00E7140B" w:rsidRPr="003E3FEA" w:rsidRDefault="00E7140B" w:rsidP="00A35035">
            <w:pPr>
              <w:pStyle w:val="Tabletext"/>
              <w:keepNext/>
              <w:keepLines/>
              <w:jc w:val="center"/>
              <w:rPr>
                <w:rFonts w:eastAsia="Arial Unicode MS"/>
                <w:lang w:val="es-ES_tradnl"/>
              </w:rPr>
            </w:pPr>
          </w:p>
        </w:tc>
        <w:tc>
          <w:tcPr>
            <w:tcW w:w="567" w:type="dxa"/>
            <w:vMerge/>
          </w:tcPr>
          <w:p w:rsidR="00E7140B" w:rsidRPr="003E3FEA" w:rsidRDefault="00E7140B" w:rsidP="00A35035">
            <w:pPr>
              <w:pStyle w:val="Tabletext"/>
              <w:keepNext/>
              <w:keepLines/>
              <w:jc w:val="center"/>
              <w:rPr>
                <w:rFonts w:eastAsia="Arial Unicode MS"/>
                <w:lang w:val="es-ES_tradnl"/>
              </w:rPr>
            </w:pPr>
          </w:p>
        </w:tc>
        <w:tc>
          <w:tcPr>
            <w:tcW w:w="708" w:type="dxa"/>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200°</w:t>
            </w:r>
          </w:p>
        </w:tc>
        <w:tc>
          <w:tcPr>
            <w:tcW w:w="851"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850"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709" w:type="dxa"/>
            <w:noWrap/>
          </w:tcPr>
          <w:p w:rsidR="00E7140B" w:rsidRPr="003E3FEA" w:rsidRDefault="00E7140B" w:rsidP="00A35035">
            <w:pPr>
              <w:pStyle w:val="Tabletext"/>
              <w:keepNext/>
              <w:keepLines/>
              <w:jc w:val="center"/>
              <w:rPr>
                <w:rFonts w:eastAsia="Arial Unicode MS"/>
                <w:lang w:val="es-ES_tradnl"/>
              </w:rPr>
            </w:pPr>
          </w:p>
        </w:tc>
        <w:tc>
          <w:tcPr>
            <w:tcW w:w="666" w:type="dxa"/>
            <w:noWrap/>
          </w:tcPr>
          <w:p w:rsidR="00E7140B" w:rsidRPr="003E3FEA" w:rsidRDefault="00E7140B" w:rsidP="00A35035">
            <w:pPr>
              <w:pStyle w:val="Tabletext"/>
              <w:keepNext/>
              <w:keepLines/>
              <w:jc w:val="center"/>
              <w:rPr>
                <w:rFonts w:eastAsia="Arial Unicode MS"/>
                <w:lang w:val="es-ES_tradnl"/>
              </w:rPr>
            </w:pPr>
          </w:p>
        </w:tc>
        <w:tc>
          <w:tcPr>
            <w:tcW w:w="236" w:type="dxa"/>
            <w:noWrap/>
          </w:tcPr>
          <w:p w:rsidR="00E7140B" w:rsidRPr="003E3FEA" w:rsidRDefault="00E7140B" w:rsidP="00A35035">
            <w:pPr>
              <w:pStyle w:val="Tabletext"/>
              <w:keepNext/>
              <w:keepLines/>
              <w:jc w:val="center"/>
              <w:rPr>
                <w:rFonts w:eastAsia="Arial Unicode MS"/>
                <w:lang w:val="es-ES_tradnl"/>
              </w:rPr>
            </w:pPr>
          </w:p>
        </w:tc>
        <w:tc>
          <w:tcPr>
            <w:tcW w:w="756" w:type="dxa"/>
            <w:noWrap/>
          </w:tcPr>
          <w:p w:rsidR="00E7140B" w:rsidRPr="003E3FEA" w:rsidRDefault="00E7140B" w:rsidP="00A35035">
            <w:pPr>
              <w:pStyle w:val="Tabletext"/>
              <w:keepNext/>
              <w:keepLines/>
              <w:jc w:val="center"/>
              <w:rPr>
                <w:rFonts w:eastAsia="Arial Unicode MS"/>
                <w:lang w:val="es-ES_tradnl"/>
              </w:rPr>
            </w:pPr>
          </w:p>
        </w:tc>
        <w:tc>
          <w:tcPr>
            <w:tcW w:w="756" w:type="dxa"/>
            <w:noWrap/>
          </w:tcPr>
          <w:p w:rsidR="00E7140B" w:rsidRPr="003E3FEA" w:rsidRDefault="00E7140B" w:rsidP="00A35035">
            <w:pPr>
              <w:pStyle w:val="Tabletext"/>
              <w:keepNext/>
              <w:keepLines/>
              <w:jc w:val="center"/>
              <w:rPr>
                <w:rFonts w:eastAsia="Arial Unicode MS"/>
                <w:lang w:val="es-ES_tradnl"/>
              </w:rPr>
            </w:pPr>
          </w:p>
        </w:tc>
      </w:tr>
      <w:tr w:rsidR="00E7140B" w:rsidRPr="003E3FEA" w:rsidTr="00A350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846" w:type="dxa"/>
            <w:noWrap/>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w:t>
            </w:r>
          </w:p>
        </w:tc>
        <w:tc>
          <w:tcPr>
            <w:tcW w:w="1276" w:type="dxa"/>
            <w:noWrap/>
          </w:tcPr>
          <w:p w:rsidR="00E7140B" w:rsidRPr="003E3FEA" w:rsidRDefault="00E7140B" w:rsidP="00A35035">
            <w:pPr>
              <w:pStyle w:val="Tabletext"/>
              <w:keepNext/>
              <w:keepLines/>
              <w:jc w:val="center"/>
              <w:rPr>
                <w:rFonts w:eastAsia="Arial Unicode MS"/>
                <w:lang w:val="es-ES_tradnl"/>
              </w:rPr>
            </w:pPr>
            <w:r w:rsidRPr="003E3FEA">
              <w:rPr>
                <w:lang w:val="es-ES_tradnl"/>
              </w:rPr>
              <w:t>…</w:t>
            </w:r>
          </w:p>
        </w:tc>
        <w:tc>
          <w:tcPr>
            <w:tcW w:w="567" w:type="dxa"/>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w:t>
            </w:r>
          </w:p>
        </w:tc>
        <w:tc>
          <w:tcPr>
            <w:tcW w:w="708" w:type="dxa"/>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w:t>
            </w:r>
          </w:p>
        </w:tc>
        <w:tc>
          <w:tcPr>
            <w:tcW w:w="851" w:type="dxa"/>
            <w:noWrap/>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w:t>
            </w:r>
          </w:p>
        </w:tc>
        <w:tc>
          <w:tcPr>
            <w:tcW w:w="709" w:type="dxa"/>
            <w:noWrap/>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w:t>
            </w:r>
          </w:p>
        </w:tc>
        <w:tc>
          <w:tcPr>
            <w:tcW w:w="850" w:type="dxa"/>
            <w:noWrap/>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w:t>
            </w:r>
          </w:p>
        </w:tc>
        <w:tc>
          <w:tcPr>
            <w:tcW w:w="709" w:type="dxa"/>
            <w:noWrap/>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w:t>
            </w:r>
          </w:p>
        </w:tc>
        <w:tc>
          <w:tcPr>
            <w:tcW w:w="709" w:type="dxa"/>
            <w:noWrap/>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w:t>
            </w:r>
          </w:p>
        </w:tc>
        <w:tc>
          <w:tcPr>
            <w:tcW w:w="666" w:type="dxa"/>
            <w:noWrap/>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w:t>
            </w:r>
          </w:p>
        </w:tc>
        <w:tc>
          <w:tcPr>
            <w:tcW w:w="236" w:type="dxa"/>
            <w:noWrap/>
          </w:tcPr>
          <w:p w:rsidR="00E7140B" w:rsidRPr="003E3FEA" w:rsidRDefault="00E7140B" w:rsidP="00A35035">
            <w:pPr>
              <w:pStyle w:val="Tabletext"/>
              <w:keepNext/>
              <w:keepLines/>
              <w:jc w:val="center"/>
              <w:rPr>
                <w:rFonts w:eastAsia="Arial Unicode MS"/>
                <w:lang w:val="es-ES_tradnl"/>
              </w:rPr>
            </w:pPr>
          </w:p>
        </w:tc>
        <w:tc>
          <w:tcPr>
            <w:tcW w:w="756" w:type="dxa"/>
            <w:noWrap/>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w:t>
            </w:r>
          </w:p>
        </w:tc>
        <w:tc>
          <w:tcPr>
            <w:tcW w:w="756" w:type="dxa"/>
            <w:noWrap/>
          </w:tcPr>
          <w:p w:rsidR="00E7140B" w:rsidRPr="003E3FEA" w:rsidRDefault="00E7140B" w:rsidP="00A35035">
            <w:pPr>
              <w:pStyle w:val="Tabletext"/>
              <w:keepNext/>
              <w:keepLines/>
              <w:jc w:val="center"/>
              <w:rPr>
                <w:rFonts w:eastAsia="Arial Unicode MS"/>
                <w:lang w:val="es-ES_tradnl"/>
              </w:rPr>
            </w:pPr>
            <w:r w:rsidRPr="003E3FEA">
              <w:rPr>
                <w:rFonts w:eastAsia="Arial Unicode MS"/>
                <w:lang w:val="es-ES_tradnl"/>
              </w:rPr>
              <w:t>…</w:t>
            </w:r>
          </w:p>
        </w:tc>
      </w:tr>
    </w:tbl>
    <w:p w:rsidR="00E7140B" w:rsidRPr="003E3FEA" w:rsidRDefault="00E7140B" w:rsidP="00E7140B">
      <w:pPr>
        <w:pStyle w:val="Tablefin"/>
        <w:rPr>
          <w:lang w:val="es-ES_tradnl"/>
        </w:rPr>
      </w:pPr>
    </w:p>
    <w:p w:rsidR="00E7140B" w:rsidRPr="003E3FEA" w:rsidRDefault="00E7140B" w:rsidP="00FD064D">
      <w:pPr>
        <w:rPr>
          <w:lang w:val="es-ES_tradnl"/>
        </w:rPr>
      </w:pPr>
      <w:bookmarkStart w:id="66" w:name="lt_pId189"/>
      <w:r w:rsidRPr="003E3FEA">
        <w:rPr>
          <w:lang w:val="es-ES_tradnl"/>
        </w:rPr>
        <w:t xml:space="preserve">Téngase en cuenta que </w:t>
      </w:r>
      <w:r w:rsidRPr="003E3FEA">
        <w:rPr>
          <w:rFonts w:ascii="Normal" w:eastAsia="Normal" w:hAnsi="Normal" w:cs="Normal"/>
          <w:szCs w:val="24"/>
          <w:lang w:val="es-ES_tradnl"/>
        </w:rPr>
        <w:t>Δ</w:t>
      </w:r>
      <w:r w:rsidRPr="003E3FEA">
        <w:rPr>
          <w:lang w:val="es-ES_tradnl"/>
        </w:rPr>
        <w:t xml:space="preserve"> es la diferencia entre el acimut verdadero (ángulo de la antena de prueba del transmisor) y la marcación indicada en el equipo del sistema de radiogoniometría.</w:t>
      </w:r>
      <w:bookmarkEnd w:id="66"/>
    </w:p>
    <w:p w:rsidR="00E7140B" w:rsidRPr="003E3FEA" w:rsidRDefault="00E7140B" w:rsidP="00FD064D">
      <w:pPr>
        <w:rPr>
          <w:lang w:val="es-ES_tradnl"/>
        </w:rPr>
      </w:pPr>
      <w:bookmarkStart w:id="67" w:name="lt_pId190"/>
      <w:r w:rsidRPr="003E3FEA">
        <w:rPr>
          <w:lang w:val="es-ES_tradnl"/>
        </w:rPr>
        <w:t>Ejemplo de especificación en una hoja de cálculo de la inmunidad del sistema de radiogoniometría a las condiciones de propagación multitrayecto:</w:t>
      </w:r>
      <w:bookmarkEnd w:id="67"/>
    </w:p>
    <w:p w:rsidR="00E7140B" w:rsidRPr="003E3FEA" w:rsidRDefault="00E7140B" w:rsidP="004D1409">
      <w:pPr>
        <w:spacing w:before="0"/>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2"/>
        <w:gridCol w:w="1732"/>
        <w:gridCol w:w="1732"/>
        <w:gridCol w:w="1732"/>
        <w:gridCol w:w="979"/>
        <w:gridCol w:w="1732"/>
      </w:tblGrid>
      <w:tr w:rsidR="00E7140B" w:rsidRPr="003E3FEA" w:rsidTr="00A35035">
        <w:trPr>
          <w:jc w:val="center"/>
        </w:trPr>
        <w:tc>
          <w:tcPr>
            <w:tcW w:w="1732" w:type="dxa"/>
          </w:tcPr>
          <w:p w:rsidR="00E7140B" w:rsidRPr="003E3FEA" w:rsidRDefault="00E7140B" w:rsidP="00447EAB">
            <w:pPr>
              <w:pStyle w:val="Tablehead"/>
              <w:rPr>
                <w:lang w:val="es-ES_tradnl" w:eastAsia="zh-CN"/>
              </w:rPr>
            </w:pPr>
            <w:bookmarkStart w:id="68" w:name="lt_pId191"/>
            <w:r w:rsidRPr="003E3FEA">
              <w:rPr>
                <w:lang w:val="es-ES_tradnl" w:eastAsia="zh-CN"/>
              </w:rPr>
              <w:t>Frecuencia</w:t>
            </w:r>
            <w:bookmarkEnd w:id="68"/>
          </w:p>
        </w:tc>
        <w:tc>
          <w:tcPr>
            <w:tcW w:w="1732" w:type="dxa"/>
          </w:tcPr>
          <w:p w:rsidR="00E7140B" w:rsidRPr="003E3FEA" w:rsidRDefault="00E7140B" w:rsidP="00447EAB">
            <w:pPr>
              <w:pStyle w:val="Tablehead"/>
              <w:rPr>
                <w:lang w:val="es-ES_tradnl" w:eastAsia="zh-CN"/>
              </w:rPr>
            </w:pPr>
            <w:r w:rsidRPr="003E3FEA">
              <w:rPr>
                <w:i/>
                <w:iCs/>
                <w:lang w:val="es-ES_tradnl" w:eastAsia="zh-CN"/>
              </w:rPr>
              <w:t>f</w:t>
            </w:r>
            <w:r w:rsidRPr="003E3FEA">
              <w:rPr>
                <w:vertAlign w:val="subscript"/>
                <w:lang w:val="es-ES_tradnl" w:eastAsia="zh-CN"/>
              </w:rPr>
              <w:t>1</w:t>
            </w:r>
          </w:p>
        </w:tc>
        <w:tc>
          <w:tcPr>
            <w:tcW w:w="1732" w:type="dxa"/>
          </w:tcPr>
          <w:p w:rsidR="00E7140B" w:rsidRPr="003E3FEA" w:rsidRDefault="00E7140B" w:rsidP="00447EAB">
            <w:pPr>
              <w:pStyle w:val="Tablehead"/>
              <w:rPr>
                <w:lang w:val="es-ES_tradnl" w:eastAsia="zh-CN"/>
              </w:rPr>
            </w:pPr>
            <w:r w:rsidRPr="003E3FEA">
              <w:rPr>
                <w:i/>
                <w:iCs/>
                <w:lang w:val="es-ES_tradnl" w:eastAsia="zh-CN"/>
              </w:rPr>
              <w:t>f</w:t>
            </w:r>
            <w:r w:rsidRPr="003E3FEA">
              <w:rPr>
                <w:vertAlign w:val="subscript"/>
                <w:lang w:val="es-ES_tradnl" w:eastAsia="zh-CN"/>
              </w:rPr>
              <w:t>2</w:t>
            </w:r>
          </w:p>
        </w:tc>
        <w:tc>
          <w:tcPr>
            <w:tcW w:w="1732" w:type="dxa"/>
          </w:tcPr>
          <w:p w:rsidR="00E7140B" w:rsidRPr="003E3FEA" w:rsidRDefault="00E7140B" w:rsidP="00447EAB">
            <w:pPr>
              <w:pStyle w:val="Tablehead"/>
              <w:rPr>
                <w:lang w:val="es-ES_tradnl" w:eastAsia="zh-CN"/>
              </w:rPr>
            </w:pPr>
            <w:r w:rsidRPr="003E3FEA">
              <w:rPr>
                <w:i/>
                <w:iCs/>
                <w:lang w:val="es-ES_tradnl" w:eastAsia="zh-CN"/>
              </w:rPr>
              <w:t>f</w:t>
            </w:r>
            <w:r w:rsidRPr="003E3FEA">
              <w:rPr>
                <w:vertAlign w:val="subscript"/>
                <w:lang w:val="es-ES_tradnl" w:eastAsia="zh-CN"/>
              </w:rPr>
              <w:t>3</w:t>
            </w:r>
          </w:p>
        </w:tc>
        <w:tc>
          <w:tcPr>
            <w:tcW w:w="979" w:type="dxa"/>
          </w:tcPr>
          <w:p w:rsidR="00E7140B" w:rsidRPr="003E3FEA" w:rsidRDefault="00E7140B" w:rsidP="00447EAB">
            <w:pPr>
              <w:pStyle w:val="Tablehead"/>
              <w:rPr>
                <w:lang w:val="es-ES_tradnl" w:eastAsia="zh-CN"/>
              </w:rPr>
            </w:pPr>
            <w:r w:rsidRPr="003E3FEA">
              <w:rPr>
                <w:lang w:val="es-ES_tradnl" w:eastAsia="zh-CN"/>
              </w:rPr>
              <w:t>…</w:t>
            </w:r>
          </w:p>
        </w:tc>
        <w:tc>
          <w:tcPr>
            <w:tcW w:w="1732" w:type="dxa"/>
          </w:tcPr>
          <w:p w:rsidR="00E7140B" w:rsidRPr="003E3FEA" w:rsidRDefault="00E7140B" w:rsidP="00447EAB">
            <w:pPr>
              <w:pStyle w:val="Tablehead"/>
              <w:rPr>
                <w:i/>
                <w:iCs/>
                <w:lang w:val="es-ES_tradnl" w:eastAsia="zh-CN"/>
              </w:rPr>
            </w:pPr>
            <w:bookmarkStart w:id="69" w:name="lt_pId196"/>
            <w:r w:rsidRPr="003E3FEA">
              <w:rPr>
                <w:i/>
                <w:iCs/>
                <w:lang w:val="es-ES_tradnl" w:eastAsia="zh-CN"/>
              </w:rPr>
              <w:t>f</w:t>
            </w:r>
            <w:r w:rsidRPr="003E3FEA">
              <w:rPr>
                <w:i/>
                <w:iCs/>
                <w:vertAlign w:val="subscript"/>
                <w:lang w:val="es-ES_tradnl" w:eastAsia="zh-CN"/>
              </w:rPr>
              <w:t>N</w:t>
            </w:r>
            <w:bookmarkEnd w:id="69"/>
          </w:p>
        </w:tc>
      </w:tr>
      <w:tr w:rsidR="00E7140B" w:rsidRPr="004F6627" w:rsidTr="00A35035">
        <w:trPr>
          <w:jc w:val="center"/>
        </w:trPr>
        <w:tc>
          <w:tcPr>
            <w:tcW w:w="1732" w:type="dxa"/>
          </w:tcPr>
          <w:p w:rsidR="00E7140B" w:rsidRPr="003E3FEA" w:rsidRDefault="00E7140B" w:rsidP="00A35035">
            <w:pPr>
              <w:pStyle w:val="Tabletext"/>
              <w:jc w:val="center"/>
              <w:rPr>
                <w:lang w:val="es-ES_tradnl" w:eastAsia="zh-CN"/>
              </w:rPr>
            </w:pPr>
            <w:r w:rsidRPr="003E3FEA">
              <w:rPr>
                <w:lang w:val="es-ES_tradnl" w:eastAsia="zh-CN"/>
              </w:rPr>
              <w:t>Error RMS del</w:t>
            </w:r>
            <w:r w:rsidR="00A35035" w:rsidRPr="003E3FEA">
              <w:rPr>
                <w:lang w:val="es-ES_tradnl" w:eastAsia="zh-CN"/>
              </w:rPr>
              <w:t> </w:t>
            </w:r>
            <w:r w:rsidRPr="003E3FEA">
              <w:rPr>
                <w:lang w:val="es-ES_tradnl"/>
              </w:rPr>
              <w:t>sistema de radiogoniometría</w:t>
            </w:r>
          </w:p>
        </w:tc>
        <w:tc>
          <w:tcPr>
            <w:tcW w:w="1732" w:type="dxa"/>
          </w:tcPr>
          <w:p w:rsidR="00E7140B" w:rsidRPr="003E3FEA" w:rsidRDefault="00E7140B" w:rsidP="00A35035">
            <w:pPr>
              <w:pStyle w:val="Tabletext"/>
              <w:jc w:val="center"/>
              <w:rPr>
                <w:lang w:val="es-ES_tradnl" w:eastAsia="zh-CN"/>
              </w:rPr>
            </w:pPr>
            <w:bookmarkStart w:id="70" w:name="lt_pId198"/>
            <w:r w:rsidRPr="003E3FEA">
              <w:rPr>
                <w:lang w:val="es-ES_tradnl" w:eastAsia="zh-CN"/>
              </w:rPr>
              <w:t>Error RMS del</w:t>
            </w:r>
            <w:r w:rsidR="00A35035" w:rsidRPr="003E3FEA">
              <w:rPr>
                <w:lang w:val="es-ES_tradnl" w:eastAsia="zh-CN"/>
              </w:rPr>
              <w:t> </w:t>
            </w:r>
            <w:r w:rsidRPr="003E3FEA">
              <w:rPr>
                <w:lang w:val="es-ES_tradnl"/>
              </w:rPr>
              <w:t>sistema de radiogoniometría</w:t>
            </w:r>
            <w:r w:rsidRPr="003E3FEA">
              <w:rPr>
                <w:lang w:val="es-ES_tradnl" w:eastAsia="zh-CN"/>
              </w:rPr>
              <w:t xml:space="preserve"> a </w:t>
            </w:r>
            <w:r w:rsidRPr="003E3FEA">
              <w:rPr>
                <w:i/>
                <w:iCs/>
                <w:lang w:val="es-ES_tradnl" w:eastAsia="zh-CN"/>
              </w:rPr>
              <w:t>f</w:t>
            </w:r>
            <w:r w:rsidRPr="003E3FEA">
              <w:rPr>
                <w:vertAlign w:val="subscript"/>
                <w:lang w:val="es-ES_tradnl" w:eastAsia="zh-CN"/>
              </w:rPr>
              <w:t>1</w:t>
            </w:r>
            <w:bookmarkEnd w:id="70"/>
          </w:p>
        </w:tc>
        <w:tc>
          <w:tcPr>
            <w:tcW w:w="1732" w:type="dxa"/>
          </w:tcPr>
          <w:p w:rsidR="00E7140B" w:rsidRPr="003E3FEA" w:rsidRDefault="00E7140B" w:rsidP="00A35035">
            <w:pPr>
              <w:pStyle w:val="Tabletext"/>
              <w:jc w:val="center"/>
              <w:rPr>
                <w:lang w:val="es-ES_tradnl" w:eastAsia="zh-CN"/>
              </w:rPr>
            </w:pPr>
            <w:bookmarkStart w:id="71" w:name="lt_pId199"/>
            <w:r w:rsidRPr="003E3FEA">
              <w:rPr>
                <w:lang w:val="es-ES_tradnl" w:eastAsia="zh-CN"/>
              </w:rPr>
              <w:t>Error RMS del</w:t>
            </w:r>
            <w:r w:rsidR="00A35035" w:rsidRPr="003E3FEA">
              <w:rPr>
                <w:lang w:val="es-ES_tradnl" w:eastAsia="zh-CN"/>
              </w:rPr>
              <w:t> </w:t>
            </w:r>
            <w:r w:rsidRPr="003E3FEA">
              <w:rPr>
                <w:lang w:val="es-ES_tradnl"/>
              </w:rPr>
              <w:t>sistema de radiogoniometría</w:t>
            </w:r>
            <w:r w:rsidRPr="003E3FEA">
              <w:rPr>
                <w:lang w:val="es-ES_tradnl" w:eastAsia="zh-CN"/>
              </w:rPr>
              <w:t xml:space="preserve"> a </w:t>
            </w:r>
            <w:r w:rsidRPr="003E3FEA">
              <w:rPr>
                <w:i/>
                <w:iCs/>
                <w:lang w:val="es-ES_tradnl" w:eastAsia="zh-CN"/>
              </w:rPr>
              <w:t>f</w:t>
            </w:r>
            <w:r w:rsidRPr="003E3FEA">
              <w:rPr>
                <w:vertAlign w:val="subscript"/>
                <w:lang w:val="es-ES_tradnl" w:eastAsia="zh-CN"/>
              </w:rPr>
              <w:t>2</w:t>
            </w:r>
            <w:bookmarkEnd w:id="71"/>
          </w:p>
        </w:tc>
        <w:tc>
          <w:tcPr>
            <w:tcW w:w="1732" w:type="dxa"/>
          </w:tcPr>
          <w:p w:rsidR="00E7140B" w:rsidRPr="003E3FEA" w:rsidRDefault="00E7140B" w:rsidP="00A35035">
            <w:pPr>
              <w:pStyle w:val="Tabletext"/>
              <w:jc w:val="center"/>
              <w:rPr>
                <w:lang w:val="es-ES_tradnl" w:eastAsia="zh-CN"/>
              </w:rPr>
            </w:pPr>
            <w:bookmarkStart w:id="72" w:name="lt_pId200"/>
            <w:r w:rsidRPr="003E3FEA">
              <w:rPr>
                <w:lang w:val="es-ES_tradnl" w:eastAsia="zh-CN"/>
              </w:rPr>
              <w:t>Error RMS del</w:t>
            </w:r>
            <w:r w:rsidR="00A35035" w:rsidRPr="003E3FEA">
              <w:rPr>
                <w:lang w:val="es-ES_tradnl" w:eastAsia="zh-CN"/>
              </w:rPr>
              <w:t> </w:t>
            </w:r>
            <w:r w:rsidRPr="003E3FEA">
              <w:rPr>
                <w:lang w:val="es-ES_tradnl"/>
              </w:rPr>
              <w:t>sistema de radiogoniometría</w:t>
            </w:r>
            <w:r w:rsidRPr="003E3FEA">
              <w:rPr>
                <w:lang w:val="es-ES_tradnl" w:eastAsia="zh-CN"/>
              </w:rPr>
              <w:t xml:space="preserve"> a </w:t>
            </w:r>
            <w:r w:rsidRPr="003E3FEA">
              <w:rPr>
                <w:i/>
                <w:iCs/>
                <w:lang w:val="es-ES_tradnl" w:eastAsia="zh-CN"/>
              </w:rPr>
              <w:t>f</w:t>
            </w:r>
            <w:r w:rsidRPr="003E3FEA">
              <w:rPr>
                <w:vertAlign w:val="subscript"/>
                <w:lang w:val="es-ES_tradnl" w:eastAsia="zh-CN"/>
              </w:rPr>
              <w:t>3</w:t>
            </w:r>
            <w:bookmarkEnd w:id="72"/>
          </w:p>
        </w:tc>
        <w:tc>
          <w:tcPr>
            <w:tcW w:w="979" w:type="dxa"/>
          </w:tcPr>
          <w:p w:rsidR="00E7140B" w:rsidRPr="003E3FEA" w:rsidRDefault="00E7140B" w:rsidP="00447EAB">
            <w:pPr>
              <w:pStyle w:val="Tabletext"/>
              <w:jc w:val="center"/>
              <w:rPr>
                <w:lang w:val="es-ES_tradnl" w:eastAsia="zh-CN"/>
              </w:rPr>
            </w:pPr>
            <w:r w:rsidRPr="003E3FEA">
              <w:rPr>
                <w:lang w:val="es-ES_tradnl" w:eastAsia="zh-CN"/>
              </w:rPr>
              <w:t>…</w:t>
            </w:r>
          </w:p>
        </w:tc>
        <w:tc>
          <w:tcPr>
            <w:tcW w:w="1732" w:type="dxa"/>
          </w:tcPr>
          <w:p w:rsidR="00E7140B" w:rsidRPr="003E3FEA" w:rsidRDefault="00E7140B" w:rsidP="00A35035">
            <w:pPr>
              <w:pStyle w:val="Tabletext"/>
              <w:jc w:val="center"/>
              <w:rPr>
                <w:lang w:val="es-ES_tradnl" w:eastAsia="zh-CN"/>
              </w:rPr>
            </w:pPr>
            <w:bookmarkStart w:id="73" w:name="lt_pId202"/>
            <w:r w:rsidRPr="003E3FEA">
              <w:rPr>
                <w:lang w:val="es-ES_tradnl" w:eastAsia="zh-CN"/>
              </w:rPr>
              <w:t>Error RMS del</w:t>
            </w:r>
            <w:r w:rsidR="00A35035" w:rsidRPr="003E3FEA">
              <w:rPr>
                <w:lang w:val="es-ES_tradnl" w:eastAsia="zh-CN"/>
              </w:rPr>
              <w:t> </w:t>
            </w:r>
            <w:r w:rsidRPr="003E3FEA">
              <w:rPr>
                <w:lang w:val="es-ES_tradnl"/>
              </w:rPr>
              <w:t>sistema de radiogoniometría</w:t>
            </w:r>
            <w:r w:rsidRPr="003E3FEA">
              <w:rPr>
                <w:lang w:val="es-ES_tradnl" w:eastAsia="zh-CN"/>
              </w:rPr>
              <w:t xml:space="preserve"> a </w:t>
            </w:r>
            <w:r w:rsidRPr="003E3FEA">
              <w:rPr>
                <w:i/>
                <w:iCs/>
                <w:lang w:val="es-ES_tradnl" w:eastAsia="zh-CN"/>
              </w:rPr>
              <w:t>f</w:t>
            </w:r>
            <w:r w:rsidRPr="003E3FEA">
              <w:rPr>
                <w:i/>
                <w:iCs/>
                <w:vertAlign w:val="subscript"/>
                <w:lang w:val="es-ES_tradnl" w:eastAsia="zh-CN"/>
              </w:rPr>
              <w:t>N</w:t>
            </w:r>
            <w:bookmarkEnd w:id="73"/>
          </w:p>
        </w:tc>
      </w:tr>
    </w:tbl>
    <w:p w:rsidR="00E7140B" w:rsidRPr="003E3FEA" w:rsidRDefault="00E7140B" w:rsidP="00E7140B">
      <w:pPr>
        <w:rPr>
          <w:lang w:val="es-ES_tradnl" w:eastAsia="zh-CN"/>
        </w:rPr>
      </w:pPr>
    </w:p>
    <w:p w:rsidR="00E7140B" w:rsidRPr="003E3FEA" w:rsidRDefault="00E7140B" w:rsidP="00222A1D">
      <w:pPr>
        <w:rPr>
          <w:lang w:val="es-ES_tradnl"/>
        </w:rPr>
      </w:pPr>
    </w:p>
    <w:p w:rsidR="00E7140B" w:rsidRPr="003E3FEA" w:rsidRDefault="00E7140B">
      <w:pPr>
        <w:jc w:val="center"/>
        <w:rPr>
          <w:lang w:val="es-ES_tradnl"/>
        </w:rPr>
      </w:pPr>
      <w:r w:rsidRPr="003E3FEA">
        <w:rPr>
          <w:lang w:val="es-ES_tradnl"/>
        </w:rPr>
        <w:t>______________</w:t>
      </w:r>
    </w:p>
    <w:p w:rsidR="00E7140B" w:rsidRPr="003E3FEA" w:rsidRDefault="00E7140B" w:rsidP="00E7140B">
      <w:pPr>
        <w:rPr>
          <w:lang w:val="es-ES_tradnl"/>
        </w:rPr>
      </w:pPr>
    </w:p>
    <w:sectPr w:rsidR="00E7140B" w:rsidRPr="003E3FEA" w:rsidSect="00E7140B">
      <w:headerReference w:type="even" r:id="rId17"/>
      <w:headerReference w:type="default" r:id="rId18"/>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40B" w:rsidRDefault="00E7140B">
      <w:r>
        <w:separator/>
      </w:r>
    </w:p>
  </w:endnote>
  <w:endnote w:type="continuationSeparator" w:id="0">
    <w:p w:rsidR="00E7140B" w:rsidRDefault="00E71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Normal">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40B" w:rsidRDefault="00E7140B">
      <w:r>
        <w:separator/>
      </w:r>
    </w:p>
  </w:footnote>
  <w:footnote w:type="continuationSeparator" w:id="0">
    <w:p w:rsidR="00E7140B" w:rsidRDefault="00E7140B">
      <w:r>
        <w:continuationSeparator/>
      </w:r>
    </w:p>
  </w:footnote>
  <w:footnote w:id="1">
    <w:p w:rsidR="0022407D" w:rsidRPr="0022407D" w:rsidRDefault="0022407D" w:rsidP="0022407D">
      <w:pPr>
        <w:pStyle w:val="FootnoteText"/>
        <w:rPr>
          <w:lang w:val="es-ES_tradnl"/>
        </w:rPr>
      </w:pPr>
      <w:r>
        <w:rPr>
          <w:rStyle w:val="FootnoteReference"/>
        </w:rPr>
        <w:footnoteRef/>
      </w:r>
      <w:r>
        <w:t xml:space="preserve"> </w:t>
      </w:r>
      <w:r>
        <w:rPr>
          <w:lang w:val="es-ES_tradnl"/>
        </w:rPr>
        <w:tab/>
        <w:t>La Comisión de Estudio 1 de Radiocomunicaciones introdujo algunas modificaciones redaccionales en esta Recomendación en 2015, de conformidad con la Resolución UIT</w:t>
      </w:r>
      <w:r>
        <w:rPr>
          <w:lang w:val="es-ES_tradnl"/>
        </w:rPr>
        <w:noBreakHyphen/>
        <w:t>R 1.</w:t>
      </w:r>
    </w:p>
  </w:footnote>
  <w:footnote w:id="2">
    <w:p w:rsidR="00E7140B" w:rsidRPr="004268F5" w:rsidRDefault="00E7140B" w:rsidP="00E7140B">
      <w:pPr>
        <w:pStyle w:val="FootnoteText"/>
        <w:rPr>
          <w:lang w:val="es-ES_tradnl"/>
        </w:rPr>
      </w:pPr>
      <w:r>
        <w:rPr>
          <w:rStyle w:val="FootnoteReference"/>
        </w:rPr>
        <w:footnoteRef/>
      </w:r>
      <w:r w:rsidRPr="004268F5">
        <w:rPr>
          <w:lang w:val="es-ES_tradnl"/>
        </w:rPr>
        <w:tab/>
      </w:r>
      <w:bookmarkStart w:id="30" w:name="lt_pId230"/>
      <w:r w:rsidRPr="004268F5">
        <w:rPr>
          <w:lang w:val="es-ES_tradnl"/>
        </w:rPr>
        <w:t>La definición de EPZA puede encontrarse en diversas normas, como</w:t>
      </w:r>
      <w:r w:rsidRPr="004268F5">
        <w:rPr>
          <w:szCs w:val="24"/>
          <w:lang w:val="es-ES_tradnl"/>
        </w:rPr>
        <w:t xml:space="preserve"> ANSI C63.7, CISPR o EN55 022.</w:t>
      </w:r>
      <w:bookmarkEnd w:id="30"/>
      <w:r w:rsidRPr="004268F5">
        <w:rPr>
          <w:szCs w:val="24"/>
          <w:lang w:val="es-ES_tradnl"/>
        </w:rPr>
        <w:t xml:space="preserve"> </w:t>
      </w:r>
      <w:bookmarkStart w:id="31" w:name="lt_pId231"/>
      <w:r>
        <w:rPr>
          <w:szCs w:val="24"/>
          <w:lang w:val="es-ES_tradnl"/>
        </w:rPr>
        <w:t xml:space="preserve">Se considera que una EPZA debe tener visibilidad directa sin señal interferente, reflexión ni campo lejano (Región </w:t>
      </w:r>
      <w:r w:rsidRPr="004268F5">
        <w:rPr>
          <w:szCs w:val="24"/>
          <w:lang w:val="es-ES_tradnl"/>
        </w:rPr>
        <w:t>Fraunhofer).</w:t>
      </w:r>
      <w:bookmarkEnd w:id="3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40B" w:rsidRDefault="00E7140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40B" w:rsidRDefault="00E7140B" w:rsidP="00D62884">
    <w:pPr>
      <w:pStyle w:val="Header"/>
      <w:ind w:right="360" w:firstLine="360"/>
    </w:pPr>
    <w:r>
      <w:rPr>
        <w:noProof/>
        <w:lang w:val="en-US" w:eastAsia="zh-CN"/>
      </w:rPr>
      <w:drawing>
        <wp:anchor distT="0" distB="0" distL="114300" distR="114300" simplePos="0" relativeHeight="251660288" behindDoc="0" locked="0" layoutInCell="1" allowOverlap="1" wp14:anchorId="7078424F" wp14:editId="5094B5A0">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7408AEBD" wp14:editId="0C246CE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40B" w:rsidRDefault="00E7140B" w:rsidP="007F3B59">
    <w:pPr>
      <w:pStyle w:val="Header"/>
      <w:jc w:val="both"/>
    </w:pPr>
    <w:r>
      <w:tab/>
    </w:r>
    <w:fldSimple w:instr=" DOCPROPERTY &quot;Header&quot; \* MERGEFORMAT ">
      <w:r w:rsidR="00FF6077" w:rsidRPr="00FF607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F6077">
      <w:rPr>
        <w:b/>
        <w:bCs/>
        <w:noProof/>
      </w:rPr>
      <w:t>UIT-R  SM.2061-0</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40B" w:rsidRDefault="00E7140B"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FF6077">
      <w:rPr>
        <w:rStyle w:val="PageNumber"/>
        <w:b/>
        <w:bCs/>
        <w:noProof/>
      </w:rPr>
      <w:t>ii</w:t>
    </w:r>
    <w:r>
      <w:rPr>
        <w:rStyle w:val="PageNumber"/>
        <w:b/>
        <w:bCs/>
      </w:rPr>
      <w:fldChar w:fldCharType="end"/>
    </w:r>
    <w:r>
      <w:tab/>
    </w:r>
    <w:fldSimple w:instr=" DOCPROPERTY &quot;Header&quot; \* MERGEFORMAT ">
      <w:r w:rsidR="00FF6077" w:rsidRPr="00FF6077">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FF6077">
      <w:rPr>
        <w:b/>
        <w:bCs/>
        <w:noProof/>
      </w:rPr>
      <w:t>UIT-R  SM.2061-0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40B" w:rsidRDefault="00E7140B" w:rsidP="007F3B59">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00FF6077" w:rsidRPr="00FF607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F6077">
      <w:rPr>
        <w:b/>
        <w:bCs/>
        <w:noProof/>
      </w:rPr>
      <w:t>UIT-R  SM.2061-0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F6077">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F6077" w:rsidRPr="00FF607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F6077">
      <w:rPr>
        <w:b/>
        <w:bCs/>
        <w:noProof/>
      </w:rPr>
      <w:t>UIT-R  SM.2061-0</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FF6077" w:rsidRPr="00FF607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F6077">
      <w:rPr>
        <w:b/>
        <w:bCs/>
        <w:noProof/>
      </w:rPr>
      <w:t>UIT-R  SM.2061-0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F6077">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6FABE10"/>
    <w:lvl w:ilvl="0">
      <w:start w:val="1"/>
      <w:numFmt w:val="decimal"/>
      <w:lvlText w:val="%1."/>
      <w:lvlJc w:val="left"/>
      <w:pPr>
        <w:tabs>
          <w:tab w:val="num" w:pos="1492"/>
        </w:tabs>
        <w:ind w:left="1492" w:hanging="360"/>
      </w:pPr>
    </w:lvl>
  </w:abstractNum>
  <w:abstractNum w:abstractNumId="1">
    <w:nsid w:val="FFFFFF7D"/>
    <w:multiLevelType w:val="singleLevel"/>
    <w:tmpl w:val="52B0AEFA"/>
    <w:lvl w:ilvl="0">
      <w:start w:val="1"/>
      <w:numFmt w:val="decimal"/>
      <w:lvlText w:val="%1."/>
      <w:lvlJc w:val="left"/>
      <w:pPr>
        <w:tabs>
          <w:tab w:val="num" w:pos="1209"/>
        </w:tabs>
        <w:ind w:left="1209" w:hanging="360"/>
      </w:pPr>
    </w:lvl>
  </w:abstractNum>
  <w:abstractNum w:abstractNumId="2">
    <w:nsid w:val="FFFFFF7E"/>
    <w:multiLevelType w:val="singleLevel"/>
    <w:tmpl w:val="3D1CB230"/>
    <w:lvl w:ilvl="0">
      <w:start w:val="1"/>
      <w:numFmt w:val="decimal"/>
      <w:lvlText w:val="%1."/>
      <w:lvlJc w:val="left"/>
      <w:pPr>
        <w:tabs>
          <w:tab w:val="num" w:pos="926"/>
        </w:tabs>
        <w:ind w:left="926" w:hanging="360"/>
      </w:pPr>
    </w:lvl>
  </w:abstractNum>
  <w:abstractNum w:abstractNumId="3">
    <w:nsid w:val="FFFFFF7F"/>
    <w:multiLevelType w:val="singleLevel"/>
    <w:tmpl w:val="D56ADC68"/>
    <w:lvl w:ilvl="0">
      <w:start w:val="1"/>
      <w:numFmt w:val="decimal"/>
      <w:lvlText w:val="%1."/>
      <w:lvlJc w:val="left"/>
      <w:pPr>
        <w:tabs>
          <w:tab w:val="num" w:pos="643"/>
        </w:tabs>
        <w:ind w:left="643" w:hanging="360"/>
      </w:pPr>
    </w:lvl>
  </w:abstractNum>
  <w:abstractNum w:abstractNumId="4">
    <w:nsid w:val="FFFFFF80"/>
    <w:multiLevelType w:val="singleLevel"/>
    <w:tmpl w:val="B9DE2A2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6CB1F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154258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3DEB06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CFA0AC0"/>
    <w:lvl w:ilvl="0">
      <w:start w:val="1"/>
      <w:numFmt w:val="decimal"/>
      <w:lvlText w:val="%1."/>
      <w:lvlJc w:val="left"/>
      <w:pPr>
        <w:tabs>
          <w:tab w:val="num" w:pos="360"/>
        </w:tabs>
        <w:ind w:left="360" w:hanging="360"/>
      </w:pPr>
    </w:lvl>
  </w:abstractNum>
  <w:abstractNum w:abstractNumId="9">
    <w:nsid w:val="FFFFFF89"/>
    <w:multiLevelType w:val="singleLevel"/>
    <w:tmpl w:val="CF6045C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40B"/>
    <w:rsid w:val="00217EBF"/>
    <w:rsid w:val="00222A1D"/>
    <w:rsid w:val="0022407D"/>
    <w:rsid w:val="00242AEE"/>
    <w:rsid w:val="00273EE3"/>
    <w:rsid w:val="002D76C4"/>
    <w:rsid w:val="002F1791"/>
    <w:rsid w:val="00366D41"/>
    <w:rsid w:val="003E3FEA"/>
    <w:rsid w:val="004D1409"/>
    <w:rsid w:val="004F6627"/>
    <w:rsid w:val="0052529D"/>
    <w:rsid w:val="00607D68"/>
    <w:rsid w:val="006D1B74"/>
    <w:rsid w:val="007468DA"/>
    <w:rsid w:val="008F1D6B"/>
    <w:rsid w:val="009E00A8"/>
    <w:rsid w:val="00A254D5"/>
    <w:rsid w:val="00A35035"/>
    <w:rsid w:val="00A6617B"/>
    <w:rsid w:val="00A921EC"/>
    <w:rsid w:val="00AB0DC8"/>
    <w:rsid w:val="00B44E24"/>
    <w:rsid w:val="00BE3D98"/>
    <w:rsid w:val="00D061FD"/>
    <w:rsid w:val="00D83E54"/>
    <w:rsid w:val="00DF4176"/>
    <w:rsid w:val="00E138B2"/>
    <w:rsid w:val="00E7140B"/>
    <w:rsid w:val="00EF7277"/>
    <w:rsid w:val="00FD064D"/>
    <w:rsid w:val="00FD6639"/>
    <w:rsid w:val="00FF60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AFC295F5-71FB-4689-A04D-BB42E427F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40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uiPriority w:val="99"/>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7140B"/>
    <w:rPr>
      <w:color w:val="0000FF"/>
      <w:u w:val="single"/>
    </w:rPr>
  </w:style>
  <w:style w:type="character" w:customStyle="1" w:styleId="Heading1Char">
    <w:name w:val="Heading 1 Char"/>
    <w:basedOn w:val="DefaultParagraphFont"/>
    <w:link w:val="Heading1"/>
    <w:rsid w:val="00E7140B"/>
    <w:rPr>
      <w:b/>
      <w:sz w:val="24"/>
      <w:lang w:val="fr-FR" w:eastAsia="en-US"/>
    </w:rPr>
  </w:style>
  <w:style w:type="character" w:customStyle="1" w:styleId="HeaderChar">
    <w:name w:val="Header Char"/>
    <w:basedOn w:val="DefaultParagraphFont"/>
    <w:link w:val="Header"/>
    <w:rsid w:val="00E7140B"/>
    <w:rPr>
      <w:sz w:val="24"/>
      <w:lang w:val="fr-FR" w:eastAsia="en-US"/>
    </w:rPr>
  </w:style>
  <w:style w:type="character" w:customStyle="1" w:styleId="FootnoteTextChar">
    <w:name w:val="Footnote Text Char"/>
    <w:basedOn w:val="DefaultParagraphFont"/>
    <w:link w:val="FootnoteText"/>
    <w:uiPriority w:val="99"/>
    <w:rsid w:val="00E7140B"/>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s"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455A5-3B2A-405B-A30F-FF9E1E8F1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97</TotalTime>
  <Pages>7</Pages>
  <Words>1946</Words>
  <Characters>11098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Al-Yammouni, Hala</cp:lastModifiedBy>
  <cp:revision>21</cp:revision>
  <cp:lastPrinted>2015-08-13T15:34:00Z</cp:lastPrinted>
  <dcterms:created xsi:type="dcterms:W3CDTF">2015-07-21T12:19:00Z</dcterms:created>
  <dcterms:modified xsi:type="dcterms:W3CDTF">2015-08-13T15:36:00Z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