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F77" w:rsidRDefault="005B1F77" w:rsidP="005B1F77"/>
    <w:p w:rsidR="005B1F77" w:rsidRDefault="005B1F77" w:rsidP="005B1F77"/>
    <w:p w:rsidR="005B1F77" w:rsidRDefault="005B1F77" w:rsidP="005B1F77"/>
    <w:p w:rsidR="005B1F77" w:rsidRDefault="005B1F77" w:rsidP="005B1F77"/>
    <w:p w:rsidR="005B1F77" w:rsidRDefault="005B1F77" w:rsidP="005B1F77"/>
    <w:p w:rsidR="005B1F77" w:rsidRDefault="005B1F77" w:rsidP="005B1F77"/>
    <w:p w:rsidR="005B1F77" w:rsidRDefault="005B1F77" w:rsidP="005B1F77"/>
    <w:p w:rsidR="005B1F77" w:rsidRDefault="005B1F77" w:rsidP="005B1F77"/>
    <w:p w:rsidR="005B1F77" w:rsidRDefault="005B1F77" w:rsidP="005B1F77"/>
    <w:p w:rsidR="005B1F77" w:rsidRDefault="005B1F77" w:rsidP="005B1F77"/>
    <w:p w:rsidR="005B1F77" w:rsidRDefault="005B1F77" w:rsidP="005B1F77"/>
    <w:p w:rsidR="005B1F77" w:rsidRDefault="005B1F77" w:rsidP="005B1F77"/>
    <w:tbl>
      <w:tblPr>
        <w:tblW w:w="10089" w:type="dxa"/>
        <w:tblLook w:val="01E0" w:firstRow="1" w:lastRow="1" w:firstColumn="1" w:lastColumn="1" w:noHBand="0" w:noVBand="0"/>
      </w:tblPr>
      <w:tblGrid>
        <w:gridCol w:w="10089"/>
      </w:tblGrid>
      <w:tr w:rsidR="005B1F77" w:rsidTr="0013549F">
        <w:tc>
          <w:tcPr>
            <w:tcW w:w="10089" w:type="dxa"/>
          </w:tcPr>
          <w:p w:rsidR="005B1F77" w:rsidRPr="001511A6" w:rsidRDefault="005B1F77" w:rsidP="0013549F">
            <w:pPr>
              <w:spacing w:before="380" w:line="280" w:lineRule="exact"/>
              <w:jc w:val="right"/>
              <w:rPr>
                <w:rFonts w:ascii="Tahoma" w:hAnsi="Tahoma" w:cs="Tahoma"/>
                <w:b/>
                <w:bCs/>
                <w:iCs/>
                <w:color w:val="243285"/>
                <w:sz w:val="32"/>
                <w:szCs w:val="32"/>
                <w:lang w:val="en-US"/>
              </w:rPr>
            </w:pPr>
          </w:p>
          <w:p w:rsidR="005B1F77" w:rsidRPr="001511A6" w:rsidRDefault="005B1F77" w:rsidP="005B1F77">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2061-0</w:t>
            </w:r>
          </w:p>
          <w:p w:rsidR="005B1F77" w:rsidRPr="001511A6" w:rsidRDefault="005B1F77" w:rsidP="005B1F77">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08</w:t>
            </w:r>
            <w:r w:rsidRPr="001511A6">
              <w:rPr>
                <w:rFonts w:ascii="Tahoma" w:hAnsi="Tahoma" w:cs="Tahoma"/>
                <w:b/>
                <w:bCs/>
                <w:iCs/>
                <w:color w:val="243285"/>
                <w:szCs w:val="24"/>
                <w:lang w:val="en-US"/>
              </w:rPr>
              <w:t>/</w:t>
            </w:r>
            <w:r>
              <w:rPr>
                <w:rFonts w:ascii="Tahoma" w:hAnsi="Tahoma" w:cs="Tahoma"/>
                <w:b/>
                <w:bCs/>
                <w:iCs/>
                <w:color w:val="243285"/>
                <w:szCs w:val="24"/>
                <w:lang w:val="en-US"/>
              </w:rPr>
              <w:t>2014</w:t>
            </w:r>
            <w:r w:rsidRPr="001511A6">
              <w:rPr>
                <w:rFonts w:ascii="Tahoma" w:hAnsi="Tahoma" w:cs="Tahoma"/>
                <w:b/>
                <w:bCs/>
                <w:iCs/>
                <w:color w:val="243285"/>
                <w:szCs w:val="24"/>
                <w:lang w:val="en-US"/>
              </w:rPr>
              <w:t>)</w:t>
            </w:r>
          </w:p>
        </w:tc>
      </w:tr>
      <w:tr w:rsidR="005B1F77" w:rsidRPr="00AE53FE" w:rsidTr="0013549F">
        <w:tc>
          <w:tcPr>
            <w:tcW w:w="10089" w:type="dxa"/>
          </w:tcPr>
          <w:p w:rsidR="005B1F77" w:rsidRPr="001511A6" w:rsidRDefault="005B1F77" w:rsidP="0013549F">
            <w:pPr>
              <w:spacing w:before="80" w:line="500" w:lineRule="exact"/>
              <w:jc w:val="right"/>
              <w:rPr>
                <w:rFonts w:ascii="Tahoma" w:hAnsi="Tahoma" w:cs="Tahoma"/>
                <w:b/>
                <w:bCs/>
                <w:iCs/>
                <w:color w:val="243285"/>
                <w:sz w:val="44"/>
                <w:szCs w:val="44"/>
                <w:lang w:val="en-US"/>
              </w:rPr>
            </w:pPr>
          </w:p>
          <w:p w:rsidR="005B1F77" w:rsidRPr="001511A6" w:rsidRDefault="005B1F77" w:rsidP="005B1F77">
            <w:pPr>
              <w:spacing w:before="80" w:line="500" w:lineRule="exact"/>
              <w:jc w:val="right"/>
              <w:rPr>
                <w:rFonts w:ascii="Tahoma" w:hAnsi="Tahoma" w:cs="Tahoma"/>
                <w:b/>
                <w:bCs/>
                <w:iCs/>
                <w:color w:val="243285"/>
                <w:sz w:val="44"/>
                <w:szCs w:val="44"/>
                <w:lang w:val="en-US"/>
              </w:rPr>
            </w:pPr>
            <w:r w:rsidRPr="005B1F77">
              <w:rPr>
                <w:rFonts w:ascii="Tahoma" w:hAnsi="Tahoma" w:cs="Tahoma"/>
                <w:b/>
                <w:bCs/>
                <w:iCs/>
                <w:color w:val="243285"/>
                <w:sz w:val="44"/>
                <w:szCs w:val="44"/>
                <w:lang w:val="en-US"/>
              </w:rPr>
              <w:t xml:space="preserve">Test procedure for measuring </w:t>
            </w:r>
            <w:r>
              <w:rPr>
                <w:rFonts w:ascii="Tahoma" w:hAnsi="Tahoma" w:cs="Tahoma"/>
                <w:b/>
                <w:bCs/>
                <w:iCs/>
                <w:color w:val="243285"/>
                <w:sz w:val="44"/>
                <w:szCs w:val="44"/>
                <w:lang w:val="en-US"/>
              </w:rPr>
              <w:br/>
            </w:r>
            <w:r w:rsidRPr="005B1F77">
              <w:rPr>
                <w:rFonts w:ascii="Tahoma" w:hAnsi="Tahoma" w:cs="Tahoma"/>
                <w:b/>
                <w:bCs/>
                <w:iCs/>
                <w:color w:val="243285"/>
                <w:sz w:val="44"/>
                <w:szCs w:val="44"/>
                <w:lang w:val="en-US"/>
              </w:rPr>
              <w:t>direction finder immunity</w:t>
            </w:r>
            <w:r>
              <w:rPr>
                <w:rFonts w:ascii="Tahoma" w:hAnsi="Tahoma" w:cs="Tahoma"/>
                <w:b/>
                <w:bCs/>
                <w:iCs/>
                <w:color w:val="243285"/>
                <w:sz w:val="44"/>
                <w:szCs w:val="44"/>
                <w:lang w:val="en-US"/>
              </w:rPr>
              <w:t xml:space="preserve"> </w:t>
            </w:r>
            <w:r w:rsidRPr="005B1F77">
              <w:rPr>
                <w:rFonts w:ascii="Tahoma" w:hAnsi="Tahoma" w:cs="Tahoma"/>
                <w:b/>
                <w:bCs/>
                <w:iCs/>
                <w:color w:val="243285"/>
                <w:sz w:val="44"/>
                <w:szCs w:val="44"/>
                <w:lang w:val="en-US"/>
              </w:rPr>
              <w:t xml:space="preserve">against </w:t>
            </w:r>
            <w:r>
              <w:rPr>
                <w:rFonts w:ascii="Tahoma" w:hAnsi="Tahoma" w:cs="Tahoma"/>
                <w:b/>
                <w:bCs/>
                <w:iCs/>
                <w:color w:val="243285"/>
                <w:sz w:val="44"/>
                <w:szCs w:val="44"/>
                <w:lang w:val="en-US"/>
              </w:rPr>
              <w:br/>
            </w:r>
            <w:r w:rsidRPr="005B1F77">
              <w:rPr>
                <w:rFonts w:ascii="Tahoma" w:hAnsi="Tahoma" w:cs="Tahoma"/>
                <w:b/>
                <w:bCs/>
                <w:iCs/>
                <w:color w:val="243285"/>
                <w:sz w:val="44"/>
                <w:szCs w:val="44"/>
                <w:lang w:val="en-US"/>
              </w:rPr>
              <w:t>multi-path propagation</w:t>
            </w:r>
          </w:p>
          <w:p w:rsidR="005B1F77" w:rsidRPr="001511A6" w:rsidRDefault="005B1F77" w:rsidP="0013549F">
            <w:pPr>
              <w:spacing w:before="80" w:line="500" w:lineRule="exact"/>
              <w:jc w:val="right"/>
              <w:rPr>
                <w:rFonts w:ascii="Tahoma" w:hAnsi="Tahoma" w:cs="Tahoma"/>
                <w:b/>
                <w:bCs/>
                <w:iCs/>
                <w:color w:val="243285"/>
                <w:sz w:val="40"/>
                <w:szCs w:val="40"/>
                <w:lang w:val="en-US"/>
              </w:rPr>
            </w:pPr>
          </w:p>
        </w:tc>
      </w:tr>
      <w:tr w:rsidR="005B1F77" w:rsidTr="0013549F">
        <w:tc>
          <w:tcPr>
            <w:tcW w:w="10089" w:type="dxa"/>
          </w:tcPr>
          <w:p w:rsidR="005B1F77" w:rsidRPr="005B1F77" w:rsidRDefault="005B1F77" w:rsidP="0013549F">
            <w:pPr>
              <w:spacing w:before="80" w:line="280" w:lineRule="exact"/>
              <w:ind w:right="640"/>
              <w:rPr>
                <w:rFonts w:ascii="Tahoma" w:hAnsi="Tahoma" w:cs="Tahoma"/>
                <w:b/>
                <w:bCs/>
                <w:iCs/>
                <w:color w:val="243285"/>
                <w:sz w:val="32"/>
                <w:szCs w:val="32"/>
                <w:lang w:val="en-US"/>
              </w:rPr>
            </w:pPr>
          </w:p>
          <w:p w:rsidR="005B1F77" w:rsidRPr="005B1F77" w:rsidRDefault="005B1F77" w:rsidP="0013549F">
            <w:pPr>
              <w:spacing w:before="80" w:line="280" w:lineRule="exact"/>
              <w:ind w:right="640"/>
              <w:rPr>
                <w:rFonts w:ascii="Tahoma" w:hAnsi="Tahoma" w:cs="Tahoma"/>
                <w:b/>
                <w:bCs/>
                <w:iCs/>
                <w:color w:val="243285"/>
                <w:sz w:val="32"/>
                <w:szCs w:val="32"/>
                <w:lang w:val="en-US"/>
              </w:rPr>
            </w:pPr>
          </w:p>
          <w:p w:rsidR="005B1F77" w:rsidRPr="005B1F77" w:rsidRDefault="005B1F77" w:rsidP="0013549F">
            <w:pPr>
              <w:spacing w:before="80" w:after="180" w:line="360" w:lineRule="exact"/>
              <w:ind w:right="720"/>
              <w:rPr>
                <w:rFonts w:ascii="Tahoma" w:hAnsi="Tahoma" w:cs="Tahoma"/>
                <w:b/>
                <w:bCs/>
                <w:iCs/>
                <w:color w:val="243285"/>
                <w:sz w:val="36"/>
                <w:szCs w:val="36"/>
                <w:lang w:val="en-US"/>
              </w:rPr>
            </w:pPr>
          </w:p>
          <w:p w:rsidR="005B1F77" w:rsidRPr="001511A6" w:rsidRDefault="005B1F77" w:rsidP="0013549F">
            <w:pPr>
              <w:spacing w:before="80" w:after="180" w:line="360" w:lineRule="exact"/>
              <w:jc w:val="right"/>
              <w:rPr>
                <w:rFonts w:ascii="Tahoma" w:hAnsi="Tahoma" w:cs="Tahoma"/>
                <w:b/>
                <w:bCs/>
                <w:iCs/>
                <w:color w:val="243285"/>
                <w:sz w:val="36"/>
                <w:szCs w:val="36"/>
                <w:lang w:val="en-US"/>
              </w:rPr>
            </w:pPr>
          </w:p>
          <w:p w:rsidR="005B1F77" w:rsidRPr="001511A6" w:rsidRDefault="005B1F77" w:rsidP="0013549F">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5B1F77" w:rsidRPr="001511A6" w:rsidRDefault="005B1F77" w:rsidP="0013549F">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5B1F77" w:rsidRPr="001511A6" w:rsidRDefault="005B1F77" w:rsidP="0013549F">
            <w:pPr>
              <w:spacing w:before="80" w:line="360" w:lineRule="exact"/>
              <w:jc w:val="right"/>
              <w:rPr>
                <w:rFonts w:ascii="Tahoma" w:hAnsi="Tahoma" w:cs="Tahoma"/>
                <w:b/>
                <w:bCs/>
                <w:iCs/>
                <w:color w:val="243285"/>
                <w:sz w:val="32"/>
                <w:szCs w:val="32"/>
                <w:lang w:val="en-US"/>
              </w:rPr>
            </w:pPr>
          </w:p>
        </w:tc>
      </w:tr>
    </w:tbl>
    <w:p w:rsidR="005B1F77" w:rsidRDefault="005B1F77" w:rsidP="005B1F77">
      <w:pPr>
        <w:spacing w:before="80"/>
        <w:rPr>
          <w:i/>
          <w:sz w:val="22"/>
          <w:lang w:val="en-US"/>
        </w:rPr>
      </w:pPr>
    </w:p>
    <w:p w:rsidR="005B1F77" w:rsidRDefault="005B1F77" w:rsidP="005B1F77">
      <w:pPr>
        <w:spacing w:before="80"/>
        <w:rPr>
          <w:i/>
          <w:sz w:val="22"/>
          <w:lang w:val="en-US"/>
        </w:rPr>
      </w:pPr>
    </w:p>
    <w:p w:rsidR="005B1F77" w:rsidRDefault="005B1F77" w:rsidP="005B1F77">
      <w:pPr>
        <w:spacing w:before="80"/>
        <w:rPr>
          <w:i/>
          <w:sz w:val="22"/>
          <w:lang w:val="en-US"/>
        </w:rPr>
      </w:pPr>
    </w:p>
    <w:p w:rsidR="005B1F77" w:rsidRDefault="005B1F77" w:rsidP="005B1F77">
      <w:pPr>
        <w:spacing w:before="80"/>
        <w:rPr>
          <w:i/>
          <w:sz w:val="22"/>
          <w:lang w:val="en-US"/>
        </w:rPr>
      </w:pPr>
    </w:p>
    <w:p w:rsidR="005B1F77" w:rsidRDefault="005B1F77" w:rsidP="005B1F77">
      <w:pPr>
        <w:spacing w:before="80"/>
        <w:rPr>
          <w:i/>
          <w:sz w:val="22"/>
          <w:lang w:val="en-US"/>
        </w:rPr>
      </w:pPr>
    </w:p>
    <w:p w:rsidR="005B1F77" w:rsidRDefault="005B1F77" w:rsidP="005B1F77">
      <w:pPr>
        <w:spacing w:before="80"/>
        <w:rPr>
          <w:i/>
          <w:sz w:val="22"/>
          <w:lang w:val="en-US"/>
        </w:rPr>
      </w:pPr>
    </w:p>
    <w:p w:rsidR="005B1F77" w:rsidRDefault="005B1F77" w:rsidP="005B1F77">
      <w:pPr>
        <w:pStyle w:val="Equation"/>
        <w:tabs>
          <w:tab w:val="clear" w:pos="4820"/>
          <w:tab w:val="clear" w:pos="9639"/>
          <w:tab w:val="left" w:pos="1191"/>
          <w:tab w:val="left" w:pos="1588"/>
          <w:tab w:val="left" w:pos="1985"/>
        </w:tabs>
        <w:rPr>
          <w:rFonts w:ascii="Palatino Linotype" w:hAnsi="Palatino Linotype"/>
          <w:lang w:val="en-US"/>
        </w:rPr>
        <w:sectPr w:rsidR="005B1F77">
          <w:headerReference w:type="even" r:id="rId7"/>
          <w:headerReference w:type="default" r:id="rId8"/>
          <w:pgSz w:w="11907" w:h="16840" w:code="9"/>
          <w:pgMar w:top="1089" w:right="1089" w:bottom="284" w:left="1089" w:header="567" w:footer="284" w:gutter="0"/>
          <w:pgNumType w:start="1"/>
          <w:cols w:space="720"/>
        </w:sectPr>
      </w:pPr>
    </w:p>
    <w:p w:rsidR="005B1F77" w:rsidRPr="00586EF8" w:rsidRDefault="005B1F77" w:rsidP="005B1F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B1F77" w:rsidRDefault="005B1F77" w:rsidP="005B1F77">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B1F77" w:rsidRDefault="005B1F77" w:rsidP="005B1F77">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5B1F77" w:rsidRPr="00B714F3" w:rsidRDefault="005B1F77" w:rsidP="005B1F77">
      <w:pPr>
        <w:pStyle w:val="Heading1"/>
        <w:spacing w:before="680"/>
        <w:jc w:val="center"/>
        <w:rPr>
          <w:szCs w:val="24"/>
          <w:lang w:val="en-US"/>
        </w:rPr>
      </w:pPr>
      <w:r w:rsidRPr="00B714F3">
        <w:rPr>
          <w:szCs w:val="24"/>
          <w:lang w:val="en-US"/>
        </w:rPr>
        <w:t>Policy on Intellectual Property Right (IPR)</w:t>
      </w:r>
    </w:p>
    <w:p w:rsidR="005B1F77" w:rsidRPr="00B714F3" w:rsidRDefault="005B1F77" w:rsidP="005B1F7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B1F77" w:rsidRDefault="005B1F77" w:rsidP="005B1F77">
      <w:pPr>
        <w:jc w:val="center"/>
        <w:rPr>
          <w:sz w:val="22"/>
          <w:lang w:val="en-US"/>
        </w:rPr>
      </w:pPr>
    </w:p>
    <w:p w:rsidR="005B1F77" w:rsidRDefault="005B1F77" w:rsidP="005B1F7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B1F77" w:rsidRPr="00AE53FE" w:rsidTr="0013549F">
        <w:tc>
          <w:tcPr>
            <w:tcW w:w="9360" w:type="dxa"/>
            <w:gridSpan w:val="2"/>
          </w:tcPr>
          <w:p w:rsidR="005B1F77" w:rsidRPr="00036EE3" w:rsidRDefault="005B1F77" w:rsidP="0013549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B1F77" w:rsidRPr="00036EE3" w:rsidRDefault="005B1F77" w:rsidP="001354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5B1F77" w:rsidRPr="00036EE3" w:rsidTr="0013549F">
        <w:tc>
          <w:tcPr>
            <w:tcW w:w="1140" w:type="dxa"/>
          </w:tcPr>
          <w:p w:rsidR="005B1F77" w:rsidRPr="00036EE3" w:rsidRDefault="005B1F77" w:rsidP="0013549F">
            <w:pPr>
              <w:spacing w:before="200" w:after="100"/>
              <w:ind w:left="57"/>
              <w:rPr>
                <w:b/>
                <w:bCs/>
                <w:sz w:val="20"/>
                <w:lang w:val="en-US"/>
              </w:rPr>
            </w:pPr>
            <w:r w:rsidRPr="00036EE3">
              <w:rPr>
                <w:b/>
                <w:bCs/>
                <w:sz w:val="20"/>
                <w:lang w:val="en-US"/>
              </w:rPr>
              <w:t>Series</w:t>
            </w:r>
          </w:p>
        </w:tc>
        <w:tc>
          <w:tcPr>
            <w:tcW w:w="8220" w:type="dxa"/>
          </w:tcPr>
          <w:p w:rsidR="005B1F77" w:rsidRPr="00036EE3" w:rsidRDefault="005B1F77" w:rsidP="001354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B1F77" w:rsidRPr="00036EE3"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BO</w:t>
            </w:r>
          </w:p>
        </w:tc>
        <w:tc>
          <w:tcPr>
            <w:tcW w:w="8220" w:type="dxa"/>
          </w:tcPr>
          <w:p w:rsidR="005B1F77" w:rsidRPr="00036EE3" w:rsidRDefault="005B1F77" w:rsidP="001354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B1F77" w:rsidRPr="00AE53FE"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BR</w:t>
            </w:r>
          </w:p>
        </w:tc>
        <w:tc>
          <w:tcPr>
            <w:tcW w:w="8220" w:type="dxa"/>
          </w:tcPr>
          <w:p w:rsidR="005B1F77" w:rsidRPr="00036EE3" w:rsidRDefault="005B1F77" w:rsidP="001354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B1F77" w:rsidRPr="00036EE3"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BS</w:t>
            </w:r>
          </w:p>
        </w:tc>
        <w:tc>
          <w:tcPr>
            <w:tcW w:w="8220" w:type="dxa"/>
          </w:tcPr>
          <w:p w:rsidR="005B1F77" w:rsidRPr="00036EE3" w:rsidRDefault="005B1F77" w:rsidP="001354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5B1F77" w:rsidRPr="00ED2695" w:rsidTr="0013549F">
        <w:tc>
          <w:tcPr>
            <w:tcW w:w="1140" w:type="dxa"/>
            <w:shd w:val="clear" w:color="auto" w:fill="auto"/>
          </w:tcPr>
          <w:p w:rsidR="005B1F77" w:rsidRPr="00ED2695" w:rsidRDefault="005B1F77" w:rsidP="0013549F">
            <w:pPr>
              <w:spacing w:before="30" w:after="30"/>
              <w:ind w:left="57"/>
              <w:jc w:val="left"/>
              <w:rPr>
                <w:b/>
                <w:bCs/>
                <w:sz w:val="20"/>
                <w:lang w:val="en-US"/>
              </w:rPr>
            </w:pPr>
            <w:r w:rsidRPr="00ED2695">
              <w:rPr>
                <w:b/>
                <w:bCs/>
                <w:sz w:val="20"/>
                <w:lang w:val="en-US"/>
              </w:rPr>
              <w:t>BT</w:t>
            </w:r>
          </w:p>
        </w:tc>
        <w:tc>
          <w:tcPr>
            <w:tcW w:w="8220" w:type="dxa"/>
            <w:shd w:val="clear" w:color="auto" w:fill="auto"/>
          </w:tcPr>
          <w:p w:rsidR="005B1F77" w:rsidRPr="00ED2695" w:rsidRDefault="005B1F77" w:rsidP="001354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B1F77" w:rsidRPr="00036EE3" w:rsidTr="0013549F">
        <w:tc>
          <w:tcPr>
            <w:tcW w:w="1140" w:type="dxa"/>
            <w:shd w:val="clear" w:color="auto" w:fill="auto"/>
          </w:tcPr>
          <w:p w:rsidR="005B1F77" w:rsidRPr="00036EE3" w:rsidRDefault="005B1F77" w:rsidP="0013549F">
            <w:pPr>
              <w:spacing w:before="30" w:after="30"/>
              <w:ind w:left="57"/>
              <w:jc w:val="left"/>
              <w:rPr>
                <w:b/>
                <w:bCs/>
                <w:sz w:val="20"/>
                <w:lang w:val="fr-CH"/>
              </w:rPr>
            </w:pPr>
            <w:r w:rsidRPr="00036EE3">
              <w:rPr>
                <w:b/>
                <w:bCs/>
                <w:sz w:val="20"/>
                <w:lang w:val="fr-CH"/>
              </w:rPr>
              <w:t>F</w:t>
            </w:r>
          </w:p>
        </w:tc>
        <w:tc>
          <w:tcPr>
            <w:tcW w:w="8220" w:type="dxa"/>
            <w:shd w:val="clear" w:color="auto" w:fill="auto"/>
          </w:tcPr>
          <w:p w:rsidR="005B1F77" w:rsidRPr="00036EE3" w:rsidRDefault="005B1F77" w:rsidP="001354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5B1F77" w:rsidRPr="00036EE3" w:rsidTr="0013549F">
        <w:tc>
          <w:tcPr>
            <w:tcW w:w="1140" w:type="dxa"/>
            <w:shd w:val="clear" w:color="auto" w:fill="auto"/>
          </w:tcPr>
          <w:p w:rsidR="005B1F77" w:rsidRPr="00906589" w:rsidRDefault="005B1F77" w:rsidP="0013549F">
            <w:pPr>
              <w:spacing w:before="30" w:after="30"/>
              <w:ind w:left="57"/>
              <w:jc w:val="left"/>
              <w:rPr>
                <w:b/>
                <w:bCs/>
                <w:sz w:val="20"/>
                <w:lang w:val="en-US"/>
              </w:rPr>
            </w:pPr>
            <w:r w:rsidRPr="00906589">
              <w:rPr>
                <w:b/>
                <w:bCs/>
                <w:sz w:val="20"/>
                <w:lang w:val="en-US"/>
              </w:rPr>
              <w:t>M</w:t>
            </w:r>
          </w:p>
        </w:tc>
        <w:tc>
          <w:tcPr>
            <w:tcW w:w="8220" w:type="dxa"/>
            <w:shd w:val="clear" w:color="auto" w:fill="auto"/>
          </w:tcPr>
          <w:p w:rsidR="005B1F77" w:rsidRPr="00906589" w:rsidRDefault="005B1F77" w:rsidP="001354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5B1F77" w:rsidRPr="00036EE3" w:rsidTr="0013549F">
        <w:tc>
          <w:tcPr>
            <w:tcW w:w="1140" w:type="dxa"/>
          </w:tcPr>
          <w:p w:rsidR="005B1F77" w:rsidRPr="00036EE3" w:rsidRDefault="005B1F77" w:rsidP="0013549F">
            <w:pPr>
              <w:spacing w:before="30" w:after="30"/>
              <w:ind w:left="57"/>
              <w:jc w:val="left"/>
              <w:rPr>
                <w:b/>
                <w:bCs/>
                <w:sz w:val="20"/>
                <w:lang w:val="fr-CH"/>
              </w:rPr>
            </w:pPr>
            <w:r w:rsidRPr="00036EE3">
              <w:rPr>
                <w:b/>
                <w:bCs/>
                <w:sz w:val="20"/>
                <w:lang w:val="fr-CH"/>
              </w:rPr>
              <w:t>P</w:t>
            </w:r>
          </w:p>
        </w:tc>
        <w:tc>
          <w:tcPr>
            <w:tcW w:w="8220" w:type="dxa"/>
          </w:tcPr>
          <w:p w:rsidR="005B1F77" w:rsidRPr="00036EE3" w:rsidRDefault="005B1F77" w:rsidP="0013549F">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5B1F77" w:rsidRPr="00036EE3"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RA</w:t>
            </w:r>
          </w:p>
        </w:tc>
        <w:tc>
          <w:tcPr>
            <w:tcW w:w="8220" w:type="dxa"/>
          </w:tcPr>
          <w:p w:rsidR="005B1F77" w:rsidRPr="00036EE3" w:rsidRDefault="005B1F77" w:rsidP="001354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B1F77" w:rsidRPr="00036EE3"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RS</w:t>
            </w:r>
          </w:p>
        </w:tc>
        <w:tc>
          <w:tcPr>
            <w:tcW w:w="8220" w:type="dxa"/>
          </w:tcPr>
          <w:p w:rsidR="005B1F77" w:rsidRPr="00036EE3" w:rsidRDefault="005B1F77" w:rsidP="001354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B1F77" w:rsidRPr="00036EE3"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S</w:t>
            </w:r>
          </w:p>
        </w:tc>
        <w:tc>
          <w:tcPr>
            <w:tcW w:w="8220" w:type="dxa"/>
          </w:tcPr>
          <w:p w:rsidR="005B1F77" w:rsidRPr="00036EE3" w:rsidRDefault="005B1F77" w:rsidP="0013549F">
            <w:pPr>
              <w:spacing w:before="30" w:after="30"/>
              <w:jc w:val="left"/>
              <w:rPr>
                <w:sz w:val="20"/>
                <w:lang w:val="en-US"/>
              </w:rPr>
            </w:pPr>
            <w:r w:rsidRPr="00036EE3">
              <w:rPr>
                <w:sz w:val="20"/>
                <w:lang w:val="en-US"/>
              </w:rPr>
              <w:t>Fixed-satellite service</w:t>
            </w:r>
          </w:p>
        </w:tc>
      </w:tr>
      <w:tr w:rsidR="005B1F77" w:rsidRPr="00036EE3"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SA</w:t>
            </w:r>
          </w:p>
        </w:tc>
        <w:tc>
          <w:tcPr>
            <w:tcW w:w="8220" w:type="dxa"/>
          </w:tcPr>
          <w:p w:rsidR="005B1F77" w:rsidRPr="00036EE3" w:rsidRDefault="005B1F77" w:rsidP="0013549F">
            <w:pPr>
              <w:spacing w:before="30" w:after="30"/>
              <w:jc w:val="left"/>
              <w:rPr>
                <w:sz w:val="20"/>
                <w:lang w:val="en-US"/>
              </w:rPr>
            </w:pPr>
            <w:r w:rsidRPr="00036EE3">
              <w:rPr>
                <w:sz w:val="20"/>
                <w:lang w:val="en-US"/>
              </w:rPr>
              <w:t>Space applications and meteorology</w:t>
            </w:r>
          </w:p>
        </w:tc>
      </w:tr>
      <w:tr w:rsidR="005B1F77" w:rsidRPr="00AE53FE"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SF</w:t>
            </w:r>
          </w:p>
        </w:tc>
        <w:tc>
          <w:tcPr>
            <w:tcW w:w="8220" w:type="dxa"/>
          </w:tcPr>
          <w:p w:rsidR="005B1F77" w:rsidRPr="00036EE3" w:rsidRDefault="005B1F77" w:rsidP="0013549F">
            <w:pPr>
              <w:spacing w:before="30" w:after="30"/>
              <w:jc w:val="left"/>
              <w:rPr>
                <w:sz w:val="20"/>
                <w:lang w:val="en-US"/>
              </w:rPr>
            </w:pPr>
            <w:r w:rsidRPr="00036EE3">
              <w:rPr>
                <w:sz w:val="20"/>
                <w:lang w:val="en-US"/>
              </w:rPr>
              <w:t>Frequency sharing and coordination between fixed-satellite and fixed service systems</w:t>
            </w:r>
          </w:p>
        </w:tc>
      </w:tr>
      <w:tr w:rsidR="005B1F77" w:rsidRPr="00036EE3" w:rsidTr="0013549F">
        <w:tc>
          <w:tcPr>
            <w:tcW w:w="1140" w:type="dxa"/>
            <w:shd w:val="clear" w:color="auto" w:fill="F3F3F3"/>
          </w:tcPr>
          <w:p w:rsidR="005B1F77" w:rsidRPr="00906589" w:rsidRDefault="005B1F77" w:rsidP="0013549F">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5B1F77" w:rsidRPr="00906589" w:rsidRDefault="005B1F77" w:rsidP="0013549F">
            <w:pPr>
              <w:spacing w:before="30" w:after="30"/>
              <w:jc w:val="left"/>
              <w:rPr>
                <w:b/>
                <w:bCs/>
                <w:color w:val="000080"/>
                <w:sz w:val="20"/>
                <w:lang w:val="en-US"/>
              </w:rPr>
            </w:pPr>
            <w:r w:rsidRPr="00906589">
              <w:rPr>
                <w:b/>
                <w:bCs/>
                <w:color w:val="000080"/>
                <w:sz w:val="20"/>
                <w:lang w:val="en-US"/>
              </w:rPr>
              <w:t>Spectrum management</w:t>
            </w:r>
          </w:p>
        </w:tc>
      </w:tr>
      <w:tr w:rsidR="005B1F77" w:rsidRPr="00036EE3"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SNG</w:t>
            </w:r>
          </w:p>
        </w:tc>
        <w:tc>
          <w:tcPr>
            <w:tcW w:w="8220" w:type="dxa"/>
          </w:tcPr>
          <w:p w:rsidR="005B1F77" w:rsidRPr="00036EE3" w:rsidRDefault="005B1F77" w:rsidP="0013549F">
            <w:pPr>
              <w:spacing w:before="30" w:after="30"/>
              <w:jc w:val="left"/>
              <w:rPr>
                <w:sz w:val="20"/>
                <w:lang w:val="en-US"/>
              </w:rPr>
            </w:pPr>
            <w:r w:rsidRPr="00036EE3">
              <w:rPr>
                <w:sz w:val="20"/>
                <w:lang w:val="en-US"/>
              </w:rPr>
              <w:t>Satellite news gathering</w:t>
            </w:r>
          </w:p>
        </w:tc>
      </w:tr>
      <w:tr w:rsidR="005B1F77" w:rsidRPr="00AE53FE"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TF</w:t>
            </w:r>
          </w:p>
        </w:tc>
        <w:tc>
          <w:tcPr>
            <w:tcW w:w="8220" w:type="dxa"/>
          </w:tcPr>
          <w:p w:rsidR="005B1F77" w:rsidRPr="00036EE3" w:rsidRDefault="005B1F77" w:rsidP="0013549F">
            <w:pPr>
              <w:spacing w:before="30" w:after="30"/>
              <w:jc w:val="left"/>
              <w:rPr>
                <w:sz w:val="20"/>
                <w:lang w:val="en-US"/>
              </w:rPr>
            </w:pPr>
            <w:r w:rsidRPr="00036EE3">
              <w:rPr>
                <w:sz w:val="20"/>
                <w:lang w:val="en-US"/>
              </w:rPr>
              <w:t>Time signals and frequency standards emissions</w:t>
            </w:r>
          </w:p>
        </w:tc>
      </w:tr>
      <w:tr w:rsidR="005B1F77" w:rsidRPr="00036EE3" w:rsidTr="0013549F">
        <w:tc>
          <w:tcPr>
            <w:tcW w:w="1140" w:type="dxa"/>
          </w:tcPr>
          <w:p w:rsidR="005B1F77" w:rsidRPr="00036EE3" w:rsidRDefault="005B1F77" w:rsidP="0013549F">
            <w:pPr>
              <w:spacing w:before="30" w:after="30"/>
              <w:ind w:left="57"/>
              <w:jc w:val="left"/>
              <w:rPr>
                <w:b/>
                <w:bCs/>
                <w:sz w:val="20"/>
                <w:lang w:val="en-US"/>
              </w:rPr>
            </w:pPr>
            <w:r w:rsidRPr="00036EE3">
              <w:rPr>
                <w:b/>
                <w:bCs/>
                <w:sz w:val="20"/>
                <w:lang w:val="en-US"/>
              </w:rPr>
              <w:t>V</w:t>
            </w:r>
          </w:p>
        </w:tc>
        <w:tc>
          <w:tcPr>
            <w:tcW w:w="8220" w:type="dxa"/>
          </w:tcPr>
          <w:p w:rsidR="005B1F77" w:rsidRPr="00036EE3" w:rsidRDefault="005B1F77" w:rsidP="0013549F">
            <w:pPr>
              <w:spacing w:before="30" w:after="180"/>
              <w:jc w:val="left"/>
              <w:rPr>
                <w:sz w:val="20"/>
                <w:lang w:val="en-US"/>
              </w:rPr>
            </w:pPr>
            <w:r w:rsidRPr="00036EE3">
              <w:rPr>
                <w:sz w:val="20"/>
                <w:lang w:val="en-US"/>
              </w:rPr>
              <w:t>Vocabulary and related subjects</w:t>
            </w:r>
          </w:p>
        </w:tc>
      </w:tr>
    </w:tbl>
    <w:p w:rsidR="005B1F77" w:rsidRPr="00036EE3" w:rsidRDefault="005B1F77" w:rsidP="005B1F7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B1F77" w:rsidTr="0013549F">
        <w:tc>
          <w:tcPr>
            <w:tcW w:w="720" w:type="dxa"/>
          </w:tcPr>
          <w:p w:rsidR="005B1F77" w:rsidRDefault="005B1F77" w:rsidP="0013549F">
            <w:pPr>
              <w:jc w:val="center"/>
              <w:rPr>
                <w:sz w:val="22"/>
                <w:lang w:val="en-US"/>
              </w:rPr>
            </w:pPr>
          </w:p>
        </w:tc>
      </w:tr>
    </w:tbl>
    <w:p w:rsidR="005B1F77" w:rsidRPr="00036EE3" w:rsidRDefault="005B1F77" w:rsidP="005B1F7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B1F77" w:rsidRPr="00AE53FE" w:rsidTr="0013549F">
        <w:tc>
          <w:tcPr>
            <w:tcW w:w="9360" w:type="dxa"/>
          </w:tcPr>
          <w:p w:rsidR="005B1F77" w:rsidRPr="002F5199" w:rsidRDefault="005B1F77" w:rsidP="0013549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w:t>
            </w:r>
            <w:r w:rsidRPr="00AE53FE">
              <w:rPr>
                <w:i/>
                <w:iCs/>
                <w:sz w:val="18"/>
                <w:szCs w:val="18"/>
                <w:lang w:val="en-US"/>
              </w:rPr>
              <w:t>-R 1</w:t>
            </w:r>
            <w:r w:rsidRPr="002F5199">
              <w:rPr>
                <w:i/>
                <w:iCs/>
                <w:sz w:val="20"/>
                <w:lang w:val="en-US"/>
              </w:rPr>
              <w:t>.</w:t>
            </w:r>
          </w:p>
        </w:tc>
      </w:tr>
    </w:tbl>
    <w:p w:rsidR="005B1F77" w:rsidRDefault="005B1F77" w:rsidP="005B1F77">
      <w:pPr>
        <w:spacing w:before="0"/>
        <w:jc w:val="center"/>
        <w:rPr>
          <w:sz w:val="22"/>
          <w:lang w:val="en-US"/>
        </w:rPr>
      </w:pPr>
    </w:p>
    <w:p w:rsidR="005B1F77" w:rsidRDefault="005B1F77" w:rsidP="005B1F77">
      <w:pPr>
        <w:spacing w:before="0"/>
        <w:jc w:val="center"/>
        <w:rPr>
          <w:sz w:val="22"/>
          <w:lang w:val="en-US"/>
        </w:rPr>
      </w:pPr>
    </w:p>
    <w:p w:rsidR="005B1F77" w:rsidRPr="002F5199" w:rsidRDefault="005B1F77" w:rsidP="005B1F77">
      <w:pPr>
        <w:spacing w:before="0"/>
        <w:jc w:val="right"/>
        <w:rPr>
          <w:i/>
          <w:iCs/>
          <w:sz w:val="20"/>
          <w:lang w:val="en-US"/>
        </w:rPr>
      </w:pPr>
      <w:r w:rsidRPr="002F5199">
        <w:rPr>
          <w:i/>
          <w:iCs/>
          <w:sz w:val="20"/>
          <w:lang w:val="en-US"/>
        </w:rPr>
        <w:t>Electronic Publication</w:t>
      </w:r>
    </w:p>
    <w:p w:rsidR="005B1F77" w:rsidRPr="002F5199" w:rsidRDefault="005B1F77" w:rsidP="005B1F7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14</w:t>
      </w:r>
    </w:p>
    <w:p w:rsidR="005B1F77" w:rsidRDefault="005B1F77" w:rsidP="005B1F77">
      <w:pPr>
        <w:jc w:val="center"/>
        <w:rPr>
          <w:sz w:val="22"/>
          <w:lang w:val="en-US"/>
        </w:rPr>
      </w:pPr>
    </w:p>
    <w:p w:rsidR="005B1F77" w:rsidRPr="00470E28" w:rsidRDefault="005B1F77" w:rsidP="005B1F7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14</w:t>
      </w:r>
    </w:p>
    <w:p w:rsidR="005B1F77" w:rsidRPr="00470E28" w:rsidRDefault="005B1F77" w:rsidP="005B1F7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B1F77" w:rsidRDefault="005B1F77" w:rsidP="005B1F77">
      <w:pPr>
        <w:spacing w:before="160"/>
        <w:rPr>
          <w:i/>
          <w:sz w:val="20"/>
          <w:lang w:val="en-US"/>
        </w:rPr>
        <w:sectPr w:rsidR="005B1F77"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B1F77" w:rsidRPr="00BF487A" w:rsidRDefault="005B1F77" w:rsidP="00D5348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2061-0</w:t>
      </w:r>
      <w:r w:rsidR="00D53484">
        <w:rPr>
          <w:rStyle w:val="FootnoteReference"/>
          <w:lang w:val="en-US"/>
        </w:rPr>
        <w:footnoteReference w:customMarkFollows="1" w:id="1"/>
        <w:t>*</w:t>
      </w:r>
    </w:p>
    <w:p w:rsidR="005B1F77" w:rsidRDefault="005B1F77" w:rsidP="005B1F77">
      <w:pPr>
        <w:pStyle w:val="Rectitle"/>
        <w:rPr>
          <w:lang w:val="en-US"/>
        </w:rPr>
      </w:pPr>
      <w:r w:rsidRPr="00524091">
        <w:rPr>
          <w:lang w:val="en-US"/>
        </w:rPr>
        <w:t xml:space="preserve">Test procedure for </w:t>
      </w:r>
      <w:r w:rsidRPr="005B1F77">
        <w:rPr>
          <w:lang w:val="en-US"/>
        </w:rPr>
        <w:t>measuring</w:t>
      </w:r>
      <w:r w:rsidRPr="00524091">
        <w:rPr>
          <w:lang w:val="en-US"/>
        </w:rPr>
        <w:t xml:space="preserve"> </w:t>
      </w:r>
      <w:r>
        <w:rPr>
          <w:lang w:val="en-US"/>
        </w:rPr>
        <w:t>direction finder</w:t>
      </w:r>
      <w:r w:rsidRPr="00524091">
        <w:rPr>
          <w:lang w:val="en-US"/>
        </w:rPr>
        <w:t xml:space="preserve"> </w:t>
      </w:r>
      <w:r w:rsidRPr="005B1F77">
        <w:rPr>
          <w:lang w:val="en-US"/>
        </w:rPr>
        <w:t>immunity</w:t>
      </w:r>
      <w:r w:rsidRPr="005B1F77">
        <w:rPr>
          <w:lang w:val="en-US"/>
        </w:rPr>
        <w:br/>
        <w:t>against multi-path propagation</w:t>
      </w:r>
    </w:p>
    <w:p w:rsidR="00B24CA7" w:rsidRPr="00B24CA7" w:rsidRDefault="00B24CA7" w:rsidP="00B24CA7">
      <w:pPr>
        <w:pStyle w:val="Recdate"/>
        <w:rPr>
          <w:lang w:val="en-US"/>
        </w:rPr>
      </w:pPr>
      <w:r>
        <w:rPr>
          <w:lang w:val="en-US"/>
        </w:rPr>
        <w:t>(2014)</w:t>
      </w:r>
    </w:p>
    <w:p w:rsidR="005B1F77" w:rsidRPr="00AE159E" w:rsidRDefault="005B1F77" w:rsidP="00B24CA7">
      <w:pPr>
        <w:pStyle w:val="HeadingSum"/>
        <w:rPr>
          <w:lang w:val="en-US" w:eastAsia="ko-KR"/>
        </w:rPr>
      </w:pPr>
      <w:r w:rsidRPr="00AE159E">
        <w:rPr>
          <w:lang w:val="en-US" w:eastAsia="ko-KR"/>
        </w:rPr>
        <w:t>Scope</w:t>
      </w:r>
    </w:p>
    <w:p w:rsidR="005B1F77" w:rsidRPr="00AE159E" w:rsidRDefault="005B1F77" w:rsidP="00B24CA7">
      <w:pPr>
        <w:pStyle w:val="Summary"/>
        <w:rPr>
          <w:b/>
          <w:color w:val="000000"/>
          <w:lang w:val="en-US"/>
        </w:rPr>
      </w:pPr>
      <w:r w:rsidRPr="00AE159E">
        <w:rPr>
          <w:lang w:val="en-US"/>
        </w:rPr>
        <w:t xml:space="preserve">The Recommendation provides test procedures for measuring the immunity against multi-path propagation of fixed and mobile direction finders (DF). </w:t>
      </w:r>
    </w:p>
    <w:p w:rsidR="005B1F77" w:rsidRPr="008F778B" w:rsidRDefault="005B1F77" w:rsidP="005B1F77">
      <w:pPr>
        <w:pStyle w:val="Headingb"/>
        <w:rPr>
          <w:lang w:val="en-US" w:eastAsia="ko-KR"/>
        </w:rPr>
      </w:pPr>
      <w:r w:rsidRPr="008F778B">
        <w:rPr>
          <w:lang w:val="en-US" w:eastAsia="ko-KR"/>
        </w:rPr>
        <w:t>Keywords</w:t>
      </w:r>
    </w:p>
    <w:p w:rsidR="005B1F77" w:rsidRPr="005B1F77" w:rsidRDefault="005B1F77" w:rsidP="005B1F77">
      <w:pPr>
        <w:rPr>
          <w:lang w:val="en-US"/>
        </w:rPr>
      </w:pPr>
      <w:r w:rsidRPr="005B1F77">
        <w:rPr>
          <w:lang w:val="en-US"/>
        </w:rPr>
        <w:t xml:space="preserve">DF, direction finder, test </w:t>
      </w:r>
      <w:r>
        <w:rPr>
          <w:lang w:val="en-US"/>
        </w:rPr>
        <w:t>procedure, immunity, multi-path propagation, reflections</w:t>
      </w:r>
      <w:r w:rsidRPr="005B1F77">
        <w:rPr>
          <w:lang w:val="en-US"/>
        </w:rPr>
        <w:t>, open-air-test-site, OATS</w:t>
      </w:r>
      <w:r>
        <w:rPr>
          <w:lang w:val="en-US"/>
        </w:rPr>
        <w:t xml:space="preserve"> </w:t>
      </w:r>
    </w:p>
    <w:p w:rsidR="005B1F77" w:rsidRPr="005B1F77" w:rsidRDefault="005B1F77" w:rsidP="00F8015A">
      <w:pPr>
        <w:pStyle w:val="Headingb"/>
        <w:rPr>
          <w:lang w:val="en-US" w:eastAsia="zh-CN"/>
        </w:rPr>
      </w:pPr>
      <w:r w:rsidRPr="005B1F77">
        <w:rPr>
          <w:lang w:val="en-US" w:eastAsia="zh-CN"/>
        </w:rPr>
        <w:t>Related ITU Recommendations</w:t>
      </w:r>
      <w:r w:rsidR="008A3218">
        <w:rPr>
          <w:lang w:val="en-US" w:eastAsia="zh-CN"/>
        </w:rPr>
        <w:t>, Reports</w:t>
      </w:r>
    </w:p>
    <w:p w:rsidR="005B1F77" w:rsidRDefault="005B1F77" w:rsidP="006F4C82">
      <w:pPr>
        <w:rPr>
          <w:lang w:val="en-US"/>
        </w:rPr>
      </w:pPr>
      <w:r w:rsidRPr="005B1F77">
        <w:rPr>
          <w:lang w:val="en-US" w:eastAsia="zh-CN"/>
        </w:rPr>
        <w:t xml:space="preserve">Recommendation ITU-R </w:t>
      </w:r>
      <w:r w:rsidRPr="005B1F77">
        <w:rPr>
          <w:lang w:val="en-US"/>
        </w:rPr>
        <w:t>SM.</w:t>
      </w:r>
      <w:r w:rsidR="00F8015A">
        <w:rPr>
          <w:lang w:val="en-US"/>
        </w:rPr>
        <w:t>2060</w:t>
      </w:r>
      <w:bookmarkStart w:id="3" w:name="_GoBack"/>
      <w:bookmarkEnd w:id="3"/>
      <w:r w:rsidR="00F8015A">
        <w:rPr>
          <w:lang w:val="en-US"/>
        </w:rPr>
        <w:t>.</w:t>
      </w:r>
    </w:p>
    <w:p w:rsidR="00AE53FE" w:rsidRPr="005B1F77" w:rsidRDefault="00AE53FE" w:rsidP="00F8015A">
      <w:pPr>
        <w:rPr>
          <w:lang w:val="en-US" w:eastAsia="zh-CN"/>
        </w:rPr>
      </w:pPr>
      <w:r>
        <w:rPr>
          <w:lang w:val="en-US" w:eastAsia="zh-CN"/>
        </w:rPr>
        <w:t>Report ITU-R SM.2354.</w:t>
      </w:r>
    </w:p>
    <w:p w:rsidR="005B1F77" w:rsidRPr="002D6026" w:rsidRDefault="005B1F77" w:rsidP="008A3218">
      <w:pPr>
        <w:rPr>
          <w:lang w:val="en-US"/>
        </w:rPr>
      </w:pPr>
      <w:r w:rsidRPr="002D6026">
        <w:rPr>
          <w:lang w:val="en-US"/>
        </w:rPr>
        <w:t>NOTE – In every case the latest edition of the Recommendation/Report in force should be used.</w:t>
      </w:r>
    </w:p>
    <w:p w:rsidR="005B1F77" w:rsidRPr="00AE159E" w:rsidRDefault="005B1F77" w:rsidP="00F8015A">
      <w:pPr>
        <w:pStyle w:val="Normalaftertitle"/>
        <w:rPr>
          <w:lang w:val="en-US"/>
        </w:rPr>
      </w:pPr>
      <w:r w:rsidRPr="00AE159E">
        <w:rPr>
          <w:lang w:val="en-US"/>
        </w:rPr>
        <w:t xml:space="preserve">The ITU </w:t>
      </w:r>
      <w:proofErr w:type="spellStart"/>
      <w:r w:rsidRPr="00AE159E">
        <w:rPr>
          <w:lang w:val="en-US"/>
        </w:rPr>
        <w:t>Radiocommunication</w:t>
      </w:r>
      <w:proofErr w:type="spellEnd"/>
      <w:r w:rsidRPr="00AE159E">
        <w:rPr>
          <w:lang w:val="en-US"/>
        </w:rPr>
        <w:t xml:space="preserve"> Assembly,</w:t>
      </w:r>
    </w:p>
    <w:p w:rsidR="005B1F77" w:rsidRPr="005B1F77" w:rsidRDefault="005B1F77" w:rsidP="005B1F77">
      <w:pPr>
        <w:pStyle w:val="Call"/>
        <w:rPr>
          <w:lang w:val="en-US"/>
        </w:rPr>
      </w:pPr>
      <w:r w:rsidRPr="005B1F77">
        <w:rPr>
          <w:lang w:val="en-US"/>
        </w:rPr>
        <w:t>considering</w:t>
      </w:r>
    </w:p>
    <w:p w:rsidR="005B1F77" w:rsidRPr="005B1F77" w:rsidRDefault="005B1F77" w:rsidP="00F8015A">
      <w:pPr>
        <w:rPr>
          <w:lang w:val="en-US"/>
        </w:rPr>
      </w:pPr>
      <w:r w:rsidRPr="005B1F77">
        <w:rPr>
          <w:i/>
          <w:iCs/>
          <w:lang w:val="en-US"/>
        </w:rPr>
        <w:t>a)</w:t>
      </w:r>
      <w:r w:rsidRPr="005B1F77">
        <w:rPr>
          <w:lang w:val="en-US"/>
        </w:rPr>
        <w:tab/>
        <w:t xml:space="preserve">that ITU-R has published the </w:t>
      </w:r>
      <w:r w:rsidR="00F8015A">
        <w:rPr>
          <w:lang w:val="en-US"/>
        </w:rPr>
        <w:t>direction finder (</w:t>
      </w:r>
      <w:r w:rsidRPr="005B1F77">
        <w:rPr>
          <w:lang w:val="en-US"/>
        </w:rPr>
        <w:t>DF</w:t>
      </w:r>
      <w:r w:rsidR="00F8015A">
        <w:rPr>
          <w:lang w:val="en-US"/>
        </w:rPr>
        <w:t>)</w:t>
      </w:r>
      <w:r w:rsidRPr="005B1F77">
        <w:rPr>
          <w:lang w:val="en-US"/>
        </w:rPr>
        <w:t xml:space="preserve"> immunity against distorted wave fronts of different DF methods in the ITU Handbook on Spectrum Monitoring (Edition 2011);</w:t>
      </w:r>
    </w:p>
    <w:p w:rsidR="005B1F77" w:rsidRPr="005B1F77" w:rsidRDefault="005B1F77" w:rsidP="005B1F77">
      <w:pPr>
        <w:rPr>
          <w:lang w:val="en-US"/>
        </w:rPr>
      </w:pPr>
      <w:r w:rsidRPr="005B1F77">
        <w:rPr>
          <w:i/>
          <w:iCs/>
          <w:lang w:val="en-US"/>
        </w:rPr>
        <w:t>b)</w:t>
      </w:r>
      <w:r w:rsidRPr="005B1F77">
        <w:rPr>
          <w:lang w:val="en-US"/>
        </w:rPr>
        <w:tab/>
        <w:t>that the immunity against distorted wave fronts is an important specification of a DF since distorted wave fronts from multipath propagation are typical in practice;</w:t>
      </w:r>
    </w:p>
    <w:p w:rsidR="005B1F77" w:rsidRPr="005B1F77" w:rsidRDefault="005B1F77" w:rsidP="00F8015A">
      <w:pPr>
        <w:rPr>
          <w:lang w:val="en-US"/>
        </w:rPr>
      </w:pPr>
      <w:r w:rsidRPr="005B1F77">
        <w:rPr>
          <w:i/>
          <w:iCs/>
          <w:lang w:val="en-US"/>
        </w:rPr>
        <w:t>c)</w:t>
      </w:r>
      <w:r w:rsidRPr="005B1F77">
        <w:rPr>
          <w:lang w:val="en-US"/>
        </w:rPr>
        <w:tab/>
        <w:t>that the specification of DF immunity against distorted wave fronts strongly depends on the test procedures applied;</w:t>
      </w:r>
    </w:p>
    <w:p w:rsidR="005B1F77" w:rsidRPr="005B1F77" w:rsidRDefault="005B1F77" w:rsidP="005B1F77">
      <w:pPr>
        <w:rPr>
          <w:lang w:val="en-US"/>
        </w:rPr>
      </w:pPr>
      <w:r w:rsidRPr="005B1F77">
        <w:rPr>
          <w:i/>
          <w:iCs/>
          <w:lang w:val="en-US"/>
        </w:rPr>
        <w:t>d)</w:t>
      </w:r>
      <w:r w:rsidRPr="005B1F77">
        <w:rPr>
          <w:lang w:val="en-US"/>
        </w:rPr>
        <w:tab/>
        <w:t>that a test procedure for DF immunity against distorted wave fronts must be independent of the direction finder design;</w:t>
      </w:r>
    </w:p>
    <w:p w:rsidR="005B1F77" w:rsidRPr="005B1F77" w:rsidRDefault="005B1F77" w:rsidP="00F8015A">
      <w:pPr>
        <w:rPr>
          <w:lang w:val="en-US"/>
        </w:rPr>
      </w:pPr>
      <w:r w:rsidRPr="005B1F77">
        <w:rPr>
          <w:i/>
          <w:iCs/>
          <w:lang w:val="en-US"/>
        </w:rPr>
        <w:t>e)</w:t>
      </w:r>
      <w:r w:rsidRPr="005B1F77">
        <w:rPr>
          <w:lang w:val="en-US"/>
        </w:rPr>
        <w:tab/>
        <w:t>that well-defined test procedures for DF immunity against distorted wave fronts to test the influence of multi-path propagation under approximated real-world conditions, if adopted by all manufacturers of direction finders intended for civil radio monitoring, will have the advantage for the users of such direction finders, that an easier and more objective assessment of products from different manufacturers is possible,</w:t>
      </w:r>
    </w:p>
    <w:p w:rsidR="005B1F77" w:rsidRPr="005B1F77" w:rsidRDefault="005B1F77" w:rsidP="005B1F77">
      <w:pPr>
        <w:pStyle w:val="Call"/>
        <w:rPr>
          <w:lang w:val="en-US"/>
        </w:rPr>
      </w:pPr>
      <w:r w:rsidRPr="005B1F77">
        <w:rPr>
          <w:lang w:val="en-US"/>
        </w:rPr>
        <w:t>recommends</w:t>
      </w:r>
    </w:p>
    <w:p w:rsidR="005B1F77" w:rsidRPr="005B1F77" w:rsidRDefault="005B1F77" w:rsidP="00F8015A">
      <w:pPr>
        <w:rPr>
          <w:lang w:val="en-US"/>
        </w:rPr>
      </w:pPr>
      <w:r w:rsidRPr="00F8015A">
        <w:rPr>
          <w:b/>
          <w:bCs/>
          <w:lang w:val="en-US"/>
        </w:rPr>
        <w:t>1</w:t>
      </w:r>
      <w:r w:rsidRPr="005B1F77">
        <w:rPr>
          <w:lang w:val="en-US"/>
        </w:rPr>
        <w:tab/>
        <w:t>that the measurement method in Annex 1 should be used to determine and report the immunity against distorted wave fronts due to multi-path propagation on fixed and mobile direction-finding systems.</w:t>
      </w:r>
    </w:p>
    <w:p w:rsidR="005B1F77" w:rsidRPr="005B1F77" w:rsidRDefault="005B1F77" w:rsidP="005B1F77">
      <w:pPr>
        <w:rPr>
          <w:lang w:val="en-US"/>
        </w:rPr>
      </w:pPr>
    </w:p>
    <w:p w:rsidR="005B1F77" w:rsidRPr="00F8015A" w:rsidRDefault="005B1F77" w:rsidP="00F8015A">
      <w:pPr>
        <w:rPr>
          <w:lang w:val="en-US"/>
        </w:rPr>
      </w:pPr>
    </w:p>
    <w:p w:rsidR="005B1F77" w:rsidRPr="00F8015A" w:rsidRDefault="005B1F77" w:rsidP="00F8015A">
      <w:pPr>
        <w:pStyle w:val="AnnexNoTitle"/>
        <w:rPr>
          <w:lang w:val="en-US"/>
        </w:rPr>
      </w:pPr>
      <w:r w:rsidRPr="00F8015A">
        <w:rPr>
          <w:lang w:val="en-US"/>
        </w:rPr>
        <w:lastRenderedPageBreak/>
        <w:t>Annex 1</w:t>
      </w:r>
      <w:r w:rsidR="00F8015A" w:rsidRPr="00F8015A">
        <w:rPr>
          <w:lang w:val="en-US"/>
        </w:rPr>
        <w:br/>
      </w:r>
      <w:r w:rsidR="00F8015A" w:rsidRPr="00F8015A">
        <w:rPr>
          <w:lang w:val="en-US"/>
        </w:rPr>
        <w:br/>
      </w:r>
      <w:r w:rsidRPr="00F8015A">
        <w:rPr>
          <w:lang w:val="en-US"/>
        </w:rPr>
        <w:t>Immunity against distorted wave fronts due to multi-path propagation:</w:t>
      </w:r>
      <w:r w:rsidRPr="00F8015A">
        <w:rPr>
          <w:lang w:val="en-US"/>
        </w:rPr>
        <w:br/>
        <w:t xml:space="preserve">test procedure for fixed and mobile </w:t>
      </w:r>
      <w:r w:rsidR="00F8015A">
        <w:rPr>
          <w:lang w:val="en-US"/>
        </w:rPr>
        <w:t>direction finder</w:t>
      </w:r>
    </w:p>
    <w:p w:rsidR="005B1F77" w:rsidRPr="005B1F77" w:rsidRDefault="005B1F77" w:rsidP="005B1F77">
      <w:pPr>
        <w:pStyle w:val="Heading1"/>
        <w:rPr>
          <w:lang w:val="en-US"/>
        </w:rPr>
      </w:pPr>
      <w:r w:rsidRPr="005B1F77">
        <w:rPr>
          <w:lang w:val="en-US"/>
        </w:rPr>
        <w:t>1</w:t>
      </w:r>
      <w:r w:rsidRPr="005B1F77">
        <w:rPr>
          <w:lang w:val="en-US"/>
        </w:rPr>
        <w:tab/>
        <w:t>General considerations</w:t>
      </w:r>
    </w:p>
    <w:p w:rsidR="005B1F77" w:rsidRPr="005B1F77" w:rsidRDefault="005B1F77" w:rsidP="008919A1">
      <w:pPr>
        <w:rPr>
          <w:lang w:val="en-US"/>
        </w:rPr>
      </w:pPr>
      <w:r w:rsidRPr="005B1F77">
        <w:rPr>
          <w:lang w:val="en-US"/>
        </w:rPr>
        <w:t xml:space="preserve">Under normal circumstances, wave propagation between the emitter and </w:t>
      </w:r>
      <w:r w:rsidR="008919A1">
        <w:rPr>
          <w:lang w:val="en-US"/>
        </w:rPr>
        <w:t xml:space="preserve">DF </w:t>
      </w:r>
      <w:r w:rsidRPr="005B1F77">
        <w:rPr>
          <w:lang w:val="en-US"/>
        </w:rPr>
        <w:t xml:space="preserve">is disrupted by buildings, mountains, hills, etc. Even if we have direct line of sight, secondary waves will still arise due to reflection, refraction and diffraction and superimpose the direct wave at the receiving location as interfering fields. If the interfering wave component has a lower power level than the desired wave component, the bearing error can be minimized by choosing suitable design parameters in the direction finder. This </w:t>
      </w:r>
      <w:r w:rsidR="008919A1">
        <w:rPr>
          <w:lang w:val="en-US"/>
        </w:rPr>
        <w:t>R</w:t>
      </w:r>
      <w:r w:rsidRPr="005B1F77">
        <w:rPr>
          <w:lang w:val="en-US"/>
        </w:rPr>
        <w:t xml:space="preserve">ecommendation serves to measure the DF immunity to distorted wave fronts caused by a secondary wave (reflection). It is meant to be used for an exemplary measurement of one single sample of the serial production version of the </w:t>
      </w:r>
      <w:r w:rsidR="008919A1">
        <w:rPr>
          <w:lang w:val="en-US"/>
        </w:rPr>
        <w:t xml:space="preserve">DF </w:t>
      </w:r>
      <w:r w:rsidRPr="005B1F77">
        <w:rPr>
          <w:lang w:val="en-US"/>
        </w:rPr>
        <w:t>system under test.</w:t>
      </w:r>
    </w:p>
    <w:p w:rsidR="005B1F77" w:rsidRPr="005B1F77" w:rsidRDefault="005B1F77" w:rsidP="005B1F77">
      <w:pPr>
        <w:pStyle w:val="Heading1"/>
        <w:rPr>
          <w:lang w:val="en-US"/>
        </w:rPr>
      </w:pPr>
      <w:r w:rsidRPr="005B1F77">
        <w:rPr>
          <w:lang w:val="en-US"/>
        </w:rPr>
        <w:t>2</w:t>
      </w:r>
      <w:r w:rsidRPr="005B1F77">
        <w:rPr>
          <w:lang w:val="en-US"/>
        </w:rPr>
        <w:tab/>
        <w:t>Principle of measurement</w:t>
      </w:r>
    </w:p>
    <w:p w:rsidR="005B1F77" w:rsidRPr="005B1F77" w:rsidRDefault="005B1F77" w:rsidP="008919A1">
      <w:pPr>
        <w:rPr>
          <w:lang w:val="en-US"/>
        </w:rPr>
      </w:pPr>
      <w:r w:rsidRPr="005B1F77">
        <w:rPr>
          <w:lang w:val="en-US"/>
        </w:rPr>
        <w:t>The measurement will be conducted under simplified conditions, thus permitting great simplicity of the tests and easy repeatability of the results at any time and at any site. In order to simulate a multipath environment, an arrangement of two transmitting antennas (two-wave field produced by a single transmitter) is proposed subsequently. Both antennas are connected to the test transmitter via a power divider. By using an attenuator</w:t>
      </w:r>
      <w:r w:rsidR="008919A1">
        <w:rPr>
          <w:lang w:val="en-US"/>
        </w:rPr>
        <w:t>,</w:t>
      </w:r>
      <w:r w:rsidRPr="005B1F77">
        <w:rPr>
          <w:lang w:val="en-US"/>
        </w:rPr>
        <w:t xml:space="preserve"> the amplitude of the signal which represents the reflection (secondary wave) can be set, and hence determine the amplitude relation between direct (primary) and reflecting (secondary) path. The angle of arrival and the phase angle of the secondary wave is varied. Considering the objective to simplify the measurement, effects of modulation type (including phase and time variant signals), signal duty cycle, bandwidth, signal polarization, and signal duration, noise and other signal and DF quality parameters (e.g. DF sensitivity) are intentionally ignored to reduce the complexity of the tests procedure and the time duration of the measurements. The measurement takes place in an otherwise reflection-free environment such as an open-air-test-site (OATS) or an anechoic chamber.</w:t>
      </w:r>
      <w:r>
        <w:rPr>
          <w:rStyle w:val="FootnoteReference"/>
        </w:rPr>
        <w:footnoteReference w:id="2"/>
      </w:r>
    </w:p>
    <w:p w:rsidR="005B1F77" w:rsidRPr="005B1F77" w:rsidRDefault="005B1F77" w:rsidP="005B1F77">
      <w:pPr>
        <w:rPr>
          <w:strike/>
          <w:lang w:val="en-US"/>
        </w:rPr>
      </w:pPr>
      <w:r w:rsidRPr="005B1F77">
        <w:rPr>
          <w:lang w:val="en-US"/>
        </w:rPr>
        <w:t xml:space="preserve">In addition to the recommended measurement procedure described here, it is possible to measure the DF immunity against distorted wave fronts by means of multi-channel emulators which can simulate the propagation effects of a real environment, in situations where an OATS or anechoic chamber is not readily available.  </w:t>
      </w:r>
    </w:p>
    <w:p w:rsidR="005B1F77" w:rsidRPr="005B1F77" w:rsidRDefault="005B1F77" w:rsidP="005B1F77">
      <w:pPr>
        <w:pStyle w:val="Heading1"/>
        <w:rPr>
          <w:lang w:val="en-US"/>
        </w:rPr>
      </w:pPr>
      <w:r w:rsidRPr="005B1F77">
        <w:rPr>
          <w:lang w:val="en-US"/>
        </w:rPr>
        <w:t>3</w:t>
      </w:r>
      <w:r w:rsidRPr="005B1F77">
        <w:rPr>
          <w:lang w:val="en-US"/>
        </w:rPr>
        <w:tab/>
        <w:t>Measurement set up</w:t>
      </w:r>
    </w:p>
    <w:p w:rsidR="005B1F77" w:rsidRPr="005B1F77" w:rsidRDefault="005B1F77" w:rsidP="00774673">
      <w:pPr>
        <w:rPr>
          <w:lang w:val="en-US"/>
        </w:rPr>
      </w:pPr>
      <w:r w:rsidRPr="005B1F77">
        <w:rPr>
          <w:lang w:val="en-US"/>
        </w:rPr>
        <w:t>The proposed measurement setup is shown in Fig</w:t>
      </w:r>
      <w:r w:rsidR="00774673">
        <w:rPr>
          <w:lang w:val="en-US"/>
        </w:rPr>
        <w:t>. </w:t>
      </w:r>
      <w:r w:rsidRPr="005B1F77">
        <w:rPr>
          <w:lang w:val="en-US"/>
        </w:rPr>
        <w:t>1. In order to ensure a well-defined dual-path propagation scenario</w:t>
      </w:r>
      <w:r w:rsidR="00774673">
        <w:rPr>
          <w:lang w:val="en-US"/>
        </w:rPr>
        <w:t>,</w:t>
      </w:r>
      <w:r w:rsidRPr="005B1F77">
        <w:rPr>
          <w:lang w:val="en-US"/>
        </w:rPr>
        <w:t xml:space="preserve"> the environment of the DF and transmitting antennas should be free of reflecting obstacles and interferences as indicated in Recommendation ITU-R SM</w:t>
      </w:r>
      <w:r w:rsidR="00774673">
        <w:rPr>
          <w:lang w:val="en-US"/>
        </w:rPr>
        <w:t>.2060-0</w:t>
      </w:r>
      <w:r w:rsidRPr="005B1F77">
        <w:rPr>
          <w:lang w:val="en-US"/>
        </w:rPr>
        <w:t>. The distances between the DF antenna and both transmitting antennas, as well as the height of all antennas involved should be in line with Recommendation ITU-R</w:t>
      </w:r>
      <w:r w:rsidR="00774673" w:rsidRPr="00774673">
        <w:rPr>
          <w:lang w:val="en-US"/>
        </w:rPr>
        <w:t xml:space="preserve"> </w:t>
      </w:r>
      <w:r w:rsidR="00774673" w:rsidRPr="005B1F77">
        <w:rPr>
          <w:lang w:val="en-US"/>
        </w:rPr>
        <w:t>SM</w:t>
      </w:r>
      <w:r w:rsidR="00774673">
        <w:rPr>
          <w:lang w:val="en-US"/>
        </w:rPr>
        <w:t>.2060-0</w:t>
      </w:r>
      <w:r w:rsidRPr="005B1F77">
        <w:rPr>
          <w:lang w:val="en-US"/>
        </w:rPr>
        <w:t xml:space="preserve">. </w:t>
      </w:r>
    </w:p>
    <w:p w:rsidR="005B1F77" w:rsidRPr="005B1F77" w:rsidRDefault="005B1F77" w:rsidP="005B1F77">
      <w:pPr>
        <w:pStyle w:val="Heading1"/>
        <w:rPr>
          <w:lang w:val="en-US"/>
        </w:rPr>
      </w:pPr>
      <w:r w:rsidRPr="005B1F77">
        <w:rPr>
          <w:lang w:val="en-US"/>
        </w:rPr>
        <w:lastRenderedPageBreak/>
        <w:t>4</w:t>
      </w:r>
      <w:r w:rsidRPr="005B1F77">
        <w:rPr>
          <w:lang w:val="en-US"/>
        </w:rPr>
        <w:tab/>
        <w:t>Measurement procedure</w:t>
      </w:r>
    </w:p>
    <w:p w:rsidR="005B1F77" w:rsidRPr="005B1F77" w:rsidRDefault="005B1F77" w:rsidP="005B1F77">
      <w:pPr>
        <w:rPr>
          <w:lang w:val="en-US"/>
        </w:rPr>
      </w:pPr>
      <w:r w:rsidRPr="005B1F77">
        <w:rPr>
          <w:lang w:val="en-US"/>
        </w:rPr>
        <w:t>In order to simulate a basic multipath wave environment (two-wave field produced by a single transmitter), an experimental test bed as shown in Fig. 1 is recommended:</w:t>
      </w:r>
    </w:p>
    <w:p w:rsidR="005B1F77" w:rsidRPr="005B1F77" w:rsidRDefault="000F0F80" w:rsidP="006E4630">
      <w:pPr>
        <w:pStyle w:val="enumlev1"/>
        <w:rPr>
          <w:lang w:val="en-US"/>
        </w:rPr>
      </w:pPr>
      <w:r>
        <w:rPr>
          <w:lang w:val="en-US"/>
        </w:rPr>
        <w:t>–</w:t>
      </w:r>
      <w:r w:rsidR="005B1F77" w:rsidRPr="005B1F77">
        <w:rPr>
          <w:lang w:val="en-US"/>
        </w:rPr>
        <w:tab/>
        <w:t xml:space="preserve">an un-modulated continuous wave input signal S on various measurement frequencies within the operational frequency range of the </w:t>
      </w:r>
      <w:r w:rsidR="006E4630">
        <w:rPr>
          <w:lang w:val="en-US"/>
        </w:rPr>
        <w:t xml:space="preserve">DF </w:t>
      </w:r>
      <w:r w:rsidR="005B1F77" w:rsidRPr="005B1F77">
        <w:rPr>
          <w:lang w:val="en-US"/>
        </w:rPr>
        <w:t>is generated using a signal generator;</w:t>
      </w:r>
    </w:p>
    <w:p w:rsidR="005B1F77" w:rsidRPr="005B1F77" w:rsidRDefault="000F0F80" w:rsidP="005B1F77">
      <w:pPr>
        <w:pStyle w:val="enumlev1"/>
        <w:rPr>
          <w:lang w:val="en-US"/>
        </w:rPr>
      </w:pPr>
      <w:r>
        <w:rPr>
          <w:lang w:val="en-US"/>
        </w:rPr>
        <w:t>–</w:t>
      </w:r>
      <w:r w:rsidR="005B1F77" w:rsidRPr="005B1F77">
        <w:rPr>
          <w:lang w:val="en-US"/>
        </w:rPr>
        <w:tab/>
        <w:t>the input signal S is divided into S1 and S2 signals by means of a power divider;</w:t>
      </w:r>
    </w:p>
    <w:p w:rsidR="005B1F77" w:rsidRPr="005B1F77" w:rsidRDefault="000F0F80" w:rsidP="006E4630">
      <w:pPr>
        <w:pStyle w:val="enumlev1"/>
        <w:rPr>
          <w:lang w:val="en-US"/>
        </w:rPr>
      </w:pPr>
      <w:r>
        <w:rPr>
          <w:lang w:val="en-US"/>
        </w:rPr>
        <w:t>–</w:t>
      </w:r>
      <w:r w:rsidR="005B1F77" w:rsidRPr="005B1F77">
        <w:rPr>
          <w:lang w:val="en-US"/>
        </w:rPr>
        <w:tab/>
        <w:t>the S1 signal is transmitted by transmit antenna 1</w:t>
      </w:r>
      <w:r w:rsidR="006E4630">
        <w:rPr>
          <w:lang w:val="en-US"/>
        </w:rPr>
        <w:t>;</w:t>
      </w:r>
      <w:r w:rsidR="005B1F77" w:rsidRPr="005B1F77">
        <w:rPr>
          <w:lang w:val="en-US"/>
        </w:rPr>
        <w:t xml:space="preserve"> and</w:t>
      </w:r>
    </w:p>
    <w:p w:rsidR="005B1F77" w:rsidRPr="005B1F77" w:rsidRDefault="000F0F80" w:rsidP="005B1F77">
      <w:pPr>
        <w:pStyle w:val="enumlev1"/>
        <w:rPr>
          <w:lang w:val="en-US"/>
        </w:rPr>
      </w:pPr>
      <w:r>
        <w:rPr>
          <w:lang w:val="en-US"/>
        </w:rPr>
        <w:t>–</w:t>
      </w:r>
      <w:r w:rsidR="005B1F77" w:rsidRPr="005B1F77">
        <w:rPr>
          <w:lang w:val="en-US"/>
        </w:rPr>
        <w:tab/>
        <w:t>attenuation and phase shift is added to the S2 signal before it is transmitted by transmit antenna 2 from a different angle than S1.</w:t>
      </w:r>
    </w:p>
    <w:p w:rsidR="005B1F77" w:rsidRPr="005B1F77" w:rsidRDefault="005B1F77" w:rsidP="006E4630">
      <w:pPr>
        <w:rPr>
          <w:lang w:val="en-US"/>
        </w:rPr>
      </w:pPr>
      <w:r w:rsidRPr="005B1F77">
        <w:rPr>
          <w:lang w:val="en-US"/>
        </w:rPr>
        <w:t>Both S1 and S2 signals must have a power level high enough to ensure a minimum S</w:t>
      </w:r>
      <w:r w:rsidR="006E4630">
        <w:rPr>
          <w:lang w:val="en-US"/>
        </w:rPr>
        <w:t>/</w:t>
      </w:r>
      <w:r w:rsidRPr="005B1F77">
        <w:rPr>
          <w:lang w:val="en-US"/>
        </w:rPr>
        <w:t>N of 20 dB (in order to ensure that system noise does not affect the measurement results).</w:t>
      </w:r>
    </w:p>
    <w:p w:rsidR="005B1F77" w:rsidRPr="005B1F77" w:rsidRDefault="005B1F77" w:rsidP="006E4630">
      <w:pPr>
        <w:rPr>
          <w:lang w:val="en-US"/>
        </w:rPr>
      </w:pPr>
      <w:r w:rsidRPr="005B1F77">
        <w:rPr>
          <w:lang w:val="en-US"/>
        </w:rPr>
        <w:t>Due to the fact that the DF immunity to distorted wave fronts tends to vary with frequency it is required to repeat the measurement for various measurement frequencies. The measurement frequencies are selected in line with Recommendation ITU-R SM.</w:t>
      </w:r>
      <w:r w:rsidR="006E4630">
        <w:rPr>
          <w:lang w:val="en-US"/>
        </w:rPr>
        <w:t>2060-0</w:t>
      </w:r>
      <w:r w:rsidRPr="005B1F77">
        <w:rPr>
          <w:lang w:val="en-US"/>
        </w:rPr>
        <w:t>.</w:t>
      </w:r>
    </w:p>
    <w:p w:rsidR="005B1F77" w:rsidRPr="005B1F77" w:rsidRDefault="005B1F77" w:rsidP="005B1F77">
      <w:pPr>
        <w:rPr>
          <w:lang w:val="en-US"/>
        </w:rPr>
      </w:pPr>
      <w:r w:rsidRPr="005B1F77">
        <w:rPr>
          <w:lang w:val="en-US"/>
        </w:rPr>
        <w:t>For each measurement frequency</w:t>
      </w:r>
      <w:r w:rsidR="006E4630">
        <w:rPr>
          <w:lang w:val="en-US"/>
        </w:rPr>
        <w:t>,</w:t>
      </w:r>
      <w:r w:rsidRPr="005B1F77">
        <w:rPr>
          <w:lang w:val="en-US"/>
        </w:rPr>
        <w:t xml:space="preserve"> the S2 signal from antenna A2 (the “reflected” signal) is varied in azimuth, amplitude and phase shift as follows:</w:t>
      </w:r>
    </w:p>
    <w:p w:rsidR="005B1F77" w:rsidRPr="005B1F77" w:rsidRDefault="006E4630" w:rsidP="005B1F77">
      <w:pPr>
        <w:pStyle w:val="enumlev1"/>
        <w:rPr>
          <w:lang w:val="en-US"/>
        </w:rPr>
      </w:pPr>
      <w:r>
        <w:rPr>
          <w:lang w:val="en-US"/>
        </w:rPr>
        <w:t>–</w:t>
      </w:r>
      <w:r w:rsidR="005B1F77" w:rsidRPr="005B1F77">
        <w:rPr>
          <w:lang w:val="en-US"/>
        </w:rPr>
        <w:tab/>
        <w:t xml:space="preserve">the angle of arrival difference </w:t>
      </w:r>
      <w:r w:rsidR="005B1F77">
        <w:rPr>
          <w:rFonts w:ascii="Symbol" w:hAnsi="Symbol"/>
        </w:rPr>
        <w:t></w:t>
      </w:r>
      <w:r w:rsidR="005B1F77">
        <w:rPr>
          <w:rFonts w:ascii="Symbol" w:hAnsi="Symbol"/>
        </w:rPr>
        <w:t></w:t>
      </w:r>
      <w:r w:rsidR="005B1F77" w:rsidRPr="005B1F77">
        <w:rPr>
          <w:lang w:val="en-US"/>
        </w:rPr>
        <w:t xml:space="preserve"> between the reflected wave S2 and the main wave S1 is set to 20°, 60° and 90°;</w:t>
      </w:r>
    </w:p>
    <w:p w:rsidR="005B1F77" w:rsidRPr="005B1F77" w:rsidRDefault="006E4630" w:rsidP="00811D86">
      <w:pPr>
        <w:pStyle w:val="enumlev1"/>
        <w:rPr>
          <w:lang w:val="en-US"/>
        </w:rPr>
      </w:pPr>
      <w:r>
        <w:rPr>
          <w:lang w:val="en-US"/>
        </w:rPr>
        <w:t>–</w:t>
      </w:r>
      <w:r w:rsidR="005B1F77" w:rsidRPr="005B1F77">
        <w:rPr>
          <w:lang w:val="en-US"/>
        </w:rPr>
        <w:tab/>
        <w:t xml:space="preserve">the amplitude ratio </w:t>
      </w:r>
      <w:r w:rsidR="005B1F77">
        <w:rPr>
          <w:rFonts w:ascii="Symbol" w:hAnsi="Symbol"/>
        </w:rPr>
        <w:t></w:t>
      </w:r>
      <w:r w:rsidR="005B1F77" w:rsidRPr="005B1F77">
        <w:rPr>
          <w:lang w:val="en-US"/>
        </w:rPr>
        <w:t xml:space="preserve"> of the reflected wave S2 and the main wave S1 is set so that the power level of S2 is 0.25 (</w:t>
      </w:r>
      <w:r w:rsidR="00811D86">
        <w:rPr>
          <w:lang w:val="en-US"/>
        </w:rPr>
        <w:t>−</w:t>
      </w:r>
      <w:r w:rsidR="005B1F77" w:rsidRPr="005B1F77">
        <w:rPr>
          <w:lang w:val="en-US"/>
        </w:rPr>
        <w:t xml:space="preserve">6 dB) with respect to S1 at the DF antenna. Note that </w:t>
      </w:r>
      <w:r w:rsidR="005B1F77">
        <w:rPr>
          <w:rFonts w:ascii="Symbol" w:hAnsi="Symbol"/>
        </w:rPr>
        <w:t></w:t>
      </w:r>
      <w:r w:rsidR="005B1F77">
        <w:rPr>
          <w:rFonts w:ascii="Symbol" w:hAnsi="Symbol"/>
        </w:rPr>
        <w:t></w:t>
      </w:r>
      <w:r w:rsidR="005B1F77" w:rsidRPr="005B1F77">
        <w:rPr>
          <w:lang w:val="en-US"/>
        </w:rPr>
        <w:t>takes into account all gains and losses over cables, antennas and air;</w:t>
      </w:r>
    </w:p>
    <w:p w:rsidR="005B1F77" w:rsidRPr="005B1F77" w:rsidRDefault="006E4630" w:rsidP="00811D86">
      <w:pPr>
        <w:pStyle w:val="enumlev1"/>
        <w:rPr>
          <w:lang w:val="en-US"/>
        </w:rPr>
      </w:pPr>
      <w:r>
        <w:rPr>
          <w:lang w:val="en-US"/>
        </w:rPr>
        <w:t>–</w:t>
      </w:r>
      <w:r w:rsidR="005B1F77" w:rsidRPr="005B1F77">
        <w:rPr>
          <w:lang w:val="en-US"/>
        </w:rPr>
        <w:tab/>
        <w:t xml:space="preserve">the positive time delay difference </w:t>
      </w:r>
      <w:r w:rsidR="005B1F77">
        <w:rPr>
          <w:rFonts w:ascii="Symbol" w:hAnsi="Symbol"/>
        </w:rPr>
        <w:t></w:t>
      </w:r>
      <w:r w:rsidR="005B1F77">
        <w:rPr>
          <w:rFonts w:ascii="Symbol" w:hAnsi="Symbol"/>
        </w:rPr>
        <w:t></w:t>
      </w:r>
      <w:r w:rsidR="005B1F77" w:rsidRPr="005B1F77">
        <w:rPr>
          <w:lang w:val="en-US"/>
        </w:rPr>
        <w:t xml:space="preserve"> of the reflected wave S2 is set so that a phase difference </w:t>
      </w:r>
      <w:r w:rsidR="005B1F77">
        <w:rPr>
          <w:rFonts w:ascii="Symbol" w:hAnsi="Symbol"/>
        </w:rPr>
        <w:t></w:t>
      </w:r>
      <w:r w:rsidR="005B1F77">
        <w:rPr>
          <w:rFonts w:ascii="Symbol" w:hAnsi="Symbol"/>
          <w:szCs w:val="24"/>
        </w:rPr>
        <w:sym w:font="Symbol" w:char="F06A"/>
      </w:r>
      <w:r w:rsidR="005B1F77" w:rsidRPr="005B1F77">
        <w:rPr>
          <w:lang w:val="en-US"/>
        </w:rPr>
        <w:t xml:space="preserve"> of 0°±5°, 90°±5° and 200°±5° between S1 and S2 occurs at the DF antenna. Note that </w:t>
      </w:r>
      <w:r w:rsidR="005B1F77">
        <w:rPr>
          <w:rFonts w:ascii="Symbol" w:hAnsi="Symbol"/>
        </w:rPr>
        <w:t></w:t>
      </w:r>
      <w:r w:rsidR="005B1F77">
        <w:rPr>
          <w:rFonts w:ascii="Symbol" w:hAnsi="Symbol"/>
        </w:rPr>
        <w:t></w:t>
      </w:r>
      <w:r w:rsidR="005B1F77" w:rsidRPr="005B1F77">
        <w:rPr>
          <w:lang w:val="en-US"/>
        </w:rPr>
        <w:t xml:space="preserve"> takes into account all propagation delays over cables, antennas and air. Note further that the phase shift can be applied by a variable phase shifter or a delay line, besides ±5° have been included to consider uncertainties of the setup configuration, e.g. small variations of the antenna locations during placement.</w:t>
      </w:r>
    </w:p>
    <w:p w:rsidR="005B1F77" w:rsidRPr="005B1F77" w:rsidRDefault="005B1F77" w:rsidP="00811D86">
      <w:pPr>
        <w:rPr>
          <w:lang w:val="en-US"/>
        </w:rPr>
      </w:pPr>
      <w:r w:rsidRPr="005B1F77">
        <w:rPr>
          <w:lang w:val="en-US"/>
        </w:rPr>
        <w:t>For all different settings described above</w:t>
      </w:r>
      <w:r w:rsidR="00811D86">
        <w:rPr>
          <w:lang w:val="en-US"/>
        </w:rPr>
        <w:t>,</w:t>
      </w:r>
      <w:r w:rsidRPr="005B1F77">
        <w:rPr>
          <w:lang w:val="en-US"/>
        </w:rPr>
        <w:t xml:space="preserve"> the bearing error is measured and the RMS bearing error is calculated with the formula stated in Recommendation ITU-R SM.</w:t>
      </w:r>
      <w:r w:rsidR="00811D86">
        <w:rPr>
          <w:lang w:val="en-US"/>
        </w:rPr>
        <w:t>2060-0</w:t>
      </w:r>
      <w:r w:rsidRPr="005B1F77">
        <w:rPr>
          <w:lang w:val="en-US"/>
        </w:rPr>
        <w:t xml:space="preserve">, resulting in one RMS bearing error per measurement frequency. The final result is presented as a table or chart indicating the RMS bearing error for each measurement frequency as indicated in Table 1. </w:t>
      </w:r>
    </w:p>
    <w:p w:rsidR="005B1F77" w:rsidRPr="005B1F77" w:rsidRDefault="005B1F77" w:rsidP="005B1F77">
      <w:pPr>
        <w:rPr>
          <w:lang w:val="en-US"/>
        </w:rPr>
      </w:pPr>
      <w:r w:rsidRPr="005B1F77">
        <w:rPr>
          <w:lang w:val="en-US"/>
        </w:rPr>
        <w:t>It should be noted that the recommended measurement procedure is focused on a single angle of arrival of the primary wave. However, it would be desired in specific cases that different angles of arrival of the primary wave are measured by rotating the antenna. If such specific test conditions are applied, this should be indicated in the test reports.</w:t>
      </w:r>
    </w:p>
    <w:p w:rsidR="005B1F77" w:rsidRPr="005B1F77" w:rsidRDefault="005B1F77" w:rsidP="005B1F77">
      <w:pPr>
        <w:pStyle w:val="FigureNo"/>
        <w:rPr>
          <w:lang w:val="en-US"/>
        </w:rPr>
      </w:pPr>
      <w:r w:rsidRPr="005B1F77">
        <w:rPr>
          <w:lang w:val="en-US"/>
        </w:rPr>
        <w:lastRenderedPageBreak/>
        <w:t>Figure 1</w:t>
      </w:r>
    </w:p>
    <w:p w:rsidR="005B1F77" w:rsidRPr="005B1F77" w:rsidRDefault="005B1F77" w:rsidP="005B1F77">
      <w:pPr>
        <w:pStyle w:val="Figuretitle"/>
        <w:rPr>
          <w:rFonts w:ascii="Times New Roman" w:hAnsi="Times New Roman"/>
          <w:lang w:val="en-US"/>
        </w:rPr>
      </w:pPr>
      <w:r w:rsidRPr="005B1F77">
        <w:rPr>
          <w:rFonts w:ascii="Times New Roman" w:hAnsi="Times New Roman"/>
          <w:lang w:val="en-US"/>
        </w:rPr>
        <w:t>Measurement setup for determining the direction finder immunity to distorted wave fronts</w:t>
      </w:r>
    </w:p>
    <w:p w:rsidR="005B1F77" w:rsidRDefault="00504B0E" w:rsidP="00D62B44">
      <w:pPr>
        <w:pStyle w:val="Figure"/>
      </w:pPr>
      <w:r>
        <w:object w:dxaOrig="3706" w:dyaOrig="3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95pt;height:271.85pt;mso-position-horizontal:absolute" o:ole="">
            <v:imagedata r:id="rId13" o:title=""/>
          </v:shape>
          <o:OLEObject Type="Embed" ProgID="CorelDRAW.Graphic.14" ShapeID="_x0000_i1025" DrawAspect="Content" ObjectID="_1500993099" r:id="rId14"/>
        </w:object>
      </w:r>
    </w:p>
    <w:p w:rsidR="005B1F77" w:rsidRPr="005B1F77" w:rsidRDefault="005B1F77" w:rsidP="00504B0E">
      <w:pPr>
        <w:pStyle w:val="TableNo"/>
        <w:rPr>
          <w:rFonts w:eastAsia="MS Mincho"/>
          <w:lang w:val="en-US"/>
        </w:rPr>
      </w:pPr>
      <w:r w:rsidRPr="005B1F77">
        <w:rPr>
          <w:rFonts w:eastAsia="MS Mincho"/>
          <w:lang w:val="en-US"/>
        </w:rPr>
        <w:t>TABLE 1</w:t>
      </w:r>
    </w:p>
    <w:p w:rsidR="005B1F77" w:rsidRPr="005B1F77" w:rsidRDefault="005B1F77" w:rsidP="005B1F77">
      <w:pPr>
        <w:pStyle w:val="Tabletitle"/>
        <w:rPr>
          <w:lang w:val="en-US"/>
        </w:rPr>
      </w:pPr>
      <w:r w:rsidRPr="005B1F77">
        <w:rPr>
          <w:rFonts w:eastAsia="MS Mincho"/>
          <w:lang w:val="en-US"/>
        </w:rPr>
        <w:t>Sample test data table</w:t>
      </w:r>
    </w:p>
    <w:p w:rsidR="005B1F77" w:rsidRPr="005B1F77" w:rsidRDefault="005B1F77" w:rsidP="005B1F77">
      <w:pPr>
        <w:keepNext/>
        <w:keepLines/>
        <w:spacing w:before="0"/>
        <w:jc w:val="center"/>
        <w:rPr>
          <w:sz w:val="16"/>
          <w:szCs w:val="16"/>
          <w:lang w:val="en-US"/>
        </w:rPr>
      </w:pPr>
    </w:p>
    <w:p w:rsidR="005B1F77" w:rsidRPr="005B1F77" w:rsidRDefault="005B1F77" w:rsidP="00D62B4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r w:rsidRPr="005B1F77">
        <w:rPr>
          <w:sz w:val="20"/>
          <w:lang w:val="en-US"/>
        </w:rPr>
        <w:t xml:space="preserve">[Signal </w:t>
      </w:r>
      <w:proofErr w:type="spellStart"/>
      <w:r w:rsidRPr="005B1F77">
        <w:rPr>
          <w:sz w:val="20"/>
          <w:lang w:val="en-US"/>
        </w:rPr>
        <w:t>modulation:_____________Signal</w:t>
      </w:r>
      <w:proofErr w:type="spellEnd"/>
      <w:r w:rsidRPr="005B1F77">
        <w:rPr>
          <w:sz w:val="20"/>
          <w:lang w:val="en-US"/>
        </w:rPr>
        <w:t xml:space="preserve"> polarization: _______  S2 relative power level at the DF antenna: __ </w:t>
      </w:r>
      <w:r w:rsidR="00D62B44">
        <w:rPr>
          <w:sz w:val="20"/>
          <w:lang w:val="en-US"/>
        </w:rPr>
        <w:t>(</w:t>
      </w:r>
      <w:r w:rsidRPr="005B1F77">
        <w:rPr>
          <w:sz w:val="20"/>
          <w:lang w:val="en-US"/>
        </w:rPr>
        <w:t>dB</w:t>
      </w:r>
      <w:r w:rsidR="00D62B44">
        <w:rPr>
          <w:sz w:val="20"/>
          <w:lang w:val="en-US"/>
        </w:rPr>
        <w:t>)</w:t>
      </w:r>
    </w:p>
    <w:p w:rsidR="005B1F77" w:rsidRPr="005B1F77" w:rsidRDefault="005B1F77" w:rsidP="005B1F77">
      <w:pPr>
        <w:spacing w:before="0"/>
        <w:rPr>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2"/>
        <w:gridCol w:w="635"/>
        <w:gridCol w:w="635"/>
        <w:gridCol w:w="757"/>
        <w:gridCol w:w="757"/>
        <w:gridCol w:w="756"/>
        <w:gridCol w:w="756"/>
        <w:gridCol w:w="756"/>
        <w:gridCol w:w="756"/>
        <w:gridCol w:w="337"/>
        <w:gridCol w:w="756"/>
        <w:gridCol w:w="756"/>
      </w:tblGrid>
      <w:tr w:rsidR="005B1F77" w:rsidRPr="00875B7B" w:rsidTr="00AE159E">
        <w:trPr>
          <w:trHeight w:val="315"/>
        </w:trPr>
        <w:tc>
          <w:tcPr>
            <w:tcW w:w="851" w:type="dxa"/>
            <w:noWrap/>
          </w:tcPr>
          <w:p w:rsidR="005B1F77" w:rsidRPr="005B1F77" w:rsidRDefault="005B1F77" w:rsidP="0013549F">
            <w:pPr>
              <w:pStyle w:val="Tablehead"/>
              <w:rPr>
                <w:rFonts w:eastAsia="Arial Unicode MS"/>
                <w:lang w:val="en-US"/>
              </w:rPr>
            </w:pPr>
          </w:p>
        </w:tc>
        <w:tc>
          <w:tcPr>
            <w:tcW w:w="1134" w:type="dxa"/>
          </w:tcPr>
          <w:p w:rsidR="005B1F77" w:rsidRPr="00875B7B" w:rsidRDefault="005B1F77" w:rsidP="0013549F">
            <w:pPr>
              <w:pStyle w:val="Tablehead"/>
              <w:rPr>
                <w:rFonts w:eastAsia="Arial Unicode MS"/>
              </w:rPr>
            </w:pPr>
            <w:proofErr w:type="spellStart"/>
            <w:r w:rsidRPr="00875B7B">
              <w:t>True</w:t>
            </w:r>
            <w:proofErr w:type="spellEnd"/>
          </w:p>
        </w:tc>
        <w:tc>
          <w:tcPr>
            <w:tcW w:w="636" w:type="dxa"/>
          </w:tcPr>
          <w:p w:rsidR="005B1F77" w:rsidRPr="00875B7B" w:rsidRDefault="005B1F77" w:rsidP="0013549F">
            <w:pPr>
              <w:pStyle w:val="Tablehead"/>
              <w:rPr>
                <w:rFonts w:ascii="Symbol" w:hAnsi="Symbol"/>
              </w:rPr>
            </w:pPr>
            <w:r w:rsidRPr="00875B7B">
              <w:rPr>
                <w:rFonts w:ascii="Symbol" w:hAnsi="Symbol"/>
              </w:rPr>
              <w:t></w:t>
            </w:r>
            <w:r w:rsidRPr="00875B7B">
              <w:rPr>
                <w:rFonts w:ascii="Symbol" w:hAnsi="Symbol"/>
              </w:rPr>
              <w:t></w:t>
            </w:r>
          </w:p>
        </w:tc>
        <w:tc>
          <w:tcPr>
            <w:tcW w:w="636" w:type="dxa"/>
          </w:tcPr>
          <w:p w:rsidR="005B1F77" w:rsidRPr="00875B7B" w:rsidRDefault="005B1F77" w:rsidP="0013549F">
            <w:pPr>
              <w:pStyle w:val="Tablehead"/>
            </w:pPr>
            <w:r w:rsidRPr="00875B7B">
              <w:rPr>
                <w:rFonts w:ascii="Symbol" w:hAnsi="Symbol"/>
              </w:rPr>
              <w:t></w:t>
            </w:r>
            <w:r w:rsidRPr="00875B7B">
              <w:rPr>
                <w:rFonts w:ascii="Symbol" w:hAnsi="Symbol"/>
                <w:szCs w:val="24"/>
              </w:rPr>
              <w:sym w:font="Symbol" w:char="F06A"/>
            </w:r>
          </w:p>
        </w:tc>
        <w:tc>
          <w:tcPr>
            <w:tcW w:w="1518" w:type="dxa"/>
            <w:gridSpan w:val="2"/>
            <w:noWrap/>
          </w:tcPr>
          <w:p w:rsidR="005B1F77" w:rsidRPr="00875B7B" w:rsidRDefault="005B1F77" w:rsidP="0013549F">
            <w:pPr>
              <w:pStyle w:val="Tablehead"/>
              <w:rPr>
                <w:rFonts w:eastAsia="Arial Unicode MS"/>
              </w:rPr>
            </w:pPr>
            <w:proofErr w:type="spellStart"/>
            <w:r w:rsidRPr="00875B7B">
              <w:t>Frequency</w:t>
            </w:r>
            <w:proofErr w:type="spellEnd"/>
            <w:r w:rsidRPr="00875B7B">
              <w:t xml:space="preserve"> 1</w:t>
            </w:r>
          </w:p>
        </w:tc>
        <w:tc>
          <w:tcPr>
            <w:tcW w:w="1516" w:type="dxa"/>
            <w:gridSpan w:val="2"/>
            <w:noWrap/>
          </w:tcPr>
          <w:p w:rsidR="005B1F77" w:rsidRPr="00875B7B" w:rsidRDefault="005B1F77" w:rsidP="0013549F">
            <w:pPr>
              <w:pStyle w:val="Tablehead"/>
              <w:rPr>
                <w:rFonts w:eastAsia="Arial Unicode MS"/>
              </w:rPr>
            </w:pPr>
            <w:proofErr w:type="spellStart"/>
            <w:r w:rsidRPr="00875B7B">
              <w:t>Frequency</w:t>
            </w:r>
            <w:proofErr w:type="spellEnd"/>
            <w:r w:rsidRPr="00875B7B">
              <w:t xml:space="preserve"> 2</w:t>
            </w:r>
          </w:p>
        </w:tc>
        <w:tc>
          <w:tcPr>
            <w:tcW w:w="1516" w:type="dxa"/>
            <w:gridSpan w:val="2"/>
            <w:noWrap/>
          </w:tcPr>
          <w:p w:rsidR="005B1F77" w:rsidRPr="00875B7B" w:rsidRDefault="005B1F77" w:rsidP="0013549F">
            <w:pPr>
              <w:pStyle w:val="Tablehead"/>
              <w:rPr>
                <w:rFonts w:eastAsia="Arial Unicode MS"/>
              </w:rPr>
            </w:pPr>
            <w:proofErr w:type="spellStart"/>
            <w:r w:rsidRPr="00875B7B">
              <w:t>Frequency</w:t>
            </w:r>
            <w:proofErr w:type="spellEnd"/>
            <w:r w:rsidRPr="00875B7B">
              <w:t xml:space="preserve"> 3</w:t>
            </w:r>
          </w:p>
        </w:tc>
        <w:tc>
          <w:tcPr>
            <w:tcW w:w="337" w:type="dxa"/>
            <w:noWrap/>
          </w:tcPr>
          <w:p w:rsidR="005B1F77" w:rsidRPr="00875B7B" w:rsidRDefault="005B1F77" w:rsidP="0013549F">
            <w:pPr>
              <w:pStyle w:val="Tablehead"/>
              <w:rPr>
                <w:rFonts w:eastAsia="Arial Unicode MS"/>
              </w:rPr>
            </w:pPr>
          </w:p>
        </w:tc>
        <w:tc>
          <w:tcPr>
            <w:tcW w:w="1516" w:type="dxa"/>
            <w:gridSpan w:val="2"/>
            <w:noWrap/>
          </w:tcPr>
          <w:p w:rsidR="005B1F77" w:rsidRPr="00875B7B" w:rsidRDefault="005B1F77" w:rsidP="0013549F">
            <w:pPr>
              <w:pStyle w:val="Tablehead"/>
              <w:rPr>
                <w:rFonts w:eastAsia="Arial Unicode MS"/>
              </w:rPr>
            </w:pPr>
            <w:proofErr w:type="spellStart"/>
            <w:r w:rsidRPr="00875B7B">
              <w:t>Frequency</w:t>
            </w:r>
            <w:proofErr w:type="spellEnd"/>
            <w:r w:rsidRPr="00875B7B">
              <w:t xml:space="preserve"> </w:t>
            </w:r>
            <w:r w:rsidRPr="00AE159E">
              <w:rPr>
                <w:i/>
                <w:iCs/>
              </w:rPr>
              <w:t>M</w:t>
            </w:r>
          </w:p>
        </w:tc>
      </w:tr>
      <w:tr w:rsidR="005B1F77" w:rsidRPr="00875B7B" w:rsidTr="00AE159E">
        <w:trPr>
          <w:trHeight w:val="315"/>
        </w:trPr>
        <w:tc>
          <w:tcPr>
            <w:tcW w:w="851" w:type="dxa"/>
            <w:noWrap/>
          </w:tcPr>
          <w:p w:rsidR="005B1F77" w:rsidRPr="00875B7B" w:rsidRDefault="005B1F77" w:rsidP="0013549F">
            <w:pPr>
              <w:pStyle w:val="Tablehead"/>
              <w:rPr>
                <w:rFonts w:eastAsia="Arial Unicode MS"/>
              </w:rPr>
            </w:pPr>
            <w:r w:rsidRPr="00875B7B">
              <w:t>Index</w:t>
            </w:r>
          </w:p>
        </w:tc>
        <w:tc>
          <w:tcPr>
            <w:tcW w:w="1134" w:type="dxa"/>
          </w:tcPr>
          <w:p w:rsidR="005B1F77" w:rsidRPr="00875B7B" w:rsidRDefault="005B1F77" w:rsidP="0013549F">
            <w:pPr>
              <w:pStyle w:val="Tablehead"/>
              <w:rPr>
                <w:rFonts w:eastAsia="Arial Unicode MS"/>
              </w:rPr>
            </w:pPr>
            <w:proofErr w:type="spellStart"/>
            <w:r w:rsidRPr="00875B7B">
              <w:t>Azimuth</w:t>
            </w:r>
            <w:proofErr w:type="spellEnd"/>
          </w:p>
        </w:tc>
        <w:tc>
          <w:tcPr>
            <w:tcW w:w="636" w:type="dxa"/>
          </w:tcPr>
          <w:p w:rsidR="005B1F77" w:rsidRPr="00875B7B" w:rsidRDefault="005B1F77" w:rsidP="0013549F">
            <w:pPr>
              <w:pStyle w:val="Tablehead"/>
            </w:pPr>
          </w:p>
        </w:tc>
        <w:tc>
          <w:tcPr>
            <w:tcW w:w="636" w:type="dxa"/>
          </w:tcPr>
          <w:p w:rsidR="005B1F77" w:rsidRPr="00875B7B" w:rsidRDefault="005B1F77" w:rsidP="0013549F">
            <w:pPr>
              <w:pStyle w:val="Tablehead"/>
            </w:pPr>
          </w:p>
        </w:tc>
        <w:tc>
          <w:tcPr>
            <w:tcW w:w="759" w:type="dxa"/>
          </w:tcPr>
          <w:p w:rsidR="005B1F77" w:rsidRPr="00875B7B" w:rsidRDefault="005B1F77" w:rsidP="0013549F">
            <w:pPr>
              <w:pStyle w:val="Tablehead"/>
              <w:rPr>
                <w:rFonts w:eastAsia="Arial Unicode MS"/>
              </w:rPr>
            </w:pPr>
            <w:r w:rsidRPr="00875B7B">
              <w:t>DF</w:t>
            </w:r>
          </w:p>
        </w:tc>
        <w:tc>
          <w:tcPr>
            <w:tcW w:w="759" w:type="dxa"/>
          </w:tcPr>
          <w:p w:rsidR="005B1F77" w:rsidRPr="00875B7B" w:rsidRDefault="005B1F77" w:rsidP="0013549F">
            <w:pPr>
              <w:pStyle w:val="Tablehead"/>
              <w:rPr>
                <w:rFonts w:eastAsia="Arial Unicode MS"/>
              </w:rPr>
            </w:pPr>
            <w:r w:rsidRPr="00875B7B">
              <w:sym w:font="Symbol" w:char="F044"/>
            </w:r>
          </w:p>
        </w:tc>
        <w:tc>
          <w:tcPr>
            <w:tcW w:w="758" w:type="dxa"/>
          </w:tcPr>
          <w:p w:rsidR="005B1F77" w:rsidRPr="00875B7B" w:rsidRDefault="005B1F77" w:rsidP="0013549F">
            <w:pPr>
              <w:pStyle w:val="Tablehead"/>
              <w:rPr>
                <w:rFonts w:eastAsia="Arial Unicode MS"/>
              </w:rPr>
            </w:pPr>
            <w:r w:rsidRPr="00875B7B">
              <w:t>DF</w:t>
            </w:r>
          </w:p>
        </w:tc>
        <w:tc>
          <w:tcPr>
            <w:tcW w:w="758" w:type="dxa"/>
          </w:tcPr>
          <w:p w:rsidR="005B1F77" w:rsidRPr="00875B7B" w:rsidRDefault="005B1F77" w:rsidP="0013549F">
            <w:pPr>
              <w:pStyle w:val="Tablehead"/>
              <w:rPr>
                <w:rFonts w:eastAsia="Arial Unicode MS"/>
              </w:rPr>
            </w:pPr>
            <w:r w:rsidRPr="00875B7B">
              <w:sym w:font="Symbol" w:char="F044"/>
            </w:r>
          </w:p>
        </w:tc>
        <w:tc>
          <w:tcPr>
            <w:tcW w:w="758" w:type="dxa"/>
          </w:tcPr>
          <w:p w:rsidR="005B1F77" w:rsidRPr="00875B7B" w:rsidRDefault="005B1F77" w:rsidP="0013549F">
            <w:pPr>
              <w:pStyle w:val="Tablehead"/>
              <w:rPr>
                <w:rFonts w:eastAsia="Arial Unicode MS"/>
              </w:rPr>
            </w:pPr>
            <w:r w:rsidRPr="00875B7B">
              <w:t>DF</w:t>
            </w:r>
          </w:p>
        </w:tc>
        <w:tc>
          <w:tcPr>
            <w:tcW w:w="758" w:type="dxa"/>
          </w:tcPr>
          <w:p w:rsidR="005B1F77" w:rsidRPr="00875B7B" w:rsidRDefault="005B1F77" w:rsidP="0013549F">
            <w:pPr>
              <w:pStyle w:val="Tablehead"/>
              <w:rPr>
                <w:rFonts w:eastAsia="Arial Unicode MS"/>
              </w:rPr>
            </w:pPr>
            <w:r w:rsidRPr="00875B7B">
              <w:sym w:font="Symbol" w:char="F044"/>
            </w:r>
          </w:p>
        </w:tc>
        <w:tc>
          <w:tcPr>
            <w:tcW w:w="337" w:type="dxa"/>
          </w:tcPr>
          <w:p w:rsidR="005B1F77" w:rsidRPr="00875B7B" w:rsidRDefault="005B1F77" w:rsidP="0013549F">
            <w:pPr>
              <w:pStyle w:val="Tablehead"/>
              <w:rPr>
                <w:rFonts w:eastAsia="Arial Unicode MS"/>
              </w:rPr>
            </w:pPr>
          </w:p>
        </w:tc>
        <w:tc>
          <w:tcPr>
            <w:tcW w:w="758" w:type="dxa"/>
          </w:tcPr>
          <w:p w:rsidR="005B1F77" w:rsidRPr="00875B7B" w:rsidRDefault="005B1F77" w:rsidP="0013549F">
            <w:pPr>
              <w:pStyle w:val="Tablehead"/>
              <w:rPr>
                <w:rFonts w:eastAsia="Arial Unicode MS"/>
              </w:rPr>
            </w:pPr>
            <w:r w:rsidRPr="00875B7B">
              <w:t>DF</w:t>
            </w:r>
          </w:p>
        </w:tc>
        <w:tc>
          <w:tcPr>
            <w:tcW w:w="758" w:type="dxa"/>
          </w:tcPr>
          <w:p w:rsidR="005B1F77" w:rsidRPr="00875B7B" w:rsidRDefault="005B1F77" w:rsidP="0013549F">
            <w:pPr>
              <w:pStyle w:val="Tablehead"/>
              <w:rPr>
                <w:rFonts w:eastAsia="Arial Unicode MS"/>
              </w:rPr>
            </w:pPr>
            <w:r w:rsidRPr="00875B7B">
              <w:sym w:font="Symbol" w:char="F044"/>
            </w: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r w:rsidRPr="00875B7B">
              <w:t>1</w:t>
            </w:r>
          </w:p>
        </w:tc>
        <w:tc>
          <w:tcPr>
            <w:tcW w:w="1134" w:type="dxa"/>
            <w:vMerge w:val="restart"/>
            <w:noWrap/>
          </w:tcPr>
          <w:p w:rsidR="005B1F77" w:rsidRPr="00875B7B" w:rsidRDefault="005B1F77" w:rsidP="0013549F">
            <w:pPr>
              <w:pStyle w:val="Tabletext"/>
              <w:jc w:val="center"/>
              <w:rPr>
                <w:rFonts w:eastAsia="Arial Unicode MS"/>
              </w:rPr>
            </w:pPr>
            <w:r w:rsidRPr="00875B7B">
              <w:t>0°</w:t>
            </w:r>
          </w:p>
          <w:p w:rsidR="005B1F77" w:rsidRPr="00875B7B" w:rsidRDefault="005B1F77" w:rsidP="0013549F">
            <w:pPr>
              <w:pStyle w:val="Tabletext"/>
              <w:jc w:val="center"/>
              <w:rPr>
                <w:rFonts w:eastAsia="Arial Unicode MS"/>
              </w:rPr>
            </w:pPr>
          </w:p>
          <w:p w:rsidR="005B1F77" w:rsidRPr="00875B7B" w:rsidRDefault="005B1F77" w:rsidP="0013549F">
            <w:pPr>
              <w:pStyle w:val="Tabletext"/>
              <w:jc w:val="center"/>
              <w:rPr>
                <w:rFonts w:eastAsia="Arial Unicode MS"/>
              </w:rPr>
            </w:pPr>
          </w:p>
        </w:tc>
        <w:tc>
          <w:tcPr>
            <w:tcW w:w="636" w:type="dxa"/>
            <w:vMerge w:val="restart"/>
          </w:tcPr>
          <w:p w:rsidR="005B1F77" w:rsidRPr="00875B7B" w:rsidRDefault="005B1F77" w:rsidP="0013549F">
            <w:pPr>
              <w:pStyle w:val="Tabletext"/>
              <w:jc w:val="center"/>
              <w:rPr>
                <w:rFonts w:eastAsia="Arial Unicode MS"/>
              </w:rPr>
            </w:pPr>
            <w:r w:rsidRPr="00875B7B">
              <w:rPr>
                <w:rFonts w:eastAsia="Arial Unicode MS"/>
              </w:rPr>
              <w:t>20°</w:t>
            </w:r>
          </w:p>
        </w:tc>
        <w:tc>
          <w:tcPr>
            <w:tcW w:w="636" w:type="dxa"/>
          </w:tcPr>
          <w:p w:rsidR="005B1F77" w:rsidRPr="00875B7B" w:rsidRDefault="005B1F77" w:rsidP="0013549F">
            <w:pPr>
              <w:pStyle w:val="Tabletext"/>
              <w:jc w:val="center"/>
              <w:rPr>
                <w:rFonts w:eastAsia="Arial Unicode MS"/>
              </w:rPr>
            </w:pPr>
            <w:r w:rsidRPr="00875B7B">
              <w:rPr>
                <w:rFonts w:eastAsia="Arial Unicode MS"/>
              </w:rPr>
              <w:t>0°</w:t>
            </w:r>
          </w:p>
        </w:tc>
        <w:tc>
          <w:tcPr>
            <w:tcW w:w="759" w:type="dxa"/>
            <w:noWrap/>
          </w:tcPr>
          <w:p w:rsidR="005B1F77" w:rsidRPr="00875B7B" w:rsidRDefault="005B1F77" w:rsidP="0013549F">
            <w:pPr>
              <w:pStyle w:val="Tabletext"/>
              <w:jc w:val="center"/>
              <w:rPr>
                <w:rFonts w:eastAsia="Arial Unicode MS"/>
              </w:rPr>
            </w:pPr>
          </w:p>
        </w:tc>
        <w:tc>
          <w:tcPr>
            <w:tcW w:w="759"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r w:rsidRPr="00875B7B">
              <w:t>2</w:t>
            </w:r>
          </w:p>
        </w:tc>
        <w:tc>
          <w:tcPr>
            <w:tcW w:w="1134" w:type="dxa"/>
            <w:vMerge/>
            <w:noWrap/>
          </w:tcPr>
          <w:p w:rsidR="005B1F77" w:rsidRPr="00875B7B" w:rsidRDefault="005B1F77" w:rsidP="0013549F">
            <w:pPr>
              <w:pStyle w:val="Tabletext"/>
              <w:jc w:val="center"/>
              <w:rPr>
                <w:rFonts w:eastAsia="Arial Unicode MS"/>
              </w:rPr>
            </w:pPr>
          </w:p>
        </w:tc>
        <w:tc>
          <w:tcPr>
            <w:tcW w:w="636" w:type="dxa"/>
            <w:vMerge/>
          </w:tcPr>
          <w:p w:rsidR="005B1F77" w:rsidRPr="00875B7B" w:rsidRDefault="005B1F77" w:rsidP="0013549F">
            <w:pPr>
              <w:pStyle w:val="Tabletext"/>
              <w:jc w:val="center"/>
              <w:rPr>
                <w:rFonts w:eastAsia="Arial Unicode MS"/>
              </w:rPr>
            </w:pPr>
          </w:p>
        </w:tc>
        <w:tc>
          <w:tcPr>
            <w:tcW w:w="636" w:type="dxa"/>
          </w:tcPr>
          <w:p w:rsidR="005B1F77" w:rsidRPr="00875B7B" w:rsidRDefault="005B1F77" w:rsidP="0013549F">
            <w:pPr>
              <w:pStyle w:val="Tabletext"/>
              <w:jc w:val="center"/>
              <w:rPr>
                <w:rFonts w:eastAsia="Arial Unicode MS"/>
              </w:rPr>
            </w:pPr>
            <w:r w:rsidRPr="00875B7B">
              <w:rPr>
                <w:rFonts w:eastAsia="Arial Unicode MS"/>
              </w:rPr>
              <w:t>90°</w:t>
            </w:r>
          </w:p>
        </w:tc>
        <w:tc>
          <w:tcPr>
            <w:tcW w:w="759" w:type="dxa"/>
            <w:noWrap/>
          </w:tcPr>
          <w:p w:rsidR="005B1F77" w:rsidRPr="00875B7B" w:rsidRDefault="005B1F77" w:rsidP="0013549F">
            <w:pPr>
              <w:pStyle w:val="Tabletext"/>
              <w:jc w:val="center"/>
              <w:rPr>
                <w:rFonts w:eastAsia="Arial Unicode MS"/>
              </w:rPr>
            </w:pPr>
          </w:p>
        </w:tc>
        <w:tc>
          <w:tcPr>
            <w:tcW w:w="759"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r w:rsidRPr="00875B7B">
              <w:t>3</w:t>
            </w:r>
          </w:p>
        </w:tc>
        <w:tc>
          <w:tcPr>
            <w:tcW w:w="1134" w:type="dxa"/>
            <w:vMerge/>
            <w:noWrap/>
          </w:tcPr>
          <w:p w:rsidR="005B1F77" w:rsidRPr="00875B7B" w:rsidRDefault="005B1F77" w:rsidP="0013549F">
            <w:pPr>
              <w:pStyle w:val="Tabletext"/>
              <w:jc w:val="center"/>
              <w:rPr>
                <w:rFonts w:eastAsia="Arial Unicode MS"/>
              </w:rPr>
            </w:pPr>
          </w:p>
        </w:tc>
        <w:tc>
          <w:tcPr>
            <w:tcW w:w="636" w:type="dxa"/>
            <w:vMerge/>
          </w:tcPr>
          <w:p w:rsidR="005B1F77" w:rsidRPr="00875B7B" w:rsidRDefault="005B1F77" w:rsidP="0013549F">
            <w:pPr>
              <w:pStyle w:val="Tabletext"/>
              <w:jc w:val="center"/>
              <w:rPr>
                <w:rFonts w:eastAsia="Arial Unicode MS"/>
              </w:rPr>
            </w:pPr>
          </w:p>
        </w:tc>
        <w:tc>
          <w:tcPr>
            <w:tcW w:w="636" w:type="dxa"/>
          </w:tcPr>
          <w:p w:rsidR="005B1F77" w:rsidRPr="00875B7B" w:rsidRDefault="005B1F77" w:rsidP="0013549F">
            <w:pPr>
              <w:pStyle w:val="Tabletext"/>
              <w:jc w:val="center"/>
              <w:rPr>
                <w:rFonts w:eastAsia="Arial Unicode MS"/>
              </w:rPr>
            </w:pPr>
            <w:r w:rsidRPr="00875B7B">
              <w:rPr>
                <w:rFonts w:eastAsia="Arial Unicode MS"/>
              </w:rPr>
              <w:t>200°</w:t>
            </w:r>
          </w:p>
        </w:tc>
        <w:tc>
          <w:tcPr>
            <w:tcW w:w="759" w:type="dxa"/>
            <w:noWrap/>
          </w:tcPr>
          <w:p w:rsidR="005B1F77" w:rsidRPr="00875B7B" w:rsidRDefault="005B1F77" w:rsidP="0013549F">
            <w:pPr>
              <w:pStyle w:val="Tabletext"/>
              <w:jc w:val="center"/>
              <w:rPr>
                <w:rFonts w:eastAsia="Arial Unicode MS"/>
              </w:rPr>
            </w:pPr>
          </w:p>
        </w:tc>
        <w:tc>
          <w:tcPr>
            <w:tcW w:w="759"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p>
        </w:tc>
        <w:tc>
          <w:tcPr>
            <w:tcW w:w="1134" w:type="dxa"/>
            <w:vMerge/>
            <w:noWrap/>
          </w:tcPr>
          <w:p w:rsidR="005B1F77" w:rsidRPr="00875B7B" w:rsidRDefault="005B1F77" w:rsidP="0013549F">
            <w:pPr>
              <w:pStyle w:val="Tabletext"/>
              <w:jc w:val="center"/>
              <w:rPr>
                <w:rFonts w:eastAsia="Arial Unicode MS"/>
              </w:rPr>
            </w:pPr>
          </w:p>
        </w:tc>
        <w:tc>
          <w:tcPr>
            <w:tcW w:w="636" w:type="dxa"/>
            <w:vMerge w:val="restart"/>
          </w:tcPr>
          <w:p w:rsidR="005B1F77" w:rsidRPr="00875B7B" w:rsidRDefault="005B1F77" w:rsidP="0013549F">
            <w:pPr>
              <w:pStyle w:val="Tabletext"/>
              <w:jc w:val="center"/>
              <w:rPr>
                <w:rFonts w:eastAsia="Arial Unicode MS"/>
              </w:rPr>
            </w:pPr>
            <w:r w:rsidRPr="00875B7B">
              <w:rPr>
                <w:rFonts w:eastAsia="Arial Unicode MS"/>
              </w:rPr>
              <w:t>60°</w:t>
            </w:r>
          </w:p>
        </w:tc>
        <w:tc>
          <w:tcPr>
            <w:tcW w:w="636" w:type="dxa"/>
          </w:tcPr>
          <w:p w:rsidR="005B1F77" w:rsidRPr="00875B7B" w:rsidRDefault="005B1F77" w:rsidP="0013549F">
            <w:pPr>
              <w:pStyle w:val="Tabletext"/>
              <w:jc w:val="center"/>
              <w:rPr>
                <w:rFonts w:eastAsia="Arial Unicode MS"/>
              </w:rPr>
            </w:pPr>
            <w:r w:rsidRPr="00875B7B">
              <w:rPr>
                <w:rFonts w:eastAsia="Arial Unicode MS"/>
              </w:rPr>
              <w:t>0°</w:t>
            </w:r>
          </w:p>
        </w:tc>
        <w:tc>
          <w:tcPr>
            <w:tcW w:w="759" w:type="dxa"/>
            <w:noWrap/>
          </w:tcPr>
          <w:p w:rsidR="005B1F77" w:rsidRPr="00875B7B" w:rsidRDefault="005B1F77" w:rsidP="0013549F">
            <w:pPr>
              <w:pStyle w:val="Tabletext"/>
              <w:jc w:val="center"/>
              <w:rPr>
                <w:rFonts w:eastAsia="Arial Unicode MS"/>
              </w:rPr>
            </w:pPr>
          </w:p>
        </w:tc>
        <w:tc>
          <w:tcPr>
            <w:tcW w:w="759"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p>
        </w:tc>
        <w:tc>
          <w:tcPr>
            <w:tcW w:w="1134" w:type="dxa"/>
            <w:vMerge/>
            <w:noWrap/>
          </w:tcPr>
          <w:p w:rsidR="005B1F77" w:rsidRPr="00875B7B" w:rsidRDefault="005B1F77" w:rsidP="0013549F">
            <w:pPr>
              <w:pStyle w:val="Tabletext"/>
              <w:jc w:val="center"/>
              <w:rPr>
                <w:rFonts w:eastAsia="Arial Unicode MS"/>
              </w:rPr>
            </w:pPr>
          </w:p>
        </w:tc>
        <w:tc>
          <w:tcPr>
            <w:tcW w:w="636" w:type="dxa"/>
            <w:vMerge/>
          </w:tcPr>
          <w:p w:rsidR="005B1F77" w:rsidRPr="00875B7B" w:rsidRDefault="005B1F77" w:rsidP="0013549F">
            <w:pPr>
              <w:pStyle w:val="Tabletext"/>
              <w:jc w:val="center"/>
              <w:rPr>
                <w:rFonts w:eastAsia="Arial Unicode MS"/>
              </w:rPr>
            </w:pPr>
          </w:p>
        </w:tc>
        <w:tc>
          <w:tcPr>
            <w:tcW w:w="636" w:type="dxa"/>
          </w:tcPr>
          <w:p w:rsidR="005B1F77" w:rsidRPr="00875B7B" w:rsidRDefault="005B1F77" w:rsidP="0013549F">
            <w:pPr>
              <w:pStyle w:val="Tabletext"/>
              <w:jc w:val="center"/>
              <w:rPr>
                <w:rFonts w:eastAsia="Arial Unicode MS"/>
              </w:rPr>
            </w:pPr>
            <w:r w:rsidRPr="00875B7B">
              <w:rPr>
                <w:rFonts w:eastAsia="Arial Unicode MS"/>
              </w:rPr>
              <w:t>90°</w:t>
            </w:r>
          </w:p>
        </w:tc>
        <w:tc>
          <w:tcPr>
            <w:tcW w:w="759" w:type="dxa"/>
            <w:noWrap/>
          </w:tcPr>
          <w:p w:rsidR="005B1F77" w:rsidRPr="00875B7B" w:rsidRDefault="005B1F77" w:rsidP="0013549F">
            <w:pPr>
              <w:pStyle w:val="Tabletext"/>
              <w:jc w:val="center"/>
              <w:rPr>
                <w:rFonts w:eastAsia="Arial Unicode MS"/>
              </w:rPr>
            </w:pPr>
          </w:p>
        </w:tc>
        <w:tc>
          <w:tcPr>
            <w:tcW w:w="759"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p>
        </w:tc>
        <w:tc>
          <w:tcPr>
            <w:tcW w:w="1134" w:type="dxa"/>
            <w:vMerge/>
            <w:noWrap/>
          </w:tcPr>
          <w:p w:rsidR="005B1F77" w:rsidRPr="00875B7B" w:rsidRDefault="005B1F77" w:rsidP="0013549F">
            <w:pPr>
              <w:pStyle w:val="Tabletext"/>
              <w:jc w:val="center"/>
              <w:rPr>
                <w:rFonts w:eastAsia="Arial Unicode MS"/>
              </w:rPr>
            </w:pPr>
          </w:p>
        </w:tc>
        <w:tc>
          <w:tcPr>
            <w:tcW w:w="636" w:type="dxa"/>
            <w:vMerge/>
          </w:tcPr>
          <w:p w:rsidR="005B1F77" w:rsidRPr="00875B7B" w:rsidRDefault="005B1F77" w:rsidP="0013549F">
            <w:pPr>
              <w:pStyle w:val="Tabletext"/>
              <w:jc w:val="center"/>
              <w:rPr>
                <w:rFonts w:eastAsia="Arial Unicode MS"/>
              </w:rPr>
            </w:pPr>
          </w:p>
        </w:tc>
        <w:tc>
          <w:tcPr>
            <w:tcW w:w="636" w:type="dxa"/>
          </w:tcPr>
          <w:p w:rsidR="005B1F77" w:rsidRPr="00875B7B" w:rsidRDefault="005B1F77" w:rsidP="0013549F">
            <w:pPr>
              <w:pStyle w:val="Tabletext"/>
              <w:jc w:val="center"/>
              <w:rPr>
                <w:rFonts w:eastAsia="Arial Unicode MS"/>
              </w:rPr>
            </w:pPr>
            <w:r w:rsidRPr="00875B7B">
              <w:rPr>
                <w:rFonts w:eastAsia="Arial Unicode MS"/>
              </w:rPr>
              <w:t>200°</w:t>
            </w:r>
          </w:p>
        </w:tc>
        <w:tc>
          <w:tcPr>
            <w:tcW w:w="759" w:type="dxa"/>
            <w:noWrap/>
          </w:tcPr>
          <w:p w:rsidR="005B1F77" w:rsidRPr="00875B7B" w:rsidRDefault="005B1F77" w:rsidP="0013549F">
            <w:pPr>
              <w:pStyle w:val="Tabletext"/>
              <w:jc w:val="center"/>
              <w:rPr>
                <w:rFonts w:eastAsia="Arial Unicode MS"/>
              </w:rPr>
            </w:pPr>
          </w:p>
        </w:tc>
        <w:tc>
          <w:tcPr>
            <w:tcW w:w="759"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p>
        </w:tc>
        <w:tc>
          <w:tcPr>
            <w:tcW w:w="1134" w:type="dxa"/>
            <w:vMerge/>
            <w:noWrap/>
          </w:tcPr>
          <w:p w:rsidR="005B1F77" w:rsidRPr="00875B7B" w:rsidRDefault="005B1F77" w:rsidP="0013549F">
            <w:pPr>
              <w:pStyle w:val="Tabletext"/>
              <w:jc w:val="center"/>
              <w:rPr>
                <w:rFonts w:eastAsia="Arial Unicode MS"/>
              </w:rPr>
            </w:pPr>
          </w:p>
        </w:tc>
        <w:tc>
          <w:tcPr>
            <w:tcW w:w="636" w:type="dxa"/>
            <w:vMerge w:val="restart"/>
          </w:tcPr>
          <w:p w:rsidR="005B1F77" w:rsidRPr="00875B7B" w:rsidRDefault="005B1F77" w:rsidP="0013549F">
            <w:pPr>
              <w:pStyle w:val="Tabletext"/>
              <w:jc w:val="center"/>
              <w:rPr>
                <w:rFonts w:eastAsia="Arial Unicode MS"/>
              </w:rPr>
            </w:pPr>
            <w:r w:rsidRPr="00875B7B">
              <w:rPr>
                <w:rFonts w:eastAsia="Arial Unicode MS"/>
              </w:rPr>
              <w:t>90°</w:t>
            </w:r>
          </w:p>
        </w:tc>
        <w:tc>
          <w:tcPr>
            <w:tcW w:w="636" w:type="dxa"/>
          </w:tcPr>
          <w:p w:rsidR="005B1F77" w:rsidRPr="00875B7B" w:rsidRDefault="005B1F77" w:rsidP="0013549F">
            <w:pPr>
              <w:pStyle w:val="Tabletext"/>
              <w:jc w:val="center"/>
              <w:rPr>
                <w:rFonts w:eastAsia="Arial Unicode MS"/>
              </w:rPr>
            </w:pPr>
            <w:r w:rsidRPr="00875B7B">
              <w:rPr>
                <w:rFonts w:eastAsia="Arial Unicode MS"/>
              </w:rPr>
              <w:t>0°</w:t>
            </w:r>
          </w:p>
        </w:tc>
        <w:tc>
          <w:tcPr>
            <w:tcW w:w="759" w:type="dxa"/>
            <w:noWrap/>
          </w:tcPr>
          <w:p w:rsidR="005B1F77" w:rsidRPr="00875B7B" w:rsidRDefault="005B1F77" w:rsidP="0013549F">
            <w:pPr>
              <w:pStyle w:val="Tabletext"/>
              <w:jc w:val="center"/>
              <w:rPr>
                <w:rFonts w:eastAsia="Arial Unicode MS"/>
              </w:rPr>
            </w:pPr>
          </w:p>
        </w:tc>
        <w:tc>
          <w:tcPr>
            <w:tcW w:w="759"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p>
        </w:tc>
        <w:tc>
          <w:tcPr>
            <w:tcW w:w="1134" w:type="dxa"/>
            <w:vMerge/>
            <w:noWrap/>
          </w:tcPr>
          <w:p w:rsidR="005B1F77" w:rsidRPr="00875B7B" w:rsidRDefault="005B1F77" w:rsidP="0013549F">
            <w:pPr>
              <w:pStyle w:val="Tabletext"/>
              <w:jc w:val="center"/>
              <w:rPr>
                <w:rFonts w:eastAsia="Arial Unicode MS"/>
              </w:rPr>
            </w:pPr>
          </w:p>
        </w:tc>
        <w:tc>
          <w:tcPr>
            <w:tcW w:w="636" w:type="dxa"/>
            <w:vMerge/>
          </w:tcPr>
          <w:p w:rsidR="005B1F77" w:rsidRPr="00875B7B" w:rsidRDefault="005B1F77" w:rsidP="0013549F">
            <w:pPr>
              <w:pStyle w:val="Tabletext"/>
              <w:jc w:val="center"/>
              <w:rPr>
                <w:rFonts w:eastAsia="Arial Unicode MS"/>
              </w:rPr>
            </w:pPr>
          </w:p>
        </w:tc>
        <w:tc>
          <w:tcPr>
            <w:tcW w:w="636" w:type="dxa"/>
          </w:tcPr>
          <w:p w:rsidR="005B1F77" w:rsidRPr="00875B7B" w:rsidRDefault="005B1F77" w:rsidP="0013549F">
            <w:pPr>
              <w:pStyle w:val="Tabletext"/>
              <w:jc w:val="center"/>
              <w:rPr>
                <w:rFonts w:eastAsia="Arial Unicode MS"/>
              </w:rPr>
            </w:pPr>
            <w:r w:rsidRPr="00875B7B">
              <w:rPr>
                <w:rFonts w:eastAsia="Arial Unicode MS"/>
              </w:rPr>
              <w:t>90°</w:t>
            </w:r>
          </w:p>
        </w:tc>
        <w:tc>
          <w:tcPr>
            <w:tcW w:w="759" w:type="dxa"/>
            <w:noWrap/>
          </w:tcPr>
          <w:p w:rsidR="005B1F77" w:rsidRPr="00875B7B" w:rsidRDefault="005B1F77" w:rsidP="0013549F">
            <w:pPr>
              <w:pStyle w:val="Tabletext"/>
              <w:jc w:val="center"/>
              <w:rPr>
                <w:rFonts w:eastAsia="Arial Unicode MS"/>
              </w:rPr>
            </w:pPr>
          </w:p>
        </w:tc>
        <w:tc>
          <w:tcPr>
            <w:tcW w:w="759"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p>
        </w:tc>
        <w:tc>
          <w:tcPr>
            <w:tcW w:w="1134" w:type="dxa"/>
            <w:vMerge/>
            <w:noWrap/>
          </w:tcPr>
          <w:p w:rsidR="005B1F77" w:rsidRPr="00875B7B" w:rsidRDefault="005B1F77" w:rsidP="0013549F">
            <w:pPr>
              <w:pStyle w:val="Tabletext"/>
              <w:jc w:val="center"/>
              <w:rPr>
                <w:rFonts w:eastAsia="Arial Unicode MS"/>
              </w:rPr>
            </w:pPr>
          </w:p>
        </w:tc>
        <w:tc>
          <w:tcPr>
            <w:tcW w:w="636" w:type="dxa"/>
            <w:vMerge/>
          </w:tcPr>
          <w:p w:rsidR="005B1F77" w:rsidRPr="00875B7B" w:rsidRDefault="005B1F77" w:rsidP="0013549F">
            <w:pPr>
              <w:pStyle w:val="Tabletext"/>
              <w:jc w:val="center"/>
              <w:rPr>
                <w:rFonts w:eastAsia="Arial Unicode MS"/>
              </w:rPr>
            </w:pPr>
          </w:p>
        </w:tc>
        <w:tc>
          <w:tcPr>
            <w:tcW w:w="636" w:type="dxa"/>
          </w:tcPr>
          <w:p w:rsidR="005B1F77" w:rsidRPr="00875B7B" w:rsidRDefault="005B1F77" w:rsidP="0013549F">
            <w:pPr>
              <w:pStyle w:val="Tabletext"/>
              <w:jc w:val="center"/>
              <w:rPr>
                <w:rFonts w:eastAsia="Arial Unicode MS"/>
              </w:rPr>
            </w:pPr>
            <w:r w:rsidRPr="00875B7B">
              <w:rPr>
                <w:rFonts w:eastAsia="Arial Unicode MS"/>
              </w:rPr>
              <w:t>200°</w:t>
            </w:r>
          </w:p>
        </w:tc>
        <w:tc>
          <w:tcPr>
            <w:tcW w:w="759" w:type="dxa"/>
            <w:noWrap/>
          </w:tcPr>
          <w:p w:rsidR="005B1F77" w:rsidRPr="00875B7B" w:rsidRDefault="005B1F77" w:rsidP="0013549F">
            <w:pPr>
              <w:pStyle w:val="Tabletext"/>
              <w:jc w:val="center"/>
              <w:rPr>
                <w:rFonts w:eastAsia="Arial Unicode MS"/>
              </w:rPr>
            </w:pPr>
          </w:p>
        </w:tc>
        <w:tc>
          <w:tcPr>
            <w:tcW w:w="759"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p>
        </w:tc>
      </w:tr>
      <w:tr w:rsidR="005B1F77" w:rsidRPr="00875B7B" w:rsidTr="00AE159E">
        <w:trPr>
          <w:trHeight w:val="255"/>
        </w:trPr>
        <w:tc>
          <w:tcPr>
            <w:tcW w:w="851" w:type="dxa"/>
            <w:noWrap/>
          </w:tcPr>
          <w:p w:rsidR="005B1F77" w:rsidRPr="00875B7B" w:rsidRDefault="005B1F77" w:rsidP="0013549F">
            <w:pPr>
              <w:pStyle w:val="Tabletext"/>
              <w:jc w:val="center"/>
              <w:rPr>
                <w:rFonts w:eastAsia="Arial Unicode MS"/>
              </w:rPr>
            </w:pPr>
            <w:r w:rsidRPr="00875B7B">
              <w:rPr>
                <w:rFonts w:eastAsia="Arial Unicode MS"/>
              </w:rPr>
              <w:t>…</w:t>
            </w:r>
          </w:p>
        </w:tc>
        <w:tc>
          <w:tcPr>
            <w:tcW w:w="1134" w:type="dxa"/>
            <w:noWrap/>
          </w:tcPr>
          <w:p w:rsidR="005B1F77" w:rsidRPr="00875B7B" w:rsidRDefault="005B1F77" w:rsidP="0013549F">
            <w:pPr>
              <w:pStyle w:val="Tabletext"/>
              <w:jc w:val="center"/>
              <w:rPr>
                <w:rFonts w:eastAsia="Arial Unicode MS"/>
              </w:rPr>
            </w:pPr>
            <w:r w:rsidRPr="00875B7B">
              <w:t>…</w:t>
            </w:r>
          </w:p>
        </w:tc>
        <w:tc>
          <w:tcPr>
            <w:tcW w:w="636" w:type="dxa"/>
          </w:tcPr>
          <w:p w:rsidR="005B1F77" w:rsidRPr="00875B7B" w:rsidRDefault="005B1F77" w:rsidP="0013549F">
            <w:pPr>
              <w:pStyle w:val="Tabletext"/>
              <w:jc w:val="center"/>
              <w:rPr>
                <w:rFonts w:eastAsia="Arial Unicode MS"/>
              </w:rPr>
            </w:pPr>
            <w:r w:rsidRPr="00875B7B">
              <w:rPr>
                <w:rFonts w:eastAsia="Arial Unicode MS"/>
              </w:rPr>
              <w:t>…</w:t>
            </w:r>
          </w:p>
        </w:tc>
        <w:tc>
          <w:tcPr>
            <w:tcW w:w="636" w:type="dxa"/>
          </w:tcPr>
          <w:p w:rsidR="005B1F77" w:rsidRPr="00875B7B" w:rsidRDefault="005B1F77" w:rsidP="0013549F">
            <w:pPr>
              <w:pStyle w:val="Tabletext"/>
              <w:jc w:val="center"/>
              <w:rPr>
                <w:rFonts w:eastAsia="Arial Unicode MS"/>
              </w:rPr>
            </w:pPr>
            <w:r w:rsidRPr="00875B7B">
              <w:rPr>
                <w:rFonts w:eastAsia="Arial Unicode MS"/>
              </w:rPr>
              <w:t>…</w:t>
            </w:r>
          </w:p>
        </w:tc>
        <w:tc>
          <w:tcPr>
            <w:tcW w:w="759" w:type="dxa"/>
            <w:noWrap/>
          </w:tcPr>
          <w:p w:rsidR="005B1F77" w:rsidRPr="00875B7B" w:rsidRDefault="005B1F77" w:rsidP="0013549F">
            <w:pPr>
              <w:pStyle w:val="Tabletext"/>
              <w:jc w:val="center"/>
              <w:rPr>
                <w:rFonts w:eastAsia="Arial Unicode MS"/>
              </w:rPr>
            </w:pPr>
            <w:r w:rsidRPr="00875B7B">
              <w:rPr>
                <w:rFonts w:eastAsia="Arial Unicode MS"/>
              </w:rPr>
              <w:t>…</w:t>
            </w:r>
          </w:p>
        </w:tc>
        <w:tc>
          <w:tcPr>
            <w:tcW w:w="759" w:type="dxa"/>
            <w:noWrap/>
          </w:tcPr>
          <w:p w:rsidR="005B1F77" w:rsidRPr="00875B7B" w:rsidRDefault="005B1F77" w:rsidP="0013549F">
            <w:pPr>
              <w:pStyle w:val="Tabletext"/>
              <w:jc w:val="center"/>
              <w:rPr>
                <w:rFonts w:eastAsia="Arial Unicode MS"/>
              </w:rPr>
            </w:pPr>
            <w:r w:rsidRPr="00875B7B">
              <w:rPr>
                <w:rFonts w:eastAsia="Arial Unicode MS"/>
              </w:rPr>
              <w:t>…</w:t>
            </w:r>
          </w:p>
        </w:tc>
        <w:tc>
          <w:tcPr>
            <w:tcW w:w="758" w:type="dxa"/>
            <w:noWrap/>
          </w:tcPr>
          <w:p w:rsidR="005B1F77" w:rsidRPr="00875B7B" w:rsidRDefault="005B1F77" w:rsidP="0013549F">
            <w:pPr>
              <w:pStyle w:val="Tabletext"/>
              <w:jc w:val="center"/>
              <w:rPr>
                <w:rFonts w:eastAsia="Arial Unicode MS"/>
              </w:rPr>
            </w:pPr>
            <w:r w:rsidRPr="00875B7B">
              <w:rPr>
                <w:rFonts w:eastAsia="Arial Unicode MS"/>
              </w:rPr>
              <w:t>…</w:t>
            </w:r>
          </w:p>
        </w:tc>
        <w:tc>
          <w:tcPr>
            <w:tcW w:w="758" w:type="dxa"/>
            <w:noWrap/>
          </w:tcPr>
          <w:p w:rsidR="005B1F77" w:rsidRPr="00875B7B" w:rsidRDefault="005B1F77" w:rsidP="0013549F">
            <w:pPr>
              <w:pStyle w:val="Tabletext"/>
              <w:jc w:val="center"/>
              <w:rPr>
                <w:rFonts w:eastAsia="Arial Unicode MS"/>
              </w:rPr>
            </w:pPr>
            <w:r w:rsidRPr="00875B7B">
              <w:rPr>
                <w:rFonts w:eastAsia="Arial Unicode MS"/>
              </w:rPr>
              <w:t>…</w:t>
            </w:r>
          </w:p>
        </w:tc>
        <w:tc>
          <w:tcPr>
            <w:tcW w:w="758" w:type="dxa"/>
            <w:noWrap/>
          </w:tcPr>
          <w:p w:rsidR="005B1F77" w:rsidRPr="00875B7B" w:rsidRDefault="005B1F77" w:rsidP="0013549F">
            <w:pPr>
              <w:pStyle w:val="Tabletext"/>
              <w:jc w:val="center"/>
              <w:rPr>
                <w:rFonts w:eastAsia="Arial Unicode MS"/>
              </w:rPr>
            </w:pPr>
            <w:r w:rsidRPr="00875B7B">
              <w:rPr>
                <w:rFonts w:eastAsia="Arial Unicode MS"/>
              </w:rPr>
              <w:t>…</w:t>
            </w:r>
          </w:p>
        </w:tc>
        <w:tc>
          <w:tcPr>
            <w:tcW w:w="758" w:type="dxa"/>
            <w:noWrap/>
          </w:tcPr>
          <w:p w:rsidR="005B1F77" w:rsidRPr="00875B7B" w:rsidRDefault="005B1F77" w:rsidP="0013549F">
            <w:pPr>
              <w:pStyle w:val="Tabletext"/>
              <w:jc w:val="center"/>
              <w:rPr>
                <w:rFonts w:eastAsia="Arial Unicode MS"/>
              </w:rPr>
            </w:pPr>
            <w:r w:rsidRPr="00875B7B">
              <w:rPr>
                <w:rFonts w:eastAsia="Arial Unicode MS"/>
              </w:rPr>
              <w:t>…</w:t>
            </w:r>
          </w:p>
        </w:tc>
        <w:tc>
          <w:tcPr>
            <w:tcW w:w="337" w:type="dxa"/>
            <w:noWrap/>
          </w:tcPr>
          <w:p w:rsidR="005B1F77" w:rsidRPr="00875B7B" w:rsidRDefault="005B1F77" w:rsidP="0013549F">
            <w:pPr>
              <w:pStyle w:val="Tabletext"/>
              <w:jc w:val="center"/>
              <w:rPr>
                <w:rFonts w:eastAsia="Arial Unicode MS"/>
              </w:rPr>
            </w:pPr>
          </w:p>
        </w:tc>
        <w:tc>
          <w:tcPr>
            <w:tcW w:w="758" w:type="dxa"/>
            <w:noWrap/>
          </w:tcPr>
          <w:p w:rsidR="005B1F77" w:rsidRPr="00875B7B" w:rsidRDefault="005B1F77" w:rsidP="0013549F">
            <w:pPr>
              <w:pStyle w:val="Tabletext"/>
              <w:jc w:val="center"/>
              <w:rPr>
                <w:rFonts w:eastAsia="Arial Unicode MS"/>
              </w:rPr>
            </w:pPr>
            <w:r w:rsidRPr="00875B7B">
              <w:rPr>
                <w:rFonts w:eastAsia="Arial Unicode MS"/>
              </w:rPr>
              <w:t>…</w:t>
            </w:r>
          </w:p>
        </w:tc>
        <w:tc>
          <w:tcPr>
            <w:tcW w:w="758" w:type="dxa"/>
            <w:noWrap/>
          </w:tcPr>
          <w:p w:rsidR="005B1F77" w:rsidRPr="00875B7B" w:rsidRDefault="005B1F77" w:rsidP="0013549F">
            <w:pPr>
              <w:pStyle w:val="Tabletext"/>
              <w:jc w:val="center"/>
              <w:rPr>
                <w:rFonts w:eastAsia="Arial Unicode MS"/>
              </w:rPr>
            </w:pPr>
            <w:r w:rsidRPr="00875B7B">
              <w:rPr>
                <w:rFonts w:eastAsia="Arial Unicode MS"/>
              </w:rPr>
              <w:t>…</w:t>
            </w:r>
          </w:p>
        </w:tc>
      </w:tr>
    </w:tbl>
    <w:p w:rsidR="00AE159E" w:rsidRDefault="00AE159E" w:rsidP="00AE159E">
      <w:pPr>
        <w:pStyle w:val="Tablefin"/>
      </w:pPr>
    </w:p>
    <w:p w:rsidR="005B1F77" w:rsidRPr="005B1F77" w:rsidRDefault="005B1F77" w:rsidP="005B1F77">
      <w:pPr>
        <w:rPr>
          <w:lang w:val="en-US"/>
        </w:rPr>
      </w:pPr>
      <w:r w:rsidRPr="005B1F77">
        <w:rPr>
          <w:lang w:val="en-US"/>
        </w:rPr>
        <w:t xml:space="preserve">Note that </w:t>
      </w:r>
      <w:r w:rsidRPr="00875B7B">
        <w:rPr>
          <w:szCs w:val="24"/>
        </w:rPr>
        <w:sym w:font="Symbol" w:char="F044"/>
      </w:r>
      <w:r w:rsidRPr="005B1F77">
        <w:rPr>
          <w:lang w:val="en-US"/>
        </w:rPr>
        <w:t xml:space="preserve"> is the difference between the true azimuth (angle of the transmitter’s test antenna) and the displayed bearing on the DF equipment.</w:t>
      </w:r>
    </w:p>
    <w:p w:rsidR="00AE159E" w:rsidRDefault="00AE159E" w:rsidP="005B1F77">
      <w:pPr>
        <w:rPr>
          <w:lang w:val="en-US"/>
        </w:rPr>
      </w:pPr>
    </w:p>
    <w:p w:rsidR="005B1F77" w:rsidRPr="005B1F77" w:rsidRDefault="005B1F77" w:rsidP="005B1F77">
      <w:pPr>
        <w:rPr>
          <w:lang w:val="en-US"/>
        </w:rPr>
      </w:pPr>
      <w:r w:rsidRPr="005B1F77">
        <w:rPr>
          <w:lang w:val="en-US"/>
        </w:rPr>
        <w:t xml:space="preserve">Example for a specification in a data sheet of DF immunity against multi-path propagation conditions: </w:t>
      </w:r>
    </w:p>
    <w:p w:rsidR="005B1F77" w:rsidRPr="005B1F77" w:rsidRDefault="005B1F77" w:rsidP="005B1F77">
      <w:pPr>
        <w:rPr>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706"/>
        <w:gridCol w:w="1605"/>
        <w:gridCol w:w="1605"/>
        <w:gridCol w:w="1599"/>
        <w:gridCol w:w="1605"/>
      </w:tblGrid>
      <w:tr w:rsidR="005B1F77" w:rsidTr="00AE159E">
        <w:tc>
          <w:tcPr>
            <w:tcW w:w="1526" w:type="dxa"/>
          </w:tcPr>
          <w:p w:rsidR="005B1F77" w:rsidRPr="00D86F12" w:rsidRDefault="005B1F77" w:rsidP="0013549F">
            <w:pPr>
              <w:pStyle w:val="Tablehead"/>
              <w:rPr>
                <w:lang w:eastAsia="zh-CN"/>
              </w:rPr>
            </w:pPr>
            <w:proofErr w:type="spellStart"/>
            <w:r w:rsidRPr="00D86F12">
              <w:rPr>
                <w:lang w:eastAsia="zh-CN"/>
              </w:rPr>
              <w:t>Frequency</w:t>
            </w:r>
            <w:proofErr w:type="spellEnd"/>
          </w:p>
        </w:tc>
        <w:tc>
          <w:tcPr>
            <w:tcW w:w="1733" w:type="dxa"/>
          </w:tcPr>
          <w:p w:rsidR="005B1F77" w:rsidRDefault="005B1F77" w:rsidP="0013549F">
            <w:pPr>
              <w:pStyle w:val="Tablehead"/>
              <w:rPr>
                <w:lang w:eastAsia="zh-CN"/>
              </w:rPr>
            </w:pPr>
            <w:r w:rsidRPr="00AE159E">
              <w:rPr>
                <w:i/>
                <w:iCs/>
                <w:lang w:eastAsia="zh-CN"/>
              </w:rPr>
              <w:t>f</w:t>
            </w:r>
            <w:r w:rsidRPr="00D86F12">
              <w:rPr>
                <w:vertAlign w:val="subscript"/>
                <w:lang w:eastAsia="zh-CN"/>
              </w:rPr>
              <w:t>1</w:t>
            </w:r>
          </w:p>
        </w:tc>
        <w:tc>
          <w:tcPr>
            <w:tcW w:w="1630" w:type="dxa"/>
          </w:tcPr>
          <w:p w:rsidR="005B1F77" w:rsidRDefault="005B1F77" w:rsidP="0013549F">
            <w:pPr>
              <w:pStyle w:val="Tablehead"/>
              <w:rPr>
                <w:lang w:eastAsia="zh-CN"/>
              </w:rPr>
            </w:pPr>
            <w:r w:rsidRPr="00AE159E">
              <w:rPr>
                <w:i/>
                <w:iCs/>
                <w:lang w:eastAsia="zh-CN"/>
              </w:rPr>
              <w:t>f</w:t>
            </w:r>
            <w:r w:rsidRPr="00D86F12">
              <w:rPr>
                <w:vertAlign w:val="subscript"/>
                <w:lang w:eastAsia="zh-CN"/>
              </w:rPr>
              <w:t>2</w:t>
            </w:r>
          </w:p>
        </w:tc>
        <w:tc>
          <w:tcPr>
            <w:tcW w:w="1630" w:type="dxa"/>
          </w:tcPr>
          <w:p w:rsidR="005B1F77" w:rsidRDefault="005B1F77" w:rsidP="0013549F">
            <w:pPr>
              <w:pStyle w:val="Tablehead"/>
              <w:rPr>
                <w:lang w:eastAsia="zh-CN"/>
              </w:rPr>
            </w:pPr>
            <w:r w:rsidRPr="00AE159E">
              <w:rPr>
                <w:i/>
                <w:iCs/>
                <w:lang w:eastAsia="zh-CN"/>
              </w:rPr>
              <w:t>f</w:t>
            </w:r>
            <w:r w:rsidRPr="00D86F12">
              <w:rPr>
                <w:vertAlign w:val="subscript"/>
                <w:lang w:eastAsia="zh-CN"/>
              </w:rPr>
              <w:t>3</w:t>
            </w:r>
          </w:p>
        </w:tc>
        <w:tc>
          <w:tcPr>
            <w:tcW w:w="1630" w:type="dxa"/>
          </w:tcPr>
          <w:p w:rsidR="005B1F77" w:rsidRDefault="005B1F77" w:rsidP="0013549F">
            <w:pPr>
              <w:pStyle w:val="Tablehead"/>
              <w:rPr>
                <w:lang w:eastAsia="zh-CN"/>
              </w:rPr>
            </w:pPr>
            <w:r>
              <w:rPr>
                <w:lang w:eastAsia="zh-CN"/>
              </w:rPr>
              <w:t>…</w:t>
            </w:r>
          </w:p>
        </w:tc>
        <w:tc>
          <w:tcPr>
            <w:tcW w:w="1630" w:type="dxa"/>
          </w:tcPr>
          <w:p w:rsidR="005B1F77" w:rsidRPr="00AE159E" w:rsidRDefault="005B1F77" w:rsidP="0013549F">
            <w:pPr>
              <w:pStyle w:val="Tablehead"/>
              <w:rPr>
                <w:i/>
                <w:iCs/>
                <w:lang w:eastAsia="zh-CN"/>
              </w:rPr>
            </w:pPr>
            <w:proofErr w:type="spellStart"/>
            <w:r w:rsidRPr="00AE159E">
              <w:rPr>
                <w:i/>
                <w:iCs/>
                <w:lang w:eastAsia="zh-CN"/>
              </w:rPr>
              <w:t>f</w:t>
            </w:r>
            <w:r w:rsidRPr="00AE159E">
              <w:rPr>
                <w:i/>
                <w:iCs/>
                <w:vertAlign w:val="subscript"/>
                <w:lang w:eastAsia="zh-CN"/>
              </w:rPr>
              <w:t>N</w:t>
            </w:r>
            <w:proofErr w:type="spellEnd"/>
          </w:p>
        </w:tc>
      </w:tr>
      <w:tr w:rsidR="005B1F77" w:rsidRPr="00AE53FE" w:rsidTr="00AE159E">
        <w:tc>
          <w:tcPr>
            <w:tcW w:w="1526" w:type="dxa"/>
          </w:tcPr>
          <w:p w:rsidR="005B1F77" w:rsidRPr="00D86F12" w:rsidRDefault="005B1F77" w:rsidP="0013549F">
            <w:pPr>
              <w:pStyle w:val="Tabletext"/>
              <w:jc w:val="center"/>
              <w:rPr>
                <w:lang w:eastAsia="zh-CN"/>
              </w:rPr>
            </w:pPr>
            <w:r w:rsidRPr="00D86F12">
              <w:rPr>
                <w:lang w:eastAsia="zh-CN"/>
              </w:rPr>
              <w:t xml:space="preserve">RMS DF </w:t>
            </w:r>
            <w:proofErr w:type="spellStart"/>
            <w:r w:rsidRPr="00D86F12">
              <w:rPr>
                <w:lang w:eastAsia="zh-CN"/>
              </w:rPr>
              <w:t>error</w:t>
            </w:r>
            <w:proofErr w:type="spellEnd"/>
          </w:p>
        </w:tc>
        <w:tc>
          <w:tcPr>
            <w:tcW w:w="1733" w:type="dxa"/>
          </w:tcPr>
          <w:p w:rsidR="005B1F77" w:rsidRPr="005B1F77" w:rsidRDefault="005B1F77" w:rsidP="0013549F">
            <w:pPr>
              <w:pStyle w:val="Tabletext"/>
              <w:jc w:val="center"/>
              <w:rPr>
                <w:lang w:val="en-US" w:eastAsia="zh-CN"/>
              </w:rPr>
            </w:pPr>
            <w:r w:rsidRPr="005B1F77">
              <w:rPr>
                <w:lang w:val="en-US" w:eastAsia="zh-CN"/>
              </w:rPr>
              <w:t>RMS DF error at </w:t>
            </w:r>
            <w:r w:rsidRPr="00AE159E">
              <w:rPr>
                <w:i/>
                <w:iCs/>
                <w:lang w:val="en-US" w:eastAsia="zh-CN"/>
              </w:rPr>
              <w:t>f</w:t>
            </w:r>
            <w:r w:rsidRPr="005B1F77">
              <w:rPr>
                <w:vertAlign w:val="subscript"/>
                <w:lang w:val="en-US" w:eastAsia="zh-CN"/>
              </w:rPr>
              <w:t>1</w:t>
            </w:r>
          </w:p>
        </w:tc>
        <w:tc>
          <w:tcPr>
            <w:tcW w:w="1630" w:type="dxa"/>
          </w:tcPr>
          <w:p w:rsidR="005B1F77" w:rsidRPr="005B1F77" w:rsidRDefault="005B1F77" w:rsidP="0013549F">
            <w:pPr>
              <w:pStyle w:val="Tabletext"/>
              <w:jc w:val="center"/>
              <w:rPr>
                <w:lang w:val="en-US" w:eastAsia="zh-CN"/>
              </w:rPr>
            </w:pPr>
            <w:r w:rsidRPr="005B1F77">
              <w:rPr>
                <w:lang w:val="en-US" w:eastAsia="zh-CN"/>
              </w:rPr>
              <w:t>RMS DF error at </w:t>
            </w:r>
            <w:r w:rsidRPr="00AE159E">
              <w:rPr>
                <w:i/>
                <w:iCs/>
                <w:lang w:val="en-US" w:eastAsia="zh-CN"/>
              </w:rPr>
              <w:t>f</w:t>
            </w:r>
            <w:r w:rsidRPr="005B1F77">
              <w:rPr>
                <w:vertAlign w:val="subscript"/>
                <w:lang w:val="en-US" w:eastAsia="zh-CN"/>
              </w:rPr>
              <w:t>2</w:t>
            </w:r>
          </w:p>
        </w:tc>
        <w:tc>
          <w:tcPr>
            <w:tcW w:w="1630" w:type="dxa"/>
          </w:tcPr>
          <w:p w:rsidR="005B1F77" w:rsidRPr="005B1F77" w:rsidRDefault="005B1F77" w:rsidP="0013549F">
            <w:pPr>
              <w:pStyle w:val="Tabletext"/>
              <w:jc w:val="center"/>
              <w:rPr>
                <w:lang w:val="en-US" w:eastAsia="zh-CN"/>
              </w:rPr>
            </w:pPr>
            <w:r w:rsidRPr="005B1F77">
              <w:rPr>
                <w:lang w:val="en-US" w:eastAsia="zh-CN"/>
              </w:rPr>
              <w:t>RMS DF error at </w:t>
            </w:r>
            <w:r w:rsidRPr="00AE159E">
              <w:rPr>
                <w:i/>
                <w:iCs/>
                <w:lang w:val="en-US" w:eastAsia="zh-CN"/>
              </w:rPr>
              <w:t>f</w:t>
            </w:r>
            <w:r w:rsidRPr="005B1F77">
              <w:rPr>
                <w:vertAlign w:val="subscript"/>
                <w:lang w:val="en-US" w:eastAsia="zh-CN"/>
              </w:rPr>
              <w:t>3</w:t>
            </w:r>
          </w:p>
        </w:tc>
        <w:tc>
          <w:tcPr>
            <w:tcW w:w="1630" w:type="dxa"/>
          </w:tcPr>
          <w:p w:rsidR="005B1F77" w:rsidRDefault="005B1F77" w:rsidP="0013549F">
            <w:pPr>
              <w:pStyle w:val="Tabletext"/>
              <w:jc w:val="center"/>
              <w:rPr>
                <w:lang w:eastAsia="zh-CN"/>
              </w:rPr>
            </w:pPr>
            <w:r>
              <w:rPr>
                <w:lang w:eastAsia="zh-CN"/>
              </w:rPr>
              <w:t>…</w:t>
            </w:r>
          </w:p>
        </w:tc>
        <w:tc>
          <w:tcPr>
            <w:tcW w:w="1630" w:type="dxa"/>
          </w:tcPr>
          <w:p w:rsidR="005B1F77" w:rsidRPr="00D86F12" w:rsidRDefault="005B1F77" w:rsidP="0013549F">
            <w:pPr>
              <w:pStyle w:val="Tabletext"/>
              <w:jc w:val="center"/>
              <w:rPr>
                <w:lang w:val="nb-NO" w:eastAsia="zh-CN"/>
              </w:rPr>
            </w:pPr>
            <w:r>
              <w:rPr>
                <w:lang w:val="nb-NO" w:eastAsia="zh-CN"/>
              </w:rPr>
              <w:t>RMS DF error at </w:t>
            </w:r>
            <w:r w:rsidRPr="00AE159E">
              <w:rPr>
                <w:i/>
                <w:iCs/>
                <w:lang w:val="nb-NO" w:eastAsia="zh-CN"/>
              </w:rPr>
              <w:t>f</w:t>
            </w:r>
            <w:r w:rsidRPr="00AE159E">
              <w:rPr>
                <w:i/>
                <w:iCs/>
                <w:vertAlign w:val="subscript"/>
                <w:lang w:val="nb-NO" w:eastAsia="zh-CN"/>
              </w:rPr>
              <w:t>N</w:t>
            </w:r>
          </w:p>
        </w:tc>
      </w:tr>
    </w:tbl>
    <w:p w:rsidR="005B1F77" w:rsidRDefault="005B1F77" w:rsidP="005B1F77">
      <w:pPr>
        <w:rPr>
          <w:lang w:val="nb-NO" w:eastAsia="zh-CN"/>
        </w:rPr>
      </w:pPr>
    </w:p>
    <w:p w:rsidR="005B1F77" w:rsidRPr="00357593" w:rsidRDefault="005B1F77" w:rsidP="005B1F77">
      <w:pPr>
        <w:rPr>
          <w:lang w:val="en-US" w:eastAsia="zh-CN"/>
        </w:rPr>
      </w:pPr>
    </w:p>
    <w:p w:rsidR="00A6617B" w:rsidRPr="005B1F77" w:rsidRDefault="00A6617B" w:rsidP="005B1F77">
      <w:pPr>
        <w:pStyle w:val="Line"/>
      </w:pPr>
    </w:p>
    <w:sectPr w:rsidR="00A6617B" w:rsidRPr="005B1F77" w:rsidSect="00735425">
      <w:headerReference w:type="even" r:id="rId15"/>
      <w:headerReference w:type="default" r:id="rId16"/>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F77" w:rsidRDefault="005B1F77">
      <w:r>
        <w:separator/>
      </w:r>
    </w:p>
  </w:endnote>
  <w:endnote w:type="continuationSeparator" w:id="0">
    <w:p w:rsidR="005B1F77" w:rsidRDefault="005B1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F77" w:rsidRDefault="005B1F77">
      <w:r>
        <w:separator/>
      </w:r>
    </w:p>
  </w:footnote>
  <w:footnote w:type="continuationSeparator" w:id="0">
    <w:p w:rsidR="005B1F77" w:rsidRDefault="005B1F77">
      <w:r>
        <w:continuationSeparator/>
      </w:r>
    </w:p>
  </w:footnote>
  <w:footnote w:id="1">
    <w:p w:rsidR="00D53484" w:rsidRPr="00735425" w:rsidRDefault="00D53484">
      <w:pPr>
        <w:pStyle w:val="FootnoteText"/>
        <w:rPr>
          <w:lang w:val="en-US"/>
        </w:rPr>
      </w:pPr>
      <w:r>
        <w:rPr>
          <w:rStyle w:val="FootnoteReference"/>
        </w:rPr>
        <w:t>*</w:t>
      </w:r>
      <w:r>
        <w:rPr>
          <w:lang w:val="en-US"/>
        </w:rPr>
        <w:tab/>
      </w:r>
      <w:proofErr w:type="spellStart"/>
      <w:r>
        <w:rPr>
          <w:lang w:val="en-US"/>
        </w:rPr>
        <w:t>Radiocommunication</w:t>
      </w:r>
      <w:proofErr w:type="spellEnd"/>
      <w:r>
        <w:rPr>
          <w:lang w:val="en-US"/>
        </w:rPr>
        <w:t xml:space="preserve"> Study Group 1 made editorial amendments to this Recommendation in 2015 in accordance with Resolution ITU-R 1.</w:t>
      </w:r>
    </w:p>
  </w:footnote>
  <w:footnote w:id="2">
    <w:p w:rsidR="005B1F77" w:rsidRPr="00585B9B" w:rsidRDefault="005B1F77" w:rsidP="00774673">
      <w:pPr>
        <w:pStyle w:val="FootnoteText"/>
        <w:rPr>
          <w:lang w:val="en-US"/>
        </w:rPr>
      </w:pPr>
      <w:r>
        <w:rPr>
          <w:rStyle w:val="FootnoteReference"/>
        </w:rPr>
        <w:footnoteRef/>
      </w:r>
      <w:r w:rsidRPr="005B1F77">
        <w:rPr>
          <w:lang w:val="en-US"/>
        </w:rPr>
        <w:tab/>
      </w:r>
      <w:r w:rsidRPr="005B1F77">
        <w:rPr>
          <w:szCs w:val="24"/>
          <w:lang w:val="en-US"/>
        </w:rPr>
        <w:t>OATS definition can be found in a number of standards documents such as ANSI C63.7, CISPR or EN55</w:t>
      </w:r>
      <w:r w:rsidR="00774673">
        <w:rPr>
          <w:szCs w:val="24"/>
          <w:lang w:val="en-US"/>
        </w:rPr>
        <w:t> </w:t>
      </w:r>
      <w:r w:rsidRPr="005B1F77">
        <w:rPr>
          <w:szCs w:val="24"/>
          <w:lang w:val="en-US"/>
        </w:rPr>
        <w:t>022. The OATS is considered as line-of sight with no interference signal, no reflection and far-field (</w:t>
      </w:r>
      <w:proofErr w:type="spellStart"/>
      <w:r w:rsidRPr="005B1F77">
        <w:rPr>
          <w:szCs w:val="24"/>
          <w:lang w:val="en-US"/>
        </w:rPr>
        <w:t>Fraunhofer</w:t>
      </w:r>
      <w:proofErr w:type="spellEnd"/>
      <w:r w:rsidRPr="005B1F77">
        <w:rPr>
          <w:szCs w:val="24"/>
          <w:lang w:val="en-US"/>
        </w:rPr>
        <w:t xml:space="preserve"> Region).</w:t>
      </w:r>
      <w:r w:rsidRPr="005B1F77">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F77" w:rsidRDefault="005B1F7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F77" w:rsidRDefault="005B1F77" w:rsidP="00B033C8">
    <w:pPr>
      <w:pStyle w:val="Header"/>
      <w:ind w:right="360" w:firstLine="360"/>
    </w:pPr>
    <w:r>
      <w:rPr>
        <w:noProof/>
        <w:lang w:val="en-US" w:eastAsia="zh-CN"/>
      </w:rPr>
      <w:drawing>
        <wp:anchor distT="0" distB="0" distL="114300" distR="114300" simplePos="0" relativeHeight="251659264" behindDoc="1" locked="0" layoutInCell="1" allowOverlap="1" wp14:anchorId="116AFB1E" wp14:editId="50305A6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F77" w:rsidRDefault="005B1F7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B138C">
      <w:rPr>
        <w:rStyle w:val="PageNumber"/>
        <w:b/>
        <w:bCs/>
        <w:noProof/>
        <w:lang w:val="en-US"/>
      </w:rPr>
      <w:t>ii</w:t>
    </w:r>
    <w:r>
      <w:rPr>
        <w:rStyle w:val="PageNumber"/>
        <w:b/>
        <w:bCs/>
      </w:rPr>
      <w:fldChar w:fldCharType="end"/>
    </w:r>
    <w:r>
      <w:rPr>
        <w:lang w:val="en-US"/>
      </w:rPr>
      <w:tab/>
    </w:r>
    <w:r w:rsidR="002B138C">
      <w:fldChar w:fldCharType="begin"/>
    </w:r>
    <w:r w:rsidR="002B138C">
      <w:instrText xml:space="preserve"> DOCPROPERTY "Header" \* MERGEFORMAT </w:instrText>
    </w:r>
    <w:r w:rsidR="002B138C">
      <w:fldChar w:fldCharType="separate"/>
    </w:r>
    <w:r w:rsidR="002B138C" w:rsidRPr="002B138C">
      <w:rPr>
        <w:b/>
        <w:bCs/>
        <w:lang w:val="en-US"/>
      </w:rPr>
      <w:t xml:space="preserve">Rec. </w:t>
    </w:r>
    <w:r w:rsidR="002B138C">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B138C">
      <w:rPr>
        <w:b/>
        <w:bCs/>
        <w:noProof/>
      </w:rPr>
      <w:t>ITU-R  SM.2061-0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F77" w:rsidRDefault="005B1F77">
    <w:pPr>
      <w:pStyle w:val="Header"/>
    </w:pPr>
    <w:r>
      <w:tab/>
    </w:r>
    <w:r w:rsidR="002B138C">
      <w:fldChar w:fldCharType="begin"/>
    </w:r>
    <w:r w:rsidR="002B138C">
      <w:instrText xml:space="preserve"> DOCPROPERTY "Header" \* MERGEFORMAT </w:instrText>
    </w:r>
    <w:r w:rsidR="002B138C">
      <w:fldChar w:fldCharType="separate"/>
    </w:r>
    <w:r w:rsidR="002B138C" w:rsidRPr="002B138C">
      <w:rPr>
        <w:b/>
        <w:bCs/>
      </w:rPr>
      <w:t xml:space="preserve">Rec. </w:t>
    </w:r>
    <w:r w:rsidR="002B138C">
      <w:rPr>
        <w:b/>
        <w:bCs/>
      </w:rPr>
      <w:fldChar w:fldCharType="end"/>
    </w:r>
    <w:r>
      <w:rPr>
        <w:b/>
        <w:bCs/>
      </w:rPr>
      <w:t xml:space="preserve"> </w:t>
    </w:r>
    <w:r>
      <w:rPr>
        <w:b/>
        <w:bCs/>
      </w:rPr>
      <w:fldChar w:fldCharType="begin"/>
    </w:r>
    <w:r>
      <w:rPr>
        <w:b/>
        <w:bCs/>
      </w:rPr>
      <w:instrText>styleref href</w:instrText>
    </w:r>
    <w:r>
      <w:rPr>
        <w:b/>
        <w:bCs/>
      </w:rPr>
      <w:fldChar w:fldCharType="separate"/>
    </w:r>
    <w:r w:rsidR="002B138C">
      <w:rPr>
        <w:b/>
        <w:bCs/>
        <w:noProof/>
      </w:rPr>
      <w:t>ITU-R  SM.2061-0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53FE">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B138C">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B138C" w:rsidRPr="002B138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B138C">
      <w:rPr>
        <w:b/>
        <w:bCs/>
        <w:noProof/>
      </w:rPr>
      <w:t>ITU-R  SM.2061-0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2B138C">
      <w:fldChar w:fldCharType="begin"/>
    </w:r>
    <w:r w:rsidR="002B138C">
      <w:instrText xml:space="preserve"> DOCPROPERTY "Header" \* MERGEFORMAT </w:instrText>
    </w:r>
    <w:r w:rsidR="002B138C">
      <w:fldChar w:fldCharType="separate"/>
    </w:r>
    <w:r w:rsidR="002B138C" w:rsidRPr="002B138C">
      <w:rPr>
        <w:b/>
        <w:bCs/>
      </w:rPr>
      <w:t xml:space="preserve">Rec. </w:t>
    </w:r>
    <w:r w:rsidR="002B138C">
      <w:rPr>
        <w:b/>
        <w:bCs/>
      </w:rPr>
      <w:fldChar w:fldCharType="end"/>
    </w:r>
    <w:r>
      <w:rPr>
        <w:b/>
        <w:bCs/>
      </w:rPr>
      <w:t xml:space="preserve"> </w:t>
    </w:r>
    <w:r>
      <w:rPr>
        <w:b/>
        <w:bCs/>
      </w:rPr>
      <w:fldChar w:fldCharType="begin"/>
    </w:r>
    <w:r>
      <w:rPr>
        <w:b/>
        <w:bCs/>
      </w:rPr>
      <w:instrText>styleref href</w:instrText>
    </w:r>
    <w:r>
      <w:rPr>
        <w:b/>
        <w:bCs/>
      </w:rPr>
      <w:fldChar w:fldCharType="separate"/>
    </w:r>
    <w:r w:rsidR="002B138C">
      <w:rPr>
        <w:b/>
        <w:bCs/>
        <w:noProof/>
      </w:rPr>
      <w:t>ITU-R  SM.2061-0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B138C">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F77"/>
    <w:rsid w:val="00037B15"/>
    <w:rsid w:val="00087A6D"/>
    <w:rsid w:val="000F0F80"/>
    <w:rsid w:val="001017AB"/>
    <w:rsid w:val="001812FE"/>
    <w:rsid w:val="002174A8"/>
    <w:rsid w:val="00217EBF"/>
    <w:rsid w:val="00242AEE"/>
    <w:rsid w:val="00250AEA"/>
    <w:rsid w:val="002B138C"/>
    <w:rsid w:val="002D76C4"/>
    <w:rsid w:val="00301AC4"/>
    <w:rsid w:val="004B70FA"/>
    <w:rsid w:val="00504B0E"/>
    <w:rsid w:val="0052529D"/>
    <w:rsid w:val="005B1F77"/>
    <w:rsid w:val="00607D68"/>
    <w:rsid w:val="006E4630"/>
    <w:rsid w:val="006F4C82"/>
    <w:rsid w:val="00735425"/>
    <w:rsid w:val="007468DA"/>
    <w:rsid w:val="00774673"/>
    <w:rsid w:val="00811D86"/>
    <w:rsid w:val="008919A1"/>
    <w:rsid w:val="008A3218"/>
    <w:rsid w:val="00954661"/>
    <w:rsid w:val="009E00A8"/>
    <w:rsid w:val="00A6617B"/>
    <w:rsid w:val="00AA66E7"/>
    <w:rsid w:val="00AB0DC8"/>
    <w:rsid w:val="00AE159E"/>
    <w:rsid w:val="00AE53FE"/>
    <w:rsid w:val="00B24CA7"/>
    <w:rsid w:val="00B44E24"/>
    <w:rsid w:val="00D53484"/>
    <w:rsid w:val="00D62B44"/>
    <w:rsid w:val="00DF4176"/>
    <w:rsid w:val="00EF6AFF"/>
    <w:rsid w:val="00F801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7"/>
    <o:shapelayout v:ext="edit">
      <o:idmap v:ext="edit" data="1"/>
    </o:shapelayout>
  </w:shapeDefaults>
  <w:decimalSymbol w:val="."/>
  <w:listSeparator w:val=";"/>
  <w15:docId w15:val="{1366D80D-82E9-48DA-B41E-6F3BE65A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F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B1F77"/>
    <w:rPr>
      <w:b/>
      <w:sz w:val="24"/>
      <w:lang w:val="fr-FR" w:eastAsia="en-US"/>
    </w:rPr>
  </w:style>
  <w:style w:type="character" w:customStyle="1" w:styleId="HeaderChar">
    <w:name w:val="Header Char"/>
    <w:basedOn w:val="DefaultParagraphFont"/>
    <w:link w:val="Header"/>
    <w:rsid w:val="005B1F77"/>
    <w:rPr>
      <w:sz w:val="24"/>
      <w:lang w:val="fr-FR" w:eastAsia="en-US"/>
    </w:rPr>
  </w:style>
  <w:style w:type="character" w:styleId="Hyperlink">
    <w:name w:val="Hyperlink"/>
    <w:basedOn w:val="DefaultParagraphFont"/>
    <w:rsid w:val="005B1F77"/>
    <w:rPr>
      <w:color w:val="0000FF"/>
      <w:u w:val="single"/>
    </w:rPr>
  </w:style>
  <w:style w:type="character" w:customStyle="1" w:styleId="FootnoteTextChar">
    <w:name w:val="Footnote Text Char"/>
    <w:basedOn w:val="DefaultParagraphFont"/>
    <w:link w:val="FootnoteText"/>
    <w:uiPriority w:val="99"/>
    <w:rsid w:val="005B1F7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EE1B7-E3C9-446E-9CBC-D8C7FE7B8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7</Pages>
  <Words>1626</Words>
  <Characters>9266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Al-Yammouni, Hala</cp:lastModifiedBy>
  <cp:revision>16</cp:revision>
  <cp:lastPrinted>2015-08-13T15:40:00Z</cp:lastPrinted>
  <dcterms:created xsi:type="dcterms:W3CDTF">2015-08-07T13:56:00Z</dcterms:created>
  <dcterms:modified xsi:type="dcterms:W3CDTF">2015-08-13T15:44:00Z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