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D189E" w14:textId="77777777" w:rsidR="00CF4EF6" w:rsidRDefault="00CF4EF6" w:rsidP="00CF4EF6">
      <w:bookmarkStart w:id="0" w:name="_GoBack"/>
      <w:bookmarkEnd w:id="0"/>
    </w:p>
    <w:p w14:paraId="01D6611C" w14:textId="77777777" w:rsidR="00CF4EF6" w:rsidRDefault="00CF4EF6" w:rsidP="00CF4EF6"/>
    <w:p w14:paraId="18581E74" w14:textId="77777777" w:rsidR="00CF4EF6" w:rsidRDefault="00CF4EF6" w:rsidP="00CF4EF6"/>
    <w:p w14:paraId="0795133A" w14:textId="77777777" w:rsidR="00CF4EF6" w:rsidRDefault="00CF4EF6" w:rsidP="00CF4EF6"/>
    <w:p w14:paraId="7D0F3C55" w14:textId="77777777" w:rsidR="00CF4EF6" w:rsidRDefault="00CF4EF6" w:rsidP="00CF4EF6"/>
    <w:p w14:paraId="4C8A85C9" w14:textId="77777777" w:rsidR="00CF4EF6" w:rsidRDefault="00CF4EF6" w:rsidP="00CF4EF6"/>
    <w:p w14:paraId="793B4210" w14:textId="77777777" w:rsidR="00CF4EF6" w:rsidRDefault="00CF4EF6" w:rsidP="00CF4EF6"/>
    <w:p w14:paraId="71625C0A" w14:textId="77777777" w:rsidR="00CF4EF6" w:rsidRDefault="00CF4EF6" w:rsidP="00CF4EF6"/>
    <w:p w14:paraId="6571F221" w14:textId="77777777" w:rsidR="00CF4EF6" w:rsidRDefault="00CF4EF6" w:rsidP="00CF4EF6"/>
    <w:p w14:paraId="5F62B7A0" w14:textId="77777777" w:rsidR="00CF4EF6" w:rsidRDefault="00CF4EF6" w:rsidP="00CF4EF6"/>
    <w:p w14:paraId="692B5495" w14:textId="77777777" w:rsidR="00CF4EF6" w:rsidRDefault="00CF4EF6" w:rsidP="00CF4EF6"/>
    <w:p w14:paraId="3E58C1B4" w14:textId="77777777" w:rsidR="00CF4EF6" w:rsidRDefault="00CF4EF6" w:rsidP="00CF4EF6"/>
    <w:tbl>
      <w:tblPr>
        <w:tblW w:w="10089" w:type="dxa"/>
        <w:tblLook w:val="01E0" w:firstRow="1" w:lastRow="1" w:firstColumn="1" w:lastColumn="1" w:noHBand="0" w:noVBand="0"/>
      </w:tblPr>
      <w:tblGrid>
        <w:gridCol w:w="10089"/>
      </w:tblGrid>
      <w:tr w:rsidR="00CF4EF6" w:rsidRPr="00A443C2" w14:paraId="214BED87" w14:textId="77777777" w:rsidTr="00AB3BEE">
        <w:tc>
          <w:tcPr>
            <w:tcW w:w="10089" w:type="dxa"/>
          </w:tcPr>
          <w:p w14:paraId="6E0BED9B" w14:textId="77777777" w:rsidR="00CF4EF6" w:rsidRPr="00B033C8" w:rsidRDefault="00CF4EF6" w:rsidP="00AB3BEE">
            <w:pPr>
              <w:spacing w:before="380" w:line="280" w:lineRule="exact"/>
              <w:jc w:val="right"/>
              <w:rPr>
                <w:rFonts w:ascii="Tahoma" w:hAnsi="Tahoma" w:cs="Tahoma"/>
                <w:b/>
                <w:bCs/>
                <w:iCs/>
                <w:color w:val="243285"/>
                <w:sz w:val="32"/>
                <w:szCs w:val="32"/>
                <w:lang w:val="en-US"/>
              </w:rPr>
            </w:pPr>
          </w:p>
          <w:p w14:paraId="5AA73DA1" w14:textId="77777777" w:rsidR="00CF4EF6" w:rsidRPr="00A443C2" w:rsidRDefault="00CF4EF6" w:rsidP="00D01BA7">
            <w:pPr>
              <w:spacing w:before="380" w:line="280" w:lineRule="exact"/>
              <w:jc w:val="right"/>
              <w:rPr>
                <w:rFonts w:ascii="Tahoma" w:hAnsi="Tahoma" w:cs="Tahoma"/>
                <w:b/>
                <w:bCs/>
                <w:iCs/>
                <w:color w:val="243285"/>
                <w:sz w:val="36"/>
                <w:szCs w:val="36"/>
              </w:rPr>
            </w:pPr>
            <w:proofErr w:type="gramStart"/>
            <w:r w:rsidRPr="00A443C2">
              <w:rPr>
                <w:rFonts w:ascii="Tahoma" w:hAnsi="Tahoma" w:cs="Tahoma"/>
                <w:b/>
                <w:bCs/>
                <w:iCs/>
                <w:color w:val="243285"/>
                <w:sz w:val="36"/>
                <w:szCs w:val="36"/>
              </w:rPr>
              <w:t>Recommandation  UIT</w:t>
            </w:r>
            <w:proofErr w:type="gramEnd"/>
            <w:r w:rsidRPr="00A443C2">
              <w:rPr>
                <w:rFonts w:ascii="Tahoma" w:hAnsi="Tahoma" w:cs="Tahoma"/>
                <w:b/>
                <w:bCs/>
                <w:iCs/>
                <w:color w:val="243285"/>
                <w:sz w:val="36"/>
                <w:szCs w:val="36"/>
              </w:rPr>
              <w:t xml:space="preserve">-R  </w:t>
            </w:r>
            <w:r>
              <w:rPr>
                <w:rFonts w:ascii="Tahoma" w:hAnsi="Tahoma" w:cs="Tahoma"/>
                <w:b/>
                <w:bCs/>
                <w:iCs/>
                <w:color w:val="243285"/>
                <w:sz w:val="36"/>
                <w:szCs w:val="36"/>
              </w:rPr>
              <w:t>SM</w:t>
            </w:r>
            <w:r w:rsidRPr="00A443C2">
              <w:rPr>
                <w:rFonts w:ascii="Tahoma" w:hAnsi="Tahoma" w:cs="Tahoma"/>
                <w:b/>
                <w:bCs/>
                <w:iCs/>
                <w:color w:val="243285"/>
                <w:sz w:val="36"/>
                <w:szCs w:val="36"/>
              </w:rPr>
              <w:t>.</w:t>
            </w:r>
            <w:r w:rsidR="00D01BA7">
              <w:rPr>
                <w:rFonts w:ascii="Tahoma" w:hAnsi="Tahoma" w:cs="Tahoma"/>
                <w:b/>
                <w:bCs/>
                <w:iCs/>
                <w:color w:val="243285"/>
                <w:sz w:val="36"/>
                <w:szCs w:val="36"/>
              </w:rPr>
              <w:t>1896-1</w:t>
            </w:r>
          </w:p>
          <w:p w14:paraId="5CF44019" w14:textId="77777777" w:rsidR="00CF4EF6" w:rsidRPr="00A443C2" w:rsidRDefault="00CF4EF6" w:rsidP="00D01BA7">
            <w:pPr>
              <w:spacing w:before="80" w:line="280" w:lineRule="exact"/>
              <w:jc w:val="right"/>
              <w:rPr>
                <w:rFonts w:ascii="Tahoma" w:hAnsi="Tahoma" w:cs="Tahoma"/>
                <w:b/>
                <w:bCs/>
                <w:iCs/>
                <w:color w:val="243285"/>
                <w:szCs w:val="24"/>
              </w:rPr>
            </w:pPr>
            <w:r w:rsidRPr="00A443C2">
              <w:rPr>
                <w:rFonts w:ascii="Tahoma" w:hAnsi="Tahoma" w:cs="Tahoma"/>
                <w:b/>
                <w:bCs/>
                <w:iCs/>
                <w:color w:val="243285"/>
                <w:szCs w:val="24"/>
              </w:rPr>
              <w:t>(</w:t>
            </w:r>
            <w:r w:rsidR="00D01BA7">
              <w:rPr>
                <w:rFonts w:ascii="Tahoma" w:hAnsi="Tahoma" w:cs="Tahoma"/>
                <w:b/>
                <w:bCs/>
                <w:iCs/>
                <w:color w:val="243285"/>
                <w:szCs w:val="24"/>
              </w:rPr>
              <w:t>09</w:t>
            </w:r>
            <w:r w:rsidRPr="00A443C2">
              <w:rPr>
                <w:rFonts w:ascii="Tahoma" w:hAnsi="Tahoma" w:cs="Tahoma"/>
                <w:b/>
                <w:bCs/>
                <w:iCs/>
                <w:color w:val="243285"/>
                <w:szCs w:val="24"/>
              </w:rPr>
              <w:t>/</w:t>
            </w:r>
            <w:r w:rsidR="00D01BA7">
              <w:rPr>
                <w:rFonts w:ascii="Tahoma" w:hAnsi="Tahoma" w:cs="Tahoma"/>
                <w:b/>
                <w:bCs/>
                <w:iCs/>
                <w:color w:val="243285"/>
                <w:szCs w:val="24"/>
              </w:rPr>
              <w:t>2018</w:t>
            </w:r>
            <w:r w:rsidRPr="00A443C2">
              <w:rPr>
                <w:rFonts w:ascii="Tahoma" w:hAnsi="Tahoma" w:cs="Tahoma"/>
                <w:b/>
                <w:bCs/>
                <w:iCs/>
                <w:color w:val="243285"/>
                <w:szCs w:val="24"/>
              </w:rPr>
              <w:t>)</w:t>
            </w:r>
          </w:p>
        </w:tc>
      </w:tr>
      <w:tr w:rsidR="00CF4EF6" w:rsidRPr="00F54FBD" w14:paraId="25CEB5D8" w14:textId="77777777" w:rsidTr="00AB3BEE">
        <w:tc>
          <w:tcPr>
            <w:tcW w:w="10089" w:type="dxa"/>
          </w:tcPr>
          <w:p w14:paraId="78E423D7" w14:textId="77777777" w:rsidR="00CF4EF6" w:rsidRDefault="00CF4EF6" w:rsidP="00AB3BEE">
            <w:pPr>
              <w:spacing w:before="80" w:line="500" w:lineRule="exact"/>
              <w:jc w:val="right"/>
              <w:rPr>
                <w:rFonts w:ascii="Tahoma" w:hAnsi="Tahoma" w:cs="Tahoma"/>
                <w:b/>
                <w:bCs/>
                <w:iCs/>
                <w:color w:val="243285"/>
                <w:sz w:val="44"/>
                <w:szCs w:val="44"/>
              </w:rPr>
            </w:pPr>
          </w:p>
          <w:p w14:paraId="633FDA1A" w14:textId="77777777" w:rsidR="00CF4EF6" w:rsidRDefault="00D01BA7" w:rsidP="00D01BA7">
            <w:pPr>
              <w:spacing w:before="80" w:line="500" w:lineRule="exact"/>
              <w:jc w:val="right"/>
              <w:rPr>
                <w:rFonts w:ascii="Tahoma" w:hAnsi="Tahoma" w:cs="Tahoma"/>
                <w:b/>
                <w:bCs/>
                <w:iCs/>
                <w:color w:val="243285"/>
                <w:sz w:val="44"/>
                <w:szCs w:val="44"/>
              </w:rPr>
            </w:pPr>
            <w:r w:rsidRPr="00D01BA7">
              <w:rPr>
                <w:rFonts w:ascii="Tahoma" w:hAnsi="Tahoma" w:cs="Tahoma"/>
                <w:b/>
                <w:bCs/>
                <w:iCs/>
                <w:color w:val="243285"/>
                <w:sz w:val="44"/>
                <w:szCs w:val="44"/>
              </w:rPr>
              <w:t>Gammes de fréquences pour une harmonisation mondiale ou régionale</w:t>
            </w:r>
            <w:r w:rsidRPr="00D01BA7">
              <w:rPr>
                <w:rFonts w:ascii="Tahoma" w:hAnsi="Tahoma" w:cs="Tahoma"/>
                <w:b/>
                <w:bCs/>
                <w:iCs/>
                <w:color w:val="243285"/>
                <w:sz w:val="44"/>
                <w:szCs w:val="44"/>
              </w:rPr>
              <w:br/>
              <w:t>des dispositifs de radiocommunication</w:t>
            </w:r>
            <w:r w:rsidRPr="00D01BA7">
              <w:rPr>
                <w:rFonts w:ascii="Tahoma" w:hAnsi="Tahoma" w:cs="Tahoma"/>
                <w:b/>
                <w:bCs/>
                <w:iCs/>
                <w:color w:val="243285"/>
                <w:sz w:val="44"/>
                <w:szCs w:val="44"/>
              </w:rPr>
              <w:br/>
              <w:t>à courte portée</w:t>
            </w:r>
          </w:p>
          <w:p w14:paraId="239EFFF9" w14:textId="77777777" w:rsidR="00CF4EF6" w:rsidRPr="00F54FBD" w:rsidRDefault="00CF4EF6" w:rsidP="00AB3BEE">
            <w:pPr>
              <w:spacing w:before="80" w:line="500" w:lineRule="exact"/>
              <w:jc w:val="right"/>
              <w:rPr>
                <w:rFonts w:ascii="Tahoma" w:hAnsi="Tahoma" w:cs="Tahoma"/>
                <w:b/>
                <w:bCs/>
                <w:iCs/>
                <w:color w:val="243285"/>
                <w:sz w:val="44"/>
                <w:szCs w:val="44"/>
              </w:rPr>
            </w:pPr>
          </w:p>
        </w:tc>
      </w:tr>
      <w:tr w:rsidR="00CF4EF6" w:rsidRPr="00F54FBD" w14:paraId="1FEFE453" w14:textId="77777777" w:rsidTr="00AB3BEE">
        <w:tc>
          <w:tcPr>
            <w:tcW w:w="10089" w:type="dxa"/>
          </w:tcPr>
          <w:p w14:paraId="0622F6C4" w14:textId="77777777" w:rsidR="00CF4EF6" w:rsidRPr="00F54FBD" w:rsidRDefault="00CF4EF6" w:rsidP="00AB3BEE">
            <w:pPr>
              <w:spacing w:before="80" w:line="280" w:lineRule="exact"/>
              <w:ind w:right="640"/>
              <w:rPr>
                <w:rFonts w:ascii="Tahoma" w:hAnsi="Tahoma" w:cs="Tahoma"/>
                <w:b/>
                <w:bCs/>
                <w:iCs/>
                <w:color w:val="243285"/>
                <w:sz w:val="32"/>
                <w:szCs w:val="32"/>
              </w:rPr>
            </w:pPr>
          </w:p>
          <w:p w14:paraId="066161C6" w14:textId="77777777" w:rsidR="00CF4EF6" w:rsidRPr="00F54FBD" w:rsidRDefault="00CF4EF6" w:rsidP="00AB3BEE">
            <w:pPr>
              <w:spacing w:before="80" w:line="280" w:lineRule="exact"/>
              <w:ind w:right="640"/>
              <w:rPr>
                <w:rFonts w:ascii="Tahoma" w:hAnsi="Tahoma" w:cs="Tahoma"/>
                <w:b/>
                <w:bCs/>
                <w:iCs/>
                <w:color w:val="243285"/>
                <w:sz w:val="32"/>
                <w:szCs w:val="32"/>
              </w:rPr>
            </w:pPr>
          </w:p>
          <w:p w14:paraId="60F08E9E" w14:textId="77777777" w:rsidR="00CF4EF6" w:rsidRPr="00F54FBD" w:rsidRDefault="00CF4EF6" w:rsidP="00AB3BEE">
            <w:pPr>
              <w:spacing w:before="80" w:after="180" w:line="360" w:lineRule="exact"/>
              <w:ind w:right="720"/>
              <w:rPr>
                <w:rFonts w:ascii="Tahoma" w:hAnsi="Tahoma" w:cs="Tahoma"/>
                <w:b/>
                <w:bCs/>
                <w:iCs/>
                <w:color w:val="243285"/>
                <w:sz w:val="36"/>
                <w:szCs w:val="36"/>
              </w:rPr>
            </w:pPr>
          </w:p>
          <w:p w14:paraId="079C2B41" w14:textId="77777777" w:rsidR="00CF4EF6" w:rsidRPr="00F54FBD" w:rsidRDefault="00CF4EF6" w:rsidP="00AB3BEE">
            <w:pPr>
              <w:spacing w:before="80" w:after="180" w:line="360" w:lineRule="exact"/>
              <w:jc w:val="right"/>
              <w:rPr>
                <w:rFonts w:ascii="Tahoma" w:hAnsi="Tahoma" w:cs="Tahoma"/>
                <w:b/>
                <w:bCs/>
                <w:iCs/>
                <w:color w:val="243285"/>
                <w:sz w:val="36"/>
                <w:szCs w:val="36"/>
              </w:rPr>
            </w:pPr>
            <w:r w:rsidRPr="00F54FBD">
              <w:rPr>
                <w:rFonts w:ascii="Tahoma" w:hAnsi="Tahoma" w:cs="Tahoma"/>
                <w:b/>
                <w:bCs/>
                <w:iCs/>
                <w:color w:val="243285"/>
                <w:sz w:val="36"/>
                <w:szCs w:val="36"/>
              </w:rPr>
              <w:t xml:space="preserve">Série </w:t>
            </w:r>
            <w:r>
              <w:rPr>
                <w:rFonts w:ascii="Tahoma" w:hAnsi="Tahoma" w:cs="Tahoma"/>
                <w:b/>
                <w:bCs/>
                <w:iCs/>
                <w:color w:val="243285"/>
                <w:sz w:val="36"/>
                <w:szCs w:val="36"/>
              </w:rPr>
              <w:t>SM</w:t>
            </w:r>
          </w:p>
          <w:p w14:paraId="0D3406A7" w14:textId="77777777" w:rsidR="00CF4EF6" w:rsidRPr="00F54FBD" w:rsidRDefault="00CF4EF6" w:rsidP="00AB3BEE">
            <w:pPr>
              <w:spacing w:before="80" w:line="420" w:lineRule="exact"/>
              <w:jc w:val="right"/>
              <w:rPr>
                <w:rFonts w:ascii="Tahoma" w:hAnsi="Tahoma" w:cs="Tahoma"/>
                <w:b/>
                <w:bCs/>
                <w:iCs/>
                <w:color w:val="243285"/>
                <w:sz w:val="36"/>
                <w:szCs w:val="36"/>
              </w:rPr>
            </w:pPr>
            <w:r>
              <w:rPr>
                <w:rFonts w:ascii="Tahoma" w:hAnsi="Tahoma" w:cs="Tahoma"/>
                <w:b/>
                <w:bCs/>
                <w:iCs/>
                <w:color w:val="243285"/>
                <w:sz w:val="36"/>
                <w:szCs w:val="36"/>
              </w:rPr>
              <w:t>Gestion du spectre</w:t>
            </w:r>
          </w:p>
        </w:tc>
      </w:tr>
    </w:tbl>
    <w:p w14:paraId="51170BB5" w14:textId="77777777" w:rsidR="00CF4EF6" w:rsidRPr="00F54FBD" w:rsidRDefault="00CF4EF6" w:rsidP="00CF4EF6">
      <w:pPr>
        <w:spacing w:before="80"/>
        <w:rPr>
          <w:i/>
          <w:sz w:val="22"/>
        </w:rPr>
      </w:pPr>
    </w:p>
    <w:p w14:paraId="7C290A7F" w14:textId="77777777" w:rsidR="00CF4EF6" w:rsidRPr="00F54FBD" w:rsidRDefault="00CF4EF6" w:rsidP="00CF4EF6">
      <w:pPr>
        <w:spacing w:before="80"/>
        <w:rPr>
          <w:i/>
          <w:sz w:val="22"/>
        </w:rPr>
      </w:pPr>
    </w:p>
    <w:p w14:paraId="4D84B1FB" w14:textId="77777777" w:rsidR="00CF4EF6" w:rsidRPr="00F54FBD" w:rsidRDefault="00CF4EF6" w:rsidP="00CF4EF6">
      <w:pPr>
        <w:spacing w:before="80"/>
        <w:rPr>
          <w:i/>
          <w:sz w:val="22"/>
        </w:rPr>
      </w:pPr>
    </w:p>
    <w:p w14:paraId="76ACD028" w14:textId="77777777" w:rsidR="00CF4EF6" w:rsidRPr="00F54FBD" w:rsidRDefault="00CF4EF6" w:rsidP="00CF4EF6">
      <w:pPr>
        <w:spacing w:before="80"/>
        <w:rPr>
          <w:i/>
          <w:sz w:val="22"/>
        </w:rPr>
      </w:pPr>
    </w:p>
    <w:p w14:paraId="5EBA96E6" w14:textId="77777777" w:rsidR="00CF4EF6" w:rsidRPr="00F54FBD" w:rsidRDefault="00CF4EF6" w:rsidP="00CF4EF6">
      <w:pPr>
        <w:spacing w:before="80"/>
        <w:rPr>
          <w:i/>
          <w:sz w:val="22"/>
        </w:rPr>
      </w:pPr>
    </w:p>
    <w:p w14:paraId="373BE5E0" w14:textId="77777777" w:rsidR="00CF4EF6" w:rsidRPr="00F54FBD" w:rsidRDefault="00CF4EF6" w:rsidP="00CF4EF6">
      <w:pPr>
        <w:spacing w:before="80"/>
        <w:rPr>
          <w:i/>
          <w:sz w:val="22"/>
        </w:rPr>
      </w:pPr>
    </w:p>
    <w:p w14:paraId="0FEE8092" w14:textId="77777777" w:rsidR="00CF4EF6" w:rsidRPr="00F54FBD" w:rsidRDefault="00CF4EF6" w:rsidP="00CF4EF6">
      <w:pPr>
        <w:pStyle w:val="Equation"/>
        <w:tabs>
          <w:tab w:val="clear" w:pos="4820"/>
          <w:tab w:val="clear" w:pos="9639"/>
          <w:tab w:val="left" w:pos="1191"/>
          <w:tab w:val="left" w:pos="1588"/>
          <w:tab w:val="left" w:pos="1985"/>
        </w:tabs>
        <w:rPr>
          <w:rFonts w:ascii="Palatino Linotype" w:hAnsi="Palatino Linotype"/>
        </w:rPr>
        <w:sectPr w:rsidR="00CF4EF6" w:rsidRPr="00F54FBD">
          <w:headerReference w:type="even" r:id="rId6"/>
          <w:headerReference w:type="default" r:id="rId7"/>
          <w:pgSz w:w="11907" w:h="16840" w:code="9"/>
          <w:pgMar w:top="1089" w:right="1089" w:bottom="284" w:left="1089" w:header="567" w:footer="284" w:gutter="0"/>
          <w:pgNumType w:start="1"/>
          <w:cols w:space="720"/>
        </w:sectPr>
      </w:pPr>
    </w:p>
    <w:p w14:paraId="4BC70B60" w14:textId="77777777" w:rsidR="00CF4EF6" w:rsidRPr="00F54FBD" w:rsidRDefault="00CF4EF6" w:rsidP="00CF4EF6">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80" w:after="0"/>
        <w:rPr>
          <w:bCs/>
          <w:sz w:val="24"/>
          <w:szCs w:val="24"/>
        </w:rPr>
      </w:pPr>
      <w:bookmarkStart w:id="1" w:name="c2tope"/>
      <w:bookmarkEnd w:id="1"/>
      <w:r w:rsidRPr="00F54FBD">
        <w:rPr>
          <w:bCs/>
          <w:sz w:val="24"/>
          <w:szCs w:val="24"/>
        </w:rPr>
        <w:lastRenderedPageBreak/>
        <w:t>Avant-propos</w:t>
      </w:r>
    </w:p>
    <w:p w14:paraId="2E0C2D67" w14:textId="77777777" w:rsidR="00CF4EF6" w:rsidRPr="00F54FBD" w:rsidRDefault="00CF4EF6" w:rsidP="00CF4EF6">
      <w:pPr>
        <w:spacing w:before="240"/>
        <w:rPr>
          <w:sz w:val="20"/>
        </w:rPr>
      </w:pPr>
      <w:r w:rsidRPr="00F54FBD">
        <w:rPr>
          <w:sz w:val="20"/>
        </w:rPr>
        <w:t xml:space="preserve">Le rôle du Secteur des radiocommunications est d’assurer l’utilisation rationnelle, </w:t>
      </w:r>
      <w:r>
        <w:rPr>
          <w:sz w:val="20"/>
        </w:rPr>
        <w:t>équitable, efficace et économique du spectre radioélectrique par tous les services de radiocommunication, y compris les services par satellite, et de procéder à des études pour toutes les gammes de fréquences, à partir desquelles les Recommandations seront élaborées et adoptées.</w:t>
      </w:r>
    </w:p>
    <w:p w14:paraId="2436A5DB" w14:textId="77777777" w:rsidR="00CF4EF6" w:rsidRPr="00F54FBD" w:rsidRDefault="00CF4EF6" w:rsidP="00CF4EF6">
      <w:pPr>
        <w:rPr>
          <w:sz w:val="20"/>
        </w:rPr>
      </w:pPr>
      <w:r w:rsidRPr="00F54FBD">
        <w:rPr>
          <w:sz w:val="20"/>
        </w:rPr>
        <w:t xml:space="preserve">Les </w:t>
      </w:r>
      <w:r>
        <w:rPr>
          <w:sz w:val="20"/>
        </w:rPr>
        <w:t>fo</w:t>
      </w:r>
      <w:r w:rsidRPr="00F54FBD">
        <w:rPr>
          <w:sz w:val="20"/>
        </w:rPr>
        <w:t>nctions réglementaires et politiques du Secteur des ra</w:t>
      </w:r>
      <w:r>
        <w:rPr>
          <w:sz w:val="20"/>
        </w:rPr>
        <w:t>diocommunications sont remplies par les Conférences mondiales et régionales des radiocommunications et par les Assemblées des radiocommunications assistées par les Commissions d’études.</w:t>
      </w:r>
    </w:p>
    <w:p w14:paraId="5F858970" w14:textId="77777777" w:rsidR="00CF4EF6" w:rsidRPr="00E44CBB" w:rsidRDefault="00CF4EF6" w:rsidP="00CF4EF6">
      <w:pPr>
        <w:pStyle w:val="Heading1"/>
        <w:spacing w:before="360"/>
        <w:jc w:val="center"/>
        <w:rPr>
          <w:szCs w:val="24"/>
        </w:rPr>
      </w:pPr>
      <w:r w:rsidRPr="003F6436">
        <w:rPr>
          <w:szCs w:val="24"/>
        </w:rPr>
        <w:t>Politique en matière de droits de propriété intellectuelle</w:t>
      </w:r>
      <w:r w:rsidRPr="00E44CBB">
        <w:rPr>
          <w:szCs w:val="24"/>
        </w:rPr>
        <w:t xml:space="preserve"> (IPR)</w:t>
      </w:r>
    </w:p>
    <w:p w14:paraId="20F68773" w14:textId="77777777" w:rsidR="00CF4EF6" w:rsidRPr="00E44CBB" w:rsidRDefault="00CF4EF6" w:rsidP="00CF4EF6">
      <w:pPr>
        <w:spacing w:before="240"/>
        <w:rPr>
          <w:sz w:val="20"/>
          <w:lang w:val="fr-CH"/>
        </w:rPr>
      </w:pPr>
      <w:r w:rsidRPr="00E44CBB">
        <w:rPr>
          <w:sz w:val="20"/>
        </w:rPr>
        <w:t>La politique de l'UIT</w:t>
      </w:r>
      <w:r w:rsidRPr="00E44CBB">
        <w:rPr>
          <w:sz w:val="20"/>
        </w:rPr>
        <w:noBreakHyphen/>
        <w:t xml:space="preserve">R en matière de droits de propriété intellectuelle est décrite dans la </w:t>
      </w:r>
      <w:r w:rsidRPr="00E44CBB">
        <w:rPr>
          <w:sz w:val="20"/>
          <w:lang w:val="fr-CH"/>
        </w:rPr>
        <w:t>«Politique commune de l'UIT</w:t>
      </w:r>
      <w:r w:rsidRPr="00E44CBB">
        <w:rPr>
          <w:sz w:val="20"/>
          <w:lang w:val="fr-CH"/>
        </w:rPr>
        <w:noBreakHyphen/>
        <w:t>T, l'UIT</w:t>
      </w:r>
      <w:r w:rsidRPr="00E44CBB">
        <w:rPr>
          <w:sz w:val="20"/>
          <w:lang w:val="fr-CH"/>
        </w:rPr>
        <w:noBreakHyphen/>
        <w:t xml:space="preserve">R, l'ISO et la CEI en matière de brevets», dont il est question dans la Résolution UIT-R 1. </w:t>
      </w:r>
      <w:r w:rsidRPr="00E44CBB">
        <w:rPr>
          <w:sz w:val="20"/>
        </w:rPr>
        <w:t xml:space="preserve">Les formulaires que les titulaires de brevets doivent utiliser pour soumettre les déclarations de brevet et d'octroi de licence sont accessibles à l'adresse </w:t>
      </w:r>
      <w:hyperlink r:id="rId8" w:history="1">
        <w:r w:rsidRPr="00E44CBB">
          <w:rPr>
            <w:rStyle w:val="Hyperlink"/>
            <w:sz w:val="20"/>
          </w:rPr>
          <w:t>http://www.itu.int/ITU-R/go/patents/fr</w:t>
        </w:r>
      </w:hyperlink>
      <w:r w:rsidRPr="00E44CBB">
        <w:rPr>
          <w:sz w:val="20"/>
        </w:rPr>
        <w:t>, où l'on trouvera également les Lignes directrices pour la mise en oeuvre de la politique commune en matière de brevets de l'UIT</w:t>
      </w:r>
      <w:r w:rsidRPr="00E44CBB">
        <w:rPr>
          <w:sz w:val="20"/>
        </w:rPr>
        <w:noBreakHyphen/>
        <w:t>T, l'UIT</w:t>
      </w:r>
      <w:r w:rsidRPr="00E44CBB">
        <w:rPr>
          <w:sz w:val="20"/>
        </w:rPr>
        <w:noBreakHyphen/>
        <w:t>R, l'ISO et la CEI</w:t>
      </w:r>
      <w:r w:rsidRPr="00E44CBB" w:rsidDel="0061025C">
        <w:rPr>
          <w:sz w:val="20"/>
        </w:rPr>
        <w:t xml:space="preserve"> </w:t>
      </w:r>
      <w:r w:rsidRPr="00E44CBB">
        <w:rPr>
          <w:sz w:val="20"/>
        </w:rPr>
        <w:t>et la base de données en matière de brevets de l'UIT-R.</w:t>
      </w:r>
    </w:p>
    <w:p w14:paraId="2CB700A0" w14:textId="77777777" w:rsidR="00CF4EF6" w:rsidRPr="00A63080" w:rsidRDefault="00CF4EF6" w:rsidP="00CF4EF6">
      <w:pPr>
        <w:spacing w:before="240"/>
        <w:jc w:val="center"/>
        <w:rPr>
          <w:sz w:val="22"/>
          <w:lang w:val="fr-CH"/>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000" w:firstRow="0" w:lastRow="0" w:firstColumn="0" w:lastColumn="0" w:noHBand="0" w:noVBand="0"/>
      </w:tblPr>
      <w:tblGrid>
        <w:gridCol w:w="1138"/>
        <w:gridCol w:w="8183"/>
      </w:tblGrid>
      <w:tr w:rsidR="00CF4EF6" w:rsidRPr="009454F8" w14:paraId="112C881C" w14:textId="77777777" w:rsidTr="00AB3BEE">
        <w:tc>
          <w:tcPr>
            <w:tcW w:w="9360" w:type="dxa"/>
            <w:gridSpan w:val="2"/>
          </w:tcPr>
          <w:p w14:paraId="039FB64C" w14:textId="77777777" w:rsidR="00CF4EF6" w:rsidRPr="009454F8" w:rsidRDefault="00CF4EF6" w:rsidP="00AB3BEE">
            <w:pPr>
              <w:pStyle w:val="Chaptitle"/>
              <w:keepLines w:val="0"/>
              <w:tabs>
                <w:tab w:val="clear" w:pos="794"/>
                <w:tab w:val="clear" w:pos="1191"/>
                <w:tab w:val="clear" w:pos="1588"/>
                <w:tab w:val="clear" w:pos="1985"/>
              </w:tabs>
              <w:overflowPunct/>
              <w:spacing w:before="140"/>
              <w:textAlignment w:val="auto"/>
              <w:rPr>
                <w:sz w:val="22"/>
                <w:szCs w:val="22"/>
              </w:rPr>
            </w:pPr>
            <w:r w:rsidRPr="009454F8">
              <w:rPr>
                <w:sz w:val="22"/>
                <w:szCs w:val="22"/>
              </w:rPr>
              <w:t>Séries des Recommandations UIT-R</w:t>
            </w:r>
            <w:r>
              <w:rPr>
                <w:sz w:val="22"/>
                <w:szCs w:val="22"/>
              </w:rPr>
              <w:t xml:space="preserve"> </w:t>
            </w:r>
          </w:p>
          <w:p w14:paraId="21212F9E" w14:textId="77777777" w:rsidR="00CF4EF6" w:rsidRPr="009454F8" w:rsidRDefault="00CF4EF6" w:rsidP="00AB3BEE">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rPr>
            </w:pPr>
            <w:r w:rsidRPr="00BC0651">
              <w:rPr>
                <w:b w:val="0"/>
                <w:sz w:val="18"/>
                <w:szCs w:val="18"/>
              </w:rPr>
              <w:t>(</w:t>
            </w:r>
            <w:r w:rsidRPr="009454F8">
              <w:rPr>
                <w:b w:val="0"/>
                <w:sz w:val="18"/>
                <w:szCs w:val="18"/>
              </w:rPr>
              <w:t xml:space="preserve">Egalement disponible en ligne: </w:t>
            </w:r>
            <w:hyperlink r:id="rId9" w:history="1">
              <w:r>
                <w:rPr>
                  <w:rStyle w:val="Hyperlink"/>
                  <w:b w:val="0"/>
                  <w:bCs/>
                  <w:sz w:val="18"/>
                  <w:szCs w:val="18"/>
                </w:rPr>
                <w:t>http://www.itu.int/publ/R-REC/fr</w:t>
              </w:r>
            </w:hyperlink>
            <w:r w:rsidRPr="00BC0651">
              <w:rPr>
                <w:b w:val="0"/>
                <w:bCs/>
                <w:sz w:val="18"/>
                <w:szCs w:val="18"/>
              </w:rPr>
              <w:t>)</w:t>
            </w:r>
          </w:p>
        </w:tc>
      </w:tr>
      <w:tr w:rsidR="00CF4EF6" w:rsidRPr="00036EE3" w14:paraId="62AF15CC" w14:textId="77777777" w:rsidTr="00AB3BEE">
        <w:tc>
          <w:tcPr>
            <w:tcW w:w="1140" w:type="dxa"/>
            <w:tcBorders>
              <w:bottom w:val="nil"/>
            </w:tcBorders>
          </w:tcPr>
          <w:p w14:paraId="746E4720" w14:textId="77777777" w:rsidR="00CF4EF6" w:rsidRPr="00614CC6" w:rsidRDefault="00CF4EF6" w:rsidP="00AB3BEE">
            <w:pPr>
              <w:spacing w:before="90" w:after="100"/>
              <w:ind w:left="57"/>
              <w:rPr>
                <w:b/>
                <w:bCs/>
                <w:sz w:val="20"/>
                <w:lang w:val="en-US"/>
              </w:rPr>
            </w:pPr>
            <w:r w:rsidRPr="00614CC6">
              <w:rPr>
                <w:b/>
                <w:bCs/>
                <w:sz w:val="20"/>
                <w:lang w:val="en-US"/>
              </w:rPr>
              <w:t>Séries</w:t>
            </w:r>
          </w:p>
        </w:tc>
        <w:tc>
          <w:tcPr>
            <w:tcW w:w="8220" w:type="dxa"/>
            <w:tcBorders>
              <w:bottom w:val="nil"/>
            </w:tcBorders>
          </w:tcPr>
          <w:p w14:paraId="45AB963A" w14:textId="77777777" w:rsidR="00CF4EF6" w:rsidRPr="00614CC6" w:rsidRDefault="00CF4EF6" w:rsidP="00AB3BEE">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90" w:after="100"/>
              <w:rPr>
                <w:bCs/>
                <w:sz w:val="20"/>
                <w:lang w:val="en-US"/>
              </w:rPr>
            </w:pPr>
            <w:r w:rsidRPr="00614CC6">
              <w:rPr>
                <w:bCs/>
                <w:sz w:val="20"/>
                <w:lang w:val="en-US"/>
              </w:rPr>
              <w:t>Titre</w:t>
            </w:r>
          </w:p>
        </w:tc>
      </w:tr>
      <w:tr w:rsidR="00CF4EF6" w:rsidRPr="005E427C" w14:paraId="7DDF5319" w14:textId="77777777" w:rsidTr="00AB3BEE">
        <w:tc>
          <w:tcPr>
            <w:tcW w:w="1140" w:type="dxa"/>
            <w:tcBorders>
              <w:top w:val="nil"/>
              <w:bottom w:val="nil"/>
            </w:tcBorders>
            <w:shd w:val="clear" w:color="auto" w:fill="auto"/>
          </w:tcPr>
          <w:p w14:paraId="71E40E12" w14:textId="77777777" w:rsidR="00CF4EF6" w:rsidRPr="005E427C" w:rsidRDefault="00CF4EF6" w:rsidP="00AB3BEE">
            <w:pPr>
              <w:spacing w:before="30" w:after="30"/>
              <w:ind w:left="57"/>
              <w:jc w:val="left"/>
              <w:rPr>
                <w:b/>
                <w:bCs/>
                <w:sz w:val="20"/>
                <w:lang w:val="en-US"/>
              </w:rPr>
            </w:pPr>
            <w:r w:rsidRPr="005E427C">
              <w:rPr>
                <w:b/>
                <w:bCs/>
                <w:sz w:val="20"/>
                <w:lang w:val="en-US"/>
              </w:rPr>
              <w:t>BO</w:t>
            </w:r>
          </w:p>
        </w:tc>
        <w:tc>
          <w:tcPr>
            <w:tcW w:w="8220" w:type="dxa"/>
            <w:tcBorders>
              <w:top w:val="nil"/>
              <w:bottom w:val="nil"/>
            </w:tcBorders>
            <w:shd w:val="clear" w:color="auto" w:fill="auto"/>
          </w:tcPr>
          <w:p w14:paraId="54FCB602" w14:textId="77777777" w:rsidR="00CF4EF6" w:rsidRPr="005E427C" w:rsidRDefault="00CF4EF6" w:rsidP="00AB3BEE">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5E427C">
              <w:rPr>
                <w:b w:val="0"/>
                <w:sz w:val="20"/>
              </w:rPr>
              <w:t>Diffusion par satellite</w:t>
            </w:r>
          </w:p>
        </w:tc>
      </w:tr>
      <w:tr w:rsidR="00CF4EF6" w:rsidRPr="009454F8" w14:paraId="0872A1D9" w14:textId="77777777" w:rsidTr="00AB3BEE">
        <w:tc>
          <w:tcPr>
            <w:tcW w:w="1140" w:type="dxa"/>
            <w:tcBorders>
              <w:top w:val="nil"/>
              <w:bottom w:val="nil"/>
            </w:tcBorders>
          </w:tcPr>
          <w:p w14:paraId="7B83E741" w14:textId="77777777" w:rsidR="00CF4EF6" w:rsidRPr="00614CC6" w:rsidRDefault="00CF4EF6" w:rsidP="00AB3BEE">
            <w:pPr>
              <w:spacing w:before="30" w:after="30"/>
              <w:ind w:left="57"/>
              <w:jc w:val="left"/>
              <w:rPr>
                <w:b/>
                <w:bCs/>
                <w:sz w:val="20"/>
                <w:lang w:val="en-US"/>
              </w:rPr>
            </w:pPr>
            <w:r w:rsidRPr="00614CC6">
              <w:rPr>
                <w:b/>
                <w:bCs/>
                <w:sz w:val="20"/>
                <w:lang w:val="en-US"/>
              </w:rPr>
              <w:t>BR</w:t>
            </w:r>
          </w:p>
        </w:tc>
        <w:tc>
          <w:tcPr>
            <w:tcW w:w="8220" w:type="dxa"/>
            <w:tcBorders>
              <w:top w:val="nil"/>
              <w:bottom w:val="nil"/>
            </w:tcBorders>
          </w:tcPr>
          <w:p w14:paraId="0E4BAE83" w14:textId="77777777" w:rsidR="00CF4EF6" w:rsidRPr="00614CC6" w:rsidRDefault="00CF4EF6" w:rsidP="00AB3BEE">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rPr>
            </w:pPr>
            <w:r w:rsidRPr="00614CC6">
              <w:rPr>
                <w:b w:val="0"/>
                <w:bCs/>
                <w:sz w:val="20"/>
              </w:rPr>
              <w:t>Enregistrement pour la production, l'archivage et la diffusion; films pour la télévision</w:t>
            </w:r>
          </w:p>
        </w:tc>
      </w:tr>
      <w:tr w:rsidR="00CF4EF6" w:rsidRPr="00E80F1D" w14:paraId="52B17893" w14:textId="77777777" w:rsidTr="00AB3BEE">
        <w:tc>
          <w:tcPr>
            <w:tcW w:w="1140" w:type="dxa"/>
            <w:tcBorders>
              <w:top w:val="nil"/>
              <w:bottom w:val="nil"/>
            </w:tcBorders>
            <w:shd w:val="clear" w:color="auto" w:fill="auto"/>
          </w:tcPr>
          <w:p w14:paraId="30B7B589" w14:textId="77777777" w:rsidR="00CF4EF6" w:rsidRPr="00E80F1D" w:rsidRDefault="00CF4EF6" w:rsidP="00AB3BEE">
            <w:pPr>
              <w:spacing w:before="30" w:after="30"/>
              <w:ind w:left="57"/>
              <w:jc w:val="left"/>
              <w:rPr>
                <w:b/>
                <w:bCs/>
                <w:sz w:val="20"/>
                <w:lang w:val="en-US"/>
              </w:rPr>
            </w:pPr>
            <w:r w:rsidRPr="00E80F1D">
              <w:rPr>
                <w:b/>
                <w:bCs/>
                <w:sz w:val="20"/>
                <w:lang w:val="en-US"/>
              </w:rPr>
              <w:t>BS</w:t>
            </w:r>
          </w:p>
        </w:tc>
        <w:tc>
          <w:tcPr>
            <w:tcW w:w="8220" w:type="dxa"/>
            <w:tcBorders>
              <w:top w:val="nil"/>
              <w:bottom w:val="nil"/>
            </w:tcBorders>
            <w:shd w:val="clear" w:color="auto" w:fill="auto"/>
          </w:tcPr>
          <w:p w14:paraId="12BC08FC" w14:textId="77777777" w:rsidR="00CF4EF6" w:rsidRPr="00E80F1D" w:rsidRDefault="00CF4EF6" w:rsidP="00AB3BEE">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E80F1D">
              <w:rPr>
                <w:b w:val="0"/>
                <w:sz w:val="20"/>
              </w:rPr>
              <w:t>Service de radiodiffusion sonore</w:t>
            </w:r>
          </w:p>
        </w:tc>
      </w:tr>
      <w:tr w:rsidR="00CF4EF6" w:rsidRPr="00ED2695" w14:paraId="04799C04" w14:textId="77777777" w:rsidTr="00AB3BEE">
        <w:tc>
          <w:tcPr>
            <w:tcW w:w="1140" w:type="dxa"/>
            <w:tcBorders>
              <w:top w:val="nil"/>
              <w:bottom w:val="nil"/>
            </w:tcBorders>
            <w:shd w:val="clear" w:color="auto" w:fill="auto"/>
          </w:tcPr>
          <w:p w14:paraId="7D6B6EBF" w14:textId="77777777" w:rsidR="00CF4EF6" w:rsidRPr="00614CC6" w:rsidRDefault="00CF4EF6" w:rsidP="00AB3BEE">
            <w:pPr>
              <w:spacing w:before="30" w:after="30"/>
              <w:ind w:left="57"/>
              <w:jc w:val="left"/>
              <w:rPr>
                <w:b/>
                <w:bCs/>
                <w:sz w:val="20"/>
                <w:lang w:val="en-US"/>
              </w:rPr>
            </w:pPr>
            <w:r w:rsidRPr="00614CC6">
              <w:rPr>
                <w:b/>
                <w:bCs/>
                <w:sz w:val="20"/>
                <w:lang w:val="en-US"/>
              </w:rPr>
              <w:t>BT</w:t>
            </w:r>
          </w:p>
        </w:tc>
        <w:tc>
          <w:tcPr>
            <w:tcW w:w="8220" w:type="dxa"/>
            <w:tcBorders>
              <w:top w:val="nil"/>
              <w:bottom w:val="nil"/>
            </w:tcBorders>
            <w:shd w:val="clear" w:color="auto" w:fill="auto"/>
          </w:tcPr>
          <w:p w14:paraId="1D84A34E" w14:textId="77777777" w:rsidR="00CF4EF6" w:rsidRPr="00614CC6" w:rsidRDefault="00CF4EF6" w:rsidP="00AB3BEE">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614CC6">
              <w:rPr>
                <w:b w:val="0"/>
                <w:bCs/>
                <w:sz w:val="20"/>
              </w:rPr>
              <w:t>Service de radiodiffusion télévisuelle</w:t>
            </w:r>
          </w:p>
        </w:tc>
      </w:tr>
      <w:tr w:rsidR="00CF4EF6" w:rsidRPr="00DE5EA2" w14:paraId="7BB4C4E7" w14:textId="77777777" w:rsidTr="00AB3BEE">
        <w:tc>
          <w:tcPr>
            <w:tcW w:w="1140" w:type="dxa"/>
            <w:tcBorders>
              <w:top w:val="nil"/>
              <w:bottom w:val="nil"/>
            </w:tcBorders>
            <w:shd w:val="clear" w:color="auto" w:fill="auto"/>
          </w:tcPr>
          <w:p w14:paraId="4862ED2A" w14:textId="77777777" w:rsidR="00CF4EF6" w:rsidRPr="00DE5EA2" w:rsidRDefault="00CF4EF6" w:rsidP="00AB3BEE">
            <w:pPr>
              <w:spacing w:before="30" w:after="30"/>
              <w:ind w:left="57"/>
              <w:jc w:val="left"/>
              <w:rPr>
                <w:b/>
                <w:bCs/>
                <w:sz w:val="20"/>
                <w:lang w:val="fr-CH"/>
              </w:rPr>
            </w:pPr>
            <w:r w:rsidRPr="00DE5EA2">
              <w:rPr>
                <w:b/>
                <w:bCs/>
                <w:sz w:val="20"/>
                <w:lang w:val="fr-CH"/>
              </w:rPr>
              <w:t>F</w:t>
            </w:r>
          </w:p>
        </w:tc>
        <w:tc>
          <w:tcPr>
            <w:tcW w:w="8220" w:type="dxa"/>
            <w:tcBorders>
              <w:top w:val="nil"/>
              <w:bottom w:val="nil"/>
            </w:tcBorders>
            <w:shd w:val="clear" w:color="auto" w:fill="auto"/>
          </w:tcPr>
          <w:p w14:paraId="16314871" w14:textId="77777777" w:rsidR="00CF4EF6" w:rsidRPr="00DE5EA2" w:rsidRDefault="00CF4EF6" w:rsidP="00AB3BEE">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fr-CH"/>
              </w:rPr>
            </w:pPr>
            <w:r w:rsidRPr="00DE5EA2">
              <w:rPr>
                <w:sz w:val="20"/>
              </w:rPr>
              <w:t>Service fixe</w:t>
            </w:r>
          </w:p>
        </w:tc>
      </w:tr>
      <w:tr w:rsidR="00CF4EF6" w:rsidRPr="00B21066" w14:paraId="48DB08E6" w14:textId="77777777" w:rsidTr="00AB3BEE">
        <w:tc>
          <w:tcPr>
            <w:tcW w:w="1140" w:type="dxa"/>
            <w:tcBorders>
              <w:top w:val="nil"/>
              <w:bottom w:val="nil"/>
            </w:tcBorders>
            <w:shd w:val="clear" w:color="auto" w:fill="auto"/>
          </w:tcPr>
          <w:p w14:paraId="60F2D86A" w14:textId="77777777" w:rsidR="00CF4EF6" w:rsidRPr="00B21066" w:rsidRDefault="00CF4EF6" w:rsidP="00AB3BEE">
            <w:pPr>
              <w:spacing w:before="30" w:after="30"/>
              <w:ind w:left="57"/>
              <w:jc w:val="left"/>
              <w:rPr>
                <w:b/>
                <w:bCs/>
                <w:sz w:val="20"/>
                <w:lang w:val="en-US"/>
              </w:rPr>
            </w:pPr>
            <w:r w:rsidRPr="00B21066">
              <w:rPr>
                <w:b/>
                <w:bCs/>
                <w:sz w:val="20"/>
                <w:lang w:val="en-US"/>
              </w:rPr>
              <w:t>M</w:t>
            </w:r>
          </w:p>
        </w:tc>
        <w:tc>
          <w:tcPr>
            <w:tcW w:w="8220" w:type="dxa"/>
            <w:tcBorders>
              <w:top w:val="nil"/>
              <w:bottom w:val="nil"/>
            </w:tcBorders>
            <w:shd w:val="clear" w:color="auto" w:fill="auto"/>
          </w:tcPr>
          <w:p w14:paraId="5F653625" w14:textId="77777777" w:rsidR="00CF4EF6" w:rsidRPr="00B21066" w:rsidRDefault="00CF4EF6" w:rsidP="00AB3BEE">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rPr>
            </w:pPr>
            <w:r w:rsidRPr="00B21066">
              <w:rPr>
                <w:b w:val="0"/>
                <w:sz w:val="20"/>
              </w:rPr>
              <w:t>Services mobile, de radiorepérage et d'amateur y compris les services par satellite associés</w:t>
            </w:r>
          </w:p>
        </w:tc>
      </w:tr>
      <w:tr w:rsidR="00CF4EF6" w:rsidRPr="00EC361D" w14:paraId="68B80B36" w14:textId="77777777" w:rsidTr="00AB3BEE">
        <w:tc>
          <w:tcPr>
            <w:tcW w:w="1140" w:type="dxa"/>
            <w:tcBorders>
              <w:top w:val="nil"/>
              <w:bottom w:val="nil"/>
            </w:tcBorders>
            <w:shd w:val="clear" w:color="auto" w:fill="auto"/>
          </w:tcPr>
          <w:p w14:paraId="15F14922" w14:textId="77777777" w:rsidR="00CF4EF6" w:rsidRPr="00EC361D" w:rsidRDefault="00CF4EF6" w:rsidP="00AB3BEE">
            <w:pPr>
              <w:spacing w:before="30" w:after="30"/>
              <w:ind w:left="57"/>
              <w:jc w:val="left"/>
              <w:rPr>
                <w:b/>
                <w:bCs/>
                <w:sz w:val="20"/>
                <w:lang w:val="fr-CH"/>
              </w:rPr>
            </w:pPr>
            <w:r w:rsidRPr="00EC361D">
              <w:rPr>
                <w:b/>
                <w:bCs/>
                <w:sz w:val="20"/>
                <w:lang w:val="fr-CH"/>
              </w:rPr>
              <w:t>P</w:t>
            </w:r>
          </w:p>
        </w:tc>
        <w:tc>
          <w:tcPr>
            <w:tcW w:w="8220" w:type="dxa"/>
            <w:tcBorders>
              <w:top w:val="nil"/>
              <w:bottom w:val="nil"/>
            </w:tcBorders>
            <w:shd w:val="clear" w:color="auto" w:fill="auto"/>
          </w:tcPr>
          <w:p w14:paraId="648F4E34" w14:textId="77777777" w:rsidR="00CF4EF6" w:rsidRPr="00EC361D" w:rsidRDefault="00CF4EF6" w:rsidP="00AB3BEE">
            <w:pPr>
              <w:spacing w:before="30" w:after="30"/>
              <w:jc w:val="left"/>
              <w:rPr>
                <w:sz w:val="20"/>
                <w:lang w:val="fr-CH"/>
              </w:rPr>
            </w:pPr>
            <w:r w:rsidRPr="00EC361D">
              <w:rPr>
                <w:sz w:val="20"/>
              </w:rPr>
              <w:t>Propagation des ondes radioélectriques</w:t>
            </w:r>
          </w:p>
        </w:tc>
      </w:tr>
      <w:tr w:rsidR="00CF4EF6" w:rsidRPr="004822EF" w14:paraId="5F5D25EF" w14:textId="77777777" w:rsidTr="00AB3BEE">
        <w:tc>
          <w:tcPr>
            <w:tcW w:w="1140" w:type="dxa"/>
            <w:tcBorders>
              <w:top w:val="nil"/>
              <w:bottom w:val="nil"/>
            </w:tcBorders>
            <w:shd w:val="clear" w:color="auto" w:fill="auto"/>
          </w:tcPr>
          <w:p w14:paraId="77930D27" w14:textId="77777777" w:rsidR="00CF4EF6" w:rsidRPr="004822EF" w:rsidRDefault="00CF4EF6" w:rsidP="00AB3BEE">
            <w:pPr>
              <w:spacing w:before="30" w:after="30"/>
              <w:ind w:left="57"/>
              <w:jc w:val="left"/>
              <w:rPr>
                <w:b/>
                <w:bCs/>
                <w:sz w:val="20"/>
                <w:lang w:val="en-US"/>
              </w:rPr>
            </w:pPr>
            <w:r w:rsidRPr="004822EF">
              <w:rPr>
                <w:b/>
                <w:bCs/>
                <w:sz w:val="20"/>
                <w:lang w:val="en-US"/>
              </w:rPr>
              <w:t>RA</w:t>
            </w:r>
          </w:p>
        </w:tc>
        <w:tc>
          <w:tcPr>
            <w:tcW w:w="8220" w:type="dxa"/>
            <w:tcBorders>
              <w:top w:val="nil"/>
              <w:bottom w:val="nil"/>
            </w:tcBorders>
            <w:shd w:val="clear" w:color="auto" w:fill="auto"/>
          </w:tcPr>
          <w:p w14:paraId="5F6C78A4" w14:textId="77777777" w:rsidR="00CF4EF6" w:rsidRPr="004822EF" w:rsidRDefault="00CF4EF6" w:rsidP="00AB3BEE">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4822EF">
              <w:rPr>
                <w:sz w:val="20"/>
              </w:rPr>
              <w:t>Radio astronomie</w:t>
            </w:r>
          </w:p>
        </w:tc>
      </w:tr>
      <w:tr w:rsidR="00CF4EF6" w:rsidRPr="00326525" w14:paraId="71CAE6B0" w14:textId="77777777" w:rsidTr="00AB3BEE">
        <w:tc>
          <w:tcPr>
            <w:tcW w:w="1140" w:type="dxa"/>
            <w:tcBorders>
              <w:top w:val="nil"/>
              <w:bottom w:val="nil"/>
            </w:tcBorders>
            <w:shd w:val="clear" w:color="auto" w:fill="auto"/>
          </w:tcPr>
          <w:p w14:paraId="1385336B" w14:textId="77777777" w:rsidR="00CF4EF6" w:rsidRPr="00326525" w:rsidRDefault="00CF4EF6" w:rsidP="00AB3BEE">
            <w:pPr>
              <w:spacing w:before="30" w:after="30"/>
              <w:ind w:left="57"/>
              <w:jc w:val="left"/>
              <w:rPr>
                <w:b/>
                <w:bCs/>
                <w:sz w:val="20"/>
                <w:lang w:val="en-US"/>
              </w:rPr>
            </w:pPr>
            <w:r w:rsidRPr="00326525">
              <w:rPr>
                <w:b/>
                <w:bCs/>
                <w:sz w:val="20"/>
                <w:lang w:val="en-US"/>
              </w:rPr>
              <w:t>RS</w:t>
            </w:r>
          </w:p>
        </w:tc>
        <w:tc>
          <w:tcPr>
            <w:tcW w:w="8220" w:type="dxa"/>
            <w:tcBorders>
              <w:top w:val="nil"/>
              <w:bottom w:val="nil"/>
            </w:tcBorders>
            <w:shd w:val="clear" w:color="auto" w:fill="auto"/>
          </w:tcPr>
          <w:p w14:paraId="7812516E" w14:textId="77777777" w:rsidR="00CF4EF6" w:rsidRPr="00326525" w:rsidRDefault="00CF4EF6" w:rsidP="00AB3BEE">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326525">
              <w:rPr>
                <w:sz w:val="20"/>
              </w:rPr>
              <w:t>Systèmes de télédétection</w:t>
            </w:r>
          </w:p>
        </w:tc>
      </w:tr>
      <w:tr w:rsidR="00CF4EF6" w:rsidRPr="00C40D3E" w14:paraId="2AA3F662" w14:textId="77777777" w:rsidTr="00AB3BEE">
        <w:tc>
          <w:tcPr>
            <w:tcW w:w="1140" w:type="dxa"/>
            <w:tcBorders>
              <w:top w:val="nil"/>
              <w:bottom w:val="nil"/>
            </w:tcBorders>
            <w:shd w:val="clear" w:color="auto" w:fill="auto"/>
          </w:tcPr>
          <w:p w14:paraId="1000E65A" w14:textId="77777777" w:rsidR="00CF4EF6" w:rsidRPr="00C40D3E" w:rsidRDefault="00CF4EF6" w:rsidP="00AB3BEE">
            <w:pPr>
              <w:spacing w:before="30" w:after="30"/>
              <w:ind w:left="57"/>
              <w:jc w:val="left"/>
              <w:rPr>
                <w:b/>
                <w:bCs/>
                <w:sz w:val="20"/>
                <w:lang w:val="en-US"/>
              </w:rPr>
            </w:pPr>
            <w:r w:rsidRPr="00C40D3E">
              <w:rPr>
                <w:b/>
                <w:bCs/>
                <w:sz w:val="20"/>
                <w:lang w:val="en-US"/>
              </w:rPr>
              <w:t>S</w:t>
            </w:r>
          </w:p>
        </w:tc>
        <w:tc>
          <w:tcPr>
            <w:tcW w:w="8220" w:type="dxa"/>
            <w:tcBorders>
              <w:top w:val="nil"/>
              <w:bottom w:val="nil"/>
            </w:tcBorders>
            <w:shd w:val="clear" w:color="auto" w:fill="auto"/>
          </w:tcPr>
          <w:p w14:paraId="0D91BA47" w14:textId="77777777" w:rsidR="00CF4EF6" w:rsidRPr="00C40D3E" w:rsidRDefault="00CF4EF6" w:rsidP="00AB3BEE">
            <w:pPr>
              <w:spacing w:before="30" w:after="30"/>
              <w:jc w:val="left"/>
              <w:rPr>
                <w:sz w:val="20"/>
                <w:lang w:val="en-US"/>
              </w:rPr>
            </w:pPr>
            <w:r w:rsidRPr="00C40D3E">
              <w:rPr>
                <w:sz w:val="20"/>
              </w:rPr>
              <w:t>Service fixe par satellite</w:t>
            </w:r>
          </w:p>
        </w:tc>
      </w:tr>
      <w:tr w:rsidR="00CF4EF6" w:rsidRPr="00595D3D" w14:paraId="7AA8856E" w14:textId="77777777" w:rsidTr="00AB3BEE">
        <w:tc>
          <w:tcPr>
            <w:tcW w:w="1140" w:type="dxa"/>
            <w:tcBorders>
              <w:top w:val="nil"/>
              <w:bottom w:val="nil"/>
            </w:tcBorders>
            <w:shd w:val="clear" w:color="auto" w:fill="auto"/>
          </w:tcPr>
          <w:p w14:paraId="6F2FD71B" w14:textId="77777777" w:rsidR="00CF4EF6" w:rsidRPr="00595D3D" w:rsidRDefault="00CF4EF6" w:rsidP="00AB3BEE">
            <w:pPr>
              <w:spacing w:before="30" w:after="30"/>
              <w:ind w:left="57"/>
              <w:jc w:val="left"/>
              <w:rPr>
                <w:b/>
                <w:bCs/>
                <w:sz w:val="20"/>
                <w:lang w:val="en-US"/>
              </w:rPr>
            </w:pPr>
            <w:r w:rsidRPr="00595D3D">
              <w:rPr>
                <w:b/>
                <w:bCs/>
                <w:sz w:val="20"/>
                <w:lang w:val="en-US"/>
              </w:rPr>
              <w:t>SA</w:t>
            </w:r>
          </w:p>
        </w:tc>
        <w:tc>
          <w:tcPr>
            <w:tcW w:w="8220" w:type="dxa"/>
            <w:tcBorders>
              <w:top w:val="nil"/>
              <w:bottom w:val="nil"/>
            </w:tcBorders>
            <w:shd w:val="clear" w:color="auto" w:fill="auto"/>
          </w:tcPr>
          <w:p w14:paraId="195C07EB" w14:textId="77777777" w:rsidR="00CF4EF6" w:rsidRPr="00595D3D" w:rsidRDefault="00CF4EF6" w:rsidP="00AB3BEE">
            <w:pPr>
              <w:spacing w:before="30" w:after="30"/>
              <w:jc w:val="left"/>
              <w:rPr>
                <w:sz w:val="20"/>
                <w:lang w:val="en-US"/>
              </w:rPr>
            </w:pPr>
            <w:r w:rsidRPr="00595D3D">
              <w:rPr>
                <w:sz w:val="20"/>
              </w:rPr>
              <w:t>Applications spatiales et météorologie</w:t>
            </w:r>
          </w:p>
        </w:tc>
      </w:tr>
      <w:tr w:rsidR="00CF4EF6" w:rsidRPr="009B5564" w14:paraId="536AFAC1" w14:textId="77777777" w:rsidTr="00AB3BEE">
        <w:tc>
          <w:tcPr>
            <w:tcW w:w="1140" w:type="dxa"/>
            <w:tcBorders>
              <w:top w:val="nil"/>
              <w:bottom w:val="nil"/>
            </w:tcBorders>
            <w:shd w:val="clear" w:color="auto" w:fill="auto"/>
          </w:tcPr>
          <w:p w14:paraId="2E13BC9B" w14:textId="77777777" w:rsidR="00CF4EF6" w:rsidRPr="009B5564" w:rsidRDefault="00CF4EF6" w:rsidP="00AB3BEE">
            <w:pPr>
              <w:spacing w:before="30" w:after="30"/>
              <w:ind w:left="57"/>
              <w:jc w:val="left"/>
              <w:rPr>
                <w:b/>
                <w:sz w:val="20"/>
                <w:lang w:val="en-US"/>
              </w:rPr>
            </w:pPr>
            <w:r w:rsidRPr="009B5564">
              <w:rPr>
                <w:b/>
                <w:sz w:val="20"/>
                <w:lang w:val="en-US"/>
              </w:rPr>
              <w:t>SF</w:t>
            </w:r>
          </w:p>
        </w:tc>
        <w:tc>
          <w:tcPr>
            <w:tcW w:w="8220" w:type="dxa"/>
            <w:tcBorders>
              <w:top w:val="nil"/>
              <w:bottom w:val="nil"/>
            </w:tcBorders>
            <w:shd w:val="clear" w:color="auto" w:fill="auto"/>
          </w:tcPr>
          <w:p w14:paraId="463752A9" w14:textId="77777777" w:rsidR="00CF4EF6" w:rsidRPr="009B5564" w:rsidRDefault="00CF4EF6" w:rsidP="00AB3BEE">
            <w:pPr>
              <w:spacing w:before="30" w:after="30"/>
              <w:jc w:val="left"/>
              <w:rPr>
                <w:bCs/>
                <w:sz w:val="20"/>
              </w:rPr>
            </w:pPr>
            <w:r w:rsidRPr="009B5564">
              <w:rPr>
                <w:bCs/>
                <w:sz w:val="20"/>
              </w:rPr>
              <w:t>Partage des fréquences et coordination entre les systèmes du service fixe par satellite et du service fixe</w:t>
            </w:r>
          </w:p>
        </w:tc>
      </w:tr>
      <w:tr w:rsidR="00CF4EF6" w:rsidRPr="009B5564" w14:paraId="39E1A94D" w14:textId="77777777" w:rsidTr="00AB3BEE">
        <w:tc>
          <w:tcPr>
            <w:tcW w:w="1140" w:type="dxa"/>
            <w:tcBorders>
              <w:top w:val="nil"/>
              <w:bottom w:val="nil"/>
            </w:tcBorders>
            <w:shd w:val="clear" w:color="auto" w:fill="F3F3F3"/>
          </w:tcPr>
          <w:p w14:paraId="4A22A464" w14:textId="77777777" w:rsidR="00CF4EF6" w:rsidRPr="009B5564" w:rsidRDefault="00CF4EF6" w:rsidP="00AB3BEE">
            <w:pPr>
              <w:spacing w:before="30" w:after="30"/>
              <w:ind w:left="57"/>
              <w:jc w:val="left"/>
              <w:rPr>
                <w:b/>
                <w:bCs/>
                <w:color w:val="000080"/>
                <w:sz w:val="20"/>
                <w:lang w:val="en-US"/>
              </w:rPr>
            </w:pPr>
            <w:r w:rsidRPr="009B5564">
              <w:rPr>
                <w:b/>
                <w:bCs/>
                <w:color w:val="000080"/>
                <w:sz w:val="20"/>
                <w:lang w:val="en-US"/>
              </w:rPr>
              <w:t>SM</w:t>
            </w:r>
          </w:p>
        </w:tc>
        <w:tc>
          <w:tcPr>
            <w:tcW w:w="8220" w:type="dxa"/>
            <w:tcBorders>
              <w:top w:val="nil"/>
              <w:bottom w:val="nil"/>
            </w:tcBorders>
            <w:shd w:val="clear" w:color="auto" w:fill="F3F3F3"/>
          </w:tcPr>
          <w:p w14:paraId="2E0967D9" w14:textId="77777777" w:rsidR="00CF4EF6" w:rsidRPr="009B5564" w:rsidRDefault="00CF4EF6" w:rsidP="00AB3BEE">
            <w:pPr>
              <w:spacing w:before="30" w:after="30"/>
              <w:jc w:val="left"/>
              <w:rPr>
                <w:b/>
                <w:bCs/>
                <w:color w:val="000080"/>
                <w:sz w:val="20"/>
                <w:lang w:val="en-US"/>
              </w:rPr>
            </w:pPr>
            <w:r w:rsidRPr="009B5564">
              <w:rPr>
                <w:b/>
                <w:bCs/>
                <w:color w:val="000080"/>
                <w:sz w:val="20"/>
              </w:rPr>
              <w:t>Gestion du spectre</w:t>
            </w:r>
          </w:p>
        </w:tc>
      </w:tr>
      <w:tr w:rsidR="00CF4EF6" w:rsidRPr="00036EE3" w14:paraId="1521345E" w14:textId="77777777" w:rsidTr="00AB3BEE">
        <w:tc>
          <w:tcPr>
            <w:tcW w:w="1140" w:type="dxa"/>
            <w:tcBorders>
              <w:top w:val="nil"/>
            </w:tcBorders>
          </w:tcPr>
          <w:p w14:paraId="2128D507" w14:textId="77777777" w:rsidR="00CF4EF6" w:rsidRPr="00614CC6" w:rsidRDefault="00CF4EF6" w:rsidP="00AB3BEE">
            <w:pPr>
              <w:spacing w:before="30" w:after="30"/>
              <w:ind w:left="57"/>
              <w:jc w:val="left"/>
              <w:rPr>
                <w:b/>
                <w:bCs/>
                <w:sz w:val="20"/>
                <w:lang w:val="en-US"/>
              </w:rPr>
            </w:pPr>
            <w:r w:rsidRPr="00614CC6">
              <w:rPr>
                <w:b/>
                <w:bCs/>
                <w:sz w:val="20"/>
                <w:lang w:val="en-US"/>
              </w:rPr>
              <w:t>SNG</w:t>
            </w:r>
          </w:p>
        </w:tc>
        <w:tc>
          <w:tcPr>
            <w:tcW w:w="8220" w:type="dxa"/>
            <w:tcBorders>
              <w:top w:val="nil"/>
            </w:tcBorders>
          </w:tcPr>
          <w:p w14:paraId="36813028" w14:textId="77777777" w:rsidR="00CF4EF6" w:rsidRPr="00614CC6" w:rsidRDefault="00CF4EF6" w:rsidP="00AB3BEE">
            <w:pPr>
              <w:spacing w:before="30" w:after="30"/>
              <w:jc w:val="left"/>
              <w:rPr>
                <w:sz w:val="20"/>
                <w:lang w:val="en-US"/>
              </w:rPr>
            </w:pPr>
            <w:r w:rsidRPr="00614CC6">
              <w:rPr>
                <w:sz w:val="20"/>
              </w:rPr>
              <w:t>Reportage d'actualités par satellite</w:t>
            </w:r>
          </w:p>
        </w:tc>
      </w:tr>
      <w:tr w:rsidR="00CF4EF6" w:rsidRPr="00614CC6" w14:paraId="6A133751" w14:textId="77777777" w:rsidTr="00AB3BEE">
        <w:tc>
          <w:tcPr>
            <w:tcW w:w="1140" w:type="dxa"/>
          </w:tcPr>
          <w:p w14:paraId="35E2B8B7" w14:textId="77777777" w:rsidR="00CF4EF6" w:rsidRPr="00614CC6" w:rsidRDefault="00CF4EF6" w:rsidP="00AB3BEE">
            <w:pPr>
              <w:spacing w:before="30" w:after="30"/>
              <w:ind w:left="57"/>
              <w:jc w:val="left"/>
              <w:rPr>
                <w:b/>
                <w:bCs/>
                <w:sz w:val="20"/>
                <w:lang w:val="en-US"/>
              </w:rPr>
            </w:pPr>
            <w:r w:rsidRPr="00614CC6">
              <w:rPr>
                <w:b/>
                <w:bCs/>
                <w:sz w:val="20"/>
                <w:lang w:val="en-US"/>
              </w:rPr>
              <w:t>TF</w:t>
            </w:r>
          </w:p>
        </w:tc>
        <w:tc>
          <w:tcPr>
            <w:tcW w:w="8220" w:type="dxa"/>
          </w:tcPr>
          <w:p w14:paraId="55D511A8" w14:textId="77777777" w:rsidR="00CF4EF6" w:rsidRPr="00614CC6" w:rsidRDefault="00CF4EF6" w:rsidP="00AB3BEE">
            <w:pPr>
              <w:spacing w:before="30" w:after="30"/>
              <w:jc w:val="left"/>
              <w:rPr>
                <w:sz w:val="20"/>
              </w:rPr>
            </w:pPr>
            <w:r w:rsidRPr="00614CC6">
              <w:rPr>
                <w:sz w:val="20"/>
              </w:rPr>
              <w:t>Emissions de fréquences étalon et de signaux horaires</w:t>
            </w:r>
          </w:p>
        </w:tc>
      </w:tr>
      <w:tr w:rsidR="00CF4EF6" w:rsidRPr="00036EE3" w14:paraId="3596E05C" w14:textId="77777777" w:rsidTr="00AB3BEE">
        <w:tc>
          <w:tcPr>
            <w:tcW w:w="1140" w:type="dxa"/>
          </w:tcPr>
          <w:p w14:paraId="7E3DFDBB" w14:textId="77777777" w:rsidR="00CF4EF6" w:rsidRPr="00614CC6" w:rsidRDefault="00CF4EF6" w:rsidP="00AB3BEE">
            <w:pPr>
              <w:spacing w:before="30" w:after="30"/>
              <w:ind w:left="57"/>
              <w:jc w:val="left"/>
              <w:rPr>
                <w:b/>
                <w:bCs/>
                <w:sz w:val="20"/>
                <w:lang w:val="en-US"/>
              </w:rPr>
            </w:pPr>
            <w:r w:rsidRPr="00614CC6">
              <w:rPr>
                <w:b/>
                <w:bCs/>
                <w:sz w:val="20"/>
                <w:lang w:val="en-US"/>
              </w:rPr>
              <w:t>V</w:t>
            </w:r>
          </w:p>
        </w:tc>
        <w:tc>
          <w:tcPr>
            <w:tcW w:w="8220" w:type="dxa"/>
          </w:tcPr>
          <w:p w14:paraId="2B3BF0F0" w14:textId="77777777" w:rsidR="00CF4EF6" w:rsidRPr="00614CC6" w:rsidRDefault="00CF4EF6" w:rsidP="00AB3BEE">
            <w:pPr>
              <w:spacing w:before="30" w:after="140"/>
              <w:jc w:val="left"/>
              <w:rPr>
                <w:sz w:val="20"/>
                <w:lang w:val="en-US"/>
              </w:rPr>
            </w:pPr>
            <w:r w:rsidRPr="00614CC6">
              <w:rPr>
                <w:sz w:val="20"/>
              </w:rPr>
              <w:t>Vocabulaire et sujets associés</w:t>
            </w:r>
          </w:p>
        </w:tc>
      </w:tr>
    </w:tbl>
    <w:p w14:paraId="7829F399" w14:textId="77777777" w:rsidR="00CF4EF6" w:rsidRPr="00036EE3" w:rsidRDefault="00CF4EF6" w:rsidP="00CF4EF6">
      <w:pPr>
        <w:spacing w:before="0"/>
        <w:jc w:val="center"/>
        <w:rPr>
          <w:sz w:val="20"/>
          <w:lang w:val="en-US"/>
        </w:rPr>
      </w:pPr>
    </w:p>
    <w:p w14:paraId="7C732E0A" w14:textId="77777777" w:rsidR="00CF4EF6" w:rsidRPr="00036EE3" w:rsidRDefault="00CF4EF6" w:rsidP="00CF4EF6">
      <w:pPr>
        <w:spacing w:before="0"/>
        <w:ind w:left="180"/>
        <w:jc w:val="center"/>
        <w:rPr>
          <w:sz w:val="22"/>
          <w:lang w:val="en-US"/>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321"/>
      </w:tblGrid>
      <w:tr w:rsidR="00CF4EF6" w:rsidRPr="00756B4D" w14:paraId="247A097A" w14:textId="77777777" w:rsidTr="00AB3BEE">
        <w:tc>
          <w:tcPr>
            <w:tcW w:w="9360" w:type="dxa"/>
          </w:tcPr>
          <w:p w14:paraId="69BA2067" w14:textId="77777777" w:rsidR="00CF4EF6" w:rsidRPr="00756B4D" w:rsidRDefault="00CF4EF6" w:rsidP="007F5F86">
            <w:pPr>
              <w:spacing w:before="80" w:after="80"/>
              <w:jc w:val="left"/>
              <w:rPr>
                <w:i/>
                <w:iCs/>
                <w:sz w:val="20"/>
              </w:rPr>
            </w:pPr>
            <w:r w:rsidRPr="00756B4D">
              <w:rPr>
                <w:b/>
                <w:bCs/>
                <w:i/>
                <w:iCs/>
                <w:sz w:val="20"/>
              </w:rPr>
              <w:t>Note</w:t>
            </w:r>
            <w:r w:rsidRPr="00756B4D">
              <w:rPr>
                <w:i/>
                <w:iCs/>
                <w:sz w:val="20"/>
              </w:rPr>
              <w:t>: Cette Recommandation UIT-R a été approuvée en anglais aux termes de la procédure détaillée dans la</w:t>
            </w:r>
            <w:r w:rsidR="007F5F86">
              <w:rPr>
                <w:i/>
                <w:iCs/>
                <w:sz w:val="20"/>
              </w:rPr>
              <w:t xml:space="preserve"> </w:t>
            </w:r>
            <w:r w:rsidRPr="00756B4D">
              <w:rPr>
                <w:i/>
                <w:iCs/>
                <w:sz w:val="20"/>
              </w:rPr>
              <w:t xml:space="preserve">Résolution UIT-R 1. </w:t>
            </w:r>
          </w:p>
        </w:tc>
      </w:tr>
    </w:tbl>
    <w:p w14:paraId="78CA6309" w14:textId="77777777" w:rsidR="00CF4EF6" w:rsidRPr="00756B4D" w:rsidRDefault="00CF4EF6" w:rsidP="00CF4EF6">
      <w:pPr>
        <w:spacing w:before="0"/>
        <w:jc w:val="center"/>
        <w:rPr>
          <w:sz w:val="22"/>
        </w:rPr>
      </w:pPr>
    </w:p>
    <w:p w14:paraId="074648AF" w14:textId="77777777" w:rsidR="00CF4EF6" w:rsidRPr="00614CC6" w:rsidRDefault="00CF4EF6" w:rsidP="00CF4EF6">
      <w:pPr>
        <w:spacing w:before="100"/>
        <w:jc w:val="right"/>
        <w:rPr>
          <w:i/>
          <w:iCs/>
          <w:sz w:val="20"/>
        </w:rPr>
      </w:pPr>
      <w:r w:rsidRPr="00614CC6">
        <w:rPr>
          <w:i/>
          <w:iCs/>
          <w:sz w:val="20"/>
        </w:rPr>
        <w:t>Publication électronique</w:t>
      </w:r>
    </w:p>
    <w:p w14:paraId="2E5F1128" w14:textId="77777777" w:rsidR="00CF4EF6" w:rsidRPr="00614CC6" w:rsidRDefault="00CF4EF6" w:rsidP="00CF4EF6">
      <w:pPr>
        <w:spacing w:before="0"/>
        <w:jc w:val="right"/>
        <w:rPr>
          <w:sz w:val="20"/>
        </w:rPr>
      </w:pPr>
      <w:r w:rsidRPr="00614CC6">
        <w:rPr>
          <w:sz w:val="20"/>
        </w:rPr>
        <w:t>Genève, 20</w:t>
      </w:r>
      <w:r>
        <w:rPr>
          <w:sz w:val="20"/>
        </w:rPr>
        <w:t>1</w:t>
      </w:r>
      <w:r w:rsidR="00D01BA7">
        <w:rPr>
          <w:sz w:val="20"/>
        </w:rPr>
        <w:t>9</w:t>
      </w:r>
    </w:p>
    <w:p w14:paraId="1021EC1F" w14:textId="77777777" w:rsidR="00CF4EF6" w:rsidRPr="00614CC6" w:rsidRDefault="00CF4EF6" w:rsidP="00CF4EF6">
      <w:pPr>
        <w:spacing w:before="200"/>
        <w:jc w:val="center"/>
        <w:rPr>
          <w:sz w:val="20"/>
        </w:rPr>
      </w:pPr>
      <w:r w:rsidRPr="00470E28">
        <w:rPr>
          <w:sz w:val="20"/>
          <w:lang w:val="en-US"/>
        </w:rPr>
        <w:sym w:font="Symbol" w:char="F0E3"/>
      </w:r>
      <w:r w:rsidRPr="00614CC6">
        <w:rPr>
          <w:sz w:val="20"/>
        </w:rPr>
        <w:t xml:space="preserve"> UIT </w:t>
      </w:r>
      <w:bookmarkStart w:id="2" w:name="iiannee"/>
      <w:bookmarkEnd w:id="2"/>
      <w:r w:rsidRPr="00614CC6">
        <w:rPr>
          <w:sz w:val="20"/>
        </w:rPr>
        <w:t>20</w:t>
      </w:r>
      <w:r>
        <w:rPr>
          <w:sz w:val="20"/>
        </w:rPr>
        <w:t>1</w:t>
      </w:r>
      <w:r w:rsidR="00D01BA7">
        <w:rPr>
          <w:sz w:val="20"/>
        </w:rPr>
        <w:t>9</w:t>
      </w:r>
    </w:p>
    <w:p w14:paraId="006C2AC5" w14:textId="77777777" w:rsidR="00CF4EF6" w:rsidRPr="00614CC6" w:rsidRDefault="00CF4EF6" w:rsidP="00CF4EF6">
      <w:pPr>
        <w:rPr>
          <w:sz w:val="18"/>
          <w:szCs w:val="18"/>
        </w:rPr>
      </w:pPr>
      <w:r w:rsidRPr="00614CC6">
        <w:rPr>
          <w:sz w:val="18"/>
          <w:szCs w:val="18"/>
        </w:rPr>
        <w:t xml:space="preserve">Tous droits </w:t>
      </w:r>
      <w:r>
        <w:rPr>
          <w:sz w:val="18"/>
          <w:szCs w:val="18"/>
        </w:rPr>
        <w:t>réservé</w:t>
      </w:r>
      <w:r w:rsidRPr="00614CC6">
        <w:rPr>
          <w:sz w:val="18"/>
          <w:szCs w:val="18"/>
        </w:rPr>
        <w:t xml:space="preserve">s. </w:t>
      </w:r>
      <w:r>
        <w:rPr>
          <w:sz w:val="18"/>
          <w:szCs w:val="18"/>
        </w:rPr>
        <w:t>Aucune partie de cette publication ne peut être reproduite, par quelque procédé que ce soit, sans l’accord écrit préalable de l’UIT</w:t>
      </w:r>
      <w:r w:rsidRPr="00614CC6">
        <w:rPr>
          <w:sz w:val="18"/>
          <w:szCs w:val="18"/>
        </w:rPr>
        <w:t>.</w:t>
      </w:r>
    </w:p>
    <w:p w14:paraId="50B1824F" w14:textId="77777777" w:rsidR="00CF4EF6" w:rsidRPr="00614CC6" w:rsidRDefault="00CF4EF6" w:rsidP="00CF4EF6">
      <w:pPr>
        <w:spacing w:before="160"/>
        <w:rPr>
          <w:i/>
          <w:sz w:val="20"/>
          <w:highlight w:val="yellow"/>
        </w:rPr>
        <w:sectPr w:rsidR="00CF4EF6" w:rsidRPr="00614CC6" w:rsidSect="007565CC">
          <w:headerReference w:type="even" r:id="rId10"/>
          <w:headerReference w:type="default" r:id="rId11"/>
          <w:pgSz w:w="11907" w:h="16834" w:code="9"/>
          <w:pgMar w:top="1418" w:right="1134" w:bottom="1134" w:left="1134" w:header="720" w:footer="482" w:gutter="0"/>
          <w:pgNumType w:fmt="lowerRoman" w:start="2"/>
          <w:cols w:space="720"/>
        </w:sectPr>
      </w:pPr>
    </w:p>
    <w:p w14:paraId="44E0FA20" w14:textId="585D64A3" w:rsidR="00CF4EF6" w:rsidRPr="00756B4D" w:rsidRDefault="00CF4EF6" w:rsidP="00CF4EF6">
      <w:pPr>
        <w:pStyle w:val="RecNo"/>
        <w:spacing w:before="0"/>
      </w:pPr>
      <w:bookmarkStart w:id="3" w:name="irecnoe"/>
      <w:bookmarkEnd w:id="3"/>
      <w:proofErr w:type="gramStart"/>
      <w:r w:rsidRPr="00756B4D">
        <w:lastRenderedPageBreak/>
        <w:t xml:space="preserve">RECOMMANDATION  </w:t>
      </w:r>
      <w:r>
        <w:rPr>
          <w:rStyle w:val="href"/>
        </w:rPr>
        <w:t>UIT</w:t>
      </w:r>
      <w:proofErr w:type="gramEnd"/>
      <w:r w:rsidRPr="00756B4D">
        <w:rPr>
          <w:rStyle w:val="href"/>
        </w:rPr>
        <w:t xml:space="preserve">-R  </w:t>
      </w:r>
      <w:r>
        <w:rPr>
          <w:rStyle w:val="href"/>
        </w:rPr>
        <w:t>SM</w:t>
      </w:r>
      <w:r w:rsidRPr="00756B4D">
        <w:rPr>
          <w:rStyle w:val="href"/>
        </w:rPr>
        <w:t>.</w:t>
      </w:r>
      <w:r w:rsidR="00D01BA7">
        <w:rPr>
          <w:rStyle w:val="href"/>
        </w:rPr>
        <w:t>1896-1</w:t>
      </w:r>
      <w:r w:rsidR="00FE7749">
        <w:rPr>
          <w:rStyle w:val="FootnoteReference"/>
        </w:rPr>
        <w:footnoteReference w:customMarkFollows="1" w:id="1"/>
        <w:t>*</w:t>
      </w:r>
    </w:p>
    <w:p w14:paraId="05E8725F" w14:textId="77777777" w:rsidR="00D01BA7" w:rsidRPr="00DB77E8" w:rsidRDefault="00D01BA7" w:rsidP="00D01BA7">
      <w:pPr>
        <w:pStyle w:val="Rectitle"/>
      </w:pPr>
      <w:r w:rsidRPr="00DB77E8">
        <w:t>Gammes de fréquences pour une harmonisation mondiale ou régionale</w:t>
      </w:r>
      <w:r w:rsidRPr="00DB77E8">
        <w:br/>
        <w:t>des dispositifs de radiocommunication à courte portée</w:t>
      </w:r>
    </w:p>
    <w:p w14:paraId="41786AB2" w14:textId="77777777" w:rsidR="00D01BA7" w:rsidRPr="00DB77E8" w:rsidRDefault="00D01BA7" w:rsidP="00D01BA7">
      <w:pPr>
        <w:pStyle w:val="Recdate"/>
      </w:pPr>
      <w:r w:rsidRPr="00DB77E8">
        <w:t>(2011-2018)</w:t>
      </w:r>
    </w:p>
    <w:p w14:paraId="43A213BE" w14:textId="77777777" w:rsidR="00D01BA7" w:rsidRPr="00DB77E8" w:rsidRDefault="00D01BA7" w:rsidP="00D01BA7">
      <w:pPr>
        <w:pStyle w:val="HeadingSum"/>
        <w:rPr>
          <w:lang w:val="fr-FR"/>
        </w:rPr>
      </w:pPr>
      <w:r w:rsidRPr="00DB77E8">
        <w:rPr>
          <w:lang w:val="fr-FR"/>
        </w:rPr>
        <w:t>Champ d'application</w:t>
      </w:r>
    </w:p>
    <w:p w14:paraId="3BDC3B23" w14:textId="0F6B8184" w:rsidR="00D01BA7" w:rsidRDefault="00D01BA7" w:rsidP="00D01BA7">
      <w:pPr>
        <w:pStyle w:val="Summary"/>
        <w:rPr>
          <w:lang w:val="fr-FR"/>
        </w:rPr>
      </w:pPr>
      <w:r w:rsidRPr="00DB77E8">
        <w:rPr>
          <w:lang w:val="fr-FR"/>
        </w:rPr>
        <w:t xml:space="preserve">La présente Recommandation donne les gammes de fréquences qu’il est recommandé d’utiliser pour les applications des dispositifs de radiocommunication à courte portée (SRD, </w:t>
      </w:r>
      <w:r w:rsidRPr="00DB77E8">
        <w:rPr>
          <w:i/>
          <w:iCs/>
          <w:lang w:val="fr-FR"/>
        </w:rPr>
        <w:t>short-range device</w:t>
      </w:r>
      <w:r w:rsidRPr="00DB77E8">
        <w:rPr>
          <w:lang w:val="fr-FR"/>
        </w:rPr>
        <w:t>) devant être exploités de façon harmonisée à l'échelle mondiale ou régionale.</w:t>
      </w:r>
    </w:p>
    <w:p w14:paraId="2B50E695" w14:textId="77777777" w:rsidR="00FE7749" w:rsidRPr="00FE7749" w:rsidRDefault="00FE7749" w:rsidP="00FE7749">
      <w:pPr>
        <w:pStyle w:val="Headingb"/>
      </w:pPr>
      <w:r w:rsidRPr="00FE7749">
        <w:t>Mots clés</w:t>
      </w:r>
    </w:p>
    <w:p w14:paraId="59AAAD22" w14:textId="77777777" w:rsidR="00FE7749" w:rsidRPr="00FE7749" w:rsidRDefault="00FE7749" w:rsidP="00FE7749">
      <w:r w:rsidRPr="00FE7749">
        <w:rPr>
          <w:lang w:eastAsia="ko-KR"/>
        </w:rPr>
        <w:t xml:space="preserve">Dispositifs à courte portée, </w:t>
      </w:r>
      <w:r w:rsidRPr="00B26D9B">
        <w:rPr>
          <w:lang w:eastAsia="ko-KR"/>
        </w:rPr>
        <w:t>gamme de fréquences</w:t>
      </w:r>
      <w:r w:rsidRPr="00FE7749">
        <w:rPr>
          <w:lang w:eastAsia="ko-KR"/>
        </w:rPr>
        <w:t>, harmoni</w:t>
      </w:r>
      <w:r w:rsidRPr="00B26D9B">
        <w:rPr>
          <w:lang w:eastAsia="ko-KR"/>
        </w:rPr>
        <w:t>s</w:t>
      </w:r>
      <w:r w:rsidRPr="00FE7749">
        <w:rPr>
          <w:lang w:eastAsia="ko-KR"/>
        </w:rPr>
        <w:t>ation</w:t>
      </w:r>
    </w:p>
    <w:p w14:paraId="0AD582C3" w14:textId="77777777" w:rsidR="00D01BA7" w:rsidRPr="00DB77E8" w:rsidRDefault="00D01BA7" w:rsidP="00D01BA7">
      <w:pPr>
        <w:pStyle w:val="Normalaftertitle"/>
      </w:pPr>
      <w:r w:rsidRPr="00DB77E8">
        <w:t>L'Assemblée des radiocommunications de l'UIT,</w:t>
      </w:r>
    </w:p>
    <w:p w14:paraId="3C062C89" w14:textId="77777777" w:rsidR="00D01BA7" w:rsidRPr="00DB77E8" w:rsidRDefault="00D01BA7" w:rsidP="00D01BA7">
      <w:pPr>
        <w:pStyle w:val="Call"/>
      </w:pPr>
      <w:r w:rsidRPr="00DB77E8">
        <w:t>considérant</w:t>
      </w:r>
    </w:p>
    <w:p w14:paraId="53E7585D" w14:textId="77777777" w:rsidR="00D01BA7" w:rsidRPr="00DB77E8" w:rsidRDefault="00D01BA7" w:rsidP="00D01BA7">
      <w:r w:rsidRPr="00DB77E8">
        <w:rPr>
          <w:i/>
          <w:iCs/>
        </w:rPr>
        <w:t>a)</w:t>
      </w:r>
      <w:r w:rsidRPr="00DB77E8">
        <w:tab/>
        <w:t>que l'Assemblée des radiocommunications de 2007 a approuvé la Résolution UIT-R 54</w:t>
      </w:r>
      <w:bookmarkStart w:id="4" w:name="_Toc180533446"/>
      <w:bookmarkStart w:id="5" w:name="_Toc180533562"/>
      <w:bookmarkStart w:id="6" w:name="_Toc180534325"/>
      <w:bookmarkStart w:id="7" w:name="_Toc180534625"/>
      <w:bookmarkStart w:id="8" w:name="_Toc180535572"/>
      <w:r w:rsidRPr="00DB77E8">
        <w:t>, «Etudes en vue d'assurer l'harmonisation des dispositifs de radiocommunication à courte portée</w:t>
      </w:r>
      <w:bookmarkEnd w:id="4"/>
      <w:bookmarkEnd w:id="5"/>
      <w:bookmarkEnd w:id="6"/>
      <w:bookmarkEnd w:id="7"/>
      <w:bookmarkEnd w:id="8"/>
      <w:r w:rsidRPr="00DB77E8">
        <w:t>»;</w:t>
      </w:r>
    </w:p>
    <w:p w14:paraId="6D35C465" w14:textId="77777777" w:rsidR="00D01BA7" w:rsidRPr="00DB77E8" w:rsidRDefault="00D01BA7" w:rsidP="00D01BA7">
      <w:r w:rsidRPr="00DB77E8">
        <w:rPr>
          <w:i/>
          <w:iCs/>
        </w:rPr>
        <w:t>b)</w:t>
      </w:r>
      <w:r w:rsidRPr="00DB77E8">
        <w:tab/>
        <w:t>que la demande de dispositifs SRD et l'utilisation de ces dispositifs pour toute une série d'applications sont en augmentation dans le monde entier;</w:t>
      </w:r>
    </w:p>
    <w:p w14:paraId="42BC4403" w14:textId="77777777" w:rsidR="00D01BA7" w:rsidRPr="00DB77E8" w:rsidRDefault="00D01BA7" w:rsidP="00D01BA7">
      <w:r w:rsidRPr="00DB77E8">
        <w:rPr>
          <w:i/>
          <w:iCs/>
        </w:rPr>
        <w:t>c)</w:t>
      </w:r>
      <w:r w:rsidRPr="00DB77E8">
        <w:tab/>
        <w:t>que les applications SRD sont déployées aussi bien dans les bandes de fréquences désignées pour les applications industrielles, scientifiques et médicales (ISM) que dans les bandes qui ne sont pas désignées pour ces applications;</w:t>
      </w:r>
    </w:p>
    <w:p w14:paraId="4B8A0187" w14:textId="77777777" w:rsidR="00D01BA7" w:rsidRPr="00DB77E8" w:rsidRDefault="00D01BA7" w:rsidP="00D01BA7">
      <w:r w:rsidRPr="00DB77E8">
        <w:rPr>
          <w:i/>
          <w:iCs/>
        </w:rPr>
        <w:t>d)</w:t>
      </w:r>
      <w:r w:rsidRPr="00DB77E8">
        <w:tab/>
        <w:t xml:space="preserve">que les applications SRD ne sont pas des applications ISM au sens du numéro </w:t>
      </w:r>
      <w:r w:rsidRPr="00DB77E8">
        <w:rPr>
          <w:b/>
          <w:bCs/>
        </w:rPr>
        <w:t>1.15</w:t>
      </w:r>
      <w:r w:rsidRPr="00DB77E8">
        <w:t xml:space="preserve"> du Règlement des radiocommunications (RR); </w:t>
      </w:r>
    </w:p>
    <w:p w14:paraId="08697B1A" w14:textId="77777777" w:rsidR="00D01BA7" w:rsidRPr="00DB77E8" w:rsidRDefault="00D01BA7" w:rsidP="00D01BA7">
      <w:r w:rsidRPr="00DB77E8">
        <w:rPr>
          <w:i/>
          <w:iCs/>
        </w:rPr>
        <w:t>e)</w:t>
      </w:r>
      <w:r w:rsidRPr="00DB77E8">
        <w:tab/>
        <w:t>que les dispositifs SRD, de par leur nature, sont actuellement exploités à l'échelle mondiale, soit comme des dispositifs indépendants, soit avec d'autres systèmes, et qu'ils sont souvent transportés et utilisés au-delà des frontières nationales;</w:t>
      </w:r>
    </w:p>
    <w:p w14:paraId="51A44CDE" w14:textId="77777777" w:rsidR="00D01BA7" w:rsidRPr="00DB77E8" w:rsidRDefault="00D01BA7" w:rsidP="00D01BA7">
      <w:r w:rsidRPr="00DB77E8">
        <w:rPr>
          <w:i/>
          <w:iCs/>
        </w:rPr>
        <w:t>f)</w:t>
      </w:r>
      <w:r w:rsidRPr="00DB77E8">
        <w:tab/>
        <w:t>que, dans certaines bandes de fréquences, des techniques spécifiques de limitation des brouillages peuvent faciliter l'exploitation des dispositifs SRD;</w:t>
      </w:r>
    </w:p>
    <w:p w14:paraId="2725B1DF" w14:textId="77777777" w:rsidR="00D01BA7" w:rsidRPr="00DB77E8" w:rsidRDefault="00D01BA7" w:rsidP="00D01BA7">
      <w:r w:rsidRPr="00DB77E8">
        <w:rPr>
          <w:i/>
          <w:iCs/>
        </w:rPr>
        <w:t>g)</w:t>
      </w:r>
      <w:r w:rsidRPr="00DB77E8">
        <w:tab/>
        <w:t>que certains dispositifs SRD peuvent employer des techniques évoluées d'accès au spectre;</w:t>
      </w:r>
    </w:p>
    <w:p w14:paraId="6C258DF4" w14:textId="77777777" w:rsidR="00D01BA7" w:rsidRPr="00DB77E8" w:rsidRDefault="00D01BA7" w:rsidP="00D01BA7">
      <w:r w:rsidRPr="00DB77E8">
        <w:rPr>
          <w:i/>
          <w:iCs/>
        </w:rPr>
        <w:t>h)</w:t>
      </w:r>
      <w:r w:rsidRPr="00DB77E8">
        <w:tab/>
        <w:t>que l'utilisation de dispositifs SRD ayant des caractéristiques techniques analogues –potentiel de brouillage et techniques de limitation des brouillages, par exemple – dans des bandes de fréquences adaptées et avec des limites d'émission appropriées pourrait améliorer la coexistence de ces systèmes;</w:t>
      </w:r>
    </w:p>
    <w:p w14:paraId="77C3B097" w14:textId="77777777" w:rsidR="00D01BA7" w:rsidRPr="00DB77E8" w:rsidRDefault="00D01BA7" w:rsidP="00D01BA7">
      <w:r w:rsidRPr="00DB77E8">
        <w:rPr>
          <w:i/>
          <w:iCs/>
        </w:rPr>
        <w:t>i)</w:t>
      </w:r>
      <w:r w:rsidRPr="00DB77E8">
        <w:tab/>
        <w:t>que le nombre d'applications SRD est en augmentation, ce qui pourrait se traduire par des besoins de spectre accrus (par exemple, UWB, RFID, etc.);</w:t>
      </w:r>
    </w:p>
    <w:p w14:paraId="295A80E0" w14:textId="77777777" w:rsidR="00D01BA7" w:rsidRPr="00DB77E8" w:rsidRDefault="00D01BA7" w:rsidP="00D01BA7">
      <w:r w:rsidRPr="00DB77E8">
        <w:rPr>
          <w:i/>
          <w:iCs/>
        </w:rPr>
        <w:t>j)</w:t>
      </w:r>
      <w:r w:rsidRPr="00DB77E8">
        <w:tab/>
        <w:t>qu'il peut être nécessaire d'utiliser le spectre existant de façon plus efficace et plus économique,</w:t>
      </w:r>
    </w:p>
    <w:p w14:paraId="100EDA22" w14:textId="77777777" w:rsidR="00D01BA7" w:rsidRPr="00DB77E8" w:rsidRDefault="00D01BA7" w:rsidP="00D01BA7">
      <w:pPr>
        <w:pStyle w:val="Call"/>
      </w:pPr>
      <w:r w:rsidRPr="00DB77E8">
        <w:lastRenderedPageBreak/>
        <w:t>considérant en outre</w:t>
      </w:r>
    </w:p>
    <w:p w14:paraId="24D30C24" w14:textId="77777777" w:rsidR="00D01BA7" w:rsidRPr="00DB77E8" w:rsidRDefault="00D01BA7" w:rsidP="00D01BA7">
      <w:r w:rsidRPr="00DB77E8">
        <w:rPr>
          <w:i/>
          <w:iCs/>
        </w:rPr>
        <w:t>a)</w:t>
      </w:r>
      <w:r w:rsidRPr="00DB77E8">
        <w:tab/>
        <w:t>que les dispositifs SRD sont susceptibles de causer des brouillages préjudiciables aux services de radiocommunication et que des personnes peuvent transporter certains de ces dispositifs d'un pays à l'autre,</w:t>
      </w:r>
    </w:p>
    <w:p w14:paraId="4F8586FC" w14:textId="77777777" w:rsidR="00D01BA7" w:rsidRPr="00DB77E8" w:rsidRDefault="00D01BA7" w:rsidP="00D01BA7">
      <w:pPr>
        <w:pStyle w:val="Call"/>
      </w:pPr>
      <w:r w:rsidRPr="00DB77E8">
        <w:t>notant</w:t>
      </w:r>
    </w:p>
    <w:p w14:paraId="50985D71" w14:textId="77777777" w:rsidR="00D01BA7" w:rsidRPr="00DB77E8" w:rsidRDefault="00D01BA7" w:rsidP="00D01BA7">
      <w:r w:rsidRPr="00DB77E8">
        <w:rPr>
          <w:i/>
          <w:iCs/>
        </w:rPr>
        <w:t>a)</w:t>
      </w:r>
      <w:r w:rsidRPr="00DB77E8">
        <w:tab/>
        <w:t>que la Résolution UIT-R 54 dispose que l'UIT-R doit poursuivre ses études en vue de permettre la mise en œuvre de technologies évoluées pour les dispositifs SRD, notamment en mettant l'accent sur une stratégie pour l'avenir;</w:t>
      </w:r>
    </w:p>
    <w:p w14:paraId="0045A779" w14:textId="77777777" w:rsidR="00D01BA7" w:rsidRPr="00DB77E8" w:rsidRDefault="00D01BA7" w:rsidP="00D01BA7">
      <w:r w:rsidRPr="00DB77E8">
        <w:rPr>
          <w:i/>
          <w:iCs/>
        </w:rPr>
        <w:t>b)</w:t>
      </w:r>
      <w:r w:rsidRPr="00DB77E8">
        <w:tab/>
        <w:t xml:space="preserve">que les gammes de fréquences, les </w:t>
      </w:r>
      <w:r w:rsidRPr="00DB77E8">
        <w:rPr>
          <w:lang w:eastAsia="zh-CN"/>
        </w:rPr>
        <w:t>niveaux de puissance et d'autres paramètres techniques et de fonctionnement utilisés couramment par les dispositifs SRD sont énumérés dans le Rapport UIT-R SM.2153, «</w:t>
      </w:r>
      <w:r w:rsidRPr="00DB77E8">
        <w:t>Paramètres techniques et de fonctionnement des dispositifs de radiocommunication à courte portée et fréquences utilisées»,</w:t>
      </w:r>
    </w:p>
    <w:p w14:paraId="0B368442" w14:textId="77777777" w:rsidR="00D01BA7" w:rsidRPr="00DB77E8" w:rsidRDefault="00D01BA7" w:rsidP="00D01BA7">
      <w:pPr>
        <w:pStyle w:val="Call"/>
      </w:pPr>
      <w:r w:rsidRPr="00DB77E8">
        <w:t>reconnaissant</w:t>
      </w:r>
    </w:p>
    <w:p w14:paraId="457C8D67" w14:textId="77777777" w:rsidR="00D01BA7" w:rsidRPr="00DB77E8" w:rsidRDefault="00D01BA7" w:rsidP="00D01BA7">
      <w:r w:rsidRPr="00DB77E8">
        <w:rPr>
          <w:i/>
          <w:iCs/>
        </w:rPr>
        <w:t>a)</w:t>
      </w:r>
      <w:r w:rsidRPr="00DB77E8">
        <w:tab/>
        <w:t>que le cadre réglementaire pour les dispositifs SRD, par exemple les décisions relatives aux bandes de fréquences utilisées par ces derniers, relève de la compétence nationale;</w:t>
      </w:r>
    </w:p>
    <w:p w14:paraId="56497DD3" w14:textId="77777777" w:rsidR="00D01BA7" w:rsidRPr="00DB77E8" w:rsidRDefault="00D01BA7" w:rsidP="00D01BA7">
      <w:r w:rsidRPr="00DB77E8">
        <w:rPr>
          <w:i/>
          <w:iCs/>
        </w:rPr>
        <w:t>b)</w:t>
      </w:r>
      <w:r w:rsidRPr="00DB77E8">
        <w:tab/>
        <w:t>que l'harmonisation régionale ou mondiale des gammes de fréquences destinées à être utilisées par les dispositifs SRD présente un certain nombre d'avantages pour les utilisateurs finals, les constructeurs et les régulateurs, par exemple:</w:t>
      </w:r>
    </w:p>
    <w:p w14:paraId="5C6CFB44" w14:textId="77777777" w:rsidR="00D01BA7" w:rsidRPr="00DB77E8" w:rsidRDefault="00D01BA7" w:rsidP="00D01BA7">
      <w:pPr>
        <w:pStyle w:val="enumlev1"/>
      </w:pPr>
      <w:r w:rsidRPr="00DB77E8">
        <w:t>–</w:t>
      </w:r>
      <w:r w:rsidRPr="00DB77E8">
        <w:tab/>
        <w:t>un processus de fabrication à plus grande échelle et des dispositifs produits en plus grand nombre, d'où des économies d'échelle et une plus grande disponibilité des équipements;</w:t>
      </w:r>
    </w:p>
    <w:p w14:paraId="5BF043F5" w14:textId="77777777" w:rsidR="00D01BA7" w:rsidRPr="00DB77E8" w:rsidRDefault="00D01BA7" w:rsidP="00D01BA7">
      <w:pPr>
        <w:pStyle w:val="enumlev1"/>
      </w:pPr>
      <w:r w:rsidRPr="00DB77E8">
        <w:t>–</w:t>
      </w:r>
      <w:r w:rsidRPr="00DB77E8">
        <w:tab/>
        <w:t>une meilleure utilisation du spectre;</w:t>
      </w:r>
    </w:p>
    <w:p w14:paraId="2B6BE931" w14:textId="77777777" w:rsidR="00D01BA7" w:rsidRPr="00DB77E8" w:rsidRDefault="00D01BA7" w:rsidP="00D01BA7">
      <w:r w:rsidRPr="00DB77E8">
        <w:rPr>
          <w:i/>
          <w:iCs/>
        </w:rPr>
        <w:t>c)</w:t>
      </w:r>
      <w:r w:rsidRPr="00DB77E8">
        <w:tab/>
        <w:t>qu'il n'est pas nécessaire, en principe, de délivrer de licence individuelle pour les dispositifs SRD car ces dispositifs utilisent généralement le spectre des fréquences radioélectriques sans causer de brouillages ni ne demander à être protégés contre les brouillages. Cependant, dans des cas particuliers, une licence ou un enregistrement peut être nécessaire,</w:t>
      </w:r>
    </w:p>
    <w:p w14:paraId="65DDD8D0" w14:textId="77777777" w:rsidR="00D01BA7" w:rsidRPr="00DB77E8" w:rsidRDefault="00D01BA7" w:rsidP="00D01BA7">
      <w:pPr>
        <w:pStyle w:val="Call"/>
      </w:pPr>
      <w:r w:rsidRPr="00DB77E8">
        <w:t>recommande</w:t>
      </w:r>
    </w:p>
    <w:p w14:paraId="0AD37F81" w14:textId="77777777" w:rsidR="00D01BA7" w:rsidRPr="00DB77E8" w:rsidRDefault="00D01BA7" w:rsidP="00D01BA7">
      <w:r w:rsidRPr="00DB77E8">
        <w:t>d'envisager d'utiliser, au besoin, les gammes de fréquences spécifiées dans les Annexes 1 et 2 pour les applications SRD qui doivent être exploitées de façon harmonisée sur une base mondiale ou régionale.</w:t>
      </w:r>
    </w:p>
    <w:p w14:paraId="6ECF2677" w14:textId="77777777" w:rsidR="00D01BA7" w:rsidRPr="00DB77E8" w:rsidRDefault="00D01BA7" w:rsidP="00322FA7">
      <w:pPr>
        <w:pStyle w:val="Headingb"/>
        <w:spacing w:before="360"/>
      </w:pPr>
      <w:r w:rsidRPr="00DB77E8">
        <w:t>Introduction aux Annexes 1 et 2</w:t>
      </w:r>
    </w:p>
    <w:p w14:paraId="1C03A2B0" w14:textId="77777777" w:rsidR="00D01BA7" w:rsidRPr="00DB77E8" w:rsidRDefault="00D01BA7" w:rsidP="00D01BA7">
      <w:pPr>
        <w:rPr>
          <w:szCs w:val="24"/>
        </w:rPr>
      </w:pPr>
      <w:r w:rsidRPr="00DB77E8">
        <w:t xml:space="preserve">De nombreuses applications SRD ainsi que les bandes de fréquences dans lesquelles elles sont déployées sont décrites dans le Rapport UIT-R SM.2153, </w:t>
      </w:r>
      <w:r w:rsidRPr="00DB77E8">
        <w:rPr>
          <w:rFonts w:ascii="TimesNewRoman" w:hAnsi="TimesNewRoman" w:cs="TimesNewRoman"/>
          <w:szCs w:val="24"/>
          <w:lang w:eastAsia="zh-CN"/>
        </w:rPr>
        <w:t>«</w:t>
      </w:r>
      <w:r w:rsidRPr="00DB77E8">
        <w:rPr>
          <w:szCs w:val="24"/>
        </w:rPr>
        <w:t>Paramètres techniques et de fonctionnement des dispositifs de radiocommunication à courte portée et fréquences utilisées». Le Tableau 1 de la présente Recommandation énumère les bandes de fréquences communes qui sont utilisées pour le déploiement des dispositifs SRD dans toutes les régions du monde. Cependant, toutes ces bandes de fréquences, indiquées comme bandes de fréquences communes et destinées à être utilisées par les dispositifs SRD, ne sont pas harmonisées à l'échelle régionale ou mondiale.</w:t>
      </w:r>
    </w:p>
    <w:p w14:paraId="5284EC5D" w14:textId="77777777" w:rsidR="00D01BA7" w:rsidRPr="00DB77E8" w:rsidRDefault="00D01BA7" w:rsidP="00D01BA7">
      <w:r w:rsidRPr="00DB77E8">
        <w:t>L'Annexe 1 de la présente Recommandation indique les gammes de fréquences pouvant être harmonisées à l'échelle mondiale et l'Annexe 2 celles pouvant être harmonisées à l'échelle régionale, dans certaines conditions techniques.</w:t>
      </w:r>
    </w:p>
    <w:p w14:paraId="506C8EFD" w14:textId="77777777" w:rsidR="00D01BA7" w:rsidRPr="00DB77E8" w:rsidRDefault="00D01BA7" w:rsidP="00D01BA7">
      <w:r w:rsidRPr="00DB77E8">
        <w:t>L'UIT</w:t>
      </w:r>
      <w:r w:rsidRPr="00DB77E8">
        <w:noBreakHyphen/>
        <w:t xml:space="preserve">R devra peut-être mener des études complémentaires afin de déterminer si l'harmonisation à l'échelle mondiale ou régionale de ces gammes de fréquences, ou de parties de ces gammes, est </w:t>
      </w:r>
      <w:r w:rsidRPr="00DB77E8">
        <w:lastRenderedPageBreak/>
        <w:t>techniquement possible, car un grand nombre d'applications SRD, par exemple les applications transfrontalières, bénéficieraient d'une harmonisation à l'échelle mondiale.</w:t>
      </w:r>
    </w:p>
    <w:p w14:paraId="6FB66CA1" w14:textId="77777777" w:rsidR="00D01BA7" w:rsidRPr="00DB77E8" w:rsidRDefault="00D01BA7" w:rsidP="00F16BF3">
      <w:r w:rsidRPr="00DB77E8">
        <w:t xml:space="preserve">A titre d'exemple, on citera les applications médicales, les applications SRD utilisées à l'intérieur et à l'extérieur des avions, les applications SRD pour les pièces d'identité, certaines applications des systèmes de transport intelligents, les applications RFID (identification par radiofréquence) pour la manutention des bagages dans les aéroports, les systèmes de gestion d'articles, la logistique, l'identification du bétail, la surveillance électronique d'articles (EAS, </w:t>
      </w:r>
      <w:r w:rsidRPr="00DB77E8">
        <w:rPr>
          <w:i/>
          <w:iCs/>
        </w:rPr>
        <w:t>electronic article surveillance</w:t>
      </w:r>
      <w:r w:rsidRPr="00DB77E8">
        <w:t xml:space="preserve">) et les technologies sans contact (NFC, </w:t>
      </w:r>
      <w:r w:rsidRPr="00DB77E8">
        <w:rPr>
          <w:i/>
          <w:iCs/>
        </w:rPr>
        <w:t>near field communication</w:t>
      </w:r>
      <w:r w:rsidRPr="00DB77E8">
        <w:t>). L'ISO et d'autres organismes internationaux de normalisation ont élaboré des normes pour un grand nombre de ces applications.</w:t>
      </w:r>
    </w:p>
    <w:p w14:paraId="44724BD5" w14:textId="77777777" w:rsidR="00D01BA7" w:rsidRPr="00DB77E8" w:rsidRDefault="00D01BA7" w:rsidP="00322FA7">
      <w:pPr>
        <w:keepNext/>
        <w:keepLines/>
        <w:rPr>
          <w:rFonts w:ascii="TimesNewRoman" w:hAnsi="TimesNewRoman" w:cs="TimesNewRoman"/>
          <w:szCs w:val="24"/>
          <w:lang w:eastAsia="zh-CN"/>
        </w:rPr>
      </w:pPr>
      <w:r w:rsidRPr="00DB77E8">
        <w:t xml:space="preserve">Lorsque les dispositifs SRD sont exploités dans des bandes de fréquences qui ne sont pas harmonisées à l'échelle mondiale ou régionale, les risques de brouillage préjudiciable pour les services de radiocommunication augmentent. En outre, les conditions d'accès au spectre et les règles techniques différentes font augmenter les coûts pour les utilisateurs d'applications SRD. Les bandes de fréquences communes et certaines règles techniques, telles que les </w:t>
      </w:r>
      <w:r w:rsidRPr="00DB77E8">
        <w:rPr>
          <w:rFonts w:ascii="TimesNewRoman" w:hAnsi="TimesNewRoman" w:cs="TimesNewRoman"/>
          <w:szCs w:val="24"/>
          <w:lang w:eastAsia="zh-CN"/>
        </w:rPr>
        <w:t>niveaux de puissance recommandés et les techniques de limitation des brouillages, devraient faire l'objet de Recommandations et de Rapports UIT</w:t>
      </w:r>
      <w:r w:rsidRPr="00DB77E8">
        <w:rPr>
          <w:rFonts w:ascii="TimesNewRoman" w:hAnsi="TimesNewRoman" w:cs="TimesNewRoman"/>
          <w:szCs w:val="24"/>
          <w:lang w:eastAsia="zh-CN"/>
        </w:rPr>
        <w:noBreakHyphen/>
        <w:t>R qui donneront des orientations aux administrations nationales.</w:t>
      </w:r>
    </w:p>
    <w:p w14:paraId="6FD40138" w14:textId="77777777" w:rsidR="00D01BA7" w:rsidRDefault="00D01BA7" w:rsidP="00D01BA7">
      <w:pPr>
        <w:rPr>
          <w:rFonts w:ascii="TimesNewRoman" w:hAnsi="TimesNewRoman" w:cs="TimesNewRoman"/>
          <w:szCs w:val="24"/>
          <w:lang w:eastAsia="zh-CN"/>
        </w:rPr>
      </w:pPr>
      <w:r w:rsidRPr="00DB77E8">
        <w:rPr>
          <w:rFonts w:ascii="TimesNewRoman" w:hAnsi="TimesNewRoman" w:cs="TimesNewRoman"/>
          <w:szCs w:val="24"/>
          <w:lang w:eastAsia="zh-CN"/>
        </w:rPr>
        <w:t>Des techniques évoluées d'accès au spectre et de limitation des brouillages sont en cours d'élaboration. Elles permettront peut-être un fonctionnement automatique des dispositifs SRD dans les gammes d'accord qui englobent des bandes de fréquences ne pouvant être complètement harmonisées dans toutes les régions. Pour des applications SRD peu coûteuses, par exemple les étiquettes RFID, ces techniques peuvent imposer des contraintes de coût importantes et/ou des limitations de puissance, notamment en raison de la durée de vie de la batterie. Par conséquent, ces techniques ne s'appliquent pas nécessairement à toutes les applications SRD.</w:t>
      </w:r>
    </w:p>
    <w:p w14:paraId="2D30A95E" w14:textId="77777777" w:rsidR="006A5F7A" w:rsidRPr="00DB77E8" w:rsidRDefault="006A5F7A" w:rsidP="00D01BA7">
      <w:pPr>
        <w:rPr>
          <w:rFonts w:ascii="TimesNewRoman" w:hAnsi="TimesNewRoman" w:cs="TimesNewRoman"/>
          <w:szCs w:val="24"/>
          <w:lang w:eastAsia="zh-CN"/>
        </w:rPr>
      </w:pPr>
    </w:p>
    <w:p w14:paraId="3EDE4853" w14:textId="77777777" w:rsidR="00D01BA7" w:rsidRPr="00DB77E8" w:rsidRDefault="00D01BA7" w:rsidP="00D01BA7">
      <w:pPr>
        <w:pStyle w:val="AnnexNoTitle"/>
      </w:pPr>
      <w:r w:rsidRPr="00DB77E8">
        <w:t>Annexe 1</w:t>
      </w:r>
      <w:r w:rsidRPr="00DB77E8">
        <w:br/>
      </w:r>
      <w:r w:rsidRPr="00DB77E8">
        <w:br/>
        <w:t>Gammes de fréquences pour une harmonisation</w:t>
      </w:r>
      <w:r w:rsidRPr="00DB77E8">
        <w:br/>
        <w:t>à l'échelle mondiale des dispositifs SRD</w:t>
      </w:r>
      <w:r w:rsidRPr="00DB77E8">
        <w:rPr>
          <w:rStyle w:val="FootnoteReference"/>
        </w:rPr>
        <w:footnoteReference w:id="2"/>
      </w:r>
    </w:p>
    <w:p w14:paraId="7089756F" w14:textId="77777777" w:rsidR="00D01BA7" w:rsidRPr="00DB77E8" w:rsidRDefault="00D01BA7" w:rsidP="00D01BA7">
      <w:pPr>
        <w:pStyle w:val="Normalaftertitle"/>
        <w:spacing w:after="240"/>
      </w:pPr>
      <w:r w:rsidRPr="00DB77E8">
        <w:t>Les gammes de fréquences figurant dans le Tableau ci-dessous sont basées sur les informations figurant dans le Rapport UIT-R SM.2153 et les contributions des administrations assistant aux réunions de l'UIT</w:t>
      </w:r>
      <w:r w:rsidRPr="00DB77E8">
        <w:noBreakHyphen/>
        <w:t>R. Ce Tableau ne reflète pas nécessairement la situation réelle. A cet égard, les administrations sont priées de fournir des informations complémentaires.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7"/>
        <w:gridCol w:w="2802"/>
        <w:gridCol w:w="4110"/>
      </w:tblGrid>
      <w:tr w:rsidR="00D01BA7" w:rsidRPr="00DB77E8" w14:paraId="0D0E4431" w14:textId="77777777" w:rsidTr="00AB3BEE">
        <w:trPr>
          <w:cantSplit/>
          <w:tblHeader/>
          <w:jc w:val="center"/>
        </w:trPr>
        <w:tc>
          <w:tcPr>
            <w:tcW w:w="2727" w:type="dxa"/>
            <w:shd w:val="clear" w:color="auto" w:fill="auto"/>
            <w:vAlign w:val="center"/>
          </w:tcPr>
          <w:p w14:paraId="646B28FF" w14:textId="77777777" w:rsidR="00D01BA7" w:rsidRPr="00DB77E8" w:rsidRDefault="00D01BA7" w:rsidP="00AB3BEE">
            <w:pPr>
              <w:pStyle w:val="Tablehead"/>
              <w:keepLines/>
            </w:pPr>
            <w:r w:rsidRPr="00DB77E8">
              <w:t>Gamme de fréquences</w:t>
            </w:r>
          </w:p>
        </w:tc>
        <w:tc>
          <w:tcPr>
            <w:tcW w:w="2802" w:type="dxa"/>
            <w:shd w:val="clear" w:color="auto" w:fill="auto"/>
            <w:vAlign w:val="center"/>
          </w:tcPr>
          <w:p w14:paraId="7E109A45" w14:textId="77777777" w:rsidR="00D01BA7" w:rsidRPr="00DB77E8" w:rsidRDefault="00D01BA7" w:rsidP="00AB3BEE">
            <w:pPr>
              <w:pStyle w:val="Tablehead"/>
              <w:keepLines/>
            </w:pPr>
            <w:r w:rsidRPr="00DB77E8">
              <w:t>Recommandation pertinente</w:t>
            </w:r>
          </w:p>
        </w:tc>
        <w:tc>
          <w:tcPr>
            <w:tcW w:w="4110" w:type="dxa"/>
            <w:shd w:val="clear" w:color="auto" w:fill="auto"/>
            <w:vAlign w:val="center"/>
          </w:tcPr>
          <w:p w14:paraId="5DFB4EE3" w14:textId="77777777" w:rsidR="00D01BA7" w:rsidRPr="00DB77E8" w:rsidRDefault="00D01BA7" w:rsidP="00AB3BEE">
            <w:pPr>
              <w:pStyle w:val="Tablehead"/>
              <w:keepLines/>
            </w:pPr>
            <w:r w:rsidRPr="00DB77E8">
              <w:t>Remarques</w:t>
            </w:r>
          </w:p>
        </w:tc>
      </w:tr>
      <w:tr w:rsidR="00D01BA7" w:rsidRPr="00DB77E8" w14:paraId="7DED9E8C" w14:textId="77777777" w:rsidTr="00AB3BEE">
        <w:trPr>
          <w:cantSplit/>
          <w:jc w:val="center"/>
        </w:trPr>
        <w:tc>
          <w:tcPr>
            <w:tcW w:w="2727" w:type="dxa"/>
          </w:tcPr>
          <w:p w14:paraId="775ACA96" w14:textId="77777777" w:rsidR="00D01BA7" w:rsidRPr="00DB77E8" w:rsidRDefault="00D01BA7" w:rsidP="00AB3BEE">
            <w:pPr>
              <w:pStyle w:val="Tabletext"/>
            </w:pPr>
            <w:r w:rsidRPr="00DB77E8">
              <w:t>9</w:t>
            </w:r>
            <w:r w:rsidRPr="00DB77E8">
              <w:noBreakHyphen/>
              <w:t>148,5 kHz</w:t>
            </w:r>
          </w:p>
        </w:tc>
        <w:tc>
          <w:tcPr>
            <w:tcW w:w="2802" w:type="dxa"/>
          </w:tcPr>
          <w:p w14:paraId="711AE4EF" w14:textId="77777777" w:rsidR="00D01BA7" w:rsidRPr="00DB77E8" w:rsidRDefault="00D01BA7" w:rsidP="00AB3BEE">
            <w:pPr>
              <w:pStyle w:val="Tabletext"/>
            </w:pPr>
          </w:p>
        </w:tc>
        <w:tc>
          <w:tcPr>
            <w:tcW w:w="4110" w:type="dxa"/>
            <w:vAlign w:val="center"/>
          </w:tcPr>
          <w:p w14:paraId="2FCD9C30" w14:textId="77777777" w:rsidR="00D01BA7" w:rsidRPr="00DB77E8" w:rsidRDefault="00D01BA7" w:rsidP="00AB3BEE">
            <w:pPr>
              <w:pStyle w:val="Tabletext"/>
              <w:jc w:val="left"/>
            </w:pPr>
            <w:r w:rsidRPr="00DB77E8">
              <w:t>Applications SRD inductives</w:t>
            </w:r>
          </w:p>
        </w:tc>
      </w:tr>
      <w:tr w:rsidR="00D01BA7" w:rsidRPr="00DB77E8" w14:paraId="3D2EE0E5" w14:textId="77777777" w:rsidTr="00AB3BEE">
        <w:trPr>
          <w:cantSplit/>
          <w:jc w:val="center"/>
        </w:trPr>
        <w:tc>
          <w:tcPr>
            <w:tcW w:w="2727" w:type="dxa"/>
          </w:tcPr>
          <w:p w14:paraId="1FE85B25" w14:textId="77777777" w:rsidR="00D01BA7" w:rsidRPr="00DB77E8" w:rsidRDefault="00D01BA7" w:rsidP="00AB3BEE">
            <w:pPr>
              <w:pStyle w:val="Tabletext"/>
            </w:pPr>
            <w:r w:rsidRPr="00DB77E8">
              <w:t>3 155</w:t>
            </w:r>
            <w:r w:rsidRPr="00DB77E8">
              <w:noBreakHyphen/>
              <w:t>3 400 kHz</w:t>
            </w:r>
          </w:p>
        </w:tc>
        <w:tc>
          <w:tcPr>
            <w:tcW w:w="2802" w:type="dxa"/>
          </w:tcPr>
          <w:p w14:paraId="2FFD5EB4" w14:textId="77777777" w:rsidR="00D01BA7" w:rsidRPr="00DB77E8" w:rsidRDefault="00D01BA7" w:rsidP="00322FA7">
            <w:pPr>
              <w:pStyle w:val="Tabletext"/>
              <w:jc w:val="center"/>
            </w:pPr>
            <w:r w:rsidRPr="00DB77E8">
              <w:t>UIT</w:t>
            </w:r>
            <w:r w:rsidRPr="00DB77E8">
              <w:noBreakHyphen/>
              <w:t>R M.1076</w:t>
            </w:r>
          </w:p>
        </w:tc>
        <w:tc>
          <w:tcPr>
            <w:tcW w:w="4110" w:type="dxa"/>
            <w:vAlign w:val="center"/>
          </w:tcPr>
          <w:p w14:paraId="2626E513" w14:textId="77777777" w:rsidR="00D01BA7" w:rsidRPr="00DB77E8" w:rsidRDefault="00D01BA7" w:rsidP="00AB3BEE">
            <w:pPr>
              <w:pStyle w:val="Tabletext"/>
              <w:jc w:val="left"/>
            </w:pPr>
            <w:r w:rsidRPr="00DB77E8">
              <w:t>Applications SRD inductives</w:t>
            </w:r>
            <w:r w:rsidRPr="00DB77E8">
              <w:br/>
              <w:t xml:space="preserve">numéro </w:t>
            </w:r>
            <w:r w:rsidRPr="00DB77E8">
              <w:rPr>
                <w:b/>
                <w:bCs/>
              </w:rPr>
              <w:t>5.116</w:t>
            </w:r>
            <w:r w:rsidRPr="00DB77E8">
              <w:t xml:space="preserve"> du RR</w:t>
            </w:r>
          </w:p>
        </w:tc>
      </w:tr>
      <w:tr w:rsidR="00D01BA7" w:rsidRPr="00DB77E8" w14:paraId="1C1DB6CC" w14:textId="77777777" w:rsidTr="00AB3BEE">
        <w:trPr>
          <w:cantSplit/>
          <w:jc w:val="center"/>
        </w:trPr>
        <w:tc>
          <w:tcPr>
            <w:tcW w:w="2727" w:type="dxa"/>
          </w:tcPr>
          <w:p w14:paraId="4A76869C" w14:textId="77777777" w:rsidR="00D01BA7" w:rsidRPr="00DB77E8" w:rsidRDefault="00D01BA7" w:rsidP="00AB3BEE">
            <w:pPr>
              <w:pStyle w:val="Tabletext"/>
            </w:pPr>
            <w:r w:rsidRPr="00DB77E8">
              <w:lastRenderedPageBreak/>
              <w:t>6 765</w:t>
            </w:r>
            <w:r w:rsidRPr="00DB77E8">
              <w:noBreakHyphen/>
              <w:t>6 795 kHz</w:t>
            </w:r>
          </w:p>
        </w:tc>
        <w:tc>
          <w:tcPr>
            <w:tcW w:w="2802" w:type="dxa"/>
          </w:tcPr>
          <w:p w14:paraId="4016EB35" w14:textId="77777777" w:rsidR="00D01BA7" w:rsidRPr="00DB77E8" w:rsidRDefault="00D01BA7" w:rsidP="00AB3BEE">
            <w:pPr>
              <w:pStyle w:val="Tabletext"/>
            </w:pPr>
          </w:p>
        </w:tc>
        <w:tc>
          <w:tcPr>
            <w:tcW w:w="4110" w:type="dxa"/>
            <w:vAlign w:val="center"/>
          </w:tcPr>
          <w:p w14:paraId="4A4A369B" w14:textId="77777777" w:rsidR="00D01BA7" w:rsidRPr="00DB77E8" w:rsidRDefault="00D01BA7" w:rsidP="00AB3BEE">
            <w:pPr>
              <w:pStyle w:val="Tabletext"/>
              <w:jc w:val="left"/>
            </w:pPr>
            <w:r w:rsidRPr="00DB77E8">
              <w:t>Applications SRD inductives</w:t>
            </w:r>
            <w:r w:rsidRPr="00DB77E8">
              <w:br/>
              <w:t>Bande ISM (numéro </w:t>
            </w:r>
            <w:r w:rsidRPr="00DB77E8">
              <w:rPr>
                <w:b/>
                <w:bCs/>
              </w:rPr>
              <w:t>5.138</w:t>
            </w:r>
            <w:r w:rsidRPr="00DB77E8">
              <w:t xml:space="preserve"> du RR) </w:t>
            </w:r>
            <w:r w:rsidRPr="00DB77E8">
              <w:br/>
              <w:t xml:space="preserve">Fréquence </w:t>
            </w:r>
            <w:proofErr w:type="gramStart"/>
            <w:r w:rsidRPr="00DB77E8">
              <w:t>centrale:</w:t>
            </w:r>
            <w:proofErr w:type="gramEnd"/>
            <w:r w:rsidRPr="00DB77E8">
              <w:t xml:space="preserve"> 6 780 kHz</w:t>
            </w:r>
          </w:p>
        </w:tc>
      </w:tr>
      <w:tr w:rsidR="00D01BA7" w:rsidRPr="00DB77E8" w14:paraId="09F4329A" w14:textId="77777777" w:rsidTr="00AB3BEE">
        <w:trPr>
          <w:cantSplit/>
          <w:jc w:val="center"/>
        </w:trPr>
        <w:tc>
          <w:tcPr>
            <w:tcW w:w="2727" w:type="dxa"/>
          </w:tcPr>
          <w:p w14:paraId="3AFA6575" w14:textId="77777777" w:rsidR="00D01BA7" w:rsidRPr="00DB77E8" w:rsidRDefault="00D01BA7" w:rsidP="00AB3BEE">
            <w:pPr>
              <w:pStyle w:val="Tabletext"/>
            </w:pPr>
            <w:r w:rsidRPr="00DB77E8">
              <w:t>13,553</w:t>
            </w:r>
            <w:r w:rsidRPr="00DB77E8">
              <w:noBreakHyphen/>
              <w:t>13,567 MHz</w:t>
            </w:r>
          </w:p>
        </w:tc>
        <w:tc>
          <w:tcPr>
            <w:tcW w:w="2802" w:type="dxa"/>
            <w:vAlign w:val="center"/>
          </w:tcPr>
          <w:p w14:paraId="33131FEF" w14:textId="77777777" w:rsidR="00D01BA7" w:rsidRPr="00DB77E8" w:rsidRDefault="00D01BA7" w:rsidP="00AB3BEE">
            <w:pPr>
              <w:pStyle w:val="Tabletext"/>
              <w:jc w:val="center"/>
            </w:pPr>
          </w:p>
        </w:tc>
        <w:tc>
          <w:tcPr>
            <w:tcW w:w="4110" w:type="dxa"/>
            <w:vAlign w:val="center"/>
          </w:tcPr>
          <w:p w14:paraId="7FBCD2E9" w14:textId="77777777" w:rsidR="00D01BA7" w:rsidRPr="00DB77E8" w:rsidRDefault="00D01BA7" w:rsidP="00AB3BEE">
            <w:pPr>
              <w:pStyle w:val="Tabletext"/>
              <w:jc w:val="left"/>
            </w:pPr>
            <w:r w:rsidRPr="00DB77E8">
              <w:t>Applications SRD inductives</w:t>
            </w:r>
            <w:r w:rsidRPr="00DB77E8">
              <w:br/>
              <w:t>Bande ISM (numéro </w:t>
            </w:r>
            <w:r w:rsidRPr="00DB77E8">
              <w:rPr>
                <w:b/>
                <w:bCs/>
              </w:rPr>
              <w:t>5.150</w:t>
            </w:r>
            <w:r w:rsidRPr="00DB77E8">
              <w:t xml:space="preserve"> du RR) </w:t>
            </w:r>
            <w:r w:rsidRPr="00DB77E8">
              <w:br/>
              <w:t xml:space="preserve">Fréquence </w:t>
            </w:r>
            <w:proofErr w:type="gramStart"/>
            <w:r w:rsidRPr="00DB77E8">
              <w:t>centrale:</w:t>
            </w:r>
            <w:proofErr w:type="gramEnd"/>
            <w:r w:rsidRPr="00DB77E8">
              <w:t xml:space="preserve"> 13,560 MHz</w:t>
            </w:r>
            <w:r w:rsidRPr="00DB77E8">
              <w:br/>
              <w:t>Le niveau de suppression des bandes latérales dépend de la réglementation nationale</w:t>
            </w:r>
          </w:p>
        </w:tc>
      </w:tr>
      <w:tr w:rsidR="00D01BA7" w:rsidRPr="00DB77E8" w14:paraId="1E09D5FE" w14:textId="77777777" w:rsidTr="00AB3BEE">
        <w:trPr>
          <w:cantSplit/>
          <w:jc w:val="center"/>
        </w:trPr>
        <w:tc>
          <w:tcPr>
            <w:tcW w:w="2727" w:type="dxa"/>
          </w:tcPr>
          <w:p w14:paraId="7845FE75" w14:textId="77777777" w:rsidR="00D01BA7" w:rsidRPr="00DB77E8" w:rsidRDefault="00D01BA7" w:rsidP="00AB3BEE">
            <w:pPr>
              <w:pStyle w:val="Tabletext"/>
            </w:pPr>
            <w:r w:rsidRPr="00DB77E8">
              <w:t>26,957</w:t>
            </w:r>
            <w:r w:rsidRPr="00DB77E8">
              <w:noBreakHyphen/>
              <w:t>27,283 MHz</w:t>
            </w:r>
          </w:p>
        </w:tc>
        <w:tc>
          <w:tcPr>
            <w:tcW w:w="2802" w:type="dxa"/>
            <w:vAlign w:val="center"/>
          </w:tcPr>
          <w:p w14:paraId="303FB768" w14:textId="77777777" w:rsidR="00D01BA7" w:rsidRPr="00DB77E8" w:rsidRDefault="00D01BA7" w:rsidP="00AB3BEE">
            <w:pPr>
              <w:pStyle w:val="Tabletext"/>
              <w:jc w:val="center"/>
            </w:pPr>
          </w:p>
        </w:tc>
        <w:tc>
          <w:tcPr>
            <w:tcW w:w="4110" w:type="dxa"/>
          </w:tcPr>
          <w:p w14:paraId="176BCFA6" w14:textId="77777777" w:rsidR="00D01BA7" w:rsidRPr="00DB77E8" w:rsidRDefault="00D01BA7" w:rsidP="00AB3BEE">
            <w:pPr>
              <w:pStyle w:val="Tabletext"/>
              <w:jc w:val="left"/>
            </w:pPr>
            <w:r w:rsidRPr="00DB77E8">
              <w:t>Applications SRD inductives/dispositifs à courte portée non spécifiques</w:t>
            </w:r>
            <w:r w:rsidRPr="00DB77E8">
              <w:br/>
              <w:t>Bande ISM (numéro </w:t>
            </w:r>
            <w:r w:rsidRPr="00DB77E8">
              <w:rPr>
                <w:b/>
                <w:bCs/>
              </w:rPr>
              <w:t>5.150</w:t>
            </w:r>
            <w:r w:rsidRPr="00DB77E8">
              <w:t xml:space="preserve"> du RR) </w:t>
            </w:r>
            <w:r w:rsidRPr="00DB77E8">
              <w:br/>
              <w:t xml:space="preserve">Fréquence </w:t>
            </w:r>
            <w:proofErr w:type="gramStart"/>
            <w:r w:rsidRPr="00DB77E8">
              <w:t>centrale:</w:t>
            </w:r>
            <w:proofErr w:type="gramEnd"/>
            <w:r w:rsidRPr="00DB77E8">
              <w:t xml:space="preserve"> 27 120 kHz</w:t>
            </w:r>
          </w:p>
        </w:tc>
      </w:tr>
      <w:tr w:rsidR="00D01BA7" w:rsidRPr="00DB77E8" w14:paraId="53D4D7E2" w14:textId="77777777" w:rsidTr="00AB3BEE">
        <w:trPr>
          <w:cantSplit/>
          <w:jc w:val="center"/>
        </w:trPr>
        <w:tc>
          <w:tcPr>
            <w:tcW w:w="2727" w:type="dxa"/>
          </w:tcPr>
          <w:p w14:paraId="7A633E12" w14:textId="77777777" w:rsidR="00D01BA7" w:rsidRPr="00DB77E8" w:rsidRDefault="00D01BA7" w:rsidP="00AB3BEE">
            <w:pPr>
              <w:pStyle w:val="Tabletext"/>
            </w:pPr>
            <w:r w:rsidRPr="00DB77E8">
              <w:t>40,66</w:t>
            </w:r>
            <w:r w:rsidRPr="00DB77E8">
              <w:noBreakHyphen/>
              <w:t>40,7 MHz</w:t>
            </w:r>
          </w:p>
        </w:tc>
        <w:tc>
          <w:tcPr>
            <w:tcW w:w="2802" w:type="dxa"/>
            <w:vAlign w:val="center"/>
          </w:tcPr>
          <w:p w14:paraId="4C513FB6" w14:textId="77777777" w:rsidR="00D01BA7" w:rsidRPr="00DB77E8" w:rsidRDefault="00D01BA7" w:rsidP="00AB3BEE">
            <w:pPr>
              <w:pStyle w:val="Tabletext"/>
              <w:jc w:val="center"/>
            </w:pPr>
          </w:p>
        </w:tc>
        <w:tc>
          <w:tcPr>
            <w:tcW w:w="4110" w:type="dxa"/>
          </w:tcPr>
          <w:p w14:paraId="6405F6AB" w14:textId="77777777" w:rsidR="00D01BA7" w:rsidRPr="00DB77E8" w:rsidRDefault="00D01BA7" w:rsidP="00AB3BEE">
            <w:pPr>
              <w:pStyle w:val="Tabletext"/>
              <w:jc w:val="left"/>
            </w:pPr>
            <w:r w:rsidRPr="00DB77E8">
              <w:t>Bande ISM (numéro </w:t>
            </w:r>
            <w:r w:rsidRPr="00DB77E8">
              <w:rPr>
                <w:b/>
                <w:bCs/>
              </w:rPr>
              <w:t>5.150</w:t>
            </w:r>
            <w:r w:rsidRPr="00DB77E8">
              <w:t xml:space="preserve"> du RR) </w:t>
            </w:r>
            <w:r w:rsidRPr="00DB77E8">
              <w:br/>
              <w:t xml:space="preserve">Fréquence </w:t>
            </w:r>
            <w:proofErr w:type="gramStart"/>
            <w:r w:rsidRPr="00DB77E8">
              <w:t>centrale:</w:t>
            </w:r>
            <w:proofErr w:type="gramEnd"/>
            <w:r w:rsidRPr="00DB77E8">
              <w:t xml:space="preserve"> 40,68 MHz</w:t>
            </w:r>
          </w:p>
        </w:tc>
      </w:tr>
      <w:tr w:rsidR="00D01BA7" w:rsidRPr="00DB77E8" w14:paraId="371BC12A" w14:textId="77777777" w:rsidTr="00AB3BEE">
        <w:trPr>
          <w:cantSplit/>
          <w:jc w:val="center"/>
        </w:trPr>
        <w:tc>
          <w:tcPr>
            <w:tcW w:w="2727" w:type="dxa"/>
          </w:tcPr>
          <w:p w14:paraId="276AEA2C" w14:textId="77777777" w:rsidR="00D01BA7" w:rsidRPr="00DB77E8" w:rsidRDefault="00D01BA7" w:rsidP="00AB3BEE">
            <w:pPr>
              <w:pStyle w:val="Tabletext"/>
            </w:pPr>
            <w:r w:rsidRPr="00DB77E8">
              <w:t>2 400</w:t>
            </w:r>
            <w:r w:rsidRPr="00DB77E8">
              <w:noBreakHyphen/>
              <w:t>2 500 MHz</w:t>
            </w:r>
          </w:p>
        </w:tc>
        <w:tc>
          <w:tcPr>
            <w:tcW w:w="2802" w:type="dxa"/>
            <w:vAlign w:val="center"/>
          </w:tcPr>
          <w:p w14:paraId="4BA65122" w14:textId="77777777" w:rsidR="00D01BA7" w:rsidRPr="00DB77E8" w:rsidRDefault="00D01BA7" w:rsidP="00AB3BEE">
            <w:pPr>
              <w:pStyle w:val="Tabletext"/>
              <w:jc w:val="center"/>
            </w:pPr>
          </w:p>
        </w:tc>
        <w:tc>
          <w:tcPr>
            <w:tcW w:w="4110" w:type="dxa"/>
          </w:tcPr>
          <w:p w14:paraId="46835334" w14:textId="77777777" w:rsidR="00D01BA7" w:rsidRPr="00DB77E8" w:rsidRDefault="00D01BA7" w:rsidP="00AB3BEE">
            <w:pPr>
              <w:pStyle w:val="Tabletext"/>
              <w:jc w:val="left"/>
            </w:pPr>
            <w:r w:rsidRPr="00DB77E8">
              <w:t xml:space="preserve">Bande ISM (numéro </w:t>
            </w:r>
            <w:r w:rsidRPr="00DB77E8">
              <w:rPr>
                <w:b/>
                <w:bCs/>
              </w:rPr>
              <w:t>5.150</w:t>
            </w:r>
            <w:r w:rsidRPr="00DB77E8">
              <w:t xml:space="preserve"> du </w:t>
            </w:r>
            <w:proofErr w:type="gramStart"/>
            <w:r w:rsidRPr="00DB77E8">
              <w:t>RR)</w:t>
            </w:r>
            <w:r w:rsidRPr="00DB77E8">
              <w:rPr>
                <w:vertAlign w:val="superscript"/>
              </w:rPr>
              <w:t>(</w:t>
            </w:r>
            <w:proofErr w:type="gramEnd"/>
            <w:r w:rsidRPr="00DB77E8">
              <w:rPr>
                <w:vertAlign w:val="superscript"/>
              </w:rPr>
              <w:t>1)</w:t>
            </w:r>
            <w:r w:rsidRPr="00DB77E8">
              <w:br/>
              <w:t>Fréquence centrale: 2 450 MHz</w:t>
            </w:r>
          </w:p>
        </w:tc>
      </w:tr>
      <w:tr w:rsidR="00D01BA7" w:rsidRPr="00DB77E8" w14:paraId="4881455F" w14:textId="77777777" w:rsidTr="00AB3BEE">
        <w:trPr>
          <w:cantSplit/>
          <w:jc w:val="center"/>
        </w:trPr>
        <w:tc>
          <w:tcPr>
            <w:tcW w:w="2727" w:type="dxa"/>
          </w:tcPr>
          <w:p w14:paraId="3ECE48D7" w14:textId="77777777" w:rsidR="00D01BA7" w:rsidRPr="00DB77E8" w:rsidRDefault="00D01BA7" w:rsidP="00AB3BEE">
            <w:pPr>
              <w:pStyle w:val="Tabletext"/>
            </w:pPr>
            <w:r w:rsidRPr="00DB77E8">
              <w:t>3,7-4,8 GHz</w:t>
            </w:r>
          </w:p>
          <w:p w14:paraId="0ACD3F1E" w14:textId="77777777" w:rsidR="00D01BA7" w:rsidRPr="00DB77E8" w:rsidRDefault="00D01BA7" w:rsidP="00AB3BEE">
            <w:pPr>
              <w:pStyle w:val="Tabletext"/>
            </w:pPr>
            <w:r w:rsidRPr="00DB77E8">
              <w:t>7,25-9 GHz</w:t>
            </w:r>
          </w:p>
        </w:tc>
        <w:bookmarkStart w:id="9" w:name="_Hlk516324333"/>
        <w:tc>
          <w:tcPr>
            <w:tcW w:w="2802" w:type="dxa"/>
            <w:vAlign w:val="center"/>
          </w:tcPr>
          <w:p w14:paraId="7EFB21A9" w14:textId="77777777" w:rsidR="00D01BA7" w:rsidRPr="00D01BA7" w:rsidRDefault="00D01BA7" w:rsidP="00AB3BEE">
            <w:pPr>
              <w:pStyle w:val="Tabletext"/>
              <w:jc w:val="center"/>
              <w:rPr>
                <w:lang w:val="en-US"/>
              </w:rPr>
            </w:pPr>
            <w:r w:rsidRPr="00DB77E8">
              <w:fldChar w:fldCharType="begin"/>
            </w:r>
            <w:r w:rsidRPr="00D01BA7">
              <w:rPr>
                <w:lang w:val="en-US"/>
              </w:rPr>
              <w:instrText xml:space="preserve"> HYPERLINK "http://www.itu.int/rec/R-REC-SM.1755/en" </w:instrText>
            </w:r>
            <w:r w:rsidRPr="00DB77E8">
              <w:fldChar w:fldCharType="separate"/>
            </w:r>
            <w:r w:rsidRPr="00D01BA7">
              <w:rPr>
                <w:rStyle w:val="Hyperlink"/>
                <w:color w:val="auto"/>
                <w:u w:val="none"/>
                <w:lang w:val="en-US"/>
              </w:rPr>
              <w:t>UIT</w:t>
            </w:r>
            <w:r w:rsidRPr="00D01BA7">
              <w:rPr>
                <w:rStyle w:val="Hyperlink"/>
                <w:color w:val="auto"/>
                <w:u w:val="none"/>
                <w:lang w:val="en-US"/>
              </w:rPr>
              <w:noBreakHyphen/>
              <w:t>R SM.1755</w:t>
            </w:r>
            <w:r w:rsidRPr="00DB77E8">
              <w:fldChar w:fldCharType="end"/>
            </w:r>
            <w:r w:rsidRPr="00D01BA7">
              <w:rPr>
                <w:lang w:val="en-US"/>
              </w:rPr>
              <w:t>;</w:t>
            </w:r>
          </w:p>
          <w:p w14:paraId="03474057" w14:textId="77777777" w:rsidR="00D01BA7" w:rsidRPr="00D01BA7" w:rsidRDefault="005823BC" w:rsidP="00AB3BEE">
            <w:pPr>
              <w:pStyle w:val="Tabletext"/>
              <w:jc w:val="center"/>
              <w:rPr>
                <w:lang w:val="en-US"/>
              </w:rPr>
            </w:pPr>
            <w:hyperlink r:id="rId12" w:history="1">
              <w:r w:rsidR="00D01BA7" w:rsidRPr="00D01BA7">
                <w:rPr>
                  <w:rStyle w:val="Hyperlink"/>
                  <w:color w:val="auto"/>
                  <w:u w:val="none"/>
                  <w:lang w:val="en-US"/>
                </w:rPr>
                <w:t>UIT</w:t>
              </w:r>
              <w:r w:rsidR="00D01BA7" w:rsidRPr="00D01BA7">
                <w:rPr>
                  <w:rStyle w:val="Hyperlink"/>
                  <w:color w:val="auto"/>
                  <w:u w:val="none"/>
                  <w:lang w:val="en-US"/>
                </w:rPr>
                <w:noBreakHyphen/>
                <w:t>R SM.1756</w:t>
              </w:r>
            </w:hyperlink>
            <w:r w:rsidR="00D01BA7" w:rsidRPr="00D01BA7">
              <w:rPr>
                <w:lang w:val="en-US"/>
              </w:rPr>
              <w:t>;</w:t>
            </w:r>
          </w:p>
          <w:p w14:paraId="5F7C0B77" w14:textId="77777777" w:rsidR="00D01BA7" w:rsidRPr="00DB77E8" w:rsidRDefault="005823BC" w:rsidP="00AB3BEE">
            <w:pPr>
              <w:pStyle w:val="Tabletext"/>
              <w:jc w:val="center"/>
            </w:pPr>
            <w:hyperlink r:id="rId13" w:history="1">
              <w:r w:rsidR="00D01BA7" w:rsidRPr="00DB77E8">
                <w:rPr>
                  <w:rStyle w:val="Hyperlink"/>
                  <w:color w:val="auto"/>
                  <w:u w:val="none"/>
                </w:rPr>
                <w:t>UIT</w:t>
              </w:r>
              <w:r w:rsidR="00D01BA7" w:rsidRPr="00DB77E8">
                <w:rPr>
                  <w:rStyle w:val="Hyperlink"/>
                  <w:color w:val="auto"/>
                  <w:u w:val="none"/>
                </w:rPr>
                <w:noBreakHyphen/>
                <w:t>R SM.1757</w:t>
              </w:r>
            </w:hyperlink>
            <w:bookmarkEnd w:id="9"/>
          </w:p>
        </w:tc>
        <w:tc>
          <w:tcPr>
            <w:tcW w:w="4110" w:type="dxa"/>
          </w:tcPr>
          <w:p w14:paraId="34D0C779" w14:textId="77777777" w:rsidR="00D01BA7" w:rsidRPr="00DB77E8" w:rsidRDefault="00D01BA7" w:rsidP="00AB3BEE">
            <w:pPr>
              <w:pStyle w:val="Tabletext"/>
              <w:jc w:val="left"/>
            </w:pPr>
            <w:r w:rsidRPr="00DB77E8">
              <w:t xml:space="preserve">Applications UWB de communication, de géolocalisation et de </w:t>
            </w:r>
            <w:proofErr w:type="gramStart"/>
            <w:r w:rsidRPr="00DB77E8">
              <w:t>radiorepérage</w:t>
            </w:r>
            <w:r w:rsidRPr="00DB77E8">
              <w:rPr>
                <w:vertAlign w:val="superscript"/>
              </w:rPr>
              <w:t>(</w:t>
            </w:r>
            <w:proofErr w:type="gramEnd"/>
            <w:r w:rsidRPr="00DB77E8">
              <w:rPr>
                <w:vertAlign w:val="superscript"/>
              </w:rPr>
              <w:t>2),(3)</w:t>
            </w:r>
          </w:p>
        </w:tc>
      </w:tr>
      <w:tr w:rsidR="00D01BA7" w:rsidRPr="00DB77E8" w14:paraId="36EB333C" w14:textId="77777777" w:rsidTr="00AB3BEE">
        <w:trPr>
          <w:cantSplit/>
          <w:jc w:val="center"/>
        </w:trPr>
        <w:tc>
          <w:tcPr>
            <w:tcW w:w="2727" w:type="dxa"/>
          </w:tcPr>
          <w:p w14:paraId="224F343E" w14:textId="77777777" w:rsidR="00D01BA7" w:rsidRPr="00DB77E8" w:rsidRDefault="00D01BA7" w:rsidP="00AB3BEE">
            <w:pPr>
              <w:pStyle w:val="Tabletext"/>
            </w:pPr>
            <w:r w:rsidRPr="00DB77E8">
              <w:t>5 725</w:t>
            </w:r>
            <w:r w:rsidRPr="00DB77E8">
              <w:noBreakHyphen/>
              <w:t>5 875 MHz</w:t>
            </w:r>
          </w:p>
        </w:tc>
        <w:tc>
          <w:tcPr>
            <w:tcW w:w="2802" w:type="dxa"/>
            <w:vAlign w:val="center"/>
          </w:tcPr>
          <w:p w14:paraId="5393E31F" w14:textId="77777777" w:rsidR="00D01BA7" w:rsidRPr="00DB77E8" w:rsidRDefault="00D01BA7" w:rsidP="00AB3BEE">
            <w:pPr>
              <w:pStyle w:val="Tabletext"/>
              <w:jc w:val="center"/>
            </w:pPr>
          </w:p>
        </w:tc>
        <w:tc>
          <w:tcPr>
            <w:tcW w:w="4110" w:type="dxa"/>
          </w:tcPr>
          <w:p w14:paraId="6B7D09BB" w14:textId="77777777" w:rsidR="00D01BA7" w:rsidRPr="00DB77E8" w:rsidRDefault="00D01BA7" w:rsidP="00AB3BEE">
            <w:pPr>
              <w:pStyle w:val="Tabletext"/>
              <w:jc w:val="left"/>
            </w:pPr>
            <w:r w:rsidRPr="00DB77E8">
              <w:t xml:space="preserve">Bande ISM (numéro </w:t>
            </w:r>
            <w:r w:rsidRPr="00DB77E8">
              <w:rPr>
                <w:b/>
                <w:bCs/>
              </w:rPr>
              <w:t>5.150</w:t>
            </w:r>
            <w:r w:rsidRPr="00DB77E8">
              <w:t xml:space="preserve"> du RR) </w:t>
            </w:r>
            <w:r w:rsidRPr="00DB77E8">
              <w:br/>
              <w:t xml:space="preserve">Fréquence </w:t>
            </w:r>
            <w:proofErr w:type="gramStart"/>
            <w:r w:rsidRPr="00DB77E8">
              <w:t>centrale:</w:t>
            </w:r>
            <w:proofErr w:type="gramEnd"/>
            <w:r w:rsidRPr="00DB77E8">
              <w:t xml:space="preserve"> 5 800 MHz</w:t>
            </w:r>
          </w:p>
        </w:tc>
      </w:tr>
      <w:tr w:rsidR="00D01BA7" w:rsidRPr="00DB77E8" w14:paraId="1D211C62" w14:textId="77777777" w:rsidTr="00AB3BEE">
        <w:trPr>
          <w:cantSplit/>
          <w:jc w:val="center"/>
        </w:trPr>
        <w:tc>
          <w:tcPr>
            <w:tcW w:w="2727" w:type="dxa"/>
          </w:tcPr>
          <w:p w14:paraId="781958A3" w14:textId="77777777" w:rsidR="00D01BA7" w:rsidRPr="00DB77E8" w:rsidRDefault="00D01BA7" w:rsidP="00AB3BEE">
            <w:pPr>
              <w:pStyle w:val="Tabletext"/>
            </w:pPr>
            <w:r w:rsidRPr="00DB77E8">
              <w:t>24,00</w:t>
            </w:r>
            <w:r w:rsidRPr="00DB77E8">
              <w:noBreakHyphen/>
              <w:t>24,25 GHz</w:t>
            </w:r>
          </w:p>
        </w:tc>
        <w:tc>
          <w:tcPr>
            <w:tcW w:w="2802" w:type="dxa"/>
            <w:vAlign w:val="center"/>
          </w:tcPr>
          <w:p w14:paraId="7F6A6F3B" w14:textId="77777777" w:rsidR="00D01BA7" w:rsidRPr="00DB77E8" w:rsidRDefault="00D01BA7" w:rsidP="00AB3BEE">
            <w:pPr>
              <w:pStyle w:val="Tabletext"/>
              <w:jc w:val="center"/>
            </w:pPr>
          </w:p>
        </w:tc>
        <w:tc>
          <w:tcPr>
            <w:tcW w:w="4110" w:type="dxa"/>
          </w:tcPr>
          <w:p w14:paraId="313A1AC1" w14:textId="77777777" w:rsidR="00D01BA7" w:rsidRPr="00DB77E8" w:rsidRDefault="00D01BA7" w:rsidP="00AB3BEE">
            <w:pPr>
              <w:pStyle w:val="Tabletext"/>
              <w:jc w:val="left"/>
            </w:pPr>
            <w:r w:rsidRPr="00DB77E8">
              <w:t xml:space="preserve">Bande ISM (numéro </w:t>
            </w:r>
            <w:r w:rsidRPr="00DB77E8">
              <w:rPr>
                <w:b/>
                <w:bCs/>
              </w:rPr>
              <w:t>5.150</w:t>
            </w:r>
            <w:r w:rsidRPr="00DB77E8">
              <w:t xml:space="preserve"> du RR) </w:t>
            </w:r>
            <w:r w:rsidRPr="00DB77E8">
              <w:br/>
              <w:t xml:space="preserve">Fréquence </w:t>
            </w:r>
            <w:proofErr w:type="gramStart"/>
            <w:r w:rsidRPr="00DB77E8">
              <w:t>centrale:</w:t>
            </w:r>
            <w:proofErr w:type="gramEnd"/>
            <w:r w:rsidRPr="00DB77E8">
              <w:t xml:space="preserve"> 24,125 GHz</w:t>
            </w:r>
          </w:p>
        </w:tc>
      </w:tr>
      <w:tr w:rsidR="00D01BA7" w:rsidRPr="00DB77E8" w14:paraId="1740911D" w14:textId="77777777" w:rsidTr="00AB3BEE">
        <w:trPr>
          <w:cantSplit/>
          <w:jc w:val="center"/>
        </w:trPr>
        <w:tc>
          <w:tcPr>
            <w:tcW w:w="2727" w:type="dxa"/>
          </w:tcPr>
          <w:p w14:paraId="1A4A8CE8" w14:textId="77777777" w:rsidR="00D01BA7" w:rsidRPr="00DB77E8" w:rsidRDefault="00D01BA7" w:rsidP="00AB3BEE">
            <w:pPr>
              <w:pStyle w:val="Tabletext"/>
            </w:pPr>
            <w:r w:rsidRPr="00DB77E8">
              <w:t>61,0</w:t>
            </w:r>
            <w:r w:rsidRPr="00DB77E8">
              <w:noBreakHyphen/>
              <w:t>61,5 GHz</w:t>
            </w:r>
          </w:p>
        </w:tc>
        <w:tc>
          <w:tcPr>
            <w:tcW w:w="2802" w:type="dxa"/>
            <w:vAlign w:val="center"/>
          </w:tcPr>
          <w:p w14:paraId="390C67B0" w14:textId="77777777" w:rsidR="00D01BA7" w:rsidRPr="00DB77E8" w:rsidRDefault="00D01BA7" w:rsidP="00AB3BEE">
            <w:pPr>
              <w:pStyle w:val="Tabletext"/>
              <w:jc w:val="center"/>
            </w:pPr>
          </w:p>
        </w:tc>
        <w:tc>
          <w:tcPr>
            <w:tcW w:w="4110" w:type="dxa"/>
          </w:tcPr>
          <w:p w14:paraId="2BF2A8C0" w14:textId="77777777" w:rsidR="00D01BA7" w:rsidRPr="00DB77E8" w:rsidRDefault="00D01BA7" w:rsidP="00AB3BEE">
            <w:pPr>
              <w:pStyle w:val="Tabletext"/>
              <w:jc w:val="left"/>
            </w:pPr>
            <w:r w:rsidRPr="00DB77E8">
              <w:t xml:space="preserve">Bande ISM (numéro </w:t>
            </w:r>
            <w:r w:rsidRPr="00DB77E8">
              <w:rPr>
                <w:b/>
                <w:bCs/>
              </w:rPr>
              <w:t>5.138</w:t>
            </w:r>
            <w:r w:rsidRPr="00DB77E8">
              <w:t xml:space="preserve"> du RR) </w:t>
            </w:r>
            <w:r w:rsidRPr="00DB77E8">
              <w:br/>
              <w:t xml:space="preserve">Fréquence </w:t>
            </w:r>
            <w:proofErr w:type="gramStart"/>
            <w:r w:rsidRPr="00DB77E8">
              <w:t>centrale:</w:t>
            </w:r>
            <w:proofErr w:type="gramEnd"/>
            <w:r w:rsidRPr="00DB77E8">
              <w:t xml:space="preserve"> 61,25 GHz</w:t>
            </w:r>
          </w:p>
        </w:tc>
      </w:tr>
      <w:tr w:rsidR="00D01BA7" w:rsidRPr="00DB77E8" w14:paraId="416E7F47" w14:textId="77777777" w:rsidTr="00AB3BEE">
        <w:trPr>
          <w:cantSplit/>
          <w:jc w:val="center"/>
        </w:trPr>
        <w:tc>
          <w:tcPr>
            <w:tcW w:w="2727" w:type="dxa"/>
          </w:tcPr>
          <w:p w14:paraId="230BC454" w14:textId="77777777" w:rsidR="00D01BA7" w:rsidRPr="00DB77E8" w:rsidRDefault="00D01BA7" w:rsidP="00AB3BEE">
            <w:pPr>
              <w:pStyle w:val="Tabletext"/>
            </w:pPr>
            <w:r w:rsidRPr="00DB77E8">
              <w:t>122</w:t>
            </w:r>
            <w:r w:rsidRPr="00DB77E8">
              <w:noBreakHyphen/>
              <w:t>123 GHz</w:t>
            </w:r>
          </w:p>
        </w:tc>
        <w:tc>
          <w:tcPr>
            <w:tcW w:w="2802" w:type="dxa"/>
            <w:vAlign w:val="center"/>
          </w:tcPr>
          <w:p w14:paraId="1577863D" w14:textId="77777777" w:rsidR="00D01BA7" w:rsidRPr="00DB77E8" w:rsidRDefault="00D01BA7" w:rsidP="00AB3BEE">
            <w:pPr>
              <w:pStyle w:val="Tabletext"/>
              <w:jc w:val="center"/>
            </w:pPr>
          </w:p>
        </w:tc>
        <w:tc>
          <w:tcPr>
            <w:tcW w:w="4110" w:type="dxa"/>
          </w:tcPr>
          <w:p w14:paraId="25657CB9" w14:textId="77777777" w:rsidR="00D01BA7" w:rsidRPr="00DB77E8" w:rsidRDefault="00D01BA7" w:rsidP="00AB3BEE">
            <w:pPr>
              <w:pStyle w:val="Tabletext"/>
              <w:jc w:val="left"/>
            </w:pPr>
            <w:r w:rsidRPr="00DB77E8">
              <w:t xml:space="preserve">Bande ISM (numéro </w:t>
            </w:r>
            <w:r w:rsidRPr="00DB77E8">
              <w:rPr>
                <w:b/>
                <w:bCs/>
              </w:rPr>
              <w:t>5.138</w:t>
            </w:r>
            <w:r w:rsidRPr="00DB77E8">
              <w:t xml:space="preserve"> du RR) </w:t>
            </w:r>
            <w:r w:rsidRPr="00DB77E8">
              <w:br/>
              <w:t xml:space="preserve">Fréquence </w:t>
            </w:r>
            <w:proofErr w:type="gramStart"/>
            <w:r w:rsidRPr="00DB77E8">
              <w:t>centrale:</w:t>
            </w:r>
            <w:proofErr w:type="gramEnd"/>
            <w:r w:rsidRPr="00DB77E8">
              <w:t xml:space="preserve"> 122,5 GHz</w:t>
            </w:r>
          </w:p>
        </w:tc>
      </w:tr>
      <w:tr w:rsidR="00D01BA7" w:rsidRPr="00DB77E8" w14:paraId="1ABD470B" w14:textId="77777777" w:rsidTr="00AB3BEE">
        <w:trPr>
          <w:cantSplit/>
          <w:jc w:val="center"/>
        </w:trPr>
        <w:tc>
          <w:tcPr>
            <w:tcW w:w="2727" w:type="dxa"/>
          </w:tcPr>
          <w:p w14:paraId="471597DE" w14:textId="77777777" w:rsidR="00D01BA7" w:rsidRPr="00DB77E8" w:rsidRDefault="00D01BA7" w:rsidP="00AB3BEE">
            <w:pPr>
              <w:pStyle w:val="Tabletext"/>
            </w:pPr>
            <w:r w:rsidRPr="00DB77E8">
              <w:t>244</w:t>
            </w:r>
            <w:r w:rsidRPr="00DB77E8">
              <w:noBreakHyphen/>
              <w:t>246 GHz</w:t>
            </w:r>
          </w:p>
        </w:tc>
        <w:tc>
          <w:tcPr>
            <w:tcW w:w="2802" w:type="dxa"/>
            <w:vAlign w:val="center"/>
          </w:tcPr>
          <w:p w14:paraId="226FE7A8" w14:textId="77777777" w:rsidR="00D01BA7" w:rsidRPr="00DB77E8" w:rsidRDefault="00D01BA7" w:rsidP="00AB3BEE">
            <w:pPr>
              <w:pStyle w:val="Tabletext"/>
              <w:jc w:val="center"/>
            </w:pPr>
          </w:p>
        </w:tc>
        <w:tc>
          <w:tcPr>
            <w:tcW w:w="4110" w:type="dxa"/>
          </w:tcPr>
          <w:p w14:paraId="3A16E0DD" w14:textId="77777777" w:rsidR="00D01BA7" w:rsidRPr="00DB77E8" w:rsidRDefault="00D01BA7" w:rsidP="00AB3BEE">
            <w:pPr>
              <w:pStyle w:val="Tabletext"/>
              <w:jc w:val="left"/>
            </w:pPr>
            <w:r w:rsidRPr="00DB77E8">
              <w:t xml:space="preserve">Bande ISM (numéro </w:t>
            </w:r>
            <w:r w:rsidRPr="00DB77E8">
              <w:rPr>
                <w:b/>
                <w:bCs/>
              </w:rPr>
              <w:t>5.138</w:t>
            </w:r>
            <w:r w:rsidRPr="00DB77E8">
              <w:t xml:space="preserve"> du RR) </w:t>
            </w:r>
            <w:r w:rsidRPr="00DB77E8">
              <w:br/>
              <w:t xml:space="preserve">Fréquence </w:t>
            </w:r>
            <w:proofErr w:type="gramStart"/>
            <w:r w:rsidRPr="00DB77E8">
              <w:t>centrale:</w:t>
            </w:r>
            <w:proofErr w:type="gramEnd"/>
            <w:r w:rsidRPr="00DB77E8">
              <w:t xml:space="preserve"> 245 GHz</w:t>
            </w:r>
          </w:p>
        </w:tc>
      </w:tr>
      <w:tr w:rsidR="00D01BA7" w:rsidRPr="00DB77E8" w14:paraId="360A7409" w14:textId="77777777" w:rsidTr="00AB3BEE">
        <w:trPr>
          <w:cantSplit/>
          <w:jc w:val="center"/>
        </w:trPr>
        <w:tc>
          <w:tcPr>
            <w:tcW w:w="9639" w:type="dxa"/>
            <w:gridSpan w:val="3"/>
            <w:tcBorders>
              <w:left w:val="nil"/>
              <w:bottom w:val="nil"/>
              <w:right w:val="nil"/>
            </w:tcBorders>
          </w:tcPr>
          <w:p w14:paraId="6A5B32C8" w14:textId="77777777" w:rsidR="00D01BA7" w:rsidRPr="00DB77E8" w:rsidRDefault="00D01BA7" w:rsidP="00AB3BEE">
            <w:pPr>
              <w:pStyle w:val="Tablelegend"/>
              <w:rPr>
                <w:i/>
                <w:iCs/>
              </w:rPr>
            </w:pPr>
            <w:r w:rsidRPr="00DB77E8">
              <w:rPr>
                <w:i/>
                <w:iCs/>
              </w:rPr>
              <w:t xml:space="preserve">Notes relatives au </w:t>
            </w:r>
            <w:proofErr w:type="gramStart"/>
            <w:r w:rsidRPr="00DB77E8">
              <w:rPr>
                <w:i/>
                <w:iCs/>
              </w:rPr>
              <w:t>Tableau:</w:t>
            </w:r>
            <w:proofErr w:type="gramEnd"/>
          </w:p>
          <w:p w14:paraId="47B80EED" w14:textId="77777777" w:rsidR="00D01BA7" w:rsidRPr="00DB77E8" w:rsidRDefault="00D01BA7" w:rsidP="00AB3BEE">
            <w:pPr>
              <w:pStyle w:val="Tablelegend"/>
            </w:pPr>
            <w:r w:rsidRPr="00DB77E8">
              <w:rPr>
                <w:vertAlign w:val="superscript"/>
              </w:rPr>
              <w:t>(1)</w:t>
            </w:r>
            <w:r w:rsidRPr="00DB77E8">
              <w:tab/>
              <w:t>Dans certains pays, la limite supérieure est 2 483,5 MHz.</w:t>
            </w:r>
          </w:p>
          <w:p w14:paraId="7B2185FE" w14:textId="77777777" w:rsidR="00D01BA7" w:rsidRPr="00DB77E8" w:rsidRDefault="00D01BA7" w:rsidP="00AB3BEE">
            <w:pPr>
              <w:pStyle w:val="Tablelegend"/>
              <w:rPr>
                <w:color w:val="000000"/>
              </w:rPr>
            </w:pPr>
            <w:r w:rsidRPr="00DB77E8">
              <w:rPr>
                <w:vertAlign w:val="superscript"/>
              </w:rPr>
              <w:t>(2)</w:t>
            </w:r>
            <w:r w:rsidRPr="00DB77E8">
              <w:tab/>
              <w:t xml:space="preserve">Les gammes de fréquences des applications UWB ainsi que la réglementation pertinente les concernant sont différentes d'un pays à l'autre. </w:t>
            </w:r>
            <w:r w:rsidRPr="00DB77E8">
              <w:rPr>
                <w:color w:val="000000"/>
              </w:rPr>
              <w:t>A cet égard, les administrations sont priées de fournir des informations complémentaires.</w:t>
            </w:r>
          </w:p>
          <w:p w14:paraId="501E50B1" w14:textId="77777777" w:rsidR="00D01BA7" w:rsidRPr="00DB77E8" w:rsidRDefault="00D01BA7" w:rsidP="00AB3BEE">
            <w:pPr>
              <w:pStyle w:val="Tablelegend"/>
            </w:pPr>
            <w:r w:rsidRPr="00DB77E8">
              <w:rPr>
                <w:color w:val="000000"/>
                <w:vertAlign w:val="superscript"/>
              </w:rPr>
              <w:t>(3)</w:t>
            </w:r>
            <w:r w:rsidRPr="00DB77E8">
              <w:rPr>
                <w:vertAlign w:val="superscript"/>
              </w:rPr>
              <w:tab/>
            </w:r>
            <w:r w:rsidRPr="00DB77E8">
              <w:t xml:space="preserve">La réglementation relative à la bande ultralarge (UWB) est souvent considérée comme une réglementation sous-jacente, en ce sens qu'elle vise une gamme de fréquences très large, </w:t>
            </w:r>
            <w:r w:rsidRPr="00DB77E8">
              <w:rPr>
                <w:color w:val="000000"/>
              </w:rPr>
              <w:t>susceptible de couvrir plusieurs bandes de fréquences attribuées aux services de radiocommunication. Les applications UWB constituent un sous-ensemble des applications SRD et utilisent le spectre radioélectrique sans causer de brouillages aux services de radiocommunication et sans bénéficier d'une protection vis-à-vis de ces services.</w:t>
            </w:r>
          </w:p>
        </w:tc>
      </w:tr>
    </w:tbl>
    <w:p w14:paraId="4A126006" w14:textId="77777777" w:rsidR="006A5F7A" w:rsidRPr="00FE7749" w:rsidRDefault="006A5F7A" w:rsidP="00EE3886">
      <w:pPr>
        <w:pStyle w:val="Tablefin"/>
        <w:rPr>
          <w:lang w:val="fr-CH"/>
        </w:rPr>
      </w:pPr>
    </w:p>
    <w:p w14:paraId="3DFAAF74" w14:textId="77777777" w:rsidR="006A5F7A" w:rsidRDefault="006A5F7A" w:rsidP="006A5F7A"/>
    <w:p w14:paraId="5529D6D9" w14:textId="77777777" w:rsidR="00EE3886" w:rsidRDefault="00EE3886" w:rsidP="006A5F7A"/>
    <w:p w14:paraId="41241747" w14:textId="77777777" w:rsidR="00D01BA7" w:rsidRPr="00DB77E8" w:rsidRDefault="00D01BA7" w:rsidP="00D01BA7">
      <w:pPr>
        <w:pStyle w:val="AnnexNoTitle"/>
      </w:pPr>
      <w:r w:rsidRPr="00DB77E8">
        <w:lastRenderedPageBreak/>
        <w:t>Annexe 2</w:t>
      </w:r>
      <w:r w:rsidRPr="00DB77E8">
        <w:br/>
      </w:r>
      <w:r w:rsidRPr="00DB77E8">
        <w:br/>
        <w:t xml:space="preserve">Gammes de fréquences pour l'harmonisation </w:t>
      </w:r>
      <w:r w:rsidRPr="00DB77E8">
        <w:br/>
        <w:t>des dispositifs SRD à l'échelle régionale</w:t>
      </w:r>
      <w:r w:rsidRPr="00DB77E8">
        <w:rPr>
          <w:rStyle w:val="FootnoteReference"/>
        </w:rPr>
        <w:footnoteReference w:id="3"/>
      </w:r>
    </w:p>
    <w:p w14:paraId="209DCD78" w14:textId="77777777" w:rsidR="00D01BA7" w:rsidRPr="00DB77E8" w:rsidRDefault="00D01BA7" w:rsidP="00D01BA7">
      <w:pPr>
        <w:pStyle w:val="Normalaftertitle"/>
        <w:spacing w:after="240"/>
      </w:pPr>
      <w:r w:rsidRPr="00DB77E8">
        <w:t>Les gammes de fréquences et leur disponibilité dans diverses régions figurant dans le Tableau ci</w:t>
      </w:r>
      <w:r w:rsidRPr="00DB77E8">
        <w:noBreakHyphen/>
        <w:t>dessous sont basées sur les informations contenues dans le Rapport UIT</w:t>
      </w:r>
      <w:r w:rsidRPr="00DB77E8">
        <w:noBreakHyphen/>
        <w:t>R SM.2153 et les contributions des administrations assistant aux réunions de l'UIT</w:t>
      </w:r>
      <w:r w:rsidRPr="00DB77E8">
        <w:noBreakHyphen/>
        <w:t>R. Ce Tableau ne reflète pas nécessairement la situation réelle qui prévaut dans chaque pays et/ou région. A cet égard, les administrations sont priées de fournir des informations complémentaires.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879"/>
        <w:gridCol w:w="2368"/>
        <w:gridCol w:w="1182"/>
        <w:gridCol w:w="1237"/>
        <w:gridCol w:w="1267"/>
      </w:tblGrid>
      <w:tr w:rsidR="00D01BA7" w:rsidRPr="00DB77E8" w14:paraId="4FA02B06" w14:textId="77777777" w:rsidTr="00AB3BEE">
        <w:trPr>
          <w:cantSplit/>
          <w:tblHeader/>
          <w:jc w:val="center"/>
        </w:trPr>
        <w:tc>
          <w:tcPr>
            <w:tcW w:w="1696" w:type="dxa"/>
            <w:shd w:val="clear" w:color="auto" w:fill="auto"/>
          </w:tcPr>
          <w:p w14:paraId="60E043CB" w14:textId="77777777" w:rsidR="00D01BA7" w:rsidRPr="00DB77E8" w:rsidRDefault="00D01BA7" w:rsidP="00AB3BEE">
            <w:pPr>
              <w:pStyle w:val="Tablehead"/>
            </w:pPr>
            <w:r w:rsidRPr="00DB77E8">
              <w:t>Gamme de fréquences</w:t>
            </w:r>
          </w:p>
        </w:tc>
        <w:tc>
          <w:tcPr>
            <w:tcW w:w="1879" w:type="dxa"/>
            <w:shd w:val="clear" w:color="auto" w:fill="auto"/>
          </w:tcPr>
          <w:p w14:paraId="16959C5D" w14:textId="77777777" w:rsidR="00D01BA7" w:rsidRPr="00DB77E8" w:rsidRDefault="00D01BA7" w:rsidP="00AB3BEE">
            <w:pPr>
              <w:pStyle w:val="Tablehead"/>
            </w:pPr>
            <w:r w:rsidRPr="00DB77E8">
              <w:t>Recommandation pertinente</w:t>
            </w:r>
          </w:p>
        </w:tc>
        <w:tc>
          <w:tcPr>
            <w:tcW w:w="2368" w:type="dxa"/>
            <w:shd w:val="clear" w:color="auto" w:fill="auto"/>
            <w:vAlign w:val="center"/>
          </w:tcPr>
          <w:p w14:paraId="049C588E" w14:textId="77777777" w:rsidR="00D01BA7" w:rsidRPr="00DB77E8" w:rsidRDefault="00D01BA7" w:rsidP="00AB3BEE">
            <w:pPr>
              <w:pStyle w:val="Tablehead"/>
            </w:pPr>
            <w:r w:rsidRPr="00DB77E8">
              <w:t>Remarques</w:t>
            </w:r>
          </w:p>
        </w:tc>
        <w:tc>
          <w:tcPr>
            <w:tcW w:w="1182" w:type="dxa"/>
            <w:shd w:val="clear" w:color="auto" w:fill="auto"/>
            <w:vAlign w:val="center"/>
          </w:tcPr>
          <w:p w14:paraId="7CFDFEF9" w14:textId="77777777" w:rsidR="00D01BA7" w:rsidRPr="00DB77E8" w:rsidRDefault="00D01BA7" w:rsidP="00AB3BEE">
            <w:pPr>
              <w:pStyle w:val="Tablehead"/>
            </w:pPr>
            <w:r w:rsidRPr="00DB77E8">
              <w:t>Région 1</w:t>
            </w:r>
          </w:p>
        </w:tc>
        <w:tc>
          <w:tcPr>
            <w:tcW w:w="1237" w:type="dxa"/>
            <w:shd w:val="clear" w:color="auto" w:fill="auto"/>
            <w:vAlign w:val="center"/>
          </w:tcPr>
          <w:p w14:paraId="372B89EC" w14:textId="77777777" w:rsidR="00D01BA7" w:rsidRPr="00DB77E8" w:rsidRDefault="00D01BA7" w:rsidP="00AB3BEE">
            <w:pPr>
              <w:pStyle w:val="Tablehead"/>
            </w:pPr>
            <w:r w:rsidRPr="00DB77E8">
              <w:t>Région 2</w:t>
            </w:r>
          </w:p>
        </w:tc>
        <w:tc>
          <w:tcPr>
            <w:tcW w:w="1267" w:type="dxa"/>
            <w:shd w:val="clear" w:color="auto" w:fill="auto"/>
            <w:vAlign w:val="center"/>
          </w:tcPr>
          <w:p w14:paraId="1C56F921" w14:textId="77777777" w:rsidR="00D01BA7" w:rsidRPr="00DB77E8" w:rsidRDefault="00D01BA7" w:rsidP="00AB3BEE">
            <w:pPr>
              <w:pStyle w:val="Tablehead"/>
            </w:pPr>
            <w:r w:rsidRPr="00DB77E8">
              <w:t>Région 3</w:t>
            </w:r>
          </w:p>
        </w:tc>
      </w:tr>
      <w:tr w:rsidR="00D01BA7" w:rsidRPr="00DB77E8" w14:paraId="61483A0B" w14:textId="77777777" w:rsidTr="00AB3BEE">
        <w:trPr>
          <w:cantSplit/>
          <w:trHeight w:val="565"/>
          <w:jc w:val="center"/>
        </w:trPr>
        <w:tc>
          <w:tcPr>
            <w:tcW w:w="1696" w:type="dxa"/>
          </w:tcPr>
          <w:p w14:paraId="4E9F5C52" w14:textId="77777777" w:rsidR="00D01BA7" w:rsidRPr="00DB77E8" w:rsidRDefault="00D01BA7" w:rsidP="00AB3BEE">
            <w:pPr>
              <w:pStyle w:val="Tabletext"/>
            </w:pPr>
            <w:r w:rsidRPr="00DB77E8">
              <w:t>7 400</w:t>
            </w:r>
            <w:r w:rsidRPr="00DB77E8">
              <w:noBreakHyphen/>
              <w:t>8 800 kHz</w:t>
            </w:r>
          </w:p>
        </w:tc>
        <w:tc>
          <w:tcPr>
            <w:tcW w:w="1879" w:type="dxa"/>
          </w:tcPr>
          <w:p w14:paraId="52A59925" w14:textId="77777777" w:rsidR="00D01BA7" w:rsidRPr="00DB77E8" w:rsidRDefault="00D01BA7" w:rsidP="00AB3BEE">
            <w:pPr>
              <w:pStyle w:val="Tabletext"/>
            </w:pPr>
          </w:p>
        </w:tc>
        <w:tc>
          <w:tcPr>
            <w:tcW w:w="2368" w:type="dxa"/>
          </w:tcPr>
          <w:p w14:paraId="35F0F4BD" w14:textId="77777777" w:rsidR="00D01BA7" w:rsidRPr="00DB77E8" w:rsidRDefault="00D01BA7" w:rsidP="00AB3BEE">
            <w:pPr>
              <w:pStyle w:val="Tabletext"/>
            </w:pPr>
          </w:p>
        </w:tc>
        <w:tc>
          <w:tcPr>
            <w:tcW w:w="1182" w:type="dxa"/>
          </w:tcPr>
          <w:p w14:paraId="77E9B765" w14:textId="77777777" w:rsidR="00D01BA7" w:rsidRPr="00DB77E8" w:rsidRDefault="00D01BA7" w:rsidP="00AB3BEE">
            <w:pPr>
              <w:pStyle w:val="Tabletext"/>
            </w:pPr>
            <w:r w:rsidRPr="00DB77E8">
              <w:t>Disponible</w:t>
            </w:r>
          </w:p>
        </w:tc>
        <w:tc>
          <w:tcPr>
            <w:tcW w:w="1237" w:type="dxa"/>
          </w:tcPr>
          <w:p w14:paraId="5C2D9B7F" w14:textId="77777777" w:rsidR="00D01BA7" w:rsidRPr="00DB77E8" w:rsidRDefault="00D01BA7" w:rsidP="00AB3BEE">
            <w:pPr>
              <w:pStyle w:val="Tabletext"/>
            </w:pPr>
            <w:r w:rsidRPr="00DB77E8">
              <w:t>Disponible</w:t>
            </w:r>
          </w:p>
        </w:tc>
        <w:tc>
          <w:tcPr>
            <w:tcW w:w="1267" w:type="dxa"/>
          </w:tcPr>
          <w:p w14:paraId="5CB33013" w14:textId="77777777" w:rsidR="00D01BA7" w:rsidRPr="00DB77E8" w:rsidRDefault="00D01BA7" w:rsidP="00AB3BEE">
            <w:pPr>
              <w:pStyle w:val="Tabletext"/>
            </w:pPr>
            <w:r w:rsidRPr="00DB77E8">
              <w:t>Disponible dans certains pays</w:t>
            </w:r>
          </w:p>
        </w:tc>
      </w:tr>
      <w:tr w:rsidR="00D01BA7" w:rsidRPr="00DB77E8" w14:paraId="4E6505AD" w14:textId="77777777" w:rsidTr="00AB3BEE">
        <w:trPr>
          <w:cantSplit/>
          <w:trHeight w:val="2076"/>
          <w:jc w:val="center"/>
        </w:trPr>
        <w:tc>
          <w:tcPr>
            <w:tcW w:w="1696" w:type="dxa"/>
          </w:tcPr>
          <w:p w14:paraId="2AE79C7A" w14:textId="77777777" w:rsidR="00D01BA7" w:rsidRPr="00DB77E8" w:rsidRDefault="00D01BA7" w:rsidP="00AB3BEE">
            <w:pPr>
              <w:pStyle w:val="Tabletext"/>
            </w:pPr>
            <w:r w:rsidRPr="00DB77E8">
              <w:t>312</w:t>
            </w:r>
            <w:r w:rsidRPr="00DB77E8">
              <w:noBreakHyphen/>
              <w:t>315 MHz</w:t>
            </w:r>
          </w:p>
        </w:tc>
        <w:tc>
          <w:tcPr>
            <w:tcW w:w="1879" w:type="dxa"/>
          </w:tcPr>
          <w:p w14:paraId="126ABE0E" w14:textId="77777777" w:rsidR="00D01BA7" w:rsidRPr="00DB77E8" w:rsidRDefault="00D01BA7" w:rsidP="00AB3BEE">
            <w:pPr>
              <w:pStyle w:val="Tabletext"/>
            </w:pPr>
          </w:p>
        </w:tc>
        <w:tc>
          <w:tcPr>
            <w:tcW w:w="2368" w:type="dxa"/>
            <w:vMerge w:val="restart"/>
            <w:vAlign w:val="center"/>
          </w:tcPr>
          <w:p w14:paraId="2409C860" w14:textId="77777777" w:rsidR="00D01BA7" w:rsidRPr="00DB77E8" w:rsidRDefault="00D01BA7" w:rsidP="00AB3BEE">
            <w:pPr>
              <w:pStyle w:val="Tabletext"/>
              <w:jc w:val="left"/>
            </w:pPr>
            <w:r w:rsidRPr="00DB77E8">
              <w:t>Ces bandes de fréquences sont interchangeables en termes d'applications mais ne sont pas toujours disponibles au même moment dans un même pays.</w:t>
            </w:r>
          </w:p>
          <w:p w14:paraId="2658C193" w14:textId="77777777" w:rsidR="00D01BA7" w:rsidRPr="00DB77E8" w:rsidRDefault="00D01BA7" w:rsidP="00AB3BEE">
            <w:pPr>
              <w:pStyle w:val="Tabletext"/>
              <w:jc w:val="left"/>
            </w:pPr>
            <w:r w:rsidRPr="00DB77E8">
              <w:t>La bande 433,050</w:t>
            </w:r>
            <w:r w:rsidRPr="00DB77E8">
              <w:noBreakHyphen/>
              <w:t xml:space="preserve">434,790 MHz est une bande ISM (numéro </w:t>
            </w:r>
            <w:r w:rsidRPr="00DB77E8">
              <w:rPr>
                <w:b/>
                <w:bCs/>
              </w:rPr>
              <w:t>5.138</w:t>
            </w:r>
            <w:r w:rsidRPr="00DB77E8">
              <w:t xml:space="preserve"> du RR dans la Région 1), sauf pour les pays indiqués au numéro </w:t>
            </w:r>
            <w:r w:rsidRPr="00DB77E8">
              <w:rPr>
                <w:b/>
                <w:bCs/>
              </w:rPr>
              <w:t>5.280</w:t>
            </w:r>
            <w:r w:rsidRPr="00DB77E8">
              <w:t xml:space="preserve"> du RR.</w:t>
            </w:r>
          </w:p>
          <w:p w14:paraId="3606EECF" w14:textId="77777777" w:rsidR="00D01BA7" w:rsidRPr="00DB77E8" w:rsidRDefault="00D01BA7" w:rsidP="00AB3BEE">
            <w:pPr>
              <w:pStyle w:val="Tabletext"/>
              <w:jc w:val="left"/>
            </w:pPr>
            <w:r w:rsidRPr="00DB77E8">
              <w:t>Fréquence centrale: 433,92 MHz.</w:t>
            </w:r>
          </w:p>
          <w:p w14:paraId="43043CD6" w14:textId="77777777" w:rsidR="00D01BA7" w:rsidRPr="00DB77E8" w:rsidRDefault="00D01BA7" w:rsidP="00AB3BEE">
            <w:pPr>
              <w:pStyle w:val="Tabletext"/>
              <w:jc w:val="left"/>
            </w:pPr>
            <w:r w:rsidRPr="00DB77E8">
              <w:t>Ces bandes dans leur intégralité peuvent être considérées comme une gamme d'accord. Cependant, elles peuvent ne pas être totalement disponibles dans certains pays (voir les réglementations nationales).</w:t>
            </w:r>
          </w:p>
        </w:tc>
        <w:tc>
          <w:tcPr>
            <w:tcW w:w="1182" w:type="dxa"/>
          </w:tcPr>
          <w:p w14:paraId="149EBC14" w14:textId="77777777" w:rsidR="00D01BA7" w:rsidRPr="00DB77E8" w:rsidRDefault="00D01BA7" w:rsidP="00AB3BEE">
            <w:pPr>
              <w:pStyle w:val="Tabletext"/>
            </w:pPr>
            <w:r w:rsidRPr="00DB77E8">
              <w:t>Disponible dans certains pays</w:t>
            </w:r>
          </w:p>
        </w:tc>
        <w:tc>
          <w:tcPr>
            <w:tcW w:w="1237" w:type="dxa"/>
          </w:tcPr>
          <w:p w14:paraId="28A2190B" w14:textId="77777777" w:rsidR="00D01BA7" w:rsidRPr="00DB77E8" w:rsidRDefault="00D01BA7" w:rsidP="00AB3BEE">
            <w:pPr>
              <w:pStyle w:val="Tabletext"/>
            </w:pPr>
            <w:r w:rsidRPr="00DB77E8">
              <w:t>Disponible</w:t>
            </w:r>
          </w:p>
        </w:tc>
        <w:tc>
          <w:tcPr>
            <w:tcW w:w="1267" w:type="dxa"/>
          </w:tcPr>
          <w:p w14:paraId="6DA7834D" w14:textId="77777777" w:rsidR="00D01BA7" w:rsidRPr="00DB77E8" w:rsidRDefault="00D01BA7" w:rsidP="00AB3BEE">
            <w:pPr>
              <w:pStyle w:val="Tabletext"/>
            </w:pPr>
            <w:r w:rsidRPr="00DB77E8">
              <w:t>Disponible dans certains pays</w:t>
            </w:r>
          </w:p>
        </w:tc>
      </w:tr>
      <w:tr w:rsidR="00D01BA7" w:rsidRPr="00DB77E8" w14:paraId="2D7FE252" w14:textId="77777777" w:rsidTr="00AB3BEE">
        <w:trPr>
          <w:cantSplit/>
          <w:trHeight w:val="2227"/>
          <w:jc w:val="center"/>
        </w:trPr>
        <w:tc>
          <w:tcPr>
            <w:tcW w:w="1696" w:type="dxa"/>
          </w:tcPr>
          <w:p w14:paraId="14979C7C" w14:textId="77777777" w:rsidR="00D01BA7" w:rsidRPr="00DB77E8" w:rsidRDefault="00D01BA7" w:rsidP="00AB3BEE">
            <w:pPr>
              <w:pStyle w:val="Tabletext"/>
            </w:pPr>
            <w:r w:rsidRPr="00DB77E8">
              <w:t>433,050</w:t>
            </w:r>
            <w:r w:rsidRPr="00DB77E8">
              <w:noBreakHyphen/>
            </w:r>
            <w:r w:rsidRPr="00DB77E8">
              <w:br/>
              <w:t>434,790 MHz</w:t>
            </w:r>
          </w:p>
        </w:tc>
        <w:tc>
          <w:tcPr>
            <w:tcW w:w="1879" w:type="dxa"/>
          </w:tcPr>
          <w:p w14:paraId="175B0456" w14:textId="77777777" w:rsidR="00D01BA7" w:rsidRPr="00DB77E8" w:rsidRDefault="00D01BA7" w:rsidP="00AB3BEE">
            <w:pPr>
              <w:pStyle w:val="Tabletext"/>
            </w:pPr>
          </w:p>
        </w:tc>
        <w:tc>
          <w:tcPr>
            <w:tcW w:w="2368" w:type="dxa"/>
            <w:vMerge/>
          </w:tcPr>
          <w:p w14:paraId="19C20F11" w14:textId="77777777" w:rsidR="00D01BA7" w:rsidRPr="00DB77E8" w:rsidRDefault="00D01BA7" w:rsidP="00AB3BEE">
            <w:pPr>
              <w:pStyle w:val="Tabletext"/>
            </w:pPr>
          </w:p>
        </w:tc>
        <w:tc>
          <w:tcPr>
            <w:tcW w:w="1182" w:type="dxa"/>
          </w:tcPr>
          <w:p w14:paraId="44C8BF04" w14:textId="77777777" w:rsidR="00D01BA7" w:rsidRPr="00DB77E8" w:rsidRDefault="00D01BA7" w:rsidP="00AB3BEE">
            <w:pPr>
              <w:pStyle w:val="Tabletext"/>
            </w:pPr>
            <w:r w:rsidRPr="00DB77E8">
              <w:t>Disponible</w:t>
            </w:r>
          </w:p>
        </w:tc>
        <w:tc>
          <w:tcPr>
            <w:tcW w:w="1237" w:type="dxa"/>
          </w:tcPr>
          <w:p w14:paraId="6454CD00" w14:textId="77777777" w:rsidR="00D01BA7" w:rsidRPr="00DB77E8" w:rsidRDefault="00D01BA7" w:rsidP="00AB3BEE">
            <w:pPr>
              <w:pStyle w:val="Tabletext"/>
            </w:pPr>
            <w:r w:rsidRPr="00DB77E8">
              <w:t>Disponible dans certains pays</w:t>
            </w:r>
          </w:p>
        </w:tc>
        <w:tc>
          <w:tcPr>
            <w:tcW w:w="1267" w:type="dxa"/>
          </w:tcPr>
          <w:p w14:paraId="24495CF5" w14:textId="77777777" w:rsidR="00D01BA7" w:rsidRPr="00DB77E8" w:rsidRDefault="00D01BA7" w:rsidP="00AB3BEE">
            <w:pPr>
              <w:pStyle w:val="Tabletext"/>
            </w:pPr>
            <w:r w:rsidRPr="00DB77E8">
              <w:t>Disponible dans certains pays</w:t>
            </w:r>
          </w:p>
        </w:tc>
      </w:tr>
      <w:tr w:rsidR="00D01BA7" w:rsidRPr="00DB77E8" w14:paraId="74C2F292" w14:textId="77777777" w:rsidTr="00AB3BEE">
        <w:trPr>
          <w:cantSplit/>
          <w:jc w:val="center"/>
        </w:trPr>
        <w:tc>
          <w:tcPr>
            <w:tcW w:w="1696" w:type="dxa"/>
          </w:tcPr>
          <w:p w14:paraId="1E1A29ED" w14:textId="77777777" w:rsidR="00D01BA7" w:rsidRPr="00DB77E8" w:rsidRDefault="00D01BA7" w:rsidP="00AB3BEE">
            <w:pPr>
              <w:pStyle w:val="Tabletext"/>
            </w:pPr>
            <w:r w:rsidRPr="00DB77E8">
              <w:lastRenderedPageBreak/>
              <w:t>862</w:t>
            </w:r>
            <w:r w:rsidRPr="00DB77E8">
              <w:noBreakHyphen/>
              <w:t>875 MHz</w:t>
            </w:r>
          </w:p>
        </w:tc>
        <w:tc>
          <w:tcPr>
            <w:tcW w:w="1879" w:type="dxa"/>
          </w:tcPr>
          <w:p w14:paraId="6CC71D2C" w14:textId="77777777" w:rsidR="00D01BA7" w:rsidRPr="00DB77E8" w:rsidRDefault="00D01BA7" w:rsidP="00AB3BEE">
            <w:pPr>
              <w:pStyle w:val="Tabletext"/>
            </w:pPr>
          </w:p>
        </w:tc>
        <w:tc>
          <w:tcPr>
            <w:tcW w:w="2368" w:type="dxa"/>
            <w:vAlign w:val="center"/>
          </w:tcPr>
          <w:p w14:paraId="2DB7040B" w14:textId="77777777" w:rsidR="00D01BA7" w:rsidRPr="00DB77E8" w:rsidRDefault="00D01BA7" w:rsidP="00AB3BEE">
            <w:pPr>
              <w:pStyle w:val="Tabletext"/>
              <w:jc w:val="left"/>
            </w:pPr>
            <w:r w:rsidRPr="00DB77E8">
              <w:t>Cette bande dans son intégralité peut être considérée comme une gamme d'accord.</w:t>
            </w:r>
          </w:p>
          <w:p w14:paraId="6122D291" w14:textId="77777777" w:rsidR="00D01BA7" w:rsidRPr="00DB77E8" w:rsidRDefault="00D01BA7" w:rsidP="00AB3BEE">
            <w:pPr>
              <w:pStyle w:val="Tabletext"/>
              <w:jc w:val="left"/>
            </w:pPr>
            <w:r w:rsidRPr="00DB77E8">
              <w:t>Seules certaines parties de cette gamme d'accord sont disponibles pour ce qui est de l'exploitation dans chaque pays, en raison de l'utilisation de cette gamme par des systèmes mobiles commerciaux (voir réglementation nationale).</w:t>
            </w:r>
          </w:p>
        </w:tc>
        <w:tc>
          <w:tcPr>
            <w:tcW w:w="1182" w:type="dxa"/>
          </w:tcPr>
          <w:p w14:paraId="0FF4E3D7" w14:textId="77777777" w:rsidR="00D01BA7" w:rsidRPr="00DB77E8" w:rsidRDefault="00D01BA7" w:rsidP="00AB3BEE">
            <w:pPr>
              <w:pStyle w:val="Tabletext"/>
              <w:rPr>
                <w:caps/>
              </w:rPr>
            </w:pPr>
            <w:r w:rsidRPr="00DB77E8">
              <w:t>Disponible</w:t>
            </w:r>
          </w:p>
        </w:tc>
        <w:tc>
          <w:tcPr>
            <w:tcW w:w="1237" w:type="dxa"/>
          </w:tcPr>
          <w:p w14:paraId="40D55671" w14:textId="77777777" w:rsidR="00D01BA7" w:rsidRPr="00DB77E8" w:rsidRDefault="00D01BA7" w:rsidP="00AB3BEE">
            <w:pPr>
              <w:pStyle w:val="Tabletext"/>
            </w:pPr>
            <w:r w:rsidRPr="00DB77E8">
              <w:t>Non disponible</w:t>
            </w:r>
          </w:p>
        </w:tc>
        <w:tc>
          <w:tcPr>
            <w:tcW w:w="1267" w:type="dxa"/>
          </w:tcPr>
          <w:p w14:paraId="536214C0" w14:textId="77777777" w:rsidR="00D01BA7" w:rsidRPr="00DB77E8" w:rsidRDefault="00D01BA7" w:rsidP="00AB3BEE">
            <w:pPr>
              <w:pStyle w:val="Tabletext"/>
            </w:pPr>
            <w:r w:rsidRPr="00DB77E8">
              <w:t>Disponible dans certains pays</w:t>
            </w:r>
          </w:p>
        </w:tc>
      </w:tr>
      <w:tr w:rsidR="00D01BA7" w:rsidRPr="00DB77E8" w14:paraId="6D29FA97" w14:textId="77777777" w:rsidTr="00AB3BEE">
        <w:trPr>
          <w:cantSplit/>
          <w:jc w:val="center"/>
        </w:trPr>
        <w:tc>
          <w:tcPr>
            <w:tcW w:w="1696" w:type="dxa"/>
          </w:tcPr>
          <w:p w14:paraId="75E0CFA9" w14:textId="77777777" w:rsidR="00D01BA7" w:rsidRPr="00DB77E8" w:rsidRDefault="00D01BA7" w:rsidP="00AB3BEE">
            <w:pPr>
              <w:pStyle w:val="Tabletext"/>
            </w:pPr>
            <w:r w:rsidRPr="00DB77E8">
              <w:t>875</w:t>
            </w:r>
            <w:r w:rsidRPr="00DB77E8">
              <w:noBreakHyphen/>
              <w:t>960 MHz</w:t>
            </w:r>
          </w:p>
        </w:tc>
        <w:tc>
          <w:tcPr>
            <w:tcW w:w="1879" w:type="dxa"/>
          </w:tcPr>
          <w:p w14:paraId="4C8B73B7" w14:textId="77777777" w:rsidR="00D01BA7" w:rsidRPr="00DB77E8" w:rsidRDefault="00D01BA7" w:rsidP="00AB3BEE">
            <w:pPr>
              <w:pStyle w:val="Tabletext"/>
            </w:pPr>
          </w:p>
        </w:tc>
        <w:tc>
          <w:tcPr>
            <w:tcW w:w="2368" w:type="dxa"/>
            <w:vAlign w:val="center"/>
          </w:tcPr>
          <w:p w14:paraId="1CE30DEC" w14:textId="77777777" w:rsidR="00D01BA7" w:rsidRPr="00DB77E8" w:rsidRDefault="00D01BA7" w:rsidP="00AB3BEE">
            <w:pPr>
              <w:pStyle w:val="Tabletext"/>
              <w:jc w:val="left"/>
            </w:pPr>
            <w:r w:rsidRPr="00DB77E8">
              <w:t>La bande 902-928 MHz est une bande ISM dans la Région 2 (numéro </w:t>
            </w:r>
            <w:r w:rsidRPr="00DB77E8">
              <w:rPr>
                <w:b/>
                <w:bCs/>
              </w:rPr>
              <w:t>5.150</w:t>
            </w:r>
            <w:r w:rsidRPr="00DB77E8">
              <w:t xml:space="preserve"> du RR).</w:t>
            </w:r>
          </w:p>
          <w:p w14:paraId="4D99D36D" w14:textId="77777777" w:rsidR="00D01BA7" w:rsidRPr="00DB77E8" w:rsidRDefault="00D01BA7" w:rsidP="00AB3BEE">
            <w:pPr>
              <w:pStyle w:val="Tabletext"/>
              <w:jc w:val="left"/>
            </w:pPr>
            <w:r w:rsidRPr="00DB77E8">
              <w:t>Fréquence centrale: 915 MHz.</w:t>
            </w:r>
          </w:p>
          <w:p w14:paraId="2150DB62" w14:textId="77777777" w:rsidR="00D01BA7" w:rsidRPr="00DB77E8" w:rsidRDefault="00D01BA7" w:rsidP="00AB3BEE">
            <w:pPr>
              <w:pStyle w:val="Tabletext"/>
              <w:jc w:val="left"/>
            </w:pPr>
            <w:r w:rsidRPr="00DB77E8">
              <w:t>Cette bande dans son intégralité peut être considérée comme une gamme d'accord. Seules certaines parties de cette gamme d'accord sont disponibles pour ce qui est de l'exploitation dans certains pays.</w:t>
            </w:r>
          </w:p>
          <w:p w14:paraId="35FD0FD3" w14:textId="77777777" w:rsidR="00D01BA7" w:rsidRPr="00DB77E8" w:rsidRDefault="00D01BA7" w:rsidP="00AB3BEE">
            <w:pPr>
              <w:pStyle w:val="Tabletext"/>
              <w:jc w:val="left"/>
            </w:pPr>
            <w:r w:rsidRPr="00DB77E8">
              <w:t>La bande 880</w:t>
            </w:r>
            <w:r w:rsidRPr="00DB77E8">
              <w:noBreakHyphen/>
              <w:t>960 MHz n'est pas disponible pour les applications SRD dans un certain nombre de pays en raison de son utilisation par des services mobiles commerciaux</w:t>
            </w:r>
          </w:p>
        </w:tc>
        <w:tc>
          <w:tcPr>
            <w:tcW w:w="1182" w:type="dxa"/>
          </w:tcPr>
          <w:p w14:paraId="4854E798" w14:textId="77777777" w:rsidR="00D01BA7" w:rsidRPr="00DB77E8" w:rsidRDefault="00D01BA7" w:rsidP="00AB3BEE">
            <w:pPr>
              <w:pStyle w:val="Tabletext"/>
              <w:rPr>
                <w:caps/>
              </w:rPr>
            </w:pPr>
            <w:r w:rsidRPr="00DB77E8">
              <w:t>Disponible dans certains pays</w:t>
            </w:r>
          </w:p>
        </w:tc>
        <w:tc>
          <w:tcPr>
            <w:tcW w:w="1237" w:type="dxa"/>
          </w:tcPr>
          <w:p w14:paraId="7C45992B" w14:textId="77777777" w:rsidR="00D01BA7" w:rsidRPr="00DB77E8" w:rsidRDefault="00D01BA7" w:rsidP="00AB3BEE">
            <w:pPr>
              <w:pStyle w:val="Tabletext"/>
            </w:pPr>
            <w:r w:rsidRPr="00DB77E8">
              <w:t>Disponible (voir remarques)</w:t>
            </w:r>
          </w:p>
        </w:tc>
        <w:tc>
          <w:tcPr>
            <w:tcW w:w="1267" w:type="dxa"/>
          </w:tcPr>
          <w:p w14:paraId="1511F67E" w14:textId="77777777" w:rsidR="00D01BA7" w:rsidRPr="00DB77E8" w:rsidRDefault="00D01BA7" w:rsidP="00AB3BEE">
            <w:pPr>
              <w:pStyle w:val="Tabletext"/>
            </w:pPr>
            <w:r w:rsidRPr="00DB77E8">
              <w:t>Disponible dans certains pays</w:t>
            </w:r>
          </w:p>
        </w:tc>
      </w:tr>
      <w:tr w:rsidR="00D01BA7" w:rsidRPr="00DB77E8" w14:paraId="39893327" w14:textId="77777777" w:rsidTr="00AB3BEE">
        <w:trPr>
          <w:cantSplit/>
          <w:jc w:val="center"/>
        </w:trPr>
        <w:tc>
          <w:tcPr>
            <w:tcW w:w="1696" w:type="dxa"/>
            <w:tcBorders>
              <w:bottom w:val="single" w:sz="4" w:space="0" w:color="auto"/>
            </w:tcBorders>
          </w:tcPr>
          <w:p w14:paraId="7E7F633F" w14:textId="77777777" w:rsidR="00D01BA7" w:rsidRPr="00DB77E8" w:rsidRDefault="00D01BA7" w:rsidP="00AB3BEE">
            <w:pPr>
              <w:pStyle w:val="Tabletext"/>
            </w:pPr>
            <w:r w:rsidRPr="00DB77E8">
              <w:t>3,1-4,8 GHz</w:t>
            </w:r>
          </w:p>
          <w:p w14:paraId="780F5368" w14:textId="77777777" w:rsidR="00D01BA7" w:rsidRPr="00DB77E8" w:rsidRDefault="00D01BA7" w:rsidP="00AB3BEE">
            <w:pPr>
              <w:pStyle w:val="Tabletext"/>
            </w:pPr>
            <w:r w:rsidRPr="00DB77E8">
              <w:t>6-9 GHz</w:t>
            </w:r>
          </w:p>
        </w:tc>
        <w:tc>
          <w:tcPr>
            <w:tcW w:w="1879" w:type="dxa"/>
            <w:tcBorders>
              <w:bottom w:val="single" w:sz="4" w:space="0" w:color="auto"/>
            </w:tcBorders>
          </w:tcPr>
          <w:p w14:paraId="7EFFAFCB" w14:textId="77777777" w:rsidR="00D01BA7" w:rsidRPr="00D01BA7" w:rsidRDefault="005823BC" w:rsidP="00AB3BEE">
            <w:pPr>
              <w:pStyle w:val="Tabletext"/>
              <w:rPr>
                <w:lang w:val="en-US"/>
              </w:rPr>
            </w:pPr>
            <w:hyperlink r:id="rId14" w:history="1">
              <w:r w:rsidR="00D01BA7" w:rsidRPr="00D01BA7">
                <w:rPr>
                  <w:rStyle w:val="Hyperlink"/>
                  <w:color w:val="auto"/>
                  <w:u w:val="none"/>
                  <w:lang w:val="en-US"/>
                </w:rPr>
                <w:t>UIT</w:t>
              </w:r>
              <w:r w:rsidR="00D01BA7" w:rsidRPr="00D01BA7">
                <w:rPr>
                  <w:rStyle w:val="Hyperlink"/>
                  <w:color w:val="auto"/>
                  <w:u w:val="none"/>
                  <w:lang w:val="en-US"/>
                </w:rPr>
                <w:noBreakHyphen/>
                <w:t>R SM.1755</w:t>
              </w:r>
            </w:hyperlink>
            <w:r w:rsidR="00D01BA7" w:rsidRPr="00D01BA7">
              <w:rPr>
                <w:lang w:val="en-US"/>
              </w:rPr>
              <w:t>;</w:t>
            </w:r>
          </w:p>
          <w:p w14:paraId="3207F80E" w14:textId="77777777" w:rsidR="00D01BA7" w:rsidRPr="00D01BA7" w:rsidRDefault="005823BC" w:rsidP="00AB3BEE">
            <w:pPr>
              <w:pStyle w:val="Tabletext"/>
              <w:rPr>
                <w:lang w:val="en-US"/>
              </w:rPr>
            </w:pPr>
            <w:hyperlink r:id="rId15" w:history="1">
              <w:r w:rsidR="00D01BA7" w:rsidRPr="00D01BA7">
                <w:rPr>
                  <w:rStyle w:val="Hyperlink"/>
                  <w:color w:val="auto"/>
                  <w:u w:val="none"/>
                  <w:lang w:val="en-US"/>
                </w:rPr>
                <w:t>UIT</w:t>
              </w:r>
              <w:r w:rsidR="00D01BA7" w:rsidRPr="00D01BA7">
                <w:rPr>
                  <w:rStyle w:val="Hyperlink"/>
                  <w:color w:val="auto"/>
                  <w:u w:val="none"/>
                  <w:lang w:val="en-US"/>
                </w:rPr>
                <w:noBreakHyphen/>
                <w:t>R SM.1756</w:t>
              </w:r>
            </w:hyperlink>
            <w:r w:rsidR="00D01BA7" w:rsidRPr="00D01BA7">
              <w:rPr>
                <w:lang w:val="en-US"/>
              </w:rPr>
              <w:t>;</w:t>
            </w:r>
          </w:p>
          <w:p w14:paraId="76C40DEB" w14:textId="77777777" w:rsidR="00D01BA7" w:rsidRPr="00DB77E8" w:rsidRDefault="005823BC" w:rsidP="00AB3BEE">
            <w:pPr>
              <w:pStyle w:val="Tabletext"/>
            </w:pPr>
            <w:hyperlink r:id="rId16" w:history="1">
              <w:r w:rsidR="00D01BA7" w:rsidRPr="00DB77E8">
                <w:rPr>
                  <w:rStyle w:val="Hyperlink"/>
                  <w:color w:val="auto"/>
                  <w:u w:val="none"/>
                </w:rPr>
                <w:t>UIT</w:t>
              </w:r>
              <w:r w:rsidR="00D01BA7" w:rsidRPr="00DB77E8">
                <w:rPr>
                  <w:rStyle w:val="Hyperlink"/>
                  <w:color w:val="auto"/>
                  <w:u w:val="none"/>
                </w:rPr>
                <w:noBreakHyphen/>
                <w:t>R SM.1757</w:t>
              </w:r>
            </w:hyperlink>
          </w:p>
        </w:tc>
        <w:tc>
          <w:tcPr>
            <w:tcW w:w="2368" w:type="dxa"/>
            <w:tcBorders>
              <w:bottom w:val="single" w:sz="4" w:space="0" w:color="auto"/>
            </w:tcBorders>
            <w:vAlign w:val="center"/>
          </w:tcPr>
          <w:p w14:paraId="5A56F298" w14:textId="77777777" w:rsidR="00D01BA7" w:rsidRPr="00DB77E8" w:rsidRDefault="00D01BA7" w:rsidP="00AB3BEE">
            <w:pPr>
              <w:pStyle w:val="Tabletext"/>
              <w:jc w:val="left"/>
              <w:rPr>
                <w:vertAlign w:val="superscript"/>
              </w:rPr>
            </w:pPr>
            <w:r w:rsidRPr="00DB77E8">
              <w:t>Applications UWB de communication, de géolocalisation et de radiorepérage</w:t>
            </w:r>
            <w:r w:rsidRPr="00DB77E8">
              <w:rPr>
                <w:vertAlign w:val="superscript"/>
              </w:rPr>
              <w:t>(1)</w:t>
            </w:r>
          </w:p>
        </w:tc>
        <w:tc>
          <w:tcPr>
            <w:tcW w:w="1182" w:type="dxa"/>
            <w:tcBorders>
              <w:bottom w:val="single" w:sz="4" w:space="0" w:color="auto"/>
            </w:tcBorders>
          </w:tcPr>
          <w:p w14:paraId="54A5A5BB" w14:textId="77777777" w:rsidR="00D01BA7" w:rsidRPr="00DB77E8" w:rsidRDefault="00D01BA7" w:rsidP="00AB3BEE">
            <w:pPr>
              <w:pStyle w:val="Tabletext"/>
            </w:pPr>
            <w:r w:rsidRPr="00DB77E8">
              <w:t>Disponible dans certains pays</w:t>
            </w:r>
          </w:p>
        </w:tc>
        <w:tc>
          <w:tcPr>
            <w:tcW w:w="1237" w:type="dxa"/>
            <w:tcBorders>
              <w:bottom w:val="single" w:sz="4" w:space="0" w:color="auto"/>
            </w:tcBorders>
          </w:tcPr>
          <w:p w14:paraId="71D3E214" w14:textId="77777777" w:rsidR="00D01BA7" w:rsidRPr="00DB77E8" w:rsidRDefault="00D01BA7" w:rsidP="00AB3BEE">
            <w:pPr>
              <w:pStyle w:val="Tabletext"/>
              <w:jc w:val="center"/>
            </w:pPr>
            <w:r w:rsidRPr="00DB77E8">
              <w:t>–</w:t>
            </w:r>
          </w:p>
        </w:tc>
        <w:tc>
          <w:tcPr>
            <w:tcW w:w="1267" w:type="dxa"/>
            <w:tcBorders>
              <w:bottom w:val="single" w:sz="4" w:space="0" w:color="auto"/>
            </w:tcBorders>
          </w:tcPr>
          <w:p w14:paraId="68950FBA" w14:textId="77777777" w:rsidR="00D01BA7" w:rsidRPr="00DB77E8" w:rsidRDefault="00D01BA7" w:rsidP="00AB3BEE">
            <w:pPr>
              <w:pStyle w:val="Tabletext"/>
            </w:pPr>
            <w:r w:rsidRPr="00DB77E8">
              <w:t>Disponible dans certains pays</w:t>
            </w:r>
          </w:p>
        </w:tc>
      </w:tr>
      <w:tr w:rsidR="00D01BA7" w:rsidRPr="00DB77E8" w14:paraId="4FEC53E6" w14:textId="77777777" w:rsidTr="00AB3BEE">
        <w:trPr>
          <w:cantSplit/>
          <w:jc w:val="center"/>
        </w:trPr>
        <w:tc>
          <w:tcPr>
            <w:tcW w:w="9629" w:type="dxa"/>
            <w:gridSpan w:val="6"/>
            <w:tcBorders>
              <w:top w:val="single" w:sz="4" w:space="0" w:color="auto"/>
              <w:left w:val="nil"/>
              <w:bottom w:val="nil"/>
              <w:right w:val="nil"/>
            </w:tcBorders>
          </w:tcPr>
          <w:p w14:paraId="5F7C3E2D" w14:textId="77777777" w:rsidR="00D01BA7" w:rsidRPr="00DB77E8" w:rsidRDefault="00D01BA7" w:rsidP="00AB3BEE">
            <w:pPr>
              <w:pStyle w:val="Tabletext"/>
              <w:jc w:val="left"/>
              <w:rPr>
                <w:i/>
                <w:iCs/>
              </w:rPr>
            </w:pPr>
            <w:r w:rsidRPr="00DB77E8">
              <w:rPr>
                <w:i/>
                <w:iCs/>
              </w:rPr>
              <w:t>Note relative au Tableau:</w:t>
            </w:r>
          </w:p>
          <w:p w14:paraId="3C6A2A7A" w14:textId="77777777" w:rsidR="00D01BA7" w:rsidRPr="00DB77E8" w:rsidRDefault="00D01BA7" w:rsidP="00AB3BEE">
            <w:pPr>
              <w:pStyle w:val="Tablelegend"/>
              <w:rPr>
                <w:sz w:val="20"/>
              </w:rPr>
            </w:pPr>
            <w:r w:rsidRPr="00DB77E8">
              <w:rPr>
                <w:vertAlign w:val="superscript"/>
              </w:rPr>
              <w:t>(1)</w:t>
            </w:r>
            <w:r w:rsidRPr="00DB77E8">
              <w:tab/>
              <w:t xml:space="preserve">La réglementation relative à la bande ultralarge (UWB) est souvent considérée comme une réglementation sous-jacente, en ce sens qu'elle vise une gamme de fréquences très large, </w:t>
            </w:r>
            <w:r w:rsidRPr="00DB77E8">
              <w:rPr>
                <w:color w:val="000000"/>
              </w:rPr>
              <w:t>susceptible de couvrir plusieurs bandes de fréquences attribuées aux services de radiocommunication. Les applications UWB constituent un sous-ensemble des applications SRD et utilisent le spectre radioélectrique sans causer de brouillages aux services de radiocommunication et sans bénéficier d'une protection vis-à-vis de ces services.</w:t>
            </w:r>
          </w:p>
        </w:tc>
      </w:tr>
    </w:tbl>
    <w:p w14:paraId="385B86A2" w14:textId="77777777" w:rsidR="00D01BA7" w:rsidRPr="00FE7749" w:rsidRDefault="00D01BA7" w:rsidP="00EE3886">
      <w:pPr>
        <w:pStyle w:val="Tablefin"/>
        <w:rPr>
          <w:lang w:val="fr-CH"/>
        </w:rPr>
      </w:pPr>
    </w:p>
    <w:p w14:paraId="2A48B3CB" w14:textId="77777777" w:rsidR="00D01BA7" w:rsidRPr="00EE3886" w:rsidRDefault="00D01BA7" w:rsidP="00D01BA7">
      <w:pPr>
        <w:jc w:val="center"/>
        <w:rPr>
          <w:sz w:val="22"/>
          <w:szCs w:val="18"/>
        </w:rPr>
      </w:pPr>
      <w:r w:rsidRPr="00EE3886">
        <w:rPr>
          <w:sz w:val="22"/>
          <w:szCs w:val="18"/>
        </w:rPr>
        <w:t>______________</w:t>
      </w:r>
    </w:p>
    <w:sectPr w:rsidR="00D01BA7" w:rsidRPr="00EE3886" w:rsidSect="00D01BA7">
      <w:headerReference w:type="even" r:id="rId17"/>
      <w:headerReference w:type="default" r:id="rId18"/>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37774" w14:textId="77777777" w:rsidR="00CF4EF6" w:rsidRDefault="00CF4EF6">
      <w:r>
        <w:separator/>
      </w:r>
    </w:p>
  </w:endnote>
  <w:endnote w:type="continuationSeparator" w:id="0">
    <w:p w14:paraId="38392167" w14:textId="77777777" w:rsidR="00CF4EF6" w:rsidRDefault="00CF4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63C67" w14:textId="77777777" w:rsidR="00CF4EF6" w:rsidRDefault="00CF4EF6">
      <w:r>
        <w:separator/>
      </w:r>
    </w:p>
  </w:footnote>
  <w:footnote w:type="continuationSeparator" w:id="0">
    <w:p w14:paraId="12F21444" w14:textId="77777777" w:rsidR="00CF4EF6" w:rsidRDefault="00CF4EF6">
      <w:r>
        <w:continuationSeparator/>
      </w:r>
    </w:p>
  </w:footnote>
  <w:footnote w:id="1">
    <w:p w14:paraId="11EAA64C" w14:textId="1577619B" w:rsidR="00FE7749" w:rsidRPr="00FE7749" w:rsidRDefault="00FE7749">
      <w:pPr>
        <w:pStyle w:val="FootnoteText"/>
        <w:rPr>
          <w:lang w:val="fr-CH"/>
        </w:rPr>
      </w:pPr>
      <w:r>
        <w:rPr>
          <w:rStyle w:val="FootnoteReference"/>
        </w:rPr>
        <w:t>*</w:t>
      </w:r>
      <w:r>
        <w:t xml:space="preserve"> </w:t>
      </w:r>
      <w:r>
        <w:rPr>
          <w:lang w:val="fr-CH"/>
        </w:rPr>
        <w:tab/>
      </w:r>
      <w:r w:rsidRPr="00FE7749">
        <w:t>La Commission d'études 1 des radiocommunications a apporté des modifications rédactionnelles à la présente Recommandation en 2019 conformément aux dispositions de la Résolution UIT</w:t>
      </w:r>
      <w:r w:rsidRPr="00FE7749">
        <w:noBreakHyphen/>
        <w:t>R 1.</w:t>
      </w:r>
    </w:p>
  </w:footnote>
  <w:footnote w:id="2">
    <w:p w14:paraId="775194AE" w14:textId="77777777" w:rsidR="00D01BA7" w:rsidRDefault="00D01BA7" w:rsidP="00D01BA7">
      <w:pPr>
        <w:pStyle w:val="FootnoteText"/>
      </w:pPr>
      <w:r>
        <w:rPr>
          <w:rStyle w:val="FootnoteReference"/>
        </w:rPr>
        <w:footnoteRef/>
      </w:r>
      <w:r>
        <w:tab/>
      </w:r>
      <w:r w:rsidRPr="00311721">
        <w:rPr>
          <w:rStyle w:val="FootnoteTextChar"/>
        </w:rPr>
        <w:t>Voir également l</w:t>
      </w:r>
      <w:r>
        <w:rPr>
          <w:rStyle w:val="FootnoteTextChar"/>
        </w:rPr>
        <w:t>es</w:t>
      </w:r>
      <w:r w:rsidRPr="00311721">
        <w:rPr>
          <w:rStyle w:val="FootnoteTextChar"/>
        </w:rPr>
        <w:t xml:space="preserve"> Recommandation</w:t>
      </w:r>
      <w:r>
        <w:rPr>
          <w:rStyle w:val="FootnoteTextChar"/>
        </w:rPr>
        <w:t>s</w:t>
      </w:r>
      <w:r w:rsidRPr="00311721">
        <w:rPr>
          <w:rStyle w:val="FootnoteTextChar"/>
        </w:rPr>
        <w:t xml:space="preserve"> UIT</w:t>
      </w:r>
      <w:r w:rsidRPr="00311721">
        <w:rPr>
          <w:rStyle w:val="FootnoteTextChar"/>
        </w:rPr>
        <w:noBreakHyphen/>
        <w:t>R SM.1755,</w:t>
      </w:r>
      <w:proofErr w:type="gramStart"/>
      <w:r w:rsidRPr="00311721">
        <w:rPr>
          <w:rStyle w:val="FootnoteTextChar"/>
        </w:rPr>
        <w:t xml:space="preserve"> «Caractéristiques</w:t>
      </w:r>
      <w:proofErr w:type="gramEnd"/>
      <w:r w:rsidRPr="00311721">
        <w:rPr>
          <w:rStyle w:val="FootnoteTextChar"/>
        </w:rPr>
        <w:t xml:space="preserve"> de la technologie à bande ultralarge» et UIT</w:t>
      </w:r>
      <w:r w:rsidRPr="00311721">
        <w:rPr>
          <w:rStyle w:val="FootnoteTextChar"/>
        </w:rPr>
        <w:noBreakHyphen/>
        <w:t>R SM.1756, «Cadre pour la mise en place de dispositifs recourant à la technologie à bande ultralarge».</w:t>
      </w:r>
    </w:p>
  </w:footnote>
  <w:footnote w:id="3">
    <w:p w14:paraId="0FC1D9F7" w14:textId="77777777" w:rsidR="00D01BA7" w:rsidRDefault="00D01BA7" w:rsidP="00D01BA7">
      <w:pPr>
        <w:pStyle w:val="FootnoteText"/>
      </w:pPr>
      <w:r>
        <w:rPr>
          <w:rStyle w:val="FootnoteReference"/>
        </w:rPr>
        <w:footnoteRef/>
      </w:r>
      <w:r>
        <w:tab/>
      </w:r>
      <w:r w:rsidRPr="00311721">
        <w:rPr>
          <w:rStyle w:val="FootnoteTextChar"/>
        </w:rPr>
        <w:t>Voir également l</w:t>
      </w:r>
      <w:r>
        <w:rPr>
          <w:rStyle w:val="FootnoteTextChar"/>
        </w:rPr>
        <w:t>es</w:t>
      </w:r>
      <w:r w:rsidRPr="00311721">
        <w:rPr>
          <w:rStyle w:val="FootnoteTextChar"/>
        </w:rPr>
        <w:t xml:space="preserve"> Recommandation</w:t>
      </w:r>
      <w:r>
        <w:rPr>
          <w:rStyle w:val="FootnoteTextChar"/>
        </w:rPr>
        <w:t>s</w:t>
      </w:r>
      <w:r w:rsidRPr="00311721">
        <w:rPr>
          <w:rStyle w:val="FootnoteTextChar"/>
        </w:rPr>
        <w:t xml:space="preserve"> UIT</w:t>
      </w:r>
      <w:r w:rsidRPr="00311721">
        <w:rPr>
          <w:rStyle w:val="FootnoteTextChar"/>
        </w:rPr>
        <w:noBreakHyphen/>
        <w:t>R SM.1755,</w:t>
      </w:r>
      <w:proofErr w:type="gramStart"/>
      <w:r w:rsidRPr="00311721">
        <w:rPr>
          <w:rStyle w:val="FootnoteTextChar"/>
        </w:rPr>
        <w:t xml:space="preserve"> «Caractéristiques</w:t>
      </w:r>
      <w:proofErr w:type="gramEnd"/>
      <w:r w:rsidRPr="00311721">
        <w:rPr>
          <w:rStyle w:val="FootnoteTextChar"/>
        </w:rPr>
        <w:t xml:space="preserve"> de la technologie à bande ultralarge» et UIT</w:t>
      </w:r>
      <w:r w:rsidRPr="00311721">
        <w:rPr>
          <w:rStyle w:val="FootnoteTextChar"/>
        </w:rPr>
        <w:noBreakHyphen/>
        <w:t>R SM.1756, «Cadre pour la mise en place de dispositifs recourant à la technologie à bande ultralarge».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FEAA3" w14:textId="77777777" w:rsidR="00CF4EF6" w:rsidRDefault="00CF4EF6">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E56F1" w14:textId="77777777" w:rsidR="00CF4EF6" w:rsidRDefault="00CF4EF6" w:rsidP="00C668C8">
    <w:pPr>
      <w:pStyle w:val="Header"/>
      <w:ind w:right="360" w:firstLine="360"/>
    </w:pPr>
    <w:r>
      <w:rPr>
        <w:noProof/>
        <w:lang w:val="en-US" w:eastAsia="zh-CN"/>
      </w:rPr>
      <w:drawing>
        <wp:anchor distT="0" distB="0" distL="114300" distR="114300" simplePos="0" relativeHeight="251659264" behindDoc="1" locked="0" layoutInCell="1" allowOverlap="1" wp14:anchorId="4CD0F521" wp14:editId="0758DE37">
          <wp:simplePos x="0" y="0"/>
          <wp:positionH relativeFrom="page">
            <wp:posOffset>0</wp:posOffset>
          </wp:positionH>
          <wp:positionV relativeFrom="page">
            <wp:posOffset>0</wp:posOffset>
          </wp:positionV>
          <wp:extent cx="7592060" cy="10760075"/>
          <wp:effectExtent l="19050" t="0" r="8890" b="0"/>
          <wp:wrapNone/>
          <wp:docPr id="11" name="Picture 11" descr="rec_F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c_F_2009"/>
                  <pic:cNvPicPr>
                    <a:picLocks noChangeAspect="1" noChangeArrowheads="1"/>
                  </pic:cNvPicPr>
                </pic:nvPicPr>
                <pic:blipFill>
                  <a:blip r:embed="rId1"/>
                  <a:srcRect/>
                  <a:stretch>
                    <a:fillRect/>
                  </a:stretch>
                </pic:blipFill>
                <pic:spPr bwMode="auto">
                  <a:xfrm>
                    <a:off x="0" y="0"/>
                    <a:ext cx="7592060" cy="107600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75797" w14:textId="5A662398" w:rsidR="00CF4EF6" w:rsidRPr="00837CB5" w:rsidRDefault="00CF4EF6">
    <w:pPr>
      <w:pStyle w:val="Header"/>
      <w:jc w:val="left"/>
    </w:pPr>
    <w:r>
      <w:rPr>
        <w:rStyle w:val="PageNumber"/>
        <w:b/>
        <w:bCs/>
      </w:rPr>
      <w:fldChar w:fldCharType="begin"/>
    </w:r>
    <w:r w:rsidRPr="00837CB5">
      <w:rPr>
        <w:rStyle w:val="PageNumber"/>
        <w:b/>
        <w:bCs/>
      </w:rPr>
      <w:instrText xml:space="preserve"> PAGE </w:instrText>
    </w:r>
    <w:r>
      <w:rPr>
        <w:rStyle w:val="PageNumber"/>
        <w:b/>
        <w:bCs/>
      </w:rPr>
      <w:fldChar w:fldCharType="separate"/>
    </w:r>
    <w:r w:rsidR="003B76C5">
      <w:rPr>
        <w:rStyle w:val="PageNumber"/>
        <w:b/>
        <w:bCs/>
        <w:noProof/>
      </w:rPr>
      <w:t>ii</w:t>
    </w:r>
    <w:r>
      <w:rPr>
        <w:rStyle w:val="PageNumber"/>
        <w:b/>
        <w:bCs/>
      </w:rPr>
      <w:fldChar w:fldCharType="end"/>
    </w:r>
    <w:r w:rsidRPr="00837CB5">
      <w:tab/>
    </w:r>
    <w:r>
      <w:rPr>
        <w:b/>
        <w:bCs/>
      </w:rPr>
      <w:fldChar w:fldCharType="begin"/>
    </w:r>
    <w:r>
      <w:rPr>
        <w:b/>
        <w:bCs/>
      </w:rPr>
      <w:instrText xml:space="preserve"> DOCPROPERTY "Header" \* MERGEFORMAT </w:instrText>
    </w:r>
    <w:r>
      <w:rPr>
        <w:b/>
        <w:bCs/>
      </w:rPr>
      <w:fldChar w:fldCharType="separate"/>
    </w:r>
    <w:r w:rsidR="005823BC">
      <w:rPr>
        <w:b/>
        <w:bCs/>
      </w:rPr>
      <w:t xml:space="preserve">Rec. </w:t>
    </w:r>
    <w:r>
      <w:rPr>
        <w:b/>
        <w:bCs/>
      </w:rPr>
      <w:fldChar w:fldCharType="end"/>
    </w:r>
    <w:r>
      <w:rPr>
        <w:b/>
        <w:bCs/>
      </w:rPr>
      <w:t xml:space="preserve"> </w:t>
    </w:r>
    <w:r>
      <w:rPr>
        <w:b/>
        <w:bCs/>
      </w:rPr>
      <w:fldChar w:fldCharType="begin"/>
    </w:r>
    <w:r w:rsidRPr="00837CB5">
      <w:rPr>
        <w:b/>
        <w:bCs/>
      </w:rPr>
      <w:instrText>styleref href</w:instrText>
    </w:r>
    <w:r>
      <w:rPr>
        <w:b/>
        <w:bCs/>
      </w:rPr>
      <w:fldChar w:fldCharType="separate"/>
    </w:r>
    <w:r w:rsidR="005823BC">
      <w:rPr>
        <w:b/>
        <w:bCs/>
        <w:noProof/>
      </w:rPr>
      <w:t>UIT-R  SM.1896-1</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71B41" w14:textId="5E3CB9E8" w:rsidR="00CF4EF6" w:rsidRDefault="00CF4EF6">
    <w:pPr>
      <w:pStyle w:val="Header"/>
    </w:pPr>
    <w:r>
      <w:tab/>
    </w:r>
    <w:r>
      <w:rPr>
        <w:b/>
        <w:bCs/>
      </w:rPr>
      <w:fldChar w:fldCharType="begin"/>
    </w:r>
    <w:r>
      <w:rPr>
        <w:b/>
        <w:bCs/>
      </w:rPr>
      <w:instrText xml:space="preserve"> DOCPROPERTY "Header" \* MERGEFORMAT </w:instrText>
    </w:r>
    <w:r>
      <w:rPr>
        <w:b/>
        <w:bCs/>
      </w:rPr>
      <w:fldChar w:fldCharType="separate"/>
    </w:r>
    <w:r w:rsidR="005823BC">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sidR="005823BC">
      <w:rPr>
        <w:b/>
        <w:bCs/>
        <w:noProof/>
      </w:rPr>
      <w:t>UIT-R  SM.1896-1</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A20A5" w14:textId="26DF36BC" w:rsidR="00607D68" w:rsidRDefault="00607D68">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3B76C5">
      <w:rPr>
        <w:rStyle w:val="PageNumber"/>
        <w:b/>
        <w:bCs/>
        <w:noProof/>
        <w:lang w:val="en-US"/>
      </w:rPr>
      <w:t>6</w:t>
    </w:r>
    <w:r>
      <w:rPr>
        <w:rStyle w:val="PageNumber"/>
        <w:b/>
        <w:bCs/>
      </w:rPr>
      <w:fldChar w:fldCharType="end"/>
    </w:r>
    <w:r>
      <w:rPr>
        <w:lang w:val="en-US"/>
      </w:rPr>
      <w:tab/>
    </w:r>
    <w:r w:rsidR="009E00A8">
      <w:fldChar w:fldCharType="begin"/>
    </w:r>
    <w:r w:rsidR="009E00A8" w:rsidRPr="009E00A8">
      <w:rPr>
        <w:lang w:val="en-US"/>
      </w:rPr>
      <w:instrText xml:space="preserve"> DOCPROPERTY "Header" \* MERGEFORMAT </w:instrText>
    </w:r>
    <w:r w:rsidR="009E00A8">
      <w:fldChar w:fldCharType="separate"/>
    </w:r>
    <w:r w:rsidR="005823BC" w:rsidRPr="005823BC">
      <w:rPr>
        <w:b/>
        <w:bCs/>
        <w:lang w:val="en-US"/>
      </w:rPr>
      <w:t xml:space="preserve">Rec. </w:t>
    </w:r>
    <w:r w:rsidR="009E00A8">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5823BC">
      <w:rPr>
        <w:b/>
        <w:bCs/>
        <w:noProof/>
        <w:lang w:val="en-US"/>
      </w:rPr>
      <w:t>UIT-R  SM.1896-1</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5ADD6" w14:textId="404F370D" w:rsidR="00607D68" w:rsidRDefault="00607D68">
    <w:pPr>
      <w:pStyle w:val="Header"/>
    </w:pPr>
    <w:r>
      <w:tab/>
    </w:r>
    <w:r w:rsidR="005823BC">
      <w:fldChar w:fldCharType="begin"/>
    </w:r>
    <w:r w:rsidR="005823BC">
      <w:instrText xml:space="preserve"> DOCPROPERTY "Header" \* MERGEFORMAT </w:instrText>
    </w:r>
    <w:r w:rsidR="005823BC">
      <w:fldChar w:fldCharType="separate"/>
    </w:r>
    <w:r w:rsidR="005823BC" w:rsidRPr="005823BC">
      <w:rPr>
        <w:b/>
        <w:bCs/>
      </w:rPr>
      <w:t xml:space="preserve">Rec. </w:t>
    </w:r>
    <w:r w:rsidR="005823BC">
      <w:rPr>
        <w:b/>
        <w:bCs/>
      </w:rPr>
      <w:fldChar w:fldCharType="end"/>
    </w:r>
    <w:r>
      <w:rPr>
        <w:b/>
        <w:bCs/>
      </w:rPr>
      <w:t xml:space="preserve"> </w:t>
    </w:r>
    <w:r>
      <w:rPr>
        <w:b/>
        <w:bCs/>
      </w:rPr>
      <w:fldChar w:fldCharType="begin"/>
    </w:r>
    <w:r>
      <w:rPr>
        <w:b/>
        <w:bCs/>
      </w:rPr>
      <w:instrText>styleref href</w:instrText>
    </w:r>
    <w:r>
      <w:rPr>
        <w:b/>
        <w:bCs/>
      </w:rPr>
      <w:fldChar w:fldCharType="separate"/>
    </w:r>
    <w:r w:rsidR="005823BC">
      <w:rPr>
        <w:b/>
        <w:bCs/>
        <w:noProof/>
      </w:rPr>
      <w:t>UIT-R  SM.1896-1</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3B76C5">
      <w:rPr>
        <w:rStyle w:val="PageNumber"/>
        <w:b/>
        <w:bCs/>
        <w:noProof/>
      </w:rPr>
      <w:t>5</w:t>
    </w:r>
    <w:r>
      <w:rPr>
        <w:rStyle w:val="PageNumber"/>
        <w:b/>
        <w:bC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fr-CH" w:vendorID="64" w:dllVersion="6" w:nlCheck="1" w:checkStyle="1"/>
  <w:activeWritingStyle w:appName="MSWord" w:lang="fr-FR" w:vendorID="64" w:dllVersion="0" w:nlCheck="1" w:checkStyle="0"/>
  <w:activeWritingStyle w:appName="MSWord" w:lang="en-US"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EF6"/>
    <w:rsid w:val="00217EBF"/>
    <w:rsid w:val="00242AEE"/>
    <w:rsid w:val="002D76C4"/>
    <w:rsid w:val="00322FA7"/>
    <w:rsid w:val="003805E8"/>
    <w:rsid w:val="003B76C5"/>
    <w:rsid w:val="004A0EBA"/>
    <w:rsid w:val="0052529D"/>
    <w:rsid w:val="00555049"/>
    <w:rsid w:val="005823BC"/>
    <w:rsid w:val="00607D68"/>
    <w:rsid w:val="006A5F7A"/>
    <w:rsid w:val="007468DA"/>
    <w:rsid w:val="007F5F86"/>
    <w:rsid w:val="008406C7"/>
    <w:rsid w:val="00843E55"/>
    <w:rsid w:val="009E00A8"/>
    <w:rsid w:val="00A6617B"/>
    <w:rsid w:val="00AB0DC8"/>
    <w:rsid w:val="00B44E24"/>
    <w:rsid w:val="00CF4EF6"/>
    <w:rsid w:val="00D01BA7"/>
    <w:rsid w:val="00DF4176"/>
    <w:rsid w:val="00EE3886"/>
    <w:rsid w:val="00F16BF3"/>
    <w:rsid w:val="00FE77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085174"/>
  <w15:docId w15:val="{E66F3B87-D421-42BE-82B0-D7F2300AC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4EF6"/>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link w:val="HeadingbChar"/>
    <w:qFormat/>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rsid w:val="007F5F86"/>
    <w:pPr>
      <w:keepNext/>
      <w:keepLines/>
      <w:spacing w:before="480" w:after="80"/>
      <w:jc w:val="center"/>
      <w:outlineLvl w:val="0"/>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link w:val="Tabletext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rPr>
      <w:position w:val="6"/>
      <w:sz w:val="18"/>
    </w:rPr>
  </w:style>
  <w:style w:type="paragraph" w:styleId="FootnoteText">
    <w:name w:val="footnote text"/>
    <w:basedOn w:val="Normal"/>
    <w:link w:val="FootnoteTextChar"/>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rsid w:val="00A6617B"/>
    <w:pPr>
      <w:keepNext w:val="0"/>
      <w:spacing w:before="0" w:after="240"/>
    </w:pPr>
  </w:style>
  <w:style w:type="character" w:styleId="Hyperlink">
    <w:name w:val="Hyperlink"/>
    <w:basedOn w:val="DefaultParagraphFont"/>
    <w:rsid w:val="00CF4EF6"/>
    <w:rPr>
      <w:color w:val="0000FF"/>
      <w:u w:val="single"/>
    </w:rPr>
  </w:style>
  <w:style w:type="character" w:customStyle="1" w:styleId="Heading1Char">
    <w:name w:val="Heading 1 Char"/>
    <w:basedOn w:val="DefaultParagraphFont"/>
    <w:link w:val="Heading1"/>
    <w:rsid w:val="00CF4EF6"/>
    <w:rPr>
      <w:b/>
      <w:sz w:val="24"/>
      <w:lang w:val="fr-FR" w:eastAsia="en-US"/>
    </w:rPr>
  </w:style>
  <w:style w:type="character" w:customStyle="1" w:styleId="TabletextChar">
    <w:name w:val="Table_text Char"/>
    <w:link w:val="Tabletext"/>
    <w:locked/>
    <w:rsid w:val="00CF4EF6"/>
    <w:rPr>
      <w:sz w:val="22"/>
      <w:lang w:val="fr-FR" w:eastAsia="en-US"/>
    </w:rPr>
  </w:style>
  <w:style w:type="character" w:customStyle="1" w:styleId="FootnoteTextChar">
    <w:name w:val="Footnote Text Char"/>
    <w:basedOn w:val="DefaultParagraphFont"/>
    <w:link w:val="FootnoteText"/>
    <w:rsid w:val="00D01BA7"/>
    <w:rPr>
      <w:sz w:val="22"/>
      <w:lang w:val="fr-FR" w:eastAsia="en-US"/>
    </w:rPr>
  </w:style>
  <w:style w:type="character" w:customStyle="1" w:styleId="enumlev1Char">
    <w:name w:val="enumlev1 Char"/>
    <w:basedOn w:val="DefaultParagraphFont"/>
    <w:link w:val="enumlev1"/>
    <w:locked/>
    <w:rsid w:val="00D01BA7"/>
    <w:rPr>
      <w:sz w:val="24"/>
      <w:lang w:val="fr-FR" w:eastAsia="en-US"/>
    </w:rPr>
  </w:style>
  <w:style w:type="paragraph" w:customStyle="1" w:styleId="Reasons">
    <w:name w:val="Reasons"/>
    <w:basedOn w:val="Normal"/>
    <w:qFormat/>
    <w:rsid w:val="00D01BA7"/>
    <w:pPr>
      <w:tabs>
        <w:tab w:val="clear" w:pos="794"/>
        <w:tab w:val="clear" w:pos="1191"/>
        <w:tab w:val="clear" w:pos="1588"/>
        <w:tab w:val="clear" w:pos="1985"/>
      </w:tabs>
      <w:overflowPunct/>
      <w:autoSpaceDE/>
      <w:autoSpaceDN/>
      <w:adjustRightInd/>
      <w:spacing w:before="0"/>
      <w:jc w:val="left"/>
      <w:textAlignment w:val="auto"/>
    </w:pPr>
    <w:rPr>
      <w:lang w:val="en-US"/>
    </w:rPr>
  </w:style>
  <w:style w:type="character" w:customStyle="1" w:styleId="HeadingbChar">
    <w:name w:val="Heading_b Char"/>
    <w:link w:val="Headingb"/>
    <w:locked/>
    <w:rsid w:val="00FE7749"/>
    <w:rPr>
      <w:b/>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ITU-R/go/patents/fr" TargetMode="External"/><Relationship Id="rId13" Type="http://schemas.openxmlformats.org/officeDocument/2006/relationships/hyperlink" Target="http://www.itu.int/rec/R-REC-SM.1757/en" TargetMode="External"/><Relationship Id="rId18" Type="http://schemas.openxmlformats.org/officeDocument/2006/relationships/header" Target="header6.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www.itu.int/rec/R-REC-SM.1756/en" TargetMode="Externa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hyperlink" Target="http://www.itu.int/rec/R-REC-SM.1757/en"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hyperlink" Target="http://www.itu.int/rec/R-REC-SM.1756/en" TargetMode="Externa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itu.int/publ/R-REC/fr" TargetMode="External"/><Relationship Id="rId14" Type="http://schemas.openxmlformats.org/officeDocument/2006/relationships/hyperlink" Target="http://www.itu.int/rec/R-REC-SM.1755/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chetc\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BR_Rec_2005.dotm</Template>
  <TotalTime>24</TotalTime>
  <Pages>8</Pages>
  <Words>2379</Words>
  <Characters>14203</Characters>
  <Application>Microsoft Office Word</Application>
  <DocSecurity>0</DocSecurity>
  <Lines>338</Lines>
  <Paragraphs>19</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16563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UIT-R</dc:creator>
  <cp:keywords/>
  <dc:description/>
  <cp:lastModifiedBy>Gachet, Christelle</cp:lastModifiedBy>
  <cp:revision>13</cp:revision>
  <cp:lastPrinted>2020-04-22T14:09:00Z</cp:lastPrinted>
  <dcterms:created xsi:type="dcterms:W3CDTF">2019-02-26T08:40:00Z</dcterms:created>
  <dcterms:modified xsi:type="dcterms:W3CDTF">2020-04-22T14:10:00Z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