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7B" w:rsidRPr="00776F68" w:rsidRDefault="00A6617B" w:rsidP="00BD1E63">
      <w:pPr>
        <w:rPr>
          <w:lang w:val="es-ES_tradnl"/>
        </w:rPr>
      </w:pPr>
    </w:p>
    <w:p w:rsidR="00BD1E63" w:rsidRPr="00776F68" w:rsidRDefault="00BD1E63" w:rsidP="00BD1E63">
      <w:pPr>
        <w:rPr>
          <w:lang w:val="es-ES_tradnl"/>
        </w:rPr>
      </w:pPr>
      <w:bookmarkStart w:id="0" w:name="dbreak"/>
      <w:bookmarkEnd w:id="0"/>
    </w:p>
    <w:p w:rsidR="00BD1E63" w:rsidRPr="00776F68" w:rsidRDefault="00BD1E63" w:rsidP="00BD1E63">
      <w:pPr>
        <w:rPr>
          <w:lang w:val="es-ES_tradnl"/>
        </w:rPr>
      </w:pPr>
    </w:p>
    <w:p w:rsidR="00BD1E63" w:rsidRPr="00776F68" w:rsidRDefault="00BD1E63" w:rsidP="00BD1E63">
      <w:pPr>
        <w:rPr>
          <w:lang w:val="es-ES_tradnl"/>
        </w:rPr>
      </w:pPr>
    </w:p>
    <w:p w:rsidR="00BD1E63" w:rsidRPr="00776F68" w:rsidRDefault="00BD1E63" w:rsidP="00BD1E63">
      <w:pPr>
        <w:rPr>
          <w:lang w:val="es-ES_tradnl"/>
        </w:rPr>
      </w:pPr>
    </w:p>
    <w:p w:rsidR="00BD1E63" w:rsidRPr="00776F68" w:rsidRDefault="00BD1E63" w:rsidP="00BD1E63">
      <w:pPr>
        <w:rPr>
          <w:lang w:val="es-ES_tradnl"/>
        </w:rPr>
      </w:pPr>
    </w:p>
    <w:p w:rsidR="00BD1E63" w:rsidRPr="00776F68" w:rsidRDefault="00BD1E63" w:rsidP="00BD1E63">
      <w:pPr>
        <w:rPr>
          <w:lang w:val="es-ES_tradnl"/>
        </w:rPr>
      </w:pPr>
    </w:p>
    <w:p w:rsidR="00BD1E63" w:rsidRPr="00776F68" w:rsidRDefault="00BD1E63" w:rsidP="00BD1E63">
      <w:pPr>
        <w:rPr>
          <w:lang w:val="es-ES_tradnl"/>
        </w:rPr>
      </w:pPr>
    </w:p>
    <w:p w:rsidR="00BD1E63" w:rsidRPr="00776F68" w:rsidRDefault="00BD1E63" w:rsidP="00BD1E63">
      <w:pPr>
        <w:rPr>
          <w:lang w:val="es-ES_tradnl"/>
        </w:rPr>
      </w:pPr>
    </w:p>
    <w:p w:rsidR="00BD1E63" w:rsidRPr="00776F68" w:rsidRDefault="00BD1E63" w:rsidP="00BD1E63">
      <w:pPr>
        <w:rPr>
          <w:lang w:val="es-ES_tradnl"/>
        </w:rPr>
      </w:pPr>
    </w:p>
    <w:p w:rsidR="00BD1E63" w:rsidRPr="00776F68" w:rsidRDefault="00BD1E63" w:rsidP="00BD1E63">
      <w:pPr>
        <w:rPr>
          <w:lang w:val="es-ES_tradnl"/>
        </w:rPr>
      </w:pPr>
    </w:p>
    <w:p w:rsidR="00BD1E63" w:rsidRPr="00776F68" w:rsidRDefault="00BD1E63" w:rsidP="00BD1E63">
      <w:pPr>
        <w:rPr>
          <w:lang w:val="es-ES_tradnl"/>
        </w:rPr>
      </w:pPr>
    </w:p>
    <w:p w:rsidR="00BD1E63" w:rsidRPr="00776F68" w:rsidRDefault="00BD1E63" w:rsidP="00BD1E63">
      <w:pPr>
        <w:rPr>
          <w:lang w:val="es-ES_tradnl"/>
        </w:rPr>
      </w:pPr>
    </w:p>
    <w:tbl>
      <w:tblPr>
        <w:tblW w:w="10089" w:type="dxa"/>
        <w:tblLook w:val="01E0" w:firstRow="1" w:lastRow="1" w:firstColumn="1" w:lastColumn="1" w:noHBand="0" w:noVBand="0"/>
      </w:tblPr>
      <w:tblGrid>
        <w:gridCol w:w="10089"/>
      </w:tblGrid>
      <w:tr w:rsidR="00BD1E63" w:rsidRPr="00776F68" w:rsidTr="000F51E1">
        <w:tc>
          <w:tcPr>
            <w:tcW w:w="10089" w:type="dxa"/>
          </w:tcPr>
          <w:p w:rsidR="00BD1E63" w:rsidRPr="00776F68" w:rsidRDefault="00BD1E63" w:rsidP="000F51E1">
            <w:pPr>
              <w:spacing w:before="380" w:line="280" w:lineRule="exact"/>
              <w:jc w:val="right"/>
              <w:rPr>
                <w:rFonts w:ascii="Tahoma" w:hAnsi="Tahoma" w:cs="Tahoma"/>
                <w:b/>
                <w:bCs/>
                <w:iCs/>
                <w:color w:val="243285"/>
                <w:sz w:val="32"/>
                <w:szCs w:val="32"/>
                <w:lang w:val="es-ES_tradnl"/>
              </w:rPr>
            </w:pPr>
          </w:p>
          <w:p w:rsidR="00BD1E63" w:rsidRPr="00776F68" w:rsidRDefault="00BD1E63" w:rsidP="00BD1E63">
            <w:pPr>
              <w:spacing w:before="380" w:line="280" w:lineRule="exact"/>
              <w:jc w:val="right"/>
              <w:rPr>
                <w:rFonts w:ascii="Tahoma" w:hAnsi="Tahoma" w:cs="Tahoma"/>
                <w:b/>
                <w:bCs/>
                <w:iCs/>
                <w:color w:val="243285"/>
                <w:sz w:val="36"/>
                <w:szCs w:val="36"/>
                <w:lang w:val="es-ES_tradnl"/>
              </w:rPr>
            </w:pPr>
            <w:r w:rsidRPr="00776F68">
              <w:rPr>
                <w:rFonts w:ascii="Tahoma" w:hAnsi="Tahoma" w:cs="Tahoma"/>
                <w:b/>
                <w:bCs/>
                <w:iCs/>
                <w:color w:val="243285"/>
                <w:sz w:val="36"/>
                <w:szCs w:val="36"/>
                <w:lang w:val="es-ES_tradnl"/>
              </w:rPr>
              <w:t>Recomendación  UIT-R  SM.1880-1</w:t>
            </w:r>
          </w:p>
          <w:p w:rsidR="00BD1E63" w:rsidRPr="00776F68" w:rsidRDefault="00BD1E63" w:rsidP="00BD1E63">
            <w:pPr>
              <w:spacing w:before="80" w:line="280" w:lineRule="exact"/>
              <w:jc w:val="right"/>
              <w:rPr>
                <w:rFonts w:ascii="Tahoma" w:hAnsi="Tahoma" w:cs="Tahoma"/>
                <w:b/>
                <w:bCs/>
                <w:iCs/>
                <w:color w:val="243285"/>
                <w:szCs w:val="24"/>
                <w:lang w:val="es-ES_tradnl"/>
              </w:rPr>
            </w:pPr>
            <w:r w:rsidRPr="00776F68">
              <w:rPr>
                <w:rFonts w:ascii="Tahoma" w:hAnsi="Tahoma" w:cs="Tahoma"/>
                <w:b/>
                <w:bCs/>
                <w:iCs/>
                <w:color w:val="243285"/>
                <w:szCs w:val="24"/>
                <w:lang w:val="es-ES_tradnl"/>
              </w:rPr>
              <w:t>(08/2015</w:t>
            </w:r>
            <w:r w:rsidR="0023713D">
              <w:rPr>
                <w:rFonts w:ascii="Tahoma" w:hAnsi="Tahoma" w:cs="Tahoma"/>
                <w:b/>
                <w:bCs/>
                <w:iCs/>
                <w:color w:val="243285"/>
                <w:szCs w:val="24"/>
                <w:lang w:val="es-ES_tradnl"/>
              </w:rPr>
              <w:t>)</w:t>
            </w:r>
          </w:p>
        </w:tc>
      </w:tr>
      <w:tr w:rsidR="00BD1E63" w:rsidRPr="0023713D" w:rsidTr="000F51E1">
        <w:tc>
          <w:tcPr>
            <w:tcW w:w="10089" w:type="dxa"/>
          </w:tcPr>
          <w:p w:rsidR="00BD1E63" w:rsidRPr="00776F68" w:rsidRDefault="00BD1E63" w:rsidP="000F51E1">
            <w:pPr>
              <w:spacing w:before="80" w:line="500" w:lineRule="exact"/>
              <w:jc w:val="right"/>
              <w:rPr>
                <w:rFonts w:ascii="Tahoma" w:hAnsi="Tahoma" w:cs="Tahoma"/>
                <w:b/>
                <w:bCs/>
                <w:iCs/>
                <w:color w:val="243285"/>
                <w:sz w:val="44"/>
                <w:szCs w:val="44"/>
                <w:lang w:val="es-ES_tradnl"/>
              </w:rPr>
            </w:pPr>
          </w:p>
          <w:p w:rsidR="00BD1E63" w:rsidRPr="00776F68" w:rsidRDefault="00BD1E63" w:rsidP="00BD1E63">
            <w:pPr>
              <w:spacing w:before="80" w:line="500" w:lineRule="exact"/>
              <w:jc w:val="right"/>
              <w:rPr>
                <w:rFonts w:ascii="Tahoma" w:hAnsi="Tahoma" w:cs="Tahoma"/>
                <w:b/>
                <w:bCs/>
                <w:color w:val="243285"/>
                <w:sz w:val="44"/>
                <w:szCs w:val="44"/>
                <w:lang w:val="es-ES_tradnl"/>
              </w:rPr>
            </w:pPr>
            <w:r w:rsidRPr="00776F68">
              <w:rPr>
                <w:rFonts w:ascii="Tahoma" w:hAnsi="Tahoma" w:cs="Tahoma"/>
                <w:b/>
                <w:bCs/>
                <w:color w:val="243285"/>
                <w:sz w:val="44"/>
                <w:szCs w:val="44"/>
                <w:lang w:val="es-ES_tradnl"/>
              </w:rPr>
              <w:t>Medición y evaluación de</w:t>
            </w:r>
            <w:r w:rsidRPr="00776F68">
              <w:rPr>
                <w:rFonts w:ascii="Tahoma" w:hAnsi="Tahoma" w:cs="Tahoma"/>
                <w:b/>
                <w:bCs/>
                <w:color w:val="243285"/>
                <w:sz w:val="44"/>
                <w:szCs w:val="44"/>
                <w:lang w:val="es-ES_tradnl"/>
              </w:rPr>
              <w:br/>
              <w:t xml:space="preserve">la </w:t>
            </w:r>
            <w:r w:rsidR="00776F68" w:rsidRPr="00776F68">
              <w:rPr>
                <w:rFonts w:ascii="Tahoma" w:hAnsi="Tahoma" w:cs="Tahoma"/>
                <w:b/>
                <w:bCs/>
                <w:color w:val="243285"/>
                <w:sz w:val="44"/>
                <w:szCs w:val="44"/>
                <w:lang w:val="es-ES_tradnl"/>
              </w:rPr>
              <w:t>ocupación del</w:t>
            </w:r>
            <w:r w:rsidRPr="00776F68">
              <w:rPr>
                <w:rFonts w:ascii="Tahoma" w:hAnsi="Tahoma" w:cs="Tahoma"/>
                <w:b/>
                <w:bCs/>
                <w:color w:val="243285"/>
                <w:sz w:val="44"/>
                <w:szCs w:val="44"/>
                <w:lang w:val="es-ES_tradnl"/>
              </w:rPr>
              <w:t xml:space="preserve"> espectro</w:t>
            </w:r>
          </w:p>
          <w:p w:rsidR="00BD1E63" w:rsidRPr="00776F68" w:rsidRDefault="00BD1E63" w:rsidP="000F51E1">
            <w:pPr>
              <w:spacing w:before="80" w:line="500" w:lineRule="exact"/>
              <w:jc w:val="right"/>
              <w:rPr>
                <w:rFonts w:ascii="Tahoma" w:hAnsi="Tahoma" w:cs="Tahoma"/>
                <w:b/>
                <w:bCs/>
                <w:color w:val="243285"/>
                <w:sz w:val="44"/>
                <w:szCs w:val="44"/>
                <w:lang w:val="es-ES_tradnl"/>
              </w:rPr>
            </w:pPr>
          </w:p>
          <w:p w:rsidR="00BD1E63" w:rsidRPr="00776F68" w:rsidRDefault="00BD1E63" w:rsidP="000F51E1">
            <w:pPr>
              <w:spacing w:before="80" w:line="500" w:lineRule="exact"/>
              <w:jc w:val="right"/>
              <w:rPr>
                <w:rFonts w:ascii="Tahoma" w:hAnsi="Tahoma" w:cs="Tahoma"/>
                <w:b/>
                <w:bCs/>
                <w:iCs/>
                <w:color w:val="243285"/>
                <w:sz w:val="44"/>
                <w:szCs w:val="44"/>
                <w:lang w:val="es-ES_tradnl"/>
              </w:rPr>
            </w:pPr>
          </w:p>
        </w:tc>
      </w:tr>
      <w:tr w:rsidR="00BD1E63" w:rsidRPr="0023713D" w:rsidTr="000F51E1">
        <w:tc>
          <w:tcPr>
            <w:tcW w:w="10089" w:type="dxa"/>
          </w:tcPr>
          <w:p w:rsidR="00BD1E63" w:rsidRPr="00776F68" w:rsidRDefault="00BD1E63" w:rsidP="000F51E1">
            <w:pPr>
              <w:spacing w:before="80" w:line="280" w:lineRule="exact"/>
              <w:ind w:right="640"/>
              <w:rPr>
                <w:rFonts w:ascii="Tahoma" w:hAnsi="Tahoma" w:cs="Tahoma"/>
                <w:b/>
                <w:bCs/>
                <w:iCs/>
                <w:color w:val="243285"/>
                <w:sz w:val="32"/>
                <w:szCs w:val="32"/>
                <w:lang w:val="es-ES_tradnl"/>
              </w:rPr>
            </w:pPr>
          </w:p>
          <w:p w:rsidR="00BD1E63" w:rsidRPr="00776F68" w:rsidRDefault="00BD1E63" w:rsidP="000F51E1">
            <w:pPr>
              <w:spacing w:before="80" w:line="280" w:lineRule="exact"/>
              <w:ind w:right="640"/>
              <w:rPr>
                <w:rFonts w:ascii="Tahoma" w:hAnsi="Tahoma" w:cs="Tahoma"/>
                <w:b/>
                <w:bCs/>
                <w:iCs/>
                <w:color w:val="243285"/>
                <w:sz w:val="32"/>
                <w:szCs w:val="32"/>
                <w:lang w:val="es-ES_tradnl"/>
              </w:rPr>
            </w:pPr>
          </w:p>
          <w:p w:rsidR="00BD1E63" w:rsidRPr="00776F68" w:rsidRDefault="00BD1E63" w:rsidP="000F51E1">
            <w:pPr>
              <w:spacing w:before="80" w:after="180" w:line="360" w:lineRule="exact"/>
              <w:ind w:right="720"/>
              <w:rPr>
                <w:rFonts w:ascii="Tahoma" w:hAnsi="Tahoma" w:cs="Tahoma"/>
                <w:b/>
                <w:bCs/>
                <w:iCs/>
                <w:color w:val="243285"/>
                <w:sz w:val="36"/>
                <w:szCs w:val="36"/>
                <w:lang w:val="es-ES_tradnl"/>
              </w:rPr>
            </w:pPr>
          </w:p>
          <w:p w:rsidR="00BD1E63" w:rsidRPr="00776F68" w:rsidRDefault="00BD1E63" w:rsidP="000F51E1">
            <w:pPr>
              <w:spacing w:before="80" w:after="180" w:line="360" w:lineRule="exact"/>
              <w:jc w:val="right"/>
              <w:rPr>
                <w:rFonts w:ascii="Tahoma" w:hAnsi="Tahoma" w:cs="Tahoma"/>
                <w:b/>
                <w:bCs/>
                <w:iCs/>
                <w:color w:val="243285"/>
                <w:sz w:val="36"/>
                <w:szCs w:val="36"/>
                <w:lang w:val="es-ES_tradnl"/>
              </w:rPr>
            </w:pPr>
            <w:r w:rsidRPr="00776F68">
              <w:rPr>
                <w:rFonts w:ascii="Tahoma" w:hAnsi="Tahoma" w:cs="Tahoma"/>
                <w:b/>
                <w:bCs/>
                <w:iCs/>
                <w:color w:val="243285"/>
                <w:sz w:val="36"/>
                <w:szCs w:val="36"/>
                <w:lang w:val="es-ES_tradnl"/>
              </w:rPr>
              <w:t>Serie SM</w:t>
            </w:r>
          </w:p>
          <w:p w:rsidR="00BD1E63" w:rsidRPr="00776F68" w:rsidRDefault="00BD1E63" w:rsidP="000F51E1">
            <w:pPr>
              <w:spacing w:before="80" w:line="420" w:lineRule="exact"/>
              <w:jc w:val="right"/>
              <w:rPr>
                <w:rFonts w:ascii="Tahoma" w:hAnsi="Tahoma" w:cs="Tahoma"/>
                <w:b/>
                <w:bCs/>
                <w:iCs/>
                <w:color w:val="243285"/>
                <w:sz w:val="36"/>
                <w:szCs w:val="36"/>
                <w:lang w:val="es-ES_tradnl"/>
              </w:rPr>
            </w:pPr>
            <w:r w:rsidRPr="00776F68">
              <w:rPr>
                <w:rFonts w:ascii="Tahoma" w:hAnsi="Tahoma" w:cs="Tahoma"/>
                <w:b/>
                <w:bCs/>
                <w:iCs/>
                <w:color w:val="243285"/>
                <w:sz w:val="36"/>
                <w:szCs w:val="36"/>
                <w:lang w:val="es-ES_tradnl"/>
              </w:rPr>
              <w:t>Gestión del espectro</w:t>
            </w:r>
          </w:p>
        </w:tc>
      </w:tr>
    </w:tbl>
    <w:p w:rsidR="00BD1E63" w:rsidRPr="00776F68" w:rsidRDefault="00BD1E63" w:rsidP="00BD1E63">
      <w:pPr>
        <w:spacing w:before="80"/>
        <w:rPr>
          <w:i/>
          <w:sz w:val="22"/>
          <w:lang w:val="es-ES_tradnl"/>
        </w:rPr>
      </w:pPr>
    </w:p>
    <w:p w:rsidR="00BD1E63" w:rsidRPr="00776F68" w:rsidRDefault="00BD1E63" w:rsidP="00BD1E63">
      <w:pPr>
        <w:spacing w:before="80"/>
        <w:rPr>
          <w:i/>
          <w:sz w:val="22"/>
          <w:lang w:val="es-ES_tradnl"/>
        </w:rPr>
      </w:pPr>
    </w:p>
    <w:p w:rsidR="00BD1E63" w:rsidRPr="00776F68" w:rsidRDefault="00BD1E63" w:rsidP="00BD1E63">
      <w:pPr>
        <w:spacing w:before="80"/>
        <w:rPr>
          <w:i/>
          <w:sz w:val="22"/>
          <w:lang w:val="es-ES_tradnl"/>
        </w:rPr>
      </w:pPr>
    </w:p>
    <w:p w:rsidR="00BD1E63" w:rsidRPr="00776F68" w:rsidRDefault="00BD1E63" w:rsidP="00BD1E63">
      <w:pPr>
        <w:spacing w:before="80"/>
        <w:rPr>
          <w:i/>
          <w:sz w:val="22"/>
          <w:lang w:val="es-ES_tradnl"/>
        </w:rPr>
      </w:pPr>
    </w:p>
    <w:p w:rsidR="00BD1E63" w:rsidRPr="00776F68" w:rsidRDefault="00BD1E63" w:rsidP="00BD1E63">
      <w:pPr>
        <w:spacing w:before="80"/>
        <w:rPr>
          <w:i/>
          <w:sz w:val="22"/>
          <w:lang w:val="es-ES_tradnl"/>
        </w:rPr>
      </w:pPr>
    </w:p>
    <w:p w:rsidR="00BD1E63" w:rsidRPr="00776F68" w:rsidRDefault="00BD1E63" w:rsidP="00BD1E63">
      <w:pPr>
        <w:spacing w:before="80"/>
        <w:rPr>
          <w:i/>
          <w:sz w:val="22"/>
          <w:lang w:val="es-ES_tradnl"/>
        </w:rPr>
      </w:pPr>
    </w:p>
    <w:p w:rsidR="00BD1E63" w:rsidRPr="00776F68" w:rsidRDefault="00BD1E63" w:rsidP="00BD1E63">
      <w:pPr>
        <w:pStyle w:val="Equation"/>
        <w:tabs>
          <w:tab w:val="clear" w:pos="4820"/>
          <w:tab w:val="clear" w:pos="9639"/>
          <w:tab w:val="left" w:pos="1191"/>
          <w:tab w:val="left" w:pos="1588"/>
          <w:tab w:val="left" w:pos="1985"/>
        </w:tabs>
        <w:rPr>
          <w:rFonts w:ascii="Palatino Linotype" w:hAnsi="Palatino Linotype"/>
          <w:lang w:val="es-ES_tradnl"/>
        </w:rPr>
        <w:sectPr w:rsidR="00BD1E63" w:rsidRPr="00776F68">
          <w:headerReference w:type="even" r:id="rId7"/>
          <w:headerReference w:type="default" r:id="rId8"/>
          <w:headerReference w:type="first" r:id="rId9"/>
          <w:pgSz w:w="11907" w:h="16840" w:code="9"/>
          <w:pgMar w:top="1089" w:right="1089" w:bottom="284" w:left="1089" w:header="567" w:footer="284" w:gutter="0"/>
          <w:pgNumType w:start="1"/>
          <w:cols w:space="720"/>
        </w:sectPr>
      </w:pPr>
    </w:p>
    <w:p w:rsidR="00BD1E63" w:rsidRPr="00776F68" w:rsidRDefault="00BD1E63" w:rsidP="00BD1E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776F68">
        <w:rPr>
          <w:bCs/>
          <w:sz w:val="24"/>
          <w:szCs w:val="24"/>
          <w:lang w:val="es-ES_tradnl"/>
        </w:rPr>
        <w:lastRenderedPageBreak/>
        <w:t>Prólogo</w:t>
      </w:r>
    </w:p>
    <w:p w:rsidR="00BD1E63" w:rsidRPr="00776F68" w:rsidRDefault="00BD1E63" w:rsidP="00BD1E63">
      <w:pPr>
        <w:spacing w:before="180"/>
        <w:rPr>
          <w:sz w:val="20"/>
          <w:lang w:val="es-ES_tradnl"/>
        </w:rPr>
      </w:pPr>
      <w:r w:rsidRPr="00776F68">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D1E63" w:rsidRPr="00776F68" w:rsidRDefault="00BD1E63" w:rsidP="00BD1E63">
      <w:pPr>
        <w:rPr>
          <w:sz w:val="20"/>
          <w:lang w:val="es-ES_tradnl"/>
        </w:rPr>
      </w:pPr>
      <w:r w:rsidRPr="00776F68">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BD1E63" w:rsidRPr="00776F68" w:rsidRDefault="00BD1E63" w:rsidP="00BD1E63">
      <w:pPr>
        <w:pStyle w:val="Heading1"/>
        <w:spacing w:before="340"/>
        <w:jc w:val="center"/>
        <w:rPr>
          <w:szCs w:val="24"/>
          <w:lang w:val="es-ES_tradnl"/>
        </w:rPr>
      </w:pPr>
      <w:r w:rsidRPr="00776F68">
        <w:rPr>
          <w:lang w:val="es-ES_tradnl"/>
        </w:rPr>
        <w:t>Política sobre Derechos de Propiedad Intelectual</w:t>
      </w:r>
      <w:r w:rsidRPr="00776F68">
        <w:rPr>
          <w:szCs w:val="24"/>
          <w:lang w:val="es-ES_tradnl"/>
        </w:rPr>
        <w:t xml:space="preserve"> (IPR)</w:t>
      </w:r>
    </w:p>
    <w:p w:rsidR="00BD1E63" w:rsidRPr="00776F68" w:rsidRDefault="00BD1E63" w:rsidP="00BD1E63">
      <w:pPr>
        <w:spacing w:before="180"/>
        <w:rPr>
          <w:sz w:val="20"/>
          <w:lang w:val="es-ES_tradnl"/>
        </w:rPr>
      </w:pPr>
      <w:r w:rsidRPr="00776F68">
        <w:rPr>
          <w:sz w:val="20"/>
          <w:lang w:val="es-ES_tradnl"/>
        </w:rPr>
        <w:t>La política del UIT</w:t>
      </w:r>
      <w:r w:rsidRPr="00776F68">
        <w:rPr>
          <w:sz w:val="20"/>
          <w:lang w:val="es-ES_tradnl"/>
        </w:rPr>
        <w:noBreakHyphen/>
        <w:t>R sobre Derechos de Propiedad Intelectual se describe en la Política Común de Patentes UIT</w:t>
      </w:r>
      <w:r w:rsidRPr="00776F68">
        <w:rPr>
          <w:sz w:val="20"/>
          <w:lang w:val="es-ES_tradnl"/>
        </w:rPr>
        <w:noBreakHyphen/>
        <w:t>T/UIT</w:t>
      </w:r>
      <w:r w:rsidRPr="00776F68">
        <w:rPr>
          <w:sz w:val="20"/>
          <w:lang w:val="es-ES_tradnl"/>
        </w:rPr>
        <w:noBreakHyphen/>
        <w:t>R/ISO/CEI a la que se hace referencia en el Anexo 1 a la Resolución UIT</w:t>
      </w:r>
      <w:r w:rsidRPr="00776F68">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776F68">
          <w:rPr>
            <w:rStyle w:val="Hyperlink"/>
            <w:sz w:val="20"/>
            <w:lang w:val="es-ES_tradnl"/>
          </w:rPr>
          <w:t>http://www.itu.int/ITU-R/go/patents/es</w:t>
        </w:r>
      </w:hyperlink>
      <w:r w:rsidRPr="00776F68">
        <w:rPr>
          <w:sz w:val="20"/>
          <w:lang w:val="es-ES_tradnl"/>
        </w:rPr>
        <w:t>, donde también aparecen las Directrices para la implementación de la Política Común de Patentes UIT</w:t>
      </w:r>
      <w:r w:rsidRPr="00776F68">
        <w:rPr>
          <w:sz w:val="20"/>
          <w:lang w:val="es-ES_tradnl"/>
        </w:rPr>
        <w:noBreakHyphen/>
        <w:t>T/UIT</w:t>
      </w:r>
      <w:r w:rsidRPr="00776F68">
        <w:rPr>
          <w:sz w:val="20"/>
          <w:lang w:val="es-ES_tradnl"/>
        </w:rPr>
        <w:noBreakHyphen/>
        <w:t>R/ISO/CEI y la base de datos sobre información de patentes del UIT</w:t>
      </w:r>
      <w:r w:rsidRPr="00776F68">
        <w:rPr>
          <w:sz w:val="20"/>
          <w:lang w:val="es-ES_tradnl"/>
        </w:rPr>
        <w:noBreakHyphen/>
        <w:t>R sobre este asunto.</w:t>
      </w:r>
    </w:p>
    <w:p w:rsidR="00BD1E63" w:rsidRPr="00776F68" w:rsidRDefault="00BD1E63" w:rsidP="00BD1E63">
      <w:pPr>
        <w:spacing w:before="0"/>
        <w:jc w:val="center"/>
        <w:rPr>
          <w:sz w:val="22"/>
          <w:lang w:val="es-ES_tradnl"/>
        </w:rPr>
      </w:pPr>
    </w:p>
    <w:p w:rsidR="00BD1E63" w:rsidRPr="00776F68" w:rsidRDefault="00BD1E63" w:rsidP="00BD1E63">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D1E63" w:rsidRPr="0023713D" w:rsidTr="000F51E1">
        <w:tc>
          <w:tcPr>
            <w:tcW w:w="9360" w:type="dxa"/>
            <w:gridSpan w:val="2"/>
          </w:tcPr>
          <w:p w:rsidR="00BD1E63" w:rsidRPr="00776F68" w:rsidRDefault="00BD1E63" w:rsidP="000F51E1">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776F68">
              <w:rPr>
                <w:sz w:val="22"/>
                <w:szCs w:val="22"/>
                <w:lang w:val="es-ES_tradnl"/>
              </w:rPr>
              <w:t xml:space="preserve">Series de las Recomendaciones UIT-R </w:t>
            </w:r>
          </w:p>
          <w:p w:rsidR="00BD1E63" w:rsidRPr="00776F68" w:rsidRDefault="00BD1E63" w:rsidP="000F51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76F68">
              <w:rPr>
                <w:b w:val="0"/>
                <w:sz w:val="18"/>
                <w:szCs w:val="18"/>
                <w:lang w:val="es-ES_tradnl"/>
              </w:rPr>
              <w:t xml:space="preserve">(También disponible en línea en </w:t>
            </w:r>
            <w:hyperlink r:id="rId11" w:history="1">
              <w:r w:rsidRPr="00776F68">
                <w:rPr>
                  <w:rStyle w:val="Hyperlink"/>
                  <w:b w:val="0"/>
                  <w:bCs/>
                  <w:sz w:val="18"/>
                  <w:szCs w:val="18"/>
                  <w:lang w:val="es-ES_tradnl"/>
                </w:rPr>
                <w:t>http://www.itu.int/publ/R-REC/es</w:t>
              </w:r>
            </w:hyperlink>
            <w:r w:rsidRPr="00776F68">
              <w:rPr>
                <w:b w:val="0"/>
                <w:bCs/>
                <w:sz w:val="18"/>
                <w:szCs w:val="18"/>
                <w:lang w:val="es-ES_tradnl"/>
              </w:rPr>
              <w:t>)</w:t>
            </w:r>
          </w:p>
        </w:tc>
      </w:tr>
      <w:tr w:rsidR="00BD1E63" w:rsidRPr="00776F68" w:rsidTr="000F51E1">
        <w:tc>
          <w:tcPr>
            <w:tcW w:w="1140" w:type="dxa"/>
            <w:tcBorders>
              <w:bottom w:val="nil"/>
            </w:tcBorders>
          </w:tcPr>
          <w:p w:rsidR="00BD1E63" w:rsidRPr="00776F68" w:rsidRDefault="00BD1E63" w:rsidP="000F51E1">
            <w:pPr>
              <w:spacing w:before="180" w:after="100"/>
              <w:ind w:left="57"/>
              <w:rPr>
                <w:b/>
                <w:bCs/>
                <w:sz w:val="20"/>
                <w:lang w:val="es-ES_tradnl"/>
              </w:rPr>
            </w:pPr>
            <w:r w:rsidRPr="00776F68">
              <w:rPr>
                <w:b/>
                <w:bCs/>
                <w:sz w:val="20"/>
                <w:lang w:val="es-ES_tradnl"/>
              </w:rPr>
              <w:t>Series</w:t>
            </w:r>
          </w:p>
        </w:tc>
        <w:tc>
          <w:tcPr>
            <w:tcW w:w="8220" w:type="dxa"/>
            <w:tcBorders>
              <w:bottom w:val="nil"/>
            </w:tcBorders>
          </w:tcPr>
          <w:p w:rsidR="00BD1E63" w:rsidRPr="00776F68" w:rsidRDefault="00BD1E63" w:rsidP="000F51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776F68">
              <w:rPr>
                <w:bCs/>
                <w:sz w:val="20"/>
                <w:lang w:val="es-ES_tradnl"/>
              </w:rPr>
              <w:t>Título</w:t>
            </w:r>
          </w:p>
        </w:tc>
      </w:tr>
      <w:tr w:rsidR="00BD1E63" w:rsidRPr="00776F68" w:rsidTr="000F51E1">
        <w:tc>
          <w:tcPr>
            <w:tcW w:w="1140" w:type="dxa"/>
            <w:tcBorders>
              <w:top w:val="nil"/>
              <w:bottom w:val="nil"/>
            </w:tcBorders>
            <w:shd w:val="clear" w:color="auto" w:fill="auto"/>
          </w:tcPr>
          <w:p w:rsidR="00BD1E63" w:rsidRPr="00776F68" w:rsidRDefault="00BD1E63" w:rsidP="000F51E1">
            <w:pPr>
              <w:spacing w:before="30" w:after="30"/>
              <w:ind w:left="57"/>
              <w:jc w:val="left"/>
              <w:rPr>
                <w:b/>
                <w:bCs/>
                <w:sz w:val="20"/>
                <w:lang w:val="es-ES_tradnl"/>
              </w:rPr>
            </w:pPr>
            <w:r w:rsidRPr="00776F68">
              <w:rPr>
                <w:b/>
                <w:bCs/>
                <w:sz w:val="20"/>
                <w:lang w:val="es-ES_tradnl"/>
              </w:rPr>
              <w:t>BO</w:t>
            </w:r>
          </w:p>
        </w:tc>
        <w:tc>
          <w:tcPr>
            <w:tcW w:w="8220" w:type="dxa"/>
            <w:tcBorders>
              <w:top w:val="nil"/>
              <w:bottom w:val="nil"/>
            </w:tcBorders>
            <w:shd w:val="clear" w:color="auto" w:fill="auto"/>
          </w:tcPr>
          <w:p w:rsidR="00BD1E63" w:rsidRPr="00776F68" w:rsidRDefault="00BD1E63" w:rsidP="000F51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776F68">
              <w:rPr>
                <w:b w:val="0"/>
                <w:sz w:val="20"/>
                <w:lang w:val="es-ES_tradnl"/>
              </w:rPr>
              <w:t>Distribución por satélite</w:t>
            </w:r>
          </w:p>
        </w:tc>
      </w:tr>
      <w:tr w:rsidR="00BD1E63" w:rsidRPr="0023713D" w:rsidTr="000F51E1">
        <w:tc>
          <w:tcPr>
            <w:tcW w:w="1140" w:type="dxa"/>
            <w:tcBorders>
              <w:top w:val="nil"/>
              <w:bottom w:val="nil"/>
            </w:tcBorders>
            <w:shd w:val="clear" w:color="auto" w:fill="auto"/>
          </w:tcPr>
          <w:p w:rsidR="00BD1E63" w:rsidRPr="00776F68" w:rsidRDefault="00BD1E63" w:rsidP="000F51E1">
            <w:pPr>
              <w:spacing w:before="30" w:after="30"/>
              <w:ind w:left="57"/>
              <w:jc w:val="left"/>
              <w:rPr>
                <w:b/>
                <w:bCs/>
                <w:sz w:val="20"/>
                <w:lang w:val="es-ES_tradnl"/>
              </w:rPr>
            </w:pPr>
            <w:r w:rsidRPr="00776F68">
              <w:rPr>
                <w:b/>
                <w:bCs/>
                <w:sz w:val="20"/>
                <w:lang w:val="es-ES_tradnl"/>
              </w:rPr>
              <w:t>BR</w:t>
            </w:r>
          </w:p>
        </w:tc>
        <w:tc>
          <w:tcPr>
            <w:tcW w:w="8220" w:type="dxa"/>
            <w:tcBorders>
              <w:top w:val="nil"/>
              <w:bottom w:val="nil"/>
            </w:tcBorders>
            <w:shd w:val="clear" w:color="auto" w:fill="auto"/>
          </w:tcPr>
          <w:p w:rsidR="00BD1E63" w:rsidRPr="00776F68" w:rsidRDefault="00BD1E63" w:rsidP="000F51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776F68">
              <w:rPr>
                <w:b w:val="0"/>
                <w:sz w:val="20"/>
                <w:lang w:val="es-ES_tradnl"/>
              </w:rPr>
              <w:t>Registro para producción, archivo y reproducción; películas en televisión</w:t>
            </w:r>
          </w:p>
        </w:tc>
      </w:tr>
      <w:tr w:rsidR="00BD1E63" w:rsidRPr="00776F68" w:rsidTr="000F51E1">
        <w:tc>
          <w:tcPr>
            <w:tcW w:w="1140" w:type="dxa"/>
            <w:tcBorders>
              <w:top w:val="nil"/>
              <w:bottom w:val="nil"/>
            </w:tcBorders>
            <w:shd w:val="clear" w:color="auto" w:fill="auto"/>
          </w:tcPr>
          <w:p w:rsidR="00BD1E63" w:rsidRPr="00776F68" w:rsidRDefault="00BD1E63" w:rsidP="000F51E1">
            <w:pPr>
              <w:spacing w:before="30" w:after="30"/>
              <w:ind w:left="57"/>
              <w:jc w:val="left"/>
              <w:rPr>
                <w:b/>
                <w:bCs/>
                <w:sz w:val="20"/>
                <w:lang w:val="es-ES_tradnl"/>
              </w:rPr>
            </w:pPr>
            <w:r w:rsidRPr="00776F68">
              <w:rPr>
                <w:b/>
                <w:bCs/>
                <w:sz w:val="20"/>
                <w:lang w:val="es-ES_tradnl"/>
              </w:rPr>
              <w:t>BS</w:t>
            </w:r>
          </w:p>
        </w:tc>
        <w:tc>
          <w:tcPr>
            <w:tcW w:w="8220" w:type="dxa"/>
            <w:tcBorders>
              <w:top w:val="nil"/>
              <w:bottom w:val="nil"/>
            </w:tcBorders>
            <w:shd w:val="clear" w:color="auto" w:fill="auto"/>
          </w:tcPr>
          <w:p w:rsidR="00BD1E63" w:rsidRPr="00776F68" w:rsidRDefault="00BD1E63" w:rsidP="000F51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776F68">
              <w:rPr>
                <w:b w:val="0"/>
                <w:bCs/>
                <w:sz w:val="20"/>
                <w:lang w:val="es-ES_tradnl"/>
              </w:rPr>
              <w:t>Servicio de radiodifusión (sonora)</w:t>
            </w:r>
          </w:p>
        </w:tc>
      </w:tr>
      <w:tr w:rsidR="00BD1E63" w:rsidRPr="00776F68" w:rsidTr="000F51E1">
        <w:tc>
          <w:tcPr>
            <w:tcW w:w="1140" w:type="dxa"/>
            <w:tcBorders>
              <w:top w:val="nil"/>
              <w:bottom w:val="nil"/>
            </w:tcBorders>
            <w:shd w:val="clear" w:color="auto" w:fill="auto"/>
          </w:tcPr>
          <w:p w:rsidR="00BD1E63" w:rsidRPr="00776F68" w:rsidRDefault="00BD1E63" w:rsidP="000F51E1">
            <w:pPr>
              <w:spacing w:before="30" w:after="30"/>
              <w:ind w:left="57"/>
              <w:jc w:val="left"/>
              <w:rPr>
                <w:b/>
                <w:bCs/>
                <w:sz w:val="20"/>
                <w:lang w:val="es-ES_tradnl"/>
              </w:rPr>
            </w:pPr>
            <w:r w:rsidRPr="00776F68">
              <w:rPr>
                <w:b/>
                <w:bCs/>
                <w:sz w:val="20"/>
                <w:lang w:val="es-ES_tradnl"/>
              </w:rPr>
              <w:t>BT</w:t>
            </w:r>
          </w:p>
        </w:tc>
        <w:tc>
          <w:tcPr>
            <w:tcW w:w="8220" w:type="dxa"/>
            <w:tcBorders>
              <w:top w:val="nil"/>
              <w:bottom w:val="nil"/>
            </w:tcBorders>
            <w:shd w:val="clear" w:color="auto" w:fill="auto"/>
          </w:tcPr>
          <w:p w:rsidR="00BD1E63" w:rsidRPr="00776F68" w:rsidRDefault="00BD1E63" w:rsidP="000F51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776F68">
              <w:rPr>
                <w:b w:val="0"/>
                <w:bCs/>
                <w:sz w:val="20"/>
                <w:lang w:val="es-ES_tradnl"/>
              </w:rPr>
              <w:t>Servicio de radiodifusión (televisión)</w:t>
            </w:r>
          </w:p>
        </w:tc>
      </w:tr>
      <w:tr w:rsidR="00BD1E63" w:rsidRPr="00776F68" w:rsidTr="000F51E1">
        <w:tc>
          <w:tcPr>
            <w:tcW w:w="1140" w:type="dxa"/>
            <w:tcBorders>
              <w:top w:val="nil"/>
              <w:bottom w:val="nil"/>
            </w:tcBorders>
            <w:shd w:val="clear" w:color="auto" w:fill="auto"/>
          </w:tcPr>
          <w:p w:rsidR="00BD1E63" w:rsidRPr="00776F68" w:rsidRDefault="00BD1E63" w:rsidP="000F51E1">
            <w:pPr>
              <w:spacing w:before="30" w:after="30"/>
              <w:ind w:left="57"/>
              <w:jc w:val="left"/>
              <w:rPr>
                <w:b/>
                <w:bCs/>
                <w:sz w:val="20"/>
                <w:lang w:val="es-ES_tradnl"/>
              </w:rPr>
            </w:pPr>
            <w:r w:rsidRPr="00776F68">
              <w:rPr>
                <w:b/>
                <w:bCs/>
                <w:sz w:val="20"/>
                <w:lang w:val="es-ES_tradnl"/>
              </w:rPr>
              <w:t>F</w:t>
            </w:r>
          </w:p>
        </w:tc>
        <w:tc>
          <w:tcPr>
            <w:tcW w:w="8220" w:type="dxa"/>
            <w:tcBorders>
              <w:top w:val="nil"/>
              <w:bottom w:val="nil"/>
            </w:tcBorders>
            <w:shd w:val="clear" w:color="auto" w:fill="auto"/>
          </w:tcPr>
          <w:p w:rsidR="00BD1E63" w:rsidRPr="00776F68" w:rsidRDefault="00BD1E63" w:rsidP="000F51E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76F68">
              <w:rPr>
                <w:sz w:val="20"/>
                <w:lang w:val="es-ES_tradnl"/>
              </w:rPr>
              <w:t>Servicio fijo</w:t>
            </w:r>
          </w:p>
        </w:tc>
      </w:tr>
      <w:tr w:rsidR="00BD1E63" w:rsidRPr="0023713D" w:rsidTr="000F51E1">
        <w:tc>
          <w:tcPr>
            <w:tcW w:w="1140" w:type="dxa"/>
            <w:tcBorders>
              <w:top w:val="nil"/>
              <w:bottom w:val="nil"/>
            </w:tcBorders>
            <w:shd w:val="clear" w:color="auto" w:fill="auto"/>
          </w:tcPr>
          <w:p w:rsidR="00BD1E63" w:rsidRPr="00776F68" w:rsidRDefault="00BD1E63" w:rsidP="000F51E1">
            <w:pPr>
              <w:spacing w:before="30" w:after="30"/>
              <w:ind w:left="57"/>
              <w:jc w:val="left"/>
              <w:rPr>
                <w:rFonts w:hAnsi="Times New Roman Bold"/>
                <w:b/>
                <w:bCs/>
                <w:sz w:val="20"/>
                <w:lang w:val="es-ES_tradnl"/>
              </w:rPr>
            </w:pPr>
            <w:r w:rsidRPr="00776F68">
              <w:rPr>
                <w:rFonts w:hAnsi="Times New Roman Bold"/>
                <w:b/>
                <w:bCs/>
                <w:sz w:val="20"/>
                <w:lang w:val="es-ES_tradnl"/>
              </w:rPr>
              <w:t>M</w:t>
            </w:r>
          </w:p>
        </w:tc>
        <w:tc>
          <w:tcPr>
            <w:tcW w:w="8220" w:type="dxa"/>
            <w:tcBorders>
              <w:top w:val="nil"/>
              <w:bottom w:val="nil"/>
            </w:tcBorders>
            <w:shd w:val="clear" w:color="auto" w:fill="auto"/>
          </w:tcPr>
          <w:p w:rsidR="00BD1E63" w:rsidRPr="00776F68" w:rsidRDefault="00BD1E63" w:rsidP="000F51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776F68">
              <w:rPr>
                <w:rFonts w:hAnsi="Times New Roman Bold"/>
                <w:b w:val="0"/>
                <w:sz w:val="20"/>
                <w:lang w:val="es-ES_tradnl"/>
              </w:rPr>
              <w:t>Servicios m</w:t>
            </w:r>
            <w:r w:rsidRPr="00776F68">
              <w:rPr>
                <w:rFonts w:hAnsi="Times New Roman Bold"/>
                <w:b w:val="0"/>
                <w:sz w:val="20"/>
                <w:lang w:val="es-ES_tradnl"/>
              </w:rPr>
              <w:t>ó</w:t>
            </w:r>
            <w:r w:rsidRPr="00776F68">
              <w:rPr>
                <w:rFonts w:hAnsi="Times New Roman Bold"/>
                <w:b w:val="0"/>
                <w:sz w:val="20"/>
                <w:lang w:val="es-ES_tradnl"/>
              </w:rPr>
              <w:t>viles, de radiodeterminaci</w:t>
            </w:r>
            <w:r w:rsidRPr="00776F68">
              <w:rPr>
                <w:rFonts w:hAnsi="Times New Roman Bold"/>
                <w:b w:val="0"/>
                <w:sz w:val="20"/>
                <w:lang w:val="es-ES_tradnl"/>
              </w:rPr>
              <w:t>ó</w:t>
            </w:r>
            <w:r w:rsidRPr="00776F68">
              <w:rPr>
                <w:rFonts w:hAnsi="Times New Roman Bold"/>
                <w:b w:val="0"/>
                <w:sz w:val="20"/>
                <w:lang w:val="es-ES_tradnl"/>
              </w:rPr>
              <w:t>n, de aficionados y otros servicios por sat</w:t>
            </w:r>
            <w:r w:rsidRPr="00776F68">
              <w:rPr>
                <w:rFonts w:hAnsi="Times New Roman Bold"/>
                <w:b w:val="0"/>
                <w:sz w:val="20"/>
                <w:lang w:val="es-ES_tradnl"/>
              </w:rPr>
              <w:t>é</w:t>
            </w:r>
            <w:r w:rsidRPr="00776F68">
              <w:rPr>
                <w:rFonts w:hAnsi="Times New Roman Bold"/>
                <w:b w:val="0"/>
                <w:sz w:val="20"/>
                <w:lang w:val="es-ES_tradnl"/>
              </w:rPr>
              <w:t>lite conexos</w:t>
            </w:r>
          </w:p>
        </w:tc>
      </w:tr>
      <w:tr w:rsidR="00BD1E63" w:rsidRPr="0023713D" w:rsidTr="000F51E1">
        <w:tc>
          <w:tcPr>
            <w:tcW w:w="1140" w:type="dxa"/>
            <w:tcBorders>
              <w:top w:val="nil"/>
              <w:bottom w:val="nil"/>
            </w:tcBorders>
            <w:shd w:val="clear" w:color="auto" w:fill="auto"/>
          </w:tcPr>
          <w:p w:rsidR="00BD1E63" w:rsidRPr="00776F68" w:rsidRDefault="00BD1E63" w:rsidP="000F51E1">
            <w:pPr>
              <w:spacing w:before="30" w:after="30"/>
              <w:ind w:left="57"/>
              <w:jc w:val="left"/>
              <w:rPr>
                <w:b/>
                <w:bCs/>
                <w:sz w:val="20"/>
                <w:lang w:val="es-ES_tradnl"/>
              </w:rPr>
            </w:pPr>
            <w:r w:rsidRPr="00776F68">
              <w:rPr>
                <w:b/>
                <w:bCs/>
                <w:sz w:val="20"/>
                <w:lang w:val="es-ES_tradnl"/>
              </w:rPr>
              <w:t>P</w:t>
            </w:r>
          </w:p>
        </w:tc>
        <w:tc>
          <w:tcPr>
            <w:tcW w:w="8220" w:type="dxa"/>
            <w:tcBorders>
              <w:top w:val="nil"/>
              <w:bottom w:val="nil"/>
            </w:tcBorders>
            <w:shd w:val="clear" w:color="auto" w:fill="auto"/>
          </w:tcPr>
          <w:p w:rsidR="00BD1E63" w:rsidRPr="00776F68" w:rsidRDefault="00BD1E63" w:rsidP="000F51E1">
            <w:pPr>
              <w:spacing w:before="30" w:after="30"/>
              <w:jc w:val="left"/>
              <w:rPr>
                <w:sz w:val="20"/>
                <w:lang w:val="es-ES_tradnl"/>
              </w:rPr>
            </w:pPr>
            <w:r w:rsidRPr="00776F68">
              <w:rPr>
                <w:sz w:val="20"/>
                <w:lang w:val="es-ES_tradnl"/>
              </w:rPr>
              <w:t>Propagación de las ondas radioeléctricas</w:t>
            </w:r>
          </w:p>
        </w:tc>
      </w:tr>
      <w:tr w:rsidR="00BD1E63" w:rsidRPr="00776F68" w:rsidTr="000F51E1">
        <w:tc>
          <w:tcPr>
            <w:tcW w:w="1140" w:type="dxa"/>
            <w:tcBorders>
              <w:top w:val="nil"/>
              <w:bottom w:val="nil"/>
            </w:tcBorders>
            <w:shd w:val="clear" w:color="auto" w:fill="auto"/>
          </w:tcPr>
          <w:p w:rsidR="00BD1E63" w:rsidRPr="00776F68" w:rsidRDefault="00BD1E63" w:rsidP="000F51E1">
            <w:pPr>
              <w:spacing w:before="30" w:after="30"/>
              <w:ind w:left="57"/>
              <w:jc w:val="left"/>
              <w:rPr>
                <w:b/>
                <w:bCs/>
                <w:sz w:val="20"/>
                <w:lang w:val="es-ES_tradnl"/>
              </w:rPr>
            </w:pPr>
            <w:r w:rsidRPr="00776F68">
              <w:rPr>
                <w:b/>
                <w:bCs/>
                <w:sz w:val="20"/>
                <w:lang w:val="es-ES_tradnl"/>
              </w:rPr>
              <w:t>RA</w:t>
            </w:r>
          </w:p>
        </w:tc>
        <w:tc>
          <w:tcPr>
            <w:tcW w:w="8220" w:type="dxa"/>
            <w:tcBorders>
              <w:top w:val="nil"/>
              <w:bottom w:val="nil"/>
            </w:tcBorders>
            <w:shd w:val="clear" w:color="auto" w:fill="auto"/>
          </w:tcPr>
          <w:p w:rsidR="00BD1E63" w:rsidRPr="00776F68" w:rsidRDefault="00BD1E63" w:rsidP="000F51E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76F68">
              <w:rPr>
                <w:sz w:val="20"/>
                <w:lang w:val="es-ES_tradnl"/>
              </w:rPr>
              <w:t>Radioastronomía</w:t>
            </w:r>
          </w:p>
        </w:tc>
      </w:tr>
      <w:tr w:rsidR="00BD1E63" w:rsidRPr="0023713D" w:rsidTr="000F51E1">
        <w:tc>
          <w:tcPr>
            <w:tcW w:w="1140" w:type="dxa"/>
            <w:tcBorders>
              <w:top w:val="nil"/>
              <w:bottom w:val="nil"/>
            </w:tcBorders>
            <w:shd w:val="clear" w:color="auto" w:fill="auto"/>
          </w:tcPr>
          <w:p w:rsidR="00BD1E63" w:rsidRPr="00776F68" w:rsidRDefault="00BD1E63" w:rsidP="000F51E1">
            <w:pPr>
              <w:spacing w:before="30" w:after="30"/>
              <w:ind w:left="57"/>
              <w:jc w:val="left"/>
              <w:rPr>
                <w:b/>
                <w:bCs/>
                <w:sz w:val="20"/>
                <w:lang w:val="es-ES_tradnl"/>
              </w:rPr>
            </w:pPr>
            <w:r w:rsidRPr="00776F68">
              <w:rPr>
                <w:b/>
                <w:bCs/>
                <w:sz w:val="20"/>
                <w:lang w:val="es-ES_tradnl"/>
              </w:rPr>
              <w:t>RS</w:t>
            </w:r>
          </w:p>
        </w:tc>
        <w:tc>
          <w:tcPr>
            <w:tcW w:w="8220" w:type="dxa"/>
            <w:tcBorders>
              <w:top w:val="nil"/>
              <w:bottom w:val="nil"/>
            </w:tcBorders>
            <w:shd w:val="clear" w:color="auto" w:fill="auto"/>
          </w:tcPr>
          <w:p w:rsidR="00BD1E63" w:rsidRPr="00776F68" w:rsidRDefault="00BD1E63" w:rsidP="000F51E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76F68">
              <w:rPr>
                <w:sz w:val="20"/>
                <w:lang w:val="es-ES_tradnl"/>
              </w:rPr>
              <w:t>Sistemas de detección a distancia</w:t>
            </w:r>
          </w:p>
        </w:tc>
      </w:tr>
      <w:tr w:rsidR="00BD1E63" w:rsidRPr="00776F68" w:rsidTr="000F51E1">
        <w:tc>
          <w:tcPr>
            <w:tcW w:w="1140" w:type="dxa"/>
            <w:tcBorders>
              <w:top w:val="nil"/>
              <w:bottom w:val="nil"/>
            </w:tcBorders>
            <w:shd w:val="clear" w:color="auto" w:fill="auto"/>
          </w:tcPr>
          <w:p w:rsidR="00BD1E63" w:rsidRPr="00776F68" w:rsidRDefault="00BD1E63" w:rsidP="000F51E1">
            <w:pPr>
              <w:spacing w:before="30" w:after="30"/>
              <w:ind w:left="57"/>
              <w:jc w:val="left"/>
              <w:rPr>
                <w:b/>
                <w:bCs/>
                <w:sz w:val="20"/>
                <w:lang w:val="es-ES_tradnl"/>
              </w:rPr>
            </w:pPr>
            <w:r w:rsidRPr="00776F68">
              <w:rPr>
                <w:b/>
                <w:bCs/>
                <w:sz w:val="20"/>
                <w:lang w:val="es-ES_tradnl"/>
              </w:rPr>
              <w:t>S</w:t>
            </w:r>
          </w:p>
        </w:tc>
        <w:tc>
          <w:tcPr>
            <w:tcW w:w="8220" w:type="dxa"/>
            <w:tcBorders>
              <w:top w:val="nil"/>
              <w:bottom w:val="nil"/>
            </w:tcBorders>
            <w:shd w:val="clear" w:color="auto" w:fill="auto"/>
          </w:tcPr>
          <w:p w:rsidR="00BD1E63" w:rsidRPr="00776F68" w:rsidRDefault="00BD1E63" w:rsidP="000F51E1">
            <w:pPr>
              <w:spacing w:before="30" w:after="30"/>
              <w:jc w:val="left"/>
              <w:rPr>
                <w:sz w:val="20"/>
                <w:lang w:val="es-ES_tradnl"/>
              </w:rPr>
            </w:pPr>
            <w:r w:rsidRPr="00776F68">
              <w:rPr>
                <w:sz w:val="20"/>
                <w:lang w:val="es-ES_tradnl"/>
              </w:rPr>
              <w:t>Servicio fijo por satélite</w:t>
            </w:r>
          </w:p>
        </w:tc>
      </w:tr>
      <w:tr w:rsidR="00BD1E63" w:rsidRPr="00776F68" w:rsidTr="000F51E1">
        <w:tc>
          <w:tcPr>
            <w:tcW w:w="1140" w:type="dxa"/>
            <w:tcBorders>
              <w:top w:val="nil"/>
              <w:bottom w:val="nil"/>
            </w:tcBorders>
            <w:shd w:val="clear" w:color="auto" w:fill="auto"/>
          </w:tcPr>
          <w:p w:rsidR="00BD1E63" w:rsidRPr="00776F68" w:rsidRDefault="00BD1E63" w:rsidP="000F51E1">
            <w:pPr>
              <w:spacing w:before="30" w:after="30"/>
              <w:ind w:left="57"/>
              <w:jc w:val="left"/>
              <w:rPr>
                <w:b/>
                <w:bCs/>
                <w:sz w:val="20"/>
                <w:lang w:val="es-ES_tradnl"/>
              </w:rPr>
            </w:pPr>
            <w:r w:rsidRPr="00776F68">
              <w:rPr>
                <w:b/>
                <w:bCs/>
                <w:sz w:val="20"/>
                <w:lang w:val="es-ES_tradnl"/>
              </w:rPr>
              <w:t>SA</w:t>
            </w:r>
          </w:p>
        </w:tc>
        <w:tc>
          <w:tcPr>
            <w:tcW w:w="8220" w:type="dxa"/>
            <w:tcBorders>
              <w:top w:val="nil"/>
              <w:bottom w:val="nil"/>
            </w:tcBorders>
            <w:shd w:val="clear" w:color="auto" w:fill="auto"/>
          </w:tcPr>
          <w:p w:rsidR="00BD1E63" w:rsidRPr="00776F68" w:rsidRDefault="00BD1E63" w:rsidP="000F51E1">
            <w:pPr>
              <w:spacing w:before="30" w:after="30"/>
              <w:jc w:val="left"/>
              <w:rPr>
                <w:sz w:val="20"/>
                <w:lang w:val="es-ES_tradnl"/>
              </w:rPr>
            </w:pPr>
            <w:r w:rsidRPr="00776F68">
              <w:rPr>
                <w:sz w:val="20"/>
                <w:lang w:val="es-ES_tradnl"/>
              </w:rPr>
              <w:t>Aplicaciones espaciales y meteorología</w:t>
            </w:r>
          </w:p>
        </w:tc>
      </w:tr>
      <w:tr w:rsidR="00BD1E63" w:rsidRPr="0023713D" w:rsidTr="000F51E1">
        <w:tc>
          <w:tcPr>
            <w:tcW w:w="1140" w:type="dxa"/>
            <w:tcBorders>
              <w:top w:val="nil"/>
              <w:bottom w:val="nil"/>
            </w:tcBorders>
            <w:shd w:val="clear" w:color="auto" w:fill="auto"/>
          </w:tcPr>
          <w:p w:rsidR="00BD1E63" w:rsidRPr="00776F68" w:rsidRDefault="00BD1E63" w:rsidP="000F51E1">
            <w:pPr>
              <w:spacing w:before="30" w:after="30"/>
              <w:ind w:left="57"/>
              <w:jc w:val="left"/>
              <w:rPr>
                <w:b/>
                <w:bCs/>
                <w:sz w:val="20"/>
                <w:lang w:val="es-ES_tradnl"/>
              </w:rPr>
            </w:pPr>
            <w:r w:rsidRPr="00776F68">
              <w:rPr>
                <w:b/>
                <w:bCs/>
                <w:sz w:val="20"/>
                <w:lang w:val="es-ES_tradnl"/>
              </w:rPr>
              <w:t>SF</w:t>
            </w:r>
          </w:p>
        </w:tc>
        <w:tc>
          <w:tcPr>
            <w:tcW w:w="8220" w:type="dxa"/>
            <w:tcBorders>
              <w:top w:val="nil"/>
              <w:bottom w:val="nil"/>
            </w:tcBorders>
            <w:shd w:val="clear" w:color="auto" w:fill="auto"/>
          </w:tcPr>
          <w:p w:rsidR="00BD1E63" w:rsidRPr="00776F68" w:rsidRDefault="00BD1E63" w:rsidP="000F51E1">
            <w:pPr>
              <w:spacing w:before="30" w:after="30"/>
              <w:jc w:val="left"/>
              <w:rPr>
                <w:sz w:val="20"/>
                <w:lang w:val="es-ES_tradnl"/>
              </w:rPr>
            </w:pPr>
            <w:r w:rsidRPr="00776F68">
              <w:rPr>
                <w:sz w:val="20"/>
                <w:lang w:val="es-ES_tradnl"/>
              </w:rPr>
              <w:t>Compartición de frecuencias y coordinación entre los sistemas del servicio fijo por satélite y del servicio fijo</w:t>
            </w:r>
          </w:p>
        </w:tc>
      </w:tr>
      <w:tr w:rsidR="00BD1E63" w:rsidRPr="00776F68" w:rsidTr="000F51E1">
        <w:tc>
          <w:tcPr>
            <w:tcW w:w="1140" w:type="dxa"/>
            <w:tcBorders>
              <w:top w:val="nil"/>
              <w:bottom w:val="nil"/>
            </w:tcBorders>
            <w:shd w:val="clear" w:color="auto" w:fill="F3F3F3"/>
          </w:tcPr>
          <w:p w:rsidR="00BD1E63" w:rsidRPr="00776F68" w:rsidRDefault="00BD1E63" w:rsidP="000F51E1">
            <w:pPr>
              <w:spacing w:before="30" w:after="30"/>
              <w:ind w:left="57"/>
              <w:jc w:val="left"/>
              <w:rPr>
                <w:b/>
                <w:bCs/>
                <w:color w:val="000080"/>
                <w:sz w:val="20"/>
                <w:lang w:val="es-ES_tradnl"/>
              </w:rPr>
            </w:pPr>
            <w:r w:rsidRPr="00776F68">
              <w:rPr>
                <w:b/>
                <w:bCs/>
                <w:color w:val="000080"/>
                <w:sz w:val="20"/>
                <w:lang w:val="es-ES_tradnl"/>
              </w:rPr>
              <w:t>SM</w:t>
            </w:r>
          </w:p>
        </w:tc>
        <w:tc>
          <w:tcPr>
            <w:tcW w:w="8220" w:type="dxa"/>
            <w:tcBorders>
              <w:top w:val="nil"/>
              <w:bottom w:val="nil"/>
            </w:tcBorders>
            <w:shd w:val="clear" w:color="auto" w:fill="F3F3F3"/>
          </w:tcPr>
          <w:p w:rsidR="00BD1E63" w:rsidRPr="00776F68" w:rsidRDefault="00BD1E63" w:rsidP="000F51E1">
            <w:pPr>
              <w:spacing w:before="30" w:after="30"/>
              <w:jc w:val="left"/>
              <w:rPr>
                <w:b/>
                <w:bCs/>
                <w:color w:val="000080"/>
                <w:sz w:val="20"/>
                <w:lang w:val="es-ES_tradnl"/>
              </w:rPr>
            </w:pPr>
            <w:r w:rsidRPr="00776F68">
              <w:rPr>
                <w:b/>
                <w:bCs/>
                <w:color w:val="000080"/>
                <w:sz w:val="20"/>
                <w:lang w:val="es-ES_tradnl"/>
              </w:rPr>
              <w:t>Gestión del espectro</w:t>
            </w:r>
          </w:p>
        </w:tc>
      </w:tr>
      <w:tr w:rsidR="00BD1E63" w:rsidRPr="00776F68" w:rsidTr="000F51E1">
        <w:tc>
          <w:tcPr>
            <w:tcW w:w="1140" w:type="dxa"/>
            <w:tcBorders>
              <w:top w:val="nil"/>
            </w:tcBorders>
          </w:tcPr>
          <w:p w:rsidR="00BD1E63" w:rsidRPr="00776F68" w:rsidRDefault="00BD1E63" w:rsidP="000F51E1">
            <w:pPr>
              <w:spacing w:before="30" w:after="30"/>
              <w:ind w:left="57"/>
              <w:jc w:val="left"/>
              <w:rPr>
                <w:b/>
                <w:bCs/>
                <w:sz w:val="20"/>
                <w:lang w:val="es-ES_tradnl"/>
              </w:rPr>
            </w:pPr>
            <w:r w:rsidRPr="00776F68">
              <w:rPr>
                <w:b/>
                <w:bCs/>
                <w:sz w:val="20"/>
                <w:lang w:val="es-ES_tradnl"/>
              </w:rPr>
              <w:t>SNG</w:t>
            </w:r>
          </w:p>
        </w:tc>
        <w:tc>
          <w:tcPr>
            <w:tcW w:w="8220" w:type="dxa"/>
            <w:tcBorders>
              <w:top w:val="nil"/>
            </w:tcBorders>
          </w:tcPr>
          <w:p w:rsidR="00BD1E63" w:rsidRPr="00776F68" w:rsidRDefault="00BD1E63" w:rsidP="000F51E1">
            <w:pPr>
              <w:spacing w:before="30" w:after="30"/>
              <w:jc w:val="left"/>
              <w:rPr>
                <w:bCs/>
                <w:sz w:val="20"/>
                <w:lang w:val="es-ES_tradnl"/>
              </w:rPr>
            </w:pPr>
            <w:r w:rsidRPr="00776F68">
              <w:rPr>
                <w:bCs/>
                <w:sz w:val="20"/>
                <w:lang w:val="es-ES_tradnl"/>
              </w:rPr>
              <w:t>Periodismo electrónico por satélite</w:t>
            </w:r>
          </w:p>
        </w:tc>
      </w:tr>
      <w:tr w:rsidR="00BD1E63" w:rsidRPr="0023713D" w:rsidTr="000F51E1">
        <w:tc>
          <w:tcPr>
            <w:tcW w:w="1140" w:type="dxa"/>
          </w:tcPr>
          <w:p w:rsidR="00BD1E63" w:rsidRPr="00776F68" w:rsidRDefault="00BD1E63" w:rsidP="000F51E1">
            <w:pPr>
              <w:spacing w:before="30" w:after="30"/>
              <w:ind w:left="57"/>
              <w:jc w:val="left"/>
              <w:rPr>
                <w:b/>
                <w:bCs/>
                <w:sz w:val="20"/>
                <w:lang w:val="es-ES_tradnl"/>
              </w:rPr>
            </w:pPr>
            <w:r w:rsidRPr="00776F68">
              <w:rPr>
                <w:b/>
                <w:bCs/>
                <w:sz w:val="20"/>
                <w:lang w:val="es-ES_tradnl"/>
              </w:rPr>
              <w:t>TF</w:t>
            </w:r>
          </w:p>
        </w:tc>
        <w:tc>
          <w:tcPr>
            <w:tcW w:w="8220" w:type="dxa"/>
          </w:tcPr>
          <w:p w:rsidR="00BD1E63" w:rsidRPr="00776F68" w:rsidRDefault="00BD1E63" w:rsidP="000F51E1">
            <w:pPr>
              <w:spacing w:before="30" w:after="30"/>
              <w:jc w:val="left"/>
              <w:rPr>
                <w:bCs/>
                <w:sz w:val="20"/>
                <w:lang w:val="es-ES_tradnl"/>
              </w:rPr>
            </w:pPr>
            <w:r w:rsidRPr="00776F68">
              <w:rPr>
                <w:bCs/>
                <w:sz w:val="20"/>
                <w:lang w:val="es-ES_tradnl"/>
              </w:rPr>
              <w:t>Emisiones de frecuencias patrón y señales horarias</w:t>
            </w:r>
          </w:p>
        </w:tc>
      </w:tr>
      <w:tr w:rsidR="00BD1E63" w:rsidRPr="00776F68" w:rsidTr="000F51E1">
        <w:tc>
          <w:tcPr>
            <w:tcW w:w="1140" w:type="dxa"/>
          </w:tcPr>
          <w:p w:rsidR="00BD1E63" w:rsidRPr="00776F68" w:rsidRDefault="00BD1E63" w:rsidP="000F51E1">
            <w:pPr>
              <w:spacing w:before="30" w:after="30"/>
              <w:ind w:left="57"/>
              <w:jc w:val="left"/>
              <w:rPr>
                <w:b/>
                <w:bCs/>
                <w:sz w:val="20"/>
                <w:lang w:val="es-ES_tradnl"/>
              </w:rPr>
            </w:pPr>
            <w:r w:rsidRPr="00776F68">
              <w:rPr>
                <w:b/>
                <w:bCs/>
                <w:sz w:val="20"/>
                <w:lang w:val="es-ES_tradnl"/>
              </w:rPr>
              <w:t>V</w:t>
            </w:r>
          </w:p>
        </w:tc>
        <w:tc>
          <w:tcPr>
            <w:tcW w:w="8220" w:type="dxa"/>
          </w:tcPr>
          <w:p w:rsidR="00BD1E63" w:rsidRPr="00776F68" w:rsidRDefault="00BD1E63" w:rsidP="000F51E1">
            <w:pPr>
              <w:spacing w:before="30" w:after="140"/>
              <w:jc w:val="left"/>
              <w:rPr>
                <w:bCs/>
                <w:sz w:val="20"/>
                <w:lang w:val="es-ES_tradnl"/>
              </w:rPr>
            </w:pPr>
            <w:r w:rsidRPr="00776F68">
              <w:rPr>
                <w:bCs/>
                <w:sz w:val="20"/>
                <w:lang w:val="es-ES_tradnl"/>
              </w:rPr>
              <w:t>Vocabulario y cuestiones afines</w:t>
            </w:r>
          </w:p>
        </w:tc>
      </w:tr>
    </w:tbl>
    <w:p w:rsidR="00BD1E63" w:rsidRPr="00776F68" w:rsidRDefault="00BD1E63" w:rsidP="00BD1E63">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BD1E63" w:rsidRPr="00776F68" w:rsidTr="000F51E1">
        <w:tc>
          <w:tcPr>
            <w:tcW w:w="720" w:type="dxa"/>
          </w:tcPr>
          <w:p w:rsidR="00BD1E63" w:rsidRPr="00776F68" w:rsidRDefault="00BD1E63" w:rsidP="000F51E1">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BD1E63" w:rsidRPr="0023713D" w:rsidTr="000F51E1">
        <w:tc>
          <w:tcPr>
            <w:tcW w:w="9360" w:type="dxa"/>
          </w:tcPr>
          <w:p w:rsidR="00BD1E63" w:rsidRPr="00776F68" w:rsidRDefault="00BD1E63" w:rsidP="000F4AC7">
            <w:pPr>
              <w:spacing w:before="92" w:after="92"/>
              <w:jc w:val="left"/>
              <w:rPr>
                <w:i/>
                <w:iCs/>
                <w:sz w:val="20"/>
                <w:lang w:val="es-ES_tradnl"/>
              </w:rPr>
            </w:pPr>
            <w:r w:rsidRPr="00776F68">
              <w:rPr>
                <w:b/>
                <w:bCs/>
                <w:i/>
                <w:iCs/>
                <w:sz w:val="20"/>
                <w:lang w:val="es-ES_tradnl"/>
              </w:rPr>
              <w:t>Nota</w:t>
            </w:r>
            <w:r w:rsidRPr="00776F68">
              <w:rPr>
                <w:i/>
                <w:iCs/>
                <w:sz w:val="20"/>
                <w:lang w:val="es-ES_tradnl"/>
              </w:rPr>
              <w:t>:</w:t>
            </w:r>
            <w:bookmarkStart w:id="2" w:name="_GoBack"/>
            <w:bookmarkEnd w:id="2"/>
            <w:r w:rsidRPr="00776F68">
              <w:rPr>
                <w:i/>
                <w:iCs/>
                <w:sz w:val="20"/>
                <w:lang w:val="es-ES_tradnl"/>
              </w:rPr>
              <w:t xml:space="preserve"> Esta Recomendación UIT-R fue aprobada en inglés conforme al procedimiento detallado en la Resolución</w:t>
            </w:r>
            <w:r w:rsidR="009F5337">
              <w:rPr>
                <w:i/>
                <w:iCs/>
                <w:sz w:val="20"/>
                <w:lang w:val="es-ES_tradnl"/>
              </w:rPr>
              <w:t> </w:t>
            </w:r>
            <w:r w:rsidRPr="00776F68">
              <w:rPr>
                <w:i/>
                <w:iCs/>
                <w:sz w:val="20"/>
                <w:lang w:val="es-ES_tradnl"/>
              </w:rPr>
              <w:t>UIT-R 1.</w:t>
            </w:r>
          </w:p>
        </w:tc>
      </w:tr>
    </w:tbl>
    <w:p w:rsidR="00BD1E63" w:rsidRPr="00776F68" w:rsidRDefault="00BD1E63" w:rsidP="00BD1E63">
      <w:pPr>
        <w:spacing w:before="0"/>
        <w:jc w:val="center"/>
        <w:rPr>
          <w:sz w:val="22"/>
          <w:lang w:val="es-ES_tradnl"/>
        </w:rPr>
      </w:pPr>
    </w:p>
    <w:p w:rsidR="00BD1E63" w:rsidRPr="00776F68" w:rsidRDefault="00BD1E63" w:rsidP="00BD1E63">
      <w:pPr>
        <w:spacing w:before="60"/>
        <w:jc w:val="right"/>
        <w:rPr>
          <w:i/>
          <w:iCs/>
          <w:sz w:val="20"/>
          <w:lang w:val="es-ES_tradnl"/>
        </w:rPr>
      </w:pPr>
      <w:r w:rsidRPr="00776F68">
        <w:rPr>
          <w:i/>
          <w:iCs/>
          <w:sz w:val="20"/>
          <w:lang w:val="es-ES_tradnl"/>
        </w:rPr>
        <w:t>Publicación electrónica</w:t>
      </w:r>
    </w:p>
    <w:p w:rsidR="00BD1E63" w:rsidRPr="00776F68" w:rsidRDefault="00BD1E63" w:rsidP="00BD1E63">
      <w:pPr>
        <w:spacing w:before="0" w:after="40"/>
        <w:jc w:val="right"/>
        <w:rPr>
          <w:sz w:val="20"/>
          <w:lang w:val="es-ES_tradnl"/>
        </w:rPr>
      </w:pPr>
      <w:r w:rsidRPr="00776F68">
        <w:rPr>
          <w:sz w:val="20"/>
          <w:lang w:val="es-ES_tradnl"/>
        </w:rPr>
        <w:t>Ginebra, 2016</w:t>
      </w:r>
    </w:p>
    <w:p w:rsidR="00BD1E63" w:rsidRPr="00776F68" w:rsidRDefault="00BD1E63" w:rsidP="00BD1E63">
      <w:pPr>
        <w:spacing w:before="0"/>
        <w:jc w:val="center"/>
        <w:rPr>
          <w:sz w:val="22"/>
          <w:lang w:val="es-ES_tradnl"/>
        </w:rPr>
      </w:pPr>
    </w:p>
    <w:p w:rsidR="00BD1E63" w:rsidRPr="00776F68" w:rsidRDefault="00BD1E63" w:rsidP="00BD1E63">
      <w:pPr>
        <w:spacing w:before="0"/>
        <w:jc w:val="center"/>
        <w:rPr>
          <w:sz w:val="20"/>
          <w:lang w:val="es-ES_tradnl"/>
        </w:rPr>
      </w:pPr>
      <w:r w:rsidRPr="00776F68">
        <w:rPr>
          <w:sz w:val="20"/>
          <w:lang w:val="es-ES_tradnl"/>
        </w:rPr>
        <w:sym w:font="Symbol" w:char="F0E3"/>
      </w:r>
      <w:r w:rsidRPr="00776F68">
        <w:rPr>
          <w:sz w:val="20"/>
          <w:lang w:val="es-ES_tradnl"/>
        </w:rPr>
        <w:t xml:space="preserve"> UIT </w:t>
      </w:r>
      <w:bookmarkStart w:id="3" w:name="iiannee"/>
      <w:bookmarkEnd w:id="3"/>
      <w:r w:rsidRPr="00776F68">
        <w:rPr>
          <w:sz w:val="20"/>
          <w:lang w:val="es-ES_tradnl"/>
        </w:rPr>
        <w:t>2016</w:t>
      </w:r>
    </w:p>
    <w:p w:rsidR="00BD1E63" w:rsidRPr="00776F68" w:rsidRDefault="00BD1E63" w:rsidP="00BD1E63">
      <w:pPr>
        <w:spacing w:before="80"/>
        <w:rPr>
          <w:sz w:val="18"/>
          <w:szCs w:val="18"/>
          <w:lang w:val="es-ES_tradnl"/>
        </w:rPr>
      </w:pPr>
      <w:r w:rsidRPr="00776F68">
        <w:rPr>
          <w:sz w:val="18"/>
          <w:szCs w:val="18"/>
          <w:lang w:val="es-ES_tradnl"/>
        </w:rPr>
        <w:t>Reservados todos los derechos. Ninguna parte de esta publicación puede reproducirse por ningún procedimiento sin previa autorización escrita por parte de la UIT.</w:t>
      </w:r>
    </w:p>
    <w:p w:rsidR="00BD1E63" w:rsidRPr="00776F68" w:rsidRDefault="00BD1E63" w:rsidP="00BD1E63">
      <w:pPr>
        <w:spacing w:before="160"/>
        <w:rPr>
          <w:i/>
          <w:sz w:val="20"/>
          <w:highlight w:val="yellow"/>
          <w:lang w:val="es-ES_tradnl"/>
        </w:rPr>
        <w:sectPr w:rsidR="00BD1E63" w:rsidRPr="00776F68" w:rsidSect="00D62884">
          <w:headerReference w:type="even" r:id="rId12"/>
          <w:headerReference w:type="default" r:id="rId13"/>
          <w:pgSz w:w="11907" w:h="16834" w:code="9"/>
          <w:pgMar w:top="1418" w:right="1134" w:bottom="1134" w:left="1134" w:header="720" w:footer="482" w:gutter="0"/>
          <w:pgNumType w:fmt="lowerRoman" w:start="2"/>
          <w:cols w:space="720"/>
        </w:sectPr>
      </w:pPr>
    </w:p>
    <w:p w:rsidR="00BD1E63" w:rsidRPr="00776F68" w:rsidRDefault="00BD1E63" w:rsidP="00BD1E63">
      <w:pPr>
        <w:pStyle w:val="RecNo"/>
        <w:spacing w:before="0"/>
        <w:rPr>
          <w:lang w:val="es-ES_tradnl"/>
        </w:rPr>
      </w:pPr>
      <w:bookmarkStart w:id="4" w:name="irecnoe"/>
      <w:bookmarkEnd w:id="4"/>
      <w:r w:rsidRPr="00776F68">
        <w:rPr>
          <w:lang w:val="es-ES_tradnl"/>
        </w:rPr>
        <w:t xml:space="preserve">RECOMENDACIÓN  </w:t>
      </w:r>
      <w:r w:rsidRPr="00776F68">
        <w:rPr>
          <w:rStyle w:val="href"/>
          <w:lang w:val="es-ES_tradnl"/>
        </w:rPr>
        <w:t>UIT-R  SM.1880-1</w:t>
      </w:r>
    </w:p>
    <w:p w:rsidR="00BD1E63" w:rsidRPr="00776F68" w:rsidRDefault="00BD1E63" w:rsidP="00BD1E63">
      <w:pPr>
        <w:pStyle w:val="Rectitle"/>
        <w:rPr>
          <w:lang w:val="es-ES_tradnl"/>
        </w:rPr>
      </w:pPr>
      <w:r w:rsidRPr="00776F68">
        <w:rPr>
          <w:lang w:val="es-ES_tradnl"/>
        </w:rPr>
        <w:t>Medición y evaluación de la ocupación del espectro</w:t>
      </w:r>
    </w:p>
    <w:p w:rsidR="00BD1E63" w:rsidRPr="00776F68" w:rsidRDefault="00BD1E63" w:rsidP="00BD1E63">
      <w:pPr>
        <w:pStyle w:val="Blanc"/>
        <w:rPr>
          <w:lang w:val="es-ES_tradnl"/>
        </w:rPr>
      </w:pPr>
    </w:p>
    <w:p w:rsidR="00BD1E63" w:rsidRPr="00776F68" w:rsidRDefault="00BD1E63" w:rsidP="00BD1E63">
      <w:pPr>
        <w:pStyle w:val="Repdate"/>
        <w:rPr>
          <w:lang w:val="es-ES_tradnl"/>
        </w:rPr>
      </w:pPr>
      <w:r w:rsidRPr="00776F68">
        <w:rPr>
          <w:lang w:val="es-ES_tradnl"/>
        </w:rPr>
        <w:t>(2011-2015)</w:t>
      </w:r>
    </w:p>
    <w:p w:rsidR="00BD1E63" w:rsidRPr="00776F68" w:rsidRDefault="00BD1E63" w:rsidP="00BD1E63">
      <w:pPr>
        <w:pStyle w:val="Blanc"/>
        <w:rPr>
          <w:lang w:val="es-ES_tradnl"/>
        </w:rPr>
      </w:pPr>
    </w:p>
    <w:p w:rsidR="00BD1E63" w:rsidRPr="00776F68" w:rsidRDefault="00BD1E63" w:rsidP="00BD1E63">
      <w:pPr>
        <w:pStyle w:val="HeadingSum"/>
        <w:jc w:val="left"/>
      </w:pPr>
      <w:r w:rsidRPr="00776F68">
        <w:t>Cometido</w:t>
      </w:r>
    </w:p>
    <w:p w:rsidR="00BD1E63" w:rsidRPr="00776F68" w:rsidRDefault="00BD1E63" w:rsidP="00E9538D">
      <w:pPr>
        <w:pStyle w:val="Summary"/>
      </w:pPr>
      <w:r w:rsidRPr="00776F68">
        <w:t>Aunque las mediciones automáticas de la ocupación del espectro nunca sustituirán completamente a las observaciones manuales, siguen siendo muy adecuadas en la mayoría de los casos. La ocupación de canales de frecuencia así como la ocupación de las bandas de frecuencias debe tener un cierto nivel de precisión para que puedan compararse o fusionarse si es necesario. Utilizando la técnica y los métodos adecuados es posible lograr un empleo más eficaz de los equipos existentes.</w:t>
      </w:r>
    </w:p>
    <w:p w:rsidR="00BD1E63" w:rsidRPr="00776F68" w:rsidRDefault="00BD1E63" w:rsidP="00BD1E63">
      <w:pPr>
        <w:pStyle w:val="Headingb"/>
        <w:rPr>
          <w:lang w:val="es-ES_tradnl"/>
        </w:rPr>
      </w:pPr>
      <w:r w:rsidRPr="00776F68">
        <w:rPr>
          <w:lang w:val="es-ES_tradnl"/>
        </w:rPr>
        <w:t>Palabras clave</w:t>
      </w:r>
    </w:p>
    <w:p w:rsidR="00BD1E63" w:rsidRPr="00776F68" w:rsidRDefault="00CF694A" w:rsidP="00E9538D">
      <w:pPr>
        <w:rPr>
          <w:lang w:val="es-ES_tradnl"/>
        </w:rPr>
      </w:pPr>
      <w:r w:rsidRPr="00776F68">
        <w:rPr>
          <w:lang w:val="es-ES_tradnl"/>
        </w:rPr>
        <w:t>Hora cargada</w:t>
      </w:r>
      <w:r>
        <w:rPr>
          <w:lang w:val="es-ES_tradnl"/>
        </w:rPr>
        <w:t>,</w:t>
      </w:r>
      <w:r w:rsidRPr="00776F68">
        <w:rPr>
          <w:lang w:val="es-ES_tradnl"/>
        </w:rPr>
        <w:t xml:space="preserve"> mediciones </w:t>
      </w:r>
      <w:r w:rsidR="00BD1E63" w:rsidRPr="00776F68">
        <w:rPr>
          <w:lang w:val="es-ES_tradnl"/>
        </w:rPr>
        <w:t>de la ocupación del espectro, ocupación del canal de fr</w:t>
      </w:r>
      <w:r>
        <w:rPr>
          <w:lang w:val="es-ES_tradnl"/>
        </w:rPr>
        <w:t>ecuencias, tiempo de iteración</w:t>
      </w:r>
    </w:p>
    <w:p w:rsidR="00E9538D" w:rsidRPr="00776F68" w:rsidRDefault="00E9538D" w:rsidP="00E9538D">
      <w:pPr>
        <w:pStyle w:val="Blanc"/>
        <w:rPr>
          <w:lang w:val="es-ES_tradnl"/>
        </w:rPr>
      </w:pPr>
    </w:p>
    <w:p w:rsidR="00BD1E63" w:rsidRPr="00776F68" w:rsidRDefault="00BD1E63" w:rsidP="00BD1E63">
      <w:pPr>
        <w:pStyle w:val="Normalaftertitle"/>
        <w:rPr>
          <w:lang w:val="es-ES_tradnl"/>
        </w:rPr>
      </w:pPr>
      <w:r w:rsidRPr="00776F68">
        <w:rPr>
          <w:lang w:val="es-ES_tradnl"/>
        </w:rPr>
        <w:t>La Asamblea de Radiocomunicaciones de la UIT,</w:t>
      </w:r>
    </w:p>
    <w:p w:rsidR="00BD1E63" w:rsidRPr="00776F68" w:rsidRDefault="00BD1E63" w:rsidP="00BD1E63">
      <w:pPr>
        <w:pStyle w:val="Call"/>
        <w:rPr>
          <w:lang w:val="es-ES_tradnl"/>
        </w:rPr>
      </w:pPr>
      <w:r w:rsidRPr="00776F68">
        <w:rPr>
          <w:lang w:val="es-ES_tradnl"/>
        </w:rPr>
        <w:t>considerando</w:t>
      </w:r>
    </w:p>
    <w:p w:rsidR="00BD1E63" w:rsidRPr="00776F68" w:rsidRDefault="00BD1E63" w:rsidP="00BD1E63">
      <w:pPr>
        <w:rPr>
          <w:lang w:val="es-ES_tradnl"/>
        </w:rPr>
      </w:pPr>
      <w:r w:rsidRPr="00776F68">
        <w:rPr>
          <w:i/>
          <w:iCs/>
          <w:lang w:val="es-ES_tradnl"/>
        </w:rPr>
        <w:t>a)</w:t>
      </w:r>
      <w:r w:rsidRPr="00776F68">
        <w:rPr>
          <w:lang w:val="es-ES_tradnl"/>
        </w:rPr>
        <w:tab/>
        <w:t>que el aumento constante de la demanda de servicios de radiocomunicaciones exige la utilización más eficaz del espectro de radiofrecuencias;</w:t>
      </w:r>
    </w:p>
    <w:p w:rsidR="00BD1E63" w:rsidRPr="00776F68" w:rsidRDefault="00BD1E63" w:rsidP="00BD1E63">
      <w:pPr>
        <w:rPr>
          <w:lang w:val="es-ES_tradnl"/>
        </w:rPr>
      </w:pPr>
      <w:r w:rsidRPr="00776F68">
        <w:rPr>
          <w:i/>
          <w:iCs/>
          <w:lang w:val="es-ES_tradnl"/>
        </w:rPr>
        <w:t>b)</w:t>
      </w:r>
      <w:r w:rsidRPr="00776F68">
        <w:rPr>
          <w:lang w:val="es-ES_tradnl"/>
        </w:rPr>
        <w:tab/>
        <w:t>que una buena gestión del espectro sólo puede hacerse de manera satisfactoria si se informa adecuadamente a los gestores del espectro sobre la utilización actual del espectro y las tendencias de su demanda;</w:t>
      </w:r>
    </w:p>
    <w:p w:rsidR="00BD1E63" w:rsidRPr="00776F68" w:rsidRDefault="00BD1E63" w:rsidP="00BD1E63">
      <w:pPr>
        <w:rPr>
          <w:lang w:val="es-ES_tradnl"/>
        </w:rPr>
      </w:pPr>
      <w:r w:rsidRPr="00776F68">
        <w:rPr>
          <w:i/>
          <w:iCs/>
          <w:lang w:val="es-ES_tradnl"/>
        </w:rPr>
        <w:t>c)</w:t>
      </w:r>
      <w:r w:rsidRPr="00776F68">
        <w:rPr>
          <w:lang w:val="es-ES_tradnl"/>
        </w:rPr>
        <w:tab/>
        <w:t>que los resultados de las mediciones de ocupación del espectro ofrecen información importante sobre:</w:t>
      </w:r>
    </w:p>
    <w:p w:rsidR="00BD1E63" w:rsidRPr="00776F68" w:rsidRDefault="00BD1E63" w:rsidP="00BD1E63">
      <w:pPr>
        <w:pStyle w:val="enumlev1"/>
        <w:rPr>
          <w:lang w:val="es-ES_tradnl"/>
        </w:rPr>
      </w:pPr>
      <w:r w:rsidRPr="00776F68">
        <w:rPr>
          <w:lang w:val="es-ES_tradnl"/>
        </w:rPr>
        <w:t>–</w:t>
      </w:r>
      <w:r w:rsidRPr="00776F68">
        <w:rPr>
          <w:lang w:val="es-ES_tradnl"/>
        </w:rPr>
        <w:tab/>
        <w:t>asignación y adjudicación de frecuencias;</w:t>
      </w:r>
    </w:p>
    <w:p w:rsidR="00BD1E63" w:rsidRPr="00776F68" w:rsidRDefault="00BD1E63" w:rsidP="00BD1E63">
      <w:pPr>
        <w:pStyle w:val="enumlev1"/>
        <w:rPr>
          <w:lang w:val="es-ES_tradnl"/>
        </w:rPr>
      </w:pPr>
      <w:r w:rsidRPr="00776F68">
        <w:rPr>
          <w:lang w:val="es-ES_tradnl"/>
        </w:rPr>
        <w:t>–</w:t>
      </w:r>
      <w:r w:rsidRPr="00776F68">
        <w:rPr>
          <w:lang w:val="es-ES_tradnl"/>
        </w:rPr>
        <w:tab/>
        <w:t>verificación de quejas relativas al bloqueo de canales;</w:t>
      </w:r>
    </w:p>
    <w:p w:rsidR="00BD1E63" w:rsidRPr="00776F68" w:rsidRDefault="00BD1E63" w:rsidP="00BD1E63">
      <w:pPr>
        <w:pStyle w:val="enumlev1"/>
        <w:rPr>
          <w:lang w:val="es-ES_tradnl"/>
        </w:rPr>
      </w:pPr>
      <w:r w:rsidRPr="00776F68">
        <w:rPr>
          <w:lang w:val="es-ES_tradnl"/>
        </w:rPr>
        <w:t>–</w:t>
      </w:r>
      <w:r w:rsidRPr="00776F68">
        <w:rPr>
          <w:lang w:val="es-ES_tradnl"/>
        </w:rPr>
        <w:tab/>
        <w:t>determinación del grado de eficacia de la utilización del espectro;</w:t>
      </w:r>
    </w:p>
    <w:p w:rsidR="00BD1E63" w:rsidRPr="00776F68" w:rsidRDefault="00BD1E63" w:rsidP="00BD1E63">
      <w:pPr>
        <w:rPr>
          <w:lang w:val="es-ES_tradnl"/>
        </w:rPr>
      </w:pPr>
      <w:r w:rsidRPr="00776F68">
        <w:rPr>
          <w:i/>
          <w:iCs/>
          <w:lang w:val="es-ES_tradnl"/>
        </w:rPr>
        <w:t>d)</w:t>
      </w:r>
      <w:r w:rsidRPr="00776F68">
        <w:rPr>
          <w:lang w:val="es-ES_tradnl"/>
        </w:rPr>
        <w:tab/>
        <w:t>que la información obtenida de las bases de datos sobre las frecuencias asignadas no muestra el grado de utilización de cada canal de frecuencias;</w:t>
      </w:r>
    </w:p>
    <w:p w:rsidR="00BD1E63" w:rsidRPr="00776F68" w:rsidRDefault="00BD1E63" w:rsidP="00BD1E63">
      <w:pPr>
        <w:rPr>
          <w:lang w:val="es-ES_tradnl"/>
        </w:rPr>
      </w:pPr>
      <w:r w:rsidRPr="00776F68">
        <w:rPr>
          <w:i/>
          <w:iCs/>
          <w:lang w:val="es-ES_tradnl"/>
        </w:rPr>
        <w:t>e)</w:t>
      </w:r>
      <w:r w:rsidRPr="00776F68">
        <w:rPr>
          <w:lang w:val="es-ES_tradnl"/>
        </w:rPr>
        <w:tab/>
        <w:t>que algunas administraciones asignan la misma frecuencia a más de un usuario para su utilización compartida;</w:t>
      </w:r>
    </w:p>
    <w:p w:rsidR="00BD1E63" w:rsidRPr="00776F68" w:rsidRDefault="00BD1E63" w:rsidP="00BD1E63">
      <w:pPr>
        <w:rPr>
          <w:lang w:val="es-ES_tradnl"/>
        </w:rPr>
      </w:pPr>
      <w:r w:rsidRPr="00776F68">
        <w:rPr>
          <w:i/>
          <w:iCs/>
          <w:lang w:val="es-ES_tradnl"/>
        </w:rPr>
        <w:t>f)</w:t>
      </w:r>
      <w:r w:rsidRPr="00776F68">
        <w:rPr>
          <w:lang w:val="es-ES_tradnl"/>
        </w:rPr>
        <w:tab/>
        <w:t>que es conveniente comparar los resultados de las mediciones realizadas por distintos países en las zonas fronterizas o, por ejemplo, en bandas de los servicios móviles aeronáuticos o marítimos;</w:t>
      </w:r>
    </w:p>
    <w:p w:rsidR="00BD1E63" w:rsidRPr="00776F68" w:rsidRDefault="00BD1E63" w:rsidP="00BD1E63">
      <w:pPr>
        <w:rPr>
          <w:lang w:val="es-ES_tradnl"/>
        </w:rPr>
      </w:pPr>
      <w:r w:rsidRPr="00776F68">
        <w:rPr>
          <w:i/>
          <w:iCs/>
          <w:lang w:val="es-ES_tradnl"/>
        </w:rPr>
        <w:t>g)</w:t>
      </w:r>
      <w:r w:rsidRPr="00776F68">
        <w:rPr>
          <w:lang w:val="es-ES_tradnl"/>
        </w:rPr>
        <w:tab/>
        <w:t>que las administraciones emplean actualmente equipos de comprobación técnica automática, incluidos los métodos para el análisis de grabaciones, y puede evaluarse un cierto número de parámetros de considerable valor para permitir una utilización más eficaz del espectro;</w:t>
      </w:r>
    </w:p>
    <w:p w:rsidR="00BD1E63" w:rsidRPr="00776F68" w:rsidRDefault="00BD1E63" w:rsidP="00BD1E63">
      <w:pPr>
        <w:rPr>
          <w:lang w:val="es-ES_tradnl"/>
        </w:rPr>
      </w:pPr>
      <w:r w:rsidRPr="00776F68">
        <w:rPr>
          <w:i/>
          <w:iCs/>
          <w:lang w:val="es-ES_tradnl"/>
        </w:rPr>
        <w:t>h)</w:t>
      </w:r>
      <w:r w:rsidRPr="00776F68">
        <w:rPr>
          <w:lang w:val="es-ES_tradnl"/>
        </w:rPr>
        <w:tab/>
        <w:t>que al diseñar un sistema automatizado de recogida de datos sobre ocupación para utilizarlos en la gestión del espectro es necesario determinar qué parámetros van a medirse, la relación entre estos parámetros y la periodicidad con que deben realizarse las mediciones para garantizar que los datos son estadísticamente significativos;</w:t>
      </w:r>
    </w:p>
    <w:p w:rsidR="00BD1E63" w:rsidRPr="00776F68" w:rsidRDefault="00BD1E63" w:rsidP="00BD1E63">
      <w:pPr>
        <w:rPr>
          <w:lang w:val="es-ES_tradnl"/>
        </w:rPr>
      </w:pPr>
      <w:r w:rsidRPr="00776F68">
        <w:rPr>
          <w:i/>
          <w:iCs/>
          <w:lang w:val="es-ES_tradnl"/>
        </w:rPr>
        <w:t>i)</w:t>
      </w:r>
      <w:r w:rsidRPr="00776F68">
        <w:rPr>
          <w:lang w:val="es-ES_tradnl"/>
        </w:rPr>
        <w:tab/>
        <w:t>que deben armonizarse los procedimientos y técnicas de medición para facilitar el intercambio de los resultados de las mediciones entre los distintos países;</w:t>
      </w:r>
    </w:p>
    <w:p w:rsidR="00BD1E63" w:rsidRPr="00776F68" w:rsidRDefault="00BD1E63" w:rsidP="00BD1E63">
      <w:pPr>
        <w:rPr>
          <w:lang w:val="es-ES_tradnl"/>
        </w:rPr>
      </w:pPr>
      <w:r w:rsidRPr="00776F68">
        <w:rPr>
          <w:i/>
          <w:iCs/>
          <w:lang w:val="es-ES_tradnl"/>
        </w:rPr>
        <w:t>j)</w:t>
      </w:r>
      <w:r w:rsidRPr="00776F68">
        <w:rPr>
          <w:lang w:val="es-ES_tradnl"/>
        </w:rPr>
        <w:tab/>
        <w:t>que la integración o combinación con éxito de los datos de comprobación técnica no sólo depende del formato en que éstos se almacenan sino también de las condiciones técnicas y ambientales existentes en el momento de su recopilación,</w:t>
      </w:r>
    </w:p>
    <w:p w:rsidR="00BD1E63" w:rsidRPr="00776F68" w:rsidRDefault="00BD1E63" w:rsidP="00BD1E63">
      <w:pPr>
        <w:pStyle w:val="Call"/>
        <w:rPr>
          <w:lang w:val="es-ES_tradnl"/>
        </w:rPr>
      </w:pPr>
      <w:r w:rsidRPr="00776F68">
        <w:rPr>
          <w:lang w:val="es-ES_tradnl"/>
        </w:rPr>
        <w:t>reconociendo</w:t>
      </w:r>
    </w:p>
    <w:p w:rsidR="00BD1E63" w:rsidRPr="00776F68" w:rsidRDefault="00BD1E63" w:rsidP="00BD1E63">
      <w:pPr>
        <w:rPr>
          <w:lang w:val="es-ES_tradnl"/>
        </w:rPr>
      </w:pPr>
      <w:r w:rsidRPr="00776F68">
        <w:rPr>
          <w:i/>
          <w:iCs/>
          <w:lang w:val="es-ES_tradnl"/>
        </w:rPr>
        <w:t>a)</w:t>
      </w:r>
      <w:r w:rsidRPr="00776F68">
        <w:rPr>
          <w:lang w:val="es-ES_tradnl"/>
        </w:rPr>
        <w:tab/>
        <w:t>que en los distintos países se usan varios principios y métodos de medición de la ocupación del espectro;</w:t>
      </w:r>
    </w:p>
    <w:p w:rsidR="00BD1E63" w:rsidRPr="00776F68" w:rsidRDefault="00BD1E63" w:rsidP="00BD1E63">
      <w:pPr>
        <w:rPr>
          <w:lang w:val="es-ES_tradnl"/>
        </w:rPr>
      </w:pPr>
      <w:r w:rsidRPr="00776F68">
        <w:rPr>
          <w:i/>
          <w:iCs/>
          <w:lang w:val="es-ES_tradnl"/>
        </w:rPr>
        <w:t>b)</w:t>
      </w:r>
      <w:r w:rsidRPr="00776F68">
        <w:rPr>
          <w:lang w:val="es-ES_tradnl"/>
        </w:rPr>
        <w:tab/>
        <w:t>que existe un método en particular para recoger con gran precisión datos sobre la ocupación de los canales de frecuencia y que tales datos normalmente constituyen la base para determinar la ocupación real de las bandas de frecuencias,</w:t>
      </w:r>
    </w:p>
    <w:p w:rsidR="00BD1E63" w:rsidRPr="00776F68" w:rsidRDefault="00BD1E63" w:rsidP="00BD1E63">
      <w:pPr>
        <w:pStyle w:val="Call"/>
        <w:rPr>
          <w:lang w:val="es-ES_tradnl"/>
        </w:rPr>
      </w:pPr>
      <w:r w:rsidRPr="00776F68">
        <w:rPr>
          <w:lang w:val="es-ES_tradnl"/>
        </w:rPr>
        <w:t>recomienda</w:t>
      </w:r>
    </w:p>
    <w:p w:rsidR="00BD1E63" w:rsidRPr="00776F68" w:rsidRDefault="00BD1E63" w:rsidP="000D7F71">
      <w:pPr>
        <w:rPr>
          <w:lang w:val="es-ES_tradnl"/>
        </w:rPr>
      </w:pPr>
      <w:r w:rsidRPr="00776F68">
        <w:rPr>
          <w:b/>
          <w:bCs/>
          <w:lang w:val="es-ES_tradnl"/>
        </w:rPr>
        <w:t>1</w:t>
      </w:r>
      <w:r w:rsidRPr="00776F68">
        <w:rPr>
          <w:b/>
          <w:bCs/>
          <w:lang w:val="es-ES_tradnl"/>
        </w:rPr>
        <w:tab/>
      </w:r>
      <w:r w:rsidRPr="00776F68">
        <w:rPr>
          <w:lang w:val="es-ES_tradnl"/>
        </w:rPr>
        <w:t>que se utilicen las técnicas y los procedimientos de medición descritos en el Anexo</w:t>
      </w:r>
      <w:r w:rsidR="000D7F71">
        <w:rPr>
          <w:lang w:val="es-ES_tradnl"/>
        </w:rPr>
        <w:t> </w:t>
      </w:r>
      <w:r w:rsidRPr="00776F68">
        <w:rPr>
          <w:lang w:val="es-ES_tradnl"/>
        </w:rPr>
        <w:t>1 para realizar las mediciones de la ocupación de los canales de frecuencia;</w:t>
      </w:r>
    </w:p>
    <w:p w:rsidR="00BD1E63" w:rsidRPr="00776F68" w:rsidRDefault="00BD1E63" w:rsidP="00355398">
      <w:pPr>
        <w:rPr>
          <w:lang w:val="es-ES_tradnl"/>
        </w:rPr>
      </w:pPr>
      <w:r w:rsidRPr="00776F68">
        <w:rPr>
          <w:b/>
          <w:bCs/>
          <w:lang w:val="es-ES_tradnl"/>
        </w:rPr>
        <w:t>2</w:t>
      </w:r>
      <w:r w:rsidRPr="00776F68">
        <w:rPr>
          <w:lang w:val="es-ES_tradnl"/>
        </w:rPr>
        <w:tab/>
        <w:t>que se utilicen el Informe UIT-R</w:t>
      </w:r>
      <w:r w:rsidR="00355398" w:rsidRPr="00776F68">
        <w:rPr>
          <w:lang w:val="es-ES_tradnl"/>
        </w:rPr>
        <w:t> </w:t>
      </w:r>
      <w:r w:rsidRPr="00776F68">
        <w:rPr>
          <w:lang w:val="es-ES_tradnl"/>
        </w:rPr>
        <w:t>SM.2256 y el Manual de comprobación técnica del espectro de la UIT en vigor como guía para realizar las mediciones de ocupación del espectro y que los equipos satisfagan los requisitos mencionados en dicho Manual;</w:t>
      </w:r>
    </w:p>
    <w:p w:rsidR="00BD1E63" w:rsidRPr="00776F68" w:rsidRDefault="00BD1E63" w:rsidP="00BD1E63">
      <w:pPr>
        <w:rPr>
          <w:lang w:val="es-ES_tradnl"/>
        </w:rPr>
      </w:pPr>
      <w:r w:rsidRPr="00776F68">
        <w:rPr>
          <w:b/>
          <w:bCs/>
          <w:lang w:val="es-ES_tradnl"/>
        </w:rPr>
        <w:t>3</w:t>
      </w:r>
      <w:r w:rsidRPr="00776F68">
        <w:rPr>
          <w:lang w:val="es-ES_tradnl"/>
        </w:rPr>
        <w:tab/>
        <w:t xml:space="preserve">que con arreglo a la Recomendación UIT-R SM.1809 se utilice un formato de datos común, consistente en un fichero ASCII por líneas obtenido del formato de datos para la comprobación técnica radioeléctrica (RMDF, </w:t>
      </w:r>
      <w:r w:rsidRPr="00776F68">
        <w:rPr>
          <w:i/>
          <w:iCs/>
          <w:lang w:val="es-ES_tradnl"/>
        </w:rPr>
        <w:t>radio monitoring data format</w:t>
      </w:r>
      <w:r w:rsidRPr="00776F68">
        <w:rPr>
          <w:lang w:val="es-ES_tradnl"/>
        </w:rPr>
        <w:t>).</w:t>
      </w:r>
    </w:p>
    <w:p w:rsidR="00BD1E63" w:rsidRPr="00776F68" w:rsidRDefault="00BD1E63" w:rsidP="00BD1E63">
      <w:pPr>
        <w:rPr>
          <w:lang w:val="es-ES_tradnl"/>
        </w:rPr>
      </w:pPr>
    </w:p>
    <w:p w:rsidR="00BD1E63" w:rsidRPr="00776F68" w:rsidRDefault="00BD1E63" w:rsidP="00BD1E63">
      <w:pPr>
        <w:rPr>
          <w:lang w:val="es-ES_tradnl"/>
        </w:rPr>
      </w:pPr>
    </w:p>
    <w:p w:rsidR="00BD1E63" w:rsidRPr="00776F68" w:rsidRDefault="00BD1E63" w:rsidP="00BD1E63">
      <w:pPr>
        <w:rPr>
          <w:lang w:val="es-ES_tradnl"/>
        </w:rPr>
      </w:pPr>
    </w:p>
    <w:p w:rsidR="00BD1E63" w:rsidRPr="00776F68" w:rsidRDefault="00BD1E63" w:rsidP="00BD1E63">
      <w:pPr>
        <w:pStyle w:val="AnnexNoTitle"/>
        <w:rPr>
          <w:lang w:val="es-ES_tradnl"/>
        </w:rPr>
      </w:pPr>
      <w:r w:rsidRPr="00776F68">
        <w:rPr>
          <w:lang w:val="es-ES_tradnl"/>
        </w:rPr>
        <w:t>Anexo 1</w:t>
      </w:r>
    </w:p>
    <w:p w:rsidR="00BD1E63" w:rsidRPr="00776F68" w:rsidRDefault="00BD1E63" w:rsidP="00BD1E63">
      <w:pPr>
        <w:pStyle w:val="Heading1"/>
        <w:rPr>
          <w:lang w:val="es-ES_tradnl"/>
        </w:rPr>
      </w:pPr>
      <w:r w:rsidRPr="00776F68">
        <w:rPr>
          <w:lang w:val="es-ES_tradnl"/>
        </w:rPr>
        <w:t>1</w:t>
      </w:r>
      <w:r w:rsidRPr="00776F68">
        <w:rPr>
          <w:lang w:val="es-ES_tradnl"/>
        </w:rPr>
        <w:tab/>
        <w:t>Introducción</w:t>
      </w:r>
    </w:p>
    <w:p w:rsidR="00BD1E63" w:rsidRPr="00776F68" w:rsidRDefault="00BD1E63" w:rsidP="00BD1E63">
      <w:pPr>
        <w:rPr>
          <w:lang w:val="es-ES_tradnl"/>
        </w:rPr>
      </w:pPr>
      <w:r w:rsidRPr="00776F68">
        <w:rPr>
          <w:lang w:val="es-ES_tradnl"/>
        </w:rPr>
        <w:t>En este Anexo se describen las mediciones de la ocupación de canal de frecuencias llevadas a cabo normalmente con un receptor o un analizador de espectro. Se almacena la intensidad de la señal de cada paso de frecuencia. Por medio de tratamiento ulterior, se determina el porcentaje de tiempo en el que la señal está por encima de un cierto nivel umbral. En el Informe UIT-R SM.2256 (Anexo 1) se presenta un ejemplo de procedimiento de ese tratamiento ulterior. Diferentes usuarios de un canal producen a menudo distintos valores de intensidad de campo en el receptor. Esto permite calcular y presentar la ocupación por parte de diferentes usuarios.</w:t>
      </w:r>
    </w:p>
    <w:p w:rsidR="00BD1E63" w:rsidRPr="00776F68" w:rsidRDefault="00BD1E63" w:rsidP="00BD1E63">
      <w:pPr>
        <w:pStyle w:val="Heading1"/>
        <w:rPr>
          <w:lang w:val="es-ES_tradnl"/>
        </w:rPr>
      </w:pPr>
      <w:r w:rsidRPr="00776F68">
        <w:rPr>
          <w:lang w:val="es-ES_tradnl"/>
        </w:rPr>
        <w:t>2</w:t>
      </w:r>
      <w:r w:rsidRPr="00776F68">
        <w:rPr>
          <w:lang w:val="es-ES_tradnl"/>
        </w:rPr>
        <w:tab/>
        <w:t>Definiciones</w:t>
      </w:r>
    </w:p>
    <w:p w:rsidR="00BD1E63" w:rsidRPr="00776F68" w:rsidRDefault="00BD1E63" w:rsidP="00BD1E63">
      <w:pPr>
        <w:rPr>
          <w:lang w:val="es-ES_tradnl"/>
        </w:rPr>
      </w:pPr>
      <w:r w:rsidRPr="00776F68">
        <w:rPr>
          <w:b/>
          <w:bCs/>
          <w:lang w:val="es-ES_tradnl"/>
        </w:rPr>
        <w:t>Medición de la ocupación de canal de frecuencia</w:t>
      </w:r>
      <w:r w:rsidRPr="00776F68">
        <w:rPr>
          <w:lang w:val="es-ES_tradnl"/>
        </w:rPr>
        <w:t>: Mediciones de canales, no necesariamente separados por la misma distancia de canal, y posiblemente dispersos a lo largo de varias bandas de frecuencias, para determinar si un canal está ocupado o no. El objetivo es medir, en el menor tiempo posible, tantos canales como se pueda.</w:t>
      </w:r>
    </w:p>
    <w:p w:rsidR="00BD1E63" w:rsidRPr="00776F68" w:rsidRDefault="00BD1E63" w:rsidP="00BD1E63">
      <w:pPr>
        <w:rPr>
          <w:lang w:val="es-ES_tradnl"/>
        </w:rPr>
      </w:pPr>
      <w:r w:rsidRPr="00776F68">
        <w:rPr>
          <w:b/>
          <w:bCs/>
          <w:lang w:val="es-ES_tradnl"/>
        </w:rPr>
        <w:t>Tiempo de iteración</w:t>
      </w:r>
      <w:r w:rsidRPr="00776F68">
        <w:rPr>
          <w:lang w:val="es-ES_tradnl"/>
        </w:rPr>
        <w:t>: Tiempo utilizado para visitar todos los canales que deben ser medidos (estén o no ocupados) y retornar al primer canal.</w:t>
      </w:r>
    </w:p>
    <w:p w:rsidR="00BD1E63" w:rsidRPr="00776F68" w:rsidRDefault="00BD1E63" w:rsidP="00BD1E63">
      <w:pPr>
        <w:rPr>
          <w:lang w:val="es-ES_tradnl"/>
        </w:rPr>
      </w:pPr>
      <w:r w:rsidRPr="00776F68">
        <w:rPr>
          <w:b/>
          <w:bCs/>
          <w:lang w:val="es-ES_tradnl"/>
        </w:rPr>
        <w:t>Tiempo de observación</w:t>
      </w:r>
      <w:r w:rsidRPr="00776F68">
        <w:rPr>
          <w:lang w:val="es-ES_tradnl"/>
        </w:rPr>
        <w:t>: Tiempo que necesita el sistema para efectuar todas las mediciones necesarias en un canal. Esto incluye todo tiempo adicional de procesado, tal como cuando se almacenan los resultados en memoria o en disco.</w:t>
      </w:r>
    </w:p>
    <w:p w:rsidR="00BD1E63" w:rsidRPr="00776F68" w:rsidRDefault="00BD1E63" w:rsidP="00BD1E63">
      <w:pPr>
        <w:rPr>
          <w:lang w:val="es-ES_tradnl"/>
        </w:rPr>
      </w:pPr>
      <w:r w:rsidRPr="00776F68">
        <w:rPr>
          <w:b/>
          <w:bCs/>
          <w:lang w:val="es-ES_tradnl"/>
        </w:rPr>
        <w:t>Máximo número de canales</w:t>
      </w:r>
      <w:r w:rsidRPr="00776F68">
        <w:rPr>
          <w:lang w:val="es-ES_tradnl"/>
        </w:rPr>
        <w:t>: Máximo número de canales que pueden ser visitados en el tiempo de iteración.</w:t>
      </w:r>
    </w:p>
    <w:p w:rsidR="00BD1E63" w:rsidRPr="00776F68" w:rsidRDefault="00BD1E63" w:rsidP="00BD1E63">
      <w:pPr>
        <w:rPr>
          <w:lang w:val="es-ES_tradnl"/>
        </w:rPr>
      </w:pPr>
      <w:r w:rsidRPr="00776F68">
        <w:rPr>
          <w:b/>
          <w:bCs/>
          <w:lang w:val="es-ES_tradnl"/>
        </w:rPr>
        <w:t>Longitud de transmisión</w:t>
      </w:r>
      <w:r w:rsidRPr="00776F68">
        <w:rPr>
          <w:lang w:val="es-ES_tradnl"/>
        </w:rPr>
        <w:t>: Longitud media de la duración de las distintas transmisiones radioeléctricas.</w:t>
      </w:r>
    </w:p>
    <w:p w:rsidR="00BD1E63" w:rsidRPr="00776F68" w:rsidRDefault="00BD1E63" w:rsidP="00BD1E63">
      <w:pPr>
        <w:rPr>
          <w:lang w:val="es-ES_tradnl"/>
        </w:rPr>
      </w:pPr>
      <w:r w:rsidRPr="00776F68">
        <w:rPr>
          <w:b/>
          <w:bCs/>
          <w:lang w:val="es-ES_tradnl"/>
        </w:rPr>
        <w:t>Tiempo de integración</w:t>
      </w:r>
      <w:r w:rsidRPr="00776F68">
        <w:rPr>
          <w:lang w:val="es-ES_tradnl"/>
        </w:rPr>
        <w:t>: Intervalo de tiempo durante el cual se realiza una estimación de la ocupación. Suele ser de 5 ó 15 min.</w:t>
      </w:r>
    </w:p>
    <w:p w:rsidR="00BD1E63" w:rsidRPr="00776F68" w:rsidRDefault="00BD1E63" w:rsidP="00BD1E63">
      <w:pPr>
        <w:rPr>
          <w:lang w:val="es-ES_tradnl"/>
        </w:rPr>
      </w:pPr>
      <w:r w:rsidRPr="00776F68">
        <w:rPr>
          <w:b/>
          <w:bCs/>
          <w:lang w:val="es-ES_tradnl"/>
        </w:rPr>
        <w:t>Duración de la comprobación técnica</w:t>
      </w:r>
      <w:r w:rsidRPr="00776F68">
        <w:rPr>
          <w:lang w:val="es-ES_tradnl"/>
        </w:rPr>
        <w:t>: Tiempo total durante el cual las mediciones de ocupación son efectuadas.</w:t>
      </w:r>
    </w:p>
    <w:p w:rsidR="00BD1E63" w:rsidRPr="00776F68" w:rsidRDefault="00BD1E63" w:rsidP="00BD1E63">
      <w:pPr>
        <w:rPr>
          <w:lang w:val="es-ES_tradnl"/>
        </w:rPr>
      </w:pPr>
      <w:r w:rsidRPr="00776F68">
        <w:rPr>
          <w:b/>
          <w:bCs/>
          <w:lang w:val="es-ES_tradnl"/>
        </w:rPr>
        <w:t>Nivel de umbral preseleccionado para la medición</w:t>
      </w:r>
      <w:r w:rsidRPr="00776F68">
        <w:rPr>
          <w:lang w:val="es-ES_tradnl"/>
        </w:rPr>
        <w:t>: Si se recibe una señal con una intensidad superior al nivel umbral, se considera que el canal está ocupado.</w:t>
      </w:r>
    </w:p>
    <w:p w:rsidR="00BD1E63" w:rsidRPr="00776F68" w:rsidRDefault="00BD1E63" w:rsidP="00BD1E63">
      <w:pPr>
        <w:rPr>
          <w:lang w:val="es-ES_tradnl"/>
        </w:rPr>
      </w:pPr>
      <w:r w:rsidRPr="00776F68">
        <w:rPr>
          <w:b/>
          <w:bCs/>
          <w:lang w:val="es-ES_tradnl"/>
        </w:rPr>
        <w:t>Hora cargada</w:t>
      </w:r>
      <w:r w:rsidRPr="00776F68">
        <w:rPr>
          <w:lang w:val="es-ES_tradnl"/>
        </w:rPr>
        <w:t>: El mayor nivel de ocupación de un canal en un periodo de 60 min.</w:t>
      </w:r>
    </w:p>
    <w:p w:rsidR="00BD1E63" w:rsidRPr="00776F68" w:rsidRDefault="00BD1E63" w:rsidP="00BD1E63">
      <w:pPr>
        <w:pStyle w:val="Heading1"/>
        <w:rPr>
          <w:lang w:val="es-ES_tradnl"/>
        </w:rPr>
      </w:pPr>
      <w:r w:rsidRPr="00776F68">
        <w:rPr>
          <w:lang w:val="es-ES_tradnl"/>
        </w:rPr>
        <w:t>3</w:t>
      </w:r>
      <w:r w:rsidRPr="00776F68">
        <w:rPr>
          <w:lang w:val="es-ES_tradnl"/>
        </w:rPr>
        <w:tab/>
        <w:t>Requisitos</w:t>
      </w:r>
    </w:p>
    <w:p w:rsidR="00BD1E63" w:rsidRDefault="00BD1E63" w:rsidP="00BD1E63">
      <w:pPr>
        <w:pStyle w:val="Heading2"/>
        <w:rPr>
          <w:lang w:val="es-ES_tradnl"/>
        </w:rPr>
      </w:pPr>
      <w:r w:rsidRPr="00776F68">
        <w:rPr>
          <w:lang w:val="es-ES_tradnl"/>
        </w:rPr>
        <w:t>3.1</w:t>
      </w:r>
      <w:r w:rsidRPr="00776F68">
        <w:rPr>
          <w:lang w:val="es-ES_tradnl"/>
        </w:rPr>
        <w:tab/>
        <w:t>Equipo</w:t>
      </w:r>
    </w:p>
    <w:p w:rsidR="00BD1E63" w:rsidRPr="00776F68" w:rsidRDefault="00BD1E63" w:rsidP="00BD1E63">
      <w:pPr>
        <w:rPr>
          <w:lang w:val="es-ES_tradnl"/>
        </w:rPr>
      </w:pPr>
      <w:r w:rsidRPr="00776F68">
        <w:rPr>
          <w:lang w:val="es-ES_tradnl"/>
        </w:rPr>
        <w:t>Un sistema adecuado capaz de medir la ocupación de los canales de frecuencia mediante el registro de bandas de frecuencias consistirá en un receptor radioeléctrico o analizador de espectro, una antena adecuada, un cable, un PC/controlador con adaptador de interfaz, adquisición apropiada y software de procesamiento posterior.</w:t>
      </w:r>
    </w:p>
    <w:p w:rsidR="00BD1E63" w:rsidRPr="00776F68" w:rsidRDefault="00BD1E63" w:rsidP="00BD1E63">
      <w:pPr>
        <w:rPr>
          <w:lang w:val="es-ES_tradnl"/>
        </w:rPr>
      </w:pPr>
      <w:r w:rsidRPr="00776F68">
        <w:rPr>
          <w:lang w:val="es-ES_tradnl"/>
        </w:rPr>
        <w:t>Otras características pueden incluir un GPS para la explotación móvil/nómada de la estación, un módem de comunicaciones para el control remoto y el intercambio de datos, un método de calibración del sistema para las mediciones de intensidad de campo detectable, conmutadores de antena, filtros y atenuadores para bandas múltiples y/o entornos expuestos a intensos campos electromagnéticos.</w:t>
      </w:r>
    </w:p>
    <w:p w:rsidR="00BD1E63" w:rsidRPr="00776F68" w:rsidRDefault="00BD1E63" w:rsidP="00BD1E63">
      <w:pPr>
        <w:pStyle w:val="Heading2"/>
        <w:rPr>
          <w:lang w:val="es-ES_tradnl"/>
        </w:rPr>
      </w:pPr>
      <w:r w:rsidRPr="00776F68">
        <w:rPr>
          <w:lang w:val="es-ES_tradnl"/>
        </w:rPr>
        <w:t>3.2</w:t>
      </w:r>
      <w:r w:rsidRPr="00776F68">
        <w:rPr>
          <w:lang w:val="es-ES_tradnl"/>
        </w:rPr>
        <w:tab/>
        <w:t>Consideraciones sobre el emplazamiento</w:t>
      </w:r>
    </w:p>
    <w:p w:rsidR="00BD1E63" w:rsidRPr="00776F68" w:rsidRDefault="00BD1E63" w:rsidP="00BD1E63">
      <w:pPr>
        <w:rPr>
          <w:lang w:val="es-ES_tradnl"/>
        </w:rPr>
      </w:pPr>
      <w:r w:rsidRPr="00776F68">
        <w:rPr>
          <w:lang w:val="es-ES_tradnl"/>
        </w:rPr>
        <w:t>El emplazamiento debe elegirse de forma que la intensidad de señal esperada de las emisiones de interés se encuentre por encima del nivel umbral previsto. La relación entre estos dos parámetros definirá una zona dentro de la cual la medición realizada es pertinente para cualquier estación que funcione por encima de unos ciertos niveles de potencia radiada aparente (p.r.a</w:t>
      </w:r>
      <w:r w:rsidR="00776F68">
        <w:rPr>
          <w:lang w:val="es-ES_tradnl"/>
        </w:rPr>
        <w:t>.</w:t>
      </w:r>
      <w:r w:rsidRPr="00776F68">
        <w:rPr>
          <w:lang w:val="es-ES_tradnl"/>
        </w:rPr>
        <w:t>) o de potencia isótropa radiada equivalente (p.i.r.e</w:t>
      </w:r>
      <w:r w:rsidR="00776F68">
        <w:rPr>
          <w:lang w:val="es-ES_tradnl"/>
        </w:rPr>
        <w:t>.</w:t>
      </w:r>
      <w:r w:rsidRPr="00776F68">
        <w:rPr>
          <w:lang w:val="es-ES_tradnl"/>
        </w:rPr>
        <w:t>).</w:t>
      </w:r>
    </w:p>
    <w:p w:rsidR="00BD1E63" w:rsidRPr="00776F68" w:rsidRDefault="00BD1E63" w:rsidP="00BD1E63">
      <w:pPr>
        <w:rPr>
          <w:lang w:val="es-ES_tradnl"/>
        </w:rPr>
      </w:pPr>
      <w:r w:rsidRPr="00776F68">
        <w:rPr>
          <w:lang w:val="es-ES_tradnl"/>
        </w:rPr>
        <w:t>La intensidad de señal prevista puede evaluarse considerando las estaciones que cuentan con licencia en la región y su perfil de emisión así como utilizando un software de simulación. El umbral puede estimarse considerando la sensibilidad del sistema (ruido de fondo) o por mediciones previas llevadas a cabo en condiciones similares con los mismos equipos y configuración.</w:t>
      </w:r>
    </w:p>
    <w:p w:rsidR="00BD1E63" w:rsidRPr="00776F68" w:rsidRDefault="00BD1E63" w:rsidP="00BD1E63">
      <w:pPr>
        <w:rPr>
          <w:lang w:val="es-ES_tradnl"/>
        </w:rPr>
      </w:pPr>
      <w:r w:rsidRPr="00776F68">
        <w:rPr>
          <w:lang w:val="es-ES_tradnl"/>
        </w:rPr>
        <w:t>Si no se dispone de información preliminar, puede efectuarse un estudio de los diversos emplazamientos posibles utilizando equipos portátiles. Ello es especialmente importante si la ubicación de los equipos es de carácter definitivo y no es fácil efectuar futuras reubicaciones.</w:t>
      </w:r>
    </w:p>
    <w:p w:rsidR="00BD1E63" w:rsidRPr="00776F68" w:rsidRDefault="00BD1E63" w:rsidP="00BD1E63">
      <w:pPr>
        <w:rPr>
          <w:lang w:val="es-ES_tradnl"/>
        </w:rPr>
      </w:pPr>
      <w:r w:rsidRPr="00776F68">
        <w:rPr>
          <w:lang w:val="es-ES_tradnl"/>
        </w:rPr>
        <w:t>Lo más conveniente es que los resultados de las mediciones vayan acompañados de un informe de los análisis realizados para seleccionar el emplazamiento, indicando la zona y los emisores que deben considerarse.</w:t>
      </w:r>
    </w:p>
    <w:p w:rsidR="00BD1E63" w:rsidRPr="00776F68" w:rsidRDefault="00BD1E63" w:rsidP="00BD1E63">
      <w:pPr>
        <w:pStyle w:val="Heading2"/>
        <w:rPr>
          <w:lang w:val="es-ES_tradnl"/>
        </w:rPr>
      </w:pPr>
      <w:r w:rsidRPr="00776F68">
        <w:rPr>
          <w:lang w:val="es-ES_tradnl"/>
        </w:rPr>
        <w:t>3.3</w:t>
      </w:r>
      <w:r w:rsidRPr="00776F68">
        <w:rPr>
          <w:lang w:val="es-ES_tradnl"/>
        </w:rPr>
        <w:tab/>
        <w:t>Parámetros relativos al tiempo</w:t>
      </w:r>
    </w:p>
    <w:p w:rsidR="00BD1E63" w:rsidRPr="00776F68" w:rsidRDefault="00BD1E63" w:rsidP="00BD1E63">
      <w:pPr>
        <w:rPr>
          <w:lang w:val="es-ES_tradnl"/>
        </w:rPr>
      </w:pPr>
      <w:r w:rsidRPr="00776F68">
        <w:rPr>
          <w:lang w:val="es-ES_tradnl"/>
        </w:rPr>
        <w:t>Existe una fuerte correlación entre el tiempo de observación, el número de canales, la longitud media de la transmisión y la duración de la comprobación técnica.</w:t>
      </w:r>
    </w:p>
    <w:p w:rsidR="00BD1E63" w:rsidRPr="00776F68" w:rsidRDefault="00BD1E63" w:rsidP="00BD1E63">
      <w:pPr>
        <w:tabs>
          <w:tab w:val="left" w:pos="720"/>
        </w:tabs>
        <w:rPr>
          <w:lang w:val="es-ES_tradnl"/>
        </w:rPr>
      </w:pPr>
      <w:r w:rsidRPr="00776F68">
        <w:rPr>
          <w:lang w:val="es-ES_tradnl"/>
        </w:rPr>
        <w:t xml:space="preserve">El </w:t>
      </w:r>
      <w:r w:rsidRPr="00776F68">
        <w:rPr>
          <w:i/>
          <w:iCs/>
          <w:lang w:val="es-ES_tradnl"/>
        </w:rPr>
        <w:t>tiempo de iteración</w:t>
      </w:r>
      <w:r w:rsidRPr="00776F68">
        <w:rPr>
          <w:lang w:val="es-ES_tradnl"/>
        </w:rPr>
        <w:t xml:space="preserve"> depende directamente del tiempo de observación y del número de canales. El </w:t>
      </w:r>
      <w:r w:rsidRPr="00776F68">
        <w:rPr>
          <w:i/>
          <w:iCs/>
          <w:lang w:val="es-ES_tradnl"/>
        </w:rPr>
        <w:t>tiempo de tratamiento</w:t>
      </w:r>
      <w:r w:rsidRPr="00776F68">
        <w:rPr>
          <w:lang w:val="es-ES_tradnl"/>
        </w:rPr>
        <w:t xml:space="preserve"> (transferencia de datos entre el receptor y el controlador) también afecta al tiempo de iteración, debiendo mantenerse lo más breve posible.</w:t>
      </w:r>
    </w:p>
    <w:p w:rsidR="00BD1E63" w:rsidRPr="00776F68" w:rsidRDefault="00BD1E63" w:rsidP="00BD1E63">
      <w:pPr>
        <w:rPr>
          <w:i/>
          <w:iCs/>
          <w:lang w:val="es-ES_tradnl"/>
        </w:rPr>
      </w:pPr>
      <w:r w:rsidRPr="00776F68">
        <w:rPr>
          <w:i/>
          <w:iCs/>
          <w:lang w:val="es-ES_tradnl"/>
        </w:rPr>
        <w:t xml:space="preserve">Tiempo de iteración = (Tiempo de observación </w:t>
      </w:r>
      <w:r w:rsidRPr="00776F68">
        <w:rPr>
          <w:lang w:val="es-ES_tradnl"/>
        </w:rPr>
        <w:sym w:font="Symbol" w:char="F0B4"/>
      </w:r>
      <w:r w:rsidRPr="00776F68">
        <w:rPr>
          <w:lang w:val="es-ES_tradnl"/>
        </w:rPr>
        <w:t xml:space="preserve"> </w:t>
      </w:r>
      <w:r w:rsidRPr="00776F68">
        <w:rPr>
          <w:i/>
          <w:iCs/>
          <w:lang w:val="es-ES_tradnl"/>
        </w:rPr>
        <w:t>Número de canales)</w:t>
      </w:r>
      <w:r w:rsidRPr="00776F68">
        <w:rPr>
          <w:lang w:val="es-ES_tradnl"/>
        </w:rPr>
        <w:t xml:space="preserve"> </w:t>
      </w:r>
      <w:r w:rsidRPr="00776F68">
        <w:rPr>
          <w:lang w:val="es-ES_tradnl"/>
        </w:rPr>
        <w:sym w:font="Symbol" w:char="F02B"/>
      </w:r>
      <w:r w:rsidRPr="00776F68">
        <w:rPr>
          <w:lang w:val="es-ES_tradnl"/>
        </w:rPr>
        <w:t xml:space="preserve"> </w:t>
      </w:r>
      <w:r w:rsidRPr="00776F68">
        <w:rPr>
          <w:i/>
          <w:iCs/>
          <w:lang w:val="es-ES_tradnl"/>
        </w:rPr>
        <w:t>Tiempo de tratamiento</w:t>
      </w:r>
    </w:p>
    <w:p w:rsidR="00BD1E63" w:rsidRPr="00776F68" w:rsidRDefault="00BD1E63" w:rsidP="00BD1E63">
      <w:pPr>
        <w:rPr>
          <w:lang w:val="es-ES_tradnl"/>
        </w:rPr>
      </w:pPr>
      <w:r w:rsidRPr="00776F68">
        <w:rPr>
          <w:lang w:val="es-ES_tradnl"/>
        </w:rPr>
        <w:t>El</w:t>
      </w:r>
      <w:r w:rsidRPr="00776F68">
        <w:rPr>
          <w:i/>
          <w:iCs/>
          <w:lang w:val="es-ES_tradnl"/>
        </w:rPr>
        <w:t xml:space="preserve"> tiempo de observación</w:t>
      </w:r>
      <w:r w:rsidRPr="00776F68">
        <w:rPr>
          <w:lang w:val="es-ES_tradnl"/>
        </w:rPr>
        <w:t xml:space="preserve"> </w:t>
      </w:r>
      <w:r w:rsidRPr="00776F68">
        <w:rPr>
          <w:i/>
          <w:iCs/>
          <w:lang w:val="es-ES_tradnl"/>
        </w:rPr>
        <w:t>por canal</w:t>
      </w:r>
      <w:r w:rsidRPr="00776F68">
        <w:rPr>
          <w:lang w:val="es-ES_tradnl"/>
        </w:rPr>
        <w:t xml:space="preserve"> depende de la velocidad de barrido del equipo de comprobación técnica. Para poder mantener un tiempo de iteración razonablemente corto, con equipo relativamente lento, el número de canales medido debe ser reducido.</w:t>
      </w:r>
    </w:p>
    <w:p w:rsidR="00BD1E63" w:rsidRPr="00776F68" w:rsidRDefault="00BD1E63" w:rsidP="00BD1E63">
      <w:pPr>
        <w:rPr>
          <w:lang w:val="es-ES_tradnl"/>
        </w:rPr>
      </w:pPr>
      <w:r w:rsidRPr="00776F68">
        <w:rPr>
          <w:lang w:val="es-ES_tradnl"/>
        </w:rPr>
        <w:t>Siempre que se aplique la ecuación anterior a los analizadores de espectro, cuando la RBW se fija a un valor igual a la anchura de banda del canal, puede considerarse que el número de canales es el número de sectores</w:t>
      </w:r>
      <w:r w:rsidRPr="00776F68">
        <w:rPr>
          <w:rStyle w:val="FootnoteReference"/>
          <w:lang w:val="es-ES_tradnl"/>
        </w:rPr>
        <w:footnoteReference w:id="1"/>
      </w:r>
      <w:r w:rsidRPr="00776F68">
        <w:rPr>
          <w:lang w:val="es-ES_tradnl"/>
        </w:rPr>
        <w:t xml:space="preserve"> por barrido y el tiempo de observación como el tiempo de reposo por sector.</w:t>
      </w:r>
    </w:p>
    <w:p w:rsidR="00BD1E63" w:rsidRPr="00776F68" w:rsidRDefault="00BD1E63" w:rsidP="00BD1E63">
      <w:pPr>
        <w:rPr>
          <w:lang w:val="es-ES_tradnl"/>
        </w:rPr>
      </w:pPr>
      <w:r w:rsidRPr="00776F68">
        <w:rPr>
          <w:lang w:val="es-ES_tradnl"/>
        </w:rPr>
        <w:t>En los analizadores de transformada rápida de Fourier (FFT) sigue aplicándose este principio, especialmente si el número de canales a explorar es mayor que el tamaño de la FFT y aún se está realizando un barrido. Sin embargo, en este caso el número de canales explorados debe dividirse por el número de canales evaluados en cada FFT sencilla.</w:t>
      </w:r>
    </w:p>
    <w:p w:rsidR="00BD1E63" w:rsidRPr="00776F68" w:rsidRDefault="00BD1E63" w:rsidP="00BD1E63">
      <w:pPr>
        <w:rPr>
          <w:lang w:val="es-ES_tradnl"/>
        </w:rPr>
      </w:pPr>
      <w:r w:rsidRPr="00776F68">
        <w:rPr>
          <w:lang w:val="es-ES_tradnl"/>
        </w:rPr>
        <w:t>El sistema de comprobación técnica debe poder realizar barridos a una velocidad aceptable para detectar transmisiones cortas.</w:t>
      </w:r>
    </w:p>
    <w:p w:rsidR="00BD1E63" w:rsidRPr="00776F68" w:rsidRDefault="00BD1E63" w:rsidP="00BD1E63">
      <w:pPr>
        <w:rPr>
          <w:lang w:val="es-ES_tradnl"/>
        </w:rPr>
      </w:pPr>
      <w:r w:rsidRPr="00776F68">
        <w:rPr>
          <w:lang w:val="es-ES_tradnl"/>
        </w:rPr>
        <w:t>Existen fundamentalmente dos métodos distintos para obtener cifras sobre la ocupación de canal:</w:t>
      </w:r>
    </w:p>
    <w:p w:rsidR="00BD1E63" w:rsidRPr="00776F68" w:rsidRDefault="00BD1E63" w:rsidP="00BD1E63">
      <w:pPr>
        <w:pStyle w:val="enumlev1"/>
        <w:rPr>
          <w:lang w:val="es-ES_tradnl"/>
        </w:rPr>
      </w:pPr>
      <w:r w:rsidRPr="00776F68">
        <w:rPr>
          <w:lang w:val="es-ES_tradnl"/>
        </w:rPr>
        <w:t>a)</w:t>
      </w:r>
      <w:r w:rsidRPr="00776F68">
        <w:rPr>
          <w:lang w:val="es-ES_tradnl"/>
        </w:rPr>
        <w:tab/>
        <w:t>Capturar todas las transmisiones en la banda observada. Este método exige un máximo tiempo de iteración que es la mitad del mínimo tiempo de activación o desactivación de cualquier transmisión en la banda, tomando entre ambos valores el menor. Este método proporciona una precisión independiente del resultado de la ocupación y puede permitir una duración de la comprobación técnica más corta.</w:t>
      </w:r>
    </w:p>
    <w:p w:rsidR="00BD1E63" w:rsidRPr="00776F68" w:rsidRDefault="00BD1E63" w:rsidP="00BD1E63">
      <w:pPr>
        <w:pStyle w:val="enumlev1"/>
        <w:rPr>
          <w:lang w:val="es-ES_tradnl"/>
        </w:rPr>
      </w:pPr>
      <w:r w:rsidRPr="00776F68">
        <w:rPr>
          <w:lang w:val="es-ES_tradnl"/>
        </w:rPr>
        <w:t>b)</w:t>
      </w:r>
      <w:r w:rsidRPr="00776F68">
        <w:rPr>
          <w:lang w:val="es-ES_tradnl"/>
        </w:rPr>
        <w:tab/>
        <w:t>Método estadístico: especialmente cuando se consideran ráfagas de sistemas digitales, el mínimo tiempo de transmisión puede ser demasiado pequeño para la aplicación práctica del principio anterior. No obstante, si el tiempo de comprobación técnica es suficientemente largo como para proporcionar suficiente número de muestras, el resultado de la ocupación será correcto incluso con tiempos de iteración más largos porque la probabilidad estadística de captar una transmisión comparada con la probabilidad de perderla es la misma que el ciclo activo de la propia transmisión. Sin embargo, la precisión del método estadístico depende del valor de la ocupación como se describe a continuación.</w:t>
      </w:r>
    </w:p>
    <w:p w:rsidR="00BD1E63" w:rsidRPr="00776F68" w:rsidRDefault="00BD1E63" w:rsidP="00BD1E63">
      <w:pPr>
        <w:rPr>
          <w:lang w:val="es-ES_tradnl"/>
        </w:rPr>
      </w:pPr>
      <w:r w:rsidRPr="00776F68">
        <w:rPr>
          <w:lang w:val="es-ES_tradnl"/>
        </w:rPr>
        <w:t xml:space="preserve">La </w:t>
      </w:r>
      <w:r w:rsidRPr="00776F68">
        <w:rPr>
          <w:i/>
          <w:iCs/>
          <w:lang w:val="es-ES_tradnl"/>
        </w:rPr>
        <w:t xml:space="preserve">duración de la comprobación técnica </w:t>
      </w:r>
      <w:r w:rsidRPr="00776F68">
        <w:rPr>
          <w:lang w:val="es-ES_tradnl"/>
        </w:rPr>
        <w:t>es una combinación del tiempo de iteración, de los valores típicos de las longitudes de la transmisión esperadas, del número de canales que deben explorarse y de la precisión deseada de los resultados.</w:t>
      </w:r>
    </w:p>
    <w:p w:rsidR="00BD1E63" w:rsidRPr="00776F68" w:rsidRDefault="00BD1E63" w:rsidP="00FA43C5">
      <w:pPr>
        <w:rPr>
          <w:lang w:val="es-ES_tradnl"/>
        </w:rPr>
      </w:pPr>
      <w:r w:rsidRPr="00776F68">
        <w:rPr>
          <w:lang w:val="es-ES_tradnl"/>
        </w:rPr>
        <w:t>La duración de la comprobación técnica debe ser lo suficientemente larga como para permitir comprobar todas las emisiones pertinentes. Si no se conoce ningún patrón de distribución temporal, las evaluaciones iniciales deben considerar al menos 24</w:t>
      </w:r>
      <w:r w:rsidR="00FA43C5" w:rsidRPr="00776F68">
        <w:rPr>
          <w:lang w:val="es-ES_tradnl"/>
        </w:rPr>
        <w:t> </w:t>
      </w:r>
      <w:r w:rsidRPr="00776F68">
        <w:rPr>
          <w:lang w:val="es-ES_tradnl"/>
        </w:rPr>
        <w:t>horas o periodos múltiplos de 24 horas. Una semana de comprobación técnica proporciona la diferencia de ocupación en los distintos días de la semana y la ocupación durante el fin de semana. Siete periodos de 24</w:t>
      </w:r>
      <w:r w:rsidR="00FA43C5" w:rsidRPr="00776F68">
        <w:rPr>
          <w:lang w:val="es-ES_tradnl"/>
        </w:rPr>
        <w:t> </w:t>
      </w:r>
      <w:r w:rsidRPr="00776F68">
        <w:rPr>
          <w:lang w:val="es-ES_tradnl"/>
        </w:rPr>
        <w:t>horas a lo largo de un periodo de tiempo mayor (por ejemplo, un año) proporciona una información de ocupación más fiable.</w:t>
      </w:r>
    </w:p>
    <w:p w:rsidR="00BD1E63" w:rsidRPr="00776F68" w:rsidRDefault="00BD1E63" w:rsidP="00BD1E63">
      <w:pPr>
        <w:pStyle w:val="Heading2"/>
        <w:rPr>
          <w:lang w:val="es-ES_tradnl"/>
        </w:rPr>
      </w:pPr>
      <w:r w:rsidRPr="00776F68">
        <w:rPr>
          <w:lang w:val="es-ES_tradnl"/>
        </w:rPr>
        <w:t>3.4</w:t>
      </w:r>
      <w:r w:rsidRPr="00776F68">
        <w:rPr>
          <w:lang w:val="es-ES_tradnl"/>
        </w:rPr>
        <w:tab/>
        <w:t>Precisión, nivel de confianza estadística y número necesario de muestras</w:t>
      </w:r>
    </w:p>
    <w:p w:rsidR="00BD1E63" w:rsidRPr="00776F68" w:rsidRDefault="00BD1E63" w:rsidP="00BD1E63">
      <w:pPr>
        <w:rPr>
          <w:lang w:val="es-ES_tradnl"/>
        </w:rPr>
      </w:pPr>
      <w:r w:rsidRPr="00776F68">
        <w:rPr>
          <w:lang w:val="es-ES_tradnl"/>
        </w:rPr>
        <w:t>Desde un punto de vista estadístico, el resultado de la medición de la ocupación del espectro es una estimación o valor estadístico, por lo que tiene atributos de precisión y fiabilidad. La precisión refleja el control de los errores, midiendo normalmente la precisión relativa o el error relativo, así como el error absoluto. La fiabilidad indica la confianza que se tiene en el resultado, indicando su nivel de confianza. La medición en sí puede considerarse como un proceso de muestreo dentro de una población dada y el análisis de los resultados consiste básicamente en un proceso de estimación de la población a partir de un número limitado de muestras.</w:t>
      </w:r>
    </w:p>
    <w:p w:rsidR="00BD1E63" w:rsidRPr="00776F68" w:rsidRDefault="00BD1E63" w:rsidP="00BD1E63">
      <w:pPr>
        <w:rPr>
          <w:lang w:val="es-ES_tradnl"/>
        </w:rPr>
      </w:pPr>
      <w:r w:rsidRPr="00776F68">
        <w:rPr>
          <w:lang w:val="es-ES_tradnl"/>
        </w:rPr>
        <w:t xml:space="preserve">En la práctica, para denominar el resultado de la recopilación y el procesamiento de los datos se emplea la abreviatura </w:t>
      </w:r>
      <w:r w:rsidRPr="00776F68">
        <w:rPr>
          <w:i/>
          <w:iCs/>
          <w:lang w:val="es-ES_tradnl"/>
        </w:rPr>
        <w:t>SO</w:t>
      </w:r>
      <w:r w:rsidRPr="00776F68">
        <w:rPr>
          <w:lang w:val="es-ES_tradnl"/>
        </w:rPr>
        <w:t>, pero no se trata en sí de un valor verdadero. Aun cuando, durante el tiempo de integración, el equipo de comprobación técnica sólo facilita un pequeño número de muestras de datos, el cálculo de la estimación de la ocupación arrogará una serie de valores que caracterizan en mayor o menor grado la ocupación del canal radioeléctrico. Sin embargo, esos valores corresponderán al verdadero valor de ocupación (</w:t>
      </w:r>
      <w:r w:rsidRPr="00776F68">
        <w:rPr>
          <w:i/>
          <w:iCs/>
          <w:lang w:val="es-ES_tradnl"/>
        </w:rPr>
        <w:t>SO</w:t>
      </w:r>
      <w:r w:rsidRPr="00776F68">
        <w:rPr>
          <w:lang w:val="es-ES_tradnl"/>
        </w:rPr>
        <w:t xml:space="preserve">) sólo después de mediarse en un gran número de tiempos de integración, pues las evaluaciones individuales pueden diferir considerablemente del </w:t>
      </w:r>
      <w:r w:rsidRPr="00776F68">
        <w:rPr>
          <w:i/>
          <w:iCs/>
          <w:lang w:val="es-ES_tradnl"/>
        </w:rPr>
        <w:t>SO</w:t>
      </w:r>
      <w:r w:rsidRPr="00776F68">
        <w:rPr>
          <w:lang w:val="es-ES_tradnl"/>
        </w:rPr>
        <w:t>.</w:t>
      </w:r>
    </w:p>
    <w:p w:rsidR="00BD1E63" w:rsidRPr="00776F68" w:rsidRDefault="00BD1E63" w:rsidP="00BD1E63">
      <w:pPr>
        <w:rPr>
          <w:lang w:val="es-ES_tradnl"/>
        </w:rPr>
      </w:pPr>
      <w:r w:rsidRPr="00776F68">
        <w:rPr>
          <w:lang w:val="es-ES_tradnl"/>
        </w:rPr>
        <w:t>Por otra parte, gracias al control informático es posible recopilar un gran número de muestras, más de las necesarias para determinar la ocupación con la precisión exigida. Hay un número de muestras óptimo por encima del cual la adición de más datos no mejorará significativamente los resultados. El número de muestras óptimo necesario es un tema abordado en el Informe UIT-R SM.2256.</w:t>
      </w:r>
    </w:p>
    <w:p w:rsidR="00BD1E63" w:rsidRPr="00776F68" w:rsidRDefault="00BD1E63" w:rsidP="001C7F15">
      <w:pPr>
        <w:rPr>
          <w:lang w:val="es-ES_tradnl"/>
        </w:rPr>
      </w:pPr>
      <w:r w:rsidRPr="00776F68">
        <w:rPr>
          <w:lang w:val="es-ES_tradnl"/>
        </w:rPr>
        <w:t>No existe relación lineal entre precisión y tiempo de iteración. En el caso de medición de</w:t>
      </w:r>
      <w:r w:rsidR="001C7F15" w:rsidRPr="00776F68">
        <w:rPr>
          <w:lang w:val="es-ES_tradnl"/>
        </w:rPr>
        <w:t xml:space="preserve"> </w:t>
      </w:r>
      <w:r w:rsidRPr="00776F68">
        <w:rPr>
          <w:lang w:val="es-ES_tradnl"/>
        </w:rPr>
        <w:t>100 canales con tiempo de iteración de 1 s, que es un valor práctico, se puede aumentar el número de canales a 1 000, con un tiempo de iteración de 10</w:t>
      </w:r>
      <w:r w:rsidR="001C7F15" w:rsidRPr="00776F68">
        <w:rPr>
          <w:lang w:val="es-ES_tradnl"/>
        </w:rPr>
        <w:t> </w:t>
      </w:r>
      <w:r w:rsidRPr="00776F68">
        <w:rPr>
          <w:lang w:val="es-ES_tradnl"/>
        </w:rPr>
        <w:t>canales sin afectar demasiado al nivel de confianza ni a la precisión.</w:t>
      </w:r>
    </w:p>
    <w:p w:rsidR="00BD1E63" w:rsidRPr="00776F68" w:rsidRDefault="00BD1E63" w:rsidP="00BD1E63">
      <w:pPr>
        <w:rPr>
          <w:lang w:val="es-ES_tradnl"/>
        </w:rPr>
      </w:pPr>
      <w:r w:rsidRPr="00776F68">
        <w:rPr>
          <w:lang w:val="es-ES_tradnl"/>
        </w:rPr>
        <w:t>Hay una relación lineal entre la ocupación y el número de muestras requerido para lograr el nivel de confianza deseado. Cuanto más baja sea la ocupación más muestras se necesitarán.</w:t>
      </w:r>
    </w:p>
    <w:p w:rsidR="00BD1E63" w:rsidRPr="00776F68" w:rsidRDefault="00BD1E63" w:rsidP="00776F68">
      <w:pPr>
        <w:rPr>
          <w:lang w:val="es-ES_tradnl"/>
        </w:rPr>
      </w:pPr>
      <w:r w:rsidRPr="00776F68">
        <w:rPr>
          <w:lang w:val="es-ES_tradnl"/>
        </w:rPr>
        <w:t>El Cuadro</w:t>
      </w:r>
      <w:r w:rsidR="00776F68">
        <w:rPr>
          <w:lang w:val="es-ES_tradnl"/>
        </w:rPr>
        <w:t> </w:t>
      </w:r>
      <w:r w:rsidRPr="00776F68">
        <w:rPr>
          <w:lang w:val="es-ES_tradnl"/>
        </w:rPr>
        <w:t>1 compara el muestreo independiente que es el caso más sencillo utilizando el teorema central del límite y el muestreo dependiente utilizando una cadena de Markov de primer orden, que difieren poco con respecto a modelos matemáticos mucho más complicados.</w:t>
      </w:r>
    </w:p>
    <w:p w:rsidR="00BD1E63" w:rsidRPr="00776F68" w:rsidRDefault="00BD1E63" w:rsidP="00BD1E63">
      <w:pPr>
        <w:pStyle w:val="TableNo"/>
        <w:rPr>
          <w:lang w:val="es-ES_tradnl" w:eastAsia="zh-CN"/>
        </w:rPr>
      </w:pPr>
      <w:r w:rsidRPr="00776F68">
        <w:rPr>
          <w:lang w:val="es-ES_tradnl"/>
        </w:rPr>
        <w:t>CUADRO 1</w:t>
      </w:r>
    </w:p>
    <w:p w:rsidR="00BD1E63" w:rsidRPr="00776F68" w:rsidRDefault="00BD1E63" w:rsidP="001C7F15">
      <w:pPr>
        <w:pStyle w:val="Tabletitle"/>
        <w:rPr>
          <w:lang w:val="es-ES_tradnl"/>
        </w:rPr>
      </w:pPr>
      <w:r w:rsidRPr="00776F68">
        <w:rPr>
          <w:lang w:val="es-ES_tradnl"/>
        </w:rPr>
        <w:t xml:space="preserve">Número de muestras dependientes e independientes necesarias para conseguir </w:t>
      </w:r>
      <w:r w:rsidRPr="00776F68">
        <w:rPr>
          <w:lang w:val="es-ES_tradnl"/>
        </w:rPr>
        <w:br/>
      </w:r>
      <w:r w:rsidR="001C7F15" w:rsidRPr="00776F68">
        <w:rPr>
          <w:lang w:val="es-ES_tradnl"/>
        </w:rPr>
        <w:t>10% </w:t>
      </w:r>
      <w:r w:rsidRPr="00776F68">
        <w:rPr>
          <w:lang w:val="es-ES_tradnl"/>
        </w:rPr>
        <w:t xml:space="preserve">de precisión relativa y 95% de nivel de confianza en diversos </w:t>
      </w:r>
      <w:r w:rsidRPr="00776F68">
        <w:rPr>
          <w:lang w:val="es-ES_tradnl"/>
        </w:rPr>
        <w:br/>
      </w:r>
      <w:r w:rsidR="001C7F15" w:rsidRPr="00776F68">
        <w:rPr>
          <w:lang w:val="es-ES_tradnl"/>
        </w:rPr>
        <w:t xml:space="preserve">porcentajes </w:t>
      </w:r>
      <w:r w:rsidRPr="00776F68">
        <w:rPr>
          <w:lang w:val="es-ES_tradnl"/>
        </w:rPr>
        <w:t>de ocupación (para un periodo de muestreo de 1 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36"/>
        <w:gridCol w:w="2601"/>
        <w:gridCol w:w="2601"/>
        <w:gridCol w:w="2601"/>
      </w:tblGrid>
      <w:tr w:rsidR="00BD1E63" w:rsidRPr="00776F68" w:rsidTr="004306EE">
        <w:trPr>
          <w:jc w:val="center"/>
        </w:trPr>
        <w:tc>
          <w:tcPr>
            <w:tcW w:w="1700" w:type="dxa"/>
            <w:vAlign w:val="center"/>
          </w:tcPr>
          <w:p w:rsidR="00BD1E63" w:rsidRPr="00776F68" w:rsidRDefault="00BD1E63" w:rsidP="000F51E1">
            <w:pPr>
              <w:pStyle w:val="Tablehead"/>
              <w:rPr>
                <w:rFonts w:ascii="Times New Roman Bold" w:hAnsi="Times New Roman Bold" w:cs="Times New Roman Bold"/>
                <w:color w:val="000000" w:themeColor="text1"/>
                <w:lang w:val="es-ES_tradnl"/>
              </w:rPr>
            </w:pPr>
            <w:r w:rsidRPr="00776F68">
              <w:rPr>
                <w:rFonts w:ascii="Times New Roman Bold" w:hAnsi="Times New Roman Bold" w:cs="Times New Roman Bold"/>
                <w:color w:val="000000" w:themeColor="text1"/>
                <w:lang w:val="es-ES_tradnl"/>
              </w:rPr>
              <w:t>Ocupación</w:t>
            </w:r>
            <w:r w:rsidRPr="00776F68">
              <w:rPr>
                <w:rFonts w:ascii="Times New Roman Bold" w:hAnsi="Times New Roman Bold" w:cs="Times New Roman Bold"/>
                <w:color w:val="000000" w:themeColor="text1"/>
                <w:lang w:val="es-ES_tradnl"/>
              </w:rPr>
              <w:br/>
              <w:t>(%)</w:t>
            </w:r>
          </w:p>
        </w:tc>
        <w:tc>
          <w:tcPr>
            <w:tcW w:w="2410" w:type="dxa"/>
            <w:vAlign w:val="center"/>
          </w:tcPr>
          <w:p w:rsidR="00BD1E63" w:rsidRPr="00776F68" w:rsidRDefault="00BD1E63" w:rsidP="000F51E1">
            <w:pPr>
              <w:pStyle w:val="Tablehead"/>
              <w:rPr>
                <w:lang w:val="es-ES_tradnl"/>
              </w:rPr>
            </w:pPr>
            <w:r w:rsidRPr="00776F68">
              <w:rPr>
                <w:lang w:val="es-ES_tradnl"/>
              </w:rPr>
              <w:t>Cantidad necesaria de muestras independientes</w:t>
            </w:r>
          </w:p>
        </w:tc>
        <w:tc>
          <w:tcPr>
            <w:tcW w:w="2410" w:type="dxa"/>
            <w:vAlign w:val="center"/>
          </w:tcPr>
          <w:p w:rsidR="00BD1E63" w:rsidRPr="00776F68" w:rsidRDefault="00BD1E63" w:rsidP="000F51E1">
            <w:pPr>
              <w:pStyle w:val="Tablehead"/>
              <w:rPr>
                <w:lang w:val="es-ES_tradnl"/>
              </w:rPr>
            </w:pPr>
            <w:r w:rsidRPr="00776F68">
              <w:rPr>
                <w:lang w:val="es-ES_tradnl"/>
              </w:rPr>
              <w:t>Cantidad necesaria de muestras dependientes</w:t>
            </w:r>
          </w:p>
        </w:tc>
        <w:tc>
          <w:tcPr>
            <w:tcW w:w="2410" w:type="dxa"/>
            <w:vAlign w:val="center"/>
          </w:tcPr>
          <w:p w:rsidR="00BD1E63" w:rsidRPr="00776F68" w:rsidRDefault="00BD1E63" w:rsidP="001C7F15">
            <w:pPr>
              <w:pStyle w:val="Tablehead"/>
              <w:rPr>
                <w:lang w:val="es-ES_tradnl"/>
              </w:rPr>
            </w:pPr>
            <w:r w:rsidRPr="00776F68">
              <w:rPr>
                <w:lang w:val="es-ES_tradnl"/>
              </w:rPr>
              <w:t>Horas de</w:t>
            </w:r>
            <w:r w:rsidR="001C7F15" w:rsidRPr="00776F68">
              <w:rPr>
                <w:lang w:val="es-ES_tradnl"/>
              </w:rPr>
              <w:t xml:space="preserve"> </w:t>
            </w:r>
            <w:r w:rsidRPr="00776F68">
              <w:rPr>
                <w:lang w:val="es-ES_tradnl"/>
              </w:rPr>
              <w:t>muestreo necesarias</w:t>
            </w:r>
          </w:p>
        </w:tc>
      </w:tr>
      <w:tr w:rsidR="00BD1E63" w:rsidRPr="00776F68" w:rsidTr="004306EE">
        <w:trPr>
          <w:jc w:val="center"/>
        </w:trPr>
        <w:tc>
          <w:tcPr>
            <w:tcW w:w="1700" w:type="dxa"/>
          </w:tcPr>
          <w:p w:rsidR="00BD1E63" w:rsidRPr="00776F68" w:rsidRDefault="00BD1E63" w:rsidP="001C7F15">
            <w:pPr>
              <w:pStyle w:val="Tabletext"/>
              <w:ind w:right="425"/>
              <w:jc w:val="right"/>
              <w:rPr>
                <w:lang w:val="es-ES_tradnl"/>
              </w:rPr>
            </w:pPr>
            <w:r w:rsidRPr="00776F68">
              <w:rPr>
                <w:lang w:val="es-ES_tradnl"/>
              </w:rPr>
              <w:t>6,67</w:t>
            </w:r>
          </w:p>
        </w:tc>
        <w:tc>
          <w:tcPr>
            <w:tcW w:w="2410" w:type="dxa"/>
          </w:tcPr>
          <w:p w:rsidR="00BD1E63" w:rsidRPr="00776F68" w:rsidRDefault="00BD1E63" w:rsidP="000F51E1">
            <w:pPr>
              <w:pStyle w:val="Tabletext"/>
              <w:ind w:right="964"/>
              <w:jc w:val="right"/>
              <w:rPr>
                <w:lang w:val="es-ES_tradnl"/>
              </w:rPr>
            </w:pPr>
            <w:r w:rsidRPr="00776F68">
              <w:rPr>
                <w:lang w:val="es-ES_tradnl"/>
              </w:rPr>
              <w:t>5 368</w:t>
            </w:r>
          </w:p>
        </w:tc>
        <w:tc>
          <w:tcPr>
            <w:tcW w:w="2410" w:type="dxa"/>
          </w:tcPr>
          <w:p w:rsidR="00BD1E63" w:rsidRPr="00776F68" w:rsidRDefault="00BD1E63" w:rsidP="000F51E1">
            <w:pPr>
              <w:pStyle w:val="Tabletext"/>
              <w:ind w:right="907"/>
              <w:jc w:val="right"/>
              <w:rPr>
                <w:lang w:val="es-ES_tradnl"/>
              </w:rPr>
            </w:pPr>
            <w:r w:rsidRPr="00776F68">
              <w:rPr>
                <w:lang w:val="es-ES_tradnl"/>
              </w:rPr>
              <w:t>16 641</w:t>
            </w:r>
          </w:p>
        </w:tc>
        <w:tc>
          <w:tcPr>
            <w:tcW w:w="2410" w:type="dxa"/>
          </w:tcPr>
          <w:p w:rsidR="00BD1E63" w:rsidRPr="00776F68" w:rsidRDefault="00BD1E63" w:rsidP="001C7F15">
            <w:pPr>
              <w:pStyle w:val="Tabletext"/>
              <w:jc w:val="center"/>
              <w:rPr>
                <w:lang w:val="es-ES_tradnl"/>
              </w:rPr>
            </w:pPr>
            <w:r w:rsidRPr="00776F68">
              <w:rPr>
                <w:lang w:val="es-ES_tradnl"/>
              </w:rPr>
              <w:t>4,6</w:t>
            </w:r>
          </w:p>
        </w:tc>
      </w:tr>
      <w:tr w:rsidR="00BD1E63" w:rsidRPr="00776F68" w:rsidTr="004306EE">
        <w:trPr>
          <w:jc w:val="center"/>
        </w:trPr>
        <w:tc>
          <w:tcPr>
            <w:tcW w:w="1700" w:type="dxa"/>
          </w:tcPr>
          <w:p w:rsidR="00BD1E63" w:rsidRPr="00776F68" w:rsidRDefault="00BD1E63" w:rsidP="001C7F15">
            <w:pPr>
              <w:pStyle w:val="Tabletext"/>
              <w:jc w:val="center"/>
              <w:rPr>
                <w:lang w:val="es-ES_tradnl"/>
              </w:rPr>
            </w:pPr>
            <w:r w:rsidRPr="00776F68">
              <w:rPr>
                <w:lang w:val="es-ES_tradnl"/>
              </w:rPr>
              <w:t>10</w:t>
            </w:r>
          </w:p>
        </w:tc>
        <w:tc>
          <w:tcPr>
            <w:tcW w:w="2410" w:type="dxa"/>
          </w:tcPr>
          <w:p w:rsidR="00BD1E63" w:rsidRPr="00776F68" w:rsidRDefault="00BD1E63" w:rsidP="000F51E1">
            <w:pPr>
              <w:pStyle w:val="Tabletext"/>
              <w:ind w:right="964"/>
              <w:jc w:val="right"/>
              <w:rPr>
                <w:lang w:val="es-ES_tradnl"/>
              </w:rPr>
            </w:pPr>
            <w:r w:rsidRPr="00776F68">
              <w:rPr>
                <w:lang w:val="es-ES_tradnl"/>
              </w:rPr>
              <w:t>3 461</w:t>
            </w:r>
          </w:p>
        </w:tc>
        <w:tc>
          <w:tcPr>
            <w:tcW w:w="2410" w:type="dxa"/>
          </w:tcPr>
          <w:p w:rsidR="00BD1E63" w:rsidRPr="00776F68" w:rsidRDefault="00BD1E63" w:rsidP="000F51E1">
            <w:pPr>
              <w:pStyle w:val="Tabletext"/>
              <w:ind w:right="907"/>
              <w:jc w:val="right"/>
              <w:rPr>
                <w:lang w:val="es-ES_tradnl"/>
              </w:rPr>
            </w:pPr>
            <w:r w:rsidRPr="00776F68">
              <w:rPr>
                <w:lang w:val="es-ES_tradnl"/>
              </w:rPr>
              <w:t>10 730</w:t>
            </w:r>
          </w:p>
        </w:tc>
        <w:tc>
          <w:tcPr>
            <w:tcW w:w="2410" w:type="dxa"/>
          </w:tcPr>
          <w:p w:rsidR="00BD1E63" w:rsidRPr="00776F68" w:rsidRDefault="00BD1E63" w:rsidP="001C7F15">
            <w:pPr>
              <w:pStyle w:val="Tabletext"/>
              <w:jc w:val="center"/>
              <w:rPr>
                <w:lang w:val="es-ES_tradnl"/>
              </w:rPr>
            </w:pPr>
            <w:r w:rsidRPr="00776F68">
              <w:rPr>
                <w:lang w:val="es-ES_tradnl"/>
              </w:rPr>
              <w:t>3,0</w:t>
            </w:r>
          </w:p>
        </w:tc>
      </w:tr>
      <w:tr w:rsidR="00BD1E63" w:rsidRPr="00776F68" w:rsidTr="004306EE">
        <w:trPr>
          <w:jc w:val="center"/>
        </w:trPr>
        <w:tc>
          <w:tcPr>
            <w:tcW w:w="1700" w:type="dxa"/>
          </w:tcPr>
          <w:p w:rsidR="00BD1E63" w:rsidRPr="00776F68" w:rsidRDefault="00BD1E63" w:rsidP="001C7F15">
            <w:pPr>
              <w:pStyle w:val="Tabletext"/>
              <w:jc w:val="center"/>
              <w:rPr>
                <w:lang w:val="es-ES_tradnl"/>
              </w:rPr>
            </w:pPr>
            <w:r w:rsidRPr="00776F68">
              <w:rPr>
                <w:lang w:val="es-ES_tradnl"/>
              </w:rPr>
              <w:t>15</w:t>
            </w:r>
          </w:p>
        </w:tc>
        <w:tc>
          <w:tcPr>
            <w:tcW w:w="2410" w:type="dxa"/>
          </w:tcPr>
          <w:p w:rsidR="00BD1E63" w:rsidRPr="00776F68" w:rsidRDefault="00BD1E63" w:rsidP="000F51E1">
            <w:pPr>
              <w:pStyle w:val="Tabletext"/>
              <w:ind w:right="964"/>
              <w:jc w:val="right"/>
              <w:rPr>
                <w:lang w:val="es-ES_tradnl"/>
              </w:rPr>
            </w:pPr>
            <w:r w:rsidRPr="00776F68">
              <w:rPr>
                <w:lang w:val="es-ES_tradnl"/>
              </w:rPr>
              <w:t>2 117</w:t>
            </w:r>
          </w:p>
        </w:tc>
        <w:tc>
          <w:tcPr>
            <w:tcW w:w="2410" w:type="dxa"/>
          </w:tcPr>
          <w:p w:rsidR="00BD1E63" w:rsidRPr="00776F68" w:rsidRDefault="00BD1E63" w:rsidP="000F51E1">
            <w:pPr>
              <w:pStyle w:val="Tabletext"/>
              <w:ind w:right="907"/>
              <w:jc w:val="right"/>
              <w:rPr>
                <w:lang w:val="es-ES_tradnl"/>
              </w:rPr>
            </w:pPr>
            <w:r w:rsidRPr="00776F68">
              <w:rPr>
                <w:lang w:val="es-ES_tradnl"/>
              </w:rPr>
              <w:t>6 563</w:t>
            </w:r>
          </w:p>
        </w:tc>
        <w:tc>
          <w:tcPr>
            <w:tcW w:w="2410" w:type="dxa"/>
          </w:tcPr>
          <w:p w:rsidR="00BD1E63" w:rsidRPr="00776F68" w:rsidRDefault="00BD1E63" w:rsidP="001C7F15">
            <w:pPr>
              <w:pStyle w:val="Tabletext"/>
              <w:jc w:val="center"/>
              <w:rPr>
                <w:lang w:val="es-ES_tradnl"/>
              </w:rPr>
            </w:pPr>
            <w:r w:rsidRPr="00776F68">
              <w:rPr>
                <w:lang w:val="es-ES_tradnl"/>
              </w:rPr>
              <w:t>1,8</w:t>
            </w:r>
          </w:p>
        </w:tc>
      </w:tr>
      <w:tr w:rsidR="00BD1E63" w:rsidRPr="00776F68" w:rsidTr="004306EE">
        <w:trPr>
          <w:jc w:val="center"/>
        </w:trPr>
        <w:tc>
          <w:tcPr>
            <w:tcW w:w="1700" w:type="dxa"/>
          </w:tcPr>
          <w:p w:rsidR="00BD1E63" w:rsidRPr="00776F68" w:rsidRDefault="00BD1E63" w:rsidP="001C7F15">
            <w:pPr>
              <w:pStyle w:val="Tabletext"/>
              <w:jc w:val="center"/>
              <w:rPr>
                <w:lang w:val="es-ES_tradnl"/>
              </w:rPr>
            </w:pPr>
            <w:r w:rsidRPr="00776F68">
              <w:rPr>
                <w:lang w:val="es-ES_tradnl"/>
              </w:rPr>
              <w:t>20</w:t>
            </w:r>
          </w:p>
        </w:tc>
        <w:tc>
          <w:tcPr>
            <w:tcW w:w="2410" w:type="dxa"/>
          </w:tcPr>
          <w:p w:rsidR="00BD1E63" w:rsidRPr="00776F68" w:rsidRDefault="00BD1E63" w:rsidP="000F51E1">
            <w:pPr>
              <w:pStyle w:val="Tabletext"/>
              <w:ind w:right="964"/>
              <w:jc w:val="right"/>
              <w:rPr>
                <w:lang w:val="es-ES_tradnl"/>
              </w:rPr>
            </w:pPr>
            <w:r w:rsidRPr="00776F68">
              <w:rPr>
                <w:lang w:val="es-ES_tradnl"/>
              </w:rPr>
              <w:t>1 535</w:t>
            </w:r>
          </w:p>
        </w:tc>
        <w:tc>
          <w:tcPr>
            <w:tcW w:w="2410" w:type="dxa"/>
          </w:tcPr>
          <w:p w:rsidR="00BD1E63" w:rsidRPr="00776F68" w:rsidRDefault="00BD1E63" w:rsidP="000F51E1">
            <w:pPr>
              <w:pStyle w:val="Tabletext"/>
              <w:ind w:right="907"/>
              <w:jc w:val="right"/>
              <w:rPr>
                <w:lang w:val="es-ES_tradnl"/>
              </w:rPr>
            </w:pPr>
            <w:r w:rsidRPr="00776F68">
              <w:rPr>
                <w:lang w:val="es-ES_tradnl"/>
              </w:rPr>
              <w:t>4 759</w:t>
            </w:r>
          </w:p>
        </w:tc>
        <w:tc>
          <w:tcPr>
            <w:tcW w:w="2410" w:type="dxa"/>
          </w:tcPr>
          <w:p w:rsidR="00BD1E63" w:rsidRPr="00776F68" w:rsidRDefault="00BD1E63" w:rsidP="001C7F15">
            <w:pPr>
              <w:pStyle w:val="Tabletext"/>
              <w:jc w:val="center"/>
              <w:rPr>
                <w:lang w:val="es-ES_tradnl"/>
              </w:rPr>
            </w:pPr>
            <w:r w:rsidRPr="00776F68">
              <w:rPr>
                <w:lang w:val="es-ES_tradnl"/>
              </w:rPr>
              <w:t>1,3</w:t>
            </w:r>
          </w:p>
        </w:tc>
      </w:tr>
      <w:tr w:rsidR="00BD1E63" w:rsidRPr="00776F68" w:rsidTr="004306EE">
        <w:trPr>
          <w:jc w:val="center"/>
        </w:trPr>
        <w:tc>
          <w:tcPr>
            <w:tcW w:w="1700" w:type="dxa"/>
          </w:tcPr>
          <w:p w:rsidR="00BD1E63" w:rsidRPr="00776F68" w:rsidRDefault="00BD1E63" w:rsidP="001C7F15">
            <w:pPr>
              <w:pStyle w:val="Tabletext"/>
              <w:jc w:val="center"/>
              <w:rPr>
                <w:lang w:val="es-ES_tradnl"/>
              </w:rPr>
            </w:pPr>
            <w:r w:rsidRPr="00776F68">
              <w:rPr>
                <w:lang w:val="es-ES_tradnl"/>
              </w:rPr>
              <w:t>30</w:t>
            </w:r>
          </w:p>
        </w:tc>
        <w:tc>
          <w:tcPr>
            <w:tcW w:w="2410" w:type="dxa"/>
          </w:tcPr>
          <w:p w:rsidR="00BD1E63" w:rsidRPr="00776F68" w:rsidRDefault="00BD1E63" w:rsidP="000F51E1">
            <w:pPr>
              <w:pStyle w:val="Tabletext"/>
              <w:ind w:right="964"/>
              <w:jc w:val="right"/>
              <w:rPr>
                <w:lang w:val="es-ES_tradnl"/>
              </w:rPr>
            </w:pPr>
            <w:r w:rsidRPr="00776F68">
              <w:rPr>
                <w:lang w:val="es-ES_tradnl"/>
              </w:rPr>
              <w:t>849</w:t>
            </w:r>
          </w:p>
        </w:tc>
        <w:tc>
          <w:tcPr>
            <w:tcW w:w="2410" w:type="dxa"/>
          </w:tcPr>
          <w:p w:rsidR="00BD1E63" w:rsidRPr="00776F68" w:rsidRDefault="00BD1E63" w:rsidP="000F51E1">
            <w:pPr>
              <w:pStyle w:val="Tabletext"/>
              <w:ind w:right="907"/>
              <w:jc w:val="right"/>
              <w:rPr>
                <w:lang w:val="es-ES_tradnl"/>
              </w:rPr>
            </w:pPr>
            <w:r w:rsidRPr="00776F68">
              <w:rPr>
                <w:lang w:val="es-ES_tradnl"/>
              </w:rPr>
              <w:t>2 632</w:t>
            </w:r>
          </w:p>
        </w:tc>
        <w:tc>
          <w:tcPr>
            <w:tcW w:w="2410" w:type="dxa"/>
          </w:tcPr>
          <w:p w:rsidR="00BD1E63" w:rsidRPr="00776F68" w:rsidRDefault="001C7F15" w:rsidP="001C7F15">
            <w:pPr>
              <w:pStyle w:val="Tabletext"/>
              <w:jc w:val="center"/>
              <w:rPr>
                <w:lang w:val="es-ES_tradnl"/>
              </w:rPr>
            </w:pPr>
            <w:r w:rsidRPr="00776F68">
              <w:rPr>
                <w:lang w:val="es-ES_tradnl"/>
              </w:rPr>
              <w:t>  </w:t>
            </w:r>
            <w:r w:rsidR="00BD1E63" w:rsidRPr="00776F68">
              <w:rPr>
                <w:lang w:val="es-ES_tradnl"/>
              </w:rPr>
              <w:t>0,72</w:t>
            </w:r>
          </w:p>
        </w:tc>
      </w:tr>
      <w:tr w:rsidR="00BD1E63" w:rsidRPr="00776F68" w:rsidTr="004306EE">
        <w:trPr>
          <w:jc w:val="center"/>
        </w:trPr>
        <w:tc>
          <w:tcPr>
            <w:tcW w:w="1700" w:type="dxa"/>
          </w:tcPr>
          <w:p w:rsidR="00BD1E63" w:rsidRPr="00776F68" w:rsidRDefault="00BD1E63" w:rsidP="001C7F15">
            <w:pPr>
              <w:pStyle w:val="Tabletext"/>
              <w:jc w:val="center"/>
              <w:rPr>
                <w:lang w:val="es-ES_tradnl"/>
              </w:rPr>
            </w:pPr>
            <w:r w:rsidRPr="00776F68">
              <w:rPr>
                <w:lang w:val="es-ES_tradnl"/>
              </w:rPr>
              <w:t>40</w:t>
            </w:r>
          </w:p>
        </w:tc>
        <w:tc>
          <w:tcPr>
            <w:tcW w:w="2410" w:type="dxa"/>
          </w:tcPr>
          <w:p w:rsidR="00BD1E63" w:rsidRPr="00776F68" w:rsidRDefault="00BD1E63" w:rsidP="000F51E1">
            <w:pPr>
              <w:pStyle w:val="Tabletext"/>
              <w:ind w:right="964"/>
              <w:jc w:val="right"/>
              <w:rPr>
                <w:lang w:val="es-ES_tradnl"/>
              </w:rPr>
            </w:pPr>
            <w:r w:rsidRPr="00776F68">
              <w:rPr>
                <w:lang w:val="es-ES_tradnl"/>
              </w:rPr>
              <w:t>573</w:t>
            </w:r>
          </w:p>
        </w:tc>
        <w:tc>
          <w:tcPr>
            <w:tcW w:w="2410" w:type="dxa"/>
          </w:tcPr>
          <w:p w:rsidR="00BD1E63" w:rsidRPr="00776F68" w:rsidRDefault="00BD1E63" w:rsidP="000F51E1">
            <w:pPr>
              <w:pStyle w:val="Tabletext"/>
              <w:ind w:right="907"/>
              <w:jc w:val="right"/>
              <w:rPr>
                <w:lang w:val="es-ES_tradnl"/>
              </w:rPr>
            </w:pPr>
            <w:r w:rsidRPr="00776F68">
              <w:rPr>
                <w:lang w:val="es-ES_tradnl"/>
              </w:rPr>
              <w:t>1 777</w:t>
            </w:r>
          </w:p>
        </w:tc>
        <w:tc>
          <w:tcPr>
            <w:tcW w:w="2410" w:type="dxa"/>
          </w:tcPr>
          <w:p w:rsidR="00BD1E63" w:rsidRPr="00776F68" w:rsidRDefault="00BD1E63" w:rsidP="001C7F15">
            <w:pPr>
              <w:pStyle w:val="Tabletext"/>
              <w:jc w:val="center"/>
              <w:rPr>
                <w:lang w:val="es-ES_tradnl"/>
              </w:rPr>
            </w:pPr>
            <w:r w:rsidRPr="00776F68">
              <w:rPr>
                <w:lang w:val="es-ES_tradnl"/>
              </w:rPr>
              <w:t>0,5</w:t>
            </w:r>
          </w:p>
        </w:tc>
      </w:tr>
      <w:tr w:rsidR="00BD1E63" w:rsidRPr="00776F68" w:rsidTr="004306EE">
        <w:trPr>
          <w:jc w:val="center"/>
        </w:trPr>
        <w:tc>
          <w:tcPr>
            <w:tcW w:w="1700" w:type="dxa"/>
          </w:tcPr>
          <w:p w:rsidR="00BD1E63" w:rsidRPr="00776F68" w:rsidRDefault="00BD1E63" w:rsidP="001C7F15">
            <w:pPr>
              <w:pStyle w:val="Tabletext"/>
              <w:jc w:val="center"/>
              <w:rPr>
                <w:lang w:val="es-ES_tradnl"/>
              </w:rPr>
            </w:pPr>
            <w:r w:rsidRPr="00776F68">
              <w:rPr>
                <w:lang w:val="es-ES_tradnl"/>
              </w:rPr>
              <w:t>50</w:t>
            </w:r>
          </w:p>
        </w:tc>
        <w:tc>
          <w:tcPr>
            <w:tcW w:w="2410" w:type="dxa"/>
          </w:tcPr>
          <w:p w:rsidR="00BD1E63" w:rsidRPr="00776F68" w:rsidRDefault="00BD1E63" w:rsidP="000F51E1">
            <w:pPr>
              <w:pStyle w:val="Tabletext"/>
              <w:ind w:right="964"/>
              <w:jc w:val="right"/>
              <w:rPr>
                <w:lang w:val="es-ES_tradnl"/>
              </w:rPr>
            </w:pPr>
            <w:r w:rsidRPr="00776F68">
              <w:rPr>
                <w:lang w:val="es-ES_tradnl"/>
              </w:rPr>
              <w:t>381</w:t>
            </w:r>
          </w:p>
        </w:tc>
        <w:tc>
          <w:tcPr>
            <w:tcW w:w="2410" w:type="dxa"/>
          </w:tcPr>
          <w:p w:rsidR="00BD1E63" w:rsidRPr="00776F68" w:rsidRDefault="00BD1E63" w:rsidP="000F51E1">
            <w:pPr>
              <w:pStyle w:val="Tabletext"/>
              <w:ind w:right="907"/>
              <w:jc w:val="right"/>
              <w:rPr>
                <w:lang w:val="es-ES_tradnl"/>
              </w:rPr>
            </w:pPr>
            <w:r w:rsidRPr="00776F68">
              <w:rPr>
                <w:lang w:val="es-ES_tradnl"/>
              </w:rPr>
              <w:t>1 182</w:t>
            </w:r>
          </w:p>
        </w:tc>
        <w:tc>
          <w:tcPr>
            <w:tcW w:w="2410" w:type="dxa"/>
          </w:tcPr>
          <w:p w:rsidR="00BD1E63" w:rsidRPr="00776F68" w:rsidRDefault="001C7F15" w:rsidP="001C7F15">
            <w:pPr>
              <w:pStyle w:val="Tabletext"/>
              <w:jc w:val="center"/>
              <w:rPr>
                <w:lang w:val="es-ES_tradnl"/>
              </w:rPr>
            </w:pPr>
            <w:r w:rsidRPr="00776F68">
              <w:rPr>
                <w:lang w:val="es-ES_tradnl"/>
              </w:rPr>
              <w:t>  </w:t>
            </w:r>
            <w:r w:rsidR="00BD1E63" w:rsidRPr="00776F68">
              <w:rPr>
                <w:lang w:val="es-ES_tradnl"/>
              </w:rPr>
              <w:t>0,32</w:t>
            </w:r>
          </w:p>
        </w:tc>
      </w:tr>
      <w:tr w:rsidR="00BD1E63" w:rsidRPr="00776F68" w:rsidTr="004306EE">
        <w:trPr>
          <w:jc w:val="center"/>
        </w:trPr>
        <w:tc>
          <w:tcPr>
            <w:tcW w:w="1700" w:type="dxa"/>
          </w:tcPr>
          <w:p w:rsidR="00BD1E63" w:rsidRPr="00776F68" w:rsidRDefault="00BD1E63" w:rsidP="001C7F15">
            <w:pPr>
              <w:pStyle w:val="Tabletext"/>
              <w:jc w:val="center"/>
              <w:rPr>
                <w:lang w:val="es-ES_tradnl"/>
              </w:rPr>
            </w:pPr>
            <w:r w:rsidRPr="00776F68">
              <w:rPr>
                <w:lang w:val="es-ES_tradnl"/>
              </w:rPr>
              <w:t>60</w:t>
            </w:r>
          </w:p>
        </w:tc>
        <w:tc>
          <w:tcPr>
            <w:tcW w:w="2410" w:type="dxa"/>
          </w:tcPr>
          <w:p w:rsidR="00BD1E63" w:rsidRPr="00776F68" w:rsidRDefault="00BD1E63" w:rsidP="000F51E1">
            <w:pPr>
              <w:pStyle w:val="Tabletext"/>
              <w:ind w:right="964"/>
              <w:jc w:val="right"/>
              <w:rPr>
                <w:lang w:val="es-ES_tradnl"/>
              </w:rPr>
            </w:pPr>
            <w:r w:rsidRPr="00776F68">
              <w:rPr>
                <w:lang w:val="es-ES_tradnl"/>
              </w:rPr>
              <w:t>253</w:t>
            </w:r>
          </w:p>
        </w:tc>
        <w:tc>
          <w:tcPr>
            <w:tcW w:w="2410" w:type="dxa"/>
          </w:tcPr>
          <w:p w:rsidR="00BD1E63" w:rsidRPr="00776F68" w:rsidRDefault="00BD1E63" w:rsidP="000F51E1">
            <w:pPr>
              <w:pStyle w:val="Tabletext"/>
              <w:ind w:right="907"/>
              <w:jc w:val="right"/>
              <w:rPr>
                <w:lang w:val="es-ES_tradnl"/>
              </w:rPr>
            </w:pPr>
            <w:r w:rsidRPr="00776F68">
              <w:rPr>
                <w:lang w:val="es-ES_tradnl"/>
              </w:rPr>
              <w:t>785</w:t>
            </w:r>
          </w:p>
        </w:tc>
        <w:tc>
          <w:tcPr>
            <w:tcW w:w="2410" w:type="dxa"/>
          </w:tcPr>
          <w:p w:rsidR="00BD1E63" w:rsidRPr="00776F68" w:rsidRDefault="001C7F15" w:rsidP="001C7F15">
            <w:pPr>
              <w:pStyle w:val="Tabletext"/>
              <w:jc w:val="center"/>
              <w:rPr>
                <w:lang w:val="es-ES_tradnl"/>
              </w:rPr>
            </w:pPr>
            <w:r w:rsidRPr="00776F68">
              <w:rPr>
                <w:lang w:val="es-ES_tradnl"/>
              </w:rPr>
              <w:t>  </w:t>
            </w:r>
            <w:r w:rsidR="00BD1E63" w:rsidRPr="00776F68">
              <w:rPr>
                <w:lang w:val="es-ES_tradnl"/>
              </w:rPr>
              <w:t>0,22</w:t>
            </w:r>
          </w:p>
        </w:tc>
      </w:tr>
      <w:tr w:rsidR="00BD1E63" w:rsidRPr="00776F68" w:rsidTr="004306EE">
        <w:trPr>
          <w:jc w:val="center"/>
        </w:trPr>
        <w:tc>
          <w:tcPr>
            <w:tcW w:w="1700" w:type="dxa"/>
          </w:tcPr>
          <w:p w:rsidR="00BD1E63" w:rsidRPr="00776F68" w:rsidRDefault="00BD1E63" w:rsidP="001C7F15">
            <w:pPr>
              <w:pStyle w:val="Tabletext"/>
              <w:jc w:val="center"/>
              <w:rPr>
                <w:lang w:val="es-ES_tradnl"/>
              </w:rPr>
            </w:pPr>
            <w:r w:rsidRPr="00776F68">
              <w:rPr>
                <w:lang w:val="es-ES_tradnl"/>
              </w:rPr>
              <w:t>70</w:t>
            </w:r>
          </w:p>
        </w:tc>
        <w:tc>
          <w:tcPr>
            <w:tcW w:w="2410" w:type="dxa"/>
          </w:tcPr>
          <w:p w:rsidR="00BD1E63" w:rsidRPr="00776F68" w:rsidRDefault="00BD1E63" w:rsidP="000F51E1">
            <w:pPr>
              <w:pStyle w:val="Tabletext"/>
              <w:ind w:right="964"/>
              <w:jc w:val="right"/>
              <w:rPr>
                <w:lang w:val="es-ES_tradnl"/>
              </w:rPr>
            </w:pPr>
            <w:r w:rsidRPr="00776F68">
              <w:rPr>
                <w:lang w:val="es-ES_tradnl"/>
              </w:rPr>
              <w:t>162</w:t>
            </w:r>
          </w:p>
        </w:tc>
        <w:tc>
          <w:tcPr>
            <w:tcW w:w="2410" w:type="dxa"/>
          </w:tcPr>
          <w:p w:rsidR="00BD1E63" w:rsidRPr="00776F68" w:rsidRDefault="00BD1E63" w:rsidP="000F51E1">
            <w:pPr>
              <w:pStyle w:val="Tabletext"/>
              <w:ind w:right="907"/>
              <w:jc w:val="right"/>
              <w:rPr>
                <w:lang w:val="es-ES_tradnl"/>
              </w:rPr>
            </w:pPr>
            <w:r w:rsidRPr="00776F68">
              <w:rPr>
                <w:lang w:val="es-ES_tradnl"/>
              </w:rPr>
              <w:t>502</w:t>
            </w:r>
          </w:p>
        </w:tc>
        <w:tc>
          <w:tcPr>
            <w:tcW w:w="2410" w:type="dxa"/>
          </w:tcPr>
          <w:p w:rsidR="00BD1E63" w:rsidRPr="00776F68" w:rsidRDefault="001C7F15" w:rsidP="001C7F15">
            <w:pPr>
              <w:pStyle w:val="Tabletext"/>
              <w:jc w:val="center"/>
              <w:rPr>
                <w:lang w:val="es-ES_tradnl"/>
              </w:rPr>
            </w:pPr>
            <w:r w:rsidRPr="00776F68">
              <w:rPr>
                <w:lang w:val="es-ES_tradnl"/>
              </w:rPr>
              <w:t>  </w:t>
            </w:r>
            <w:r w:rsidR="00BD1E63" w:rsidRPr="00776F68">
              <w:rPr>
                <w:lang w:val="es-ES_tradnl"/>
              </w:rPr>
              <w:t>0,15</w:t>
            </w:r>
          </w:p>
        </w:tc>
      </w:tr>
    </w:tbl>
    <w:p w:rsidR="00BD1E63" w:rsidRPr="00776F68" w:rsidRDefault="00BD1E63" w:rsidP="00BD1E63">
      <w:pPr>
        <w:rPr>
          <w:lang w:val="es-ES_tradnl"/>
        </w:rPr>
      </w:pPr>
      <w:r w:rsidRPr="00776F68">
        <w:rPr>
          <w:lang w:val="es-ES_tradnl"/>
        </w:rPr>
        <w:t>La calidad de las mediciones también puede caracterizarse por la precisión absoluta, Δ</w:t>
      </w:r>
      <w:r w:rsidRPr="00776F68">
        <w:rPr>
          <w:i/>
          <w:iCs/>
          <w:vertAlign w:val="subscript"/>
          <w:lang w:val="es-ES_tradnl"/>
        </w:rPr>
        <w:t>SO</w:t>
      </w:r>
      <w:r w:rsidRPr="00776F68">
        <w:rPr>
          <w:lang w:val="es-ES_tradnl"/>
        </w:rPr>
        <w:fldChar w:fldCharType="begin"/>
      </w:r>
      <w:r w:rsidRPr="00776F68">
        <w:rPr>
          <w:lang w:val="es-ES_tradnl"/>
        </w:rPr>
        <w:fldChar w:fldCharType="end"/>
      </w:r>
      <w:r w:rsidRPr="00776F68">
        <w:rPr>
          <w:lang w:val="es-ES_tradnl"/>
        </w:rPr>
        <w:t xml:space="preserve">, que determina la magnitud del margen de desviación de las estimaciones con respecto al valor verdadero </w:t>
      </w:r>
      <w:r w:rsidRPr="00776F68">
        <w:rPr>
          <w:i/>
          <w:iCs/>
          <w:lang w:val="es-ES_tradnl"/>
        </w:rPr>
        <w:t>SO</w:t>
      </w:r>
      <w:r w:rsidRPr="00776F68">
        <w:rPr>
          <w:lang w:val="es-ES_tradnl"/>
        </w:rPr>
        <w:t xml:space="preserve"> que se considera permisible; y por la confianza (nivel de confianza), que indica la probabilidad mínima con que las estimaciones de ocupación deben coincidir con el intervalo entre (SO − Δ</w:t>
      </w:r>
      <w:r w:rsidRPr="00776F68">
        <w:rPr>
          <w:i/>
          <w:iCs/>
          <w:vertAlign w:val="subscript"/>
          <w:lang w:val="es-ES_tradnl"/>
        </w:rPr>
        <w:t>SO</w:t>
      </w:r>
      <w:r w:rsidRPr="00776F68">
        <w:rPr>
          <w:lang w:val="es-ES_tradnl"/>
        </w:rPr>
        <w:t>) a (SO + Δ</w:t>
      </w:r>
      <w:r w:rsidRPr="00776F68">
        <w:rPr>
          <w:i/>
          <w:iCs/>
          <w:vertAlign w:val="subscript"/>
          <w:lang w:val="es-ES_tradnl"/>
        </w:rPr>
        <w:t>SO</w:t>
      </w:r>
      <w:r w:rsidRPr="00776F68">
        <w:rPr>
          <w:lang w:val="es-ES_tradnl"/>
        </w:rPr>
        <w:t>)</w:t>
      </w:r>
      <w:r w:rsidRPr="00776F68">
        <w:rPr>
          <w:lang w:val="es-ES_tradnl"/>
        </w:rPr>
        <w:fldChar w:fldCharType="begin"/>
      </w:r>
      <w:r w:rsidRPr="00776F68">
        <w:rPr>
          <w:lang w:val="es-ES_tradnl"/>
        </w:rPr>
        <w:fldChar w:fldCharType="end"/>
      </w:r>
      <w:r w:rsidRPr="00776F68">
        <w:rPr>
          <w:lang w:val="es-ES_tradnl"/>
        </w:rPr>
        <w:t xml:space="preserve">, denominado intervalo de confianza. En ocasiones resulta más conveniente fijar los límites del intervalo de confianza como </w:t>
      </w:r>
      <w:r w:rsidRPr="00776F68">
        <w:rPr>
          <w:i/>
          <w:iCs/>
          <w:lang w:val="es-ES_tradnl"/>
        </w:rPr>
        <w:t>SO</w:t>
      </w:r>
      <w:r w:rsidRPr="00776F68">
        <w:rPr>
          <w:lang w:val="es-ES_tradnl"/>
        </w:rPr>
        <w:t> · (1 ± δ</w:t>
      </w:r>
      <w:r w:rsidRPr="00776F68">
        <w:rPr>
          <w:i/>
          <w:iCs/>
          <w:vertAlign w:val="subscript"/>
          <w:lang w:val="es-ES_tradnl"/>
        </w:rPr>
        <w:t>SO</w:t>
      </w:r>
      <w:r w:rsidRPr="00776F68">
        <w:rPr>
          <w:lang w:val="es-ES_tradnl"/>
        </w:rPr>
        <w:t>)</w:t>
      </w:r>
      <w:r w:rsidRPr="00776F68">
        <w:rPr>
          <w:lang w:val="es-ES_tradnl"/>
        </w:rPr>
        <w:fldChar w:fldCharType="begin"/>
      </w:r>
      <w:r w:rsidRPr="00776F68">
        <w:rPr>
          <w:lang w:val="es-ES_tradnl"/>
        </w:rPr>
        <w:fldChar w:fldCharType="end"/>
      </w:r>
      <w:r w:rsidRPr="00776F68">
        <w:rPr>
          <w:lang w:val="es-ES_tradnl"/>
        </w:rPr>
        <w:t>, donde δ</w:t>
      </w:r>
      <w:r w:rsidRPr="00776F68">
        <w:rPr>
          <w:i/>
          <w:iCs/>
          <w:vertAlign w:val="subscript"/>
          <w:lang w:val="es-ES_tradnl"/>
        </w:rPr>
        <w:t>SO</w:t>
      </w:r>
      <w:r w:rsidRPr="00776F68">
        <w:rPr>
          <w:lang w:val="es-ES_tradnl"/>
        </w:rPr>
        <w:t> = Δ</w:t>
      </w:r>
      <w:r w:rsidRPr="00776F68">
        <w:rPr>
          <w:i/>
          <w:iCs/>
          <w:vertAlign w:val="subscript"/>
          <w:lang w:val="es-ES_tradnl"/>
        </w:rPr>
        <w:t>SO</w:t>
      </w:r>
      <w:r w:rsidRPr="00776F68">
        <w:rPr>
          <w:sz w:val="8"/>
          <w:szCs w:val="8"/>
          <w:vertAlign w:val="subscript"/>
          <w:lang w:val="es-ES_tradnl"/>
        </w:rPr>
        <w:t> </w:t>
      </w:r>
      <w:r w:rsidRPr="00776F68">
        <w:rPr>
          <w:lang w:val="es-ES_tradnl"/>
        </w:rPr>
        <w:t>/</w:t>
      </w:r>
      <w:r w:rsidRPr="00776F68">
        <w:rPr>
          <w:sz w:val="8"/>
          <w:szCs w:val="8"/>
          <w:vertAlign w:val="subscript"/>
          <w:lang w:val="es-ES_tradnl"/>
        </w:rPr>
        <w:t> </w:t>
      </w:r>
      <w:r w:rsidRPr="00776F68">
        <w:rPr>
          <w:i/>
          <w:iCs/>
          <w:lang w:val="es-ES_tradnl"/>
        </w:rPr>
        <w:t>SO</w:t>
      </w:r>
      <w:r w:rsidRPr="00776F68">
        <w:rPr>
          <w:lang w:val="es-ES_tradnl"/>
        </w:rPr>
        <w:t xml:space="preserve"> es el error de evaluación relativo máximo permisible.</w:t>
      </w:r>
    </w:p>
    <w:p w:rsidR="00BD1E63" w:rsidRPr="00776F68" w:rsidRDefault="00BD1E63" w:rsidP="00BD1E63">
      <w:pPr>
        <w:rPr>
          <w:lang w:val="es-ES_tradnl"/>
        </w:rPr>
      </w:pPr>
      <w:r w:rsidRPr="00776F68">
        <w:rPr>
          <w:lang w:val="es-ES_tradnl"/>
        </w:rPr>
        <w:t>Para que las mediciones sean lo suficientemente precisas y fiables utilizando de manera económica los recursos informáticos, se ha de tener en cuenta lo siguiente.</w:t>
      </w:r>
    </w:p>
    <w:p w:rsidR="00BD1E63" w:rsidRPr="00776F68" w:rsidRDefault="00BD1E63" w:rsidP="00BD1E63">
      <w:pPr>
        <w:rPr>
          <w:lang w:val="es-ES_tradnl"/>
        </w:rPr>
      </w:pPr>
      <w:r w:rsidRPr="00776F68">
        <w:rPr>
          <w:lang w:val="es-ES_tradnl"/>
        </w:rPr>
        <w:t xml:space="preserve">La precisión y fiabilidad de las estimaciones de ocupación están determinadas no sólo por el número de muestras obtenidas durante el </w:t>
      </w:r>
      <w:r w:rsidRPr="00776F68">
        <w:rPr>
          <w:i/>
          <w:iCs/>
          <w:lang w:val="es-ES_tradnl"/>
        </w:rPr>
        <w:t>tiempo de integración</w:t>
      </w:r>
      <w:r w:rsidRPr="00776F68">
        <w:rPr>
          <w:lang w:val="es-ES_tradnl"/>
        </w:rPr>
        <w:t xml:space="preserve">, sino también por la naturaleza de las señales observadas en el canal radioeléctrico. Los requisitos más estrictos en lo que respecta al número de muestras acumuladas y velocidad operativa del equipo de comprobación técnica entran en juego en el caso de los canales radioeléctricos donde predominan las señales impulsivas cuya duración es inferior a la milésima parte del </w:t>
      </w:r>
      <w:r w:rsidRPr="00776F68">
        <w:rPr>
          <w:i/>
          <w:iCs/>
          <w:lang w:val="es-ES_tradnl"/>
        </w:rPr>
        <w:t>tiempo de integración</w:t>
      </w:r>
      <w:r w:rsidRPr="00776F68">
        <w:rPr>
          <w:lang w:val="es-ES_tradnl"/>
        </w:rPr>
        <w:t>. Este tipo de señal analizada también es característica cuando se mide la ocupación de la banda de frecuencias. En el caso de los canales con señales impulsivas, el número de muestras necesario para realizar mediciones precisas y fiables está determinado, siendo todos los demás parámetros idénticos, por el nivel real de ocupación del canal, como puede verse en el Cuadro 2.</w:t>
      </w:r>
    </w:p>
    <w:p w:rsidR="00BD1E63" w:rsidRPr="00776F68" w:rsidRDefault="00BD1E63" w:rsidP="00BD1E63">
      <w:pPr>
        <w:pStyle w:val="TableNo"/>
        <w:rPr>
          <w:lang w:val="es-ES_tradnl"/>
        </w:rPr>
      </w:pPr>
      <w:r w:rsidRPr="00776F68">
        <w:rPr>
          <w:lang w:val="es-ES_tradnl"/>
        </w:rPr>
        <w:t>CUADRO 2</w:t>
      </w:r>
    </w:p>
    <w:p w:rsidR="00BD1E63" w:rsidRPr="00776F68" w:rsidRDefault="00BD1E63" w:rsidP="001C7F15">
      <w:pPr>
        <w:pStyle w:val="Tabletitle"/>
        <w:rPr>
          <w:lang w:val="es-ES_tradnl"/>
        </w:rPr>
      </w:pPr>
      <w:r w:rsidRPr="00776F68">
        <w:rPr>
          <w:lang w:val="es-ES_tradnl"/>
        </w:rPr>
        <w:t xml:space="preserve">Número de muestras necesario para lograr un error relativo, </w:t>
      </w:r>
      <w:r w:rsidRPr="00776F68">
        <w:rPr>
          <w:rFonts w:eastAsia="Calibri"/>
          <w:lang w:val="es-ES_tradnl"/>
        </w:rPr>
        <w:t>δ</w:t>
      </w:r>
      <w:r w:rsidRPr="00776F68">
        <w:rPr>
          <w:rFonts w:eastAsia="Calibri"/>
          <w:i/>
          <w:iCs/>
          <w:vertAlign w:val="subscript"/>
          <w:lang w:val="es-ES_tradnl"/>
        </w:rPr>
        <w:t>SO</w:t>
      </w:r>
      <w:r w:rsidRPr="00E11066">
        <w:rPr>
          <w:rFonts w:eastAsia="Calibri"/>
          <w:lang w:val="es-ES_tradnl"/>
        </w:rPr>
        <w:t>,</w:t>
      </w:r>
      <w:r w:rsidR="001C7F15" w:rsidRPr="00776F68">
        <w:rPr>
          <w:rFonts w:eastAsia="Calibri"/>
          <w:i/>
          <w:iCs/>
          <w:vertAlign w:val="subscript"/>
          <w:lang w:val="es-ES_tradnl"/>
        </w:rPr>
        <w:br/>
      </w:r>
      <w:r w:rsidRPr="00776F68">
        <w:rPr>
          <w:rFonts w:eastAsia="Calibri"/>
          <w:lang w:val="es-ES_tradnl"/>
        </w:rPr>
        <w:t>máximo</w:t>
      </w:r>
      <w:r w:rsidR="001C7F15" w:rsidRPr="00776F68">
        <w:rPr>
          <w:rFonts w:eastAsia="Calibri"/>
          <w:lang w:val="es-ES_tradnl"/>
        </w:rPr>
        <w:t xml:space="preserve"> </w:t>
      </w:r>
      <w:r w:rsidRPr="00776F68">
        <w:rPr>
          <w:rFonts w:eastAsia="Calibri"/>
          <w:lang w:val="es-ES_tradnl"/>
        </w:rPr>
        <w:t xml:space="preserve">del 10% o un error absoluto, </w:t>
      </w:r>
      <w:r w:rsidRPr="00776F68">
        <w:rPr>
          <w:lang w:val="es-ES_tradnl"/>
        </w:rPr>
        <w:t>Δ</w:t>
      </w:r>
      <w:r w:rsidRPr="00776F68">
        <w:rPr>
          <w:i/>
          <w:iCs/>
          <w:vertAlign w:val="subscript"/>
          <w:lang w:val="es-ES_tradnl"/>
        </w:rPr>
        <w:t>SO</w:t>
      </w:r>
      <w:r w:rsidRPr="00E11066">
        <w:rPr>
          <w:lang w:val="es-ES_tradnl"/>
        </w:rPr>
        <w:t xml:space="preserve">, </w:t>
      </w:r>
      <w:r w:rsidRPr="00776F68">
        <w:rPr>
          <w:lang w:val="es-ES_tradnl"/>
        </w:rPr>
        <w:t>del 1%</w:t>
      </w:r>
      <w:r w:rsidR="001C7F15" w:rsidRPr="00776F68">
        <w:rPr>
          <w:lang w:val="es-ES_tradnl"/>
        </w:rPr>
        <w:br/>
      </w:r>
      <w:r w:rsidRPr="00776F68">
        <w:rPr>
          <w:lang w:val="es-ES_tradnl"/>
        </w:rPr>
        <w:t>con un nivel de confianza del 95%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31"/>
        <w:gridCol w:w="1926"/>
        <w:gridCol w:w="1926"/>
        <w:gridCol w:w="1926"/>
        <w:gridCol w:w="1926"/>
      </w:tblGrid>
      <w:tr w:rsidR="00BD1E63" w:rsidRPr="00776F68" w:rsidTr="004306EE">
        <w:trPr>
          <w:jc w:val="center"/>
        </w:trPr>
        <w:tc>
          <w:tcPr>
            <w:tcW w:w="1531" w:type="dxa"/>
            <w:vMerge w:val="restart"/>
            <w:vAlign w:val="center"/>
          </w:tcPr>
          <w:p w:rsidR="00BD1E63" w:rsidRPr="00776F68" w:rsidRDefault="00BD1E63" w:rsidP="000F51E1">
            <w:pPr>
              <w:pStyle w:val="Tablehead"/>
              <w:rPr>
                <w:lang w:val="es-ES_tradnl"/>
              </w:rPr>
            </w:pPr>
            <w:r w:rsidRPr="00776F68">
              <w:rPr>
                <w:lang w:val="es-ES_tradnl"/>
              </w:rPr>
              <w:t xml:space="preserve">Ocupación del canal, </w:t>
            </w:r>
            <w:r w:rsidRPr="00776F68">
              <w:rPr>
                <w:lang w:val="es-ES_tradnl"/>
              </w:rPr>
              <w:br/>
              <w:t>%</w:t>
            </w:r>
          </w:p>
        </w:tc>
        <w:tc>
          <w:tcPr>
            <w:tcW w:w="3852" w:type="dxa"/>
            <w:gridSpan w:val="2"/>
            <w:vAlign w:val="center"/>
          </w:tcPr>
          <w:p w:rsidR="00BD1E63" w:rsidRPr="00776F68" w:rsidRDefault="00BD1E63" w:rsidP="000F51E1">
            <w:pPr>
              <w:pStyle w:val="Tablehead"/>
              <w:rPr>
                <w:lang w:val="es-ES_tradnl"/>
              </w:rPr>
            </w:pPr>
            <w:r w:rsidRPr="00776F68">
              <w:rPr>
                <w:lang w:val="es-ES_tradnl"/>
              </w:rPr>
              <w:t>Error relativo requerido δ</w:t>
            </w:r>
            <w:r w:rsidRPr="00776F68">
              <w:rPr>
                <w:i/>
                <w:iCs/>
                <w:vertAlign w:val="subscript"/>
                <w:lang w:val="es-ES_tradnl"/>
              </w:rPr>
              <w:t>SO</w:t>
            </w:r>
            <w:r w:rsidRPr="00776F68">
              <w:rPr>
                <w:lang w:val="es-ES_tradnl"/>
              </w:rPr>
              <w:t> = 10%</w:t>
            </w:r>
          </w:p>
        </w:tc>
        <w:tc>
          <w:tcPr>
            <w:tcW w:w="3852" w:type="dxa"/>
            <w:gridSpan w:val="2"/>
            <w:vAlign w:val="center"/>
          </w:tcPr>
          <w:p w:rsidR="00BD1E63" w:rsidRPr="00776F68" w:rsidRDefault="00BD1E63" w:rsidP="000F51E1">
            <w:pPr>
              <w:pStyle w:val="Tablehead"/>
              <w:rPr>
                <w:lang w:val="es-ES_tradnl"/>
              </w:rPr>
            </w:pPr>
            <w:r w:rsidRPr="00776F68">
              <w:rPr>
                <w:lang w:val="es-ES_tradnl"/>
              </w:rPr>
              <w:t>Error absoluto requerido Δ</w:t>
            </w:r>
            <w:r w:rsidRPr="00776F68">
              <w:rPr>
                <w:i/>
                <w:iCs/>
                <w:vertAlign w:val="subscript"/>
                <w:lang w:val="es-ES_tradnl"/>
              </w:rPr>
              <w:t>SO</w:t>
            </w:r>
            <w:r w:rsidRPr="00776F68">
              <w:rPr>
                <w:lang w:val="es-ES_tradnl"/>
              </w:rPr>
              <w:t> = 1%</w:t>
            </w:r>
          </w:p>
        </w:tc>
      </w:tr>
      <w:tr w:rsidR="00BD1E63" w:rsidRPr="0023713D" w:rsidTr="004306EE">
        <w:trPr>
          <w:jc w:val="center"/>
        </w:trPr>
        <w:tc>
          <w:tcPr>
            <w:tcW w:w="1531" w:type="dxa"/>
            <w:vMerge/>
          </w:tcPr>
          <w:p w:rsidR="00BD1E63" w:rsidRPr="00776F68" w:rsidRDefault="00BD1E63" w:rsidP="000F51E1">
            <w:pPr>
              <w:rPr>
                <w:lang w:val="es-ES_tradnl"/>
              </w:rPr>
            </w:pPr>
          </w:p>
        </w:tc>
        <w:tc>
          <w:tcPr>
            <w:tcW w:w="1926" w:type="dxa"/>
            <w:vAlign w:val="center"/>
          </w:tcPr>
          <w:p w:rsidR="00BD1E63" w:rsidRPr="00776F68" w:rsidRDefault="00BD1E63" w:rsidP="000F51E1">
            <w:pPr>
              <w:pStyle w:val="Tablehead"/>
              <w:rPr>
                <w:lang w:val="es-ES_tradnl"/>
              </w:rPr>
            </w:pPr>
            <w:r w:rsidRPr="00776F68">
              <w:rPr>
                <w:lang w:val="es-ES_tradnl"/>
              </w:rPr>
              <w:t>Magnitud de error absoluto resultante, %</w:t>
            </w:r>
          </w:p>
        </w:tc>
        <w:tc>
          <w:tcPr>
            <w:tcW w:w="1926" w:type="dxa"/>
            <w:vAlign w:val="center"/>
          </w:tcPr>
          <w:p w:rsidR="00BD1E63" w:rsidRPr="00776F68" w:rsidRDefault="00BD1E63" w:rsidP="000F51E1">
            <w:pPr>
              <w:pStyle w:val="Tablehead"/>
              <w:rPr>
                <w:lang w:val="es-ES_tradnl"/>
              </w:rPr>
            </w:pPr>
            <w:r w:rsidRPr="00776F68">
              <w:rPr>
                <w:lang w:val="es-ES_tradnl"/>
              </w:rPr>
              <w:t>Número necesario de muestras independientes</w:t>
            </w:r>
          </w:p>
        </w:tc>
        <w:tc>
          <w:tcPr>
            <w:tcW w:w="1926" w:type="dxa"/>
            <w:vAlign w:val="center"/>
          </w:tcPr>
          <w:p w:rsidR="00BD1E63" w:rsidRPr="00776F68" w:rsidRDefault="00BD1E63" w:rsidP="000F51E1">
            <w:pPr>
              <w:pStyle w:val="Tablehead"/>
              <w:rPr>
                <w:lang w:val="es-ES_tradnl"/>
              </w:rPr>
            </w:pPr>
            <w:r w:rsidRPr="00776F68">
              <w:rPr>
                <w:lang w:val="es-ES_tradnl"/>
              </w:rPr>
              <w:t>Magnitud de error absoluto resultante, %</w:t>
            </w:r>
          </w:p>
        </w:tc>
        <w:tc>
          <w:tcPr>
            <w:tcW w:w="1926" w:type="dxa"/>
            <w:vAlign w:val="center"/>
          </w:tcPr>
          <w:p w:rsidR="00BD1E63" w:rsidRPr="00776F68" w:rsidRDefault="00BD1E63" w:rsidP="000F51E1">
            <w:pPr>
              <w:pStyle w:val="Tablehead"/>
              <w:rPr>
                <w:lang w:val="es-ES_tradnl"/>
              </w:rPr>
            </w:pPr>
            <w:r w:rsidRPr="00776F68">
              <w:rPr>
                <w:lang w:val="es-ES_tradnl"/>
              </w:rPr>
              <w:t>Número necesario de muestras independientes</w:t>
            </w:r>
          </w:p>
        </w:tc>
      </w:tr>
      <w:tr w:rsidR="00BD1E63" w:rsidRPr="00776F68" w:rsidTr="004306EE">
        <w:trPr>
          <w:jc w:val="center"/>
        </w:trPr>
        <w:tc>
          <w:tcPr>
            <w:tcW w:w="1531" w:type="dxa"/>
          </w:tcPr>
          <w:p w:rsidR="00BD1E63" w:rsidRPr="00776F68" w:rsidRDefault="00BD1E63" w:rsidP="001C7F15">
            <w:pPr>
              <w:pStyle w:val="Tabletext"/>
              <w:jc w:val="center"/>
              <w:rPr>
                <w:lang w:val="es-ES_tradnl"/>
              </w:rPr>
            </w:pPr>
            <w:r w:rsidRPr="00776F68">
              <w:rPr>
                <w:lang w:val="es-ES_tradnl"/>
              </w:rPr>
              <w:t>1</w:t>
            </w:r>
          </w:p>
        </w:tc>
        <w:tc>
          <w:tcPr>
            <w:tcW w:w="1926" w:type="dxa"/>
          </w:tcPr>
          <w:p w:rsidR="00BD1E63" w:rsidRPr="00776F68" w:rsidRDefault="00BD1E63" w:rsidP="000F51E1">
            <w:pPr>
              <w:pStyle w:val="Tabletext"/>
              <w:jc w:val="center"/>
              <w:rPr>
                <w:lang w:val="es-ES_tradnl"/>
              </w:rPr>
            </w:pPr>
            <w:r w:rsidRPr="00776F68">
              <w:rPr>
                <w:lang w:val="es-ES_tradnl"/>
              </w:rPr>
              <w:t>0,1</w:t>
            </w:r>
          </w:p>
        </w:tc>
        <w:tc>
          <w:tcPr>
            <w:tcW w:w="1926" w:type="dxa"/>
          </w:tcPr>
          <w:p w:rsidR="00BD1E63" w:rsidRPr="00776F68" w:rsidRDefault="00BD1E63" w:rsidP="000F51E1">
            <w:pPr>
              <w:pStyle w:val="Tabletext"/>
              <w:ind w:right="567"/>
              <w:jc w:val="right"/>
              <w:rPr>
                <w:lang w:val="es-ES_tradnl"/>
              </w:rPr>
            </w:pPr>
            <w:r w:rsidRPr="00776F68">
              <w:rPr>
                <w:lang w:val="es-ES_tradnl"/>
              </w:rPr>
              <w:t>38 047</w:t>
            </w:r>
          </w:p>
        </w:tc>
        <w:tc>
          <w:tcPr>
            <w:tcW w:w="1926" w:type="dxa"/>
          </w:tcPr>
          <w:p w:rsidR="00BD1E63" w:rsidRPr="00776F68" w:rsidRDefault="00BD1E63" w:rsidP="000F51E1">
            <w:pPr>
              <w:pStyle w:val="Tabletext"/>
              <w:ind w:right="624"/>
              <w:jc w:val="right"/>
              <w:rPr>
                <w:lang w:val="es-ES_tradnl"/>
              </w:rPr>
            </w:pPr>
            <w:r w:rsidRPr="00776F68">
              <w:rPr>
                <w:lang w:val="es-ES_tradnl"/>
              </w:rPr>
              <w:t>100,0</w:t>
            </w:r>
          </w:p>
        </w:tc>
        <w:tc>
          <w:tcPr>
            <w:tcW w:w="1926" w:type="dxa"/>
          </w:tcPr>
          <w:p w:rsidR="00BD1E63" w:rsidRPr="00776F68" w:rsidRDefault="00BD1E63" w:rsidP="000F51E1">
            <w:pPr>
              <w:pStyle w:val="Tabletext"/>
              <w:ind w:right="624"/>
              <w:jc w:val="right"/>
              <w:rPr>
                <w:lang w:val="es-ES_tradnl"/>
              </w:rPr>
            </w:pPr>
            <w:r w:rsidRPr="00776F68">
              <w:rPr>
                <w:lang w:val="es-ES_tradnl"/>
              </w:rPr>
              <w:t>380</w:t>
            </w:r>
          </w:p>
        </w:tc>
      </w:tr>
      <w:tr w:rsidR="00BD1E63" w:rsidRPr="00776F68" w:rsidTr="004306EE">
        <w:trPr>
          <w:jc w:val="center"/>
        </w:trPr>
        <w:tc>
          <w:tcPr>
            <w:tcW w:w="1531" w:type="dxa"/>
          </w:tcPr>
          <w:p w:rsidR="00BD1E63" w:rsidRPr="00776F68" w:rsidRDefault="00BD1E63" w:rsidP="001C7F15">
            <w:pPr>
              <w:pStyle w:val="Tabletext"/>
              <w:jc w:val="center"/>
              <w:rPr>
                <w:lang w:val="es-ES_tradnl"/>
              </w:rPr>
            </w:pPr>
            <w:r w:rsidRPr="00776F68">
              <w:rPr>
                <w:lang w:val="es-ES_tradnl"/>
              </w:rPr>
              <w:t>2</w:t>
            </w:r>
          </w:p>
        </w:tc>
        <w:tc>
          <w:tcPr>
            <w:tcW w:w="1926" w:type="dxa"/>
          </w:tcPr>
          <w:p w:rsidR="00BD1E63" w:rsidRPr="00776F68" w:rsidRDefault="00BD1E63" w:rsidP="000F51E1">
            <w:pPr>
              <w:pStyle w:val="Tabletext"/>
              <w:jc w:val="center"/>
              <w:rPr>
                <w:lang w:val="es-ES_tradnl"/>
              </w:rPr>
            </w:pPr>
            <w:r w:rsidRPr="00776F68">
              <w:rPr>
                <w:lang w:val="es-ES_tradnl"/>
              </w:rPr>
              <w:t>0,2</w:t>
            </w:r>
          </w:p>
        </w:tc>
        <w:tc>
          <w:tcPr>
            <w:tcW w:w="1926" w:type="dxa"/>
          </w:tcPr>
          <w:p w:rsidR="00BD1E63" w:rsidRPr="00776F68" w:rsidRDefault="00BD1E63" w:rsidP="000F51E1">
            <w:pPr>
              <w:pStyle w:val="Tabletext"/>
              <w:ind w:right="567"/>
              <w:jc w:val="right"/>
              <w:rPr>
                <w:lang w:val="es-ES_tradnl"/>
              </w:rPr>
            </w:pPr>
            <w:r w:rsidRPr="00776F68">
              <w:rPr>
                <w:lang w:val="es-ES_tradnl"/>
              </w:rPr>
              <w:t>18 832</w:t>
            </w:r>
          </w:p>
        </w:tc>
        <w:tc>
          <w:tcPr>
            <w:tcW w:w="1926" w:type="dxa"/>
          </w:tcPr>
          <w:p w:rsidR="00BD1E63" w:rsidRPr="00776F68" w:rsidRDefault="00BD1E63" w:rsidP="000F51E1">
            <w:pPr>
              <w:pStyle w:val="Tabletext"/>
              <w:ind w:right="624"/>
              <w:jc w:val="right"/>
              <w:rPr>
                <w:lang w:val="es-ES_tradnl"/>
              </w:rPr>
            </w:pPr>
            <w:r w:rsidRPr="00776F68">
              <w:rPr>
                <w:lang w:val="es-ES_tradnl"/>
              </w:rPr>
              <w:t>50,0</w:t>
            </w:r>
          </w:p>
        </w:tc>
        <w:tc>
          <w:tcPr>
            <w:tcW w:w="1926" w:type="dxa"/>
          </w:tcPr>
          <w:p w:rsidR="00BD1E63" w:rsidRPr="00776F68" w:rsidRDefault="00BD1E63" w:rsidP="000F51E1">
            <w:pPr>
              <w:pStyle w:val="Tabletext"/>
              <w:ind w:right="624"/>
              <w:jc w:val="right"/>
              <w:rPr>
                <w:lang w:val="es-ES_tradnl"/>
              </w:rPr>
            </w:pPr>
            <w:r w:rsidRPr="00776F68">
              <w:rPr>
                <w:lang w:val="es-ES_tradnl"/>
              </w:rPr>
              <w:t>753</w:t>
            </w:r>
          </w:p>
        </w:tc>
      </w:tr>
      <w:tr w:rsidR="00BD1E63" w:rsidRPr="00776F68" w:rsidTr="004306EE">
        <w:trPr>
          <w:jc w:val="center"/>
        </w:trPr>
        <w:tc>
          <w:tcPr>
            <w:tcW w:w="1531" w:type="dxa"/>
          </w:tcPr>
          <w:p w:rsidR="00BD1E63" w:rsidRPr="00776F68" w:rsidRDefault="00BD1E63" w:rsidP="001C7F15">
            <w:pPr>
              <w:pStyle w:val="Tabletext"/>
              <w:jc w:val="center"/>
              <w:rPr>
                <w:lang w:val="es-ES_tradnl"/>
              </w:rPr>
            </w:pPr>
            <w:r w:rsidRPr="00776F68">
              <w:rPr>
                <w:lang w:val="es-ES_tradnl"/>
              </w:rPr>
              <w:t>3</w:t>
            </w:r>
          </w:p>
        </w:tc>
        <w:tc>
          <w:tcPr>
            <w:tcW w:w="1926" w:type="dxa"/>
          </w:tcPr>
          <w:p w:rsidR="00BD1E63" w:rsidRPr="00776F68" w:rsidRDefault="00BD1E63" w:rsidP="000F51E1">
            <w:pPr>
              <w:pStyle w:val="Tabletext"/>
              <w:jc w:val="center"/>
              <w:rPr>
                <w:lang w:val="es-ES_tradnl"/>
              </w:rPr>
            </w:pPr>
            <w:r w:rsidRPr="00776F68">
              <w:rPr>
                <w:lang w:val="es-ES_tradnl"/>
              </w:rPr>
              <w:t>0,3</w:t>
            </w:r>
          </w:p>
        </w:tc>
        <w:tc>
          <w:tcPr>
            <w:tcW w:w="1926" w:type="dxa"/>
          </w:tcPr>
          <w:p w:rsidR="00BD1E63" w:rsidRPr="00776F68" w:rsidRDefault="00BD1E63" w:rsidP="000F51E1">
            <w:pPr>
              <w:pStyle w:val="Tabletext"/>
              <w:ind w:right="567"/>
              <w:jc w:val="right"/>
              <w:rPr>
                <w:lang w:val="es-ES_tradnl"/>
              </w:rPr>
            </w:pPr>
            <w:r w:rsidRPr="00776F68">
              <w:rPr>
                <w:lang w:val="es-ES_tradnl"/>
              </w:rPr>
              <w:t>12 426</w:t>
            </w:r>
          </w:p>
        </w:tc>
        <w:tc>
          <w:tcPr>
            <w:tcW w:w="1926" w:type="dxa"/>
          </w:tcPr>
          <w:p w:rsidR="00BD1E63" w:rsidRPr="00776F68" w:rsidRDefault="00BD1E63" w:rsidP="000F51E1">
            <w:pPr>
              <w:pStyle w:val="Tabletext"/>
              <w:ind w:right="624"/>
              <w:jc w:val="right"/>
              <w:rPr>
                <w:lang w:val="es-ES_tradnl"/>
              </w:rPr>
            </w:pPr>
            <w:r w:rsidRPr="00776F68">
              <w:rPr>
                <w:lang w:val="es-ES_tradnl"/>
              </w:rPr>
              <w:t>33,3</w:t>
            </w:r>
          </w:p>
        </w:tc>
        <w:tc>
          <w:tcPr>
            <w:tcW w:w="1926" w:type="dxa"/>
          </w:tcPr>
          <w:p w:rsidR="00BD1E63" w:rsidRPr="00776F68" w:rsidRDefault="00BD1E63" w:rsidP="000F51E1">
            <w:pPr>
              <w:pStyle w:val="Tabletext"/>
              <w:ind w:right="624"/>
              <w:jc w:val="right"/>
              <w:rPr>
                <w:lang w:val="es-ES_tradnl"/>
              </w:rPr>
            </w:pPr>
            <w:r w:rsidRPr="00776F68">
              <w:rPr>
                <w:lang w:val="es-ES_tradnl"/>
              </w:rPr>
              <w:t>1 118</w:t>
            </w:r>
          </w:p>
        </w:tc>
      </w:tr>
      <w:tr w:rsidR="00BD1E63" w:rsidRPr="00776F68" w:rsidTr="004306EE">
        <w:trPr>
          <w:jc w:val="center"/>
        </w:trPr>
        <w:tc>
          <w:tcPr>
            <w:tcW w:w="1531" w:type="dxa"/>
          </w:tcPr>
          <w:p w:rsidR="00BD1E63" w:rsidRPr="00776F68" w:rsidRDefault="00BD1E63" w:rsidP="001C7F15">
            <w:pPr>
              <w:pStyle w:val="Tabletext"/>
              <w:jc w:val="center"/>
              <w:rPr>
                <w:lang w:val="es-ES_tradnl"/>
              </w:rPr>
            </w:pPr>
            <w:r w:rsidRPr="00776F68">
              <w:rPr>
                <w:lang w:val="es-ES_tradnl"/>
              </w:rPr>
              <w:t>4</w:t>
            </w:r>
          </w:p>
        </w:tc>
        <w:tc>
          <w:tcPr>
            <w:tcW w:w="1926" w:type="dxa"/>
          </w:tcPr>
          <w:p w:rsidR="00BD1E63" w:rsidRPr="00776F68" w:rsidRDefault="00BD1E63" w:rsidP="000F51E1">
            <w:pPr>
              <w:pStyle w:val="Tabletext"/>
              <w:jc w:val="center"/>
              <w:rPr>
                <w:lang w:val="es-ES_tradnl"/>
              </w:rPr>
            </w:pPr>
            <w:r w:rsidRPr="00776F68">
              <w:rPr>
                <w:lang w:val="es-ES_tradnl"/>
              </w:rPr>
              <w:t>0,4</w:t>
            </w:r>
          </w:p>
        </w:tc>
        <w:tc>
          <w:tcPr>
            <w:tcW w:w="1926" w:type="dxa"/>
          </w:tcPr>
          <w:p w:rsidR="00BD1E63" w:rsidRPr="00776F68" w:rsidRDefault="00BD1E63" w:rsidP="000F51E1">
            <w:pPr>
              <w:pStyle w:val="Tabletext"/>
              <w:ind w:right="567"/>
              <w:jc w:val="right"/>
              <w:rPr>
                <w:lang w:val="es-ES_tradnl"/>
              </w:rPr>
            </w:pPr>
            <w:r w:rsidRPr="00776F68">
              <w:rPr>
                <w:lang w:val="es-ES_tradnl"/>
              </w:rPr>
              <w:t>9 224</w:t>
            </w:r>
          </w:p>
        </w:tc>
        <w:tc>
          <w:tcPr>
            <w:tcW w:w="1926" w:type="dxa"/>
          </w:tcPr>
          <w:p w:rsidR="00BD1E63" w:rsidRPr="00776F68" w:rsidRDefault="00BD1E63" w:rsidP="000F51E1">
            <w:pPr>
              <w:pStyle w:val="Tabletext"/>
              <w:ind w:right="624"/>
              <w:jc w:val="right"/>
              <w:rPr>
                <w:lang w:val="es-ES_tradnl"/>
              </w:rPr>
            </w:pPr>
            <w:r w:rsidRPr="00776F68">
              <w:rPr>
                <w:lang w:val="es-ES_tradnl"/>
              </w:rPr>
              <w:t>25,0</w:t>
            </w:r>
          </w:p>
        </w:tc>
        <w:tc>
          <w:tcPr>
            <w:tcW w:w="1926" w:type="dxa"/>
          </w:tcPr>
          <w:p w:rsidR="00BD1E63" w:rsidRPr="00776F68" w:rsidRDefault="00BD1E63" w:rsidP="000F51E1">
            <w:pPr>
              <w:pStyle w:val="Tabletext"/>
              <w:ind w:right="624"/>
              <w:jc w:val="right"/>
              <w:rPr>
                <w:lang w:val="es-ES_tradnl"/>
              </w:rPr>
            </w:pPr>
            <w:r w:rsidRPr="00776F68">
              <w:rPr>
                <w:lang w:val="es-ES_tradnl"/>
              </w:rPr>
              <w:t>1 476</w:t>
            </w:r>
          </w:p>
        </w:tc>
      </w:tr>
      <w:tr w:rsidR="00BD1E63" w:rsidRPr="00776F68" w:rsidTr="004306EE">
        <w:trPr>
          <w:jc w:val="center"/>
        </w:trPr>
        <w:tc>
          <w:tcPr>
            <w:tcW w:w="1531" w:type="dxa"/>
          </w:tcPr>
          <w:p w:rsidR="00BD1E63" w:rsidRPr="00776F68" w:rsidRDefault="00BD1E63" w:rsidP="001C7F15">
            <w:pPr>
              <w:pStyle w:val="Tabletext"/>
              <w:jc w:val="center"/>
              <w:rPr>
                <w:lang w:val="es-ES_tradnl"/>
              </w:rPr>
            </w:pPr>
            <w:r w:rsidRPr="00776F68">
              <w:rPr>
                <w:lang w:val="es-ES_tradnl"/>
              </w:rPr>
              <w:t>5</w:t>
            </w:r>
          </w:p>
        </w:tc>
        <w:tc>
          <w:tcPr>
            <w:tcW w:w="1926" w:type="dxa"/>
          </w:tcPr>
          <w:p w:rsidR="00BD1E63" w:rsidRPr="00776F68" w:rsidRDefault="00BD1E63" w:rsidP="000F51E1">
            <w:pPr>
              <w:pStyle w:val="Tabletext"/>
              <w:jc w:val="center"/>
              <w:rPr>
                <w:lang w:val="es-ES_tradnl"/>
              </w:rPr>
            </w:pPr>
            <w:r w:rsidRPr="00776F68">
              <w:rPr>
                <w:lang w:val="es-ES_tradnl"/>
              </w:rPr>
              <w:t>0,5</w:t>
            </w:r>
          </w:p>
        </w:tc>
        <w:tc>
          <w:tcPr>
            <w:tcW w:w="1926" w:type="dxa"/>
          </w:tcPr>
          <w:p w:rsidR="00BD1E63" w:rsidRPr="00776F68" w:rsidRDefault="00BD1E63" w:rsidP="000F51E1">
            <w:pPr>
              <w:pStyle w:val="Tabletext"/>
              <w:ind w:right="567"/>
              <w:jc w:val="right"/>
              <w:rPr>
                <w:lang w:val="es-ES_tradnl"/>
              </w:rPr>
            </w:pPr>
            <w:r w:rsidRPr="00776F68">
              <w:rPr>
                <w:lang w:val="es-ES_tradnl"/>
              </w:rPr>
              <w:t>7 302</w:t>
            </w:r>
          </w:p>
        </w:tc>
        <w:tc>
          <w:tcPr>
            <w:tcW w:w="1926" w:type="dxa"/>
          </w:tcPr>
          <w:p w:rsidR="00BD1E63" w:rsidRPr="00776F68" w:rsidRDefault="00BD1E63" w:rsidP="000F51E1">
            <w:pPr>
              <w:pStyle w:val="Tabletext"/>
              <w:ind w:right="624"/>
              <w:jc w:val="right"/>
              <w:rPr>
                <w:lang w:val="es-ES_tradnl"/>
              </w:rPr>
            </w:pPr>
            <w:r w:rsidRPr="00776F68">
              <w:rPr>
                <w:lang w:val="es-ES_tradnl"/>
              </w:rPr>
              <w:t>20,0</w:t>
            </w:r>
          </w:p>
        </w:tc>
        <w:tc>
          <w:tcPr>
            <w:tcW w:w="1926" w:type="dxa"/>
          </w:tcPr>
          <w:p w:rsidR="00BD1E63" w:rsidRPr="00776F68" w:rsidRDefault="00BD1E63" w:rsidP="000F51E1">
            <w:pPr>
              <w:pStyle w:val="Tabletext"/>
              <w:ind w:right="624"/>
              <w:jc w:val="right"/>
              <w:rPr>
                <w:lang w:val="es-ES_tradnl"/>
              </w:rPr>
            </w:pPr>
            <w:r w:rsidRPr="00776F68">
              <w:rPr>
                <w:lang w:val="es-ES_tradnl"/>
              </w:rPr>
              <w:t>1 826</w:t>
            </w:r>
          </w:p>
        </w:tc>
      </w:tr>
      <w:tr w:rsidR="00BD1E63" w:rsidRPr="00776F68" w:rsidTr="004306EE">
        <w:trPr>
          <w:jc w:val="center"/>
        </w:trPr>
        <w:tc>
          <w:tcPr>
            <w:tcW w:w="1531" w:type="dxa"/>
          </w:tcPr>
          <w:p w:rsidR="00BD1E63" w:rsidRPr="00776F68" w:rsidRDefault="00BD1E63" w:rsidP="001C7F15">
            <w:pPr>
              <w:pStyle w:val="Tabletext"/>
              <w:jc w:val="center"/>
              <w:rPr>
                <w:lang w:val="es-ES_tradnl"/>
              </w:rPr>
            </w:pPr>
            <w:r w:rsidRPr="00776F68">
              <w:rPr>
                <w:lang w:val="es-ES_tradnl"/>
              </w:rPr>
              <w:t>10</w:t>
            </w:r>
          </w:p>
        </w:tc>
        <w:tc>
          <w:tcPr>
            <w:tcW w:w="1926" w:type="dxa"/>
          </w:tcPr>
          <w:p w:rsidR="00BD1E63" w:rsidRPr="00776F68" w:rsidRDefault="00BD1E63" w:rsidP="000F51E1">
            <w:pPr>
              <w:pStyle w:val="Tabletext"/>
              <w:jc w:val="center"/>
              <w:rPr>
                <w:lang w:val="es-ES_tradnl"/>
              </w:rPr>
            </w:pPr>
            <w:r w:rsidRPr="00776F68">
              <w:rPr>
                <w:lang w:val="es-ES_tradnl"/>
              </w:rPr>
              <w:t>1,0</w:t>
            </w:r>
          </w:p>
        </w:tc>
        <w:tc>
          <w:tcPr>
            <w:tcW w:w="1926" w:type="dxa"/>
          </w:tcPr>
          <w:p w:rsidR="00BD1E63" w:rsidRPr="00776F68" w:rsidRDefault="00BD1E63" w:rsidP="000F51E1">
            <w:pPr>
              <w:pStyle w:val="Tabletext"/>
              <w:ind w:right="567"/>
              <w:jc w:val="right"/>
              <w:rPr>
                <w:lang w:val="es-ES_tradnl"/>
              </w:rPr>
            </w:pPr>
            <w:r w:rsidRPr="00776F68">
              <w:rPr>
                <w:lang w:val="es-ES_tradnl"/>
              </w:rPr>
              <w:t>3 461</w:t>
            </w:r>
          </w:p>
        </w:tc>
        <w:tc>
          <w:tcPr>
            <w:tcW w:w="1926" w:type="dxa"/>
          </w:tcPr>
          <w:p w:rsidR="00BD1E63" w:rsidRPr="00776F68" w:rsidRDefault="00BD1E63" w:rsidP="000F51E1">
            <w:pPr>
              <w:pStyle w:val="Tabletext"/>
              <w:ind w:right="624"/>
              <w:jc w:val="right"/>
              <w:rPr>
                <w:lang w:val="es-ES_tradnl"/>
              </w:rPr>
            </w:pPr>
            <w:r w:rsidRPr="00776F68">
              <w:rPr>
                <w:lang w:val="es-ES_tradnl"/>
              </w:rPr>
              <w:t>10,0</w:t>
            </w:r>
          </w:p>
        </w:tc>
        <w:tc>
          <w:tcPr>
            <w:tcW w:w="1926" w:type="dxa"/>
          </w:tcPr>
          <w:p w:rsidR="00BD1E63" w:rsidRPr="00776F68" w:rsidRDefault="00BD1E63" w:rsidP="000F51E1">
            <w:pPr>
              <w:pStyle w:val="Tabletext"/>
              <w:ind w:right="624"/>
              <w:jc w:val="right"/>
              <w:rPr>
                <w:lang w:val="es-ES_tradnl"/>
              </w:rPr>
            </w:pPr>
            <w:r w:rsidRPr="00776F68">
              <w:rPr>
                <w:lang w:val="es-ES_tradnl"/>
              </w:rPr>
              <w:t>3 461</w:t>
            </w:r>
          </w:p>
        </w:tc>
      </w:tr>
      <w:tr w:rsidR="00BD1E63" w:rsidRPr="00776F68" w:rsidTr="004306EE">
        <w:trPr>
          <w:jc w:val="center"/>
        </w:trPr>
        <w:tc>
          <w:tcPr>
            <w:tcW w:w="1531" w:type="dxa"/>
          </w:tcPr>
          <w:p w:rsidR="00BD1E63" w:rsidRPr="00776F68" w:rsidRDefault="00BD1E63" w:rsidP="001C7F15">
            <w:pPr>
              <w:pStyle w:val="Tabletext"/>
              <w:jc w:val="center"/>
              <w:rPr>
                <w:lang w:val="es-ES_tradnl"/>
              </w:rPr>
            </w:pPr>
            <w:r w:rsidRPr="00776F68">
              <w:rPr>
                <w:lang w:val="es-ES_tradnl"/>
              </w:rPr>
              <w:t>15</w:t>
            </w:r>
          </w:p>
        </w:tc>
        <w:tc>
          <w:tcPr>
            <w:tcW w:w="1926" w:type="dxa"/>
          </w:tcPr>
          <w:p w:rsidR="00BD1E63" w:rsidRPr="00776F68" w:rsidRDefault="00BD1E63" w:rsidP="000F51E1">
            <w:pPr>
              <w:pStyle w:val="Tabletext"/>
              <w:jc w:val="center"/>
              <w:rPr>
                <w:lang w:val="es-ES_tradnl"/>
              </w:rPr>
            </w:pPr>
            <w:r w:rsidRPr="00776F68">
              <w:rPr>
                <w:lang w:val="es-ES_tradnl"/>
              </w:rPr>
              <w:t>1,5</w:t>
            </w:r>
          </w:p>
        </w:tc>
        <w:tc>
          <w:tcPr>
            <w:tcW w:w="1926" w:type="dxa"/>
          </w:tcPr>
          <w:p w:rsidR="00BD1E63" w:rsidRPr="00776F68" w:rsidRDefault="00BD1E63" w:rsidP="000F51E1">
            <w:pPr>
              <w:pStyle w:val="Tabletext"/>
              <w:ind w:right="567"/>
              <w:jc w:val="right"/>
              <w:rPr>
                <w:lang w:val="es-ES_tradnl"/>
              </w:rPr>
            </w:pPr>
            <w:r w:rsidRPr="00776F68">
              <w:rPr>
                <w:lang w:val="es-ES_tradnl"/>
              </w:rPr>
              <w:t>2 117</w:t>
            </w:r>
          </w:p>
        </w:tc>
        <w:tc>
          <w:tcPr>
            <w:tcW w:w="1926" w:type="dxa"/>
          </w:tcPr>
          <w:p w:rsidR="00BD1E63" w:rsidRPr="00776F68" w:rsidRDefault="00BD1E63" w:rsidP="000F51E1">
            <w:pPr>
              <w:pStyle w:val="Tabletext"/>
              <w:ind w:right="624"/>
              <w:jc w:val="right"/>
              <w:rPr>
                <w:lang w:val="es-ES_tradnl"/>
              </w:rPr>
            </w:pPr>
            <w:r w:rsidRPr="00776F68">
              <w:rPr>
                <w:lang w:val="es-ES_tradnl"/>
              </w:rPr>
              <w:t>6,7</w:t>
            </w:r>
          </w:p>
        </w:tc>
        <w:tc>
          <w:tcPr>
            <w:tcW w:w="1926" w:type="dxa"/>
          </w:tcPr>
          <w:p w:rsidR="00BD1E63" w:rsidRPr="00776F68" w:rsidRDefault="00BD1E63" w:rsidP="000F51E1">
            <w:pPr>
              <w:pStyle w:val="Tabletext"/>
              <w:ind w:right="624"/>
              <w:jc w:val="right"/>
              <w:rPr>
                <w:lang w:val="es-ES_tradnl"/>
              </w:rPr>
            </w:pPr>
            <w:r w:rsidRPr="00776F68">
              <w:rPr>
                <w:lang w:val="es-ES_tradnl"/>
              </w:rPr>
              <w:t>4 900</w:t>
            </w:r>
          </w:p>
        </w:tc>
      </w:tr>
      <w:tr w:rsidR="00BD1E63" w:rsidRPr="00776F68" w:rsidTr="004306EE">
        <w:trPr>
          <w:jc w:val="center"/>
        </w:trPr>
        <w:tc>
          <w:tcPr>
            <w:tcW w:w="1531" w:type="dxa"/>
          </w:tcPr>
          <w:p w:rsidR="00BD1E63" w:rsidRPr="00776F68" w:rsidRDefault="00BD1E63" w:rsidP="001C7F15">
            <w:pPr>
              <w:pStyle w:val="Tabletext"/>
              <w:jc w:val="center"/>
              <w:rPr>
                <w:lang w:val="es-ES_tradnl"/>
              </w:rPr>
            </w:pPr>
            <w:r w:rsidRPr="00776F68">
              <w:rPr>
                <w:lang w:val="es-ES_tradnl"/>
              </w:rPr>
              <w:t>20</w:t>
            </w:r>
          </w:p>
        </w:tc>
        <w:tc>
          <w:tcPr>
            <w:tcW w:w="1926" w:type="dxa"/>
          </w:tcPr>
          <w:p w:rsidR="00BD1E63" w:rsidRPr="00776F68" w:rsidRDefault="00BD1E63" w:rsidP="000F51E1">
            <w:pPr>
              <w:pStyle w:val="Tabletext"/>
              <w:jc w:val="center"/>
              <w:rPr>
                <w:lang w:val="es-ES_tradnl"/>
              </w:rPr>
            </w:pPr>
            <w:r w:rsidRPr="00776F68">
              <w:rPr>
                <w:lang w:val="es-ES_tradnl"/>
              </w:rPr>
              <w:t>2,0</w:t>
            </w:r>
          </w:p>
        </w:tc>
        <w:tc>
          <w:tcPr>
            <w:tcW w:w="1926" w:type="dxa"/>
          </w:tcPr>
          <w:p w:rsidR="00BD1E63" w:rsidRPr="00776F68" w:rsidRDefault="00BD1E63" w:rsidP="000F51E1">
            <w:pPr>
              <w:pStyle w:val="Tabletext"/>
              <w:ind w:right="567"/>
              <w:jc w:val="right"/>
              <w:rPr>
                <w:lang w:val="es-ES_tradnl"/>
              </w:rPr>
            </w:pPr>
            <w:r w:rsidRPr="00776F68">
              <w:rPr>
                <w:lang w:val="es-ES_tradnl"/>
              </w:rPr>
              <w:t>1 535</w:t>
            </w:r>
          </w:p>
        </w:tc>
        <w:tc>
          <w:tcPr>
            <w:tcW w:w="1926" w:type="dxa"/>
          </w:tcPr>
          <w:p w:rsidR="00BD1E63" w:rsidRPr="00776F68" w:rsidRDefault="00BD1E63" w:rsidP="000F51E1">
            <w:pPr>
              <w:pStyle w:val="Tabletext"/>
              <w:ind w:right="624"/>
              <w:jc w:val="right"/>
              <w:rPr>
                <w:lang w:val="es-ES_tradnl"/>
              </w:rPr>
            </w:pPr>
            <w:r w:rsidRPr="00776F68">
              <w:rPr>
                <w:lang w:val="es-ES_tradnl"/>
              </w:rPr>
              <w:t>5,0</w:t>
            </w:r>
          </w:p>
        </w:tc>
        <w:tc>
          <w:tcPr>
            <w:tcW w:w="1926" w:type="dxa"/>
          </w:tcPr>
          <w:p w:rsidR="00BD1E63" w:rsidRPr="00776F68" w:rsidRDefault="00BD1E63" w:rsidP="000F51E1">
            <w:pPr>
              <w:pStyle w:val="Tabletext"/>
              <w:ind w:right="624"/>
              <w:jc w:val="right"/>
              <w:rPr>
                <w:lang w:val="es-ES_tradnl"/>
              </w:rPr>
            </w:pPr>
            <w:r w:rsidRPr="00776F68">
              <w:rPr>
                <w:lang w:val="es-ES_tradnl"/>
              </w:rPr>
              <w:t>6 149</w:t>
            </w:r>
          </w:p>
        </w:tc>
      </w:tr>
      <w:tr w:rsidR="00BD1E63" w:rsidRPr="00776F68" w:rsidTr="004306EE">
        <w:trPr>
          <w:jc w:val="center"/>
        </w:trPr>
        <w:tc>
          <w:tcPr>
            <w:tcW w:w="1531" w:type="dxa"/>
          </w:tcPr>
          <w:p w:rsidR="00BD1E63" w:rsidRPr="00776F68" w:rsidRDefault="00BD1E63" w:rsidP="001C7F15">
            <w:pPr>
              <w:pStyle w:val="Tabletext"/>
              <w:jc w:val="center"/>
              <w:rPr>
                <w:lang w:val="es-ES_tradnl"/>
              </w:rPr>
            </w:pPr>
            <w:r w:rsidRPr="00776F68">
              <w:rPr>
                <w:lang w:val="es-ES_tradnl"/>
              </w:rPr>
              <w:t>30</w:t>
            </w:r>
          </w:p>
        </w:tc>
        <w:tc>
          <w:tcPr>
            <w:tcW w:w="1926" w:type="dxa"/>
          </w:tcPr>
          <w:p w:rsidR="00BD1E63" w:rsidRPr="00776F68" w:rsidRDefault="00BD1E63" w:rsidP="000F51E1">
            <w:pPr>
              <w:pStyle w:val="Tabletext"/>
              <w:jc w:val="center"/>
              <w:rPr>
                <w:lang w:val="es-ES_tradnl"/>
              </w:rPr>
            </w:pPr>
            <w:r w:rsidRPr="00776F68">
              <w:rPr>
                <w:lang w:val="es-ES_tradnl"/>
              </w:rPr>
              <w:t>3,0</w:t>
            </w:r>
          </w:p>
        </w:tc>
        <w:tc>
          <w:tcPr>
            <w:tcW w:w="1926" w:type="dxa"/>
          </w:tcPr>
          <w:p w:rsidR="00BD1E63" w:rsidRPr="00776F68" w:rsidRDefault="00BD1E63" w:rsidP="000F51E1">
            <w:pPr>
              <w:pStyle w:val="Tabletext"/>
              <w:ind w:right="567"/>
              <w:jc w:val="right"/>
              <w:rPr>
                <w:lang w:val="es-ES_tradnl"/>
              </w:rPr>
            </w:pPr>
            <w:r w:rsidRPr="00776F68">
              <w:rPr>
                <w:lang w:val="es-ES_tradnl"/>
              </w:rPr>
              <w:t>849</w:t>
            </w:r>
          </w:p>
        </w:tc>
        <w:tc>
          <w:tcPr>
            <w:tcW w:w="1926" w:type="dxa"/>
          </w:tcPr>
          <w:p w:rsidR="00BD1E63" w:rsidRPr="00776F68" w:rsidRDefault="00BD1E63" w:rsidP="000F51E1">
            <w:pPr>
              <w:pStyle w:val="Tabletext"/>
              <w:ind w:right="624"/>
              <w:jc w:val="right"/>
              <w:rPr>
                <w:lang w:val="es-ES_tradnl"/>
              </w:rPr>
            </w:pPr>
            <w:r w:rsidRPr="00776F68">
              <w:rPr>
                <w:lang w:val="es-ES_tradnl"/>
              </w:rPr>
              <w:t>3,3</w:t>
            </w:r>
          </w:p>
        </w:tc>
        <w:tc>
          <w:tcPr>
            <w:tcW w:w="1926" w:type="dxa"/>
          </w:tcPr>
          <w:p w:rsidR="00BD1E63" w:rsidRPr="00776F68" w:rsidRDefault="00BD1E63" w:rsidP="000F51E1">
            <w:pPr>
              <w:pStyle w:val="Tabletext"/>
              <w:ind w:right="624"/>
              <w:jc w:val="right"/>
              <w:rPr>
                <w:lang w:val="es-ES_tradnl"/>
              </w:rPr>
            </w:pPr>
            <w:r w:rsidRPr="00776F68">
              <w:rPr>
                <w:lang w:val="es-ES_tradnl"/>
              </w:rPr>
              <w:t>8 071</w:t>
            </w:r>
          </w:p>
        </w:tc>
      </w:tr>
      <w:tr w:rsidR="00BD1E63" w:rsidRPr="00776F68" w:rsidTr="004306EE">
        <w:trPr>
          <w:jc w:val="center"/>
        </w:trPr>
        <w:tc>
          <w:tcPr>
            <w:tcW w:w="1531" w:type="dxa"/>
          </w:tcPr>
          <w:p w:rsidR="00BD1E63" w:rsidRPr="00776F68" w:rsidRDefault="00BD1E63" w:rsidP="001C7F15">
            <w:pPr>
              <w:pStyle w:val="Tabletext"/>
              <w:jc w:val="center"/>
              <w:rPr>
                <w:lang w:val="es-ES_tradnl"/>
              </w:rPr>
            </w:pPr>
            <w:r w:rsidRPr="00776F68">
              <w:rPr>
                <w:lang w:val="es-ES_tradnl"/>
              </w:rPr>
              <w:t>40</w:t>
            </w:r>
          </w:p>
        </w:tc>
        <w:tc>
          <w:tcPr>
            <w:tcW w:w="1926" w:type="dxa"/>
          </w:tcPr>
          <w:p w:rsidR="00BD1E63" w:rsidRPr="00776F68" w:rsidRDefault="00BD1E63" w:rsidP="000F51E1">
            <w:pPr>
              <w:pStyle w:val="Tabletext"/>
              <w:jc w:val="center"/>
              <w:rPr>
                <w:lang w:val="es-ES_tradnl"/>
              </w:rPr>
            </w:pPr>
            <w:r w:rsidRPr="00776F68">
              <w:rPr>
                <w:lang w:val="es-ES_tradnl"/>
              </w:rPr>
              <w:t>4,0</w:t>
            </w:r>
          </w:p>
        </w:tc>
        <w:tc>
          <w:tcPr>
            <w:tcW w:w="1926" w:type="dxa"/>
          </w:tcPr>
          <w:p w:rsidR="00BD1E63" w:rsidRPr="00776F68" w:rsidRDefault="00BD1E63" w:rsidP="000F51E1">
            <w:pPr>
              <w:pStyle w:val="Tabletext"/>
              <w:ind w:right="567"/>
              <w:jc w:val="right"/>
              <w:rPr>
                <w:lang w:val="es-ES_tradnl"/>
              </w:rPr>
            </w:pPr>
            <w:r w:rsidRPr="00776F68">
              <w:rPr>
                <w:lang w:val="es-ES_tradnl"/>
              </w:rPr>
              <w:t>573</w:t>
            </w:r>
          </w:p>
        </w:tc>
        <w:tc>
          <w:tcPr>
            <w:tcW w:w="1926" w:type="dxa"/>
          </w:tcPr>
          <w:p w:rsidR="00BD1E63" w:rsidRPr="00776F68" w:rsidRDefault="00BD1E63" w:rsidP="000F51E1">
            <w:pPr>
              <w:pStyle w:val="Tabletext"/>
              <w:ind w:right="624"/>
              <w:jc w:val="right"/>
              <w:rPr>
                <w:lang w:val="es-ES_tradnl"/>
              </w:rPr>
            </w:pPr>
            <w:r w:rsidRPr="00776F68">
              <w:rPr>
                <w:lang w:val="es-ES_tradnl"/>
              </w:rPr>
              <w:t>2,5</w:t>
            </w:r>
          </w:p>
        </w:tc>
        <w:tc>
          <w:tcPr>
            <w:tcW w:w="1926" w:type="dxa"/>
          </w:tcPr>
          <w:p w:rsidR="00BD1E63" w:rsidRPr="00776F68" w:rsidRDefault="00BD1E63" w:rsidP="000F51E1">
            <w:pPr>
              <w:pStyle w:val="Tabletext"/>
              <w:ind w:right="624"/>
              <w:jc w:val="right"/>
              <w:rPr>
                <w:lang w:val="es-ES_tradnl"/>
              </w:rPr>
            </w:pPr>
            <w:r w:rsidRPr="00776F68">
              <w:rPr>
                <w:lang w:val="es-ES_tradnl"/>
              </w:rPr>
              <w:t>9 224</w:t>
            </w:r>
          </w:p>
        </w:tc>
      </w:tr>
      <w:tr w:rsidR="00BD1E63" w:rsidRPr="00776F68" w:rsidTr="004306EE">
        <w:trPr>
          <w:jc w:val="center"/>
        </w:trPr>
        <w:tc>
          <w:tcPr>
            <w:tcW w:w="1531" w:type="dxa"/>
          </w:tcPr>
          <w:p w:rsidR="00BD1E63" w:rsidRPr="00776F68" w:rsidRDefault="00BD1E63" w:rsidP="001C7F15">
            <w:pPr>
              <w:pStyle w:val="Tabletext"/>
              <w:jc w:val="center"/>
              <w:rPr>
                <w:lang w:val="es-ES_tradnl"/>
              </w:rPr>
            </w:pPr>
            <w:r w:rsidRPr="00776F68">
              <w:rPr>
                <w:lang w:val="es-ES_tradnl"/>
              </w:rPr>
              <w:t>50</w:t>
            </w:r>
          </w:p>
        </w:tc>
        <w:tc>
          <w:tcPr>
            <w:tcW w:w="1926" w:type="dxa"/>
          </w:tcPr>
          <w:p w:rsidR="00BD1E63" w:rsidRPr="00776F68" w:rsidRDefault="00BD1E63" w:rsidP="000F51E1">
            <w:pPr>
              <w:pStyle w:val="Tabletext"/>
              <w:jc w:val="center"/>
              <w:rPr>
                <w:lang w:val="es-ES_tradnl"/>
              </w:rPr>
            </w:pPr>
            <w:r w:rsidRPr="00776F68">
              <w:rPr>
                <w:lang w:val="es-ES_tradnl"/>
              </w:rPr>
              <w:t>5,0</w:t>
            </w:r>
          </w:p>
        </w:tc>
        <w:tc>
          <w:tcPr>
            <w:tcW w:w="1926" w:type="dxa"/>
          </w:tcPr>
          <w:p w:rsidR="00BD1E63" w:rsidRPr="00776F68" w:rsidRDefault="00BD1E63" w:rsidP="000F51E1">
            <w:pPr>
              <w:pStyle w:val="Tabletext"/>
              <w:ind w:right="567"/>
              <w:jc w:val="right"/>
              <w:rPr>
                <w:lang w:val="es-ES_tradnl"/>
              </w:rPr>
            </w:pPr>
            <w:r w:rsidRPr="00776F68">
              <w:rPr>
                <w:lang w:val="es-ES_tradnl"/>
              </w:rPr>
              <w:t>381</w:t>
            </w:r>
          </w:p>
        </w:tc>
        <w:tc>
          <w:tcPr>
            <w:tcW w:w="1926" w:type="dxa"/>
          </w:tcPr>
          <w:p w:rsidR="00BD1E63" w:rsidRPr="00776F68" w:rsidRDefault="00BD1E63" w:rsidP="000F51E1">
            <w:pPr>
              <w:pStyle w:val="Tabletext"/>
              <w:ind w:right="624"/>
              <w:jc w:val="right"/>
              <w:rPr>
                <w:lang w:val="es-ES_tradnl"/>
              </w:rPr>
            </w:pPr>
            <w:r w:rsidRPr="00776F68">
              <w:rPr>
                <w:lang w:val="es-ES_tradnl"/>
              </w:rPr>
              <w:t>2,0</w:t>
            </w:r>
          </w:p>
        </w:tc>
        <w:tc>
          <w:tcPr>
            <w:tcW w:w="1926" w:type="dxa"/>
          </w:tcPr>
          <w:p w:rsidR="00BD1E63" w:rsidRPr="00776F68" w:rsidRDefault="00BD1E63" w:rsidP="000F51E1">
            <w:pPr>
              <w:pStyle w:val="Tabletext"/>
              <w:ind w:right="624"/>
              <w:jc w:val="right"/>
              <w:rPr>
                <w:lang w:val="es-ES_tradnl"/>
              </w:rPr>
            </w:pPr>
            <w:r w:rsidRPr="00776F68">
              <w:rPr>
                <w:lang w:val="es-ES_tradnl"/>
              </w:rPr>
              <w:t>9 608</w:t>
            </w:r>
          </w:p>
        </w:tc>
      </w:tr>
      <w:tr w:rsidR="00BD1E63" w:rsidRPr="00776F68" w:rsidTr="004306EE">
        <w:trPr>
          <w:jc w:val="center"/>
        </w:trPr>
        <w:tc>
          <w:tcPr>
            <w:tcW w:w="1531" w:type="dxa"/>
          </w:tcPr>
          <w:p w:rsidR="00BD1E63" w:rsidRPr="00776F68" w:rsidRDefault="00BD1E63" w:rsidP="001C7F15">
            <w:pPr>
              <w:pStyle w:val="Tabletext"/>
              <w:jc w:val="center"/>
              <w:rPr>
                <w:lang w:val="es-ES_tradnl"/>
              </w:rPr>
            </w:pPr>
            <w:r w:rsidRPr="00776F68">
              <w:rPr>
                <w:lang w:val="es-ES_tradnl"/>
              </w:rPr>
              <w:t>60</w:t>
            </w:r>
          </w:p>
        </w:tc>
        <w:tc>
          <w:tcPr>
            <w:tcW w:w="1926" w:type="dxa"/>
          </w:tcPr>
          <w:p w:rsidR="00BD1E63" w:rsidRPr="00776F68" w:rsidRDefault="00BD1E63" w:rsidP="000F51E1">
            <w:pPr>
              <w:pStyle w:val="Tabletext"/>
              <w:jc w:val="center"/>
              <w:rPr>
                <w:lang w:val="es-ES_tradnl"/>
              </w:rPr>
            </w:pPr>
            <w:r w:rsidRPr="00776F68">
              <w:rPr>
                <w:lang w:val="es-ES_tradnl"/>
              </w:rPr>
              <w:t>6,0</w:t>
            </w:r>
          </w:p>
        </w:tc>
        <w:tc>
          <w:tcPr>
            <w:tcW w:w="1926" w:type="dxa"/>
          </w:tcPr>
          <w:p w:rsidR="00BD1E63" w:rsidRPr="00776F68" w:rsidRDefault="00BD1E63" w:rsidP="000F51E1">
            <w:pPr>
              <w:pStyle w:val="Tabletext"/>
              <w:ind w:right="567"/>
              <w:jc w:val="right"/>
              <w:rPr>
                <w:lang w:val="es-ES_tradnl"/>
              </w:rPr>
            </w:pPr>
            <w:r w:rsidRPr="00776F68">
              <w:rPr>
                <w:lang w:val="es-ES_tradnl"/>
              </w:rPr>
              <w:t>253</w:t>
            </w:r>
          </w:p>
        </w:tc>
        <w:tc>
          <w:tcPr>
            <w:tcW w:w="1926" w:type="dxa"/>
          </w:tcPr>
          <w:p w:rsidR="00BD1E63" w:rsidRPr="00776F68" w:rsidRDefault="00BD1E63" w:rsidP="000F51E1">
            <w:pPr>
              <w:pStyle w:val="Tabletext"/>
              <w:ind w:right="624"/>
              <w:jc w:val="right"/>
              <w:rPr>
                <w:lang w:val="es-ES_tradnl"/>
              </w:rPr>
            </w:pPr>
            <w:r w:rsidRPr="00776F68">
              <w:rPr>
                <w:lang w:val="es-ES_tradnl"/>
              </w:rPr>
              <w:t>1,7</w:t>
            </w:r>
          </w:p>
        </w:tc>
        <w:tc>
          <w:tcPr>
            <w:tcW w:w="1926" w:type="dxa"/>
          </w:tcPr>
          <w:p w:rsidR="00BD1E63" w:rsidRPr="00776F68" w:rsidRDefault="00BD1E63" w:rsidP="000F51E1">
            <w:pPr>
              <w:pStyle w:val="Tabletext"/>
              <w:ind w:right="624"/>
              <w:jc w:val="right"/>
              <w:rPr>
                <w:lang w:val="es-ES_tradnl"/>
              </w:rPr>
            </w:pPr>
            <w:r w:rsidRPr="00776F68">
              <w:rPr>
                <w:lang w:val="es-ES_tradnl"/>
              </w:rPr>
              <w:t>9 224</w:t>
            </w:r>
          </w:p>
        </w:tc>
      </w:tr>
      <w:tr w:rsidR="00BD1E63" w:rsidRPr="00776F68" w:rsidTr="004306EE">
        <w:trPr>
          <w:jc w:val="center"/>
        </w:trPr>
        <w:tc>
          <w:tcPr>
            <w:tcW w:w="1531" w:type="dxa"/>
          </w:tcPr>
          <w:p w:rsidR="00BD1E63" w:rsidRPr="00776F68" w:rsidRDefault="00BD1E63" w:rsidP="001C7F15">
            <w:pPr>
              <w:pStyle w:val="Tabletext"/>
              <w:jc w:val="center"/>
              <w:rPr>
                <w:lang w:val="es-ES_tradnl"/>
              </w:rPr>
            </w:pPr>
            <w:r w:rsidRPr="00776F68">
              <w:rPr>
                <w:lang w:val="es-ES_tradnl"/>
              </w:rPr>
              <w:t>70</w:t>
            </w:r>
          </w:p>
        </w:tc>
        <w:tc>
          <w:tcPr>
            <w:tcW w:w="1926" w:type="dxa"/>
          </w:tcPr>
          <w:p w:rsidR="00BD1E63" w:rsidRPr="00776F68" w:rsidRDefault="00BD1E63" w:rsidP="000F51E1">
            <w:pPr>
              <w:pStyle w:val="Tabletext"/>
              <w:jc w:val="center"/>
              <w:rPr>
                <w:lang w:val="es-ES_tradnl"/>
              </w:rPr>
            </w:pPr>
            <w:r w:rsidRPr="00776F68">
              <w:rPr>
                <w:lang w:val="es-ES_tradnl"/>
              </w:rPr>
              <w:t>7,0</w:t>
            </w:r>
          </w:p>
        </w:tc>
        <w:tc>
          <w:tcPr>
            <w:tcW w:w="1926" w:type="dxa"/>
          </w:tcPr>
          <w:p w:rsidR="00BD1E63" w:rsidRPr="00776F68" w:rsidRDefault="00BD1E63" w:rsidP="000F51E1">
            <w:pPr>
              <w:pStyle w:val="Tabletext"/>
              <w:ind w:right="567"/>
              <w:jc w:val="right"/>
              <w:rPr>
                <w:lang w:val="es-ES_tradnl"/>
              </w:rPr>
            </w:pPr>
            <w:r w:rsidRPr="00776F68">
              <w:rPr>
                <w:lang w:val="es-ES_tradnl"/>
              </w:rPr>
              <w:t>162</w:t>
            </w:r>
          </w:p>
        </w:tc>
        <w:tc>
          <w:tcPr>
            <w:tcW w:w="1926" w:type="dxa"/>
          </w:tcPr>
          <w:p w:rsidR="00BD1E63" w:rsidRPr="00776F68" w:rsidRDefault="00BD1E63" w:rsidP="000F51E1">
            <w:pPr>
              <w:pStyle w:val="Tabletext"/>
              <w:ind w:right="624"/>
              <w:jc w:val="right"/>
              <w:rPr>
                <w:lang w:val="es-ES_tradnl"/>
              </w:rPr>
            </w:pPr>
            <w:r w:rsidRPr="00776F68">
              <w:rPr>
                <w:lang w:val="es-ES_tradnl"/>
              </w:rPr>
              <w:t>1,4</w:t>
            </w:r>
          </w:p>
        </w:tc>
        <w:tc>
          <w:tcPr>
            <w:tcW w:w="1926" w:type="dxa"/>
          </w:tcPr>
          <w:p w:rsidR="00BD1E63" w:rsidRPr="00776F68" w:rsidRDefault="00BD1E63" w:rsidP="000F51E1">
            <w:pPr>
              <w:pStyle w:val="Tabletext"/>
              <w:ind w:right="624"/>
              <w:jc w:val="right"/>
              <w:rPr>
                <w:lang w:val="es-ES_tradnl"/>
              </w:rPr>
            </w:pPr>
            <w:r w:rsidRPr="00776F68">
              <w:rPr>
                <w:lang w:val="es-ES_tradnl"/>
              </w:rPr>
              <w:t>8 071</w:t>
            </w:r>
          </w:p>
        </w:tc>
      </w:tr>
      <w:tr w:rsidR="00BD1E63" w:rsidRPr="00776F68" w:rsidTr="004306EE">
        <w:trPr>
          <w:jc w:val="center"/>
        </w:trPr>
        <w:tc>
          <w:tcPr>
            <w:tcW w:w="1531" w:type="dxa"/>
          </w:tcPr>
          <w:p w:rsidR="00BD1E63" w:rsidRPr="00776F68" w:rsidRDefault="00BD1E63" w:rsidP="001C7F15">
            <w:pPr>
              <w:pStyle w:val="Tabletext"/>
              <w:jc w:val="center"/>
              <w:rPr>
                <w:lang w:val="es-ES_tradnl"/>
              </w:rPr>
            </w:pPr>
            <w:r w:rsidRPr="00776F68">
              <w:rPr>
                <w:lang w:val="es-ES_tradnl"/>
              </w:rPr>
              <w:t>80</w:t>
            </w:r>
          </w:p>
        </w:tc>
        <w:tc>
          <w:tcPr>
            <w:tcW w:w="1926" w:type="dxa"/>
          </w:tcPr>
          <w:p w:rsidR="00BD1E63" w:rsidRPr="00776F68" w:rsidRDefault="00BD1E63" w:rsidP="000F51E1">
            <w:pPr>
              <w:pStyle w:val="Tabletext"/>
              <w:jc w:val="center"/>
              <w:rPr>
                <w:lang w:val="es-ES_tradnl"/>
              </w:rPr>
            </w:pPr>
            <w:r w:rsidRPr="00776F68">
              <w:rPr>
                <w:lang w:val="es-ES_tradnl"/>
              </w:rPr>
              <w:t>8,0</w:t>
            </w:r>
          </w:p>
        </w:tc>
        <w:tc>
          <w:tcPr>
            <w:tcW w:w="1926" w:type="dxa"/>
          </w:tcPr>
          <w:p w:rsidR="00BD1E63" w:rsidRPr="00776F68" w:rsidRDefault="00BD1E63" w:rsidP="000F51E1">
            <w:pPr>
              <w:pStyle w:val="Tabletext"/>
              <w:ind w:right="567"/>
              <w:jc w:val="right"/>
              <w:rPr>
                <w:lang w:val="es-ES_tradnl"/>
              </w:rPr>
            </w:pPr>
            <w:r w:rsidRPr="00776F68">
              <w:rPr>
                <w:lang w:val="es-ES_tradnl"/>
              </w:rPr>
              <w:t>96</w:t>
            </w:r>
          </w:p>
        </w:tc>
        <w:tc>
          <w:tcPr>
            <w:tcW w:w="1926" w:type="dxa"/>
          </w:tcPr>
          <w:p w:rsidR="00BD1E63" w:rsidRPr="00776F68" w:rsidRDefault="00BD1E63" w:rsidP="000F51E1">
            <w:pPr>
              <w:pStyle w:val="Tabletext"/>
              <w:ind w:right="624"/>
              <w:jc w:val="right"/>
              <w:rPr>
                <w:lang w:val="es-ES_tradnl"/>
              </w:rPr>
            </w:pPr>
            <w:r w:rsidRPr="00776F68">
              <w:rPr>
                <w:lang w:val="es-ES_tradnl"/>
              </w:rPr>
              <w:t>1,3</w:t>
            </w:r>
          </w:p>
        </w:tc>
        <w:tc>
          <w:tcPr>
            <w:tcW w:w="1926" w:type="dxa"/>
          </w:tcPr>
          <w:p w:rsidR="00BD1E63" w:rsidRPr="00776F68" w:rsidRDefault="00BD1E63" w:rsidP="000F51E1">
            <w:pPr>
              <w:pStyle w:val="Tabletext"/>
              <w:ind w:right="624"/>
              <w:jc w:val="right"/>
              <w:rPr>
                <w:lang w:val="es-ES_tradnl"/>
              </w:rPr>
            </w:pPr>
            <w:r w:rsidRPr="00776F68">
              <w:rPr>
                <w:lang w:val="es-ES_tradnl"/>
              </w:rPr>
              <w:t>6 149</w:t>
            </w:r>
          </w:p>
        </w:tc>
      </w:tr>
      <w:tr w:rsidR="00BD1E63" w:rsidRPr="00776F68" w:rsidTr="004306EE">
        <w:trPr>
          <w:jc w:val="center"/>
        </w:trPr>
        <w:tc>
          <w:tcPr>
            <w:tcW w:w="1531" w:type="dxa"/>
          </w:tcPr>
          <w:p w:rsidR="00BD1E63" w:rsidRPr="00776F68" w:rsidRDefault="00BD1E63" w:rsidP="001C7F15">
            <w:pPr>
              <w:pStyle w:val="Tabletext"/>
              <w:jc w:val="center"/>
              <w:rPr>
                <w:lang w:val="es-ES_tradnl"/>
              </w:rPr>
            </w:pPr>
            <w:r w:rsidRPr="00776F68">
              <w:rPr>
                <w:lang w:val="es-ES_tradnl"/>
              </w:rPr>
              <w:t>90</w:t>
            </w:r>
          </w:p>
        </w:tc>
        <w:tc>
          <w:tcPr>
            <w:tcW w:w="1926" w:type="dxa"/>
          </w:tcPr>
          <w:p w:rsidR="00BD1E63" w:rsidRPr="00776F68" w:rsidRDefault="00BD1E63" w:rsidP="000F51E1">
            <w:pPr>
              <w:pStyle w:val="Tabletext"/>
              <w:jc w:val="center"/>
              <w:rPr>
                <w:lang w:val="es-ES_tradnl"/>
              </w:rPr>
            </w:pPr>
            <w:r w:rsidRPr="00776F68">
              <w:rPr>
                <w:lang w:val="es-ES_tradnl"/>
              </w:rPr>
              <w:t>9,0</w:t>
            </w:r>
          </w:p>
        </w:tc>
        <w:tc>
          <w:tcPr>
            <w:tcW w:w="1926" w:type="dxa"/>
          </w:tcPr>
          <w:p w:rsidR="00BD1E63" w:rsidRPr="00776F68" w:rsidRDefault="00BD1E63" w:rsidP="000F51E1">
            <w:pPr>
              <w:pStyle w:val="Tabletext"/>
              <w:ind w:right="567"/>
              <w:jc w:val="right"/>
              <w:rPr>
                <w:lang w:val="es-ES_tradnl"/>
              </w:rPr>
            </w:pPr>
            <w:r w:rsidRPr="00776F68">
              <w:rPr>
                <w:lang w:val="es-ES_tradnl"/>
              </w:rPr>
              <w:t>43</w:t>
            </w:r>
          </w:p>
        </w:tc>
        <w:tc>
          <w:tcPr>
            <w:tcW w:w="1926" w:type="dxa"/>
          </w:tcPr>
          <w:p w:rsidR="00BD1E63" w:rsidRPr="00776F68" w:rsidRDefault="00BD1E63" w:rsidP="000F51E1">
            <w:pPr>
              <w:pStyle w:val="Tabletext"/>
              <w:ind w:right="624"/>
              <w:jc w:val="right"/>
              <w:rPr>
                <w:lang w:val="es-ES_tradnl"/>
              </w:rPr>
            </w:pPr>
            <w:r w:rsidRPr="00776F68">
              <w:rPr>
                <w:lang w:val="es-ES_tradnl"/>
              </w:rPr>
              <w:t>1,1</w:t>
            </w:r>
          </w:p>
        </w:tc>
        <w:tc>
          <w:tcPr>
            <w:tcW w:w="1926" w:type="dxa"/>
          </w:tcPr>
          <w:p w:rsidR="00BD1E63" w:rsidRPr="00776F68" w:rsidRDefault="00BD1E63" w:rsidP="000F51E1">
            <w:pPr>
              <w:pStyle w:val="Tabletext"/>
              <w:ind w:right="624"/>
              <w:jc w:val="right"/>
              <w:rPr>
                <w:lang w:val="es-ES_tradnl"/>
              </w:rPr>
            </w:pPr>
            <w:r w:rsidRPr="00776F68">
              <w:rPr>
                <w:lang w:val="es-ES_tradnl"/>
              </w:rPr>
              <w:t>3 459</w:t>
            </w:r>
          </w:p>
        </w:tc>
      </w:tr>
    </w:tbl>
    <w:p w:rsidR="00BD1E63" w:rsidRPr="00776F68" w:rsidRDefault="00BD1E63" w:rsidP="00BD1E63">
      <w:pPr>
        <w:pStyle w:val="Tablefin"/>
        <w:rPr>
          <w:lang w:val="es-ES_tradnl"/>
        </w:rPr>
      </w:pPr>
    </w:p>
    <w:p w:rsidR="00BD1E63" w:rsidRPr="00776F68" w:rsidRDefault="00BD1E63" w:rsidP="00BD1E63">
      <w:pPr>
        <w:rPr>
          <w:lang w:val="es-ES_tradnl"/>
        </w:rPr>
      </w:pPr>
      <w:r w:rsidRPr="00776F68">
        <w:rPr>
          <w:lang w:val="es-ES_tradnl"/>
        </w:rPr>
        <w:t>Los errores de medición para los distintos valores de ocupación y el número variable de muestras de datos procesadas pueden estimarse con el gráfico de la Fig. 1. Los puntos verdes en las curvas indican los valores de error absoluto para determinados números de muestras, en particular para 1 600 y 3 600. En la parte superior izquierda del gráfico puede verse una zona sombreada no recomendable, es decir, que no se recomienda estimar la ocupación con un número tan pequeño de muestras debido al aumento inaceptable del error. Puede encontrarse información más detallada al respecto en el Anexo 1 al Informe UIT-R SM.2256.</w:t>
      </w:r>
    </w:p>
    <w:p w:rsidR="00BD1E63" w:rsidRPr="00776F68" w:rsidRDefault="00BD1E63" w:rsidP="00BD1E63">
      <w:pPr>
        <w:rPr>
          <w:lang w:val="es-ES_tradnl"/>
        </w:rPr>
      </w:pPr>
      <w:r w:rsidRPr="00776F68">
        <w:rPr>
          <w:lang w:val="es-ES_tradnl"/>
        </w:rPr>
        <w:t>No obstante, si se observan señales largas en el canal radioeléctrico, el número de muestras necesario dependerá principalmente del número medio de señales observadas durante el tiempo de integración y en general será muy inferior a cuando se observan señales impulsivas. Pueden encontrarse en el Anexo 1 al Informe UIT-R SM.2256 sugerencias sobre la evaluación de la ocupación de canales con señales largas.</w:t>
      </w:r>
    </w:p>
    <w:p w:rsidR="00BD1E63" w:rsidRPr="00776F68" w:rsidRDefault="00BD1E63" w:rsidP="00BD1E63">
      <w:pPr>
        <w:pStyle w:val="FigureNo"/>
        <w:rPr>
          <w:lang w:val="es-ES_tradnl"/>
        </w:rPr>
      </w:pPr>
      <w:r w:rsidRPr="00776F68">
        <w:rPr>
          <w:lang w:val="es-ES_tradnl"/>
        </w:rPr>
        <w:t>figura 1</w:t>
      </w:r>
    </w:p>
    <w:p w:rsidR="00BD1E63" w:rsidRPr="00776F68" w:rsidRDefault="00BD1E63" w:rsidP="00BD1E63">
      <w:pPr>
        <w:pStyle w:val="Figuretitle"/>
        <w:rPr>
          <w:lang w:val="es-ES_tradnl"/>
        </w:rPr>
      </w:pPr>
      <w:r w:rsidRPr="00776F68">
        <w:rPr>
          <w:lang w:val="es-ES_tradnl"/>
        </w:rPr>
        <w:t>Dependencia del error relativo de las estimaciones de ocupación (δ</w:t>
      </w:r>
      <w:r w:rsidRPr="00776F68">
        <w:rPr>
          <w:i/>
          <w:iCs/>
          <w:vertAlign w:val="subscript"/>
          <w:lang w:val="es-ES_tradnl"/>
        </w:rPr>
        <w:t>SO</w:t>
      </w:r>
      <w:r w:rsidRPr="00776F68">
        <w:rPr>
          <w:lang w:val="es-ES_tradnl"/>
        </w:rPr>
        <w:fldChar w:fldCharType="begin"/>
      </w:r>
      <w:r w:rsidRPr="00776F68">
        <w:rPr>
          <w:lang w:val="es-ES_tradnl"/>
        </w:rPr>
        <w:fldChar w:fldCharType="end"/>
      </w:r>
      <w:r w:rsidRPr="00776F68">
        <w:rPr>
          <w:lang w:val="es-ES_tradnl"/>
        </w:rPr>
        <w:t xml:space="preserve">, %) </w:t>
      </w:r>
      <w:r w:rsidRPr="00776F68">
        <w:rPr>
          <w:lang w:val="es-ES_tradnl"/>
        </w:rPr>
        <w:br/>
        <w:t>del número de muestras acumuladas (</w:t>
      </w:r>
      <w:r w:rsidRPr="00776F68">
        <w:rPr>
          <w:i/>
          <w:iCs/>
          <w:lang w:val="es-ES_tradnl"/>
        </w:rPr>
        <w:t>J</w:t>
      </w:r>
      <w:r w:rsidRPr="00776F68">
        <w:rPr>
          <w:i/>
          <w:iCs/>
          <w:vertAlign w:val="subscript"/>
          <w:lang w:val="es-ES_tradnl"/>
        </w:rPr>
        <w:t>m</w:t>
      </w:r>
      <w:r w:rsidRPr="00776F68">
        <w:rPr>
          <w:lang w:val="es-ES_tradnl"/>
        </w:rPr>
        <w:fldChar w:fldCharType="begin"/>
      </w:r>
      <w:r w:rsidRPr="00776F68">
        <w:rPr>
          <w:lang w:val="es-ES_tradnl"/>
        </w:rPr>
        <w:fldChar w:fldCharType="end"/>
      </w:r>
      <w:r w:rsidRPr="00776F68">
        <w:rPr>
          <w:lang w:val="es-ES_tradnl"/>
        </w:rPr>
        <w:t xml:space="preserve">) con un nivel de confianza </w:t>
      </w:r>
      <w:r w:rsidRPr="00776F68">
        <w:rPr>
          <w:lang w:val="es-ES_tradnl"/>
        </w:rPr>
        <w:br/>
        <w:t>del 95% en canales con señales impulsivas</w:t>
      </w:r>
    </w:p>
    <w:p w:rsidR="00BD1E63" w:rsidRPr="00776F68" w:rsidRDefault="00E11066" w:rsidP="00BD1E63">
      <w:pPr>
        <w:pStyle w:val="Figure"/>
        <w:rPr>
          <w:lang w:val="es-ES_tradnl"/>
        </w:rPr>
      </w:pPr>
      <w:r w:rsidRPr="00776F68">
        <w:rPr>
          <w:lang w:val="es-ES_tradnl"/>
        </w:rPr>
        <w:object w:dxaOrig="7073" w:dyaOrig="38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75pt;height:256.15pt" o:ole="">
            <v:imagedata r:id="rId14" o:title=""/>
          </v:shape>
          <o:OLEObject Type="Embed" ProgID="CorelDraw.Graphic.16" ShapeID="_x0000_i1025" DrawAspect="Content" ObjectID="_1540729220" r:id="rId15"/>
        </w:object>
      </w:r>
    </w:p>
    <w:p w:rsidR="00BD1E63" w:rsidRPr="00776F68" w:rsidRDefault="00BD1E63" w:rsidP="00BD1E63">
      <w:pPr>
        <w:pStyle w:val="Heading2"/>
        <w:rPr>
          <w:lang w:val="es-ES_tradnl"/>
        </w:rPr>
      </w:pPr>
      <w:r w:rsidRPr="00776F68">
        <w:rPr>
          <w:lang w:val="es-ES_tradnl"/>
        </w:rPr>
        <w:t>3.5</w:t>
      </w:r>
      <w:r w:rsidRPr="00776F68">
        <w:rPr>
          <w:lang w:val="es-ES_tradnl"/>
        </w:rPr>
        <w:tab/>
        <w:t>Consideración sobre las mediciones de la ocupación</w:t>
      </w:r>
    </w:p>
    <w:p w:rsidR="00BD1E63" w:rsidRPr="00776F68" w:rsidRDefault="00BD1E63" w:rsidP="00BD1E63">
      <w:pPr>
        <w:pStyle w:val="Heading3"/>
        <w:rPr>
          <w:lang w:val="es-ES_tradnl"/>
        </w:rPr>
      </w:pPr>
      <w:r w:rsidRPr="00776F68">
        <w:rPr>
          <w:lang w:val="es-ES_tradnl"/>
        </w:rPr>
        <w:t>3.5.1</w:t>
      </w:r>
      <w:r w:rsidRPr="00776F68">
        <w:rPr>
          <w:lang w:val="es-ES_tradnl"/>
        </w:rPr>
        <w:tab/>
        <w:t>Identificación de la emisión</w:t>
      </w:r>
    </w:p>
    <w:p w:rsidR="00BD1E63" w:rsidRPr="00776F68" w:rsidRDefault="00BD1E63" w:rsidP="00BD1E63">
      <w:pPr>
        <w:rPr>
          <w:lang w:val="es-ES_tradnl"/>
        </w:rPr>
      </w:pPr>
      <w:r w:rsidRPr="00776F68">
        <w:rPr>
          <w:lang w:val="es-ES_tradnl"/>
        </w:rPr>
        <w:t>Un simple registro del nivel no permite discriminar entre emisiones deseadas y no deseadas o detectar la existencia de más de un usuario funcionando en una sola frecuencia dentro de la zona de cobertura del sistema de comprobación técnica. Todas las emisiones, si se encuentran por encima de un valor umbral escogido, se consideran normalmente canales ocupados.</w:t>
      </w:r>
    </w:p>
    <w:p w:rsidR="00BD1E63" w:rsidRPr="00776F68" w:rsidRDefault="00BD1E63" w:rsidP="00BD1E63">
      <w:pPr>
        <w:rPr>
          <w:lang w:val="es-ES_tradnl"/>
        </w:rPr>
      </w:pPr>
      <w:r w:rsidRPr="00776F68">
        <w:rPr>
          <w:lang w:val="es-ES_tradnl"/>
        </w:rPr>
        <w:t>Utilizando software moderno en tiempo real y software de postprocesamiento puede discriminarse entre los diferentes usuarios teniendo en cuenta informaciones tales como la intensidad de campo o la dirección de llegada al receptor, la información de código selectiva y las características de modulación.</w:t>
      </w:r>
    </w:p>
    <w:p w:rsidR="00BD1E63" w:rsidRPr="00776F68" w:rsidRDefault="00BD1E63" w:rsidP="00BD1E63">
      <w:pPr>
        <w:pStyle w:val="Heading3"/>
        <w:rPr>
          <w:lang w:val="es-ES_tradnl"/>
        </w:rPr>
      </w:pPr>
      <w:r w:rsidRPr="00776F68">
        <w:rPr>
          <w:lang w:val="es-ES_tradnl"/>
        </w:rPr>
        <w:t>3.5.2</w:t>
      </w:r>
      <w:r w:rsidRPr="00776F68">
        <w:rPr>
          <w:lang w:val="es-ES_tradnl"/>
        </w:rPr>
        <w:tab/>
        <w:t>Comprobación técnica de las transmisiones móviles</w:t>
      </w:r>
    </w:p>
    <w:p w:rsidR="00BD1E63" w:rsidRPr="00776F68" w:rsidRDefault="00BD1E63" w:rsidP="001C7F15">
      <w:pPr>
        <w:rPr>
          <w:lang w:val="es-ES_tradnl"/>
        </w:rPr>
      </w:pPr>
      <w:r w:rsidRPr="00776F68">
        <w:rPr>
          <w:lang w:val="es-ES_tradnl"/>
        </w:rPr>
        <w:t>Puede que una unidad móvil deseada (Móvil</w:t>
      </w:r>
      <w:r w:rsidR="001C7F15" w:rsidRPr="00776F68">
        <w:rPr>
          <w:lang w:val="es-ES_tradnl"/>
        </w:rPr>
        <w:t> </w:t>
      </w:r>
      <w:r w:rsidRPr="00776F68">
        <w:rPr>
          <w:lang w:val="es-ES_tradnl"/>
        </w:rPr>
        <w:t>A) se encuentre mucho más alejada del sitio de comprobación técnica que de la propia base del usuario (Base</w:t>
      </w:r>
      <w:r w:rsidR="001C7F15" w:rsidRPr="00776F68">
        <w:rPr>
          <w:lang w:val="es-ES_tradnl"/>
        </w:rPr>
        <w:t> </w:t>
      </w:r>
      <w:r w:rsidRPr="00776F68">
        <w:rPr>
          <w:lang w:val="es-ES_tradnl"/>
        </w:rPr>
        <w:t>A). Como consecuencia, la intensidad de señal recibida puede ser menor que el valor umbral fijado para la comprobación técnica, aunque lo suficientemente fuerte como para ser utilizado en la base predestinada (véase la Fig. 2).</w:t>
      </w:r>
    </w:p>
    <w:p w:rsidR="00BD1E63" w:rsidRPr="00776F68" w:rsidRDefault="00BD1E63" w:rsidP="00BD1E63">
      <w:pPr>
        <w:pStyle w:val="FigureNo"/>
        <w:rPr>
          <w:lang w:val="es-ES_tradnl"/>
        </w:rPr>
      </w:pPr>
      <w:r w:rsidRPr="00776F68">
        <w:rPr>
          <w:lang w:val="es-ES_tradnl"/>
        </w:rPr>
        <w:t>FIGURA 2</w:t>
      </w:r>
    </w:p>
    <w:p w:rsidR="00BD1E63" w:rsidRPr="00776F68" w:rsidRDefault="00BD1E63" w:rsidP="00BD1E63">
      <w:pPr>
        <w:pStyle w:val="Figuretitle"/>
        <w:rPr>
          <w:lang w:val="es-ES_tradnl"/>
        </w:rPr>
      </w:pPr>
      <w:r w:rsidRPr="00776F68">
        <w:rPr>
          <w:lang w:val="es-ES_tradnl"/>
        </w:rPr>
        <w:t>Comprobación técnica de las transmisiones móviles</w:t>
      </w:r>
    </w:p>
    <w:p w:rsidR="00BD1E63" w:rsidRPr="00776F68" w:rsidRDefault="004306EE" w:rsidP="00BD1E63">
      <w:pPr>
        <w:pStyle w:val="Figure"/>
        <w:rPr>
          <w:lang w:val="es-ES_tradnl"/>
        </w:rPr>
      </w:pPr>
      <w:r w:rsidRPr="00776F68">
        <w:rPr>
          <w:lang w:val="es-ES_tradnl"/>
        </w:rPr>
        <w:object w:dxaOrig="7992" w:dyaOrig="5007">
          <v:shape id="_x0000_i1026" type="#_x0000_t75" style="width:376.6pt;height:236.75pt" o:ole="">
            <v:imagedata r:id="rId16" o:title=""/>
          </v:shape>
          <o:OLEObject Type="Embed" ProgID="CorelDRAW.Graphic.14" ShapeID="_x0000_i1026" DrawAspect="Content" ObjectID="_1540729221" r:id="rId17"/>
        </w:object>
      </w:r>
    </w:p>
    <w:p w:rsidR="00BD1E63" w:rsidRPr="00776F68" w:rsidRDefault="00BD1E63" w:rsidP="00BD1E63">
      <w:pPr>
        <w:pStyle w:val="Normalaftertitle"/>
        <w:rPr>
          <w:lang w:val="es-ES_tradnl"/>
        </w:rPr>
      </w:pPr>
      <w:r w:rsidRPr="00776F68">
        <w:rPr>
          <w:lang w:val="es-ES_tradnl"/>
        </w:rPr>
        <w:t>A la inversa, una unidad móvil de un usuario en canal común fuera de la zona (Móvil B), puede ser recibida en el sitio de la comprobación técnica pero no escuchada en la base principal de los usuarios.</w:t>
      </w:r>
    </w:p>
    <w:p w:rsidR="00BD1E63" w:rsidRPr="00776F68" w:rsidRDefault="00BD1E63" w:rsidP="00BD1E63">
      <w:pPr>
        <w:rPr>
          <w:lang w:val="es-ES_tradnl"/>
        </w:rPr>
      </w:pPr>
      <w:r w:rsidRPr="00776F68">
        <w:rPr>
          <w:lang w:val="es-ES_tradnl"/>
        </w:rPr>
        <w:t>Cualquiera de las situaciones anteriores puede dar lugar a resultados erróneos ya que puede que los resultados de la ocupación no sean representativos de toda la red móvil sino sólo de la región cubierta por la estación de comprobación técnica.</w:t>
      </w:r>
    </w:p>
    <w:p w:rsidR="00BD1E63" w:rsidRPr="00776F68" w:rsidRDefault="00BD1E63" w:rsidP="00BD1E63">
      <w:pPr>
        <w:pStyle w:val="Heading3"/>
        <w:rPr>
          <w:lang w:val="es-ES_tradnl"/>
        </w:rPr>
      </w:pPr>
      <w:r w:rsidRPr="00776F68">
        <w:rPr>
          <w:lang w:val="es-ES_tradnl"/>
        </w:rPr>
        <w:t>3.5.3</w:t>
      </w:r>
      <w:r w:rsidRPr="00776F68">
        <w:rPr>
          <w:lang w:val="es-ES_tradnl"/>
        </w:rPr>
        <w:tab/>
        <w:t>Propagación</w:t>
      </w:r>
    </w:p>
    <w:p w:rsidR="00BD1E63" w:rsidRPr="00776F68" w:rsidRDefault="00BD1E63" w:rsidP="00BD1E63">
      <w:pPr>
        <w:rPr>
          <w:lang w:val="es-ES_tradnl"/>
        </w:rPr>
      </w:pPr>
      <w:r w:rsidRPr="00776F68">
        <w:rPr>
          <w:lang w:val="es-ES_tradnl"/>
        </w:rPr>
        <w:t>Las condiciones de propagación deben ser también consideradas cuando se fijan los niveles umbral de los receptores, y la propagación deberá comprobarse técnicamente durante el periodo de medición.</w:t>
      </w:r>
    </w:p>
    <w:p w:rsidR="00BD1E63" w:rsidRPr="00776F68" w:rsidRDefault="00BD1E63" w:rsidP="00BD1E63">
      <w:pPr>
        <w:pStyle w:val="Heading2"/>
        <w:rPr>
          <w:lang w:val="es-ES_tradnl"/>
        </w:rPr>
      </w:pPr>
      <w:r w:rsidRPr="00776F68">
        <w:rPr>
          <w:lang w:val="es-ES_tradnl"/>
        </w:rPr>
        <w:t>3.6</w:t>
      </w:r>
      <w:r w:rsidRPr="00776F68">
        <w:rPr>
          <w:lang w:val="es-ES_tradnl"/>
        </w:rPr>
        <w:tab/>
        <w:t>Presentación y análisis de los datos recopilados</w:t>
      </w:r>
    </w:p>
    <w:p w:rsidR="00BD1E63" w:rsidRPr="00776F68" w:rsidRDefault="00BD1E63" w:rsidP="00355398">
      <w:pPr>
        <w:rPr>
          <w:color w:val="000000"/>
          <w:lang w:val="es-ES_tradnl"/>
        </w:rPr>
      </w:pPr>
      <w:r w:rsidRPr="00776F68">
        <w:rPr>
          <w:lang w:val="es-ES_tradnl"/>
        </w:rPr>
        <w:t>Los resultados pueden ser almacenados cada 5, 15, 30 ó 60</w:t>
      </w:r>
      <w:r w:rsidR="00355398" w:rsidRPr="00776F68">
        <w:rPr>
          <w:lang w:val="es-ES_tradnl"/>
        </w:rPr>
        <w:t> </w:t>
      </w:r>
      <w:r w:rsidRPr="00776F68">
        <w:rPr>
          <w:lang w:val="es-ES_tradnl"/>
        </w:rPr>
        <w:t>min, según se requiera. A partir de estos datos es posible generar presentaciones basadas en cuadros, gráficas textuales, gráficos de línea/barra y mapas</w:t>
      </w:r>
      <w:r w:rsidRPr="00776F68">
        <w:rPr>
          <w:color w:val="000000"/>
          <w:lang w:val="es-ES_tradnl"/>
        </w:rPr>
        <w:t>. Una vez extraída la información deseada pueden descartarse estos datos muestreados en bruto.</w:t>
      </w:r>
    </w:p>
    <w:p w:rsidR="00BD1E63" w:rsidRPr="00776F68" w:rsidRDefault="00BD1E63" w:rsidP="00BD1E63">
      <w:pPr>
        <w:rPr>
          <w:color w:val="000000"/>
          <w:lang w:val="es-ES_tradnl"/>
        </w:rPr>
      </w:pPr>
      <w:r w:rsidRPr="00776F68">
        <w:rPr>
          <w:lang w:val="es-ES_tradnl"/>
        </w:rPr>
        <w:t>El sistema de presentación debe, como mínimo, incluir el sitio de localización de la comprobación técnica, la fecha y periodo de comprobación, la frecuencia, el tipo de usuario(s), el nivel umbral utilizado, la ocupación en la hora cargada y el periodo de iteración</w:t>
      </w:r>
      <w:r w:rsidRPr="00776F68">
        <w:rPr>
          <w:color w:val="000000"/>
          <w:lang w:val="es-ES_tradnl"/>
        </w:rPr>
        <w:t>.</w:t>
      </w:r>
    </w:p>
    <w:p w:rsidR="00BD1E63" w:rsidRPr="00776F68" w:rsidRDefault="00BD1E63" w:rsidP="00BD1E63">
      <w:pPr>
        <w:pStyle w:val="Heading3"/>
        <w:rPr>
          <w:color w:val="000000"/>
          <w:lang w:val="es-ES_tradnl"/>
        </w:rPr>
      </w:pPr>
      <w:r w:rsidRPr="00776F68">
        <w:rPr>
          <w:lang w:val="es-ES_tradnl"/>
        </w:rPr>
        <w:t>3.6.1</w:t>
      </w:r>
      <w:r w:rsidRPr="00776F68">
        <w:rPr>
          <w:lang w:val="es-ES_tradnl"/>
        </w:rPr>
        <w:tab/>
        <w:t>Ejemplo representativo de intensidad de campo utilizada para discriminar diferentes usuarios</w:t>
      </w:r>
    </w:p>
    <w:p w:rsidR="00BD1E63" w:rsidRPr="00776F68" w:rsidRDefault="00BD1E63" w:rsidP="00776F68">
      <w:pPr>
        <w:rPr>
          <w:lang w:val="es-ES_tradnl"/>
        </w:rPr>
      </w:pPr>
      <w:r w:rsidRPr="00776F68">
        <w:rPr>
          <w:lang w:val="es-ES_tradnl"/>
        </w:rPr>
        <w:t>Si se registra la intensidad de campo, se puede extraer información adicional de la medición. El gráfico izquierdo de la Fig.</w:t>
      </w:r>
      <w:r w:rsidR="00776F68">
        <w:rPr>
          <w:lang w:val="es-ES_tradnl"/>
        </w:rPr>
        <w:t> </w:t>
      </w:r>
      <w:r w:rsidRPr="00776F68">
        <w:rPr>
          <w:lang w:val="es-ES_tradnl"/>
        </w:rPr>
        <w:t>3 es un modo usual de presentar la ocupación con una resolución de 15 min, normalmente con sólo una curva. La curva roja de la izquierda representa la ocupación total generada por todos los usuarios en ese canal. La curva verde es la ocupación originada por la estación cuya señal se recibe con un valor de 49</w:t>
      </w:r>
      <w:r w:rsidR="00776F68">
        <w:rPr>
          <w:lang w:val="es-ES_tradnl"/>
        </w:rPr>
        <w:t> </w:t>
      </w:r>
      <w:r w:rsidRPr="00776F68">
        <w:rPr>
          <w:lang w:val="es-ES_tradnl"/>
        </w:rPr>
        <w:t>dB(μV/m) (véase el gráfico de la derecha), y la curva azul es la ocupación generada por el resto de usuarios; en este caso el segundo usuario cuya señal se recibe con un valor de unos 29 dB(μV/m).</w:t>
      </w:r>
    </w:p>
    <w:p w:rsidR="00BD1E63" w:rsidRPr="00776F68" w:rsidRDefault="00BD1E63" w:rsidP="00BD1E63">
      <w:pPr>
        <w:rPr>
          <w:lang w:val="es-ES_tradnl"/>
        </w:rPr>
      </w:pPr>
      <w:r w:rsidRPr="00776F68">
        <w:rPr>
          <w:lang w:val="es-ES_tradnl"/>
        </w:rPr>
        <w:t>El gráfico del medio representa los niveles recibidos a lo largo del tiempo. Sólo se evalúan los niveles recibidos por encima del nivel umbral (en este caso: 20 dB(</w:t>
      </w:r>
      <w:r w:rsidRPr="00776F68">
        <w:rPr>
          <w:rFonts w:eastAsia="SimSun"/>
          <w:lang w:val="es-ES_tradnl"/>
        </w:rPr>
        <w:t>μV</w:t>
      </w:r>
      <w:r w:rsidRPr="00776F68">
        <w:rPr>
          <w:lang w:val="es-ES_tradnl"/>
        </w:rPr>
        <w:t>/m)).</w:t>
      </w:r>
    </w:p>
    <w:p w:rsidR="00BD1E63" w:rsidRPr="00776F68" w:rsidRDefault="00BD1E63" w:rsidP="00776F68">
      <w:pPr>
        <w:rPr>
          <w:lang w:val="es-ES_tradnl"/>
        </w:rPr>
      </w:pPr>
      <w:r w:rsidRPr="00776F68">
        <w:rPr>
          <w:lang w:val="es-ES_tradnl"/>
        </w:rPr>
        <w:t>El gráfico de la derecha muestra la distribución estadística de los niveles de intensidad de campo recibida. En este ejemplo el valor 49 dB(</w:t>
      </w:r>
      <w:r w:rsidRPr="00776F68">
        <w:rPr>
          <w:rFonts w:eastAsia="SimSun"/>
          <w:lang w:val="es-ES_tradnl"/>
        </w:rPr>
        <w:t>μ</w:t>
      </w:r>
      <w:r w:rsidRPr="00776F68">
        <w:rPr>
          <w:lang w:val="es-ES_tradnl"/>
        </w:rPr>
        <w:t>V/m) se midió unas 380</w:t>
      </w:r>
      <w:r w:rsidR="00776F68">
        <w:rPr>
          <w:lang w:val="es-ES_tradnl"/>
        </w:rPr>
        <w:t> </w:t>
      </w:r>
      <w:r w:rsidRPr="00776F68">
        <w:rPr>
          <w:lang w:val="es-ES_tradnl"/>
        </w:rPr>
        <w:t>veces en un periodo de 24</w:t>
      </w:r>
      <w:r w:rsidR="00776F68">
        <w:rPr>
          <w:lang w:val="es-ES_tradnl"/>
        </w:rPr>
        <w:t> </w:t>
      </w:r>
      <w:r w:rsidRPr="00776F68">
        <w:rPr>
          <w:lang w:val="es-ES_tradnl"/>
        </w:rPr>
        <w:t>horas, 50 dB(</w:t>
      </w:r>
      <w:r w:rsidRPr="00776F68">
        <w:rPr>
          <w:rFonts w:eastAsia="SimSun"/>
          <w:lang w:val="es-ES_tradnl"/>
        </w:rPr>
        <w:t>μ</w:t>
      </w:r>
      <w:r w:rsidRPr="00776F68">
        <w:rPr>
          <w:lang w:val="es-ES_tradnl"/>
        </w:rPr>
        <w:t>V/m) unas 350 veces, etc.</w:t>
      </w:r>
    </w:p>
    <w:p w:rsidR="00BD1E63" w:rsidRPr="00776F68" w:rsidRDefault="00BD1E63" w:rsidP="00BD1E63">
      <w:pPr>
        <w:pStyle w:val="FigureNo"/>
        <w:rPr>
          <w:lang w:val="es-ES_tradnl"/>
        </w:rPr>
      </w:pPr>
      <w:r w:rsidRPr="00776F68">
        <w:rPr>
          <w:lang w:val="es-ES_tradnl"/>
        </w:rPr>
        <w:t>figurA 3</w:t>
      </w:r>
    </w:p>
    <w:p w:rsidR="00BD1E63" w:rsidRPr="00776F68" w:rsidRDefault="00BD1E63" w:rsidP="00BD1E63">
      <w:pPr>
        <w:pStyle w:val="Figuretitle"/>
        <w:rPr>
          <w:lang w:val="es-ES_tradnl"/>
        </w:rPr>
      </w:pPr>
      <w:r w:rsidRPr="00776F68">
        <w:rPr>
          <w:lang w:val="es-ES_tradnl"/>
        </w:rPr>
        <w:t>Tratamiento mejorado de los datos sobre ocupación</w:t>
      </w:r>
    </w:p>
    <w:p w:rsidR="00BD1E63" w:rsidRPr="00776F68" w:rsidRDefault="00BD1E63" w:rsidP="00BD1E63">
      <w:pPr>
        <w:pStyle w:val="Figure"/>
        <w:rPr>
          <w:lang w:val="es-ES_tradnl"/>
        </w:rPr>
      </w:pPr>
      <w:r w:rsidRPr="00776F68">
        <w:rPr>
          <w:lang w:val="es-ES_tradnl"/>
        </w:rPr>
        <w:object w:dxaOrig="9270" w:dyaOrig="2673">
          <v:shape id="_x0000_i1027" type="#_x0000_t75" style="width:463.4pt;height:132.9pt" o:ole="">
            <v:imagedata r:id="rId18" o:title=""/>
          </v:shape>
          <o:OLEObject Type="Embed" ProgID="CorelDRAW.Graphic.14" ShapeID="_x0000_i1027" DrawAspect="Content" ObjectID="_1540729222" r:id="rId19"/>
        </w:object>
      </w:r>
    </w:p>
    <w:p w:rsidR="00BD1E63" w:rsidRPr="00776F68" w:rsidRDefault="00BD1E63" w:rsidP="00BD1E63">
      <w:pPr>
        <w:pStyle w:val="Heading3"/>
        <w:rPr>
          <w:lang w:val="es-ES_tradnl"/>
        </w:rPr>
      </w:pPr>
      <w:r w:rsidRPr="00776F68">
        <w:rPr>
          <w:lang w:val="es-ES_tradnl"/>
        </w:rPr>
        <w:t>3.6.2</w:t>
      </w:r>
      <w:r w:rsidRPr="00776F68">
        <w:rPr>
          <w:lang w:val="es-ES_tradnl"/>
        </w:rPr>
        <w:tab/>
        <w:t>Representación de la ocupación de la banda de frecuencias por porcentajes</w:t>
      </w:r>
    </w:p>
    <w:p w:rsidR="00BD1E63" w:rsidRPr="00776F68" w:rsidRDefault="00BD1E63" w:rsidP="00BD1E63">
      <w:pPr>
        <w:rPr>
          <w:lang w:val="es-ES_tradnl"/>
        </w:rPr>
      </w:pPr>
      <w:r w:rsidRPr="00776F68">
        <w:rPr>
          <w:lang w:val="es-ES_tradnl"/>
        </w:rPr>
        <w:t>En lugar de presentar únicamente la ocupación de cada canal individual, también debe presentarse la ocupación de la banda de frecuencias medida completa.</w:t>
      </w:r>
    </w:p>
    <w:p w:rsidR="00BD1E63" w:rsidRPr="00776F68" w:rsidRDefault="00BD1E63" w:rsidP="00BD1E63">
      <w:pPr>
        <w:keepNext/>
        <w:keepLines/>
        <w:rPr>
          <w:lang w:val="es-ES_tradnl"/>
        </w:rPr>
      </w:pPr>
      <w:r w:rsidRPr="00776F68">
        <w:rPr>
          <w:lang w:val="es-ES_tradnl"/>
        </w:rPr>
        <w:t>En la Fig. 4 se muestra la ocupación media durante 24 h de cada paso de frecuencia.</w:t>
      </w:r>
    </w:p>
    <w:p w:rsidR="00BD1E63" w:rsidRPr="00776F68" w:rsidRDefault="00BD1E63" w:rsidP="00BD1E63">
      <w:pPr>
        <w:pStyle w:val="FigureNo"/>
        <w:rPr>
          <w:lang w:val="es-ES_tradnl"/>
        </w:rPr>
      </w:pPr>
      <w:r w:rsidRPr="00776F68">
        <w:rPr>
          <w:lang w:val="es-ES_tradnl"/>
        </w:rPr>
        <w:t>figura 4</w:t>
      </w:r>
    </w:p>
    <w:p w:rsidR="00BD1E63" w:rsidRPr="00776F68" w:rsidRDefault="00BD1E63" w:rsidP="00BD1E63">
      <w:pPr>
        <w:pStyle w:val="Figuretitle"/>
        <w:rPr>
          <w:lang w:val="es-ES_tradnl"/>
        </w:rPr>
      </w:pPr>
      <w:r w:rsidRPr="00776F68">
        <w:rPr>
          <w:lang w:val="es-ES_tradnl"/>
        </w:rPr>
        <w:t>Ocupación media durante 24 h</w:t>
      </w:r>
    </w:p>
    <w:p w:rsidR="00BD1E63" w:rsidRPr="00776F68" w:rsidRDefault="004306EE" w:rsidP="00BD1E63">
      <w:pPr>
        <w:pStyle w:val="Figure"/>
        <w:rPr>
          <w:lang w:val="es-ES_tradnl"/>
        </w:rPr>
      </w:pPr>
      <w:r w:rsidRPr="00776F68">
        <w:rPr>
          <w:lang w:val="es-ES_tradnl"/>
        </w:rPr>
        <w:object w:dxaOrig="5037" w:dyaOrig="1905">
          <v:shape id="_x0000_i1028" type="#_x0000_t75" style="width:411.25pt;height:155.1pt" o:ole="">
            <v:imagedata r:id="rId20" o:title=""/>
          </v:shape>
          <o:OLEObject Type="Embed" ProgID="CorelDRAW.Graphic.14" ShapeID="_x0000_i1028" DrawAspect="Content" ObjectID="_1540729223" r:id="rId21"/>
        </w:object>
      </w:r>
    </w:p>
    <w:p w:rsidR="00BD1E63" w:rsidRPr="00776F68" w:rsidRDefault="00BD1E63" w:rsidP="00776F68">
      <w:pPr>
        <w:pStyle w:val="Normalaftertitle"/>
        <w:rPr>
          <w:lang w:val="es-ES_tradnl"/>
        </w:rPr>
      </w:pPr>
      <w:r w:rsidRPr="00776F68">
        <w:rPr>
          <w:lang w:val="es-ES_tradnl"/>
        </w:rPr>
        <w:t>Como ejemplo, suponiendo que una banda de frecuencias puede explorarse en 1 000 pasos de 10 s, se dispone de 8 640 valores de intensidad de campo en cada paso durante un periodo de 24 horas. Si</w:t>
      </w:r>
      <w:r w:rsidR="00776F68">
        <w:rPr>
          <w:lang w:val="es-ES_tradnl"/>
        </w:rPr>
        <w:t> </w:t>
      </w:r>
      <w:r w:rsidRPr="00776F68">
        <w:rPr>
          <w:lang w:val="es-ES_tradnl"/>
        </w:rPr>
        <w:t>en este caso se rebasa 4 320 veces el nivel umbral en un canal/paso, la ocupación será del 50%. En el gráfico resultante, antes indicado, no queda información temporal y no hay indicación de cuándo se observó dicha ocupación del 50%. Esta limitación debe considerarse cuando se emplee este tipo de presentación.</w:t>
      </w:r>
    </w:p>
    <w:p w:rsidR="00BD1E63" w:rsidRPr="00776F68" w:rsidRDefault="00BD1E63" w:rsidP="00BD1E63">
      <w:pPr>
        <w:pStyle w:val="Heading3"/>
        <w:rPr>
          <w:lang w:val="es-ES_tradnl"/>
        </w:rPr>
      </w:pPr>
      <w:r w:rsidRPr="00776F68">
        <w:rPr>
          <w:lang w:val="es-ES_tradnl"/>
        </w:rPr>
        <w:t>3.6.3</w:t>
      </w:r>
      <w:r w:rsidRPr="00776F68">
        <w:rPr>
          <w:lang w:val="es-ES_tradnl"/>
        </w:rPr>
        <w:tab/>
        <w:t>Representación de la ocupación de bandas de frecuencias por medio de colores</w:t>
      </w:r>
    </w:p>
    <w:p w:rsidR="00BD1E63" w:rsidRPr="00776F68" w:rsidRDefault="00BD1E63" w:rsidP="00355398">
      <w:pPr>
        <w:rPr>
          <w:lang w:val="es-ES_tradnl"/>
        </w:rPr>
      </w:pPr>
      <w:r w:rsidRPr="00776F68">
        <w:rPr>
          <w:lang w:val="es-ES_tradnl"/>
        </w:rPr>
        <w:t>Con objeto de lograr una visión de conjunto rápida, puede expresarse la ocupación presentando un color por canal y por resolución escogida en el tiempo (normalmente 15</w:t>
      </w:r>
      <w:r w:rsidR="00355398" w:rsidRPr="00776F68">
        <w:rPr>
          <w:lang w:val="es-ES_tradnl"/>
        </w:rPr>
        <w:t> </w:t>
      </w:r>
      <w:r w:rsidRPr="00776F68">
        <w:rPr>
          <w:lang w:val="es-ES_tradnl"/>
        </w:rPr>
        <w:t>min). En la Fig.</w:t>
      </w:r>
      <w:r w:rsidR="00355398" w:rsidRPr="00776F68">
        <w:rPr>
          <w:lang w:val="es-ES_tradnl"/>
        </w:rPr>
        <w:t> </w:t>
      </w:r>
      <w:r w:rsidRPr="00776F68">
        <w:rPr>
          <w:lang w:val="es-ES_tradnl"/>
        </w:rPr>
        <w:t>5 se proporciona un ejemplo.</w:t>
      </w:r>
    </w:p>
    <w:p w:rsidR="00BD1E63" w:rsidRPr="00776F68" w:rsidRDefault="00BD1E63" w:rsidP="00776F68">
      <w:pPr>
        <w:rPr>
          <w:lang w:val="es-ES_tradnl"/>
        </w:rPr>
      </w:pPr>
      <w:r w:rsidRPr="00776F68">
        <w:rPr>
          <w:lang w:val="es-ES_tradnl"/>
        </w:rPr>
        <w:t>En esta presentación la información temporal todavía está disponible (96</w:t>
      </w:r>
      <w:r w:rsidR="000F2BBE" w:rsidRPr="00776F68">
        <w:rPr>
          <w:lang w:val="es-ES_tradnl"/>
        </w:rPr>
        <w:t> </w:t>
      </w:r>
      <w:r w:rsidRPr="00776F68">
        <w:rPr>
          <w:lang w:val="es-ES_tradnl"/>
        </w:rPr>
        <w:t>valores/24 h). La barra de colores representa la ocupación (y no la intensidad de campo). El eje</w:t>
      </w:r>
      <w:r w:rsidR="00776F68">
        <w:rPr>
          <w:lang w:val="es-ES_tradnl"/>
        </w:rPr>
        <w:t> </w:t>
      </w:r>
      <w:r w:rsidRPr="00776F68">
        <w:rPr>
          <w:lang w:val="es-ES_tradnl"/>
        </w:rPr>
        <w:t>Y izquierdo da el tiempo, no en horas sino en 96 periodos de 15 min.</w:t>
      </w:r>
    </w:p>
    <w:p w:rsidR="00BD1E63" w:rsidRPr="00776F68" w:rsidRDefault="00BD1E63" w:rsidP="00BD1E63">
      <w:pPr>
        <w:pStyle w:val="FigureNo"/>
        <w:keepNext w:val="0"/>
        <w:keepLines w:val="0"/>
        <w:rPr>
          <w:lang w:val="es-ES_tradnl"/>
        </w:rPr>
      </w:pPr>
      <w:r w:rsidRPr="00776F68">
        <w:rPr>
          <w:lang w:val="es-ES_tradnl"/>
        </w:rPr>
        <w:t>figurA 5</w:t>
      </w:r>
    </w:p>
    <w:p w:rsidR="00BD1E63" w:rsidRPr="00776F68" w:rsidRDefault="00BD1E63" w:rsidP="00BD1E63">
      <w:pPr>
        <w:pStyle w:val="Figuretitle"/>
        <w:keepNext w:val="0"/>
        <w:rPr>
          <w:lang w:val="es-ES_tradnl"/>
        </w:rPr>
      </w:pPr>
      <w:r w:rsidRPr="00776F68">
        <w:rPr>
          <w:lang w:val="es-ES_tradnl"/>
        </w:rPr>
        <w:t>Ocupación de bandas de frecuencias por medio de colores (espectrograma)</w:t>
      </w:r>
    </w:p>
    <w:p w:rsidR="00BD1E63" w:rsidRPr="00776F68" w:rsidRDefault="00BD1E63" w:rsidP="00BD1E63">
      <w:pPr>
        <w:pStyle w:val="Figure"/>
        <w:rPr>
          <w:lang w:val="es-ES_tradnl"/>
        </w:rPr>
      </w:pPr>
      <w:r w:rsidRPr="00776F68">
        <w:rPr>
          <w:lang w:val="es-ES_tradnl"/>
        </w:rPr>
        <w:object w:dxaOrig="10183" w:dyaOrig="3772">
          <v:shape id="_x0000_i1029" type="#_x0000_t75" style="width:480.9pt;height:179.1pt" o:ole="">
            <v:imagedata r:id="rId22" o:title=""/>
          </v:shape>
          <o:OLEObject Type="Embed" ProgID="CorelDRAW.Graphic.14" ShapeID="_x0000_i1029" DrawAspect="Content" ObjectID="_1540729224" r:id="rId23"/>
        </w:object>
      </w:r>
    </w:p>
    <w:p w:rsidR="00BD1E63" w:rsidRPr="00776F68" w:rsidRDefault="00BD1E63" w:rsidP="00BD1E63">
      <w:pPr>
        <w:rPr>
          <w:lang w:val="es-ES_tradnl"/>
        </w:rPr>
      </w:pPr>
    </w:p>
    <w:p w:rsidR="00BD1E63" w:rsidRPr="00776F68" w:rsidRDefault="00BD1E63" w:rsidP="00BD1E63">
      <w:pPr>
        <w:rPr>
          <w:lang w:val="es-ES_tradnl"/>
        </w:rPr>
      </w:pPr>
    </w:p>
    <w:p w:rsidR="00BD1E63" w:rsidRPr="00776F68" w:rsidRDefault="00BD1E63">
      <w:pPr>
        <w:jc w:val="center"/>
        <w:rPr>
          <w:lang w:val="es-ES_tradnl"/>
        </w:rPr>
      </w:pPr>
      <w:r w:rsidRPr="00776F68">
        <w:rPr>
          <w:lang w:val="es-ES_tradnl"/>
        </w:rPr>
        <w:t>______________</w:t>
      </w:r>
    </w:p>
    <w:p w:rsidR="00BD1E63" w:rsidRPr="00776F68" w:rsidRDefault="00BD1E63" w:rsidP="00BD1E63">
      <w:pPr>
        <w:rPr>
          <w:lang w:val="es-ES_tradnl"/>
        </w:rPr>
      </w:pPr>
    </w:p>
    <w:sectPr w:rsidR="00BD1E63" w:rsidRPr="00776F68" w:rsidSect="00BD1E63">
      <w:headerReference w:type="even" r:id="rId24"/>
      <w:headerReference w:type="default" r:id="rId2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1E63" w:rsidRDefault="00BD1E63">
      <w:r>
        <w:separator/>
      </w:r>
    </w:p>
  </w:endnote>
  <w:endnote w:type="continuationSeparator" w:id="0">
    <w:p w:rsidR="00BD1E63" w:rsidRDefault="00BD1E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1E63" w:rsidRDefault="00BD1E63">
      <w:r>
        <w:separator/>
      </w:r>
    </w:p>
  </w:footnote>
  <w:footnote w:type="continuationSeparator" w:id="0">
    <w:p w:rsidR="00BD1E63" w:rsidRDefault="00BD1E63">
      <w:r>
        <w:continuationSeparator/>
      </w:r>
    </w:p>
  </w:footnote>
  <w:footnote w:id="1">
    <w:p w:rsidR="00BD1E63" w:rsidRPr="005D6D55" w:rsidRDefault="00BD1E63" w:rsidP="00BD1E63">
      <w:pPr>
        <w:pStyle w:val="FootnoteText"/>
        <w:rPr>
          <w:lang w:val="es-ES_tradnl"/>
        </w:rPr>
      </w:pPr>
      <w:r>
        <w:rPr>
          <w:rStyle w:val="FootnoteReference"/>
        </w:rPr>
        <w:footnoteRef/>
      </w:r>
      <w:r w:rsidRPr="00384EB1">
        <w:rPr>
          <w:lang w:val="es-ES_tradnl"/>
        </w:rPr>
        <w:t xml:space="preserve"> </w:t>
      </w:r>
      <w:r>
        <w:rPr>
          <w:lang w:val="es-ES_tradnl"/>
        </w:rPr>
        <w:tab/>
        <w:t>Sectores («bins») en estadística se refiere a grupos (o categorías o clases) de datos que caen dentro de una gama de valores.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E63" w:rsidRDefault="00BD1E6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E63" w:rsidRDefault="00BD1E63" w:rsidP="00D62884">
    <w:pPr>
      <w:pStyle w:val="Header"/>
      <w:ind w:right="360" w:firstLine="360"/>
    </w:pPr>
    <w:r>
      <w:rPr>
        <w:noProof/>
        <w:lang w:val="es-ES_tradnl" w:eastAsia="zh-CN"/>
      </w:rPr>
      <w:drawing>
        <wp:anchor distT="0" distB="0" distL="114300" distR="114300" simplePos="0" relativeHeight="251659264" behindDoc="1" locked="0" layoutInCell="1" allowOverlap="1" wp14:anchorId="697C123A" wp14:editId="57D4197B">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E63" w:rsidRDefault="00BD1E63" w:rsidP="007F3B59">
    <w:pPr>
      <w:pStyle w:val="Header"/>
      <w:jc w:val="both"/>
    </w:pPr>
    <w:r>
      <w:tab/>
    </w:r>
    <w:r w:rsidR="000F4AC7">
      <w:fldChar w:fldCharType="begin"/>
    </w:r>
    <w:r w:rsidR="000F4AC7">
      <w:instrText xml:space="preserve"> DOCPROPERTY "Header" \* MERGEFORMAT </w:instrText>
    </w:r>
    <w:r w:rsidR="000F4AC7">
      <w:fldChar w:fldCharType="separate"/>
    </w:r>
    <w:r w:rsidR="00A3601D" w:rsidRPr="00A3601D">
      <w:rPr>
        <w:b/>
        <w:bCs/>
      </w:rPr>
      <w:t xml:space="preserve">Rec. </w:t>
    </w:r>
    <w:r w:rsidR="000F4AC7">
      <w:rPr>
        <w:b/>
        <w:bCs/>
      </w:rPr>
      <w:fldChar w:fldCharType="end"/>
    </w:r>
    <w:r>
      <w:rPr>
        <w:b/>
        <w:bCs/>
      </w:rPr>
      <w:t xml:space="preserve"> </w:t>
    </w:r>
    <w:r>
      <w:rPr>
        <w:b/>
        <w:bCs/>
      </w:rPr>
      <w:fldChar w:fldCharType="begin"/>
    </w:r>
    <w:r>
      <w:rPr>
        <w:b/>
        <w:bCs/>
      </w:rPr>
      <w:instrText>styleref href</w:instrText>
    </w:r>
    <w:r>
      <w:rPr>
        <w:b/>
        <w:bCs/>
      </w:rPr>
      <w:fldChar w:fldCharType="separate"/>
    </w:r>
    <w:r w:rsidR="00A3601D">
      <w:rPr>
        <w:b/>
        <w:bCs/>
        <w:noProof/>
      </w:rPr>
      <w:t>UIT-R  SM.1880-1</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E63" w:rsidRDefault="00BD1E63"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0F4AC7">
      <w:rPr>
        <w:rStyle w:val="PageNumber"/>
        <w:b/>
        <w:bCs/>
        <w:noProof/>
      </w:rPr>
      <w:t>ii</w:t>
    </w:r>
    <w:r>
      <w:rPr>
        <w:rStyle w:val="PageNumber"/>
        <w:b/>
        <w:bCs/>
      </w:rPr>
      <w:fldChar w:fldCharType="end"/>
    </w:r>
    <w:r>
      <w:tab/>
    </w:r>
    <w:r w:rsidR="000F4AC7">
      <w:fldChar w:fldCharType="begin"/>
    </w:r>
    <w:r w:rsidR="000F4AC7">
      <w:instrText xml:space="preserve"> DOCPROPERTY "Header" \* MERGEFORMAT </w:instrText>
    </w:r>
    <w:r w:rsidR="000F4AC7">
      <w:fldChar w:fldCharType="separate"/>
    </w:r>
    <w:r w:rsidR="00A3601D" w:rsidRPr="00A3601D">
      <w:rPr>
        <w:b/>
        <w:bCs/>
        <w:lang w:val="fr-CH"/>
      </w:rPr>
      <w:t xml:space="preserve">Rec. </w:t>
    </w:r>
    <w:r w:rsidR="000F4AC7">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0F4AC7">
      <w:rPr>
        <w:b/>
        <w:bCs/>
        <w:noProof/>
      </w:rPr>
      <w:t>UIT-R  SM.1880-1</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E63" w:rsidRDefault="00BD1E63" w:rsidP="007F3B59">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r w:rsidR="000F4AC7">
      <w:fldChar w:fldCharType="begin"/>
    </w:r>
    <w:r w:rsidR="000F4AC7">
      <w:instrText xml:space="preserve"> DOCPROPERTY "Header" \* MERGEFORMAT </w:instrText>
    </w:r>
    <w:r w:rsidR="000F4AC7">
      <w:fldChar w:fldCharType="separate"/>
    </w:r>
    <w:r w:rsidR="00A3601D" w:rsidRPr="00A3601D">
      <w:rPr>
        <w:b/>
        <w:bCs/>
      </w:rPr>
      <w:t xml:space="preserve">Rec. </w:t>
    </w:r>
    <w:r w:rsidR="000F4AC7">
      <w:rPr>
        <w:b/>
        <w:bCs/>
      </w:rPr>
      <w:fldChar w:fldCharType="end"/>
    </w:r>
    <w:r>
      <w:rPr>
        <w:b/>
        <w:bCs/>
      </w:rPr>
      <w:t xml:space="preserve"> </w:t>
    </w:r>
    <w:r>
      <w:rPr>
        <w:b/>
        <w:bCs/>
      </w:rPr>
      <w:fldChar w:fldCharType="begin"/>
    </w:r>
    <w:r>
      <w:rPr>
        <w:b/>
        <w:bCs/>
      </w:rPr>
      <w:instrText>styleref href</w:instrText>
    </w:r>
    <w:r>
      <w:rPr>
        <w:b/>
        <w:bCs/>
      </w:rPr>
      <w:fldChar w:fldCharType="separate"/>
    </w:r>
    <w:r w:rsidR="00A3601D">
      <w:rPr>
        <w:b/>
        <w:bCs/>
        <w:noProof/>
      </w:rPr>
      <w:t>UIT-R  SM.1880-1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F4AC7">
      <w:rPr>
        <w:rStyle w:val="PageNumber"/>
        <w:b/>
        <w:bCs/>
        <w:noProof/>
        <w:lang w:val="en-US"/>
      </w:rPr>
      <w:t>10</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A3601D" w:rsidRPr="00A3601D">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F4AC7">
      <w:rPr>
        <w:b/>
        <w:bCs/>
        <w:noProof/>
      </w:rPr>
      <w:t>UIT-R  SM.1880-1</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0F4AC7">
      <w:fldChar w:fldCharType="begin"/>
    </w:r>
    <w:r w:rsidR="000F4AC7">
      <w:instrText xml:space="preserve"> DOCPROPERTY "Header" \* MERGEFORMAT </w:instrText>
    </w:r>
    <w:r w:rsidR="000F4AC7">
      <w:fldChar w:fldCharType="separate"/>
    </w:r>
    <w:r w:rsidR="00A3601D" w:rsidRPr="00A3601D">
      <w:rPr>
        <w:b/>
        <w:bCs/>
      </w:rPr>
      <w:t xml:space="preserve">Rec. </w:t>
    </w:r>
    <w:r w:rsidR="000F4AC7">
      <w:rPr>
        <w:b/>
        <w:bCs/>
      </w:rPr>
      <w:fldChar w:fldCharType="end"/>
    </w:r>
    <w:r>
      <w:rPr>
        <w:b/>
        <w:bCs/>
      </w:rPr>
      <w:t xml:space="preserve"> </w:t>
    </w:r>
    <w:r>
      <w:rPr>
        <w:b/>
        <w:bCs/>
      </w:rPr>
      <w:fldChar w:fldCharType="begin"/>
    </w:r>
    <w:r>
      <w:rPr>
        <w:b/>
        <w:bCs/>
      </w:rPr>
      <w:instrText>styleref href</w:instrText>
    </w:r>
    <w:r>
      <w:rPr>
        <w:b/>
        <w:bCs/>
      </w:rPr>
      <w:fldChar w:fldCharType="separate"/>
    </w:r>
    <w:r w:rsidR="000F4AC7">
      <w:rPr>
        <w:b/>
        <w:bCs/>
        <w:noProof/>
      </w:rPr>
      <w:t>UIT-R  SM.1880-1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F4AC7">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E63"/>
    <w:rsid w:val="00071DAC"/>
    <w:rsid w:val="000D7F71"/>
    <w:rsid w:val="000F2BBE"/>
    <w:rsid w:val="000F4AC7"/>
    <w:rsid w:val="0010784E"/>
    <w:rsid w:val="001C7F15"/>
    <w:rsid w:val="00217EBF"/>
    <w:rsid w:val="0023713D"/>
    <w:rsid w:val="00242AEE"/>
    <w:rsid w:val="002D76C4"/>
    <w:rsid w:val="00355398"/>
    <w:rsid w:val="003F1668"/>
    <w:rsid w:val="004306EE"/>
    <w:rsid w:val="00463C82"/>
    <w:rsid w:val="0052529D"/>
    <w:rsid w:val="00607D68"/>
    <w:rsid w:val="007468DA"/>
    <w:rsid w:val="00776F68"/>
    <w:rsid w:val="009E00A8"/>
    <w:rsid w:val="009F5337"/>
    <w:rsid w:val="00A10225"/>
    <w:rsid w:val="00A3601D"/>
    <w:rsid w:val="00A6617B"/>
    <w:rsid w:val="00AB0DC8"/>
    <w:rsid w:val="00B44E24"/>
    <w:rsid w:val="00BD1E63"/>
    <w:rsid w:val="00CF694A"/>
    <w:rsid w:val="00D7254D"/>
    <w:rsid w:val="00DF4176"/>
    <w:rsid w:val="00E11066"/>
    <w:rsid w:val="00E9538D"/>
    <w:rsid w:val="00F23E81"/>
    <w:rsid w:val="00FA43C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5:docId w15:val="{A5ABE7A0-B756-46FD-9EDB-26EC8DF13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E6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E9538D"/>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BD1E63"/>
    <w:rPr>
      <w:color w:val="0000FF"/>
      <w:u w:val="single"/>
    </w:rPr>
  </w:style>
  <w:style w:type="character" w:customStyle="1" w:styleId="Heading1Char">
    <w:name w:val="Heading 1 Char"/>
    <w:basedOn w:val="DefaultParagraphFont"/>
    <w:link w:val="Heading1"/>
    <w:rsid w:val="00BD1E63"/>
    <w:rPr>
      <w:b/>
      <w:sz w:val="24"/>
      <w:lang w:val="fr-FR" w:eastAsia="en-US"/>
    </w:rPr>
  </w:style>
  <w:style w:type="character" w:customStyle="1" w:styleId="HeaderChar">
    <w:name w:val="Header Char"/>
    <w:basedOn w:val="DefaultParagraphFont"/>
    <w:link w:val="Header"/>
    <w:rsid w:val="00BD1E63"/>
    <w:rPr>
      <w:sz w:val="24"/>
      <w:lang w:val="fr-FR" w:eastAsia="en-US"/>
    </w:rPr>
  </w:style>
  <w:style w:type="character" w:customStyle="1" w:styleId="Heading2Char">
    <w:name w:val="Heading 2 Char"/>
    <w:basedOn w:val="DefaultParagraphFont"/>
    <w:link w:val="Heading2"/>
    <w:rsid w:val="00BD1E63"/>
    <w:rPr>
      <w:b/>
      <w:sz w:val="24"/>
      <w:lang w:val="fr-FR" w:eastAsia="en-US"/>
    </w:rPr>
  </w:style>
  <w:style w:type="character" w:customStyle="1" w:styleId="Heading3Char">
    <w:name w:val="Heading 3 Char"/>
    <w:basedOn w:val="DefaultParagraphFont"/>
    <w:link w:val="Heading3"/>
    <w:rsid w:val="00BD1E63"/>
    <w:rPr>
      <w:b/>
      <w:sz w:val="24"/>
      <w:lang w:val="fr-FR" w:eastAsia="en-US"/>
    </w:rPr>
  </w:style>
  <w:style w:type="character" w:customStyle="1" w:styleId="FootnoteTextChar">
    <w:name w:val="Footnote Text Char"/>
    <w:basedOn w:val="DefaultParagraphFont"/>
    <w:link w:val="FootnoteText"/>
    <w:semiHidden/>
    <w:rsid w:val="00BD1E63"/>
    <w:rPr>
      <w:sz w:val="22"/>
      <w:lang w:val="fr-FR" w:eastAsia="en-US"/>
    </w:rPr>
  </w:style>
  <w:style w:type="character" w:customStyle="1" w:styleId="TabletitleChar">
    <w:name w:val="Table_title Char"/>
    <w:basedOn w:val="DefaultParagraphFont"/>
    <w:link w:val="Tabletitle"/>
    <w:rsid w:val="00BD1E63"/>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oleObject2.bin"/><Relationship Id="rId25" Type="http://schemas.openxmlformats.org/officeDocument/2006/relationships/header" Target="header7.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publ/R-REC/es" TargetMode="Externa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10" Type="http://schemas.openxmlformats.org/officeDocument/2006/relationships/hyperlink" Target="http://www.itu.int/ITU-R/go/patents/es" TargetMode="External"/><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D99B85-9A5D-484C-8693-E564332AC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177</TotalTime>
  <Pages>12</Pages>
  <Words>3679</Words>
  <Characters>22850</Characters>
  <Application>Microsoft Office Word</Application>
  <DocSecurity>0</DocSecurity>
  <Lines>761</Lines>
  <Paragraphs>81</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Template BR_Rec_2005.dot</vt:lpstr>
      <vt:lpstr>Política sobre Derechos de Propiedad Intelectual (IPR)</vt:lpstr>
      <vt:lpstr>1	Introducción</vt:lpstr>
      <vt:lpstr>2	Definiciones</vt:lpstr>
      <vt:lpstr>3	Requisitos</vt:lpstr>
      <vt:lpstr>    3.1	Equipo</vt:lpstr>
      <vt:lpstr>    3.2	Consideraciones sobre el emplazamiento</vt:lpstr>
      <vt:lpstr>    3.3	Parámetros relativos al tiempo</vt:lpstr>
      <vt:lpstr>    3.4	Precisión, nivel de confianza estadística y número necesario de muestras</vt:lpstr>
      <vt:lpstr>    3.5	Consideración sobre las mediciones de la ocupación</vt:lpstr>
      <vt:lpstr>        3.5.1	Identificación de la emisión</vt:lpstr>
      <vt:lpstr>        3.5.2	Comprobación técnica de las transmisiones móviles</vt:lpstr>
      <vt:lpstr>        3.5.3	Propagación</vt:lpstr>
      <vt:lpstr>    3.6	Presentación y análisis de los datos recopilados</vt:lpstr>
      <vt:lpstr>        3.6.1	Ejemplo representativo de intensidad de campo utilizada para discriminar d</vt:lpstr>
      <vt:lpstr>        3.6.2	Representación de la ocupación de la banda de frecuencias por porcentajes</vt:lpstr>
      <vt:lpstr>        3.6.3	Representación de la ocupación de bandas de frecuencias por medio de color</vt:lpstr>
    </vt:vector>
  </TitlesOfParts>
  <Manager/>
  <Company>ITU</Company>
  <LinksUpToDate>false</LinksUpToDate>
  <CharactersWithSpaces>26448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Angel Martinez Romera</cp:lastModifiedBy>
  <cp:revision>17</cp:revision>
  <cp:lastPrinted>2016-11-15T13:33:00Z</cp:lastPrinted>
  <dcterms:created xsi:type="dcterms:W3CDTF">2016-11-15T09:08:00Z</dcterms:created>
  <dcterms:modified xsi:type="dcterms:W3CDTF">2016-11-15T14:31:00Z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