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D665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D665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ED6656">
              <w:rPr>
                <w:rFonts w:ascii="Tahoma" w:hAnsi="Tahoma" w:cs="Tahoma"/>
                <w:b/>
                <w:bCs/>
                <w:iCs/>
                <w:color w:val="243285"/>
                <w:sz w:val="36"/>
                <w:szCs w:val="36"/>
                <w:lang w:val="es-ES_tradnl"/>
              </w:rPr>
              <w:t>1839</w:t>
            </w:r>
          </w:p>
          <w:p w:rsidR="00B1717A" w:rsidRPr="0010336F" w:rsidRDefault="00B1717A" w:rsidP="00ED665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D6656">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ED6656">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B1717A" w:rsidRPr="00D50F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D6656" w:rsidP="00ED665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Procedimiento de prueba para medir</w:t>
            </w:r>
            <w:r>
              <w:rPr>
                <w:rFonts w:ascii="Tahoma" w:hAnsi="Tahoma" w:cs="Tahoma"/>
                <w:b/>
                <w:bCs/>
                <w:color w:val="243285"/>
                <w:sz w:val="44"/>
                <w:szCs w:val="44"/>
                <w:lang w:val="es-ES_tradnl"/>
              </w:rPr>
              <w:br/>
              <w:t>la velocidad de exploración de los</w:t>
            </w:r>
            <w:r>
              <w:rPr>
                <w:rFonts w:ascii="Tahoma" w:hAnsi="Tahoma" w:cs="Tahoma"/>
                <w:b/>
                <w:bCs/>
                <w:color w:val="243285"/>
                <w:sz w:val="44"/>
                <w:szCs w:val="44"/>
                <w:lang w:val="es-ES_tradnl"/>
              </w:rPr>
              <w:br/>
              <w:t>receptores de comprobación</w:t>
            </w:r>
            <w:r>
              <w:rPr>
                <w:rFonts w:ascii="Tahoma" w:hAnsi="Tahoma" w:cs="Tahoma"/>
                <w:b/>
                <w:bCs/>
                <w:color w:val="243285"/>
                <w:sz w:val="44"/>
                <w:szCs w:val="44"/>
                <w:lang w:val="es-ES_tradnl"/>
              </w:rPr>
              <w:br/>
              <w:t>técnica radioeléctrica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50F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D50F6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50F6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D50F6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50F6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D50F6F"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D50F6F"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D50F6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1717A" w:rsidRPr="00D50F6F"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454FAB">
      <w:pPr>
        <w:spacing w:before="0" w:after="40"/>
        <w:jc w:val="right"/>
        <w:rPr>
          <w:sz w:val="20"/>
          <w:lang w:val="es-ES_tradnl"/>
        </w:rPr>
      </w:pPr>
      <w:r w:rsidRPr="00763D08">
        <w:rPr>
          <w:sz w:val="20"/>
          <w:lang w:val="es-ES_tradnl"/>
        </w:rPr>
        <w:t>Ginebra, 20</w:t>
      </w:r>
      <w:r w:rsidR="00092507">
        <w:rPr>
          <w:sz w:val="20"/>
          <w:lang w:val="es-ES_tradnl"/>
        </w:rPr>
        <w:t>1</w:t>
      </w:r>
      <w:r w:rsidR="00454FA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454FA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454FA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Default="00ED6656" w:rsidP="00ED665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.1</w:t>
      </w:r>
      <w:r>
        <w:rPr>
          <w:rStyle w:val="href"/>
          <w:lang w:val="es-ES_tradnl"/>
        </w:rPr>
        <w:t>839</w:t>
      </w:r>
      <w:r w:rsidR="00A3425C">
        <w:rPr>
          <w:rStyle w:val="FootnoteReference"/>
          <w:lang w:val="es-ES_tradnl"/>
        </w:rPr>
        <w:footnoteReference w:customMarkFollows="1" w:id="1"/>
        <w:t>*</w:t>
      </w:r>
    </w:p>
    <w:p w:rsidR="00ED6656" w:rsidRPr="00ED6656" w:rsidRDefault="00ED6656" w:rsidP="00A3425C">
      <w:pPr>
        <w:pStyle w:val="Rectitle"/>
        <w:rPr>
          <w:lang w:val="es-ES_tradnl"/>
        </w:rPr>
      </w:pPr>
      <w:r w:rsidRPr="00ED6656">
        <w:rPr>
          <w:lang w:val="es-ES_tradnl"/>
        </w:rPr>
        <w:t>Procedimiento de prueba para medir la velocidad de exploración</w:t>
      </w:r>
      <w:r w:rsidRPr="00ED6656">
        <w:rPr>
          <w:lang w:val="es-ES_tradnl"/>
        </w:rPr>
        <w:br/>
        <w:t>de los receptores de comprobación técnica radioeléctrica</w:t>
      </w:r>
    </w:p>
    <w:p w:rsidR="00A3425C" w:rsidRDefault="00A3425C" w:rsidP="00A3425C">
      <w:pPr>
        <w:pStyle w:val="Recdate"/>
        <w:rPr>
          <w:lang w:val="es-ES_tradnl"/>
        </w:rPr>
      </w:pPr>
    </w:p>
    <w:p w:rsidR="00ED6656" w:rsidRPr="00ED6656" w:rsidRDefault="00ED6656" w:rsidP="00A3425C">
      <w:pPr>
        <w:pStyle w:val="Recdate"/>
        <w:rPr>
          <w:lang w:val="es-ES_tradnl"/>
        </w:rPr>
      </w:pPr>
      <w:r w:rsidRPr="00ED6656">
        <w:rPr>
          <w:lang w:val="es-ES_tradnl"/>
        </w:rPr>
        <w:t>(2007)</w:t>
      </w:r>
    </w:p>
    <w:p w:rsidR="00ED6656" w:rsidRPr="00ED6656" w:rsidRDefault="00ED6656" w:rsidP="00ED6656">
      <w:pPr>
        <w:rPr>
          <w:lang w:val="es-ES_tradnl"/>
        </w:rPr>
      </w:pPr>
    </w:p>
    <w:p w:rsidR="00ED6656" w:rsidRPr="00ED6656" w:rsidRDefault="00ED6656" w:rsidP="00A3425C">
      <w:pPr>
        <w:pStyle w:val="HeadingSum"/>
      </w:pPr>
      <w:r w:rsidRPr="00ED6656">
        <w:t>Cometido</w:t>
      </w:r>
    </w:p>
    <w:p w:rsidR="00ED6656" w:rsidRPr="00ED6656" w:rsidRDefault="00ED6656" w:rsidP="00A3425C">
      <w:pPr>
        <w:pStyle w:val="Summary"/>
      </w:pPr>
      <w:r w:rsidRPr="00ED6656">
        <w:t>Esta Recomendación pertenece a un conjunto de Recomendaciones que describen los métodos de prueba para determinar los parámetros técnicos de los receptores de comprobación técnica radioeléctrica que son importantes para los usuarios de estos receptores. Si los fabricantes siguen los métodos descritos, se facilita la comparación de los diferentes receptores. Esta Recomendación especifica el procedimiento de prueba para determinar la velocidad de exploración de un receptor de comprobación técnica. Se recomienda a todos los fabricantes que apliquen esta definición del procedimiento de prueba, lo que supondría para los usuarios de los receptores la ventaja de poder evaluar la calidad del producto de manera más sencilla y objetiva.</w:t>
      </w:r>
    </w:p>
    <w:p w:rsidR="00ED6656" w:rsidRPr="00ED6656" w:rsidRDefault="00ED6656" w:rsidP="00A3425C">
      <w:pPr>
        <w:pStyle w:val="Normalaftertitle"/>
        <w:rPr>
          <w:lang w:val="es-ES_tradnl"/>
        </w:rPr>
      </w:pPr>
      <w:r w:rsidRPr="00ED6656">
        <w:rPr>
          <w:lang w:val="es-ES_tradnl"/>
        </w:rPr>
        <w:t>La Asamblea de Radiocomunicaciones de la UIT,</w:t>
      </w:r>
    </w:p>
    <w:p w:rsidR="00ED6656" w:rsidRPr="00ED6656" w:rsidRDefault="00ED6656" w:rsidP="00A3425C">
      <w:pPr>
        <w:pStyle w:val="Call"/>
        <w:rPr>
          <w:lang w:val="es-ES_tradnl"/>
        </w:rPr>
      </w:pPr>
      <w:r w:rsidRPr="00ED6656">
        <w:rPr>
          <w:lang w:val="es-ES_tradnl"/>
        </w:rPr>
        <w:t>considerando</w:t>
      </w:r>
    </w:p>
    <w:p w:rsidR="00ED6656" w:rsidRPr="00ED6656" w:rsidRDefault="00ED6656" w:rsidP="00ED6656">
      <w:pPr>
        <w:rPr>
          <w:lang w:val="es-ES_tradnl"/>
        </w:rPr>
      </w:pPr>
      <w:r w:rsidRPr="00ED6656">
        <w:rPr>
          <w:lang w:val="es-ES_tradnl"/>
        </w:rPr>
        <w:t>a)</w:t>
      </w:r>
      <w:r w:rsidRPr="00ED6656">
        <w:rPr>
          <w:lang w:val="es-ES_tradnl"/>
        </w:rPr>
        <w:tab/>
        <w:t>que el Manual de comprobación técnica del espectro del UIT</w:t>
      </w:r>
      <w:r w:rsidRPr="00ED6656">
        <w:rPr>
          <w:lang w:val="es-ES_tradnl"/>
        </w:rPr>
        <w:noBreakHyphen/>
        <w:t>R (edición de 2011) hace varias referencias a la velocidad de exploración de los receptores de comprobación técnica pero no indica nada acerca de la definición o los procedimientos de prueba para la velocidad de exploración;</w:t>
      </w:r>
    </w:p>
    <w:p w:rsidR="00ED6656" w:rsidRPr="00ED6656" w:rsidRDefault="00ED6656" w:rsidP="00ED6656">
      <w:pPr>
        <w:rPr>
          <w:lang w:val="es-ES_tradnl"/>
        </w:rPr>
      </w:pPr>
      <w:r w:rsidRPr="00ED6656">
        <w:rPr>
          <w:lang w:val="es-ES_tradnl"/>
        </w:rPr>
        <w:t>b)</w:t>
      </w:r>
      <w:r w:rsidRPr="00ED6656">
        <w:rPr>
          <w:lang w:val="es-ES_tradnl"/>
        </w:rPr>
        <w:tab/>
        <w:t>que la especificación de la velocidad de exploración depende en gran medida de los procedimientos de prueba aplicados;</w:t>
      </w:r>
    </w:p>
    <w:p w:rsidR="00ED6656" w:rsidRPr="00ED6656" w:rsidRDefault="00ED6656" w:rsidP="00ED6656">
      <w:pPr>
        <w:rPr>
          <w:lang w:val="es-ES_tradnl"/>
        </w:rPr>
      </w:pPr>
      <w:r w:rsidRPr="00ED6656">
        <w:rPr>
          <w:lang w:val="es-ES_tradnl"/>
        </w:rPr>
        <w:t>c)</w:t>
      </w:r>
      <w:r w:rsidRPr="00ED6656">
        <w:rPr>
          <w:lang w:val="es-ES_tradnl"/>
        </w:rPr>
        <w:tab/>
        <w:t>que la velocidad de exploración tiene una influencia directa sobre la idoneidad de un receptor para realizar ciertas tareas de comprobación técnica;</w:t>
      </w:r>
    </w:p>
    <w:p w:rsidR="00ED6656" w:rsidRPr="00ED6656" w:rsidRDefault="00ED6656" w:rsidP="00ED6656">
      <w:pPr>
        <w:rPr>
          <w:lang w:val="es-ES_tradnl"/>
        </w:rPr>
      </w:pPr>
      <w:r w:rsidRPr="00ED6656">
        <w:rPr>
          <w:lang w:val="es-ES_tradnl"/>
        </w:rPr>
        <w:t>d)</w:t>
      </w:r>
      <w:r w:rsidRPr="00ED6656">
        <w:rPr>
          <w:lang w:val="es-ES_tradnl"/>
        </w:rPr>
        <w:tab/>
        <w:t>que un procedimiento de prueba para la velocidad de exploración debe ser independiente del diseño del receptor;</w:t>
      </w:r>
    </w:p>
    <w:p w:rsidR="00ED6656" w:rsidRPr="00ED6656" w:rsidRDefault="00ED6656" w:rsidP="00ED6656">
      <w:pPr>
        <w:rPr>
          <w:lang w:val="es-ES_tradnl"/>
        </w:rPr>
      </w:pPr>
      <w:r w:rsidRPr="00ED6656">
        <w:rPr>
          <w:lang w:val="es-ES_tradnl"/>
        </w:rPr>
        <w:t>e)</w:t>
      </w:r>
      <w:r w:rsidRPr="00ED6656">
        <w:rPr>
          <w:lang w:val="es-ES_tradnl"/>
        </w:rPr>
        <w:tab/>
        <w:t>que un procedimiento de prueba bien definido para la velocidad de exploración, si lo adoptan todos los fabricantes de receptores de comprobación técnica, presentará para los usuarios de tales receptores la ventaja de poder evaluar de manera más sencilla y objetiva los productos de los distintos fabricantes;</w:t>
      </w:r>
    </w:p>
    <w:p w:rsidR="00ED6656" w:rsidRPr="00ED6656" w:rsidRDefault="00ED6656" w:rsidP="00D50F6F">
      <w:pPr>
        <w:rPr>
          <w:lang w:val="es-ES_tradnl"/>
        </w:rPr>
      </w:pPr>
      <w:r w:rsidRPr="00ED6656">
        <w:rPr>
          <w:lang w:val="es-ES_tradnl"/>
        </w:rPr>
        <w:t>f)</w:t>
      </w:r>
      <w:r w:rsidRPr="00ED6656">
        <w:rPr>
          <w:lang w:val="es-ES_tradnl"/>
        </w:rPr>
        <w:tab/>
        <w:t>que en el Informe UIT</w:t>
      </w:r>
      <w:r w:rsidRPr="00ED6656">
        <w:rPr>
          <w:lang w:val="es-ES_tradnl"/>
        </w:rPr>
        <w:noBreakHyphen/>
        <w:t>R SM.2125</w:t>
      </w:r>
      <w:r w:rsidR="00D50F6F">
        <w:rPr>
          <w:lang w:val="es-ES_tradnl"/>
        </w:rPr>
        <w:t xml:space="preserve"> –</w:t>
      </w:r>
      <w:r w:rsidRPr="00ED6656">
        <w:rPr>
          <w:lang w:val="es-ES_tradnl"/>
        </w:rPr>
        <w:t xml:space="preserve"> Parámetros y procedimientos de medición en los receptores y estaciones de comprobación técnica en las bandas de ondas decamétricas/métricas/</w:t>
      </w:r>
      <w:r w:rsidRPr="00ED6656">
        <w:rPr>
          <w:lang w:val="es-ES_tradnl"/>
        </w:rPr>
        <w:br/>
        <w:t>decimétricas figura información complementaria sobre estas mediciones de velocidad de exploración,</w:t>
      </w:r>
    </w:p>
    <w:p w:rsidR="00ED6656" w:rsidRPr="00ED6656" w:rsidRDefault="00ED6656" w:rsidP="00A3425C">
      <w:pPr>
        <w:pStyle w:val="Call"/>
        <w:rPr>
          <w:lang w:val="es-ES_tradnl"/>
        </w:rPr>
      </w:pPr>
      <w:r w:rsidRPr="00ED6656">
        <w:rPr>
          <w:lang w:val="es-ES_tradnl"/>
        </w:rPr>
        <w:t>recomienda</w:t>
      </w:r>
    </w:p>
    <w:p w:rsidR="00ED6656" w:rsidRPr="00ED6656" w:rsidRDefault="00ED6656" w:rsidP="00ED6656">
      <w:pPr>
        <w:rPr>
          <w:lang w:val="es-ES_tradnl"/>
        </w:rPr>
      </w:pPr>
      <w:r w:rsidRPr="00ED6656">
        <w:rPr>
          <w:b/>
          <w:lang w:val="es-ES_tradnl"/>
        </w:rPr>
        <w:t>1</w:t>
      </w:r>
      <w:r w:rsidRPr="00ED6656">
        <w:rPr>
          <w:b/>
          <w:lang w:val="es-ES_tradnl"/>
        </w:rPr>
        <w:tab/>
      </w:r>
      <w:r w:rsidRPr="00ED6656">
        <w:rPr>
          <w:lang w:val="es-ES_tradnl"/>
        </w:rPr>
        <w:t>que para determinar la velocidad de exploración se utilice el método de medición que figura en el Anexo 1.</w:t>
      </w:r>
    </w:p>
    <w:p w:rsidR="00ED6656" w:rsidRPr="00ED6656" w:rsidRDefault="00ED6656" w:rsidP="00A3425C">
      <w:pPr>
        <w:pStyle w:val="AnnexNoTitle"/>
        <w:rPr>
          <w:lang w:val="es-ES_tradnl"/>
        </w:rPr>
      </w:pPr>
      <w:r w:rsidRPr="00ED6656">
        <w:rPr>
          <w:lang w:val="es-ES_tradnl"/>
        </w:rPr>
        <w:lastRenderedPageBreak/>
        <w:t>Anexo 1</w:t>
      </w:r>
      <w:r w:rsidRPr="00ED6656">
        <w:rPr>
          <w:lang w:val="es-ES_tradnl"/>
        </w:rPr>
        <w:br/>
      </w:r>
      <w:r w:rsidRPr="00ED6656">
        <w:rPr>
          <w:lang w:val="es-ES_tradnl"/>
        </w:rPr>
        <w:br/>
        <w:t>Procedimiento de prueba para medir la velocidad de exploración</w:t>
      </w:r>
      <w:r w:rsidRPr="00ED6656">
        <w:rPr>
          <w:lang w:val="es-ES_tradnl"/>
        </w:rPr>
        <w:br/>
        <w:t>de los receptores de comprobación técnica radioeléctrica</w:t>
      </w:r>
    </w:p>
    <w:p w:rsidR="00ED6656" w:rsidRPr="00ED6656" w:rsidRDefault="00ED6656" w:rsidP="00A3425C">
      <w:pPr>
        <w:pStyle w:val="Heading1"/>
        <w:rPr>
          <w:lang w:val="es-ES_tradnl"/>
        </w:rPr>
      </w:pPr>
      <w:r w:rsidRPr="00ED6656">
        <w:rPr>
          <w:lang w:val="es-ES_tradnl"/>
        </w:rPr>
        <w:t>1</w:t>
      </w:r>
      <w:r w:rsidRPr="00ED6656">
        <w:rPr>
          <w:lang w:val="es-ES_tradnl"/>
        </w:rPr>
        <w:tab/>
        <w:t>Consideraciones generales</w:t>
      </w:r>
    </w:p>
    <w:p w:rsidR="00ED6656" w:rsidRPr="00ED6656" w:rsidRDefault="00ED6656" w:rsidP="00ED6656">
      <w:pPr>
        <w:rPr>
          <w:lang w:val="es-ES_tradnl"/>
        </w:rPr>
      </w:pPr>
      <w:r w:rsidRPr="00ED6656">
        <w:rPr>
          <w:lang w:val="es-ES_tradnl"/>
        </w:rPr>
        <w:t>La velocidad de exploración (a veces denominada velocidad de barrido) especifica la rapidez con la que un receptor puede proporcionar los valores del nivel de la señal en un cierto número de frecuencias y dentro de una banda de frecuencias determinada. Se mide en MHz por segundo.</w:t>
      </w:r>
    </w:p>
    <w:p w:rsidR="00ED6656" w:rsidRPr="00ED6656" w:rsidRDefault="00ED6656" w:rsidP="00ED6656">
      <w:pPr>
        <w:rPr>
          <w:lang w:val="es-ES_tradnl"/>
        </w:rPr>
      </w:pPr>
      <w:r w:rsidRPr="00ED6656">
        <w:rPr>
          <w:lang w:val="es-ES_tradnl"/>
        </w:rPr>
        <w:t>La velocidad de exploración debe incluir el efecto del tiempo de conmutación de banda, tiempo de retrasado del fin de exploración, tiempo de ajuste del oscilador local y todo tiempo de cálculo. En otras palabras, el parámetro velocidad de exploración puede utilizarse para calcular el tiempo de revisita. Opcionalmente, pueden indicarse por separado los distintos elementos que afectan a la velocidad de exploración de manera que el usuario pueda determinar el tiempo de revisita para cualquier gama de frecuencias arbitraria.</w:t>
      </w:r>
    </w:p>
    <w:p w:rsidR="00ED6656" w:rsidRPr="00ED6656" w:rsidRDefault="00ED6656" w:rsidP="00A3425C">
      <w:pPr>
        <w:pStyle w:val="Heading1"/>
        <w:rPr>
          <w:lang w:val="es-ES_tradnl"/>
        </w:rPr>
      </w:pPr>
      <w:r w:rsidRPr="00ED6656">
        <w:rPr>
          <w:lang w:val="es-ES_tradnl"/>
        </w:rPr>
        <w:t>2</w:t>
      </w:r>
      <w:r w:rsidRPr="00ED6656">
        <w:rPr>
          <w:lang w:val="es-ES_tradnl"/>
        </w:rPr>
        <w:tab/>
        <w:t>Principio de medición de la velocidad de exploración de los receptores de comprobación técnica</w:t>
      </w:r>
    </w:p>
    <w:p w:rsidR="00ED6656" w:rsidRPr="00ED6656" w:rsidRDefault="00ED6656" w:rsidP="00ED6656">
      <w:pPr>
        <w:rPr>
          <w:lang w:val="es-ES_tradnl"/>
        </w:rPr>
      </w:pPr>
      <w:r w:rsidRPr="00ED6656">
        <w:rPr>
          <w:lang w:val="es-ES_tradnl"/>
        </w:rPr>
        <w:t>La velocidad de exploración es un parámetro importante para un receptor de comprobación técnica. Caracteriza el número de transmisores que puede analizar un receptor de comprobación técnica en un determinado periodo de tiempo. Este parámetro depende de dos factores:</w:t>
      </w:r>
    </w:p>
    <w:p w:rsidR="00ED6656" w:rsidRPr="00ED6656" w:rsidRDefault="00ED6656" w:rsidP="00A3425C">
      <w:pPr>
        <w:pStyle w:val="enumlev1"/>
        <w:rPr>
          <w:lang w:val="es-ES_tradnl"/>
        </w:rPr>
      </w:pPr>
      <w:r w:rsidRPr="00ED6656">
        <w:rPr>
          <w:lang w:val="es-ES_tradnl"/>
        </w:rPr>
        <w:t>–</w:t>
      </w:r>
      <w:r w:rsidRPr="00ED6656">
        <w:rPr>
          <w:lang w:val="es-ES_tradnl"/>
        </w:rPr>
        <w:tab/>
        <w:t>la velocidad del receptor de comprobación técnica (tiempo de ajuste de los osciladores locales, filtros ...);</w:t>
      </w:r>
    </w:p>
    <w:p w:rsidR="00ED6656" w:rsidRPr="00ED6656" w:rsidRDefault="00ED6656" w:rsidP="00A3425C">
      <w:pPr>
        <w:pStyle w:val="enumlev1"/>
        <w:rPr>
          <w:lang w:val="es-ES_tradnl"/>
        </w:rPr>
      </w:pPr>
      <w:r w:rsidRPr="00ED6656">
        <w:rPr>
          <w:lang w:val="es-ES_tradnl"/>
        </w:rPr>
        <w:t>–</w:t>
      </w:r>
      <w:r w:rsidRPr="00ED6656">
        <w:rPr>
          <w:lang w:val="es-ES_tradnl"/>
        </w:rPr>
        <w:tab/>
        <w:t>la velocidad de procesamiento digital (FFT, radiogoniometría ...).</w:t>
      </w:r>
    </w:p>
    <w:p w:rsidR="00ED6656" w:rsidRPr="00ED6656" w:rsidRDefault="00ED6656" w:rsidP="00ED6656">
      <w:pPr>
        <w:rPr>
          <w:lang w:val="es-ES_tradnl"/>
        </w:rPr>
      </w:pPr>
      <w:r w:rsidRPr="00ED6656">
        <w:rPr>
          <w:lang w:val="es-ES_tradnl"/>
        </w:rPr>
        <w:t xml:space="preserve">La velocidad de exploración es la capacidad que tiene el receptor de comprobación técnica de caracterizar una o más señales de ráfagas en una determinada banda de frecuencias entre </w:t>
      </w:r>
      <w:r w:rsidRPr="00ED6656">
        <w:rPr>
          <w:i/>
          <w:iCs/>
          <w:lang w:val="es-ES_tradnl"/>
        </w:rPr>
        <w:t>f</w:t>
      </w:r>
      <w:r w:rsidRPr="00ED6656">
        <w:rPr>
          <w:i/>
          <w:vertAlign w:val="subscript"/>
          <w:lang w:val="es-ES_tradnl"/>
        </w:rPr>
        <w:t>min</w:t>
      </w:r>
      <w:r w:rsidRPr="00ED6656">
        <w:rPr>
          <w:lang w:val="es-ES_tradnl"/>
        </w:rPr>
        <w:t> y </w:t>
      </w:r>
      <w:r w:rsidRPr="00ED6656">
        <w:rPr>
          <w:i/>
          <w:iCs/>
          <w:lang w:val="es-ES_tradnl"/>
        </w:rPr>
        <w:t>f</w:t>
      </w:r>
      <w:r w:rsidRPr="00ED6656">
        <w:rPr>
          <w:i/>
          <w:vertAlign w:val="subscript"/>
          <w:lang w:val="es-ES_tradnl"/>
        </w:rPr>
        <w:t>max</w:t>
      </w:r>
      <w:r w:rsidRPr="00ED6656">
        <w:rPr>
          <w:lang w:val="es-ES_tradnl"/>
        </w:rPr>
        <w:t>. La velocidad de exploración se expresa en MHz/s.</w:t>
      </w:r>
    </w:p>
    <w:p w:rsidR="00ED6656" w:rsidRPr="00ED6656" w:rsidRDefault="00ED6656" w:rsidP="00ED6656">
      <w:pPr>
        <w:rPr>
          <w:lang w:val="es-ES_tradnl"/>
        </w:rPr>
      </w:pPr>
      <w:r w:rsidRPr="00ED6656">
        <w:rPr>
          <w:lang w:val="es-ES_tradnl"/>
        </w:rPr>
        <w:t>El comportamiento se evalúa mediante dos mediciones:</w:t>
      </w:r>
    </w:p>
    <w:p w:rsidR="00ED6656" w:rsidRPr="00ED6656" w:rsidRDefault="00ED6656" w:rsidP="00A3425C">
      <w:pPr>
        <w:pStyle w:val="enumlev1"/>
        <w:rPr>
          <w:lang w:val="es-ES_tradnl"/>
        </w:rPr>
      </w:pPr>
      <w:r w:rsidRPr="00ED6656">
        <w:rPr>
          <w:lang w:val="es-ES_tradnl"/>
        </w:rPr>
        <w:t>–</w:t>
      </w:r>
      <w:r w:rsidRPr="00ED6656">
        <w:rPr>
          <w:lang w:val="es-ES_tradnl"/>
        </w:rPr>
        <w:tab/>
        <w:t>caracterización válida de una ráfaga que prueba la velocidad a la que se explora la banda;</w:t>
      </w:r>
    </w:p>
    <w:p w:rsidR="00ED6656" w:rsidRPr="00ED6656" w:rsidRDefault="00ED6656" w:rsidP="00A3425C">
      <w:pPr>
        <w:pStyle w:val="enumlev1"/>
        <w:rPr>
          <w:lang w:val="es-ES_tradnl"/>
        </w:rPr>
      </w:pPr>
      <w:r w:rsidRPr="00ED6656">
        <w:rPr>
          <w:lang w:val="es-ES_tradnl"/>
        </w:rPr>
        <w:t>–</w:t>
      </w:r>
      <w:r w:rsidRPr="00ED6656">
        <w:rPr>
          <w:lang w:val="es-ES_tradnl"/>
        </w:rPr>
        <w:tab/>
        <w:t>caracterización válida de varias ráfagas simultáneas sin influencia en la velocidad a la que se explora la banda.</w:t>
      </w:r>
    </w:p>
    <w:p w:rsidR="00ED6656" w:rsidRPr="00ED6656" w:rsidRDefault="00ED6656" w:rsidP="00ED6656">
      <w:pPr>
        <w:rPr>
          <w:lang w:val="es-ES_tradnl"/>
        </w:rPr>
      </w:pPr>
      <w:r w:rsidRPr="00ED6656">
        <w:rPr>
          <w:lang w:val="es-ES_tradnl"/>
        </w:rPr>
        <w:t>Para las mediciones de velocidad de exploración sólo deben tenerse en cuenta las caracterizaciones válidas.</w:t>
      </w:r>
    </w:p>
    <w:p w:rsidR="00ED6656" w:rsidRPr="00ED6656" w:rsidRDefault="00ED6656" w:rsidP="00ED6656">
      <w:pPr>
        <w:rPr>
          <w:lang w:val="es-ES_tradnl"/>
        </w:rPr>
      </w:pPr>
      <w:r w:rsidRPr="00ED6656">
        <w:rPr>
          <w:lang w:val="es-ES_tradnl"/>
        </w:rPr>
        <w:t>El objetivo del procedimiento de medición que describe este documento es verificar el comportamiento de la velocidad de exploración. No se tiene la intención de medir el límite de la velocidad de exploración del receptor.</w:t>
      </w:r>
    </w:p>
    <w:p w:rsidR="00ED6656" w:rsidRPr="00ED6656" w:rsidRDefault="00ED6656" w:rsidP="00A3425C">
      <w:pPr>
        <w:pStyle w:val="Heading2"/>
        <w:rPr>
          <w:lang w:val="es-ES_tradnl"/>
        </w:rPr>
      </w:pPr>
      <w:r w:rsidRPr="00ED6656">
        <w:rPr>
          <w:lang w:val="es-ES_tradnl"/>
        </w:rPr>
        <w:t>2.1</w:t>
      </w:r>
      <w:r w:rsidRPr="00ED6656">
        <w:rPr>
          <w:lang w:val="es-ES_tradnl"/>
        </w:rPr>
        <w:tab/>
        <w:t>Montaje de medición</w:t>
      </w:r>
    </w:p>
    <w:p w:rsidR="00ED6656" w:rsidRPr="00ED6656" w:rsidRDefault="00ED6656" w:rsidP="00ED6656">
      <w:pPr>
        <w:rPr>
          <w:lang w:val="es-ES_tradnl"/>
        </w:rPr>
      </w:pPr>
      <w:r w:rsidRPr="00ED6656">
        <w:rPr>
          <w:lang w:val="es-ES_tradnl"/>
        </w:rPr>
        <w:t>Debe utilizarse el montaje de medición representado en la Fig. 1.</w:t>
      </w:r>
    </w:p>
    <w:p w:rsidR="00ED6656" w:rsidRPr="00ED6656" w:rsidRDefault="00ED6656" w:rsidP="00A3425C">
      <w:pPr>
        <w:pStyle w:val="FigureNo"/>
      </w:pPr>
      <w:r w:rsidRPr="00ED6656">
        <w:object w:dxaOrig="5315" w:dyaOrig="1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2pt;height:87.6pt" o:ole="">
            <v:imagedata r:id="rId14" o:title=""/>
          </v:shape>
          <o:OLEObject Type="Embed" ProgID="CorelDraw.Graphic.12" ShapeID="_x0000_i1025" DrawAspect="Content" ObjectID="_1367066047" r:id="rId15"/>
        </w:object>
      </w:r>
    </w:p>
    <w:p w:rsidR="00ED6656" w:rsidRPr="00ED6656" w:rsidRDefault="00ED6656" w:rsidP="00A3425C">
      <w:pPr>
        <w:pStyle w:val="Headingb"/>
        <w:rPr>
          <w:lang w:val="es-ES_tradnl"/>
        </w:rPr>
      </w:pPr>
      <w:r w:rsidRPr="00ED6656">
        <w:rPr>
          <w:lang w:val="es-ES_tradnl"/>
        </w:rPr>
        <w:t>Procedimiento de medición</w:t>
      </w:r>
    </w:p>
    <w:p w:rsidR="00ED6656" w:rsidRPr="00ED6656" w:rsidRDefault="00ED6656" w:rsidP="00A3425C">
      <w:pPr>
        <w:pStyle w:val="enumlev1"/>
        <w:ind w:left="1191" w:hanging="1191"/>
        <w:rPr>
          <w:lang w:val="es-ES_tradnl"/>
        </w:rPr>
      </w:pPr>
      <w:r w:rsidRPr="00ED6656">
        <w:rPr>
          <w:i/>
          <w:lang w:val="es-ES_tradnl"/>
        </w:rPr>
        <w:t>Paso 1</w:t>
      </w:r>
      <w:r w:rsidRPr="00ED6656">
        <w:rPr>
          <w:lang w:val="es-ES_tradnl"/>
        </w:rPr>
        <w:t>:</w:t>
      </w:r>
      <w:r w:rsidRPr="00ED6656">
        <w:rPr>
          <w:lang w:val="es-ES_tradnl"/>
        </w:rPr>
        <w:tab/>
      </w:r>
      <w:r w:rsidRPr="00ED6656">
        <w:rPr>
          <w:lang w:val="es-ES_tradnl"/>
        </w:rPr>
        <w:tab/>
        <w:t xml:space="preserve">El receptor de comprobación técnica debe ajustarse para explorar la gama de frecuencias con la resolución de canal especificada y la velocidad de caracterización válida. El valor de la gama de frecuencias explorada es </w:t>
      </w:r>
      <w:r w:rsidRPr="00ED6656">
        <w:rPr>
          <w:i/>
          <w:iCs/>
          <w:lang w:val="es-ES_tradnl"/>
        </w:rPr>
        <w:t>B</w:t>
      </w:r>
      <w:r w:rsidRPr="00ED6656">
        <w:rPr>
          <w:lang w:val="es-ES_tradnl"/>
        </w:rPr>
        <w:t> (MHz) = </w:t>
      </w:r>
      <w:r w:rsidRPr="00ED6656">
        <w:rPr>
          <w:i/>
          <w:iCs/>
          <w:lang w:val="es-ES_tradnl"/>
        </w:rPr>
        <w:t>f</w:t>
      </w:r>
      <w:r w:rsidRPr="00ED6656">
        <w:rPr>
          <w:i/>
          <w:vertAlign w:val="subscript"/>
          <w:lang w:val="es-ES_tradnl"/>
        </w:rPr>
        <w:t>max</w:t>
      </w:r>
      <w:r w:rsidRPr="00ED6656">
        <w:rPr>
          <w:lang w:val="es-ES_tradnl"/>
        </w:rPr>
        <w:t> − </w:t>
      </w:r>
      <w:r w:rsidRPr="00ED6656">
        <w:rPr>
          <w:i/>
          <w:iCs/>
          <w:lang w:val="es-ES_tradnl"/>
        </w:rPr>
        <w:t>f</w:t>
      </w:r>
      <w:r w:rsidRPr="00ED6656">
        <w:rPr>
          <w:i/>
          <w:vertAlign w:val="subscript"/>
          <w:lang w:val="es-ES_tradnl"/>
        </w:rPr>
        <w:t>min</w:t>
      </w:r>
      <w:r w:rsidRPr="00ED6656">
        <w:rPr>
          <w:lang w:val="es-ES_tradnl"/>
        </w:rPr>
        <w:t xml:space="preserve">. Los parámetros </w:t>
      </w:r>
      <w:r w:rsidRPr="00ED6656">
        <w:rPr>
          <w:i/>
          <w:iCs/>
          <w:lang w:val="es-ES_tradnl"/>
        </w:rPr>
        <w:t>f</w:t>
      </w:r>
      <w:r w:rsidRPr="00ED6656">
        <w:rPr>
          <w:i/>
          <w:vertAlign w:val="subscript"/>
          <w:lang w:val="es-ES_tradnl"/>
        </w:rPr>
        <w:t>min</w:t>
      </w:r>
      <w:r w:rsidRPr="00ED6656">
        <w:rPr>
          <w:lang w:val="es-ES_tradnl"/>
        </w:rPr>
        <w:t xml:space="preserve"> y </w:t>
      </w:r>
      <w:r w:rsidRPr="00ED6656">
        <w:rPr>
          <w:i/>
          <w:iCs/>
          <w:lang w:val="es-ES_tradnl"/>
        </w:rPr>
        <w:t>f</w:t>
      </w:r>
      <w:r w:rsidRPr="00ED6656">
        <w:rPr>
          <w:i/>
          <w:vertAlign w:val="subscript"/>
          <w:lang w:val="es-ES_tradnl"/>
        </w:rPr>
        <w:t>max</w:t>
      </w:r>
      <w:r w:rsidRPr="00ED6656">
        <w:rPr>
          <w:lang w:val="es-ES_tradnl"/>
        </w:rPr>
        <w:t xml:space="preserve"> deben seleccionarse de manera que la gama de frecuencias explorada contenga al menos dos canales con la resolución de canal especificada.</w:t>
      </w:r>
    </w:p>
    <w:p w:rsidR="00ED6656" w:rsidRPr="00ED6656" w:rsidRDefault="00ED6656" w:rsidP="00A3425C">
      <w:pPr>
        <w:pStyle w:val="enumlev1"/>
        <w:rPr>
          <w:lang w:val="es-ES_tradnl"/>
        </w:rPr>
      </w:pPr>
      <w:r w:rsidRPr="00ED6656">
        <w:rPr>
          <w:i/>
          <w:lang w:val="es-ES_tradnl"/>
        </w:rPr>
        <w:t>Paso 2</w:t>
      </w:r>
      <w:r w:rsidRPr="00ED6656">
        <w:rPr>
          <w:lang w:val="es-ES_tradnl"/>
        </w:rPr>
        <w:t>:</w:t>
      </w:r>
      <w:r w:rsidRPr="00ED6656">
        <w:rPr>
          <w:lang w:val="es-ES_tradnl"/>
        </w:rPr>
        <w:tab/>
      </w:r>
      <w:r w:rsidRPr="00ED6656">
        <w:rPr>
          <w:lang w:val="es-ES_tradnl"/>
        </w:rPr>
        <w:tab/>
        <w:t>El generador crea una señal de ráfaga de longitud:</w:t>
      </w:r>
    </w:p>
    <w:p w:rsidR="00ED6656" w:rsidRPr="00ED6656" w:rsidRDefault="00ED6656" w:rsidP="00A3425C">
      <w:pPr>
        <w:pStyle w:val="Equation"/>
        <w:rPr>
          <w:lang w:val="es-ES_tradnl"/>
        </w:rPr>
      </w:pPr>
      <w:r w:rsidRPr="00ED6656">
        <w:rPr>
          <w:lang w:val="es-ES_tradnl"/>
        </w:rPr>
        <w:tab/>
      </w:r>
      <w:r w:rsidRPr="00ED6656">
        <w:rPr>
          <w:lang w:val="es-ES_tradnl"/>
        </w:rPr>
        <w:tab/>
      </w:r>
      <w:r w:rsidRPr="00D50F6F">
        <w:rPr>
          <w:i/>
          <w:iCs/>
          <w:lang w:val="es-ES_tradnl"/>
        </w:rPr>
        <w:t>T</w:t>
      </w:r>
      <w:r w:rsidRPr="00ED6656">
        <w:rPr>
          <w:vertAlign w:val="subscript"/>
          <w:lang w:val="es-ES_tradnl"/>
        </w:rPr>
        <w:t>0</w:t>
      </w:r>
      <w:r w:rsidRPr="00ED6656">
        <w:rPr>
          <w:lang w:val="es-ES_tradnl"/>
        </w:rPr>
        <w:t xml:space="preserve"> = </w:t>
      </w:r>
      <w:r w:rsidRPr="00D50F6F">
        <w:rPr>
          <w:i/>
          <w:iCs/>
          <w:lang w:val="es-ES_tradnl"/>
        </w:rPr>
        <w:t>B</w:t>
      </w:r>
      <w:r w:rsidRPr="00ED6656">
        <w:rPr>
          <w:lang w:val="es-ES_tradnl"/>
        </w:rPr>
        <w:t>/</w:t>
      </w:r>
      <w:r w:rsidRPr="00D50F6F">
        <w:rPr>
          <w:i/>
          <w:iCs/>
          <w:lang w:val="es-ES_tradnl"/>
        </w:rPr>
        <w:t>S</w:t>
      </w:r>
      <w:r w:rsidRPr="00D50F6F">
        <w:rPr>
          <w:i/>
          <w:iCs/>
          <w:vertAlign w:val="subscript"/>
          <w:lang w:val="es-ES_tradnl"/>
        </w:rPr>
        <w:t>s</w:t>
      </w:r>
    </w:p>
    <w:p w:rsidR="00ED6656" w:rsidRPr="00ED6656" w:rsidRDefault="00ED6656" w:rsidP="00A3425C">
      <w:pPr>
        <w:pStyle w:val="enumlev1"/>
        <w:rPr>
          <w:lang w:val="es-ES_tradnl"/>
        </w:rPr>
      </w:pPr>
      <w:r w:rsidRPr="00ED6656">
        <w:rPr>
          <w:lang w:val="es-ES_tradnl"/>
        </w:rPr>
        <w:tab/>
      </w:r>
      <w:r w:rsidRPr="00ED6656">
        <w:rPr>
          <w:lang w:val="es-ES_tradnl"/>
        </w:rPr>
        <w:tab/>
        <w:t>siendo:</w:t>
      </w:r>
    </w:p>
    <w:p w:rsidR="00ED6656" w:rsidRPr="00D50F6F" w:rsidRDefault="00ED6656" w:rsidP="00A3425C">
      <w:pPr>
        <w:pStyle w:val="Equationlegend"/>
        <w:rPr>
          <w:lang w:val="es-ES_tradnl"/>
        </w:rPr>
      </w:pPr>
      <w:r w:rsidRPr="00D50F6F">
        <w:rPr>
          <w:lang w:val="es-ES_tradnl"/>
        </w:rPr>
        <w:tab/>
      </w:r>
      <w:r w:rsidRPr="00D50F6F">
        <w:rPr>
          <w:i/>
          <w:iCs/>
          <w:lang w:val="es-ES_tradnl"/>
        </w:rPr>
        <w:t>T</w:t>
      </w:r>
      <w:r w:rsidRPr="00D50F6F">
        <w:rPr>
          <w:vertAlign w:val="subscript"/>
          <w:lang w:val="es-ES_tradnl"/>
        </w:rPr>
        <w:t>0</w:t>
      </w:r>
      <w:r w:rsidRPr="00D50F6F">
        <w:rPr>
          <w:lang w:val="es-ES_tradnl"/>
        </w:rPr>
        <w:t>:</w:t>
      </w:r>
      <w:r w:rsidRPr="00D50F6F">
        <w:rPr>
          <w:lang w:val="es-ES_tradnl"/>
        </w:rPr>
        <w:tab/>
        <w:t>tiempo de duración de la ráfaga (s)</w:t>
      </w:r>
    </w:p>
    <w:p w:rsidR="00ED6656" w:rsidRPr="00D50F6F" w:rsidRDefault="00ED6656" w:rsidP="00A3425C">
      <w:pPr>
        <w:pStyle w:val="Equationlegend"/>
        <w:rPr>
          <w:lang w:val="es-ES_tradnl"/>
        </w:rPr>
      </w:pPr>
      <w:r w:rsidRPr="00D50F6F">
        <w:rPr>
          <w:lang w:val="es-ES_tradnl"/>
        </w:rPr>
        <w:tab/>
      </w:r>
      <w:r w:rsidRPr="00D50F6F">
        <w:rPr>
          <w:i/>
          <w:iCs/>
          <w:lang w:val="es-ES_tradnl"/>
        </w:rPr>
        <w:t>B</w:t>
      </w:r>
      <w:r w:rsidRPr="00D50F6F">
        <w:rPr>
          <w:lang w:val="es-ES_tradnl"/>
        </w:rPr>
        <w:t>:</w:t>
      </w:r>
      <w:r w:rsidRPr="00D50F6F">
        <w:rPr>
          <w:lang w:val="es-ES_tradnl"/>
        </w:rPr>
        <w:tab/>
        <w:t>gama de frecuencias explorada (M</w:t>
      </w:r>
      <w:bookmarkStart w:id="4" w:name="_GoBack"/>
      <w:bookmarkEnd w:id="4"/>
      <w:r w:rsidRPr="00D50F6F">
        <w:rPr>
          <w:lang w:val="es-ES_tradnl"/>
        </w:rPr>
        <w:t>Hz) (</w:t>
      </w:r>
      <w:r w:rsidRPr="00D50F6F">
        <w:rPr>
          <w:i/>
          <w:iCs/>
          <w:lang w:val="es-ES_tradnl"/>
        </w:rPr>
        <w:t>B</w:t>
      </w:r>
      <w:r w:rsidRPr="00D50F6F">
        <w:rPr>
          <w:lang w:val="es-ES_tradnl"/>
        </w:rPr>
        <w:t xml:space="preserve"> = </w:t>
      </w:r>
      <w:r w:rsidRPr="00D50F6F">
        <w:rPr>
          <w:i/>
          <w:iCs/>
          <w:lang w:val="es-ES_tradnl"/>
        </w:rPr>
        <w:t>N</w:t>
      </w:r>
      <w:r w:rsidRPr="00D50F6F">
        <w:rPr>
          <w:lang w:val="es-ES_tradnl"/>
        </w:rPr>
        <w:t xml:space="preserve"> * anchura de banda instantánea)</w:t>
      </w:r>
    </w:p>
    <w:p w:rsidR="00ED6656" w:rsidRPr="00D50F6F" w:rsidRDefault="00ED6656" w:rsidP="00A3425C">
      <w:pPr>
        <w:pStyle w:val="Equationlegend"/>
        <w:rPr>
          <w:lang w:val="es-ES_tradnl"/>
        </w:rPr>
      </w:pPr>
      <w:r w:rsidRPr="00D50F6F">
        <w:rPr>
          <w:lang w:val="es-ES_tradnl"/>
        </w:rPr>
        <w:tab/>
      </w:r>
      <w:r w:rsidRPr="00D50F6F">
        <w:rPr>
          <w:i/>
          <w:iCs/>
          <w:lang w:val="es-ES_tradnl"/>
        </w:rPr>
        <w:t>S</w:t>
      </w:r>
      <w:r w:rsidRPr="00D50F6F">
        <w:rPr>
          <w:i/>
          <w:iCs/>
          <w:vertAlign w:val="subscript"/>
          <w:lang w:val="es-ES_tradnl"/>
        </w:rPr>
        <w:t>s</w:t>
      </w:r>
      <w:r w:rsidRPr="00D50F6F">
        <w:rPr>
          <w:lang w:val="es-ES_tradnl"/>
        </w:rPr>
        <w:t>:</w:t>
      </w:r>
      <w:r w:rsidRPr="00D50F6F">
        <w:rPr>
          <w:lang w:val="es-ES_tradnl"/>
        </w:rPr>
        <w:tab/>
        <w:t>velocidad de exploración del receptor de comprobación técnica (MHz/s).</w:t>
      </w:r>
    </w:p>
    <w:p w:rsidR="00ED6656" w:rsidRPr="00ED6656" w:rsidRDefault="00ED6656" w:rsidP="00A3425C">
      <w:pPr>
        <w:pStyle w:val="enumlev1"/>
        <w:ind w:left="1191" w:hanging="1191"/>
        <w:rPr>
          <w:lang w:val="es-ES_tradnl"/>
        </w:rPr>
      </w:pPr>
      <w:r w:rsidRPr="00ED6656">
        <w:rPr>
          <w:lang w:val="es-ES_tradnl"/>
        </w:rPr>
        <w:tab/>
      </w:r>
      <w:r w:rsidRPr="00ED6656">
        <w:rPr>
          <w:lang w:val="es-ES_tradnl"/>
        </w:rPr>
        <w:tab/>
        <w:t>El nivel del generador se ajusta de manera que se obtenga una SNR &gt; 30 dB como se indica en el receptor.</w:t>
      </w:r>
    </w:p>
    <w:p w:rsidR="00ED6656" w:rsidRPr="00ED6656" w:rsidRDefault="00ED6656" w:rsidP="00A3425C">
      <w:pPr>
        <w:pStyle w:val="enumlev1"/>
        <w:ind w:left="1191" w:hanging="1191"/>
        <w:rPr>
          <w:lang w:val="es-ES_tradnl"/>
        </w:rPr>
      </w:pPr>
      <w:r w:rsidRPr="00ED6656">
        <w:rPr>
          <w:lang w:val="es-ES_tradnl"/>
        </w:rPr>
        <w:tab/>
      </w:r>
      <w:r w:rsidRPr="00ED6656">
        <w:rPr>
          <w:lang w:val="es-ES_tradnl"/>
        </w:rPr>
        <w:tab/>
        <w:t>Las frecuencias del generador deben seleccionarse dentro de la gama de frecuencias explorada del receptor de comprobación técnica.</w:t>
      </w:r>
    </w:p>
    <w:p w:rsidR="00ED6656" w:rsidRPr="00ED6656" w:rsidRDefault="00ED6656" w:rsidP="00A3425C">
      <w:pPr>
        <w:pStyle w:val="enumlev1"/>
        <w:ind w:left="1191" w:hanging="1191"/>
        <w:rPr>
          <w:lang w:val="es-ES_tradnl"/>
        </w:rPr>
      </w:pPr>
      <w:r w:rsidRPr="00ED6656">
        <w:rPr>
          <w:i/>
          <w:lang w:val="es-ES_tradnl"/>
        </w:rPr>
        <w:t>Paso 3</w:t>
      </w:r>
      <w:r w:rsidRPr="00ED6656">
        <w:rPr>
          <w:lang w:val="es-ES_tradnl"/>
        </w:rPr>
        <w:t>:</w:t>
      </w:r>
      <w:r w:rsidRPr="00ED6656">
        <w:rPr>
          <w:lang w:val="es-ES_tradnl"/>
        </w:rPr>
        <w:tab/>
      </w:r>
      <w:r w:rsidRPr="00ED6656">
        <w:rPr>
          <w:lang w:val="es-ES_tradnl"/>
        </w:rPr>
        <w:tab/>
        <w:t>Se ajusta el umbral de nivel para garantizar que el canal queda perfectamente detectado y caracterizado (caracterización válida).</w:t>
      </w:r>
    </w:p>
    <w:p w:rsidR="00ED6656" w:rsidRPr="00ED6656" w:rsidRDefault="00ED6656" w:rsidP="00A3425C">
      <w:pPr>
        <w:pStyle w:val="enumlev1"/>
        <w:ind w:left="1191" w:hanging="1191"/>
        <w:rPr>
          <w:lang w:val="es-ES_tradnl"/>
        </w:rPr>
      </w:pPr>
      <w:r w:rsidRPr="00ED6656">
        <w:rPr>
          <w:i/>
          <w:lang w:val="es-ES_tradnl"/>
        </w:rPr>
        <w:t>Paso 4</w:t>
      </w:r>
      <w:r w:rsidRPr="00ED6656">
        <w:rPr>
          <w:lang w:val="es-ES_tradnl"/>
        </w:rPr>
        <w:t>:</w:t>
      </w:r>
      <w:r w:rsidRPr="00ED6656">
        <w:rPr>
          <w:lang w:val="es-ES_tradnl"/>
        </w:rPr>
        <w:tab/>
      </w:r>
      <w:r w:rsidRPr="00ED6656">
        <w:rPr>
          <w:lang w:val="es-ES_tradnl"/>
        </w:rPr>
        <w:tab/>
        <w:t>Se activa el generador para que proporcione un solo impulso.</w:t>
      </w:r>
    </w:p>
    <w:p w:rsidR="00ED6656" w:rsidRPr="00ED6656" w:rsidRDefault="00ED6656" w:rsidP="00A3425C">
      <w:pPr>
        <w:pStyle w:val="enumlev1"/>
        <w:ind w:left="1191" w:hanging="1191"/>
        <w:rPr>
          <w:lang w:val="es-ES_tradnl"/>
        </w:rPr>
      </w:pPr>
      <w:r w:rsidRPr="00ED6656">
        <w:rPr>
          <w:i/>
          <w:lang w:val="es-ES_tradnl"/>
        </w:rPr>
        <w:t>Paso 5</w:t>
      </w:r>
      <w:r w:rsidRPr="00ED6656">
        <w:rPr>
          <w:lang w:val="es-ES_tradnl"/>
        </w:rPr>
        <w:t>:</w:t>
      </w:r>
      <w:r w:rsidRPr="00ED6656">
        <w:rPr>
          <w:lang w:val="es-ES_tradnl"/>
        </w:rPr>
        <w:tab/>
      </w:r>
      <w:r w:rsidRPr="00ED6656">
        <w:rPr>
          <w:lang w:val="es-ES_tradnl"/>
        </w:rPr>
        <w:tab/>
        <w:t>Se verifica si la señal ha sido detectada y caracterizada (la probabilidad de detección de las señales durante un número subsiguiente de pruebas debe ser superior al 95%):</w:t>
      </w:r>
    </w:p>
    <w:p w:rsidR="00ED6656" w:rsidRPr="00ED6656" w:rsidRDefault="00ED6656" w:rsidP="00A3425C">
      <w:pPr>
        <w:pStyle w:val="enumlev2"/>
        <w:ind w:left="1588" w:hanging="794"/>
        <w:rPr>
          <w:lang w:val="es-ES_tradnl"/>
        </w:rPr>
      </w:pPr>
      <w:r w:rsidRPr="00ED6656">
        <w:rPr>
          <w:lang w:val="es-ES_tradnl"/>
        </w:rPr>
        <w:tab/>
        <w:t>–</w:t>
      </w:r>
      <w:r w:rsidRPr="00ED6656">
        <w:rPr>
          <w:lang w:val="es-ES_tradnl"/>
        </w:rPr>
        <w:tab/>
        <w:t>se admite un error en el nivel de 5 dB más que la precisión de amplitud especificada;</w:t>
      </w:r>
    </w:p>
    <w:p w:rsidR="00ED6656" w:rsidRPr="00ED6656" w:rsidRDefault="00ED6656" w:rsidP="00A3425C">
      <w:pPr>
        <w:pStyle w:val="enumlev2"/>
        <w:ind w:left="1588" w:hanging="794"/>
        <w:rPr>
          <w:lang w:val="es-ES_tradnl"/>
        </w:rPr>
      </w:pPr>
      <w:r w:rsidRPr="00ED6656">
        <w:rPr>
          <w:lang w:val="es-ES_tradnl"/>
        </w:rPr>
        <w:tab/>
        <w:t>–</w:t>
      </w:r>
      <w:r w:rsidRPr="00ED6656">
        <w:rPr>
          <w:lang w:val="es-ES_tradnl"/>
        </w:rPr>
        <w:tab/>
        <w:t>se admite un error de frecuencia de una anchura de banda de resolución más que la precisión de la frecuencia no explorada.</w:t>
      </w:r>
    </w:p>
    <w:p w:rsidR="00ED6656" w:rsidRPr="00ED6656" w:rsidRDefault="00ED6656" w:rsidP="00A3425C">
      <w:pPr>
        <w:pStyle w:val="enumlev1"/>
        <w:ind w:left="1191" w:hanging="1191"/>
        <w:rPr>
          <w:lang w:val="es-ES_tradnl"/>
        </w:rPr>
      </w:pPr>
      <w:r w:rsidRPr="00ED6656">
        <w:rPr>
          <w:lang w:val="es-ES_tradnl"/>
        </w:rPr>
        <w:tab/>
      </w:r>
      <w:r w:rsidRPr="00ED6656">
        <w:rPr>
          <w:lang w:val="es-ES_tradnl"/>
        </w:rPr>
        <w:tab/>
        <w:t>El nivel de la señal debe medirse en el terminal de entrada de la antena del receptor de comprobación técnica.</w:t>
      </w:r>
    </w:p>
    <w:p w:rsidR="00ED6656" w:rsidRPr="00ED6656" w:rsidRDefault="00ED6656" w:rsidP="00A3425C">
      <w:pPr>
        <w:pStyle w:val="enumlev1"/>
        <w:ind w:left="1191" w:hanging="1191"/>
        <w:rPr>
          <w:lang w:val="es-ES_tradnl"/>
        </w:rPr>
      </w:pPr>
      <w:r w:rsidRPr="00ED6656">
        <w:rPr>
          <w:i/>
          <w:lang w:val="es-ES_tradnl"/>
        </w:rPr>
        <w:t>Paso 6</w:t>
      </w:r>
      <w:r w:rsidRPr="00ED6656">
        <w:rPr>
          <w:lang w:val="es-ES_tradnl"/>
        </w:rPr>
        <w:t>:</w:t>
      </w:r>
      <w:r w:rsidRPr="00ED6656">
        <w:rPr>
          <w:lang w:val="es-ES_tradnl"/>
        </w:rPr>
        <w:tab/>
      </w:r>
      <w:r w:rsidRPr="00ED6656">
        <w:rPr>
          <w:lang w:val="es-ES_tradnl"/>
        </w:rPr>
        <w:tab/>
        <w:t>Se programa el generador para que proporcione varias ráfagas. Deben programarse un mínimo de 50 frecuencias.</w:t>
      </w:r>
    </w:p>
    <w:p w:rsidR="00ED6656" w:rsidRPr="00ED6656" w:rsidRDefault="00ED6656" w:rsidP="00A3425C">
      <w:pPr>
        <w:pStyle w:val="enumlev1"/>
        <w:ind w:left="1191" w:hanging="1191"/>
        <w:rPr>
          <w:lang w:val="es-ES_tradnl"/>
        </w:rPr>
      </w:pPr>
      <w:r w:rsidRPr="00ED6656">
        <w:rPr>
          <w:i/>
          <w:lang w:val="es-ES_tradnl"/>
        </w:rPr>
        <w:t>Paso 7</w:t>
      </w:r>
      <w:r w:rsidRPr="00ED6656">
        <w:rPr>
          <w:lang w:val="es-ES_tradnl"/>
        </w:rPr>
        <w:t>:</w:t>
      </w:r>
      <w:r w:rsidRPr="00ED6656">
        <w:rPr>
          <w:lang w:val="es-ES_tradnl"/>
        </w:rPr>
        <w:tab/>
      </w:r>
      <w:r w:rsidRPr="00ED6656">
        <w:rPr>
          <w:lang w:val="es-ES_tradnl"/>
        </w:rPr>
        <w:tab/>
        <w:t xml:space="preserve">Se activa el generador para que proporcione todas las señales de onda continua con una duración </w:t>
      </w:r>
      <w:r w:rsidRPr="00ED6656">
        <w:rPr>
          <w:i/>
          <w:lang w:val="es-ES_tradnl"/>
        </w:rPr>
        <w:t>T</w:t>
      </w:r>
      <w:r w:rsidRPr="00ED6656">
        <w:rPr>
          <w:vertAlign w:val="subscript"/>
          <w:lang w:val="es-ES_tradnl"/>
        </w:rPr>
        <w:t>0</w:t>
      </w:r>
      <w:r w:rsidRPr="00ED6656">
        <w:rPr>
          <w:lang w:val="es-ES_tradnl"/>
        </w:rPr>
        <w:t>.</w:t>
      </w:r>
    </w:p>
    <w:p w:rsidR="00ED6656" w:rsidRPr="00ED6656" w:rsidRDefault="00ED6656" w:rsidP="00A3425C">
      <w:pPr>
        <w:pStyle w:val="enumlev1"/>
        <w:ind w:left="1191" w:hanging="1191"/>
        <w:rPr>
          <w:lang w:val="es-ES_tradnl"/>
        </w:rPr>
      </w:pPr>
      <w:r w:rsidRPr="00ED6656">
        <w:rPr>
          <w:i/>
          <w:lang w:val="es-ES_tradnl"/>
        </w:rPr>
        <w:t>Paso 8</w:t>
      </w:r>
      <w:r w:rsidRPr="00ED6656">
        <w:rPr>
          <w:lang w:val="es-ES_tradnl"/>
        </w:rPr>
        <w:t>:</w:t>
      </w:r>
      <w:r w:rsidRPr="00ED6656">
        <w:rPr>
          <w:lang w:val="es-ES_tradnl"/>
        </w:rPr>
        <w:tab/>
      </w:r>
      <w:r w:rsidRPr="00ED6656">
        <w:rPr>
          <w:lang w:val="es-ES_tradnl"/>
        </w:rPr>
        <w:tab/>
        <w:t>Se verifica que:</w:t>
      </w:r>
    </w:p>
    <w:p w:rsidR="00ED6656" w:rsidRPr="00ED6656" w:rsidRDefault="00ED6656" w:rsidP="00A3425C">
      <w:pPr>
        <w:pStyle w:val="enumlev2"/>
        <w:ind w:left="1588" w:hanging="794"/>
        <w:rPr>
          <w:lang w:val="es-ES_tradnl"/>
        </w:rPr>
      </w:pPr>
      <w:r w:rsidRPr="00ED6656">
        <w:rPr>
          <w:lang w:val="es-ES_tradnl"/>
        </w:rPr>
        <w:tab/>
        <w:t>–</w:t>
      </w:r>
      <w:r w:rsidRPr="00ED6656">
        <w:rPr>
          <w:lang w:val="es-ES_tradnl"/>
        </w:rPr>
        <w:tab/>
        <w:t>se ha detectado el número correcto de frecuencias (la probabilidad de detección de las señales durante un número subsiguiente de pruebas debe ser superior al 95%);</w:t>
      </w:r>
    </w:p>
    <w:p w:rsidR="00ED6656" w:rsidRPr="00ED6656" w:rsidRDefault="00ED6656" w:rsidP="00A3425C">
      <w:pPr>
        <w:pStyle w:val="enumlev2"/>
        <w:ind w:left="1588" w:hanging="794"/>
        <w:rPr>
          <w:lang w:val="es-ES_tradnl"/>
        </w:rPr>
      </w:pPr>
      <w:r w:rsidRPr="00ED6656">
        <w:rPr>
          <w:lang w:val="es-ES_tradnl"/>
        </w:rPr>
        <w:tab/>
        <w:t>–</w:t>
      </w:r>
      <w:r w:rsidRPr="00ED6656">
        <w:rPr>
          <w:lang w:val="es-ES_tradnl"/>
        </w:rPr>
        <w:tab/>
        <w:t>el nivel y los errores de frecuencia deben satisfacer los mismos requisitos que en la medición de una sola ráfaga.</w:t>
      </w:r>
    </w:p>
    <w:p w:rsidR="00ED6656" w:rsidRPr="00ED6656" w:rsidRDefault="00ED6656" w:rsidP="00A3425C">
      <w:pPr>
        <w:pStyle w:val="enumlev1"/>
        <w:ind w:left="1191" w:hanging="1191"/>
        <w:rPr>
          <w:lang w:val="es-ES_tradnl"/>
        </w:rPr>
      </w:pPr>
      <w:r w:rsidRPr="00ED6656">
        <w:rPr>
          <w:i/>
          <w:lang w:val="es-ES_tradnl"/>
        </w:rPr>
        <w:t>Paso 9</w:t>
      </w:r>
      <w:r w:rsidRPr="00ED6656">
        <w:rPr>
          <w:lang w:val="es-ES_tradnl"/>
        </w:rPr>
        <w:t>:</w:t>
      </w:r>
      <w:r w:rsidRPr="00ED6656">
        <w:rPr>
          <w:lang w:val="es-ES_tradnl"/>
        </w:rPr>
        <w:tab/>
      </w:r>
      <w:r w:rsidRPr="00ED6656">
        <w:rPr>
          <w:lang w:val="es-ES_tradnl"/>
        </w:rPr>
        <w:tab/>
        <w:t>Se repite el procedimiento de forma que todos los canales estén ocupados y sean procesados y medidos de acuerdo con el Paso 5.</w:t>
      </w:r>
    </w:p>
    <w:p w:rsidR="00ED6656" w:rsidRPr="00ED6656" w:rsidRDefault="00ED6656" w:rsidP="00A3425C">
      <w:pPr>
        <w:pStyle w:val="Heading2"/>
        <w:rPr>
          <w:lang w:val="es-ES_tradnl"/>
        </w:rPr>
      </w:pPr>
      <w:r w:rsidRPr="00ED6656">
        <w:rPr>
          <w:lang w:val="es-ES_tradnl"/>
        </w:rPr>
        <w:lastRenderedPageBreak/>
        <w:t>2.2</w:t>
      </w:r>
      <w:r w:rsidRPr="00ED6656">
        <w:rPr>
          <w:lang w:val="es-ES_tradnl"/>
        </w:rPr>
        <w:tab/>
        <w:t>Parámetros de medición</w:t>
      </w:r>
    </w:p>
    <w:p w:rsidR="00ED6656" w:rsidRPr="00ED6656" w:rsidRDefault="00ED6656" w:rsidP="00A3425C">
      <w:pPr>
        <w:pStyle w:val="Heading3"/>
        <w:rPr>
          <w:lang w:val="es-ES_tradnl"/>
        </w:rPr>
      </w:pPr>
      <w:r w:rsidRPr="00ED6656">
        <w:rPr>
          <w:lang w:val="es-ES_tradnl"/>
        </w:rPr>
        <w:t>2.2.1</w:t>
      </w:r>
      <w:r w:rsidRPr="00ED6656">
        <w:rPr>
          <w:lang w:val="es-ES_tradnl"/>
        </w:rPr>
        <w:tab/>
        <w:t>Parámetros de los receptores de comprobación técnica</w:t>
      </w:r>
    </w:p>
    <w:p w:rsidR="00ED6656" w:rsidRPr="00ED6656" w:rsidRDefault="00ED6656" w:rsidP="00ED6656">
      <w:pPr>
        <w:rPr>
          <w:lang w:val="es-ES_tradnl"/>
        </w:rPr>
      </w:pPr>
      <w:r w:rsidRPr="00ED6656">
        <w:rPr>
          <w:lang w:val="es-ES_tradnl"/>
        </w:rPr>
        <w:t>La elección de los parámetros del receptor de comprobación técnica (CAG (amplificador y atenuador)) es libre.</w:t>
      </w:r>
    </w:p>
    <w:p w:rsidR="00ED6656" w:rsidRPr="00ED6656" w:rsidRDefault="00ED6656" w:rsidP="00A3425C">
      <w:pPr>
        <w:pStyle w:val="Heading3"/>
        <w:rPr>
          <w:lang w:val="es-ES_tradnl"/>
        </w:rPr>
      </w:pPr>
      <w:r w:rsidRPr="00ED6656">
        <w:rPr>
          <w:lang w:val="es-ES_tradnl"/>
        </w:rPr>
        <w:t>2.2.2</w:t>
      </w:r>
      <w:r w:rsidRPr="00ED6656">
        <w:rPr>
          <w:lang w:val="es-ES_tradnl"/>
        </w:rPr>
        <w:tab/>
        <w:t>Anchura de banda de resolución</w:t>
      </w:r>
    </w:p>
    <w:p w:rsidR="00ED6656" w:rsidRPr="00ED6656" w:rsidRDefault="00ED6656" w:rsidP="00ED6656">
      <w:pPr>
        <w:rPr>
          <w:lang w:val="es-ES_tradnl"/>
        </w:rPr>
      </w:pPr>
      <w:r w:rsidRPr="00ED6656">
        <w:rPr>
          <w:lang w:val="es-ES_tradnl"/>
        </w:rPr>
        <w:t>La anchura de banda de resolución caracteriza la capacidad que tiene un receptor de comprobación técnica de exploración para distinguir entre dos señales distintas con una separación de frecuencias concreta.</w:t>
      </w:r>
    </w:p>
    <w:p w:rsidR="00ED6656" w:rsidRPr="00ED6656" w:rsidRDefault="00ED6656" w:rsidP="00ED6656">
      <w:pPr>
        <w:rPr>
          <w:lang w:val="es-ES_tradnl"/>
        </w:rPr>
      </w:pPr>
      <w:r w:rsidRPr="00ED6656">
        <w:rPr>
          <w:lang w:val="es-ES_tradnl"/>
        </w:rPr>
        <w:t>La velocidad de exploración depende de la anchura de banda de resolución (abr). Debe probarse con:</w:t>
      </w:r>
    </w:p>
    <w:p w:rsidR="00ED6656" w:rsidRPr="00ED6656" w:rsidRDefault="00ED6656" w:rsidP="00A3425C">
      <w:pPr>
        <w:pStyle w:val="enumlev1"/>
        <w:rPr>
          <w:lang w:val="es-ES_tradnl"/>
        </w:rPr>
      </w:pPr>
      <w:r w:rsidRPr="00ED6656">
        <w:rPr>
          <w:lang w:val="es-ES_tradnl"/>
        </w:rPr>
        <w:t>–</w:t>
      </w:r>
      <w:r w:rsidRPr="00ED6656">
        <w:rPr>
          <w:lang w:val="es-ES_tradnl"/>
        </w:rPr>
        <w:tab/>
        <w:t>abr = 5 kHz (o el ajuste inferior más próximo) en la gama 9 kHz</w:t>
      </w:r>
      <w:r w:rsidRPr="00ED6656">
        <w:rPr>
          <w:lang w:val="es-ES_tradnl"/>
        </w:rPr>
        <w:noBreakHyphen/>
        <w:t>30 MHz;</w:t>
      </w:r>
    </w:p>
    <w:p w:rsidR="00ED6656" w:rsidRPr="00ED6656" w:rsidRDefault="00ED6656" w:rsidP="00A3425C">
      <w:pPr>
        <w:pStyle w:val="enumlev1"/>
        <w:rPr>
          <w:lang w:val="es-ES_tradnl"/>
        </w:rPr>
      </w:pPr>
      <w:r w:rsidRPr="00ED6656">
        <w:rPr>
          <w:lang w:val="es-ES_tradnl"/>
        </w:rPr>
        <w:t>–</w:t>
      </w:r>
      <w:r w:rsidRPr="00ED6656">
        <w:rPr>
          <w:lang w:val="es-ES_tradnl"/>
        </w:rPr>
        <w:tab/>
        <w:t>abr = 25 kHz (o el ajuste inferior más próximo) en la gama 20</w:t>
      </w:r>
      <w:r w:rsidRPr="00ED6656">
        <w:rPr>
          <w:lang w:val="es-ES_tradnl"/>
        </w:rPr>
        <w:noBreakHyphen/>
        <w:t>3 000 MHz.</w:t>
      </w:r>
    </w:p>
    <w:p w:rsidR="00ED6656" w:rsidRPr="00ED6656" w:rsidRDefault="00ED6656" w:rsidP="00ED6656">
      <w:pPr>
        <w:rPr>
          <w:lang w:val="es-ES_tradnl"/>
        </w:rPr>
      </w:pPr>
      <w:r w:rsidRPr="00ED6656">
        <w:rPr>
          <w:lang w:val="es-ES_tradnl"/>
        </w:rPr>
        <w:t>Puede proporcionarse opcionalmente la velocidad de exploración para otras anchuras de banda de resolución. En todos los casos, la anchura de banda de resolución debe especificarse junto con el valor de la velocidad de exploración.</w:t>
      </w:r>
    </w:p>
    <w:p w:rsidR="00ED6656" w:rsidRPr="00ED6656" w:rsidRDefault="00ED6656" w:rsidP="00A3425C">
      <w:pPr>
        <w:pStyle w:val="Heading3"/>
        <w:rPr>
          <w:lang w:val="es-ES_tradnl"/>
        </w:rPr>
      </w:pPr>
      <w:r w:rsidRPr="00ED6656">
        <w:rPr>
          <w:lang w:val="es-ES_tradnl"/>
        </w:rPr>
        <w:t>2.2.3</w:t>
      </w:r>
      <w:r w:rsidRPr="00ED6656">
        <w:rPr>
          <w:lang w:val="es-ES_tradnl"/>
        </w:rPr>
        <w:tab/>
        <w:t>Intervalo de frecuencias</w:t>
      </w:r>
    </w:p>
    <w:p w:rsidR="00ED6656" w:rsidRPr="00ED6656" w:rsidRDefault="00ED6656" w:rsidP="00ED6656">
      <w:pPr>
        <w:rPr>
          <w:lang w:val="es-ES_tradnl"/>
        </w:rPr>
      </w:pPr>
      <w:r w:rsidRPr="00ED6656">
        <w:rPr>
          <w:lang w:val="es-ES_tradnl"/>
        </w:rPr>
        <w:t>Si es posible, la velocidad de exploración se mide mediante una exploración del receptor de comprobación técnica a lo largo del máximo intervalo de frecuencias permitido por el receptor. Si la velocidad de exploración es distinta en diferentes bandas de frecuencias, puede indicarse dicha velocidad para cada una de las bandas de frecuencias.</w:t>
      </w:r>
    </w:p>
    <w:p w:rsidR="00ED6656" w:rsidRPr="00ED6656" w:rsidRDefault="00ED6656" w:rsidP="00A3425C">
      <w:pPr>
        <w:pStyle w:val="Heading1"/>
        <w:rPr>
          <w:lang w:val="es-ES_tradnl"/>
        </w:rPr>
      </w:pPr>
      <w:r w:rsidRPr="00ED6656">
        <w:rPr>
          <w:lang w:val="es-ES_tradnl"/>
        </w:rPr>
        <w:t>3</w:t>
      </w:r>
      <w:r w:rsidRPr="00ED6656">
        <w:rPr>
          <w:lang w:val="es-ES_tradnl"/>
        </w:rPr>
        <w:tab/>
        <w:t>Presentación de los resultados</w:t>
      </w:r>
    </w:p>
    <w:p w:rsidR="00ED6656" w:rsidRPr="00ED6656" w:rsidRDefault="00ED6656" w:rsidP="00ED6656">
      <w:pPr>
        <w:rPr>
          <w:lang w:val="es-ES_tradnl"/>
        </w:rPr>
      </w:pPr>
      <w:r w:rsidRPr="00ED6656">
        <w:rPr>
          <w:lang w:val="es-ES_tradnl"/>
        </w:rPr>
        <w:t>Los valores de velocidad de exploración publicados deben ser válidos en toda la gama de temperaturas indicada. En caso de que haya limitaciones, deben señalarse.</w:t>
      </w:r>
    </w:p>
    <w:p w:rsidR="00ED6656" w:rsidRPr="00ED6656" w:rsidRDefault="00ED6656" w:rsidP="00ED6656">
      <w:pPr>
        <w:rPr>
          <w:lang w:val="es-ES_tradnl"/>
        </w:rPr>
      </w:pPr>
      <w:r w:rsidRPr="00ED6656">
        <w:rPr>
          <w:lang w:val="es-ES_tradnl"/>
        </w:rPr>
        <w:t>Si el valor obtenido en el Paso 9 del procedimiento de medición es distinto del otro valor obtenido, también debe señalarse esta circunstancia.</w:t>
      </w:r>
    </w:p>
    <w:p w:rsidR="00ED6656" w:rsidRDefault="00ED6656" w:rsidP="00ED6656">
      <w:pPr>
        <w:rPr>
          <w:lang w:val="es-ES_tradnl"/>
        </w:rPr>
      </w:pPr>
    </w:p>
    <w:p w:rsidR="00ED6656" w:rsidRDefault="00ED6656" w:rsidP="00ED6656">
      <w:pPr>
        <w:rPr>
          <w:lang w:val="es-ES_tradnl"/>
        </w:rPr>
      </w:pPr>
    </w:p>
    <w:p w:rsidR="00ED6656" w:rsidRPr="00ED6656" w:rsidRDefault="00ED6656" w:rsidP="00ED6656">
      <w:pPr>
        <w:pStyle w:val="Line"/>
        <w:rPr>
          <w:lang w:val="es-ES_tradnl"/>
        </w:rPr>
      </w:pPr>
    </w:p>
    <w:sectPr w:rsidR="00ED6656" w:rsidRPr="00ED6656"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E14" w:rsidRDefault="007A6E14">
      <w:r>
        <w:separator/>
      </w:r>
    </w:p>
  </w:endnote>
  <w:endnote w:type="continuationSeparator" w:id="0">
    <w:p w:rsidR="007A6E14" w:rsidRDefault="007A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E14" w:rsidRDefault="007A6E14">
      <w:r>
        <w:separator/>
      </w:r>
    </w:p>
  </w:footnote>
  <w:footnote w:type="continuationSeparator" w:id="0">
    <w:p w:rsidR="007A6E14" w:rsidRDefault="007A6E14">
      <w:r>
        <w:continuationSeparator/>
      </w:r>
    </w:p>
  </w:footnote>
  <w:footnote w:id="1">
    <w:p w:rsidR="00A3425C" w:rsidRPr="00A3425C" w:rsidRDefault="00A3425C">
      <w:pPr>
        <w:pStyle w:val="FootnoteText"/>
        <w:rPr>
          <w:lang w:val="es-ES_tradnl"/>
        </w:rPr>
      </w:pPr>
      <w:r w:rsidRPr="00A3425C">
        <w:rPr>
          <w:rStyle w:val="FootnoteReference"/>
          <w:lang w:val="es-ES_tradnl"/>
        </w:rPr>
        <w:t>*</w:t>
      </w:r>
      <w:r w:rsidRPr="00A3425C">
        <w:rPr>
          <w:lang w:val="es-ES_tradnl"/>
        </w:rPr>
        <w:tab/>
        <w:t>La Comisión de Estudio 1 de Radiocomunicaciones incorpor</w:t>
      </w:r>
      <w:r>
        <w:rPr>
          <w:lang w:val="es-ES_tradnl"/>
        </w:rPr>
        <w:t>ó enmiendas de forma a la presente Recomendación en 2010 con arreglo a la Resolución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746AC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B97679"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3A1524" w:rsidP="00B1717A">
    <w:pPr>
      <w:pStyle w:val="Header"/>
      <w:jc w:val="left"/>
    </w:pPr>
    <w:r>
      <w:rPr>
        <w:rStyle w:val="PageNumber"/>
        <w:b/>
        <w:bCs/>
      </w:rPr>
      <w:fldChar w:fldCharType="begin"/>
    </w:r>
    <w:r w:rsidR="00746AC6">
      <w:rPr>
        <w:rStyle w:val="PageNumber"/>
        <w:b/>
        <w:bCs/>
      </w:rPr>
      <w:instrText xml:space="preserve"> PAGE </w:instrText>
    </w:r>
    <w:r>
      <w:rPr>
        <w:rStyle w:val="PageNumber"/>
        <w:b/>
        <w:bCs/>
      </w:rPr>
      <w:fldChar w:fldCharType="separate"/>
    </w:r>
    <w:r w:rsidR="00D50F6F">
      <w:rPr>
        <w:rStyle w:val="PageNumber"/>
        <w:b/>
        <w:bCs/>
        <w:noProof/>
      </w:rPr>
      <w:t>ii</w:t>
    </w:r>
    <w:r>
      <w:rPr>
        <w:rStyle w:val="PageNumber"/>
        <w:b/>
        <w:bCs/>
      </w:rPr>
      <w:fldChar w:fldCharType="end"/>
    </w:r>
    <w:r w:rsidR="00746AC6">
      <w:tab/>
    </w:r>
    <w:fldSimple w:instr=" DOCPROPERTY &quot;Header&quot; \* MERGEFORMAT ">
      <w:r w:rsidR="00583BB4" w:rsidRPr="00583BB4">
        <w:rPr>
          <w:b/>
          <w:bCs/>
          <w:lang w:val="en-US"/>
        </w:rPr>
        <w:t xml:space="preserve">Rec. </w:t>
      </w:r>
    </w:fldSimple>
    <w:r w:rsidR="00746AC6">
      <w:rPr>
        <w:b/>
        <w:bCs/>
      </w:rPr>
      <w:t xml:space="preserve"> </w:t>
    </w:r>
    <w:r>
      <w:rPr>
        <w:b/>
        <w:bCs/>
      </w:rPr>
      <w:fldChar w:fldCharType="begin"/>
    </w:r>
    <w:r w:rsidR="00746AC6">
      <w:rPr>
        <w:b/>
        <w:bCs/>
      </w:rPr>
      <w:instrText>styleref href</w:instrText>
    </w:r>
    <w:r>
      <w:rPr>
        <w:b/>
        <w:bCs/>
      </w:rPr>
      <w:fldChar w:fldCharType="separate"/>
    </w:r>
    <w:r w:rsidR="00D50F6F">
      <w:rPr>
        <w:b/>
        <w:bCs/>
        <w:noProof/>
      </w:rPr>
      <w:t>UIT-R  SM.1839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746AC6">
    <w:pPr>
      <w:pStyle w:val="Header"/>
    </w:pPr>
    <w:r>
      <w:tab/>
    </w:r>
    <w:fldSimple w:instr=" DOCPROPERTY &quot;Header&quot; \* MERGEFORMAT ">
      <w:r w:rsidR="00583BB4" w:rsidRPr="00583BB4">
        <w:rPr>
          <w:lang w:val="en-US"/>
        </w:rPr>
        <w:t xml:space="preserve">Rec. </w:t>
      </w:r>
    </w:fldSimple>
    <w:r>
      <w:rPr>
        <w:b/>
        <w:bCs/>
      </w:rPr>
      <w:t xml:space="preserve">  </w:t>
    </w:r>
    <w:r w:rsidR="003A1524">
      <w:rPr>
        <w:b/>
        <w:bCs/>
      </w:rPr>
      <w:fldChar w:fldCharType="begin"/>
    </w:r>
    <w:r>
      <w:rPr>
        <w:b/>
        <w:bCs/>
      </w:rPr>
      <w:instrText>styleref href</w:instrText>
    </w:r>
    <w:r w:rsidR="003A1524">
      <w:rPr>
        <w:b/>
        <w:bCs/>
      </w:rPr>
      <w:fldChar w:fldCharType="separate"/>
    </w:r>
    <w:r w:rsidR="00583BB4">
      <w:rPr>
        <w:b/>
        <w:bCs/>
        <w:noProof/>
      </w:rPr>
      <w:t>UIT-R  SM.1839</w:t>
    </w:r>
    <w:r w:rsidR="003A1524">
      <w:rPr>
        <w:b/>
        <w:bCs/>
      </w:rPr>
      <w:fldChar w:fldCharType="end"/>
    </w:r>
    <w:r>
      <w:tab/>
    </w:r>
    <w:r w:rsidR="003A1524">
      <w:rPr>
        <w:rStyle w:val="PageNumber"/>
        <w:b/>
        <w:bCs/>
      </w:rPr>
      <w:fldChar w:fldCharType="begin"/>
    </w:r>
    <w:r>
      <w:rPr>
        <w:rStyle w:val="PageNumber"/>
        <w:b/>
        <w:bCs/>
      </w:rPr>
      <w:instrText xml:space="preserve"> PAGE </w:instrText>
    </w:r>
    <w:r w:rsidR="003A1524">
      <w:rPr>
        <w:rStyle w:val="PageNumber"/>
        <w:b/>
        <w:bCs/>
      </w:rPr>
      <w:fldChar w:fldCharType="separate"/>
    </w:r>
    <w:r>
      <w:rPr>
        <w:rStyle w:val="PageNumber"/>
        <w:b/>
        <w:bCs/>
        <w:noProof/>
      </w:rPr>
      <w:t>1</w:t>
    </w:r>
    <w:r w:rsidR="003A1524">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3A1524">
    <w:pPr>
      <w:pStyle w:val="Header"/>
      <w:jc w:val="left"/>
      <w:rPr>
        <w:lang w:val="en-US"/>
      </w:rPr>
    </w:pPr>
    <w:r>
      <w:rPr>
        <w:rStyle w:val="PageNumber"/>
        <w:b/>
        <w:bCs/>
      </w:rPr>
      <w:fldChar w:fldCharType="begin"/>
    </w:r>
    <w:r w:rsidR="00746AC6">
      <w:rPr>
        <w:rStyle w:val="PageNumber"/>
        <w:b/>
        <w:bCs/>
        <w:lang w:val="en-US"/>
      </w:rPr>
      <w:instrText xml:space="preserve"> PAGE </w:instrText>
    </w:r>
    <w:r>
      <w:rPr>
        <w:rStyle w:val="PageNumber"/>
        <w:b/>
        <w:bCs/>
      </w:rPr>
      <w:fldChar w:fldCharType="separate"/>
    </w:r>
    <w:r w:rsidR="00D50F6F">
      <w:rPr>
        <w:rStyle w:val="PageNumber"/>
        <w:b/>
        <w:bCs/>
        <w:noProof/>
        <w:lang w:val="en-US"/>
      </w:rPr>
      <w:t>2</w:t>
    </w:r>
    <w:r>
      <w:rPr>
        <w:rStyle w:val="PageNumber"/>
        <w:b/>
        <w:bCs/>
      </w:rPr>
      <w:fldChar w:fldCharType="end"/>
    </w:r>
    <w:r w:rsidR="00746AC6">
      <w:rPr>
        <w:lang w:val="en-US"/>
      </w:rPr>
      <w:tab/>
    </w:r>
    <w:fldSimple w:instr=" DOCPROPERTY &quot;Header&quot; \* MERGEFORMAT ">
      <w:r w:rsidR="00583BB4" w:rsidRPr="00583BB4">
        <w:rPr>
          <w:b/>
          <w:bCs/>
          <w:lang w:val="en-US"/>
        </w:rPr>
        <w:t xml:space="preserve">Rec. </w:t>
      </w:r>
    </w:fldSimple>
    <w:r w:rsidR="00746AC6">
      <w:rPr>
        <w:b/>
        <w:bCs/>
      </w:rPr>
      <w:t xml:space="preserve"> </w:t>
    </w:r>
    <w:r>
      <w:rPr>
        <w:b/>
        <w:bCs/>
      </w:rPr>
      <w:fldChar w:fldCharType="begin"/>
    </w:r>
    <w:r w:rsidR="00746AC6">
      <w:rPr>
        <w:b/>
        <w:bCs/>
        <w:lang w:val="en-US"/>
      </w:rPr>
      <w:instrText>styleref href</w:instrText>
    </w:r>
    <w:r>
      <w:rPr>
        <w:b/>
        <w:bCs/>
      </w:rPr>
      <w:fldChar w:fldCharType="separate"/>
    </w:r>
    <w:r w:rsidR="00D50F6F">
      <w:rPr>
        <w:b/>
        <w:bCs/>
        <w:noProof/>
      </w:rPr>
      <w:t>UIT-R  SM.1839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C6" w:rsidRDefault="00746AC6">
    <w:pPr>
      <w:pStyle w:val="Header"/>
    </w:pPr>
    <w:r>
      <w:tab/>
    </w:r>
    <w:fldSimple w:instr=" DOCPROPERTY &quot;Header&quot; \* MERGEFORMAT ">
      <w:r w:rsidR="00583BB4" w:rsidRPr="00583BB4">
        <w:rPr>
          <w:b/>
          <w:bCs/>
        </w:rPr>
        <w:t xml:space="preserve">Rec. </w:t>
      </w:r>
    </w:fldSimple>
    <w:r>
      <w:rPr>
        <w:b/>
        <w:bCs/>
      </w:rPr>
      <w:t xml:space="preserve"> </w:t>
    </w:r>
    <w:r w:rsidR="003A1524">
      <w:rPr>
        <w:b/>
        <w:bCs/>
      </w:rPr>
      <w:fldChar w:fldCharType="begin"/>
    </w:r>
    <w:r>
      <w:rPr>
        <w:b/>
        <w:bCs/>
      </w:rPr>
      <w:instrText>styleref href</w:instrText>
    </w:r>
    <w:r w:rsidR="003A1524">
      <w:rPr>
        <w:b/>
        <w:bCs/>
      </w:rPr>
      <w:fldChar w:fldCharType="separate"/>
    </w:r>
    <w:r w:rsidR="00D50F6F">
      <w:rPr>
        <w:b/>
        <w:bCs/>
        <w:noProof/>
      </w:rPr>
      <w:t>UIT-R  SM.1839</w:t>
    </w:r>
    <w:r w:rsidR="003A1524">
      <w:rPr>
        <w:b/>
        <w:bCs/>
      </w:rPr>
      <w:fldChar w:fldCharType="end"/>
    </w:r>
    <w:r>
      <w:tab/>
    </w:r>
    <w:r w:rsidR="003A1524">
      <w:rPr>
        <w:rStyle w:val="PageNumber"/>
        <w:b/>
        <w:bCs/>
      </w:rPr>
      <w:fldChar w:fldCharType="begin"/>
    </w:r>
    <w:r>
      <w:rPr>
        <w:rStyle w:val="PageNumber"/>
        <w:b/>
        <w:bCs/>
      </w:rPr>
      <w:instrText xml:space="preserve"> PAGE </w:instrText>
    </w:r>
    <w:r w:rsidR="003A1524">
      <w:rPr>
        <w:rStyle w:val="PageNumber"/>
        <w:b/>
        <w:bCs/>
      </w:rPr>
      <w:fldChar w:fldCharType="separate"/>
    </w:r>
    <w:r w:rsidR="00D50F6F">
      <w:rPr>
        <w:rStyle w:val="PageNumber"/>
        <w:b/>
        <w:bCs/>
        <w:noProof/>
      </w:rPr>
      <w:t>3</w:t>
    </w:r>
    <w:r w:rsidR="003A1524">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17762"/>
    <w:rsid w:val="00025336"/>
    <w:rsid w:val="00092507"/>
    <w:rsid w:val="000B716D"/>
    <w:rsid w:val="00236E9D"/>
    <w:rsid w:val="00266EDC"/>
    <w:rsid w:val="002D1080"/>
    <w:rsid w:val="002D76C4"/>
    <w:rsid w:val="00363835"/>
    <w:rsid w:val="00366CEE"/>
    <w:rsid w:val="003A1524"/>
    <w:rsid w:val="004532F7"/>
    <w:rsid w:val="00454FAB"/>
    <w:rsid w:val="00583BB4"/>
    <w:rsid w:val="005A6102"/>
    <w:rsid w:val="00607D68"/>
    <w:rsid w:val="006B22C3"/>
    <w:rsid w:val="00746AC6"/>
    <w:rsid w:val="007A6E14"/>
    <w:rsid w:val="00847DD5"/>
    <w:rsid w:val="00880680"/>
    <w:rsid w:val="00975AEB"/>
    <w:rsid w:val="00A3425C"/>
    <w:rsid w:val="00A6617B"/>
    <w:rsid w:val="00AB0DC8"/>
    <w:rsid w:val="00B1717A"/>
    <w:rsid w:val="00B44E24"/>
    <w:rsid w:val="00B87252"/>
    <w:rsid w:val="00B97679"/>
    <w:rsid w:val="00BB77E9"/>
    <w:rsid w:val="00BF7841"/>
    <w:rsid w:val="00D12388"/>
    <w:rsid w:val="00D50F6F"/>
    <w:rsid w:val="00D62884"/>
    <w:rsid w:val="00DE71F7"/>
    <w:rsid w:val="00DF4176"/>
    <w:rsid w:val="00E81F24"/>
    <w:rsid w:val="00ED665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7679"/>
    <w:pPr>
      <w:keepNext/>
      <w:keepLines/>
      <w:spacing w:before="480"/>
      <w:ind w:left="794" w:hanging="794"/>
      <w:outlineLvl w:val="0"/>
    </w:pPr>
    <w:rPr>
      <w:b/>
    </w:rPr>
  </w:style>
  <w:style w:type="paragraph" w:styleId="Heading2">
    <w:name w:val="heading 2"/>
    <w:basedOn w:val="Heading1"/>
    <w:next w:val="Normal"/>
    <w:qFormat/>
    <w:rsid w:val="00B97679"/>
    <w:pPr>
      <w:spacing w:before="320"/>
      <w:outlineLvl w:val="1"/>
    </w:pPr>
  </w:style>
  <w:style w:type="paragraph" w:styleId="Heading3">
    <w:name w:val="heading 3"/>
    <w:basedOn w:val="Heading1"/>
    <w:next w:val="Normal"/>
    <w:qFormat/>
    <w:rsid w:val="00B97679"/>
    <w:pPr>
      <w:spacing w:before="200"/>
      <w:outlineLvl w:val="2"/>
    </w:pPr>
  </w:style>
  <w:style w:type="paragraph" w:styleId="Heading4">
    <w:name w:val="heading 4"/>
    <w:basedOn w:val="Heading3"/>
    <w:next w:val="Normal"/>
    <w:qFormat/>
    <w:rsid w:val="00B97679"/>
    <w:pPr>
      <w:tabs>
        <w:tab w:val="clear" w:pos="794"/>
        <w:tab w:val="left" w:pos="992"/>
      </w:tabs>
      <w:ind w:left="992" w:hanging="992"/>
      <w:outlineLvl w:val="3"/>
    </w:pPr>
  </w:style>
  <w:style w:type="paragraph" w:styleId="Heading5">
    <w:name w:val="heading 5"/>
    <w:basedOn w:val="Heading4"/>
    <w:next w:val="Normal"/>
    <w:qFormat/>
    <w:rsid w:val="00B97679"/>
    <w:pPr>
      <w:outlineLvl w:val="4"/>
    </w:pPr>
  </w:style>
  <w:style w:type="paragraph" w:styleId="Heading6">
    <w:name w:val="heading 6"/>
    <w:basedOn w:val="Heading4"/>
    <w:next w:val="Normal"/>
    <w:qFormat/>
    <w:rsid w:val="00B97679"/>
    <w:pPr>
      <w:tabs>
        <w:tab w:val="clear" w:pos="992"/>
        <w:tab w:val="clear" w:pos="1191"/>
      </w:tabs>
      <w:ind w:left="1588" w:hanging="1588"/>
      <w:outlineLvl w:val="5"/>
    </w:pPr>
  </w:style>
  <w:style w:type="paragraph" w:styleId="Heading7">
    <w:name w:val="heading 7"/>
    <w:basedOn w:val="Heading6"/>
    <w:next w:val="Normal"/>
    <w:qFormat/>
    <w:rsid w:val="00B97679"/>
    <w:pPr>
      <w:outlineLvl w:val="6"/>
    </w:pPr>
  </w:style>
  <w:style w:type="paragraph" w:styleId="Heading8">
    <w:name w:val="heading 8"/>
    <w:basedOn w:val="Heading6"/>
    <w:next w:val="Normal"/>
    <w:qFormat/>
    <w:rsid w:val="00B97679"/>
    <w:pPr>
      <w:outlineLvl w:val="7"/>
    </w:pPr>
  </w:style>
  <w:style w:type="paragraph" w:styleId="Heading9">
    <w:name w:val="heading 9"/>
    <w:basedOn w:val="Heading6"/>
    <w:next w:val="Normal"/>
    <w:qFormat/>
    <w:rsid w:val="00B9767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767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767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7679"/>
  </w:style>
  <w:style w:type="paragraph" w:customStyle="1" w:styleId="Headingb">
    <w:name w:val="Heading_b"/>
    <w:basedOn w:val="Heading3"/>
    <w:next w:val="Normal"/>
    <w:rsid w:val="00B97679"/>
    <w:pPr>
      <w:spacing w:before="160"/>
      <w:ind w:left="0" w:firstLine="0"/>
      <w:outlineLvl w:val="9"/>
    </w:pPr>
  </w:style>
  <w:style w:type="paragraph" w:customStyle="1" w:styleId="Headingi">
    <w:name w:val="Heading_i"/>
    <w:basedOn w:val="Heading3"/>
    <w:next w:val="Normal"/>
    <w:rsid w:val="00B97679"/>
    <w:pPr>
      <w:spacing w:before="160"/>
      <w:ind w:left="0" w:firstLine="0"/>
    </w:pPr>
    <w:rPr>
      <w:b w:val="0"/>
      <w:i/>
    </w:rPr>
  </w:style>
  <w:style w:type="character" w:customStyle="1" w:styleId="href">
    <w:name w:val="href"/>
    <w:basedOn w:val="DefaultParagraphFont"/>
    <w:rsid w:val="00B97679"/>
  </w:style>
  <w:style w:type="paragraph" w:customStyle="1" w:styleId="enumlev1">
    <w:name w:val="enumlev1"/>
    <w:basedOn w:val="Normal"/>
    <w:rsid w:val="00B97679"/>
    <w:pPr>
      <w:spacing w:before="80"/>
      <w:ind w:left="794" w:hanging="794"/>
    </w:pPr>
  </w:style>
  <w:style w:type="paragraph" w:customStyle="1" w:styleId="enumlev2">
    <w:name w:val="enumlev2"/>
    <w:basedOn w:val="enumlev1"/>
    <w:rsid w:val="00B97679"/>
    <w:pPr>
      <w:ind w:left="1191" w:hanging="397"/>
    </w:pPr>
  </w:style>
  <w:style w:type="paragraph" w:customStyle="1" w:styleId="enumlev3">
    <w:name w:val="enumlev3"/>
    <w:basedOn w:val="enumlev2"/>
    <w:rsid w:val="00B97679"/>
    <w:pPr>
      <w:ind w:left="1588"/>
    </w:pPr>
  </w:style>
  <w:style w:type="paragraph" w:customStyle="1" w:styleId="Normalaftertitle">
    <w:name w:val="Normal_after_title"/>
    <w:basedOn w:val="Normal"/>
    <w:next w:val="Normal"/>
    <w:rsid w:val="00B97679"/>
    <w:pPr>
      <w:spacing w:before="320"/>
    </w:pPr>
  </w:style>
  <w:style w:type="paragraph" w:customStyle="1" w:styleId="Note">
    <w:name w:val="Note"/>
    <w:basedOn w:val="Normal"/>
    <w:rsid w:val="00B9767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767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97679"/>
    <w:pPr>
      <w:spacing w:before="240"/>
    </w:pPr>
    <w:rPr>
      <w:sz w:val="22"/>
      <w:lang w:val="es-ES_tradnl"/>
    </w:rPr>
  </w:style>
  <w:style w:type="paragraph" w:customStyle="1" w:styleId="Recref">
    <w:name w:val="Rec_ref"/>
    <w:basedOn w:val="Normal"/>
    <w:next w:val="Recdate"/>
    <w:rsid w:val="00B97679"/>
    <w:pPr>
      <w:jc w:val="center"/>
    </w:pPr>
  </w:style>
  <w:style w:type="paragraph" w:customStyle="1" w:styleId="Recdate">
    <w:name w:val="Rec_date"/>
    <w:basedOn w:val="Recref"/>
    <w:next w:val="Normalaftertitle"/>
    <w:rsid w:val="00B97679"/>
    <w:pPr>
      <w:jc w:val="right"/>
    </w:pPr>
  </w:style>
  <w:style w:type="paragraph" w:customStyle="1" w:styleId="AnnexNoTitle">
    <w:name w:val="Annex_NoTitle"/>
    <w:basedOn w:val="Normal"/>
    <w:next w:val="Normalaftertitle"/>
    <w:rsid w:val="00B97679"/>
    <w:pPr>
      <w:keepNext/>
      <w:keepLines/>
      <w:spacing w:before="480" w:after="80"/>
      <w:jc w:val="center"/>
    </w:pPr>
    <w:rPr>
      <w:b/>
      <w:sz w:val="28"/>
    </w:rPr>
  </w:style>
  <w:style w:type="paragraph" w:customStyle="1" w:styleId="AppendixNoTitle">
    <w:name w:val="Appendix_NoTitle"/>
    <w:basedOn w:val="AnnexNoTitle"/>
    <w:next w:val="Normal"/>
    <w:rsid w:val="00B97679"/>
  </w:style>
  <w:style w:type="paragraph" w:customStyle="1" w:styleId="Tablefin">
    <w:name w:val="Table_fin"/>
    <w:basedOn w:val="Normal"/>
    <w:next w:val="Normal"/>
    <w:rsid w:val="00B97679"/>
    <w:pPr>
      <w:spacing w:before="0"/>
    </w:pPr>
    <w:rPr>
      <w:sz w:val="20"/>
      <w:lang w:val="en-GB"/>
    </w:rPr>
  </w:style>
  <w:style w:type="paragraph" w:customStyle="1" w:styleId="Tablehead">
    <w:name w:val="Table_head"/>
    <w:basedOn w:val="Normal"/>
    <w:next w:val="Normal"/>
    <w:rsid w:val="00B976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7679"/>
    <w:pPr>
      <w:keepNext/>
      <w:spacing w:before="360" w:after="120"/>
      <w:jc w:val="center"/>
    </w:pPr>
  </w:style>
  <w:style w:type="paragraph" w:customStyle="1" w:styleId="Tabletext">
    <w:name w:val="Table_text"/>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7679"/>
    <w:pPr>
      <w:tabs>
        <w:tab w:val="clear" w:pos="1191"/>
        <w:tab w:val="clear" w:pos="1588"/>
        <w:tab w:val="clear" w:pos="1985"/>
        <w:tab w:val="center" w:pos="4820"/>
        <w:tab w:val="right" w:pos="9639"/>
      </w:tabs>
    </w:pPr>
  </w:style>
  <w:style w:type="paragraph" w:customStyle="1" w:styleId="Equationlegend">
    <w:name w:val="Equation_legend"/>
    <w:basedOn w:val="NormalIndent"/>
    <w:rsid w:val="00B9767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7679"/>
    <w:pPr>
      <w:ind w:left="794"/>
    </w:pPr>
  </w:style>
  <w:style w:type="paragraph" w:customStyle="1" w:styleId="Figurelegend">
    <w:name w:val="Figure_legend"/>
    <w:basedOn w:val="Normal"/>
    <w:rsid w:val="00B9767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7679"/>
    <w:pPr>
      <w:keepNext/>
      <w:keepLines/>
      <w:spacing w:before="480" w:after="80"/>
      <w:jc w:val="center"/>
    </w:pPr>
    <w:rPr>
      <w:caps/>
      <w:sz w:val="18"/>
    </w:rPr>
  </w:style>
  <w:style w:type="paragraph" w:customStyle="1" w:styleId="tocpart">
    <w:name w:val="tocpart"/>
    <w:basedOn w:val="Normal"/>
    <w:rsid w:val="00B9767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7679"/>
    <w:pPr>
      <w:keepNext/>
      <w:keepLines/>
      <w:spacing w:before="480"/>
      <w:jc w:val="center"/>
    </w:pPr>
    <w:rPr>
      <w:sz w:val="28"/>
    </w:rPr>
  </w:style>
  <w:style w:type="paragraph" w:customStyle="1" w:styleId="Arttitle">
    <w:name w:val="Art_title"/>
    <w:basedOn w:val="Normal"/>
    <w:next w:val="Normalaftertitle"/>
    <w:rsid w:val="00B97679"/>
    <w:pPr>
      <w:keepNext/>
      <w:keepLines/>
      <w:spacing w:before="240"/>
      <w:jc w:val="center"/>
    </w:pPr>
    <w:rPr>
      <w:b/>
      <w:sz w:val="28"/>
    </w:rPr>
  </w:style>
  <w:style w:type="paragraph" w:customStyle="1" w:styleId="Blanc">
    <w:name w:val="Blanc"/>
    <w:basedOn w:val="Normal"/>
    <w:next w:val="Tabletext"/>
    <w:rsid w:val="00B9767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767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7679"/>
    <w:pPr>
      <w:keepNext/>
      <w:keepLines/>
      <w:spacing w:before="160"/>
      <w:ind w:left="794"/>
    </w:pPr>
    <w:rPr>
      <w:i/>
    </w:rPr>
  </w:style>
  <w:style w:type="paragraph" w:customStyle="1" w:styleId="ChapNo">
    <w:name w:val="Chap_No"/>
    <w:basedOn w:val="ArtNo"/>
    <w:next w:val="Chaptitle"/>
    <w:rsid w:val="00B97679"/>
    <w:rPr>
      <w:b/>
    </w:rPr>
  </w:style>
  <w:style w:type="paragraph" w:customStyle="1" w:styleId="Chaptitle">
    <w:name w:val="Chap_title"/>
    <w:basedOn w:val="Arttitle"/>
    <w:next w:val="Normalaftertitle"/>
    <w:rsid w:val="00B97679"/>
  </w:style>
  <w:style w:type="character" w:styleId="FootnoteReference">
    <w:name w:val="footnote reference"/>
    <w:basedOn w:val="DefaultParagraphFont"/>
    <w:semiHidden/>
    <w:rsid w:val="00B97679"/>
    <w:rPr>
      <w:position w:val="6"/>
      <w:sz w:val="18"/>
    </w:rPr>
  </w:style>
  <w:style w:type="paragraph" w:styleId="FootnoteText">
    <w:name w:val="footnote text"/>
    <w:basedOn w:val="Normal"/>
    <w:semiHidden/>
    <w:rsid w:val="00B97679"/>
    <w:pPr>
      <w:keepLines/>
      <w:tabs>
        <w:tab w:val="left" w:pos="255"/>
      </w:tabs>
      <w:ind w:left="255" w:hanging="255"/>
    </w:pPr>
    <w:rPr>
      <w:sz w:val="22"/>
    </w:rPr>
  </w:style>
  <w:style w:type="paragraph" w:styleId="Index1">
    <w:name w:val="index 1"/>
    <w:basedOn w:val="Normal"/>
    <w:next w:val="Normal"/>
    <w:semiHidden/>
    <w:rsid w:val="00B97679"/>
  </w:style>
  <w:style w:type="paragraph" w:styleId="Index2">
    <w:name w:val="index 2"/>
    <w:basedOn w:val="Normal"/>
    <w:next w:val="Normal"/>
    <w:semiHidden/>
    <w:rsid w:val="00B97679"/>
    <w:pPr>
      <w:ind w:left="283"/>
    </w:pPr>
  </w:style>
  <w:style w:type="paragraph" w:styleId="Index3">
    <w:name w:val="index 3"/>
    <w:basedOn w:val="Normal"/>
    <w:next w:val="Normal"/>
    <w:semiHidden/>
    <w:rsid w:val="00B97679"/>
    <w:pPr>
      <w:ind w:left="566"/>
    </w:pPr>
  </w:style>
  <w:style w:type="paragraph" w:styleId="IndexHeading">
    <w:name w:val="index heading"/>
    <w:basedOn w:val="Normal"/>
    <w:next w:val="Index1"/>
    <w:semiHidden/>
    <w:rsid w:val="00B97679"/>
  </w:style>
  <w:style w:type="paragraph" w:customStyle="1" w:styleId="Line">
    <w:name w:val="Line"/>
    <w:basedOn w:val="Normal"/>
    <w:next w:val="Normal"/>
    <w:rsid w:val="00B9767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767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7679"/>
  </w:style>
  <w:style w:type="paragraph" w:customStyle="1" w:styleId="Partref">
    <w:name w:val="Part_ref"/>
    <w:basedOn w:val="Normal"/>
    <w:next w:val="Normal"/>
    <w:rsid w:val="00B97679"/>
    <w:pPr>
      <w:keepNext/>
      <w:keepLines/>
      <w:spacing w:after="280"/>
      <w:jc w:val="center"/>
    </w:pPr>
  </w:style>
  <w:style w:type="paragraph" w:customStyle="1" w:styleId="Parttitle">
    <w:name w:val="Part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7679"/>
  </w:style>
  <w:style w:type="paragraph" w:customStyle="1" w:styleId="QuestionNo">
    <w:name w:val="Question_No"/>
    <w:basedOn w:val="RecNo"/>
    <w:next w:val="Normal"/>
    <w:rsid w:val="00B97679"/>
  </w:style>
  <w:style w:type="paragraph" w:customStyle="1" w:styleId="Questionref">
    <w:name w:val="Question_ref"/>
    <w:basedOn w:val="Recref"/>
    <w:next w:val="Questiondate"/>
    <w:rsid w:val="00B97679"/>
  </w:style>
  <w:style w:type="paragraph" w:customStyle="1" w:styleId="Questiontitle">
    <w:name w:val="Question_title"/>
    <w:basedOn w:val="Normal"/>
    <w:next w:val="Questionref"/>
    <w:rsid w:val="00B97679"/>
  </w:style>
  <w:style w:type="paragraph" w:customStyle="1" w:styleId="Reftext">
    <w:name w:val="Ref_text"/>
    <w:basedOn w:val="Normal"/>
    <w:rsid w:val="00B97679"/>
    <w:pPr>
      <w:ind w:left="794" w:hanging="794"/>
    </w:pPr>
    <w:rPr>
      <w:sz w:val="22"/>
    </w:rPr>
  </w:style>
  <w:style w:type="paragraph" w:customStyle="1" w:styleId="Reftitle">
    <w:name w:val="Ref_title"/>
    <w:basedOn w:val="Normal"/>
    <w:next w:val="Reftext"/>
    <w:rsid w:val="00B9767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7679"/>
  </w:style>
  <w:style w:type="paragraph" w:customStyle="1" w:styleId="RepNo">
    <w:name w:val="Rep_No"/>
    <w:basedOn w:val="RecNo"/>
    <w:next w:val="Reptitle"/>
    <w:rsid w:val="00B97679"/>
  </w:style>
  <w:style w:type="paragraph" w:customStyle="1" w:styleId="Repref">
    <w:name w:val="Rep_ref"/>
    <w:basedOn w:val="Recref"/>
    <w:next w:val="Repdate"/>
    <w:rsid w:val="00B97679"/>
  </w:style>
  <w:style w:type="paragraph" w:customStyle="1" w:styleId="Reptitle">
    <w:name w:val="Rep_title"/>
    <w:basedOn w:val="Rectitle"/>
    <w:next w:val="Repref"/>
    <w:rsid w:val="00B97679"/>
  </w:style>
  <w:style w:type="paragraph" w:customStyle="1" w:styleId="Resdate">
    <w:name w:val="Res_date"/>
    <w:basedOn w:val="Recdate"/>
    <w:next w:val="Normalaftertitle"/>
    <w:rsid w:val="00B97679"/>
  </w:style>
  <w:style w:type="paragraph" w:customStyle="1" w:styleId="ResNo">
    <w:name w:val="Res_No"/>
    <w:basedOn w:val="RecNo"/>
    <w:next w:val="Restitle"/>
    <w:rsid w:val="00B97679"/>
  </w:style>
  <w:style w:type="paragraph" w:customStyle="1" w:styleId="Resref">
    <w:name w:val="Res_ref"/>
    <w:basedOn w:val="Recref"/>
    <w:next w:val="Resdate"/>
    <w:rsid w:val="00B97679"/>
  </w:style>
  <w:style w:type="paragraph" w:customStyle="1" w:styleId="Restitle">
    <w:name w:val="Res_title"/>
    <w:basedOn w:val="Normal"/>
    <w:next w:val="Resref"/>
    <w:rsid w:val="00B97679"/>
    <w:pPr>
      <w:spacing w:before="240"/>
      <w:jc w:val="center"/>
    </w:pPr>
    <w:rPr>
      <w:b/>
      <w:sz w:val="28"/>
    </w:rPr>
  </w:style>
  <w:style w:type="paragraph" w:customStyle="1" w:styleId="SectionNo">
    <w:name w:val="Section_No"/>
    <w:basedOn w:val="Normal"/>
    <w:next w:val="Normal"/>
    <w:rsid w:val="00B97679"/>
  </w:style>
  <w:style w:type="paragraph" w:customStyle="1" w:styleId="Sectiontitle">
    <w:name w:val="Section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7679"/>
    <w:pPr>
      <w:tabs>
        <w:tab w:val="clear" w:pos="794"/>
        <w:tab w:val="clear" w:pos="1191"/>
        <w:tab w:val="clear" w:pos="1588"/>
        <w:tab w:val="clear" w:pos="1985"/>
        <w:tab w:val="right" w:pos="9611"/>
      </w:tabs>
    </w:pPr>
    <w:rPr>
      <w:i/>
    </w:rPr>
  </w:style>
  <w:style w:type="paragraph" w:styleId="TOC1">
    <w:name w:val="toc 1"/>
    <w:basedOn w:val="Normal"/>
    <w:semiHidden/>
    <w:rsid w:val="00B9767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7679"/>
    <w:pPr>
      <w:tabs>
        <w:tab w:val="clear" w:pos="567"/>
        <w:tab w:val="left" w:pos="1276"/>
      </w:tabs>
      <w:spacing w:before="160"/>
      <w:ind w:left="1276" w:hanging="709"/>
    </w:pPr>
  </w:style>
  <w:style w:type="paragraph" w:styleId="TOC3">
    <w:name w:val="toc 3"/>
    <w:basedOn w:val="TOC2"/>
    <w:semiHidden/>
    <w:rsid w:val="00B97679"/>
    <w:pPr>
      <w:tabs>
        <w:tab w:val="clear" w:pos="1276"/>
        <w:tab w:val="left" w:pos="2155"/>
      </w:tabs>
      <w:ind w:left="2155" w:hanging="879"/>
    </w:pPr>
  </w:style>
  <w:style w:type="paragraph" w:styleId="TOC4">
    <w:name w:val="toc 4"/>
    <w:basedOn w:val="TOC3"/>
    <w:semiHidden/>
    <w:rsid w:val="00B97679"/>
    <w:pPr>
      <w:tabs>
        <w:tab w:val="left" w:pos="3261"/>
      </w:tabs>
      <w:spacing w:before="80"/>
      <w:ind w:left="3261" w:hanging="993"/>
    </w:pPr>
  </w:style>
  <w:style w:type="paragraph" w:styleId="TOC5">
    <w:name w:val="toc 5"/>
    <w:basedOn w:val="TOC4"/>
    <w:semiHidden/>
    <w:rsid w:val="00B97679"/>
  </w:style>
  <w:style w:type="paragraph" w:styleId="TOC6">
    <w:name w:val="toc 6"/>
    <w:basedOn w:val="TOC4"/>
    <w:semiHidden/>
    <w:rsid w:val="00B97679"/>
  </w:style>
  <w:style w:type="paragraph" w:styleId="TOC7">
    <w:name w:val="toc 7"/>
    <w:basedOn w:val="TOC4"/>
    <w:semiHidden/>
    <w:rsid w:val="00B97679"/>
  </w:style>
  <w:style w:type="paragraph" w:styleId="TOC8">
    <w:name w:val="toc 8"/>
    <w:basedOn w:val="TOC4"/>
    <w:semiHidden/>
    <w:rsid w:val="00B97679"/>
  </w:style>
  <w:style w:type="paragraph" w:customStyle="1" w:styleId="Rectitle">
    <w:name w:val="Rec_title"/>
    <w:basedOn w:val="Normal"/>
    <w:next w:val="Recref"/>
    <w:rsid w:val="00B97679"/>
    <w:pPr>
      <w:keepNext/>
      <w:keepLines/>
      <w:spacing w:before="240"/>
      <w:jc w:val="center"/>
    </w:pPr>
    <w:rPr>
      <w:b/>
      <w:sz w:val="28"/>
    </w:rPr>
  </w:style>
  <w:style w:type="paragraph" w:customStyle="1" w:styleId="Annexref">
    <w:name w:val="Annex_ref"/>
    <w:basedOn w:val="Normal"/>
    <w:next w:val="Normalaftertitle"/>
    <w:rsid w:val="00B97679"/>
    <w:pPr>
      <w:keepNext/>
      <w:keepLines/>
      <w:spacing w:after="280"/>
      <w:jc w:val="center"/>
    </w:pPr>
  </w:style>
  <w:style w:type="paragraph" w:customStyle="1" w:styleId="Appendixref">
    <w:name w:val="Appendix_ref"/>
    <w:basedOn w:val="Annexref"/>
    <w:next w:val="Normalaftertitle"/>
    <w:rsid w:val="00B97679"/>
  </w:style>
  <w:style w:type="paragraph" w:customStyle="1" w:styleId="Figuretitle">
    <w:name w:val="Figure_title"/>
    <w:basedOn w:val="Normal"/>
    <w:next w:val="Figure"/>
    <w:rsid w:val="00B9767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7679"/>
    <w:pPr>
      <w:keepNext/>
      <w:spacing w:before="0" w:after="120"/>
      <w:jc w:val="center"/>
    </w:pPr>
    <w:rPr>
      <w:b/>
    </w:rPr>
  </w:style>
  <w:style w:type="paragraph" w:customStyle="1" w:styleId="Summary">
    <w:name w:val="Summary"/>
    <w:basedOn w:val="Normal"/>
    <w:next w:val="Normalaftertitle"/>
    <w:rsid w:val="00B9767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767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B97679"/>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7679"/>
    <w:pPr>
      <w:keepNext/>
      <w:keepLines/>
      <w:spacing w:before="480"/>
      <w:ind w:left="794" w:hanging="794"/>
      <w:outlineLvl w:val="0"/>
    </w:pPr>
    <w:rPr>
      <w:b/>
    </w:rPr>
  </w:style>
  <w:style w:type="paragraph" w:styleId="Heading2">
    <w:name w:val="heading 2"/>
    <w:basedOn w:val="Heading1"/>
    <w:next w:val="Normal"/>
    <w:qFormat/>
    <w:rsid w:val="00B97679"/>
    <w:pPr>
      <w:spacing w:before="320"/>
      <w:outlineLvl w:val="1"/>
    </w:pPr>
  </w:style>
  <w:style w:type="paragraph" w:styleId="Heading3">
    <w:name w:val="heading 3"/>
    <w:basedOn w:val="Heading1"/>
    <w:next w:val="Normal"/>
    <w:qFormat/>
    <w:rsid w:val="00B97679"/>
    <w:pPr>
      <w:spacing w:before="200"/>
      <w:outlineLvl w:val="2"/>
    </w:pPr>
  </w:style>
  <w:style w:type="paragraph" w:styleId="Heading4">
    <w:name w:val="heading 4"/>
    <w:basedOn w:val="Heading3"/>
    <w:next w:val="Normal"/>
    <w:qFormat/>
    <w:rsid w:val="00B97679"/>
    <w:pPr>
      <w:tabs>
        <w:tab w:val="clear" w:pos="794"/>
        <w:tab w:val="left" w:pos="992"/>
      </w:tabs>
      <w:ind w:left="992" w:hanging="992"/>
      <w:outlineLvl w:val="3"/>
    </w:pPr>
  </w:style>
  <w:style w:type="paragraph" w:styleId="Heading5">
    <w:name w:val="heading 5"/>
    <w:basedOn w:val="Heading4"/>
    <w:next w:val="Normal"/>
    <w:qFormat/>
    <w:rsid w:val="00B97679"/>
    <w:pPr>
      <w:outlineLvl w:val="4"/>
    </w:pPr>
  </w:style>
  <w:style w:type="paragraph" w:styleId="Heading6">
    <w:name w:val="heading 6"/>
    <w:basedOn w:val="Heading4"/>
    <w:next w:val="Normal"/>
    <w:qFormat/>
    <w:rsid w:val="00B97679"/>
    <w:pPr>
      <w:tabs>
        <w:tab w:val="clear" w:pos="992"/>
        <w:tab w:val="clear" w:pos="1191"/>
      </w:tabs>
      <w:ind w:left="1588" w:hanging="1588"/>
      <w:outlineLvl w:val="5"/>
    </w:pPr>
  </w:style>
  <w:style w:type="paragraph" w:styleId="Heading7">
    <w:name w:val="heading 7"/>
    <w:basedOn w:val="Heading6"/>
    <w:next w:val="Normal"/>
    <w:qFormat/>
    <w:rsid w:val="00B97679"/>
    <w:pPr>
      <w:outlineLvl w:val="6"/>
    </w:pPr>
  </w:style>
  <w:style w:type="paragraph" w:styleId="Heading8">
    <w:name w:val="heading 8"/>
    <w:basedOn w:val="Heading6"/>
    <w:next w:val="Normal"/>
    <w:qFormat/>
    <w:rsid w:val="00B97679"/>
    <w:pPr>
      <w:outlineLvl w:val="7"/>
    </w:pPr>
  </w:style>
  <w:style w:type="paragraph" w:styleId="Heading9">
    <w:name w:val="heading 9"/>
    <w:basedOn w:val="Heading6"/>
    <w:next w:val="Normal"/>
    <w:qFormat/>
    <w:rsid w:val="00B9767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767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767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7679"/>
  </w:style>
  <w:style w:type="paragraph" w:customStyle="1" w:styleId="Headingb">
    <w:name w:val="Heading_b"/>
    <w:basedOn w:val="Heading3"/>
    <w:next w:val="Normal"/>
    <w:rsid w:val="00B97679"/>
    <w:pPr>
      <w:spacing w:before="160"/>
      <w:ind w:left="0" w:firstLine="0"/>
      <w:outlineLvl w:val="9"/>
    </w:pPr>
  </w:style>
  <w:style w:type="paragraph" w:customStyle="1" w:styleId="Headingi">
    <w:name w:val="Heading_i"/>
    <w:basedOn w:val="Heading3"/>
    <w:next w:val="Normal"/>
    <w:rsid w:val="00B97679"/>
    <w:pPr>
      <w:spacing w:before="160"/>
      <w:ind w:left="0" w:firstLine="0"/>
    </w:pPr>
    <w:rPr>
      <w:b w:val="0"/>
      <w:i/>
    </w:rPr>
  </w:style>
  <w:style w:type="character" w:customStyle="1" w:styleId="href">
    <w:name w:val="href"/>
    <w:basedOn w:val="DefaultParagraphFont"/>
    <w:rsid w:val="00B97679"/>
  </w:style>
  <w:style w:type="paragraph" w:customStyle="1" w:styleId="enumlev1">
    <w:name w:val="enumlev1"/>
    <w:basedOn w:val="Normal"/>
    <w:rsid w:val="00B97679"/>
    <w:pPr>
      <w:spacing w:before="80"/>
      <w:ind w:left="794" w:hanging="794"/>
    </w:pPr>
  </w:style>
  <w:style w:type="paragraph" w:customStyle="1" w:styleId="enumlev2">
    <w:name w:val="enumlev2"/>
    <w:basedOn w:val="enumlev1"/>
    <w:rsid w:val="00B97679"/>
    <w:pPr>
      <w:ind w:left="1191" w:hanging="397"/>
    </w:pPr>
  </w:style>
  <w:style w:type="paragraph" w:customStyle="1" w:styleId="enumlev3">
    <w:name w:val="enumlev3"/>
    <w:basedOn w:val="enumlev2"/>
    <w:rsid w:val="00B97679"/>
    <w:pPr>
      <w:ind w:left="1588"/>
    </w:pPr>
  </w:style>
  <w:style w:type="paragraph" w:customStyle="1" w:styleId="Normalaftertitle">
    <w:name w:val="Normal_after_title"/>
    <w:basedOn w:val="Normal"/>
    <w:next w:val="Normal"/>
    <w:rsid w:val="00B97679"/>
    <w:pPr>
      <w:spacing w:before="320"/>
    </w:pPr>
  </w:style>
  <w:style w:type="paragraph" w:customStyle="1" w:styleId="Note">
    <w:name w:val="Note"/>
    <w:basedOn w:val="Normal"/>
    <w:rsid w:val="00B9767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767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97679"/>
    <w:pPr>
      <w:spacing w:before="240"/>
    </w:pPr>
    <w:rPr>
      <w:sz w:val="22"/>
      <w:lang w:val="es-ES_tradnl"/>
    </w:rPr>
  </w:style>
  <w:style w:type="paragraph" w:customStyle="1" w:styleId="Recref">
    <w:name w:val="Rec_ref"/>
    <w:basedOn w:val="Normal"/>
    <w:next w:val="Recdate"/>
    <w:rsid w:val="00B97679"/>
    <w:pPr>
      <w:jc w:val="center"/>
    </w:pPr>
  </w:style>
  <w:style w:type="paragraph" w:customStyle="1" w:styleId="Recdate">
    <w:name w:val="Rec_date"/>
    <w:basedOn w:val="Recref"/>
    <w:next w:val="Normalaftertitle"/>
    <w:rsid w:val="00B97679"/>
    <w:pPr>
      <w:jc w:val="right"/>
    </w:pPr>
  </w:style>
  <w:style w:type="paragraph" w:customStyle="1" w:styleId="AnnexNoTitle">
    <w:name w:val="Annex_NoTitle"/>
    <w:basedOn w:val="Normal"/>
    <w:next w:val="Normalaftertitle"/>
    <w:rsid w:val="00B97679"/>
    <w:pPr>
      <w:keepNext/>
      <w:keepLines/>
      <w:spacing w:before="480" w:after="80"/>
      <w:jc w:val="center"/>
    </w:pPr>
    <w:rPr>
      <w:b/>
      <w:sz w:val="28"/>
    </w:rPr>
  </w:style>
  <w:style w:type="paragraph" w:customStyle="1" w:styleId="AppendixNoTitle">
    <w:name w:val="Appendix_NoTitle"/>
    <w:basedOn w:val="AnnexNoTitle"/>
    <w:next w:val="Normal"/>
    <w:rsid w:val="00B97679"/>
  </w:style>
  <w:style w:type="paragraph" w:customStyle="1" w:styleId="Tablefin">
    <w:name w:val="Table_fin"/>
    <w:basedOn w:val="Normal"/>
    <w:next w:val="Normal"/>
    <w:rsid w:val="00B97679"/>
    <w:pPr>
      <w:spacing w:before="0"/>
    </w:pPr>
    <w:rPr>
      <w:sz w:val="20"/>
      <w:lang w:val="en-GB"/>
    </w:rPr>
  </w:style>
  <w:style w:type="paragraph" w:customStyle="1" w:styleId="Tablehead">
    <w:name w:val="Table_head"/>
    <w:basedOn w:val="Normal"/>
    <w:next w:val="Normal"/>
    <w:rsid w:val="00B976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7679"/>
    <w:pPr>
      <w:keepNext/>
      <w:spacing w:before="360" w:after="120"/>
      <w:jc w:val="center"/>
    </w:pPr>
  </w:style>
  <w:style w:type="paragraph" w:customStyle="1" w:styleId="Tabletext">
    <w:name w:val="Table_text"/>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7679"/>
    <w:pPr>
      <w:tabs>
        <w:tab w:val="clear" w:pos="1191"/>
        <w:tab w:val="clear" w:pos="1588"/>
        <w:tab w:val="clear" w:pos="1985"/>
        <w:tab w:val="center" w:pos="4820"/>
        <w:tab w:val="right" w:pos="9639"/>
      </w:tabs>
    </w:pPr>
  </w:style>
  <w:style w:type="paragraph" w:customStyle="1" w:styleId="Equationlegend">
    <w:name w:val="Equation_legend"/>
    <w:basedOn w:val="NormalIndent"/>
    <w:rsid w:val="00B9767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7679"/>
    <w:pPr>
      <w:ind w:left="794"/>
    </w:pPr>
  </w:style>
  <w:style w:type="paragraph" w:customStyle="1" w:styleId="Figurelegend">
    <w:name w:val="Figure_legend"/>
    <w:basedOn w:val="Normal"/>
    <w:rsid w:val="00B9767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7679"/>
    <w:pPr>
      <w:keepNext/>
      <w:keepLines/>
      <w:spacing w:before="480" w:after="80"/>
      <w:jc w:val="center"/>
    </w:pPr>
    <w:rPr>
      <w:caps/>
      <w:sz w:val="18"/>
    </w:rPr>
  </w:style>
  <w:style w:type="paragraph" w:customStyle="1" w:styleId="tocpart">
    <w:name w:val="tocpart"/>
    <w:basedOn w:val="Normal"/>
    <w:rsid w:val="00B9767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7679"/>
    <w:pPr>
      <w:keepNext/>
      <w:keepLines/>
      <w:spacing w:before="480"/>
      <w:jc w:val="center"/>
    </w:pPr>
    <w:rPr>
      <w:sz w:val="28"/>
    </w:rPr>
  </w:style>
  <w:style w:type="paragraph" w:customStyle="1" w:styleId="Arttitle">
    <w:name w:val="Art_title"/>
    <w:basedOn w:val="Normal"/>
    <w:next w:val="Normalaftertitle"/>
    <w:rsid w:val="00B97679"/>
    <w:pPr>
      <w:keepNext/>
      <w:keepLines/>
      <w:spacing w:before="240"/>
      <w:jc w:val="center"/>
    </w:pPr>
    <w:rPr>
      <w:b/>
      <w:sz w:val="28"/>
    </w:rPr>
  </w:style>
  <w:style w:type="paragraph" w:customStyle="1" w:styleId="Blanc">
    <w:name w:val="Blanc"/>
    <w:basedOn w:val="Normal"/>
    <w:next w:val="Tabletext"/>
    <w:rsid w:val="00B9767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767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7679"/>
    <w:pPr>
      <w:keepNext/>
      <w:keepLines/>
      <w:spacing w:before="160"/>
      <w:ind w:left="794"/>
    </w:pPr>
    <w:rPr>
      <w:i/>
    </w:rPr>
  </w:style>
  <w:style w:type="paragraph" w:customStyle="1" w:styleId="ChapNo">
    <w:name w:val="Chap_No"/>
    <w:basedOn w:val="ArtNo"/>
    <w:next w:val="Chaptitle"/>
    <w:rsid w:val="00B97679"/>
    <w:rPr>
      <w:b/>
    </w:rPr>
  </w:style>
  <w:style w:type="paragraph" w:customStyle="1" w:styleId="Chaptitle">
    <w:name w:val="Chap_title"/>
    <w:basedOn w:val="Arttitle"/>
    <w:next w:val="Normalaftertitle"/>
    <w:rsid w:val="00B97679"/>
  </w:style>
  <w:style w:type="character" w:styleId="FootnoteReference">
    <w:name w:val="footnote reference"/>
    <w:basedOn w:val="DefaultParagraphFont"/>
    <w:semiHidden/>
    <w:rsid w:val="00B97679"/>
    <w:rPr>
      <w:position w:val="6"/>
      <w:sz w:val="18"/>
    </w:rPr>
  </w:style>
  <w:style w:type="paragraph" w:styleId="FootnoteText">
    <w:name w:val="footnote text"/>
    <w:basedOn w:val="Normal"/>
    <w:semiHidden/>
    <w:rsid w:val="00B97679"/>
    <w:pPr>
      <w:keepLines/>
      <w:tabs>
        <w:tab w:val="left" w:pos="255"/>
      </w:tabs>
      <w:ind w:left="255" w:hanging="255"/>
    </w:pPr>
    <w:rPr>
      <w:sz w:val="22"/>
    </w:rPr>
  </w:style>
  <w:style w:type="paragraph" w:styleId="Index1">
    <w:name w:val="index 1"/>
    <w:basedOn w:val="Normal"/>
    <w:next w:val="Normal"/>
    <w:semiHidden/>
    <w:rsid w:val="00B97679"/>
  </w:style>
  <w:style w:type="paragraph" w:styleId="Index2">
    <w:name w:val="index 2"/>
    <w:basedOn w:val="Normal"/>
    <w:next w:val="Normal"/>
    <w:semiHidden/>
    <w:rsid w:val="00B97679"/>
    <w:pPr>
      <w:ind w:left="283"/>
    </w:pPr>
  </w:style>
  <w:style w:type="paragraph" w:styleId="Index3">
    <w:name w:val="index 3"/>
    <w:basedOn w:val="Normal"/>
    <w:next w:val="Normal"/>
    <w:semiHidden/>
    <w:rsid w:val="00B97679"/>
    <w:pPr>
      <w:ind w:left="566"/>
    </w:pPr>
  </w:style>
  <w:style w:type="paragraph" w:styleId="IndexHeading">
    <w:name w:val="index heading"/>
    <w:basedOn w:val="Normal"/>
    <w:next w:val="Index1"/>
    <w:semiHidden/>
    <w:rsid w:val="00B97679"/>
  </w:style>
  <w:style w:type="paragraph" w:customStyle="1" w:styleId="Line">
    <w:name w:val="Line"/>
    <w:basedOn w:val="Normal"/>
    <w:next w:val="Normal"/>
    <w:rsid w:val="00B9767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767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7679"/>
  </w:style>
  <w:style w:type="paragraph" w:customStyle="1" w:styleId="Partref">
    <w:name w:val="Part_ref"/>
    <w:basedOn w:val="Normal"/>
    <w:next w:val="Normal"/>
    <w:rsid w:val="00B97679"/>
    <w:pPr>
      <w:keepNext/>
      <w:keepLines/>
      <w:spacing w:after="280"/>
      <w:jc w:val="center"/>
    </w:pPr>
  </w:style>
  <w:style w:type="paragraph" w:customStyle="1" w:styleId="Parttitle">
    <w:name w:val="Part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7679"/>
  </w:style>
  <w:style w:type="paragraph" w:customStyle="1" w:styleId="QuestionNo">
    <w:name w:val="Question_No"/>
    <w:basedOn w:val="RecNo"/>
    <w:next w:val="Normal"/>
    <w:rsid w:val="00B97679"/>
  </w:style>
  <w:style w:type="paragraph" w:customStyle="1" w:styleId="Questionref">
    <w:name w:val="Question_ref"/>
    <w:basedOn w:val="Recref"/>
    <w:next w:val="Questiondate"/>
    <w:rsid w:val="00B97679"/>
  </w:style>
  <w:style w:type="paragraph" w:customStyle="1" w:styleId="Questiontitle">
    <w:name w:val="Question_title"/>
    <w:basedOn w:val="Normal"/>
    <w:next w:val="Questionref"/>
    <w:rsid w:val="00B97679"/>
  </w:style>
  <w:style w:type="paragraph" w:customStyle="1" w:styleId="Reftext">
    <w:name w:val="Ref_text"/>
    <w:basedOn w:val="Normal"/>
    <w:rsid w:val="00B97679"/>
    <w:pPr>
      <w:ind w:left="794" w:hanging="794"/>
    </w:pPr>
    <w:rPr>
      <w:sz w:val="22"/>
    </w:rPr>
  </w:style>
  <w:style w:type="paragraph" w:customStyle="1" w:styleId="Reftitle">
    <w:name w:val="Ref_title"/>
    <w:basedOn w:val="Normal"/>
    <w:next w:val="Reftext"/>
    <w:rsid w:val="00B9767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7679"/>
  </w:style>
  <w:style w:type="paragraph" w:customStyle="1" w:styleId="RepNo">
    <w:name w:val="Rep_No"/>
    <w:basedOn w:val="RecNo"/>
    <w:next w:val="Reptitle"/>
    <w:rsid w:val="00B97679"/>
  </w:style>
  <w:style w:type="paragraph" w:customStyle="1" w:styleId="Repref">
    <w:name w:val="Rep_ref"/>
    <w:basedOn w:val="Recref"/>
    <w:next w:val="Repdate"/>
    <w:rsid w:val="00B97679"/>
  </w:style>
  <w:style w:type="paragraph" w:customStyle="1" w:styleId="Reptitle">
    <w:name w:val="Rep_title"/>
    <w:basedOn w:val="Rectitle"/>
    <w:next w:val="Repref"/>
    <w:rsid w:val="00B97679"/>
  </w:style>
  <w:style w:type="paragraph" w:customStyle="1" w:styleId="Resdate">
    <w:name w:val="Res_date"/>
    <w:basedOn w:val="Recdate"/>
    <w:next w:val="Normalaftertitle"/>
    <w:rsid w:val="00B97679"/>
  </w:style>
  <w:style w:type="paragraph" w:customStyle="1" w:styleId="ResNo">
    <w:name w:val="Res_No"/>
    <w:basedOn w:val="RecNo"/>
    <w:next w:val="Restitle"/>
    <w:rsid w:val="00B97679"/>
  </w:style>
  <w:style w:type="paragraph" w:customStyle="1" w:styleId="Resref">
    <w:name w:val="Res_ref"/>
    <w:basedOn w:val="Recref"/>
    <w:next w:val="Resdate"/>
    <w:rsid w:val="00B97679"/>
  </w:style>
  <w:style w:type="paragraph" w:customStyle="1" w:styleId="Restitle">
    <w:name w:val="Res_title"/>
    <w:basedOn w:val="Normal"/>
    <w:next w:val="Resref"/>
    <w:rsid w:val="00B97679"/>
    <w:pPr>
      <w:spacing w:before="240"/>
      <w:jc w:val="center"/>
    </w:pPr>
    <w:rPr>
      <w:b/>
      <w:sz w:val="28"/>
    </w:rPr>
  </w:style>
  <w:style w:type="paragraph" w:customStyle="1" w:styleId="SectionNo">
    <w:name w:val="Section_No"/>
    <w:basedOn w:val="Normal"/>
    <w:next w:val="Normal"/>
    <w:rsid w:val="00B97679"/>
  </w:style>
  <w:style w:type="paragraph" w:customStyle="1" w:styleId="Sectiontitle">
    <w:name w:val="Section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7679"/>
    <w:pPr>
      <w:tabs>
        <w:tab w:val="clear" w:pos="794"/>
        <w:tab w:val="clear" w:pos="1191"/>
        <w:tab w:val="clear" w:pos="1588"/>
        <w:tab w:val="clear" w:pos="1985"/>
        <w:tab w:val="right" w:pos="9611"/>
      </w:tabs>
    </w:pPr>
    <w:rPr>
      <w:i/>
    </w:rPr>
  </w:style>
  <w:style w:type="paragraph" w:styleId="TOC1">
    <w:name w:val="toc 1"/>
    <w:basedOn w:val="Normal"/>
    <w:semiHidden/>
    <w:rsid w:val="00B9767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7679"/>
    <w:pPr>
      <w:tabs>
        <w:tab w:val="clear" w:pos="567"/>
        <w:tab w:val="left" w:pos="1276"/>
      </w:tabs>
      <w:spacing w:before="160"/>
      <w:ind w:left="1276" w:hanging="709"/>
    </w:pPr>
  </w:style>
  <w:style w:type="paragraph" w:styleId="TOC3">
    <w:name w:val="toc 3"/>
    <w:basedOn w:val="TOC2"/>
    <w:semiHidden/>
    <w:rsid w:val="00B97679"/>
    <w:pPr>
      <w:tabs>
        <w:tab w:val="clear" w:pos="1276"/>
        <w:tab w:val="left" w:pos="2155"/>
      </w:tabs>
      <w:ind w:left="2155" w:hanging="879"/>
    </w:pPr>
  </w:style>
  <w:style w:type="paragraph" w:styleId="TOC4">
    <w:name w:val="toc 4"/>
    <w:basedOn w:val="TOC3"/>
    <w:semiHidden/>
    <w:rsid w:val="00B97679"/>
    <w:pPr>
      <w:tabs>
        <w:tab w:val="left" w:pos="3261"/>
      </w:tabs>
      <w:spacing w:before="80"/>
      <w:ind w:left="3261" w:hanging="993"/>
    </w:pPr>
  </w:style>
  <w:style w:type="paragraph" w:styleId="TOC5">
    <w:name w:val="toc 5"/>
    <w:basedOn w:val="TOC4"/>
    <w:semiHidden/>
    <w:rsid w:val="00B97679"/>
  </w:style>
  <w:style w:type="paragraph" w:styleId="TOC6">
    <w:name w:val="toc 6"/>
    <w:basedOn w:val="TOC4"/>
    <w:semiHidden/>
    <w:rsid w:val="00B97679"/>
  </w:style>
  <w:style w:type="paragraph" w:styleId="TOC7">
    <w:name w:val="toc 7"/>
    <w:basedOn w:val="TOC4"/>
    <w:semiHidden/>
    <w:rsid w:val="00B97679"/>
  </w:style>
  <w:style w:type="paragraph" w:styleId="TOC8">
    <w:name w:val="toc 8"/>
    <w:basedOn w:val="TOC4"/>
    <w:semiHidden/>
    <w:rsid w:val="00B97679"/>
  </w:style>
  <w:style w:type="paragraph" w:customStyle="1" w:styleId="Rectitle">
    <w:name w:val="Rec_title"/>
    <w:basedOn w:val="Normal"/>
    <w:next w:val="Recref"/>
    <w:rsid w:val="00B97679"/>
    <w:pPr>
      <w:keepNext/>
      <w:keepLines/>
      <w:spacing w:before="240"/>
      <w:jc w:val="center"/>
    </w:pPr>
    <w:rPr>
      <w:b/>
      <w:sz w:val="28"/>
    </w:rPr>
  </w:style>
  <w:style w:type="paragraph" w:customStyle="1" w:styleId="Annexref">
    <w:name w:val="Annex_ref"/>
    <w:basedOn w:val="Normal"/>
    <w:next w:val="Normalaftertitle"/>
    <w:rsid w:val="00B97679"/>
    <w:pPr>
      <w:keepNext/>
      <w:keepLines/>
      <w:spacing w:after="280"/>
      <w:jc w:val="center"/>
    </w:pPr>
  </w:style>
  <w:style w:type="paragraph" w:customStyle="1" w:styleId="Appendixref">
    <w:name w:val="Appendix_ref"/>
    <w:basedOn w:val="Annexref"/>
    <w:next w:val="Normalaftertitle"/>
    <w:rsid w:val="00B97679"/>
  </w:style>
  <w:style w:type="paragraph" w:customStyle="1" w:styleId="Figuretitle">
    <w:name w:val="Figure_title"/>
    <w:basedOn w:val="Normal"/>
    <w:next w:val="Figure"/>
    <w:rsid w:val="00B9767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7679"/>
    <w:pPr>
      <w:keepNext/>
      <w:spacing w:before="0" w:after="120"/>
      <w:jc w:val="center"/>
    </w:pPr>
    <w:rPr>
      <w:b/>
    </w:rPr>
  </w:style>
  <w:style w:type="paragraph" w:customStyle="1" w:styleId="Summary">
    <w:name w:val="Summary"/>
    <w:basedOn w:val="Normal"/>
    <w:next w:val="Normalaftertitle"/>
    <w:rsid w:val="00B9767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767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B97679"/>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AF759-9398-4E83-A752-4EB507864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6</Pages>
  <Words>1656</Words>
  <Characters>9957</Characters>
  <Application>Microsoft Office Word</Application>
  <DocSecurity>0</DocSecurity>
  <Lines>331</Lines>
  <Paragraphs>51</Paragraphs>
  <ScaleCrop>false</ScaleCrop>
  <HeadingPairs>
    <vt:vector size="2" baseType="variant">
      <vt:variant>
        <vt:lpstr>Title</vt:lpstr>
      </vt:variant>
      <vt:variant>
        <vt:i4>1</vt:i4>
      </vt:variant>
    </vt:vector>
  </HeadingPairs>
  <TitlesOfParts>
    <vt:vector size="1" baseType="lpstr">
      <vt:lpstr>RECOMENDACIÓN  UIT-R  SM.1839* - Procedimiento de prueba para medir la velocidad de exploración de los receptores de comprobación técnica radioeléctrica</vt:lpstr>
    </vt:vector>
  </TitlesOfParts>
  <Manager/>
  <Company>ITU</Company>
  <LinksUpToDate>false</LinksUpToDate>
  <CharactersWithSpaces>11562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SM.1839* - Procedimiento de prueba para medir la velocidad de exploración de los receptores de comprobación técnica radioeléctrica</dc:title>
  <dc:subject>Serie SM = Gestión del espectro</dc:subject>
  <dc:creator>Oficina de Radiocomunicaciones del UIT (BR)</dc:creator>
  <cp:keywords>SM,1839*</cp:keywords>
  <dc:description>Santosbo, 16.05.2011, MSB106309</dc:description>
  <cp:lastModifiedBy>santosbo</cp:lastModifiedBy>
  <cp:revision>5</cp:revision>
  <cp:lastPrinted>2005-02-10T14:54:00Z</cp:lastPrinted>
  <dcterms:created xsi:type="dcterms:W3CDTF">2011-05-16T13:20:00Z</dcterms:created>
  <dcterms:modified xsi:type="dcterms:W3CDTF">2011-05-16T13:42:00Z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16 May 2011</vt:lpwstr>
  </property>
</Properties>
</file>