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D9B2" w14:textId="77777777" w:rsidR="0070275E" w:rsidRDefault="0070275E" w:rsidP="00E84DB4">
      <w:pPr>
        <w:pStyle w:val="RecNo"/>
        <w:spacing w:before="0"/>
        <w:rPr>
          <w:lang w:val="es-ES"/>
        </w:rPr>
      </w:pPr>
      <w:r>
        <w:rPr>
          <w:lang w:val="es-ES"/>
        </w:rPr>
        <w:t xml:space="preserve">RECOMENDACIÓN  </w:t>
      </w:r>
      <w:r>
        <w:rPr>
          <w:rStyle w:val="href"/>
          <w:lang w:val="es-ES"/>
        </w:rPr>
        <w:t>UIT-R  SM.168</w:t>
      </w:r>
      <w:r w:rsidR="00E84DB4">
        <w:rPr>
          <w:rStyle w:val="href"/>
          <w:lang w:val="es-ES"/>
        </w:rPr>
        <w:t>1-0</w:t>
      </w:r>
      <w:r w:rsidR="00E84DB4">
        <w:rPr>
          <w:rStyle w:val="FootnoteReference"/>
          <w:lang w:val="es-ES_tradnl"/>
        </w:rPr>
        <w:footnoteReference w:customMarkFollows="1" w:id="1"/>
        <w:t>*</w:t>
      </w:r>
    </w:p>
    <w:p w14:paraId="56583B0F" w14:textId="77777777" w:rsidR="0070275E" w:rsidRDefault="0070275E">
      <w:pPr>
        <w:pStyle w:val="Rectitle"/>
        <w:rPr>
          <w:lang w:val="es-ES"/>
        </w:rPr>
      </w:pPr>
      <w:r>
        <w:rPr>
          <w:lang w:val="es-ES"/>
        </w:rPr>
        <w:t xml:space="preserve">Medición de emisiones de bajo nivel procedentes de estaciones </w:t>
      </w:r>
      <w:r>
        <w:rPr>
          <w:lang w:val="es-ES"/>
        </w:rPr>
        <w:br/>
        <w:t xml:space="preserve">espaciales en las estaciones terrenas de comprobación técnica </w:t>
      </w:r>
      <w:r>
        <w:rPr>
          <w:lang w:val="es-ES"/>
        </w:rPr>
        <w:br/>
        <w:t>utilizando técnicas de reducción del ruido</w:t>
      </w:r>
    </w:p>
    <w:p w14:paraId="11DE8D8A" w14:textId="77777777" w:rsidR="009D0281" w:rsidRPr="00531DD1" w:rsidRDefault="009D0281" w:rsidP="009D0281">
      <w:pPr>
        <w:pStyle w:val="Blanc"/>
        <w:rPr>
          <w:lang w:val="es-ES_tradnl"/>
        </w:rPr>
      </w:pPr>
    </w:p>
    <w:p w14:paraId="21E89E82" w14:textId="77777777" w:rsidR="0070275E" w:rsidRDefault="0070275E">
      <w:pPr>
        <w:pStyle w:val="Recdate"/>
        <w:rPr>
          <w:lang w:val="es-ES"/>
        </w:rPr>
      </w:pPr>
      <w:r>
        <w:rPr>
          <w:lang w:val="es-ES"/>
        </w:rPr>
        <w:t>(2004)</w:t>
      </w:r>
    </w:p>
    <w:p w14:paraId="74159D9E" w14:textId="77777777" w:rsidR="009D0281" w:rsidRPr="00531DD1" w:rsidRDefault="009D0281" w:rsidP="009D0281">
      <w:pPr>
        <w:pStyle w:val="Blanc"/>
        <w:rPr>
          <w:lang w:val="es-ES_tradnl"/>
        </w:rPr>
      </w:pPr>
    </w:p>
    <w:p w14:paraId="7C4C9FAB" w14:textId="77777777" w:rsidR="0070275E" w:rsidRDefault="0070275E">
      <w:pPr>
        <w:pStyle w:val="HeadingSum"/>
      </w:pPr>
      <w:r>
        <w:t>Cometido</w:t>
      </w:r>
    </w:p>
    <w:p w14:paraId="22966B45" w14:textId="67737B83" w:rsidR="0070275E" w:rsidRDefault="0070275E">
      <w:pPr>
        <w:pStyle w:val="Summary"/>
      </w:pPr>
      <w:r>
        <w:t>Con objeto de proteger de interferencias los servicios pasivos, en particular el servicio de radioastronomía (SRA), es muy importante medir las emisiones de bajo nivel procedentes de estaciones espaciales en las estaciones terrenas de comprobación técnica utilizando técnicas de reducción del umbral mínimo de ruido. Además de proporcionar los elementos necesarios para la comprobación técnica, la Recomendación establece un método para reducir el umbral mínimo de ruido mediante técnicas de procesamiento digital de la señal.</w:t>
      </w:r>
    </w:p>
    <w:p w14:paraId="061DD308" w14:textId="77777777" w:rsidR="00B3519A" w:rsidRPr="00B3519A" w:rsidRDefault="00B3519A" w:rsidP="00B3519A">
      <w:pPr>
        <w:rPr>
          <w:b/>
          <w:lang w:val="es-ES_tradnl"/>
        </w:rPr>
      </w:pPr>
      <w:r w:rsidRPr="00B3519A">
        <w:rPr>
          <w:b/>
          <w:lang w:val="es-ES_tradnl"/>
        </w:rPr>
        <w:t>Palabras clave</w:t>
      </w:r>
    </w:p>
    <w:p w14:paraId="41357E79" w14:textId="77777777" w:rsidR="00B3519A" w:rsidRPr="00B3519A" w:rsidRDefault="00B3519A" w:rsidP="00B3519A">
      <w:pPr>
        <w:rPr>
          <w:lang w:val="es-ES_tradnl"/>
        </w:rPr>
      </w:pPr>
      <w:r w:rsidRPr="00B3519A">
        <w:rPr>
          <w:lang w:val="es-ES_tradnl"/>
        </w:rPr>
        <w:t>Emisiones de bajo nivel, estaciones espaciales, técnicas de reducción del ruido</w:t>
      </w:r>
    </w:p>
    <w:p w14:paraId="7F9DEB30" w14:textId="77777777" w:rsidR="0070275E" w:rsidRDefault="0070275E" w:rsidP="00B3519A">
      <w:pPr>
        <w:pStyle w:val="Normalaftertitle"/>
        <w:rPr>
          <w:lang w:val="es-ES"/>
        </w:rPr>
      </w:pPr>
      <w:r>
        <w:rPr>
          <w:lang w:val="es-ES"/>
        </w:rPr>
        <w:t>La Asamblea de Radiocomunicaciones de la UIT,</w:t>
      </w:r>
    </w:p>
    <w:p w14:paraId="68548852" w14:textId="77777777" w:rsidR="0070275E" w:rsidRDefault="0070275E">
      <w:pPr>
        <w:pStyle w:val="Call"/>
        <w:rPr>
          <w:lang w:val="es-ES"/>
        </w:rPr>
      </w:pPr>
      <w:r>
        <w:rPr>
          <w:lang w:val="es-ES"/>
        </w:rPr>
        <w:t>considerando</w:t>
      </w:r>
    </w:p>
    <w:p w14:paraId="0DFEA39C" w14:textId="77777777" w:rsidR="0070275E" w:rsidRDefault="0070275E">
      <w:pPr>
        <w:rPr>
          <w:lang w:val="es-ES"/>
        </w:rPr>
      </w:pPr>
      <w:r>
        <w:rPr>
          <w:lang w:val="es-ES"/>
        </w:rPr>
        <w:t>a)</w:t>
      </w:r>
      <w:r>
        <w:rPr>
          <w:lang w:val="es-ES"/>
        </w:rPr>
        <w:tab/>
        <w:t>que es necesario proteger el servicio de radioastronomía (SRA) contra la interferencia;</w:t>
      </w:r>
    </w:p>
    <w:p w14:paraId="7CD747C6" w14:textId="77777777" w:rsidR="0070275E" w:rsidRDefault="0070275E">
      <w:pPr>
        <w:rPr>
          <w:lang w:val="es-ES"/>
        </w:rPr>
      </w:pPr>
      <w:r>
        <w:rPr>
          <w:lang w:val="es-ES"/>
        </w:rPr>
        <w:t>b)</w:t>
      </w:r>
      <w:r>
        <w:rPr>
          <w:lang w:val="es-ES"/>
        </w:rPr>
        <w:tab/>
        <w:t>que los objetos observados en el espacio en frecuencias utilizadas por el SRA tienen, en principio, niveles de dfp extremadamente bajos cuando llegan a la superficie de la Tierra;</w:t>
      </w:r>
    </w:p>
    <w:p w14:paraId="69E9684B" w14:textId="77777777" w:rsidR="0070275E" w:rsidRDefault="0070275E">
      <w:pPr>
        <w:rPr>
          <w:lang w:val="es-ES"/>
        </w:rPr>
      </w:pPr>
      <w:r>
        <w:rPr>
          <w:lang w:val="es-ES"/>
        </w:rPr>
        <w:t>c)</w:t>
      </w:r>
      <w:r>
        <w:rPr>
          <w:lang w:val="es-ES"/>
        </w:rPr>
        <w:tab/>
        <w:t>que para tales observaciones se han elaborado técnicas de recepción cuya sensibilidad permite distinguir las señales de intensidad muy inferior al umbral mínimo de ruido;</w:t>
      </w:r>
    </w:p>
    <w:p w14:paraId="3A52FEB5" w14:textId="77777777" w:rsidR="0070275E" w:rsidRDefault="0070275E">
      <w:pPr>
        <w:rPr>
          <w:lang w:val="es-ES"/>
        </w:rPr>
      </w:pPr>
      <w:r>
        <w:rPr>
          <w:lang w:val="es-ES"/>
        </w:rPr>
        <w:t>d)</w:t>
      </w:r>
      <w:r>
        <w:rPr>
          <w:lang w:val="es-ES"/>
        </w:rPr>
        <w:tab/>
        <w:t>que una de las tareas de las estaciones terrenas de comprobación técnica es la de controlar los niveles de emisiones no deseadas de las estaciones espaciales, como se estipula en el Reglamento de Radiocomunicaciones;</w:t>
      </w:r>
    </w:p>
    <w:p w14:paraId="1D022A17" w14:textId="77777777" w:rsidR="0070275E" w:rsidRDefault="0070275E">
      <w:pPr>
        <w:rPr>
          <w:lang w:val="es-ES"/>
        </w:rPr>
      </w:pPr>
      <w:r>
        <w:rPr>
          <w:lang w:val="es-ES"/>
        </w:rPr>
        <w:t>e)</w:t>
      </w:r>
      <w:r>
        <w:rPr>
          <w:lang w:val="es-ES"/>
        </w:rPr>
        <w:tab/>
        <w:t>que puede ser necesario informar a otras partes de los resultados de las mediciones,</w:t>
      </w:r>
    </w:p>
    <w:p w14:paraId="77158101" w14:textId="77777777" w:rsidR="0070275E" w:rsidRDefault="0070275E">
      <w:pPr>
        <w:pStyle w:val="Call"/>
        <w:rPr>
          <w:lang w:val="es-ES"/>
        </w:rPr>
      </w:pPr>
      <w:r>
        <w:rPr>
          <w:lang w:val="es-ES"/>
        </w:rPr>
        <w:t>recomienda</w:t>
      </w:r>
    </w:p>
    <w:p w14:paraId="0F02FC9A" w14:textId="77777777" w:rsidR="0070275E" w:rsidRDefault="0070275E">
      <w:pPr>
        <w:rPr>
          <w:lang w:val="es-ES"/>
        </w:rPr>
      </w:pPr>
      <w:r>
        <w:rPr>
          <w:b/>
          <w:bCs/>
          <w:lang w:val="es-ES"/>
        </w:rPr>
        <w:t>1</w:t>
      </w:r>
      <w:r>
        <w:rPr>
          <w:lang w:val="es-ES"/>
        </w:rPr>
        <w:tab/>
        <w:t>que las estaciones terrenas de comprobación técnica midan las emisiones no deseadas de los satélites de acuerdo con:</w:t>
      </w:r>
    </w:p>
    <w:p w14:paraId="00A14F87" w14:textId="77777777" w:rsidR="0070275E" w:rsidRDefault="0070275E">
      <w:pPr>
        <w:rPr>
          <w:lang w:val="es-ES"/>
        </w:rPr>
      </w:pPr>
      <w:r>
        <w:rPr>
          <w:b/>
          <w:bCs/>
          <w:lang w:val="es-ES"/>
        </w:rPr>
        <w:t>1.1</w:t>
      </w:r>
      <w:r>
        <w:rPr>
          <w:lang w:val="es-ES"/>
        </w:rPr>
        <w:tab/>
        <w:t>los requisitos para la comprobación técnica que figuran en el Anexo 1;</w:t>
      </w:r>
    </w:p>
    <w:p w14:paraId="4774AEA2" w14:textId="77777777" w:rsidR="0070275E" w:rsidRDefault="0070275E">
      <w:pPr>
        <w:rPr>
          <w:lang w:val="es-ES"/>
        </w:rPr>
      </w:pPr>
      <w:r>
        <w:rPr>
          <w:b/>
          <w:bCs/>
          <w:lang w:val="es-ES"/>
        </w:rPr>
        <w:t>1.2</w:t>
      </w:r>
      <w:r>
        <w:rPr>
          <w:lang w:val="es-ES"/>
        </w:rPr>
        <w:tab/>
        <w:t>el método establecido para reducir el umbral mínimo de ruido mediante una técnica de procesamiento digital de la señal, que se describe en el Anexo 2;</w:t>
      </w:r>
    </w:p>
    <w:p w14:paraId="625C465B" w14:textId="77777777" w:rsidR="0070275E" w:rsidRDefault="0070275E">
      <w:pPr>
        <w:rPr>
          <w:lang w:val="es-ES"/>
        </w:rPr>
      </w:pPr>
      <w:r>
        <w:rPr>
          <w:b/>
          <w:bCs/>
          <w:lang w:val="es-ES"/>
        </w:rPr>
        <w:t>2</w:t>
      </w:r>
      <w:r>
        <w:rPr>
          <w:lang w:val="es-ES"/>
        </w:rPr>
        <w:tab/>
        <w:t>que los resultados queden registrados como se indica en el Anexo 3.</w:t>
      </w:r>
    </w:p>
    <w:p w14:paraId="0903FDA2" w14:textId="77777777" w:rsidR="0070275E" w:rsidRDefault="0070275E">
      <w:pPr>
        <w:pStyle w:val="AnnexNoTitle"/>
        <w:rPr>
          <w:lang w:val="es-ES"/>
        </w:rPr>
      </w:pPr>
      <w:bookmarkStart w:id="0" w:name="_Toc107986359"/>
      <w:r>
        <w:rPr>
          <w:lang w:val="es-ES"/>
        </w:rPr>
        <w:lastRenderedPageBreak/>
        <w:t>Anexo 1</w:t>
      </w:r>
      <w:r>
        <w:rPr>
          <w:lang w:val="es-ES"/>
        </w:rPr>
        <w:br/>
      </w:r>
      <w:r>
        <w:rPr>
          <w:lang w:val="es-ES"/>
        </w:rPr>
        <w:br/>
        <w:t>Requisitos para la comprobación técnica</w:t>
      </w:r>
      <w:bookmarkEnd w:id="0"/>
    </w:p>
    <w:p w14:paraId="7925EAE4" w14:textId="77777777" w:rsidR="0070275E" w:rsidRDefault="0070275E">
      <w:pPr>
        <w:pStyle w:val="Heading1"/>
        <w:rPr>
          <w:lang w:val="es-ES"/>
        </w:rPr>
      </w:pPr>
      <w:bookmarkStart w:id="1" w:name="_Toc107986360"/>
      <w:r>
        <w:rPr>
          <w:lang w:val="es-ES"/>
        </w:rPr>
        <w:t>1</w:t>
      </w:r>
      <w:r>
        <w:rPr>
          <w:lang w:val="es-ES"/>
        </w:rPr>
        <w:tab/>
        <w:t>Introducción</w:t>
      </w:r>
      <w:bookmarkEnd w:id="1"/>
    </w:p>
    <w:p w14:paraId="3EB13220" w14:textId="77777777" w:rsidR="0070275E" w:rsidRDefault="0070275E">
      <w:pPr>
        <w:rPr>
          <w:lang w:val="es-ES"/>
        </w:rPr>
      </w:pPr>
      <w:r>
        <w:rPr>
          <w:lang w:val="es-ES"/>
        </w:rPr>
        <w:t>Para medir las emisiones no esenciales y las emisiones fuera de banda de bajo nivel con objeto de proteger el SRA, las instalaciones espaciales de comprobación técnica deben tener en cuenta los siguientes requisitos.</w:t>
      </w:r>
    </w:p>
    <w:p w14:paraId="2EDCD4DC" w14:textId="77777777" w:rsidR="0070275E" w:rsidRDefault="0070275E">
      <w:pPr>
        <w:pStyle w:val="Heading1"/>
        <w:rPr>
          <w:lang w:val="es-ES"/>
        </w:rPr>
      </w:pPr>
      <w:bookmarkStart w:id="2" w:name="_Toc107986361"/>
      <w:r>
        <w:rPr>
          <w:lang w:val="es-ES"/>
        </w:rPr>
        <w:t>2</w:t>
      </w:r>
      <w:r>
        <w:rPr>
          <w:lang w:val="es-ES"/>
        </w:rPr>
        <w:tab/>
        <w:t>Prerrequisitos de comprobación técnica</w:t>
      </w:r>
      <w:bookmarkEnd w:id="2"/>
    </w:p>
    <w:p w14:paraId="68DED097" w14:textId="77777777" w:rsidR="0070275E" w:rsidRDefault="0070275E">
      <w:pPr>
        <w:rPr>
          <w:lang w:val="es-ES"/>
        </w:rPr>
      </w:pPr>
      <w:r>
        <w:rPr>
          <w:b/>
          <w:lang w:val="es-ES"/>
        </w:rPr>
        <w:t>2.1</w:t>
      </w:r>
      <w:r>
        <w:rPr>
          <w:lang w:val="es-ES"/>
        </w:rPr>
        <w:tab/>
        <w:t>Deben conocerse los niveles de dfp del SRA que se deben proteger.</w:t>
      </w:r>
    </w:p>
    <w:p w14:paraId="46F5146F" w14:textId="77777777" w:rsidR="0070275E" w:rsidRDefault="0070275E">
      <w:pPr>
        <w:rPr>
          <w:lang w:val="es-ES"/>
        </w:rPr>
      </w:pPr>
      <w:r>
        <w:rPr>
          <w:b/>
          <w:lang w:val="es-ES"/>
        </w:rPr>
        <w:t>2.2</w:t>
      </w:r>
      <w:r>
        <w:rPr>
          <w:lang w:val="es-ES"/>
        </w:rPr>
        <w:tab/>
        <w:t>Hay que disponer de la capacidad técnica necesaria para llevar a cabo la comprobación técnica de las emisiones de bajo nivel.</w:t>
      </w:r>
    </w:p>
    <w:p w14:paraId="431DCF86" w14:textId="77777777" w:rsidR="0070275E" w:rsidRDefault="0070275E">
      <w:pPr>
        <w:rPr>
          <w:lang w:val="es-ES"/>
        </w:rPr>
      </w:pPr>
      <w:r>
        <w:rPr>
          <w:b/>
          <w:lang w:val="es-ES"/>
        </w:rPr>
        <w:t>2.3</w:t>
      </w:r>
      <w:r>
        <w:rPr>
          <w:lang w:val="es-ES"/>
        </w:rPr>
        <w:tab/>
        <w:t>Es preciso determinar el orden de magnitud de la reducción del umbral mínimo de ruido en comparación con los criterios normales de comprobación técnica espacial para la comprobación técnica de los servicios fijo y de radiodifusión de comunicaciones espaciales.</w:t>
      </w:r>
    </w:p>
    <w:p w14:paraId="69AF226A" w14:textId="77777777" w:rsidR="0070275E" w:rsidRDefault="0070275E">
      <w:pPr>
        <w:pStyle w:val="Heading1"/>
        <w:rPr>
          <w:lang w:val="es-ES"/>
        </w:rPr>
      </w:pPr>
      <w:bookmarkStart w:id="3" w:name="_Toc107986362"/>
      <w:r>
        <w:rPr>
          <w:lang w:val="es-ES"/>
        </w:rPr>
        <w:t>3</w:t>
      </w:r>
      <w:r>
        <w:rPr>
          <w:lang w:val="es-ES"/>
        </w:rPr>
        <w:tab/>
        <w:t>Parámetros técnicos que se deben comprobar</w:t>
      </w:r>
      <w:bookmarkEnd w:id="3"/>
    </w:p>
    <w:p w14:paraId="7EC83B6F" w14:textId="77777777" w:rsidR="0070275E" w:rsidRDefault="0070275E">
      <w:pPr>
        <w:rPr>
          <w:lang w:val="es-ES"/>
        </w:rPr>
      </w:pPr>
      <w:r>
        <w:rPr>
          <w:b/>
          <w:lang w:val="es-ES"/>
        </w:rPr>
        <w:t>3.1</w:t>
      </w:r>
      <w:r>
        <w:rPr>
          <w:lang w:val="es-ES"/>
        </w:rPr>
        <w:tab/>
        <w:t>Se deben comprobar los valores normales de los parámetros de la comprobación técnica espacial que caracterizan a las fuentes de emisión; es decir, frecuencia, ubicación orbital, o los elementos, tiempo, densidad de potencia, polarización, anchura de banda, modulación, características espectrales, método de acceso, y transmisión de onda continua/por ráfagas.</w:t>
      </w:r>
    </w:p>
    <w:p w14:paraId="629D05FC" w14:textId="77777777" w:rsidR="0070275E" w:rsidRDefault="0070275E">
      <w:pPr>
        <w:rPr>
          <w:lang w:val="es-ES"/>
        </w:rPr>
      </w:pPr>
      <w:r>
        <w:rPr>
          <w:b/>
          <w:lang w:val="es-ES"/>
        </w:rPr>
        <w:t>3.2</w:t>
      </w:r>
      <w:r>
        <w:rPr>
          <w:lang w:val="es-ES"/>
        </w:rPr>
        <w:tab/>
        <w:t>La densidad de potencia de la emisión se debe registrar como dfp y dfp espectral.</w:t>
      </w:r>
    </w:p>
    <w:p w14:paraId="3CFB8DB5" w14:textId="77777777" w:rsidR="0070275E" w:rsidRDefault="0070275E">
      <w:pPr>
        <w:pStyle w:val="Heading1"/>
        <w:rPr>
          <w:lang w:val="es-ES"/>
        </w:rPr>
      </w:pPr>
      <w:bookmarkStart w:id="4" w:name="_Toc107986363"/>
      <w:r>
        <w:rPr>
          <w:lang w:val="es-ES"/>
        </w:rPr>
        <w:t>4</w:t>
      </w:r>
      <w:r>
        <w:rPr>
          <w:lang w:val="es-ES"/>
        </w:rPr>
        <w:tab/>
        <w:t>Procedimiento de comprobación técnica (véase también el Manual del UIT</w:t>
      </w:r>
      <w:r>
        <w:rPr>
          <w:lang w:val="es-ES"/>
        </w:rPr>
        <w:noBreakHyphen/>
        <w:t>R – Comprobación técnica del espectro)</w:t>
      </w:r>
      <w:bookmarkEnd w:id="4"/>
    </w:p>
    <w:p w14:paraId="19782795" w14:textId="77777777" w:rsidR="0070275E" w:rsidRDefault="0070275E">
      <w:pPr>
        <w:rPr>
          <w:lang w:val="es-ES"/>
        </w:rPr>
      </w:pPr>
      <w:r>
        <w:rPr>
          <w:b/>
          <w:lang w:val="es-ES"/>
        </w:rPr>
        <w:t>4.1</w:t>
      </w:r>
      <w:r>
        <w:rPr>
          <w:lang w:val="es-ES"/>
        </w:rPr>
        <w:tab/>
        <w:t>Adquisición de la fuente de interferencia.</w:t>
      </w:r>
    </w:p>
    <w:p w14:paraId="319335E7" w14:textId="77777777" w:rsidR="0070275E" w:rsidRDefault="0070275E">
      <w:pPr>
        <w:rPr>
          <w:lang w:val="es-ES"/>
        </w:rPr>
      </w:pPr>
      <w:r>
        <w:rPr>
          <w:b/>
          <w:lang w:val="es-ES"/>
        </w:rPr>
        <w:t>4.2</w:t>
      </w:r>
      <w:r>
        <w:rPr>
          <w:lang w:val="es-ES"/>
        </w:rPr>
        <w:tab/>
        <w:t>Medición de la frecuencia.</w:t>
      </w:r>
    </w:p>
    <w:p w14:paraId="7787B049" w14:textId="77777777" w:rsidR="0070275E" w:rsidRDefault="0070275E">
      <w:pPr>
        <w:rPr>
          <w:lang w:val="es-ES"/>
        </w:rPr>
      </w:pPr>
      <w:r>
        <w:rPr>
          <w:b/>
          <w:lang w:val="es-ES"/>
        </w:rPr>
        <w:t>4.3</w:t>
      </w:r>
      <w:r>
        <w:rPr>
          <w:lang w:val="es-ES"/>
        </w:rPr>
        <w:tab/>
        <w:t>Determinación de la polarización.</w:t>
      </w:r>
    </w:p>
    <w:p w14:paraId="2B82EAC4" w14:textId="77777777" w:rsidR="0070275E" w:rsidRDefault="0070275E">
      <w:pPr>
        <w:rPr>
          <w:lang w:val="es-ES"/>
        </w:rPr>
      </w:pPr>
      <w:r>
        <w:rPr>
          <w:b/>
          <w:lang w:val="es-ES"/>
        </w:rPr>
        <w:t>4.4</w:t>
      </w:r>
      <w:r>
        <w:rPr>
          <w:lang w:val="es-ES"/>
        </w:rPr>
        <w:tab/>
        <w:t>Medición de la anchura de banda.</w:t>
      </w:r>
    </w:p>
    <w:p w14:paraId="5875199F" w14:textId="77777777" w:rsidR="0070275E" w:rsidRDefault="0070275E">
      <w:pPr>
        <w:rPr>
          <w:lang w:val="es-ES"/>
        </w:rPr>
      </w:pPr>
      <w:r>
        <w:rPr>
          <w:b/>
          <w:lang w:val="es-ES"/>
        </w:rPr>
        <w:t>4.5</w:t>
      </w:r>
      <w:r>
        <w:rPr>
          <w:lang w:val="es-ES"/>
        </w:rPr>
        <w:tab/>
        <w:t>Medición de la dfp utilizando el método de reducción del ruido descrito en el Anexo 2.</w:t>
      </w:r>
    </w:p>
    <w:p w14:paraId="1F64E059" w14:textId="77777777" w:rsidR="0070275E" w:rsidRDefault="0070275E">
      <w:pPr>
        <w:pStyle w:val="Heading1"/>
        <w:rPr>
          <w:lang w:val="es-ES"/>
        </w:rPr>
      </w:pPr>
      <w:bookmarkStart w:id="5" w:name="_Toc107986364"/>
      <w:r>
        <w:rPr>
          <w:lang w:val="es-ES"/>
        </w:rPr>
        <w:t>5</w:t>
      </w:r>
      <w:r>
        <w:rPr>
          <w:lang w:val="es-ES"/>
        </w:rPr>
        <w:tab/>
        <w:t>Confirmación de los resultados de las mediciones</w:t>
      </w:r>
      <w:bookmarkEnd w:id="5"/>
    </w:p>
    <w:p w14:paraId="7BFF8C45" w14:textId="77777777" w:rsidR="0070275E" w:rsidRDefault="0070275E">
      <w:pPr>
        <w:rPr>
          <w:lang w:val="es-ES"/>
        </w:rPr>
      </w:pPr>
      <w:r>
        <w:rPr>
          <w:lang w:val="es-ES"/>
        </w:rPr>
        <w:t>En la medida de lo posible, se deben corroborar los resultados mediante otra estación terrena de comprobación técnica que figure en la lista de estaciones internacionales de comprobación técnica de la UIT.</w:t>
      </w:r>
    </w:p>
    <w:p w14:paraId="15B54062" w14:textId="77777777" w:rsidR="0070275E" w:rsidRDefault="0070275E">
      <w:pPr>
        <w:rPr>
          <w:lang w:val="es-ES"/>
        </w:rPr>
      </w:pPr>
    </w:p>
    <w:p w14:paraId="6573B941" w14:textId="77777777" w:rsidR="0070275E" w:rsidRDefault="0070275E">
      <w:pPr>
        <w:pStyle w:val="AnnexNoTitle"/>
        <w:rPr>
          <w:lang w:val="es-ES"/>
        </w:rPr>
      </w:pPr>
      <w:bookmarkStart w:id="6" w:name="_Toc107986365"/>
      <w:r>
        <w:rPr>
          <w:lang w:val="es-ES"/>
        </w:rPr>
        <w:lastRenderedPageBreak/>
        <w:t>Anexo 2</w:t>
      </w:r>
      <w:r>
        <w:rPr>
          <w:lang w:val="es-ES"/>
        </w:rPr>
        <w:br/>
      </w:r>
      <w:r>
        <w:rPr>
          <w:lang w:val="es-ES"/>
        </w:rPr>
        <w:br/>
        <w:t xml:space="preserve">Método para reducir el umbral mínimo de ruido </w:t>
      </w:r>
      <w:r>
        <w:rPr>
          <w:lang w:val="es-ES"/>
        </w:rPr>
        <w:br/>
        <w:t>mediante procesamiento digital de la señal</w:t>
      </w:r>
      <w:bookmarkEnd w:id="6"/>
    </w:p>
    <w:p w14:paraId="2396E1A9" w14:textId="77777777" w:rsidR="0070275E" w:rsidRDefault="0070275E">
      <w:pPr>
        <w:pStyle w:val="Heading1"/>
        <w:rPr>
          <w:lang w:val="es-ES"/>
        </w:rPr>
      </w:pPr>
      <w:bookmarkStart w:id="7" w:name="_Toc107986366"/>
      <w:r>
        <w:rPr>
          <w:lang w:val="es-ES"/>
        </w:rPr>
        <w:t>1</w:t>
      </w:r>
      <w:r>
        <w:rPr>
          <w:lang w:val="es-ES"/>
        </w:rPr>
        <w:tab/>
        <w:t>Introducción</w:t>
      </w:r>
      <w:bookmarkEnd w:id="7"/>
    </w:p>
    <w:p w14:paraId="6E5BCB36" w14:textId="77777777" w:rsidR="0070275E" w:rsidRDefault="0070275E">
      <w:pPr>
        <w:rPr>
          <w:lang w:val="es-ES"/>
        </w:rPr>
      </w:pPr>
      <w:r>
        <w:rPr>
          <w:lang w:val="es-ES"/>
        </w:rPr>
        <w:t>Con el fin de proteger el SRA se han especificado límites de dfp que son inferiores al umbral mínimo de ruido de los equipos de comprobación técnica. Existen diversos mecanismos para reducir el umbral mínimo de ruido. En este Anexo se define un método que utiliza procesamiento digital de la señal.</w:t>
      </w:r>
    </w:p>
    <w:p w14:paraId="528FC702" w14:textId="77777777" w:rsidR="0070275E" w:rsidRDefault="0070275E">
      <w:pPr>
        <w:pStyle w:val="Heading1"/>
        <w:rPr>
          <w:lang w:val="es-ES"/>
        </w:rPr>
      </w:pPr>
      <w:bookmarkStart w:id="8" w:name="_Toc107986367"/>
      <w:r>
        <w:rPr>
          <w:lang w:val="es-ES"/>
        </w:rPr>
        <w:t>2</w:t>
      </w:r>
      <w:r>
        <w:rPr>
          <w:lang w:val="es-ES"/>
        </w:rPr>
        <w:tab/>
        <w:t>Principio técnico</w:t>
      </w:r>
      <w:bookmarkEnd w:id="8"/>
    </w:p>
    <w:p w14:paraId="70D2833F" w14:textId="77777777" w:rsidR="0070275E" w:rsidRDefault="0070275E">
      <w:pPr>
        <w:rPr>
          <w:lang w:val="es-ES"/>
        </w:rPr>
      </w:pPr>
      <w:r>
        <w:rPr>
          <w:lang w:val="es-ES"/>
        </w:rPr>
        <w:t>La señal de RF que debe comprobarse se recibe mediante una antena directiva y se le somete a una conversión descendente hasta el nivel de FI. La señal de FI analógica se convierte en muestras de la señal digital. Esta señal digitalizada se convierte a su vez en banda base digital. A continuación, se aplica la transformada rápida de Fourier (TRF) para pasar del dominio del tiempo al dominio de la frecuencia. Normalmente esta medición se repite 10 000 veces con el fin de obtener 10 000 espectros.</w:t>
      </w:r>
    </w:p>
    <w:p w14:paraId="5701FAD3" w14:textId="77777777" w:rsidR="0070275E" w:rsidRDefault="0070275E">
      <w:pPr>
        <w:rPr>
          <w:lang w:val="es-ES"/>
        </w:rPr>
      </w:pPr>
      <w:r>
        <w:rPr>
          <w:lang w:val="es-ES"/>
        </w:rPr>
        <w:t xml:space="preserve">Este procedimiento descrito se repite en su totalidad para registrar señales de comparación. Cuando se trata de satélites no geoestacionarios, esto se realiza en el cielo siguiendo la huella dejada por el satélite ausente. En el caso de satélites geoestacionarios, es necesario que la antena de comprobación técnica se desplace ligeramente de la posición orbital. En ambos casos, las señales que resultan de la comparación se registran en el mismo entorno, incluido el ruido de la propia estación y eliminando el del satélite deseado. Estos 10 000 espectros que se utilizan para la comparación contienen el ruido pero no la señal del satélite. </w:t>
      </w:r>
    </w:p>
    <w:p w14:paraId="02006312" w14:textId="77777777" w:rsidR="0070275E" w:rsidRDefault="0070275E">
      <w:pPr>
        <w:rPr>
          <w:lang w:val="es-ES"/>
        </w:rPr>
      </w:pPr>
      <w:r>
        <w:rPr>
          <w:lang w:val="es-ES"/>
        </w:rPr>
        <w:t>En esta etapa del proceso, se pueden realizar procedimientos adicionales, por ejemplo, para eliminar, si procede, el desplazamiento causado por el efecto Doppler.</w:t>
      </w:r>
    </w:p>
    <w:p w14:paraId="63E56B06" w14:textId="77777777" w:rsidR="0070275E" w:rsidRDefault="0070275E">
      <w:pPr>
        <w:rPr>
          <w:lang w:val="es-ES"/>
        </w:rPr>
      </w:pPr>
      <w:r>
        <w:rPr>
          <w:lang w:val="es-ES"/>
        </w:rPr>
        <w:t>A continuación, se promedian los espectros de la señal deseada y de la señal de comparación, y se restan los valores lineales obtenidos. El resultado es un espectro de dfp de la emisión del satélite en cuestión, con una supresión del ruido del orden de, normalmente, 10 a 20 dB.</w:t>
      </w:r>
    </w:p>
    <w:p w14:paraId="7347BBF1" w14:textId="77777777" w:rsidR="0070275E" w:rsidRDefault="0070275E">
      <w:pPr>
        <w:rPr>
          <w:lang w:val="es-ES"/>
        </w:rPr>
      </w:pPr>
      <w:r>
        <w:rPr>
          <w:lang w:val="es-ES"/>
        </w:rPr>
        <w:t>Este método aprovecha el hecho de que la señal deseada contribuye con cada uno de los numerosos espectros para su aparición, mientras que el ruido en la mayoría de los espectros se cancela a sí mismo debido a sus propiedades estadísticas.</w:t>
      </w:r>
    </w:p>
    <w:p w14:paraId="2201F993" w14:textId="77777777" w:rsidR="0070275E" w:rsidRDefault="0070275E">
      <w:pPr>
        <w:rPr>
          <w:lang w:val="es-ES"/>
        </w:rPr>
      </w:pPr>
      <w:r>
        <w:rPr>
          <w:lang w:val="es-ES"/>
        </w:rPr>
        <w:t>Al restar a los espectros del satélite los espectros de comparación también se eliminan las fuentes de interferencia registradas con el ruido en ambas series de espectros.</w:t>
      </w:r>
    </w:p>
    <w:p w14:paraId="40D03AF8" w14:textId="77777777" w:rsidR="0070275E" w:rsidRDefault="0070275E">
      <w:pPr>
        <w:rPr>
          <w:lang w:val="es-ES"/>
        </w:rPr>
      </w:pPr>
      <w:r>
        <w:rPr>
          <w:lang w:val="es-ES"/>
        </w:rPr>
        <w:t>Aplicando un método correlativo verdadero se podría lograr suprimir aún más el ruido.</w:t>
      </w:r>
    </w:p>
    <w:p w14:paraId="0F730946" w14:textId="77777777" w:rsidR="0070275E" w:rsidRDefault="0070275E">
      <w:pPr>
        <w:pStyle w:val="Heading1"/>
        <w:rPr>
          <w:lang w:val="es-ES"/>
        </w:rPr>
      </w:pPr>
      <w:bookmarkStart w:id="9" w:name="_Toc107986368"/>
      <w:r>
        <w:rPr>
          <w:lang w:val="es-ES"/>
        </w:rPr>
        <w:t>3</w:t>
      </w:r>
      <w:r>
        <w:rPr>
          <w:lang w:val="es-ES"/>
        </w:rPr>
        <w:tab/>
        <w:t>Descripción del equipo y programa informáticos</w:t>
      </w:r>
      <w:bookmarkEnd w:id="9"/>
    </w:p>
    <w:p w14:paraId="4B37795A" w14:textId="77777777" w:rsidR="0070275E" w:rsidRDefault="0070275E">
      <w:pPr>
        <w:rPr>
          <w:lang w:val="es-ES"/>
        </w:rPr>
      </w:pPr>
      <w:r>
        <w:rPr>
          <w:lang w:val="es-ES"/>
        </w:rPr>
        <w:t>En la Fig. 1 se muestra el diagrama de bloques para la comprobación técnica por debajo del umbral mínimo de ruido.</w:t>
      </w:r>
    </w:p>
    <w:p w14:paraId="2A375101" w14:textId="77777777" w:rsidR="0070275E" w:rsidRDefault="0070275E">
      <w:pPr>
        <w:pStyle w:val="Heading2"/>
      </w:pPr>
      <w:bookmarkStart w:id="10" w:name="_Toc107986369"/>
      <w:r>
        <w:lastRenderedPageBreak/>
        <w:t>3.1</w:t>
      </w:r>
      <w:r>
        <w:tab/>
        <w:t>Equipo</w:t>
      </w:r>
      <w:bookmarkEnd w:id="10"/>
    </w:p>
    <w:p w14:paraId="272B6F01" w14:textId="77777777" w:rsidR="0070275E" w:rsidRDefault="0070275E">
      <w:pPr>
        <w:pStyle w:val="Figure"/>
      </w:pPr>
      <w:r>
        <w:object w:dxaOrig="9615" w:dyaOrig="4696" w14:anchorId="7A906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34.75pt" o:ole="" o:allowoverlap="f">
            <v:imagedata r:id="rId6" o:title=""/>
          </v:shape>
          <o:OLEObject Type="Embed" ProgID="CorelDraw.Graphic.12" ShapeID="_x0000_i1025" DrawAspect="Content" ObjectID="_1652627653" r:id="rId7"/>
        </w:object>
      </w:r>
    </w:p>
    <w:p w14:paraId="484E3275" w14:textId="77777777" w:rsidR="0070275E" w:rsidRDefault="0070275E">
      <w:pPr>
        <w:pStyle w:val="Normalaftertitle"/>
        <w:rPr>
          <w:lang w:val="es-ES"/>
        </w:rPr>
      </w:pPr>
      <w:r>
        <w:rPr>
          <w:lang w:val="es-ES"/>
        </w:rPr>
        <w:t>La diferencia entre las dos soluciones que muestra la Fig. 1 reside en la separación entre los equipos, es decir, en la solución 1 la conexión entre los diferentes bloques se realiza tras la conversión TRF; en la solución 2 la conexión se lleva a cabo antes de aplicar la TRF. Por consiguiente, el tipo de conexión que se utilice entre los bloques puede servir de criterio para escoger una u otra solución. Otros criterios pueden ser la disponibilidad comercial de los bloques de los componentes de equipos y la máxima banda de frecuencias que se desea comprobar.</w:t>
      </w:r>
    </w:p>
    <w:p w14:paraId="7AF29C13" w14:textId="77777777" w:rsidR="0070275E" w:rsidRDefault="0070275E">
      <w:pPr>
        <w:pStyle w:val="Heading2"/>
        <w:rPr>
          <w:lang w:val="es-ES"/>
        </w:rPr>
      </w:pPr>
      <w:bookmarkStart w:id="11" w:name="_Toc107986370"/>
      <w:r>
        <w:rPr>
          <w:lang w:val="es-ES"/>
        </w:rPr>
        <w:t xml:space="preserve">3.2 </w:t>
      </w:r>
      <w:r>
        <w:rPr>
          <w:lang w:val="es-ES"/>
        </w:rPr>
        <w:tab/>
        <w:t>Programa informático</w:t>
      </w:r>
      <w:bookmarkEnd w:id="11"/>
    </w:p>
    <w:p w14:paraId="485A827B" w14:textId="77777777" w:rsidR="0070275E" w:rsidRDefault="0070275E">
      <w:pPr>
        <w:rPr>
          <w:lang w:val="es-ES"/>
        </w:rPr>
      </w:pPr>
      <w:r>
        <w:rPr>
          <w:lang w:val="es-ES"/>
        </w:rPr>
        <w:t>El programa informático depende en gran medida de la solución de equipo seleccionada. Por lo tanto, en este apartado el enfoque se describe mejor con un ejemplo:</w:t>
      </w:r>
    </w:p>
    <w:p w14:paraId="534C9302" w14:textId="77777777" w:rsidR="0070275E" w:rsidRDefault="0070275E">
      <w:pPr>
        <w:rPr>
          <w:lang w:val="es-ES"/>
        </w:rPr>
      </w:pPr>
      <w:r>
        <w:rPr>
          <w:lang w:val="es-ES"/>
        </w:rPr>
        <w:t>Supóngase que se usa un convertidor A/D con una FI de 70 MHz, una velocidad de muestreo de 95 Mmuestras/s y un diezmado de media banda. Ello daría lugar, sin aplicar el diezmado, a una anchura de banda de:</w:t>
      </w:r>
    </w:p>
    <w:p w14:paraId="3BB083E7" w14:textId="77777777" w:rsidR="0070275E" w:rsidRDefault="0070275E">
      <w:pPr>
        <w:pStyle w:val="Equation"/>
        <w:rPr>
          <w:lang w:val="es-ES"/>
        </w:rPr>
      </w:pPr>
      <w:r>
        <w:rPr>
          <w:lang w:val="es-ES"/>
        </w:rPr>
        <w:tab/>
      </w:r>
      <w:r>
        <w:rPr>
          <w:lang w:val="es-ES"/>
        </w:rPr>
        <w:tab/>
        <w:t>0,4 </w:t>
      </w:r>
      <w:r>
        <w:rPr>
          <w:lang w:val="en-US"/>
        </w:rPr>
        <w:sym w:font="Symbol" w:char="F0B4"/>
      </w:r>
      <w:r>
        <w:rPr>
          <w:lang w:val="es-ES"/>
        </w:rPr>
        <w:t> 95 Mmuestras/s = 38 MHz</w:t>
      </w:r>
    </w:p>
    <w:p w14:paraId="7DC0F607" w14:textId="77777777" w:rsidR="0070275E" w:rsidRDefault="0070275E">
      <w:pPr>
        <w:rPr>
          <w:lang w:val="es-ES"/>
        </w:rPr>
      </w:pPr>
      <w:r>
        <w:rPr>
          <w:lang w:val="es-ES"/>
        </w:rPr>
        <w:t>Al diezmar por 4 se obtiene 95/4 = 23,75 Mmuestras/s y una anchura de banda de 38/4 = 9,5 MHz.</w:t>
      </w:r>
    </w:p>
    <w:p w14:paraId="6EAB64D3" w14:textId="77777777" w:rsidR="0070275E" w:rsidRDefault="0070275E">
      <w:pPr>
        <w:rPr>
          <w:lang w:val="es-ES"/>
        </w:rPr>
      </w:pPr>
      <w:r>
        <w:rPr>
          <w:lang w:val="es-ES"/>
        </w:rPr>
        <w:t>Muestreando la señal de entrada durante 10 min se obtiene:</w:t>
      </w:r>
    </w:p>
    <w:p w14:paraId="4047DD47" w14:textId="77777777" w:rsidR="0070275E" w:rsidRDefault="0070275E">
      <w:pPr>
        <w:pStyle w:val="Equation"/>
        <w:rPr>
          <w:lang w:val="es-ES"/>
        </w:rPr>
      </w:pPr>
      <w:r>
        <w:rPr>
          <w:lang w:val="es-ES"/>
        </w:rPr>
        <w:tab/>
      </w:r>
      <w:r>
        <w:rPr>
          <w:lang w:val="es-ES"/>
        </w:rPr>
        <w:tab/>
        <w:t>10 </w:t>
      </w:r>
      <w:r>
        <w:rPr>
          <w:lang w:val="en-US"/>
        </w:rPr>
        <w:sym w:font="Symbol" w:char="F0B4"/>
      </w:r>
      <w:r>
        <w:rPr>
          <w:lang w:val="es-ES"/>
        </w:rPr>
        <w:t> 60 </w:t>
      </w:r>
      <w:r>
        <w:rPr>
          <w:lang w:val="en-US"/>
        </w:rPr>
        <w:sym w:font="Symbol" w:char="F0B4"/>
      </w:r>
      <w:r>
        <w:rPr>
          <w:lang w:val="es-ES"/>
        </w:rPr>
        <w:t> 23,75 = 14 250 Mmuestras</w:t>
      </w:r>
    </w:p>
    <w:p w14:paraId="2000B28E" w14:textId="77777777" w:rsidR="0070275E" w:rsidRDefault="0070275E">
      <w:pPr>
        <w:rPr>
          <w:lang w:val="es-ES"/>
        </w:rPr>
      </w:pPr>
      <w:r>
        <w:rPr>
          <w:lang w:val="es-ES"/>
        </w:rPr>
        <w:t>Al aplicar una TRF de 16 384 puntos se obtienen 869 750 espectros diferentes que se pueden sumar para obtener el promedio.</w:t>
      </w:r>
    </w:p>
    <w:p w14:paraId="55CEA92F" w14:textId="77777777" w:rsidR="0070275E" w:rsidRDefault="0070275E">
      <w:pPr>
        <w:rPr>
          <w:lang w:val="es-ES"/>
        </w:rPr>
      </w:pPr>
      <w:r>
        <w:rPr>
          <w:lang w:val="es-ES"/>
        </w:rPr>
        <w:t xml:space="preserve">En este ejemplo se supone que hay suficiente RAM para almacenar la gran cantidad de datos muestreados, o que el procesamiento de la señal es lo suficientemente rápido como para trabajar en tiempo real. Si no se dispone de esa cantidad de RAM o de velocidad de procesamiento, el intervalo de 10 min se puede digitalizar en varias ráfagas de recopilación de datos y pausas. </w:t>
      </w:r>
    </w:p>
    <w:p w14:paraId="743D415E" w14:textId="77777777" w:rsidR="0070275E" w:rsidRDefault="0070275E">
      <w:pPr>
        <w:pStyle w:val="Heading1"/>
        <w:rPr>
          <w:lang w:val="es-ES"/>
        </w:rPr>
      </w:pPr>
      <w:bookmarkStart w:id="12" w:name="_Toc107986371"/>
      <w:r>
        <w:rPr>
          <w:lang w:val="es-ES"/>
        </w:rPr>
        <w:lastRenderedPageBreak/>
        <w:t>4</w:t>
      </w:r>
      <w:r>
        <w:rPr>
          <w:lang w:val="es-ES"/>
        </w:rPr>
        <w:tab/>
        <w:t>Estrategia de comprobación técnica</w:t>
      </w:r>
      <w:bookmarkEnd w:id="12"/>
    </w:p>
    <w:p w14:paraId="6D01B66C" w14:textId="77777777" w:rsidR="0070275E" w:rsidRDefault="0070275E">
      <w:pPr>
        <w:rPr>
          <w:lang w:val="es-ES"/>
        </w:rPr>
      </w:pPr>
      <w:r>
        <w:rPr>
          <w:lang w:val="es-ES"/>
        </w:rPr>
        <w:t>Normalmente la señal interferente es una emisión no deseada generada por una emisión en una frecuencia asignada. En ese caso, es esencial conocer las propiedades de dicha emisión.</w:t>
      </w:r>
    </w:p>
    <w:p w14:paraId="75C03010" w14:textId="77777777" w:rsidR="0070275E" w:rsidRDefault="0070275E">
      <w:pPr>
        <w:rPr>
          <w:lang w:val="es-ES"/>
        </w:rPr>
      </w:pPr>
      <w:r>
        <w:rPr>
          <w:lang w:val="es-ES"/>
        </w:rPr>
        <w:t>La estrategia de comprobación técnica depende en gran medida de los detalles técnicos de las tareas.</w:t>
      </w:r>
    </w:p>
    <w:p w14:paraId="6900C621" w14:textId="77777777" w:rsidR="0070275E" w:rsidRDefault="0070275E">
      <w:pPr>
        <w:rPr>
          <w:lang w:val="es-ES"/>
        </w:rPr>
      </w:pPr>
      <w:r>
        <w:rPr>
          <w:lang w:val="es-ES"/>
        </w:rPr>
        <w:t>Es necesario observar los criterios que se mencionan a continuación con el fin de obtener resultados satisfactorios:</w:t>
      </w:r>
    </w:p>
    <w:p w14:paraId="5DBDC49E" w14:textId="77777777" w:rsidR="0070275E" w:rsidRDefault="0070275E">
      <w:pPr>
        <w:rPr>
          <w:lang w:val="es-ES"/>
        </w:rPr>
      </w:pPr>
      <w:r>
        <w:rPr>
          <w:lang w:val="es-ES"/>
        </w:rPr>
        <w:t>Antes de dar inicio a cualquier campaña de comprobación técnica se debe calibrar la configuración del montaje de pruebas. El proceso de calibración se aplica a:</w:t>
      </w:r>
    </w:p>
    <w:p w14:paraId="542CB910" w14:textId="77777777" w:rsidR="0070275E" w:rsidRDefault="0070275E">
      <w:pPr>
        <w:pStyle w:val="enumlev1"/>
        <w:rPr>
          <w:lang w:val="es-ES"/>
        </w:rPr>
      </w:pPr>
      <w:r>
        <w:rPr>
          <w:lang w:val="es-ES"/>
        </w:rPr>
        <w:t>–</w:t>
      </w:r>
      <w:r>
        <w:rPr>
          <w:lang w:val="es-ES"/>
        </w:rPr>
        <w:tab/>
        <w:t>la RF;</w:t>
      </w:r>
    </w:p>
    <w:p w14:paraId="52C48895" w14:textId="77777777" w:rsidR="0070275E" w:rsidRDefault="0070275E">
      <w:pPr>
        <w:pStyle w:val="enumlev1"/>
        <w:rPr>
          <w:lang w:val="es-ES"/>
        </w:rPr>
      </w:pPr>
      <w:r>
        <w:rPr>
          <w:lang w:val="es-ES"/>
        </w:rPr>
        <w:t>–</w:t>
      </w:r>
      <w:r>
        <w:rPr>
          <w:lang w:val="es-ES"/>
        </w:rPr>
        <w:tab/>
        <w:t>la ganancia del sistema; y</w:t>
      </w:r>
    </w:p>
    <w:p w14:paraId="58B899F0" w14:textId="77777777" w:rsidR="0070275E" w:rsidRDefault="0070275E">
      <w:pPr>
        <w:pStyle w:val="enumlev1"/>
        <w:rPr>
          <w:lang w:val="es-ES"/>
        </w:rPr>
      </w:pPr>
      <w:r>
        <w:rPr>
          <w:lang w:val="es-ES"/>
        </w:rPr>
        <w:t>–</w:t>
      </w:r>
      <w:r>
        <w:rPr>
          <w:lang w:val="es-ES"/>
        </w:rPr>
        <w:tab/>
        <w:t>la respuesta en frecuencia del sistema.</w:t>
      </w:r>
    </w:p>
    <w:p w14:paraId="3CF675E9" w14:textId="77777777" w:rsidR="0070275E" w:rsidRDefault="0070275E">
      <w:pPr>
        <w:rPr>
          <w:lang w:val="es-ES"/>
        </w:rPr>
      </w:pPr>
      <w:r>
        <w:rPr>
          <w:lang w:val="es-ES"/>
        </w:rPr>
        <w:t>Para ello se utiliza una señal portadora, una fuente de ruido y, posiblemente, una fuente radioeléctrica astronómica, teniendo en cuenta las amplitudes adecuadas.</w:t>
      </w:r>
    </w:p>
    <w:p w14:paraId="561650CC" w14:textId="77777777" w:rsidR="0070275E" w:rsidRDefault="0070275E">
      <w:pPr>
        <w:rPr>
          <w:lang w:val="es-ES"/>
        </w:rPr>
      </w:pPr>
      <w:r>
        <w:rPr>
          <w:lang w:val="es-ES"/>
        </w:rPr>
        <w:t>Es necesario seleccionar cuidadosamente:</w:t>
      </w:r>
    </w:p>
    <w:p w14:paraId="31268431" w14:textId="77777777" w:rsidR="0070275E" w:rsidRDefault="0070275E">
      <w:pPr>
        <w:pStyle w:val="enumlev1"/>
        <w:rPr>
          <w:lang w:val="es-ES"/>
        </w:rPr>
      </w:pPr>
      <w:r>
        <w:rPr>
          <w:lang w:val="es-ES"/>
        </w:rPr>
        <w:t>–</w:t>
      </w:r>
      <w:r>
        <w:rPr>
          <w:lang w:val="es-ES"/>
        </w:rPr>
        <w:tab/>
        <w:t>la gama dinámica: es preciso evitar distorsiones; quizá convenga utilizar un filtro en los trayectos de RF o de FI para suprimir señales adyacentes intensas;</w:t>
      </w:r>
    </w:p>
    <w:p w14:paraId="2DAA1CBA" w14:textId="77777777" w:rsidR="0070275E" w:rsidRDefault="0070275E">
      <w:pPr>
        <w:pStyle w:val="enumlev1"/>
        <w:rPr>
          <w:lang w:val="es-ES"/>
        </w:rPr>
      </w:pPr>
      <w:r>
        <w:rPr>
          <w:lang w:val="es-ES"/>
        </w:rPr>
        <w:t>–</w:t>
      </w:r>
      <w:r>
        <w:rPr>
          <w:lang w:val="es-ES"/>
        </w:rPr>
        <w:tab/>
        <w:t>los instantes inicial y final de la comprobación técnica;</w:t>
      </w:r>
    </w:p>
    <w:p w14:paraId="721CC5A3" w14:textId="77777777" w:rsidR="0070275E" w:rsidRDefault="0070275E">
      <w:pPr>
        <w:pStyle w:val="enumlev1"/>
        <w:rPr>
          <w:lang w:val="es-ES"/>
        </w:rPr>
      </w:pPr>
      <w:r>
        <w:rPr>
          <w:lang w:val="es-ES"/>
        </w:rPr>
        <w:t>–</w:t>
      </w:r>
      <w:r>
        <w:rPr>
          <w:lang w:val="es-ES"/>
        </w:rPr>
        <w:tab/>
        <w:t>la amplitud que ha de reproducirse;</w:t>
      </w:r>
    </w:p>
    <w:p w14:paraId="54D6F5A6" w14:textId="77777777" w:rsidR="0070275E" w:rsidRDefault="0070275E">
      <w:pPr>
        <w:pStyle w:val="enumlev1"/>
        <w:rPr>
          <w:lang w:val="es-ES"/>
        </w:rPr>
      </w:pPr>
      <w:r>
        <w:rPr>
          <w:lang w:val="es-ES"/>
        </w:rPr>
        <w:t>–</w:t>
      </w:r>
      <w:r>
        <w:rPr>
          <w:lang w:val="es-ES"/>
        </w:rPr>
        <w:tab/>
        <w:t>la resolución en frecuencia;</w:t>
      </w:r>
    </w:p>
    <w:p w14:paraId="559ACFD3" w14:textId="77777777" w:rsidR="0070275E" w:rsidRDefault="0070275E">
      <w:pPr>
        <w:pStyle w:val="enumlev1"/>
        <w:rPr>
          <w:lang w:val="es-ES"/>
        </w:rPr>
      </w:pPr>
      <w:r>
        <w:rPr>
          <w:lang w:val="es-ES"/>
        </w:rPr>
        <w:t>–</w:t>
      </w:r>
      <w:r>
        <w:rPr>
          <w:lang w:val="es-ES"/>
        </w:rPr>
        <w:tab/>
        <w:t>el número de espectros promediados;</w:t>
      </w:r>
    </w:p>
    <w:p w14:paraId="2F23A86C" w14:textId="77777777" w:rsidR="0070275E" w:rsidRDefault="0070275E">
      <w:pPr>
        <w:pStyle w:val="enumlev1"/>
        <w:rPr>
          <w:lang w:val="es-ES"/>
        </w:rPr>
      </w:pPr>
      <w:r>
        <w:rPr>
          <w:lang w:val="es-ES"/>
        </w:rPr>
        <w:t>–</w:t>
      </w:r>
      <w:r>
        <w:rPr>
          <w:lang w:val="es-ES"/>
        </w:rPr>
        <w:tab/>
        <w:t>la eliminación del desplazamiento por efecto Doppler;</w:t>
      </w:r>
    </w:p>
    <w:p w14:paraId="0600F7C0" w14:textId="77777777" w:rsidR="0070275E" w:rsidRDefault="0070275E">
      <w:pPr>
        <w:pStyle w:val="enumlev1"/>
        <w:rPr>
          <w:lang w:val="es-ES"/>
        </w:rPr>
      </w:pPr>
      <w:r>
        <w:rPr>
          <w:lang w:val="es-ES"/>
        </w:rPr>
        <w:t>–</w:t>
      </w:r>
      <w:r>
        <w:rPr>
          <w:lang w:val="es-ES"/>
        </w:rPr>
        <w:tab/>
        <w:t>la temporización de la transmisión en ráfagas en caso de transmisiones AMDT, por ejemplo.</w:t>
      </w:r>
    </w:p>
    <w:p w14:paraId="6E2D4349" w14:textId="77777777" w:rsidR="0070275E" w:rsidRDefault="0070275E">
      <w:pPr>
        <w:rPr>
          <w:lang w:val="es-ES"/>
        </w:rPr>
      </w:pPr>
      <w:r>
        <w:rPr>
          <w:lang w:val="es-ES"/>
        </w:rPr>
        <w:t>Los parámetros mencionados anteriormente se han de poder ajustar mediante programas informáticos.</w:t>
      </w:r>
    </w:p>
    <w:p w14:paraId="597B2CBF" w14:textId="77777777" w:rsidR="0070275E" w:rsidRDefault="0070275E">
      <w:pPr>
        <w:rPr>
          <w:lang w:val="es-ES"/>
        </w:rPr>
      </w:pPr>
      <w:r>
        <w:rPr>
          <w:lang w:val="es-ES"/>
        </w:rPr>
        <w:t>Si se trata de satélites no geoestacionarios, deben escogerse las trayectorias orbitales de forma que no se vean afectadas por el sol, por la órbita de los satélites geoestacionarios (OSG') o por las trayectorias de otros satélites.</w:t>
      </w:r>
    </w:p>
    <w:p w14:paraId="65708482" w14:textId="77777777" w:rsidR="0070275E" w:rsidRDefault="0070275E">
      <w:pPr>
        <w:rPr>
          <w:lang w:val="es-ES"/>
        </w:rPr>
      </w:pPr>
      <w:r>
        <w:rPr>
          <w:lang w:val="es-ES"/>
        </w:rPr>
        <w:t>Para mejorar la sensibilidad se podrían considerar otros factores:</w:t>
      </w:r>
    </w:p>
    <w:p w14:paraId="2898695D" w14:textId="77777777" w:rsidR="0070275E" w:rsidRDefault="0070275E">
      <w:pPr>
        <w:pStyle w:val="enumlev1"/>
        <w:rPr>
          <w:lang w:val="es-ES"/>
        </w:rPr>
      </w:pPr>
      <w:r>
        <w:rPr>
          <w:lang w:val="es-ES"/>
        </w:rPr>
        <w:t>–</w:t>
      </w:r>
      <w:r>
        <w:rPr>
          <w:lang w:val="es-ES"/>
        </w:rPr>
        <w:tab/>
        <w:t>el registro de los espectros de comparación se debe realizar con el mismo ángulo de elevación a causa del ruido atmosférico;</w:t>
      </w:r>
    </w:p>
    <w:p w14:paraId="7A0ECB1B" w14:textId="77777777" w:rsidR="0070275E" w:rsidRDefault="0070275E">
      <w:pPr>
        <w:pStyle w:val="enumlev1"/>
        <w:rPr>
          <w:lang w:val="es-ES"/>
        </w:rPr>
      </w:pPr>
      <w:r>
        <w:rPr>
          <w:lang w:val="es-ES"/>
        </w:rPr>
        <w:t>–</w:t>
      </w:r>
      <w:r>
        <w:rPr>
          <w:lang w:val="es-ES"/>
        </w:rPr>
        <w:tab/>
        <w:t>la comprobación técnica nocturna evita que haya interferencia solar;</w:t>
      </w:r>
    </w:p>
    <w:p w14:paraId="2492BF19" w14:textId="77777777" w:rsidR="0070275E" w:rsidRDefault="0070275E">
      <w:pPr>
        <w:pStyle w:val="enumlev1"/>
        <w:rPr>
          <w:lang w:val="es-ES"/>
        </w:rPr>
      </w:pPr>
      <w:r>
        <w:rPr>
          <w:lang w:val="es-ES"/>
        </w:rPr>
        <w:t>–</w:t>
      </w:r>
      <w:r>
        <w:rPr>
          <w:lang w:val="es-ES"/>
        </w:rPr>
        <w:tab/>
        <w:t>la supresión del ruido se puede mejorar utilizando intervalos más cortos entre la obtención de los espectros de la interferencia y de comparación;</w:t>
      </w:r>
    </w:p>
    <w:p w14:paraId="2CB9F853" w14:textId="77777777" w:rsidR="0070275E" w:rsidRDefault="0070275E">
      <w:pPr>
        <w:pStyle w:val="enumlev1"/>
        <w:rPr>
          <w:lang w:val="es-ES"/>
        </w:rPr>
      </w:pPr>
      <w:r>
        <w:rPr>
          <w:lang w:val="es-ES"/>
        </w:rPr>
        <w:t>–</w:t>
      </w:r>
      <w:r>
        <w:rPr>
          <w:lang w:val="es-ES"/>
        </w:rPr>
        <w:tab/>
        <w:t>en caso de transmisiones AMDT, los espectros en comparación se pueden obtener durante los intervalos entre ráfagas.</w:t>
      </w:r>
    </w:p>
    <w:p w14:paraId="7578649C" w14:textId="77777777" w:rsidR="0070275E" w:rsidRDefault="0070275E">
      <w:pPr>
        <w:pStyle w:val="AnnexNoTitle"/>
        <w:rPr>
          <w:lang w:val="es-ES"/>
        </w:rPr>
      </w:pPr>
      <w:bookmarkStart w:id="13" w:name="_Toc107986372"/>
      <w:r>
        <w:rPr>
          <w:lang w:val="es-ES"/>
        </w:rPr>
        <w:lastRenderedPageBreak/>
        <w:t>Anexo 3</w:t>
      </w:r>
      <w:r>
        <w:rPr>
          <w:u w:val="single"/>
          <w:lang w:val="es-ES"/>
        </w:rPr>
        <w:br/>
      </w:r>
      <w:r>
        <w:rPr>
          <w:u w:val="single"/>
          <w:lang w:val="es-ES"/>
        </w:rPr>
        <w:br/>
      </w:r>
      <w:r>
        <w:rPr>
          <w:lang w:val="es-ES"/>
        </w:rPr>
        <w:t>Presentación de los resultados</w:t>
      </w:r>
      <w:bookmarkEnd w:id="13"/>
    </w:p>
    <w:p w14:paraId="26B8BA6C" w14:textId="77777777" w:rsidR="0070275E" w:rsidRDefault="0070275E">
      <w:pPr>
        <w:rPr>
          <w:lang w:val="es-ES"/>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81"/>
        <w:gridCol w:w="2814"/>
        <w:gridCol w:w="2252"/>
        <w:gridCol w:w="2392"/>
      </w:tblGrid>
      <w:tr w:rsidR="0070275E" w:rsidRPr="00B3519A" w14:paraId="4DE16C87" w14:textId="77777777">
        <w:trPr>
          <w:jc w:val="center"/>
        </w:trPr>
        <w:tc>
          <w:tcPr>
            <w:tcW w:w="9709" w:type="dxa"/>
            <w:gridSpan w:val="4"/>
            <w:tcBorders>
              <w:top w:val="single" w:sz="4" w:space="0" w:color="auto"/>
              <w:left w:val="single" w:sz="4" w:space="0" w:color="auto"/>
              <w:bottom w:val="single" w:sz="4" w:space="0" w:color="auto"/>
              <w:right w:val="single" w:sz="4" w:space="0" w:color="auto"/>
            </w:tcBorders>
          </w:tcPr>
          <w:p w14:paraId="17D47D8E" w14:textId="77777777" w:rsidR="0070275E" w:rsidRDefault="0070275E">
            <w:pPr>
              <w:pStyle w:val="Tablehead"/>
              <w:spacing w:before="40" w:after="40"/>
              <w:rPr>
                <w:lang w:val="es-ES"/>
              </w:rPr>
            </w:pPr>
            <w:r>
              <w:rPr>
                <w:lang w:val="es-ES"/>
              </w:rPr>
              <w:t>Comprobación técnica de las emisiones no deseadas procedentes de</w:t>
            </w:r>
            <w:r>
              <w:rPr>
                <w:lang w:val="es-ES"/>
              </w:rPr>
              <w:br/>
              <w:t>estaciones espaciales para proteger el SRA</w:t>
            </w:r>
          </w:p>
        </w:tc>
      </w:tr>
      <w:tr w:rsidR="0070275E" w14:paraId="0484E040" w14:textId="77777777">
        <w:trPr>
          <w:jc w:val="center"/>
        </w:trPr>
        <w:tc>
          <w:tcPr>
            <w:tcW w:w="2197" w:type="dxa"/>
            <w:tcBorders>
              <w:top w:val="single" w:sz="4" w:space="0" w:color="auto"/>
              <w:left w:val="single" w:sz="4" w:space="0" w:color="auto"/>
              <w:bottom w:val="single" w:sz="4" w:space="0" w:color="auto"/>
              <w:right w:val="nil"/>
            </w:tcBorders>
          </w:tcPr>
          <w:p w14:paraId="5C0D5CDE" w14:textId="77777777" w:rsidR="0070275E" w:rsidRDefault="0070275E">
            <w:pPr>
              <w:pStyle w:val="Tabletext"/>
              <w:jc w:val="left"/>
              <w:rPr>
                <w:b/>
                <w:bCs/>
                <w:lang w:val="es-ES"/>
              </w:rPr>
            </w:pPr>
            <w:r>
              <w:rPr>
                <w:b/>
                <w:bCs/>
                <w:lang w:val="es-ES"/>
              </w:rPr>
              <w:t>Estación de comprobación técnica</w:t>
            </w:r>
          </w:p>
        </w:tc>
        <w:tc>
          <w:tcPr>
            <w:tcW w:w="2835" w:type="dxa"/>
            <w:tcBorders>
              <w:top w:val="single" w:sz="4" w:space="0" w:color="auto"/>
              <w:left w:val="nil"/>
              <w:bottom w:val="single" w:sz="4" w:space="0" w:color="auto"/>
            </w:tcBorders>
          </w:tcPr>
          <w:p w14:paraId="07B0AB16" w14:textId="77777777" w:rsidR="0070275E" w:rsidRDefault="0070275E">
            <w:pPr>
              <w:pStyle w:val="Tabletext"/>
              <w:jc w:val="left"/>
              <w:rPr>
                <w:lang w:val="es-ES"/>
              </w:rPr>
            </w:pPr>
            <w:r>
              <w:rPr>
                <w:lang w:val="es-ES"/>
              </w:rPr>
              <w:t>{nombre}</w:t>
            </w:r>
          </w:p>
        </w:tc>
        <w:tc>
          <w:tcPr>
            <w:tcW w:w="2268" w:type="dxa"/>
            <w:tcBorders>
              <w:top w:val="single" w:sz="4" w:space="0" w:color="auto"/>
              <w:bottom w:val="single" w:sz="4" w:space="0" w:color="auto"/>
              <w:right w:val="nil"/>
            </w:tcBorders>
          </w:tcPr>
          <w:p w14:paraId="1FA016D4" w14:textId="77777777" w:rsidR="0070275E" w:rsidRDefault="0070275E">
            <w:pPr>
              <w:pStyle w:val="Tabletext"/>
              <w:jc w:val="left"/>
              <w:rPr>
                <w:b/>
                <w:lang w:val="es-ES"/>
              </w:rPr>
            </w:pPr>
            <w:r>
              <w:rPr>
                <w:b/>
                <w:lang w:val="es-ES"/>
              </w:rPr>
              <w:t>Administración</w:t>
            </w:r>
          </w:p>
        </w:tc>
        <w:tc>
          <w:tcPr>
            <w:tcW w:w="2409" w:type="dxa"/>
            <w:tcBorders>
              <w:top w:val="single" w:sz="4" w:space="0" w:color="auto"/>
              <w:left w:val="nil"/>
              <w:bottom w:val="single" w:sz="4" w:space="0" w:color="auto"/>
              <w:right w:val="single" w:sz="4" w:space="0" w:color="auto"/>
            </w:tcBorders>
          </w:tcPr>
          <w:p w14:paraId="5B988075" w14:textId="77777777" w:rsidR="0070275E" w:rsidRDefault="0070275E">
            <w:pPr>
              <w:pStyle w:val="Tabletext"/>
              <w:jc w:val="left"/>
              <w:rPr>
                <w:lang w:val="es-ES"/>
              </w:rPr>
            </w:pPr>
            <w:r>
              <w:rPr>
                <w:lang w:val="es-ES"/>
              </w:rPr>
              <w:t>{nombre}</w:t>
            </w:r>
          </w:p>
        </w:tc>
      </w:tr>
      <w:tr w:rsidR="0070275E" w14:paraId="558138FC" w14:textId="77777777">
        <w:trPr>
          <w:jc w:val="center"/>
        </w:trPr>
        <w:tc>
          <w:tcPr>
            <w:tcW w:w="2197" w:type="dxa"/>
            <w:tcBorders>
              <w:top w:val="single" w:sz="4" w:space="0" w:color="auto"/>
              <w:left w:val="single" w:sz="4" w:space="0" w:color="auto"/>
              <w:bottom w:val="single" w:sz="6" w:space="0" w:color="auto"/>
              <w:right w:val="nil"/>
            </w:tcBorders>
          </w:tcPr>
          <w:p w14:paraId="789B9F42" w14:textId="77777777" w:rsidR="0070275E" w:rsidRDefault="0070275E">
            <w:pPr>
              <w:pStyle w:val="Tabletext"/>
              <w:jc w:val="left"/>
              <w:rPr>
                <w:b/>
                <w:bCs/>
                <w:lang w:val="es-ES"/>
              </w:rPr>
            </w:pPr>
            <w:r>
              <w:rPr>
                <w:b/>
                <w:bCs/>
                <w:lang w:val="es-ES"/>
              </w:rPr>
              <w:t>Ubicación (latitud – longitud – sistema de proyección)</w:t>
            </w:r>
          </w:p>
        </w:tc>
        <w:tc>
          <w:tcPr>
            <w:tcW w:w="2835" w:type="dxa"/>
            <w:tcBorders>
              <w:top w:val="single" w:sz="4" w:space="0" w:color="auto"/>
              <w:left w:val="nil"/>
              <w:bottom w:val="single" w:sz="6" w:space="0" w:color="auto"/>
            </w:tcBorders>
          </w:tcPr>
          <w:p w14:paraId="0539A708" w14:textId="77777777" w:rsidR="0070275E" w:rsidRDefault="0070275E">
            <w:pPr>
              <w:pStyle w:val="Tabletext"/>
              <w:jc w:val="left"/>
              <w:rPr>
                <w:lang w:val="es-ES"/>
              </w:rPr>
            </w:pPr>
            <w:r>
              <w:rPr>
                <w:lang w:val="es-ES"/>
              </w:rPr>
              <w:t>{coordenadas}</w:t>
            </w:r>
          </w:p>
        </w:tc>
        <w:tc>
          <w:tcPr>
            <w:tcW w:w="2268" w:type="dxa"/>
            <w:tcBorders>
              <w:top w:val="single" w:sz="4" w:space="0" w:color="auto"/>
              <w:bottom w:val="single" w:sz="6" w:space="0" w:color="auto"/>
              <w:right w:val="nil"/>
            </w:tcBorders>
          </w:tcPr>
          <w:p w14:paraId="0FC9A1B8" w14:textId="77777777" w:rsidR="0070275E" w:rsidRDefault="0070275E">
            <w:pPr>
              <w:pStyle w:val="Tabletext"/>
              <w:jc w:val="left"/>
              <w:rPr>
                <w:b/>
                <w:bCs/>
                <w:lang w:val="es-ES"/>
              </w:rPr>
            </w:pPr>
            <w:r>
              <w:rPr>
                <w:b/>
                <w:bCs/>
                <w:lang w:val="es-ES"/>
              </w:rPr>
              <w:t>Nombre del responsable de la medición</w:t>
            </w:r>
          </w:p>
        </w:tc>
        <w:tc>
          <w:tcPr>
            <w:tcW w:w="2409" w:type="dxa"/>
            <w:tcBorders>
              <w:top w:val="single" w:sz="4" w:space="0" w:color="auto"/>
              <w:left w:val="nil"/>
              <w:bottom w:val="single" w:sz="6" w:space="0" w:color="auto"/>
              <w:right w:val="single" w:sz="4" w:space="0" w:color="auto"/>
            </w:tcBorders>
          </w:tcPr>
          <w:p w14:paraId="454DD215" w14:textId="77777777" w:rsidR="0070275E" w:rsidRDefault="0070275E">
            <w:pPr>
              <w:pStyle w:val="Tabletext"/>
              <w:jc w:val="left"/>
              <w:rPr>
                <w:lang w:val="es-ES"/>
              </w:rPr>
            </w:pPr>
            <w:r>
              <w:rPr>
                <w:lang w:val="es-ES"/>
              </w:rPr>
              <w:t>{nombre}</w:t>
            </w:r>
          </w:p>
        </w:tc>
      </w:tr>
      <w:tr w:rsidR="0070275E" w14:paraId="16A79323" w14:textId="77777777">
        <w:trPr>
          <w:jc w:val="center"/>
        </w:trPr>
        <w:tc>
          <w:tcPr>
            <w:tcW w:w="2197" w:type="dxa"/>
            <w:tcBorders>
              <w:top w:val="single" w:sz="6" w:space="0" w:color="auto"/>
              <w:left w:val="single" w:sz="4" w:space="0" w:color="auto"/>
              <w:right w:val="nil"/>
            </w:tcBorders>
          </w:tcPr>
          <w:p w14:paraId="5973EEB7" w14:textId="77777777" w:rsidR="0070275E" w:rsidRDefault="0070275E">
            <w:pPr>
              <w:pStyle w:val="Tabletext"/>
              <w:jc w:val="left"/>
              <w:rPr>
                <w:b/>
                <w:bCs/>
                <w:lang w:val="es-ES"/>
              </w:rPr>
            </w:pPr>
            <w:r>
              <w:rPr>
                <w:b/>
                <w:bCs/>
                <w:lang w:val="es-ES"/>
              </w:rPr>
              <w:t>Fecha de la medición (UTC)</w:t>
            </w:r>
          </w:p>
        </w:tc>
        <w:tc>
          <w:tcPr>
            <w:tcW w:w="2835" w:type="dxa"/>
            <w:tcBorders>
              <w:top w:val="single" w:sz="6" w:space="0" w:color="auto"/>
              <w:left w:val="nil"/>
            </w:tcBorders>
          </w:tcPr>
          <w:p w14:paraId="4F99D425" w14:textId="77777777" w:rsidR="0070275E" w:rsidRDefault="0070275E">
            <w:pPr>
              <w:pStyle w:val="Tabletext"/>
              <w:jc w:val="left"/>
              <w:rPr>
                <w:lang w:val="es-ES"/>
              </w:rPr>
            </w:pPr>
            <w:r>
              <w:rPr>
                <w:lang w:val="es-ES"/>
              </w:rPr>
              <w:t>{día/mes/año}</w:t>
            </w:r>
          </w:p>
          <w:p w14:paraId="5B6C7E55" w14:textId="77777777" w:rsidR="0070275E" w:rsidRDefault="0070275E">
            <w:pPr>
              <w:pStyle w:val="Tabletext"/>
              <w:jc w:val="left"/>
              <w:rPr>
                <w:lang w:val="es-ES"/>
              </w:rPr>
            </w:pPr>
          </w:p>
        </w:tc>
        <w:tc>
          <w:tcPr>
            <w:tcW w:w="2268" w:type="dxa"/>
            <w:tcBorders>
              <w:top w:val="single" w:sz="6" w:space="0" w:color="auto"/>
              <w:right w:val="nil"/>
            </w:tcBorders>
          </w:tcPr>
          <w:p w14:paraId="6C377C7C" w14:textId="77777777" w:rsidR="0070275E" w:rsidRDefault="0070275E">
            <w:pPr>
              <w:pStyle w:val="Tabletext"/>
              <w:jc w:val="left"/>
              <w:rPr>
                <w:b/>
                <w:bCs/>
                <w:lang w:val="es-ES"/>
              </w:rPr>
            </w:pPr>
            <w:r>
              <w:rPr>
                <w:b/>
                <w:bCs/>
                <w:lang w:val="es-ES"/>
              </w:rPr>
              <w:t>Datos de contacto (teléfono, fax, correo</w:t>
            </w:r>
            <w:r>
              <w:rPr>
                <w:b/>
                <w:bCs/>
                <w:lang w:val="es-ES"/>
              </w:rPr>
              <w:noBreakHyphen/>
              <w:t>e)</w:t>
            </w:r>
          </w:p>
        </w:tc>
        <w:tc>
          <w:tcPr>
            <w:tcW w:w="2409" w:type="dxa"/>
            <w:tcBorders>
              <w:top w:val="single" w:sz="6" w:space="0" w:color="auto"/>
              <w:left w:val="nil"/>
              <w:right w:val="single" w:sz="4" w:space="0" w:color="auto"/>
            </w:tcBorders>
          </w:tcPr>
          <w:p w14:paraId="27AF99AF" w14:textId="77777777" w:rsidR="0070275E" w:rsidRDefault="0070275E">
            <w:pPr>
              <w:pStyle w:val="Tabletext"/>
              <w:jc w:val="left"/>
              <w:rPr>
                <w:lang w:val="es-ES"/>
              </w:rPr>
            </w:pPr>
            <w:r>
              <w:rPr>
                <w:lang w:val="es-ES"/>
              </w:rPr>
              <w:t>teléfono: ... / fax: ... / correo</w:t>
            </w:r>
            <w:r>
              <w:rPr>
                <w:lang w:val="es-ES"/>
              </w:rPr>
              <w:noBreakHyphen/>
              <w:t>e: ...@...}</w:t>
            </w:r>
          </w:p>
        </w:tc>
      </w:tr>
      <w:tr w:rsidR="0070275E" w14:paraId="06DA7DB6" w14:textId="77777777">
        <w:trPr>
          <w:jc w:val="center"/>
        </w:trPr>
        <w:tc>
          <w:tcPr>
            <w:tcW w:w="2197" w:type="dxa"/>
            <w:tcBorders>
              <w:left w:val="single" w:sz="4" w:space="0" w:color="auto"/>
              <w:bottom w:val="single" w:sz="4" w:space="0" w:color="auto"/>
              <w:right w:val="nil"/>
            </w:tcBorders>
          </w:tcPr>
          <w:p w14:paraId="35C460E9" w14:textId="77777777" w:rsidR="0070275E" w:rsidRDefault="0070275E">
            <w:pPr>
              <w:pStyle w:val="Tabletext"/>
              <w:jc w:val="left"/>
              <w:rPr>
                <w:b/>
                <w:bCs/>
                <w:lang w:val="es-ES"/>
              </w:rPr>
            </w:pPr>
            <w:r>
              <w:rPr>
                <w:b/>
                <w:bCs/>
                <w:lang w:val="es-ES"/>
              </w:rPr>
              <w:t>Calidad de la estación</w:t>
            </w:r>
          </w:p>
        </w:tc>
        <w:tc>
          <w:tcPr>
            <w:tcW w:w="2835" w:type="dxa"/>
            <w:tcBorders>
              <w:left w:val="nil"/>
              <w:bottom w:val="single" w:sz="4" w:space="0" w:color="auto"/>
            </w:tcBorders>
          </w:tcPr>
          <w:p w14:paraId="49C69127" w14:textId="77777777" w:rsidR="0070275E" w:rsidRDefault="0070275E">
            <w:pPr>
              <w:pStyle w:val="Tabletext"/>
              <w:jc w:val="left"/>
              <w:rPr>
                <w:lang w:val="es-ES"/>
              </w:rPr>
            </w:pPr>
            <w:r>
              <w:rPr>
                <w:lang w:val="es-ES"/>
              </w:rPr>
              <w:t>{factor de calidad de la estación terrena de comprobación técnica}</w:t>
            </w:r>
          </w:p>
        </w:tc>
        <w:tc>
          <w:tcPr>
            <w:tcW w:w="2268" w:type="dxa"/>
            <w:tcBorders>
              <w:bottom w:val="single" w:sz="4" w:space="0" w:color="auto"/>
              <w:right w:val="nil"/>
            </w:tcBorders>
          </w:tcPr>
          <w:p w14:paraId="61BB5C15" w14:textId="77777777" w:rsidR="0070275E" w:rsidRDefault="0070275E">
            <w:pPr>
              <w:pStyle w:val="Tabletext"/>
              <w:jc w:val="left"/>
              <w:rPr>
                <w:b/>
                <w:bCs/>
                <w:lang w:val="es-ES"/>
              </w:rPr>
            </w:pPr>
            <w:r>
              <w:rPr>
                <w:b/>
                <w:bCs/>
                <w:lang w:val="es-ES"/>
              </w:rPr>
              <w:t>Referencias</w:t>
            </w:r>
          </w:p>
        </w:tc>
        <w:tc>
          <w:tcPr>
            <w:tcW w:w="2409" w:type="dxa"/>
            <w:tcBorders>
              <w:left w:val="nil"/>
              <w:bottom w:val="single" w:sz="4" w:space="0" w:color="auto"/>
              <w:right w:val="single" w:sz="4" w:space="0" w:color="auto"/>
            </w:tcBorders>
          </w:tcPr>
          <w:p w14:paraId="6BC88671" w14:textId="77777777" w:rsidR="0070275E" w:rsidRDefault="0070275E">
            <w:pPr>
              <w:pStyle w:val="Tabletext"/>
              <w:jc w:val="left"/>
              <w:rPr>
                <w:sz w:val="18"/>
                <w:lang w:val="es-ES"/>
              </w:rPr>
            </w:pPr>
          </w:p>
        </w:tc>
      </w:tr>
    </w:tbl>
    <w:p w14:paraId="07156EE3" w14:textId="77777777" w:rsidR="0070275E" w:rsidRDefault="0070275E">
      <w:pPr>
        <w:rPr>
          <w:lang w:val="es-ES"/>
        </w:rPr>
      </w:pPr>
    </w:p>
    <w:tbl>
      <w:tblPr>
        <w:tblW w:w="9639" w:type="dxa"/>
        <w:tblLayout w:type="fixed"/>
        <w:tblCellMar>
          <w:left w:w="70" w:type="dxa"/>
          <w:right w:w="70" w:type="dxa"/>
        </w:tblCellMar>
        <w:tblLook w:val="0000" w:firstRow="0" w:lastRow="0" w:firstColumn="0" w:lastColumn="0" w:noHBand="0" w:noVBand="0"/>
      </w:tblPr>
      <w:tblGrid>
        <w:gridCol w:w="4009"/>
        <w:gridCol w:w="2815"/>
        <w:gridCol w:w="2815"/>
      </w:tblGrid>
      <w:tr w:rsidR="0070275E" w:rsidRPr="00B3519A" w14:paraId="5BED0449" w14:textId="77777777">
        <w:trPr>
          <w:trHeight w:val="567"/>
        </w:trPr>
        <w:tc>
          <w:tcPr>
            <w:tcW w:w="9709" w:type="dxa"/>
            <w:gridSpan w:val="3"/>
            <w:tcBorders>
              <w:top w:val="single" w:sz="4" w:space="0" w:color="auto"/>
              <w:left w:val="single" w:sz="4" w:space="0" w:color="auto"/>
              <w:bottom w:val="single" w:sz="4" w:space="0" w:color="auto"/>
              <w:right w:val="single" w:sz="4" w:space="0" w:color="auto"/>
            </w:tcBorders>
            <w:vAlign w:val="center"/>
          </w:tcPr>
          <w:p w14:paraId="5C4B9DAE" w14:textId="77777777" w:rsidR="0070275E" w:rsidRDefault="0070275E">
            <w:pPr>
              <w:pStyle w:val="Heading2"/>
              <w:spacing w:before="40" w:after="40"/>
              <w:jc w:val="center"/>
              <w:rPr>
                <w:b w:val="0"/>
                <w:bCs/>
                <w:lang w:val="es-ES"/>
              </w:rPr>
            </w:pPr>
            <w:bookmarkStart w:id="14" w:name="_Toc107986373"/>
            <w:r>
              <w:rPr>
                <w:sz w:val="22"/>
                <w:lang w:val="es-ES"/>
              </w:rPr>
              <w:t>Medición de los resultados (e incertidumbres conexas)</w:t>
            </w:r>
            <w:bookmarkEnd w:id="14"/>
          </w:p>
        </w:tc>
      </w:tr>
      <w:tr w:rsidR="0070275E" w:rsidRPr="00B3519A" w14:paraId="6F48426B" w14:textId="77777777">
        <w:tc>
          <w:tcPr>
            <w:tcW w:w="4039" w:type="dxa"/>
            <w:tcBorders>
              <w:top w:val="single" w:sz="4" w:space="0" w:color="auto"/>
              <w:left w:val="single" w:sz="4" w:space="0" w:color="auto"/>
              <w:bottom w:val="single" w:sz="6" w:space="0" w:color="auto"/>
              <w:right w:val="single" w:sz="6" w:space="0" w:color="auto"/>
            </w:tcBorders>
          </w:tcPr>
          <w:p w14:paraId="2ECA49D3" w14:textId="77777777" w:rsidR="0070275E" w:rsidRDefault="0070275E">
            <w:pPr>
              <w:pStyle w:val="Tabletext"/>
              <w:jc w:val="left"/>
              <w:rPr>
                <w:lang w:val="es-ES"/>
              </w:rPr>
            </w:pPr>
            <w:r>
              <w:rPr>
                <w:lang w:val="es-ES"/>
              </w:rPr>
              <w:t>dfp</w:t>
            </w:r>
            <w:r>
              <w:rPr>
                <w:vertAlign w:val="subscript"/>
                <w:lang w:val="es-ES"/>
              </w:rPr>
              <w:t>RBW</w:t>
            </w:r>
            <w:r>
              <w:rPr>
                <w:lang w:val="es-ES"/>
              </w:rPr>
              <w:t xml:space="preserve"> (dB(W/m</w:t>
            </w:r>
            <w:r>
              <w:rPr>
                <w:vertAlign w:val="superscript"/>
                <w:lang w:val="es-ES"/>
              </w:rPr>
              <w:t>2</w:t>
            </w:r>
            <w:r>
              <w:rPr>
                <w:lang w:val="es-ES"/>
              </w:rPr>
              <w:t>) en … kHz o MHz)</w:t>
            </w:r>
          </w:p>
        </w:tc>
        <w:tc>
          <w:tcPr>
            <w:tcW w:w="2835" w:type="dxa"/>
            <w:tcBorders>
              <w:top w:val="single" w:sz="4" w:space="0" w:color="auto"/>
              <w:left w:val="single" w:sz="6" w:space="0" w:color="auto"/>
              <w:bottom w:val="single" w:sz="6" w:space="0" w:color="auto"/>
            </w:tcBorders>
          </w:tcPr>
          <w:p w14:paraId="217EED4F" w14:textId="77777777" w:rsidR="0070275E" w:rsidRDefault="0070275E">
            <w:pPr>
              <w:pStyle w:val="Tabletext"/>
              <w:jc w:val="left"/>
              <w:rPr>
                <w:lang w:val="es-ES"/>
              </w:rPr>
            </w:pPr>
            <w:r>
              <w:rPr>
                <w:lang w:val="es-ES"/>
              </w:rPr>
              <w:t>{valor}</w:t>
            </w:r>
          </w:p>
        </w:tc>
        <w:tc>
          <w:tcPr>
            <w:tcW w:w="2835" w:type="dxa"/>
            <w:tcBorders>
              <w:top w:val="single" w:sz="4" w:space="0" w:color="auto"/>
              <w:left w:val="single" w:sz="4" w:space="0" w:color="auto"/>
              <w:bottom w:val="single" w:sz="6" w:space="0" w:color="auto"/>
              <w:right w:val="single" w:sz="4" w:space="0" w:color="auto"/>
            </w:tcBorders>
          </w:tcPr>
          <w:p w14:paraId="1D62B862" w14:textId="77777777" w:rsidR="0070275E" w:rsidRDefault="0070275E">
            <w:pPr>
              <w:pStyle w:val="Tabletext"/>
              <w:jc w:val="left"/>
              <w:rPr>
                <w:lang w:val="es-ES"/>
              </w:rPr>
            </w:pPr>
            <w:r>
              <w:rPr>
                <w:lang w:val="es-ES"/>
              </w:rPr>
              <w:t>Incertidumbre ampliada de la medición – ejemplo: 2 ó 3 dB</w:t>
            </w:r>
          </w:p>
        </w:tc>
      </w:tr>
      <w:tr w:rsidR="0070275E" w:rsidRPr="00B3519A" w14:paraId="60240830" w14:textId="77777777">
        <w:tc>
          <w:tcPr>
            <w:tcW w:w="4039" w:type="dxa"/>
            <w:tcBorders>
              <w:top w:val="single" w:sz="6" w:space="0" w:color="auto"/>
              <w:left w:val="single" w:sz="4" w:space="0" w:color="auto"/>
              <w:bottom w:val="single" w:sz="6" w:space="0" w:color="auto"/>
              <w:right w:val="single" w:sz="6" w:space="0" w:color="auto"/>
            </w:tcBorders>
          </w:tcPr>
          <w:p w14:paraId="4228F344" w14:textId="77777777" w:rsidR="0070275E" w:rsidRDefault="0070275E">
            <w:pPr>
              <w:pStyle w:val="Tabletext"/>
              <w:jc w:val="left"/>
              <w:rPr>
                <w:lang w:val="es-ES"/>
              </w:rPr>
            </w:pPr>
            <w:r>
              <w:rPr>
                <w:lang w:val="es-ES"/>
              </w:rPr>
              <w:t>Frecuencia (MHz)</w:t>
            </w:r>
          </w:p>
        </w:tc>
        <w:tc>
          <w:tcPr>
            <w:tcW w:w="2835" w:type="dxa"/>
            <w:tcBorders>
              <w:top w:val="single" w:sz="6" w:space="0" w:color="auto"/>
              <w:left w:val="single" w:sz="6" w:space="0" w:color="auto"/>
              <w:bottom w:val="single" w:sz="6" w:space="0" w:color="auto"/>
            </w:tcBorders>
          </w:tcPr>
          <w:p w14:paraId="38093CDD" w14:textId="77777777" w:rsidR="0070275E" w:rsidRDefault="0070275E">
            <w:pPr>
              <w:pStyle w:val="Tabletext"/>
              <w:jc w:val="left"/>
              <w:rPr>
                <w:lang w:val="es-ES"/>
              </w:rPr>
            </w:pPr>
            <w:r>
              <w:rPr>
                <w:lang w:val="es-ES"/>
              </w:rPr>
              <w:t>{valor}</w:t>
            </w:r>
          </w:p>
        </w:tc>
        <w:tc>
          <w:tcPr>
            <w:tcW w:w="2835" w:type="dxa"/>
            <w:tcBorders>
              <w:top w:val="single" w:sz="6" w:space="0" w:color="auto"/>
              <w:left w:val="single" w:sz="4" w:space="0" w:color="auto"/>
              <w:bottom w:val="single" w:sz="6" w:space="0" w:color="auto"/>
              <w:right w:val="single" w:sz="4" w:space="0" w:color="auto"/>
            </w:tcBorders>
          </w:tcPr>
          <w:p w14:paraId="5570B6DC" w14:textId="77777777" w:rsidR="0070275E" w:rsidRDefault="0070275E">
            <w:pPr>
              <w:pStyle w:val="Tabletext"/>
              <w:jc w:val="left"/>
              <w:rPr>
                <w:lang w:val="es-ES"/>
              </w:rPr>
            </w:pPr>
            <w:r>
              <w:rPr>
                <w:lang w:val="es-ES"/>
              </w:rPr>
              <w:t>Incertidumbre ampliada de la medición – ejemplo: 10</w:t>
            </w:r>
            <w:r>
              <w:rPr>
                <w:vertAlign w:val="superscript"/>
                <w:lang w:val="es-ES"/>
              </w:rPr>
              <w:t>–7</w:t>
            </w:r>
          </w:p>
        </w:tc>
      </w:tr>
      <w:tr w:rsidR="0070275E" w:rsidRPr="00B3519A" w14:paraId="4F6C686C" w14:textId="77777777">
        <w:tc>
          <w:tcPr>
            <w:tcW w:w="4039" w:type="dxa"/>
            <w:tcBorders>
              <w:top w:val="single" w:sz="6" w:space="0" w:color="auto"/>
              <w:left w:val="single" w:sz="4" w:space="0" w:color="auto"/>
              <w:bottom w:val="single" w:sz="6" w:space="0" w:color="auto"/>
              <w:right w:val="single" w:sz="6" w:space="0" w:color="auto"/>
            </w:tcBorders>
          </w:tcPr>
          <w:p w14:paraId="615AF35A" w14:textId="77777777" w:rsidR="0070275E" w:rsidRDefault="0070275E">
            <w:pPr>
              <w:pStyle w:val="Tabletext"/>
              <w:jc w:val="left"/>
              <w:rPr>
                <w:lang w:val="es-ES"/>
              </w:rPr>
            </w:pPr>
            <w:r>
              <w:rPr>
                <w:lang w:val="es-ES"/>
              </w:rPr>
              <w:t>Posición orbital o fuentes de los elementos de interferencia</w:t>
            </w:r>
          </w:p>
          <w:p w14:paraId="79369C55" w14:textId="77777777" w:rsidR="0070275E" w:rsidRDefault="0070275E">
            <w:pPr>
              <w:pStyle w:val="Tabletext"/>
              <w:jc w:val="left"/>
              <w:rPr>
                <w:lang w:val="es-ES"/>
              </w:rPr>
            </w:pPr>
            <w:r>
              <w:rPr>
                <w:lang w:val="es-ES"/>
              </w:rPr>
              <w:t xml:space="preserve">Satélite OSG </w:t>
            </w:r>
            <w:bookmarkStart w:id="15" w:name="OLE_LINK1"/>
            <w:r>
              <w:rPr>
                <w:lang w:val="es-ES"/>
              </w:rPr>
              <w:t>(acimut (°) y elevación (°)/longitud (° W/E)</w:t>
            </w:r>
            <w:bookmarkEnd w:id="15"/>
            <w:r>
              <w:rPr>
                <w:lang w:val="es-ES"/>
              </w:rPr>
              <w:t>)</w:t>
            </w:r>
          </w:p>
          <w:p w14:paraId="3F186483" w14:textId="77777777" w:rsidR="0070275E" w:rsidRDefault="0070275E">
            <w:pPr>
              <w:pStyle w:val="Tabletext"/>
              <w:jc w:val="left"/>
              <w:rPr>
                <w:lang w:val="es-ES"/>
              </w:rPr>
            </w:pPr>
            <w:r>
              <w:rPr>
                <w:lang w:val="es-ES"/>
              </w:rPr>
              <w:t>Satélite no OSG (acimut (°) y elevación (°), al inicio, en la máxima elevación y al final)</w:t>
            </w:r>
          </w:p>
        </w:tc>
        <w:tc>
          <w:tcPr>
            <w:tcW w:w="2835" w:type="dxa"/>
            <w:tcBorders>
              <w:top w:val="single" w:sz="6" w:space="0" w:color="auto"/>
              <w:left w:val="single" w:sz="6" w:space="0" w:color="auto"/>
              <w:bottom w:val="single" w:sz="6" w:space="0" w:color="auto"/>
            </w:tcBorders>
          </w:tcPr>
          <w:p w14:paraId="25D4C457" w14:textId="77777777" w:rsidR="0070275E" w:rsidRDefault="0070275E">
            <w:pPr>
              <w:pStyle w:val="Tabletext"/>
              <w:jc w:val="left"/>
              <w:rPr>
                <w:lang w:val="es-ES"/>
              </w:rPr>
            </w:pPr>
            <w:r>
              <w:rPr>
                <w:lang w:val="es-ES"/>
              </w:rPr>
              <w:t>{valores}</w:t>
            </w:r>
          </w:p>
        </w:tc>
        <w:tc>
          <w:tcPr>
            <w:tcW w:w="2835" w:type="dxa"/>
            <w:tcBorders>
              <w:top w:val="single" w:sz="6" w:space="0" w:color="auto"/>
              <w:left w:val="single" w:sz="4" w:space="0" w:color="auto"/>
              <w:bottom w:val="single" w:sz="6" w:space="0" w:color="auto"/>
              <w:right w:val="single" w:sz="4" w:space="0" w:color="auto"/>
            </w:tcBorders>
          </w:tcPr>
          <w:p w14:paraId="6E7D13C5" w14:textId="77777777" w:rsidR="0070275E" w:rsidRDefault="0070275E">
            <w:pPr>
              <w:pStyle w:val="Tabletext"/>
              <w:jc w:val="left"/>
              <w:rPr>
                <w:lang w:val="es-ES"/>
              </w:rPr>
            </w:pPr>
            <w:r>
              <w:rPr>
                <w:lang w:val="es-ES"/>
              </w:rPr>
              <w:t>Incertidumbre ampliada de la medición – ejemplo: ...°</w:t>
            </w:r>
          </w:p>
        </w:tc>
      </w:tr>
      <w:tr w:rsidR="0070275E" w14:paraId="0D97E356" w14:textId="77777777">
        <w:tc>
          <w:tcPr>
            <w:tcW w:w="4039" w:type="dxa"/>
            <w:tcBorders>
              <w:top w:val="single" w:sz="6" w:space="0" w:color="auto"/>
              <w:left w:val="single" w:sz="4" w:space="0" w:color="auto"/>
              <w:bottom w:val="single" w:sz="6" w:space="0" w:color="auto"/>
              <w:right w:val="single" w:sz="6" w:space="0" w:color="auto"/>
            </w:tcBorders>
          </w:tcPr>
          <w:p w14:paraId="0CEEDAD1" w14:textId="77777777" w:rsidR="0070275E" w:rsidRDefault="0070275E">
            <w:pPr>
              <w:pStyle w:val="Tabletext"/>
              <w:jc w:val="left"/>
              <w:rPr>
                <w:lang w:val="es-ES"/>
              </w:rPr>
            </w:pPr>
            <w:r>
              <w:rPr>
                <w:lang w:val="es-ES"/>
              </w:rPr>
              <w:t>Polarización</w:t>
            </w:r>
          </w:p>
        </w:tc>
        <w:tc>
          <w:tcPr>
            <w:tcW w:w="2835" w:type="dxa"/>
            <w:tcBorders>
              <w:top w:val="single" w:sz="6" w:space="0" w:color="auto"/>
              <w:left w:val="single" w:sz="6" w:space="0" w:color="auto"/>
              <w:bottom w:val="single" w:sz="6" w:space="0" w:color="auto"/>
            </w:tcBorders>
          </w:tcPr>
          <w:p w14:paraId="424D46C3" w14:textId="77777777" w:rsidR="0070275E" w:rsidRDefault="0070275E">
            <w:pPr>
              <w:pStyle w:val="Tabletext"/>
              <w:jc w:val="left"/>
              <w:rPr>
                <w:lang w:val="es-ES"/>
              </w:rPr>
            </w:pPr>
            <w:r>
              <w:rPr>
                <w:lang w:val="es-ES"/>
              </w:rPr>
              <w:t>{tipo}</w:t>
            </w:r>
          </w:p>
        </w:tc>
        <w:tc>
          <w:tcPr>
            <w:tcW w:w="2835" w:type="dxa"/>
            <w:tcBorders>
              <w:top w:val="single" w:sz="6" w:space="0" w:color="auto"/>
              <w:left w:val="single" w:sz="4" w:space="0" w:color="auto"/>
              <w:bottom w:val="single" w:sz="6" w:space="0" w:color="auto"/>
              <w:right w:val="single" w:sz="4" w:space="0" w:color="auto"/>
            </w:tcBorders>
          </w:tcPr>
          <w:p w14:paraId="29A08194" w14:textId="77777777" w:rsidR="0070275E" w:rsidRDefault="0070275E">
            <w:pPr>
              <w:pStyle w:val="Tabletext"/>
              <w:jc w:val="left"/>
              <w:rPr>
                <w:lang w:val="es-ES"/>
              </w:rPr>
            </w:pPr>
            <w:r>
              <w:rPr>
                <w:lang w:val="es-ES"/>
              </w:rPr>
              <w:t>No aplicable</w:t>
            </w:r>
          </w:p>
        </w:tc>
      </w:tr>
      <w:tr w:rsidR="0070275E" w14:paraId="6955686D" w14:textId="77777777">
        <w:tc>
          <w:tcPr>
            <w:tcW w:w="4039" w:type="dxa"/>
            <w:tcBorders>
              <w:top w:val="single" w:sz="6" w:space="0" w:color="auto"/>
              <w:left w:val="single" w:sz="4" w:space="0" w:color="auto"/>
              <w:bottom w:val="single" w:sz="4" w:space="0" w:color="auto"/>
              <w:right w:val="single" w:sz="6" w:space="0" w:color="auto"/>
            </w:tcBorders>
          </w:tcPr>
          <w:p w14:paraId="16F9022F" w14:textId="77777777" w:rsidR="0070275E" w:rsidRDefault="0070275E">
            <w:pPr>
              <w:pStyle w:val="Tabletext"/>
              <w:jc w:val="left"/>
              <w:rPr>
                <w:lang w:val="es-ES"/>
              </w:rPr>
            </w:pPr>
            <w:r>
              <w:rPr>
                <w:lang w:val="es-ES"/>
              </w:rPr>
              <w:t>Otras indicaciones</w:t>
            </w:r>
          </w:p>
          <w:p w14:paraId="69D5716E" w14:textId="77777777" w:rsidR="0070275E" w:rsidRDefault="0070275E">
            <w:pPr>
              <w:pStyle w:val="Tabletext"/>
              <w:jc w:val="left"/>
              <w:rPr>
                <w:lang w:val="es-ES"/>
              </w:rPr>
            </w:pPr>
            <w:r>
              <w:rPr>
                <w:lang w:val="es-ES"/>
              </w:rPr>
              <w:t xml:space="preserve">(por ejemplo: </w:t>
            </w:r>
          </w:p>
          <w:p w14:paraId="3C6D772E" w14:textId="77777777" w:rsidR="0070275E" w:rsidRDefault="0070275E">
            <w:pPr>
              <w:pStyle w:val="Tabletext"/>
              <w:jc w:val="left"/>
              <w:rPr>
                <w:lang w:val="es-ES"/>
              </w:rPr>
            </w:pPr>
            <w:r>
              <w:rPr>
                <w:lang w:val="es-ES"/>
              </w:rPr>
              <w:t>A/D</w:t>
            </w:r>
          </w:p>
          <w:p w14:paraId="4E8200F8" w14:textId="77777777" w:rsidR="0070275E" w:rsidRDefault="0070275E">
            <w:pPr>
              <w:pStyle w:val="Tabletext"/>
              <w:jc w:val="left"/>
              <w:rPr>
                <w:lang w:val="es-ES"/>
              </w:rPr>
            </w:pPr>
            <w:r>
              <w:rPr>
                <w:lang w:val="es-ES"/>
              </w:rPr>
              <w:t>estimación del tipo de modulación</w:t>
            </w:r>
          </w:p>
          <w:p w14:paraId="6C6BFB17" w14:textId="77777777" w:rsidR="0070275E" w:rsidRDefault="0070275E">
            <w:pPr>
              <w:pStyle w:val="Tabletext"/>
              <w:jc w:val="left"/>
              <w:rPr>
                <w:lang w:val="es-ES"/>
              </w:rPr>
            </w:pPr>
            <w:r>
              <w:rPr>
                <w:lang w:val="es-ES"/>
              </w:rPr>
              <w:t>método de acceso</w:t>
            </w:r>
          </w:p>
          <w:p w14:paraId="058C88C3" w14:textId="77777777" w:rsidR="0070275E" w:rsidRDefault="0070275E">
            <w:pPr>
              <w:pStyle w:val="Tabletext"/>
              <w:jc w:val="left"/>
              <w:rPr>
                <w:lang w:val="es-ES"/>
              </w:rPr>
            </w:pPr>
            <w:r>
              <w:rPr>
                <w:lang w:val="es-ES"/>
              </w:rPr>
              <w:t>comportamiento de la señal)</w:t>
            </w:r>
          </w:p>
        </w:tc>
        <w:tc>
          <w:tcPr>
            <w:tcW w:w="2835" w:type="dxa"/>
            <w:tcBorders>
              <w:top w:val="single" w:sz="6" w:space="0" w:color="auto"/>
              <w:left w:val="single" w:sz="6" w:space="0" w:color="auto"/>
              <w:bottom w:val="single" w:sz="4" w:space="0" w:color="auto"/>
            </w:tcBorders>
          </w:tcPr>
          <w:p w14:paraId="7B67476D" w14:textId="77777777" w:rsidR="0070275E" w:rsidRDefault="0070275E">
            <w:pPr>
              <w:pStyle w:val="Tabletext"/>
              <w:rPr>
                <w:lang w:val="es-ES"/>
              </w:rPr>
            </w:pPr>
          </w:p>
        </w:tc>
        <w:tc>
          <w:tcPr>
            <w:tcW w:w="2835" w:type="dxa"/>
            <w:tcBorders>
              <w:top w:val="single" w:sz="6" w:space="0" w:color="auto"/>
              <w:left w:val="single" w:sz="4" w:space="0" w:color="auto"/>
              <w:bottom w:val="single" w:sz="4" w:space="0" w:color="auto"/>
              <w:right w:val="single" w:sz="4" w:space="0" w:color="auto"/>
            </w:tcBorders>
          </w:tcPr>
          <w:p w14:paraId="442C0F57" w14:textId="77777777" w:rsidR="0070275E" w:rsidRDefault="0070275E">
            <w:pPr>
              <w:pStyle w:val="Tabletext"/>
              <w:rPr>
                <w:lang w:val="es-ES"/>
              </w:rPr>
            </w:pPr>
          </w:p>
        </w:tc>
      </w:tr>
    </w:tbl>
    <w:p w14:paraId="0C94060D" w14:textId="77777777" w:rsidR="0070275E" w:rsidRDefault="0070275E">
      <w:pPr>
        <w:rPr>
          <w:lang w:val="es-ES"/>
        </w:rPr>
      </w:pPr>
      <w:r>
        <w:rPr>
          <w:lang w:val="es-ES"/>
        </w:rPr>
        <w:br w:type="page"/>
      </w:r>
    </w:p>
    <w:tbl>
      <w:tblPr>
        <w:tblW w:w="0" w:type="auto"/>
        <w:tblLayout w:type="fixed"/>
        <w:tblCellMar>
          <w:left w:w="70" w:type="dxa"/>
          <w:right w:w="70" w:type="dxa"/>
        </w:tblCellMar>
        <w:tblLook w:val="0000" w:firstRow="0" w:lastRow="0" w:firstColumn="0" w:lastColumn="0" w:noHBand="0" w:noVBand="0"/>
      </w:tblPr>
      <w:tblGrid>
        <w:gridCol w:w="9709"/>
      </w:tblGrid>
      <w:tr w:rsidR="0070275E" w14:paraId="3FE22C7E" w14:textId="77777777">
        <w:tc>
          <w:tcPr>
            <w:tcW w:w="9709" w:type="dxa"/>
            <w:tcBorders>
              <w:top w:val="single" w:sz="4" w:space="0" w:color="auto"/>
              <w:left w:val="single" w:sz="4" w:space="0" w:color="auto"/>
              <w:bottom w:val="single" w:sz="4" w:space="0" w:color="auto"/>
              <w:right w:val="single" w:sz="4" w:space="0" w:color="auto"/>
            </w:tcBorders>
          </w:tcPr>
          <w:p w14:paraId="25B8DC25" w14:textId="77777777" w:rsidR="0070275E" w:rsidRDefault="0070275E">
            <w:pPr>
              <w:pStyle w:val="Tablehead"/>
              <w:rPr>
                <w:lang w:val="es-ES"/>
              </w:rPr>
            </w:pPr>
            <w:r>
              <w:rPr>
                <w:lang w:val="es-ES"/>
              </w:rPr>
              <w:t>Espectros</w:t>
            </w:r>
          </w:p>
        </w:tc>
      </w:tr>
      <w:tr w:rsidR="0070275E" w:rsidRPr="00B3519A" w14:paraId="6593C2B1" w14:textId="77777777">
        <w:trPr>
          <w:trHeight w:val="1551"/>
        </w:trPr>
        <w:tc>
          <w:tcPr>
            <w:tcW w:w="9709" w:type="dxa"/>
            <w:tcBorders>
              <w:top w:val="single" w:sz="4" w:space="0" w:color="auto"/>
              <w:left w:val="single" w:sz="4" w:space="0" w:color="auto"/>
              <w:bottom w:val="single" w:sz="4" w:space="0" w:color="auto"/>
              <w:right w:val="single" w:sz="4" w:space="0" w:color="auto"/>
            </w:tcBorders>
            <w:tcMar>
              <w:left w:w="108" w:type="dxa"/>
              <w:right w:w="108" w:type="dxa"/>
            </w:tcMar>
          </w:tcPr>
          <w:p w14:paraId="62D1A853" w14:textId="77777777" w:rsidR="0070275E" w:rsidRDefault="0070275E">
            <w:pPr>
              <w:pStyle w:val="Tabletext"/>
              <w:jc w:val="left"/>
              <w:rPr>
                <w:lang w:val="es-ES"/>
              </w:rPr>
            </w:pPr>
            <w:r>
              <w:rPr>
                <w:lang w:val="es-ES"/>
              </w:rPr>
              <w:t>Se recomienda realizar el trazado de tres espectros: señal deseada – ruido – {señal + ruido invertido}</w:t>
            </w:r>
          </w:p>
          <w:p w14:paraId="20336E17" w14:textId="77777777" w:rsidR="0070275E" w:rsidRDefault="0070275E">
            <w:pPr>
              <w:pStyle w:val="Tabletext"/>
              <w:rPr>
                <w:lang w:val="es-ES"/>
              </w:rPr>
            </w:pPr>
          </w:p>
          <w:p w14:paraId="70133E72" w14:textId="77777777" w:rsidR="0070275E" w:rsidRDefault="0070275E">
            <w:pPr>
              <w:pStyle w:val="Figure"/>
            </w:pPr>
            <w:r>
              <w:object w:dxaOrig="5821" w:dyaOrig="4620" w14:anchorId="0FF3A61F">
                <v:shape id="_x0000_i1026" type="#_x0000_t75" style="width:291pt;height:231pt" o:ole="" o:allowoverlap="f">
                  <v:imagedata r:id="rId8" o:title=""/>
                </v:shape>
                <o:OLEObject Type="Embed" ProgID="CorelDraw.Graphic.12" ShapeID="_x0000_i1026" DrawAspect="Content" ObjectID="_1652627654" r:id="rId9"/>
              </w:object>
            </w:r>
          </w:p>
          <w:p w14:paraId="2D4F904E" w14:textId="77777777" w:rsidR="0070275E" w:rsidRDefault="0070275E">
            <w:pPr>
              <w:pStyle w:val="Tabletext"/>
            </w:pPr>
          </w:p>
          <w:p w14:paraId="605FC199" w14:textId="77777777" w:rsidR="0070275E" w:rsidRDefault="0070275E">
            <w:pPr>
              <w:pStyle w:val="Tabletext"/>
              <w:rPr>
                <w:lang w:val="es-ES"/>
              </w:rPr>
            </w:pPr>
            <w:r>
              <w:rPr>
                <w:lang w:val="es-ES"/>
              </w:rPr>
              <w:t>Información necesaria:</w:t>
            </w:r>
          </w:p>
          <w:p w14:paraId="5492EC70" w14:textId="77777777" w:rsidR="0070275E" w:rsidRDefault="0070275E">
            <w:pPr>
              <w:pStyle w:val="Tabletext"/>
              <w:rPr>
                <w:lang w:val="es-ES"/>
              </w:rPr>
            </w:pPr>
            <w:r>
              <w:rPr>
                <w:lang w:val="es-ES"/>
              </w:rPr>
              <w:t>Frecuencia central = {...} MHz</w:t>
            </w:r>
          </w:p>
          <w:p w14:paraId="23856712" w14:textId="77777777" w:rsidR="0070275E" w:rsidRDefault="0070275E">
            <w:pPr>
              <w:pStyle w:val="Tabletext"/>
              <w:rPr>
                <w:lang w:val="es-ES"/>
              </w:rPr>
            </w:pPr>
            <w:r>
              <w:rPr>
                <w:lang w:val="es-ES"/>
              </w:rPr>
              <w:t>Amplitud = {...} MHz</w:t>
            </w:r>
          </w:p>
          <w:p w14:paraId="4FCFE3F9" w14:textId="77777777" w:rsidR="0070275E" w:rsidRDefault="0070275E">
            <w:pPr>
              <w:pStyle w:val="Tabletext"/>
              <w:rPr>
                <w:lang w:val="es-ES"/>
              </w:rPr>
            </w:pPr>
            <w:r>
              <w:rPr>
                <w:lang w:val="es-ES"/>
              </w:rPr>
              <w:t>FFT: {número de} puntos</w:t>
            </w:r>
          </w:p>
          <w:p w14:paraId="75699767" w14:textId="77777777" w:rsidR="0070275E" w:rsidRDefault="0070275E">
            <w:pPr>
              <w:pStyle w:val="Tabletext"/>
              <w:rPr>
                <w:lang w:val="es-ES"/>
              </w:rPr>
            </w:pPr>
            <w:r>
              <w:rPr>
                <w:lang w:val="es-ES"/>
              </w:rPr>
              <w:t>Resolución: {...} kHz</w:t>
            </w:r>
          </w:p>
          <w:p w14:paraId="6EE2435A" w14:textId="77777777" w:rsidR="0070275E" w:rsidRDefault="0070275E">
            <w:pPr>
              <w:pStyle w:val="Tabletext"/>
              <w:rPr>
                <w:lang w:val="es-ES"/>
              </w:rPr>
            </w:pPr>
            <w:r>
              <w:rPr>
                <w:lang w:val="es-ES"/>
              </w:rPr>
              <w:t>Promedio: {número de} muestras</w:t>
            </w:r>
          </w:p>
          <w:p w14:paraId="793EB420" w14:textId="77777777" w:rsidR="0070275E" w:rsidRDefault="0070275E">
            <w:pPr>
              <w:pStyle w:val="Tabletext"/>
              <w:rPr>
                <w:lang w:val="es-ES"/>
              </w:rPr>
            </w:pPr>
          </w:p>
          <w:p w14:paraId="75912722" w14:textId="77777777" w:rsidR="0070275E" w:rsidRDefault="0070275E">
            <w:pPr>
              <w:pStyle w:val="Tabletext"/>
              <w:rPr>
                <w:lang w:val="es-ES"/>
              </w:rPr>
            </w:pPr>
            <w:r>
              <w:rPr>
                <w:lang w:val="es-ES"/>
              </w:rPr>
              <w:t>Instantes (UTC) relativos a</w:t>
            </w:r>
          </w:p>
          <w:p w14:paraId="5C9738C3" w14:textId="77777777" w:rsidR="0070275E" w:rsidRDefault="0070275E">
            <w:pPr>
              <w:pStyle w:val="Tabletext"/>
              <w:rPr>
                <w:lang w:val="es-ES"/>
              </w:rPr>
            </w:pPr>
            <w:r>
              <w:rPr>
                <w:lang w:val="es-ES"/>
              </w:rPr>
              <w:t>señal deseada: inicio, final</w:t>
            </w:r>
          </w:p>
          <w:p w14:paraId="306982F5" w14:textId="77777777" w:rsidR="0070275E" w:rsidRDefault="0070275E">
            <w:pPr>
              <w:pStyle w:val="Tabletext"/>
              <w:rPr>
                <w:lang w:val="es-ES"/>
              </w:rPr>
            </w:pPr>
            <w:r>
              <w:rPr>
                <w:lang w:val="es-ES"/>
              </w:rPr>
              <w:t>señal en comparación: inicio, final</w:t>
            </w:r>
          </w:p>
          <w:p w14:paraId="5AD1BCFB" w14:textId="77777777" w:rsidR="0070275E" w:rsidRDefault="0070275E">
            <w:pPr>
              <w:pStyle w:val="Tabletext"/>
              <w:rPr>
                <w:lang w:val="es-ES"/>
              </w:rPr>
            </w:pPr>
            <w:r>
              <w:rPr>
                <w:lang w:val="es-ES"/>
              </w:rPr>
              <w:t>intervalos deseados/señales en comparación:</w:t>
            </w:r>
          </w:p>
          <w:p w14:paraId="3B4BCA11" w14:textId="77777777" w:rsidR="0070275E" w:rsidRDefault="0070275E">
            <w:pPr>
              <w:pStyle w:val="Tabletext"/>
              <w:rPr>
                <w:lang w:val="es-ES"/>
              </w:rPr>
            </w:pPr>
            <w:r>
              <w:rPr>
                <w:lang w:val="es-ES"/>
              </w:rPr>
              <w:t>modo de compensación del efecto Doppler:</w:t>
            </w:r>
          </w:p>
        </w:tc>
      </w:tr>
      <w:tr w:rsidR="0070275E" w14:paraId="6AFC2DC6" w14:textId="77777777">
        <w:tc>
          <w:tcPr>
            <w:tcW w:w="9709" w:type="dxa"/>
            <w:tcBorders>
              <w:top w:val="single" w:sz="4" w:space="0" w:color="auto"/>
              <w:left w:val="single" w:sz="4" w:space="0" w:color="auto"/>
              <w:bottom w:val="single" w:sz="4" w:space="0" w:color="auto"/>
              <w:right w:val="single" w:sz="4" w:space="0" w:color="auto"/>
            </w:tcBorders>
          </w:tcPr>
          <w:p w14:paraId="70A0FC4E" w14:textId="77777777" w:rsidR="0070275E" w:rsidRDefault="0070275E">
            <w:pPr>
              <w:pStyle w:val="Tabletext"/>
              <w:rPr>
                <w:b/>
                <w:bCs/>
                <w:lang w:val="es-ES"/>
              </w:rPr>
            </w:pPr>
            <w:r>
              <w:rPr>
                <w:b/>
                <w:bCs/>
                <w:lang w:val="es-ES"/>
              </w:rPr>
              <w:t>Observaciones</w:t>
            </w:r>
            <w:r>
              <w:rPr>
                <w:b/>
                <w:bCs/>
                <w:lang w:val="es-ES"/>
              </w:rPr>
              <w:br/>
            </w:r>
            <w:r>
              <w:rPr>
                <w:b/>
                <w:bCs/>
                <w:lang w:val="es-ES"/>
              </w:rPr>
              <w:br/>
            </w:r>
            <w:r>
              <w:rPr>
                <w:b/>
                <w:bCs/>
                <w:lang w:val="es-ES"/>
              </w:rPr>
              <w:br/>
            </w:r>
            <w:r>
              <w:rPr>
                <w:b/>
                <w:bCs/>
                <w:lang w:val="es-ES"/>
              </w:rPr>
              <w:br/>
            </w:r>
            <w:r>
              <w:rPr>
                <w:b/>
                <w:bCs/>
                <w:lang w:val="es-ES"/>
              </w:rPr>
              <w:br/>
            </w:r>
          </w:p>
        </w:tc>
      </w:tr>
      <w:tr w:rsidR="0070275E" w14:paraId="2CFA3601" w14:textId="77777777">
        <w:tc>
          <w:tcPr>
            <w:tcW w:w="9709" w:type="dxa"/>
            <w:tcBorders>
              <w:top w:val="single" w:sz="4" w:space="0" w:color="auto"/>
              <w:left w:val="single" w:sz="4" w:space="0" w:color="auto"/>
              <w:bottom w:val="single" w:sz="4" w:space="0" w:color="auto"/>
              <w:right w:val="single" w:sz="4" w:space="0" w:color="auto"/>
            </w:tcBorders>
          </w:tcPr>
          <w:p w14:paraId="6775056E" w14:textId="77777777" w:rsidR="0070275E" w:rsidRDefault="0070275E">
            <w:pPr>
              <w:pStyle w:val="Tabletext"/>
              <w:rPr>
                <w:b/>
                <w:bCs/>
                <w:lang w:val="es-ES"/>
              </w:rPr>
            </w:pPr>
            <w:r>
              <w:rPr>
                <w:b/>
                <w:bCs/>
                <w:lang w:val="es-ES"/>
              </w:rPr>
              <w:t>Presunta identidad de los satélites</w:t>
            </w:r>
          </w:p>
          <w:p w14:paraId="0F5E3A96" w14:textId="77777777" w:rsidR="0070275E" w:rsidRDefault="0070275E">
            <w:pPr>
              <w:rPr>
                <w:sz w:val="22"/>
                <w:lang w:val="es-ES"/>
              </w:rPr>
            </w:pPr>
            <w:r>
              <w:rPr>
                <w:sz w:val="22"/>
                <w:lang w:val="es-ES"/>
              </w:rPr>
              <w:br/>
            </w:r>
            <w:r>
              <w:rPr>
                <w:sz w:val="22"/>
                <w:lang w:val="es-ES"/>
              </w:rPr>
              <w:br/>
            </w:r>
          </w:p>
        </w:tc>
      </w:tr>
    </w:tbl>
    <w:p w14:paraId="15F68FF8" w14:textId="77777777" w:rsidR="0070275E" w:rsidRDefault="0070275E">
      <w:pPr>
        <w:pStyle w:val="Headingb"/>
        <w:rPr>
          <w:lang w:val="es-ES"/>
        </w:rPr>
      </w:pPr>
      <w:r>
        <w:rPr>
          <w:lang w:val="es-ES"/>
        </w:rPr>
        <w:br w:type="page"/>
      </w:r>
      <w:r>
        <w:rPr>
          <w:lang w:val="es-ES"/>
        </w:rPr>
        <w:lastRenderedPageBreak/>
        <w:t>Glosario</w:t>
      </w:r>
    </w:p>
    <w:p w14:paraId="2EFDDB23" w14:textId="77777777" w:rsidR="0070275E" w:rsidRDefault="0070275E">
      <w:pPr>
        <w:rPr>
          <w:lang w:val="es-ES"/>
        </w:rPr>
      </w:pPr>
      <w:r>
        <w:rPr>
          <w:lang w:val="es-ES"/>
        </w:rPr>
        <w:t>A/D</w:t>
      </w:r>
      <w:r>
        <w:rPr>
          <w:lang w:val="es-ES"/>
        </w:rPr>
        <w:tab/>
      </w:r>
      <w:r>
        <w:rPr>
          <w:lang w:val="es-ES"/>
        </w:rPr>
        <w:tab/>
        <w:t>Analógico/digital</w:t>
      </w:r>
    </w:p>
    <w:p w14:paraId="5BCC9079" w14:textId="77777777" w:rsidR="0070275E" w:rsidRDefault="0070275E">
      <w:pPr>
        <w:rPr>
          <w:lang w:val="es-ES"/>
        </w:rPr>
      </w:pPr>
      <w:r>
        <w:rPr>
          <w:lang w:val="es-ES"/>
        </w:rPr>
        <w:t>AMDT</w:t>
      </w:r>
      <w:r>
        <w:rPr>
          <w:lang w:val="es-ES"/>
        </w:rPr>
        <w:tab/>
      </w:r>
      <w:r>
        <w:rPr>
          <w:lang w:val="es-ES"/>
        </w:rPr>
        <w:tab/>
        <w:t>Acceso múltiple por división de tiempo</w:t>
      </w:r>
    </w:p>
    <w:p w14:paraId="51CF6C17" w14:textId="77777777" w:rsidR="0070275E" w:rsidRDefault="0070275E">
      <w:pPr>
        <w:rPr>
          <w:lang w:val="es-ES"/>
        </w:rPr>
      </w:pPr>
      <w:r>
        <w:rPr>
          <w:lang w:val="es-ES"/>
        </w:rPr>
        <w:t>dfp</w:t>
      </w:r>
      <w:r>
        <w:rPr>
          <w:lang w:val="es-ES"/>
        </w:rPr>
        <w:tab/>
      </w:r>
      <w:r>
        <w:rPr>
          <w:lang w:val="es-ES"/>
        </w:rPr>
        <w:tab/>
        <w:t>Densidad del flujo de potencia</w:t>
      </w:r>
    </w:p>
    <w:p w14:paraId="1D728B0B" w14:textId="77777777" w:rsidR="0070275E" w:rsidRDefault="0070275E">
      <w:pPr>
        <w:rPr>
          <w:lang w:val="es-ES"/>
        </w:rPr>
      </w:pPr>
      <w:r>
        <w:rPr>
          <w:lang w:val="es-ES"/>
        </w:rPr>
        <w:t>FI</w:t>
      </w:r>
      <w:r>
        <w:rPr>
          <w:lang w:val="es-ES"/>
        </w:rPr>
        <w:tab/>
      </w:r>
      <w:r>
        <w:rPr>
          <w:lang w:val="es-ES"/>
        </w:rPr>
        <w:tab/>
        <w:t>Frecuencia intermedia</w:t>
      </w:r>
    </w:p>
    <w:p w14:paraId="4E4CF2EC" w14:textId="77777777" w:rsidR="0070275E" w:rsidRDefault="0070275E">
      <w:pPr>
        <w:rPr>
          <w:lang w:val="es-ES"/>
        </w:rPr>
      </w:pPr>
      <w:r>
        <w:rPr>
          <w:lang w:val="es-ES"/>
        </w:rPr>
        <w:t>TRF</w:t>
      </w:r>
      <w:r>
        <w:rPr>
          <w:lang w:val="es-ES"/>
        </w:rPr>
        <w:tab/>
      </w:r>
      <w:r>
        <w:rPr>
          <w:lang w:val="es-ES"/>
        </w:rPr>
        <w:tab/>
        <w:t>Transformada rápida de Fourier</w:t>
      </w:r>
    </w:p>
    <w:p w14:paraId="79101DF9" w14:textId="77777777" w:rsidR="0070275E" w:rsidRDefault="0070275E">
      <w:pPr>
        <w:rPr>
          <w:lang w:val="es-ES"/>
        </w:rPr>
      </w:pPr>
      <w:r>
        <w:rPr>
          <w:lang w:val="es-ES"/>
        </w:rPr>
        <w:t>OSG</w:t>
      </w:r>
      <w:r>
        <w:rPr>
          <w:lang w:val="es-ES"/>
        </w:rPr>
        <w:tab/>
      </w:r>
      <w:r>
        <w:rPr>
          <w:lang w:val="es-ES"/>
        </w:rPr>
        <w:tab/>
        <w:t>Órbita de los satélites geoestacionarios</w:t>
      </w:r>
    </w:p>
    <w:p w14:paraId="7A5ADC47" w14:textId="77777777" w:rsidR="0070275E" w:rsidRDefault="0070275E">
      <w:pPr>
        <w:rPr>
          <w:lang w:val="es-ES"/>
        </w:rPr>
      </w:pPr>
      <w:r>
        <w:rPr>
          <w:lang w:val="es-ES"/>
        </w:rPr>
        <w:t>RAM</w:t>
      </w:r>
      <w:r>
        <w:rPr>
          <w:lang w:val="es-ES"/>
        </w:rPr>
        <w:tab/>
      </w:r>
      <w:r>
        <w:rPr>
          <w:lang w:val="es-ES"/>
        </w:rPr>
        <w:tab/>
        <w:t>Memoria de acceso aleatorio</w:t>
      </w:r>
    </w:p>
    <w:p w14:paraId="0AC195B2" w14:textId="77777777" w:rsidR="0070275E" w:rsidRDefault="0070275E">
      <w:pPr>
        <w:rPr>
          <w:lang w:val="es-ES"/>
        </w:rPr>
      </w:pPr>
      <w:r>
        <w:rPr>
          <w:lang w:val="es-ES"/>
        </w:rPr>
        <w:t>RF</w:t>
      </w:r>
      <w:r>
        <w:rPr>
          <w:lang w:val="es-ES"/>
        </w:rPr>
        <w:tab/>
      </w:r>
      <w:r>
        <w:rPr>
          <w:lang w:val="es-ES"/>
        </w:rPr>
        <w:tab/>
        <w:t>Radiofrecuencia</w:t>
      </w:r>
    </w:p>
    <w:p w14:paraId="3F98718E" w14:textId="77777777" w:rsidR="0070275E" w:rsidRDefault="0070275E">
      <w:pPr>
        <w:rPr>
          <w:lang w:val="es-ES"/>
        </w:rPr>
      </w:pPr>
      <w:r>
        <w:rPr>
          <w:lang w:val="es-ES"/>
        </w:rPr>
        <w:t>SRA</w:t>
      </w:r>
      <w:r>
        <w:rPr>
          <w:lang w:val="es-ES"/>
        </w:rPr>
        <w:tab/>
      </w:r>
      <w:r>
        <w:rPr>
          <w:lang w:val="es-ES"/>
        </w:rPr>
        <w:tab/>
        <w:t>Servicio de radioastronomía</w:t>
      </w:r>
    </w:p>
    <w:p w14:paraId="56492EA6" w14:textId="77777777" w:rsidR="0070275E" w:rsidRDefault="0070275E">
      <w:pPr>
        <w:rPr>
          <w:lang w:val="es-ES"/>
        </w:rPr>
      </w:pPr>
      <w:r>
        <w:rPr>
          <w:lang w:val="es-ES"/>
        </w:rPr>
        <w:t>UTC</w:t>
      </w:r>
      <w:r>
        <w:rPr>
          <w:lang w:val="es-ES"/>
        </w:rPr>
        <w:tab/>
      </w:r>
      <w:r>
        <w:rPr>
          <w:lang w:val="es-ES"/>
        </w:rPr>
        <w:tab/>
        <w:t>Tiempo Universal Coordinado</w:t>
      </w:r>
    </w:p>
    <w:p w14:paraId="508F7CE1" w14:textId="77777777" w:rsidR="0070275E" w:rsidRDefault="0070275E">
      <w:pPr>
        <w:rPr>
          <w:lang w:val="es-ES"/>
        </w:rPr>
      </w:pPr>
      <w:r>
        <w:rPr>
          <w:lang w:val="es-ES"/>
        </w:rPr>
        <w:t>W/E</w:t>
      </w:r>
      <w:r>
        <w:rPr>
          <w:lang w:val="es-ES"/>
        </w:rPr>
        <w:tab/>
      </w:r>
      <w:r>
        <w:rPr>
          <w:lang w:val="es-ES"/>
        </w:rPr>
        <w:tab/>
        <w:t>Oeste/Este.</w:t>
      </w:r>
    </w:p>
    <w:p w14:paraId="2BB6B721" w14:textId="77777777" w:rsidR="0070275E" w:rsidRDefault="0070275E">
      <w:pPr>
        <w:rPr>
          <w:lang w:val="es-ES"/>
        </w:rPr>
      </w:pPr>
    </w:p>
    <w:p w14:paraId="1B9C3C57" w14:textId="77777777" w:rsidR="0070275E" w:rsidRDefault="0070275E">
      <w:pPr>
        <w:rPr>
          <w:lang w:val="es-ES"/>
        </w:rPr>
      </w:pPr>
    </w:p>
    <w:p w14:paraId="53C396CB" w14:textId="77777777" w:rsidR="0070275E" w:rsidRDefault="0070275E">
      <w:pPr>
        <w:pStyle w:val="Line"/>
      </w:pPr>
    </w:p>
    <w:p w14:paraId="117CC4A3" w14:textId="77777777" w:rsidR="0070275E" w:rsidRDefault="0070275E">
      <w:pPr>
        <w:rPr>
          <w:lang w:val="en-GB"/>
        </w:rPr>
      </w:pPr>
    </w:p>
    <w:sectPr w:rsidR="0070275E">
      <w:headerReference w:type="even" r:id="rId10"/>
      <w:headerReference w:type="default" r:id="rId1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CF01" w14:textId="77777777" w:rsidR="0070275E" w:rsidRDefault="0070275E">
      <w:r>
        <w:separator/>
      </w:r>
    </w:p>
  </w:endnote>
  <w:endnote w:type="continuationSeparator" w:id="0">
    <w:p w14:paraId="3B36D3BB" w14:textId="77777777" w:rsidR="0070275E" w:rsidRDefault="007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A072" w14:textId="77777777" w:rsidR="0070275E" w:rsidRDefault="0070275E">
      <w:r>
        <w:separator/>
      </w:r>
    </w:p>
  </w:footnote>
  <w:footnote w:type="continuationSeparator" w:id="0">
    <w:p w14:paraId="17514175" w14:textId="77777777" w:rsidR="0070275E" w:rsidRDefault="0070275E">
      <w:r>
        <w:continuationSeparator/>
      </w:r>
    </w:p>
  </w:footnote>
  <w:footnote w:id="1">
    <w:p w14:paraId="16467393" w14:textId="4490A780" w:rsidR="00E84DB4" w:rsidRPr="006C0FCE" w:rsidRDefault="00E84DB4" w:rsidP="00E84DB4">
      <w:pPr>
        <w:pStyle w:val="FootnoteText"/>
        <w:rPr>
          <w:lang w:val="es-ES_tradnl"/>
        </w:rPr>
      </w:pPr>
      <w:r w:rsidRPr="006C0FCE">
        <w:rPr>
          <w:rStyle w:val="FootnoteReference"/>
          <w:lang w:val="es-ES_tradnl"/>
        </w:rPr>
        <w:t>*</w:t>
      </w:r>
      <w:r w:rsidRPr="006C0FCE">
        <w:rPr>
          <w:lang w:val="es-ES_tradnl"/>
        </w:rPr>
        <w:t xml:space="preserve"> </w:t>
      </w:r>
      <w:r>
        <w:rPr>
          <w:lang w:val="es-ES_tradnl"/>
        </w:rPr>
        <w:tab/>
      </w:r>
      <w:r w:rsidRPr="006C0FCE">
        <w:rPr>
          <w:lang w:val="es-ES_tradnl"/>
        </w:rPr>
        <w:t>La Comisión de Estudio 1 de Radiocomunicaciones introdujo en 2018</w:t>
      </w:r>
      <w:r w:rsidR="00B3519A">
        <w:rPr>
          <w:lang w:val="es-ES_tradnl"/>
        </w:rPr>
        <w:t xml:space="preserve"> y 2019</w:t>
      </w:r>
      <w:r w:rsidRPr="006C0FCE">
        <w:rPr>
          <w:lang w:val="es-ES_tradnl"/>
        </w:rPr>
        <w:t xml:space="preserve"> modificaciones de redacción en esta Recomendación, de conformidad con la Resolución UIT-T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9223" w14:textId="17ED5CCC" w:rsidR="0070275E" w:rsidRDefault="0070275E">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120EA7">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032590">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032590">
      <w:rPr>
        <w:b/>
        <w:bCs/>
        <w:noProof/>
        <w:lang w:val="en-US"/>
      </w:rPr>
      <w:t>UIT-R  SM.1681-0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311D" w14:textId="3299CD5B" w:rsidR="0070275E" w:rsidRDefault="0070275E">
    <w:pPr>
      <w:pStyle w:val="Header"/>
    </w:pPr>
    <w:r>
      <w:tab/>
    </w:r>
    <w:r>
      <w:rPr>
        <w:b/>
        <w:bCs/>
      </w:rPr>
      <w:fldChar w:fldCharType="begin"/>
    </w:r>
    <w:r>
      <w:rPr>
        <w:b/>
        <w:bCs/>
      </w:rPr>
      <w:instrText xml:space="preserve"> DOCPROPERTY "Header" \* MERGEFORMAT </w:instrText>
    </w:r>
    <w:r>
      <w:rPr>
        <w:b/>
        <w:bCs/>
      </w:rPr>
      <w:fldChar w:fldCharType="separate"/>
    </w:r>
    <w:r w:rsidR="00032590">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032590">
      <w:rPr>
        <w:b/>
        <w:bCs/>
        <w:noProof/>
      </w:rPr>
      <w:t>UIT-R  SM.1681-0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120EA7">
      <w:rPr>
        <w:rStyle w:val="PageNumber"/>
        <w:b/>
        <w:bCs/>
        <w:noProof/>
      </w:rPr>
      <w:t>3</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hideGrammaticalErrors/>
  <w:activeWritingStyle w:appName="MSWord" w:lang="en-US" w:vendorID="64" w:dllVersion="5"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275E"/>
    <w:rsid w:val="00032590"/>
    <w:rsid w:val="00120EA7"/>
    <w:rsid w:val="00296C53"/>
    <w:rsid w:val="00531DD1"/>
    <w:rsid w:val="0070275E"/>
    <w:rsid w:val="009D0281"/>
    <w:rsid w:val="00A4268B"/>
    <w:rsid w:val="00AF5830"/>
    <w:rsid w:val="00B3519A"/>
    <w:rsid w:val="00DB41F1"/>
    <w:rsid w:val="00E84DB4"/>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C5D6AC"/>
  <w15:chartTrackingRefBased/>
  <w15:docId w15:val="{BD6487F3-B122-429C-AA2F-DB59AA4A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Normal"/>
    <w:next w:val="Normal"/>
    <w:pPr>
      <w:keepNext/>
      <w:keepLines/>
      <w:spacing w:before="240" w:after="120"/>
      <w:jc w:val="cente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10</TotalTime>
  <Pages>8</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BR_Rec_2002.dot</vt:lpstr>
    </vt:vector>
  </TitlesOfParts>
  <Manager/>
  <Company>ITU</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BR_Rec_2002.dot</dc:title>
  <dc:subject>Selon approbation BR - 25.10.02</dc:subject>
  <dc:creator>POOL</dc:creator>
  <cp:keywords/>
  <dc:description>ASM: 21.02.05/MCJ_x000d_
Corr. 1ère épreuve                 3.03.05      SP_x000d_
Corr. BAT                              20.04.05      SP</dc:description>
  <cp:lastModifiedBy>Catalano Moreira, Rossana</cp:lastModifiedBy>
  <cp:revision>5</cp:revision>
  <cp:lastPrinted>2020-06-02T16:15:00Z</cp:lastPrinted>
  <dcterms:created xsi:type="dcterms:W3CDTF">2018-10-18T13:05:00Z</dcterms:created>
  <dcterms:modified xsi:type="dcterms:W3CDTF">2020-06-02T16:25:00Z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