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BD2" w:rsidRPr="00276BD2" w:rsidRDefault="00276BD2">
      <w:pPr>
        <w:pStyle w:val="RecNo"/>
        <w:spacing w:before="0"/>
        <w:rPr>
          <w:lang w:val="en-US"/>
        </w:rPr>
      </w:pPr>
      <w:r w:rsidRPr="00276BD2">
        <w:rPr>
          <w:lang w:val="en-US"/>
        </w:rPr>
        <w:t xml:space="preserve">RECOMMENDATION  </w:t>
      </w:r>
      <w:r w:rsidRPr="00276BD2">
        <w:rPr>
          <w:rStyle w:val="href"/>
          <w:lang w:val="en-US"/>
        </w:rPr>
        <w:t>ITU-R  SM.1681</w:t>
      </w:r>
      <w:r w:rsidR="00406E70">
        <w:rPr>
          <w:rStyle w:val="href"/>
          <w:lang w:val="en-US"/>
        </w:rPr>
        <w:t>-0</w:t>
      </w:r>
      <w:r w:rsidR="00406E70">
        <w:rPr>
          <w:rStyle w:val="FootnoteReference"/>
          <w:lang w:val="en-US"/>
        </w:rPr>
        <w:footnoteReference w:customMarkFollows="1" w:id="1"/>
        <w:t>*</w:t>
      </w:r>
    </w:p>
    <w:p w:rsidR="00276BD2" w:rsidRDefault="00276BD2">
      <w:pPr>
        <w:pStyle w:val="Rectitle"/>
        <w:rPr>
          <w:lang w:val="en-US"/>
        </w:rPr>
      </w:pPr>
      <w:r>
        <w:rPr>
          <w:lang w:val="en-US"/>
        </w:rPr>
        <w:t>Measuring of low-level emissions from space stations at monitoring earth</w:t>
      </w:r>
      <w:r>
        <w:rPr>
          <w:lang w:val="en-US"/>
        </w:rPr>
        <w:br/>
        <w:t>stations using noise reduction techniques</w:t>
      </w:r>
    </w:p>
    <w:p w:rsidR="00276BD2" w:rsidRPr="00276BD2" w:rsidRDefault="00276BD2">
      <w:pPr>
        <w:pStyle w:val="Recdate"/>
        <w:rPr>
          <w:lang w:val="en-US"/>
        </w:rPr>
      </w:pPr>
      <w:r w:rsidRPr="00276BD2">
        <w:rPr>
          <w:lang w:val="en-US"/>
        </w:rPr>
        <w:t>(2004)</w:t>
      </w:r>
    </w:p>
    <w:p w:rsidR="00276BD2" w:rsidRPr="00276BD2" w:rsidRDefault="00276BD2">
      <w:pPr>
        <w:pStyle w:val="HeadingSum"/>
        <w:rPr>
          <w:lang w:val="en-US"/>
        </w:rPr>
      </w:pPr>
      <w:r w:rsidRPr="00276BD2">
        <w:rPr>
          <w:lang w:val="en-US"/>
        </w:rPr>
        <w:t>Scope</w:t>
      </w:r>
    </w:p>
    <w:p w:rsidR="00276BD2" w:rsidRDefault="00276BD2">
      <w:pPr>
        <w:pStyle w:val="Summary"/>
        <w:rPr>
          <w:lang w:val="en-US"/>
        </w:rPr>
      </w:pPr>
      <w:r w:rsidRPr="00276BD2">
        <w:rPr>
          <w:lang w:val="en-US"/>
        </w:rPr>
        <w:t>In view to protect passive services, and in particular the radio astronomy service (RAS) from interference, the measuring of low-level emissions from space stations of monitoring stations, earth stations, using noise floor reduction techniques is very important. Further to monitoring requirements, the Recommendation gives the concept to reduce the noise floor by means of digital signal processing.</w:t>
      </w:r>
    </w:p>
    <w:p w:rsidR="00552B7C" w:rsidRDefault="00552B7C" w:rsidP="00552B7C">
      <w:pPr>
        <w:pStyle w:val="Headingb"/>
        <w:rPr>
          <w:lang w:val="en-US"/>
        </w:rPr>
      </w:pPr>
      <w:r>
        <w:rPr>
          <w:lang w:val="en-US"/>
        </w:rPr>
        <w:t>Keywords</w:t>
      </w:r>
      <w:bookmarkStart w:id="0" w:name="_GoBack"/>
      <w:bookmarkEnd w:id="0"/>
    </w:p>
    <w:p w:rsidR="00552B7C" w:rsidRPr="00E43034" w:rsidRDefault="00552B7C" w:rsidP="00E43034">
      <w:pPr>
        <w:rPr>
          <w:rFonts w:eastAsia="Calibri"/>
          <w:lang w:val="en-US"/>
        </w:rPr>
      </w:pPr>
      <w:r w:rsidRPr="00E43034">
        <w:rPr>
          <w:rFonts w:eastAsia="Calibri"/>
          <w:lang w:val="en-US"/>
        </w:rPr>
        <w:t>Low-level emissions, space stations, noise reduction techniques</w:t>
      </w:r>
    </w:p>
    <w:p w:rsidR="00276BD2" w:rsidRDefault="00276BD2">
      <w:pPr>
        <w:pStyle w:val="Normalaftertitle"/>
        <w:rPr>
          <w:lang w:val="en-US"/>
        </w:rPr>
      </w:pPr>
      <w:r>
        <w:rPr>
          <w:lang w:val="en-US"/>
        </w:rPr>
        <w:t>The ITU Radiocommunication Assembly,</w:t>
      </w:r>
    </w:p>
    <w:p w:rsidR="00276BD2" w:rsidRDefault="00276BD2">
      <w:pPr>
        <w:pStyle w:val="Call"/>
        <w:rPr>
          <w:lang w:val="en-US"/>
        </w:rPr>
      </w:pPr>
      <w:r>
        <w:rPr>
          <w:lang w:val="en-US"/>
        </w:rPr>
        <w:t>considering</w:t>
      </w:r>
    </w:p>
    <w:p w:rsidR="00276BD2" w:rsidRDefault="00276BD2">
      <w:pPr>
        <w:rPr>
          <w:lang w:val="en-US"/>
        </w:rPr>
      </w:pPr>
      <w:r>
        <w:rPr>
          <w:lang w:val="en-US"/>
        </w:rPr>
        <w:t>a)</w:t>
      </w:r>
      <w:r>
        <w:rPr>
          <w:lang w:val="en-US"/>
        </w:rPr>
        <w:tab/>
        <w:t>that there is a need to protect the radio astronomy service (RAS) from interference;</w:t>
      </w:r>
    </w:p>
    <w:p w:rsidR="00276BD2" w:rsidRDefault="00276BD2">
      <w:pPr>
        <w:rPr>
          <w:lang w:val="en-US"/>
        </w:rPr>
      </w:pPr>
      <w:r>
        <w:rPr>
          <w:lang w:val="en-US"/>
        </w:rPr>
        <w:t>b)</w:t>
      </w:r>
      <w:r>
        <w:rPr>
          <w:lang w:val="en-US"/>
        </w:rPr>
        <w:tab/>
        <w:t>that the objects in space observed on frequencies used by the RAS in principle are of extremely low pfd levels when arriving on the Earth’s surface;</w:t>
      </w:r>
    </w:p>
    <w:p w:rsidR="00276BD2" w:rsidRDefault="00276BD2">
      <w:pPr>
        <w:rPr>
          <w:lang w:val="en-US"/>
        </w:rPr>
      </w:pPr>
      <w:r>
        <w:rPr>
          <w:lang w:val="en-US"/>
        </w:rPr>
        <w:t>c)</w:t>
      </w:r>
      <w:r>
        <w:rPr>
          <w:lang w:val="en-US"/>
        </w:rPr>
        <w:tab/>
        <w:t>that for such observations receive techniques have been developed the sensitivity of which allows to recognize signals far below the noise floor;</w:t>
      </w:r>
    </w:p>
    <w:p w:rsidR="00276BD2" w:rsidRDefault="00276BD2">
      <w:pPr>
        <w:rPr>
          <w:lang w:val="en-US"/>
        </w:rPr>
      </w:pPr>
      <w:r>
        <w:rPr>
          <w:lang w:val="en-US"/>
        </w:rPr>
        <w:t>d)</w:t>
      </w:r>
      <w:r>
        <w:rPr>
          <w:lang w:val="en-US"/>
        </w:rPr>
        <w:tab/>
        <w:t>that it is one of the tasks of monitoring earth stations to monitor levels of unwanted emissions of space stations as specified in the Radio Regulations;</w:t>
      </w:r>
    </w:p>
    <w:p w:rsidR="00276BD2" w:rsidRDefault="00276BD2">
      <w:pPr>
        <w:rPr>
          <w:lang w:val="en-US"/>
        </w:rPr>
      </w:pPr>
      <w:r>
        <w:rPr>
          <w:lang w:val="en-US"/>
        </w:rPr>
        <w:t>e)</w:t>
      </w:r>
      <w:r>
        <w:rPr>
          <w:lang w:val="en-US"/>
        </w:rPr>
        <w:tab/>
        <w:t>that there may be a need for the exchange of the measurement results to other parties,</w:t>
      </w:r>
    </w:p>
    <w:p w:rsidR="00276BD2" w:rsidRDefault="00276BD2">
      <w:pPr>
        <w:pStyle w:val="Call"/>
        <w:rPr>
          <w:lang w:val="en-US"/>
        </w:rPr>
      </w:pPr>
      <w:r>
        <w:rPr>
          <w:lang w:val="en-US"/>
        </w:rPr>
        <w:t>recommends</w:t>
      </w:r>
    </w:p>
    <w:p w:rsidR="00276BD2" w:rsidRDefault="00276BD2">
      <w:pPr>
        <w:rPr>
          <w:lang w:val="en-US"/>
        </w:rPr>
      </w:pPr>
      <w:r>
        <w:rPr>
          <w:b/>
          <w:bCs/>
          <w:lang w:val="en-US"/>
        </w:rPr>
        <w:t>1</w:t>
      </w:r>
      <w:r>
        <w:rPr>
          <w:lang w:val="en-US"/>
        </w:rPr>
        <w:tab/>
        <w:t xml:space="preserve">that monitoring earth stations should measure unwanted satellite emissions according to: </w:t>
      </w:r>
    </w:p>
    <w:p w:rsidR="00276BD2" w:rsidRDefault="00276BD2">
      <w:pPr>
        <w:rPr>
          <w:lang w:val="en-US"/>
        </w:rPr>
      </w:pPr>
      <w:r>
        <w:rPr>
          <w:b/>
          <w:bCs/>
          <w:lang w:val="en-US"/>
        </w:rPr>
        <w:t>1.1</w:t>
      </w:r>
      <w:r>
        <w:rPr>
          <w:lang w:val="en-US"/>
        </w:rPr>
        <w:tab/>
        <w:t>the monitoring requirements in Annex 1;</w:t>
      </w:r>
    </w:p>
    <w:p w:rsidR="00276BD2" w:rsidRDefault="00276BD2">
      <w:pPr>
        <w:rPr>
          <w:lang w:val="en-US"/>
        </w:rPr>
      </w:pPr>
      <w:r>
        <w:rPr>
          <w:b/>
          <w:bCs/>
          <w:lang w:val="en-US"/>
        </w:rPr>
        <w:t>1.2</w:t>
      </w:r>
      <w:r>
        <w:rPr>
          <w:lang w:val="en-US"/>
        </w:rPr>
        <w:tab/>
        <w:t>the concept to reduce the noise floor by means of digital signal processing as described in Annex 2;</w:t>
      </w:r>
    </w:p>
    <w:p w:rsidR="00276BD2" w:rsidRDefault="00276BD2">
      <w:pPr>
        <w:rPr>
          <w:lang w:val="en-US"/>
        </w:rPr>
      </w:pPr>
      <w:r>
        <w:rPr>
          <w:b/>
          <w:bCs/>
          <w:lang w:val="en-US"/>
        </w:rPr>
        <w:t>2</w:t>
      </w:r>
      <w:r>
        <w:rPr>
          <w:lang w:val="en-US"/>
        </w:rPr>
        <w:tab/>
        <w:t>that the results should be recorded as in Annex 3.</w:t>
      </w:r>
    </w:p>
    <w:p w:rsidR="00276BD2" w:rsidRDefault="00276BD2">
      <w:pPr>
        <w:rPr>
          <w:lang w:val="en-US"/>
        </w:rPr>
      </w:pPr>
    </w:p>
    <w:p w:rsidR="00276BD2" w:rsidRDefault="00276BD2">
      <w:pPr>
        <w:pStyle w:val="AnnexNoTitle"/>
        <w:rPr>
          <w:lang w:val="en-US"/>
        </w:rPr>
      </w:pPr>
      <w:bookmarkStart w:id="1" w:name="_Toc107985493"/>
      <w:r>
        <w:rPr>
          <w:lang w:val="en-US"/>
        </w:rPr>
        <w:lastRenderedPageBreak/>
        <w:t>Annex 1</w:t>
      </w:r>
      <w:r>
        <w:rPr>
          <w:lang w:val="en-US"/>
        </w:rPr>
        <w:br/>
      </w:r>
      <w:r>
        <w:rPr>
          <w:lang w:val="en-US"/>
        </w:rPr>
        <w:br/>
      </w:r>
      <w:r>
        <w:rPr>
          <w:rFonts w:hint="eastAsia"/>
          <w:lang w:val="en-US"/>
        </w:rPr>
        <w:t xml:space="preserve">Monitoring </w:t>
      </w:r>
      <w:r>
        <w:rPr>
          <w:lang w:val="en-US"/>
        </w:rPr>
        <w:t>r</w:t>
      </w:r>
      <w:r>
        <w:rPr>
          <w:rFonts w:hint="eastAsia"/>
          <w:lang w:val="en-US"/>
        </w:rPr>
        <w:t>equirements</w:t>
      </w:r>
      <w:bookmarkEnd w:id="1"/>
    </w:p>
    <w:p w:rsidR="00276BD2" w:rsidRDefault="00276BD2">
      <w:pPr>
        <w:pStyle w:val="Heading1"/>
        <w:rPr>
          <w:lang w:val="en-US"/>
        </w:rPr>
      </w:pPr>
      <w:bookmarkStart w:id="2" w:name="_Toc107985494"/>
      <w:r>
        <w:rPr>
          <w:lang w:val="en-US"/>
        </w:rPr>
        <w:t>1</w:t>
      </w:r>
      <w:r>
        <w:rPr>
          <w:lang w:val="en-US"/>
        </w:rPr>
        <w:tab/>
      </w:r>
      <w:r>
        <w:rPr>
          <w:rFonts w:hint="eastAsia"/>
          <w:lang w:val="en-US"/>
        </w:rPr>
        <w:t>Introduction</w:t>
      </w:r>
      <w:bookmarkEnd w:id="2"/>
    </w:p>
    <w:p w:rsidR="00276BD2" w:rsidRDefault="00276BD2">
      <w:pPr>
        <w:rPr>
          <w:lang w:val="en-US"/>
        </w:rPr>
      </w:pPr>
      <w:r>
        <w:rPr>
          <w:rFonts w:hint="eastAsia"/>
          <w:lang w:val="en-US"/>
        </w:rPr>
        <w:t xml:space="preserve">To </w:t>
      </w:r>
      <w:r>
        <w:rPr>
          <w:lang w:val="en-US"/>
        </w:rPr>
        <w:t>measure</w:t>
      </w:r>
      <w:r>
        <w:rPr>
          <w:rFonts w:hint="eastAsia"/>
          <w:lang w:val="en-US"/>
        </w:rPr>
        <w:t xml:space="preserve"> low-level </w:t>
      </w:r>
      <w:r>
        <w:rPr>
          <w:lang w:val="en-US"/>
        </w:rPr>
        <w:t>spurious</w:t>
      </w:r>
      <w:r>
        <w:rPr>
          <w:rFonts w:hint="eastAsia"/>
          <w:lang w:val="en-US"/>
        </w:rPr>
        <w:t xml:space="preserve"> and out-of-band </w:t>
      </w:r>
      <w:r>
        <w:rPr>
          <w:lang w:val="en-US"/>
        </w:rPr>
        <w:t>emissions</w:t>
      </w:r>
      <w:r>
        <w:rPr>
          <w:rFonts w:hint="eastAsia"/>
          <w:lang w:val="en-US"/>
        </w:rPr>
        <w:t xml:space="preserve"> for the protection of </w:t>
      </w:r>
      <w:r>
        <w:rPr>
          <w:lang w:val="en-US"/>
        </w:rPr>
        <w:t>the RAS</w:t>
      </w:r>
      <w:r>
        <w:rPr>
          <w:rFonts w:hint="eastAsia"/>
          <w:lang w:val="en-US"/>
        </w:rPr>
        <w:t xml:space="preserve"> a space monitoring facility should be aware of the following requirements</w:t>
      </w:r>
      <w:r>
        <w:rPr>
          <w:lang w:val="en-US"/>
        </w:rPr>
        <w:t>.</w:t>
      </w:r>
    </w:p>
    <w:p w:rsidR="00276BD2" w:rsidRDefault="00276BD2">
      <w:pPr>
        <w:pStyle w:val="Heading1"/>
        <w:rPr>
          <w:lang w:val="en-US"/>
        </w:rPr>
      </w:pPr>
      <w:bookmarkStart w:id="3" w:name="_Toc107985495"/>
      <w:r>
        <w:rPr>
          <w:rFonts w:hint="eastAsia"/>
          <w:lang w:val="en-US"/>
        </w:rPr>
        <w:t>2</w:t>
      </w:r>
      <w:r>
        <w:rPr>
          <w:rFonts w:hint="eastAsia"/>
          <w:lang w:val="en-US"/>
        </w:rPr>
        <w:tab/>
        <w:t>Monitoring pre-requisites</w:t>
      </w:r>
      <w:bookmarkEnd w:id="3"/>
    </w:p>
    <w:p w:rsidR="00276BD2" w:rsidRDefault="00276BD2">
      <w:pPr>
        <w:rPr>
          <w:lang w:val="en-US"/>
        </w:rPr>
      </w:pPr>
      <w:r>
        <w:rPr>
          <w:b/>
          <w:bCs/>
          <w:lang w:val="en-US"/>
        </w:rPr>
        <w:t>2.1</w:t>
      </w:r>
      <w:r>
        <w:rPr>
          <w:lang w:val="en-US"/>
        </w:rPr>
        <w:tab/>
      </w:r>
      <w:r>
        <w:rPr>
          <w:rFonts w:hint="eastAsia"/>
          <w:lang w:val="en-US"/>
        </w:rPr>
        <w:t xml:space="preserve">An understanding of the pfd levels of the </w:t>
      </w:r>
      <w:r>
        <w:rPr>
          <w:lang w:val="en-US"/>
        </w:rPr>
        <w:t>RAS</w:t>
      </w:r>
      <w:r>
        <w:rPr>
          <w:rFonts w:hint="eastAsia"/>
          <w:lang w:val="en-US"/>
        </w:rPr>
        <w:t xml:space="preserve"> to be protected</w:t>
      </w:r>
      <w:r>
        <w:rPr>
          <w:lang w:val="en-US"/>
        </w:rPr>
        <w:t>.</w:t>
      </w:r>
    </w:p>
    <w:p w:rsidR="00276BD2" w:rsidRDefault="00276BD2">
      <w:pPr>
        <w:rPr>
          <w:lang w:val="en-US"/>
        </w:rPr>
      </w:pPr>
      <w:r>
        <w:rPr>
          <w:b/>
          <w:bCs/>
          <w:lang w:val="en-US"/>
        </w:rPr>
        <w:t>2.2</w:t>
      </w:r>
      <w:r>
        <w:rPr>
          <w:lang w:val="en-US"/>
        </w:rPr>
        <w:tab/>
      </w:r>
      <w:r>
        <w:rPr>
          <w:rFonts w:hint="eastAsia"/>
          <w:lang w:val="en-US"/>
        </w:rPr>
        <w:t xml:space="preserve">The technical capacity to perform the monitoring of </w:t>
      </w:r>
      <w:r>
        <w:rPr>
          <w:lang w:val="en-US"/>
        </w:rPr>
        <w:t>low-level</w:t>
      </w:r>
      <w:r>
        <w:rPr>
          <w:rFonts w:hint="eastAsia"/>
          <w:lang w:val="en-US"/>
        </w:rPr>
        <w:t xml:space="preserve"> </w:t>
      </w:r>
      <w:r>
        <w:rPr>
          <w:lang w:val="en-US"/>
        </w:rPr>
        <w:t>emissions.</w:t>
      </w:r>
    </w:p>
    <w:p w:rsidR="00276BD2" w:rsidRDefault="00276BD2">
      <w:pPr>
        <w:rPr>
          <w:lang w:val="en-US"/>
        </w:rPr>
      </w:pPr>
      <w:r>
        <w:rPr>
          <w:b/>
          <w:bCs/>
          <w:lang w:val="en-US"/>
        </w:rPr>
        <w:t>2.3</w:t>
      </w:r>
      <w:r>
        <w:rPr>
          <w:lang w:val="en-US"/>
        </w:rPr>
        <w:tab/>
      </w:r>
      <w:r>
        <w:rPr>
          <w:rFonts w:hint="eastAsia"/>
          <w:lang w:val="en-US"/>
        </w:rPr>
        <w:t xml:space="preserve">Order of magnitude of noise floor reduction as compared to the normal space monitoring </w:t>
      </w:r>
      <w:r>
        <w:rPr>
          <w:lang w:val="en-US"/>
        </w:rPr>
        <w:t>criteria</w:t>
      </w:r>
      <w:r>
        <w:rPr>
          <w:rFonts w:hint="eastAsia"/>
          <w:lang w:val="en-US"/>
        </w:rPr>
        <w:t xml:space="preserve"> for the monitoring of space communication fixed and broadcasting services</w:t>
      </w:r>
      <w:r>
        <w:rPr>
          <w:lang w:val="en-US"/>
        </w:rPr>
        <w:t>.</w:t>
      </w:r>
    </w:p>
    <w:p w:rsidR="00276BD2" w:rsidRDefault="00276BD2">
      <w:pPr>
        <w:pStyle w:val="Heading1"/>
        <w:rPr>
          <w:lang w:val="en-US"/>
        </w:rPr>
      </w:pPr>
      <w:bookmarkStart w:id="4" w:name="_Toc107985496"/>
      <w:r>
        <w:rPr>
          <w:lang w:val="en-US"/>
        </w:rPr>
        <w:t>3</w:t>
      </w:r>
      <w:r>
        <w:rPr>
          <w:lang w:val="en-US"/>
        </w:rPr>
        <w:tab/>
      </w:r>
      <w:r>
        <w:rPr>
          <w:rFonts w:hint="eastAsia"/>
          <w:lang w:val="en-US"/>
        </w:rPr>
        <w:t>Parameters to be monitored</w:t>
      </w:r>
      <w:bookmarkEnd w:id="4"/>
    </w:p>
    <w:p w:rsidR="00276BD2" w:rsidRDefault="00276BD2">
      <w:pPr>
        <w:rPr>
          <w:bCs/>
          <w:lang w:val="en-US"/>
        </w:rPr>
      </w:pPr>
      <w:r>
        <w:rPr>
          <w:b/>
          <w:lang w:val="en-US"/>
        </w:rPr>
        <w:t>3.1</w:t>
      </w:r>
      <w:r>
        <w:rPr>
          <w:bCs/>
          <w:lang w:val="en-US"/>
        </w:rPr>
        <w:tab/>
      </w:r>
      <w:r>
        <w:rPr>
          <w:rFonts w:hint="eastAsia"/>
          <w:bCs/>
          <w:lang w:val="en-US"/>
        </w:rPr>
        <w:t xml:space="preserve">The normal space monitoring values of parameters to </w:t>
      </w:r>
      <w:r>
        <w:rPr>
          <w:bCs/>
          <w:lang w:val="en-US"/>
        </w:rPr>
        <w:t>characterize</w:t>
      </w:r>
      <w:r>
        <w:rPr>
          <w:rFonts w:hint="eastAsia"/>
          <w:bCs/>
          <w:lang w:val="en-US"/>
        </w:rPr>
        <w:t xml:space="preserve"> the sources of emission</w:t>
      </w:r>
      <w:r>
        <w:rPr>
          <w:bCs/>
          <w:lang w:val="en-US"/>
        </w:rPr>
        <w:t>,</w:t>
      </w:r>
      <w:r>
        <w:rPr>
          <w:rFonts w:hint="eastAsia"/>
          <w:bCs/>
          <w:lang w:val="en-US"/>
        </w:rPr>
        <w:t xml:space="preserve"> </w:t>
      </w:r>
      <w:r>
        <w:rPr>
          <w:bCs/>
          <w:lang w:val="en-US"/>
        </w:rPr>
        <w:t>i.e.</w:t>
      </w:r>
      <w:r>
        <w:rPr>
          <w:rFonts w:hint="eastAsia"/>
          <w:bCs/>
          <w:lang w:val="en-US"/>
        </w:rPr>
        <w:t xml:space="preserve"> frequency, orbital position, or elements, time, power density, </w:t>
      </w:r>
      <w:r>
        <w:rPr>
          <w:bCs/>
          <w:lang w:val="en-US"/>
        </w:rPr>
        <w:t>polarization,</w:t>
      </w:r>
      <w:r>
        <w:rPr>
          <w:rFonts w:hint="eastAsia"/>
          <w:bCs/>
          <w:lang w:val="en-US"/>
        </w:rPr>
        <w:t xml:space="preserve"> bandwidth</w:t>
      </w:r>
      <w:r>
        <w:rPr>
          <w:bCs/>
          <w:lang w:val="en-US"/>
        </w:rPr>
        <w:t>, modulation,</w:t>
      </w:r>
      <w:r>
        <w:rPr>
          <w:rFonts w:hint="eastAsia"/>
          <w:bCs/>
          <w:lang w:val="en-US"/>
        </w:rPr>
        <w:t xml:space="preserve"> </w:t>
      </w:r>
      <w:r>
        <w:rPr>
          <w:bCs/>
          <w:lang w:val="en-US"/>
        </w:rPr>
        <w:t xml:space="preserve">spectral characteristics, access method, </w:t>
      </w:r>
      <w:r>
        <w:rPr>
          <w:rFonts w:hint="eastAsia"/>
          <w:bCs/>
          <w:lang w:val="en-US"/>
        </w:rPr>
        <w:t>and</w:t>
      </w:r>
      <w:r>
        <w:rPr>
          <w:bCs/>
          <w:lang w:val="en-US"/>
        </w:rPr>
        <w:t xml:space="preserve"> continuous wave/burst transmission</w:t>
      </w:r>
      <w:r>
        <w:rPr>
          <w:rFonts w:hint="eastAsia"/>
          <w:bCs/>
          <w:lang w:val="en-US"/>
        </w:rPr>
        <w:t>.</w:t>
      </w:r>
    </w:p>
    <w:p w:rsidR="00276BD2" w:rsidRDefault="00276BD2">
      <w:pPr>
        <w:rPr>
          <w:bCs/>
          <w:lang w:val="en-US"/>
        </w:rPr>
      </w:pPr>
      <w:r>
        <w:rPr>
          <w:b/>
          <w:lang w:val="en-US"/>
        </w:rPr>
        <w:t>3.2</w:t>
      </w:r>
      <w:r>
        <w:rPr>
          <w:bCs/>
          <w:lang w:val="en-US"/>
        </w:rPr>
        <w:tab/>
      </w:r>
      <w:r>
        <w:rPr>
          <w:rFonts w:hint="eastAsia"/>
          <w:bCs/>
          <w:lang w:val="en-US"/>
        </w:rPr>
        <w:t xml:space="preserve">The power density of emission should be recorded as </w:t>
      </w:r>
      <w:r>
        <w:rPr>
          <w:bCs/>
          <w:lang w:val="en-US"/>
        </w:rPr>
        <w:t>pfd</w:t>
      </w:r>
      <w:r>
        <w:rPr>
          <w:rFonts w:hint="eastAsia"/>
          <w:bCs/>
          <w:lang w:val="en-US"/>
        </w:rPr>
        <w:t xml:space="preserve"> </w:t>
      </w:r>
      <w:r>
        <w:rPr>
          <w:bCs/>
          <w:lang w:val="en-US"/>
        </w:rPr>
        <w:t>and spectral</w:t>
      </w:r>
      <w:r>
        <w:rPr>
          <w:rFonts w:hint="eastAsia"/>
          <w:bCs/>
          <w:lang w:val="en-US"/>
        </w:rPr>
        <w:t xml:space="preserve"> </w:t>
      </w:r>
      <w:r>
        <w:rPr>
          <w:bCs/>
          <w:lang w:val="en-US"/>
        </w:rPr>
        <w:t>pfd.</w:t>
      </w:r>
    </w:p>
    <w:p w:rsidR="00276BD2" w:rsidRDefault="00276BD2">
      <w:pPr>
        <w:pStyle w:val="Heading1"/>
        <w:rPr>
          <w:lang w:val="en-US"/>
        </w:rPr>
      </w:pPr>
      <w:bookmarkStart w:id="5" w:name="_Toc107985497"/>
      <w:r>
        <w:rPr>
          <w:rFonts w:hint="eastAsia"/>
          <w:lang w:val="en-US"/>
        </w:rPr>
        <w:t>4</w:t>
      </w:r>
      <w:r>
        <w:rPr>
          <w:rFonts w:hint="eastAsia"/>
          <w:lang w:val="en-US"/>
        </w:rPr>
        <w:tab/>
        <w:t>Monitoring procedure</w:t>
      </w:r>
      <w:r>
        <w:rPr>
          <w:lang w:val="en-US"/>
        </w:rPr>
        <w:t xml:space="preserve"> (see also ITU-R Handbook – Spectrum Monitoring)</w:t>
      </w:r>
      <w:bookmarkEnd w:id="5"/>
    </w:p>
    <w:p w:rsidR="00276BD2" w:rsidRDefault="00276BD2">
      <w:pPr>
        <w:rPr>
          <w:lang w:val="en-US"/>
        </w:rPr>
      </w:pPr>
      <w:r>
        <w:rPr>
          <w:rFonts w:hint="eastAsia"/>
          <w:b/>
          <w:bCs/>
          <w:lang w:val="en-US"/>
        </w:rPr>
        <w:t>4.1</w:t>
      </w:r>
      <w:r>
        <w:rPr>
          <w:lang w:val="en-US"/>
        </w:rPr>
        <w:tab/>
        <w:t>Acquisition</w:t>
      </w:r>
      <w:r>
        <w:rPr>
          <w:rFonts w:hint="eastAsia"/>
          <w:lang w:val="en-US"/>
        </w:rPr>
        <w:t xml:space="preserve"> of interfering source</w:t>
      </w:r>
      <w:r>
        <w:rPr>
          <w:lang w:val="en-US"/>
        </w:rPr>
        <w:t>.</w:t>
      </w:r>
    </w:p>
    <w:p w:rsidR="00276BD2" w:rsidRDefault="00276BD2">
      <w:pPr>
        <w:rPr>
          <w:lang w:val="en-US"/>
        </w:rPr>
      </w:pPr>
      <w:r>
        <w:rPr>
          <w:rFonts w:hint="eastAsia"/>
          <w:b/>
          <w:bCs/>
          <w:lang w:val="en-US"/>
        </w:rPr>
        <w:t>4.2</w:t>
      </w:r>
      <w:r>
        <w:rPr>
          <w:lang w:val="en-US"/>
        </w:rPr>
        <w:tab/>
      </w:r>
      <w:r>
        <w:rPr>
          <w:rFonts w:hint="eastAsia"/>
          <w:lang w:val="en-US"/>
        </w:rPr>
        <w:t>Measurement of frequency</w:t>
      </w:r>
      <w:r>
        <w:rPr>
          <w:lang w:val="en-US"/>
        </w:rPr>
        <w:t>.</w:t>
      </w:r>
    </w:p>
    <w:p w:rsidR="00276BD2" w:rsidRDefault="00276BD2">
      <w:pPr>
        <w:rPr>
          <w:lang w:val="en-US"/>
        </w:rPr>
      </w:pPr>
      <w:r>
        <w:rPr>
          <w:rFonts w:hint="eastAsia"/>
          <w:b/>
          <w:bCs/>
          <w:lang w:val="en-US"/>
        </w:rPr>
        <w:t>4.3</w:t>
      </w:r>
      <w:r>
        <w:rPr>
          <w:lang w:val="en-US"/>
        </w:rPr>
        <w:tab/>
        <w:t>Determination of</w:t>
      </w:r>
      <w:r>
        <w:rPr>
          <w:rFonts w:hint="eastAsia"/>
          <w:lang w:val="en-US"/>
        </w:rPr>
        <w:t xml:space="preserve"> </w:t>
      </w:r>
      <w:r>
        <w:rPr>
          <w:lang w:val="en-US"/>
        </w:rPr>
        <w:t>polarization.</w:t>
      </w:r>
    </w:p>
    <w:p w:rsidR="00276BD2" w:rsidRDefault="00276BD2">
      <w:pPr>
        <w:rPr>
          <w:lang w:val="en-US"/>
        </w:rPr>
      </w:pPr>
      <w:r>
        <w:rPr>
          <w:rFonts w:hint="eastAsia"/>
          <w:b/>
          <w:bCs/>
          <w:lang w:val="en-US"/>
        </w:rPr>
        <w:t>4.4</w:t>
      </w:r>
      <w:r>
        <w:rPr>
          <w:rFonts w:hint="eastAsia"/>
          <w:lang w:val="en-US"/>
        </w:rPr>
        <w:tab/>
        <w:t>Measure</w:t>
      </w:r>
      <w:r>
        <w:rPr>
          <w:lang w:val="en-US"/>
        </w:rPr>
        <w:t>ment of</w:t>
      </w:r>
      <w:r>
        <w:rPr>
          <w:rFonts w:hint="eastAsia"/>
          <w:lang w:val="en-US"/>
        </w:rPr>
        <w:t xml:space="preserve"> bandwidth</w:t>
      </w:r>
      <w:r>
        <w:rPr>
          <w:lang w:val="en-US"/>
        </w:rPr>
        <w:t>.</w:t>
      </w:r>
    </w:p>
    <w:p w:rsidR="00276BD2" w:rsidRDefault="00276BD2">
      <w:pPr>
        <w:rPr>
          <w:lang w:val="en-US"/>
        </w:rPr>
      </w:pPr>
      <w:r>
        <w:rPr>
          <w:rFonts w:hint="eastAsia"/>
          <w:b/>
          <w:bCs/>
          <w:lang w:val="en-US"/>
        </w:rPr>
        <w:t>4.5</w:t>
      </w:r>
      <w:r>
        <w:rPr>
          <w:rFonts w:hint="eastAsia"/>
          <w:lang w:val="en-US"/>
        </w:rPr>
        <w:tab/>
        <w:t>Measurement of pfd using noise reduction method described in Annex</w:t>
      </w:r>
      <w:r>
        <w:rPr>
          <w:lang w:val="en-US"/>
        </w:rPr>
        <w:t> </w:t>
      </w:r>
      <w:r>
        <w:rPr>
          <w:rFonts w:hint="eastAsia"/>
          <w:lang w:val="en-US"/>
        </w:rPr>
        <w:t>2</w:t>
      </w:r>
      <w:r>
        <w:rPr>
          <w:lang w:val="en-US"/>
        </w:rPr>
        <w:t>.</w:t>
      </w:r>
    </w:p>
    <w:p w:rsidR="00276BD2" w:rsidRDefault="00276BD2">
      <w:pPr>
        <w:pStyle w:val="Heading1"/>
        <w:rPr>
          <w:lang w:val="en-US"/>
        </w:rPr>
      </w:pPr>
      <w:bookmarkStart w:id="6" w:name="_Toc107985498"/>
      <w:r>
        <w:rPr>
          <w:rFonts w:hint="eastAsia"/>
          <w:lang w:val="en-US"/>
        </w:rPr>
        <w:t>5</w:t>
      </w:r>
      <w:r>
        <w:rPr>
          <w:rFonts w:hint="eastAsia"/>
          <w:lang w:val="en-US"/>
        </w:rPr>
        <w:tab/>
      </w:r>
      <w:r>
        <w:rPr>
          <w:lang w:val="en-US"/>
        </w:rPr>
        <w:t>Confirmation of measurement results</w:t>
      </w:r>
      <w:bookmarkEnd w:id="6"/>
    </w:p>
    <w:p w:rsidR="00276BD2" w:rsidRDefault="00276BD2">
      <w:pPr>
        <w:rPr>
          <w:lang w:val="en-US"/>
        </w:rPr>
      </w:pPr>
      <w:r>
        <w:rPr>
          <w:lang w:val="en-US"/>
        </w:rPr>
        <w:t>Where</w:t>
      </w:r>
      <w:r>
        <w:rPr>
          <w:rFonts w:hint="eastAsia"/>
          <w:lang w:val="en-US"/>
        </w:rPr>
        <w:t xml:space="preserve"> possible </w:t>
      </w:r>
      <w:r>
        <w:rPr>
          <w:lang w:val="en-US"/>
        </w:rPr>
        <w:t xml:space="preserve">the </w:t>
      </w:r>
      <w:r>
        <w:rPr>
          <w:rFonts w:hint="eastAsia"/>
          <w:lang w:val="en-US"/>
        </w:rPr>
        <w:t xml:space="preserve">results </w:t>
      </w:r>
      <w:r>
        <w:rPr>
          <w:lang w:val="en-US"/>
        </w:rPr>
        <w:t xml:space="preserve">should be </w:t>
      </w:r>
      <w:r>
        <w:rPr>
          <w:rFonts w:hint="eastAsia"/>
          <w:lang w:val="en-US"/>
        </w:rPr>
        <w:t>confirm</w:t>
      </w:r>
      <w:r>
        <w:rPr>
          <w:lang w:val="en-US"/>
        </w:rPr>
        <w:t>ed</w:t>
      </w:r>
      <w:r>
        <w:rPr>
          <w:rFonts w:hint="eastAsia"/>
          <w:lang w:val="en-US"/>
        </w:rPr>
        <w:t xml:space="preserve"> </w:t>
      </w:r>
      <w:r>
        <w:rPr>
          <w:lang w:val="en-US"/>
        </w:rPr>
        <w:t>by</w:t>
      </w:r>
      <w:r>
        <w:rPr>
          <w:rFonts w:hint="eastAsia"/>
          <w:lang w:val="en-US"/>
        </w:rPr>
        <w:t xml:space="preserve"> another monitoring </w:t>
      </w:r>
      <w:r>
        <w:rPr>
          <w:lang w:val="en-US"/>
        </w:rPr>
        <w:t xml:space="preserve">earth </w:t>
      </w:r>
      <w:r>
        <w:rPr>
          <w:rFonts w:hint="eastAsia"/>
          <w:lang w:val="en-US"/>
        </w:rPr>
        <w:t xml:space="preserve">station in </w:t>
      </w:r>
      <w:r>
        <w:rPr>
          <w:lang w:val="en-US"/>
        </w:rPr>
        <w:t>the</w:t>
      </w:r>
      <w:r>
        <w:rPr>
          <w:rFonts w:hint="eastAsia"/>
          <w:lang w:val="en-US"/>
        </w:rPr>
        <w:t xml:space="preserve"> ITU </w:t>
      </w:r>
      <w:r>
        <w:rPr>
          <w:lang w:val="en-US"/>
        </w:rPr>
        <w:t>L</w:t>
      </w:r>
      <w:r>
        <w:rPr>
          <w:rFonts w:hint="eastAsia"/>
          <w:lang w:val="en-US"/>
        </w:rPr>
        <w:t>ist o</w:t>
      </w:r>
      <w:r>
        <w:rPr>
          <w:lang w:val="en-US"/>
        </w:rPr>
        <w:t>f</w:t>
      </w:r>
      <w:r>
        <w:rPr>
          <w:rFonts w:hint="eastAsia"/>
          <w:lang w:val="en-US"/>
        </w:rPr>
        <w:t xml:space="preserve"> </w:t>
      </w:r>
      <w:r>
        <w:rPr>
          <w:lang w:val="en-US"/>
        </w:rPr>
        <w:t>international m</w:t>
      </w:r>
      <w:r>
        <w:rPr>
          <w:rFonts w:hint="eastAsia"/>
          <w:lang w:val="en-US"/>
        </w:rPr>
        <w:t>onitoring stations.</w:t>
      </w:r>
    </w:p>
    <w:p w:rsidR="00276BD2" w:rsidRDefault="00276BD2">
      <w:pPr>
        <w:rPr>
          <w:lang w:val="en-US"/>
        </w:rPr>
      </w:pPr>
    </w:p>
    <w:p w:rsidR="00276BD2" w:rsidRDefault="00276BD2">
      <w:pPr>
        <w:pStyle w:val="AnnexNoTitle"/>
        <w:rPr>
          <w:lang w:val="en-US"/>
        </w:rPr>
      </w:pPr>
      <w:bookmarkStart w:id="7" w:name="_Toc107985499"/>
      <w:r>
        <w:rPr>
          <w:lang w:val="en-US"/>
        </w:rPr>
        <w:lastRenderedPageBreak/>
        <w:t>Annex 2</w:t>
      </w:r>
      <w:r>
        <w:rPr>
          <w:u w:val="single"/>
          <w:lang w:val="en-US"/>
        </w:rPr>
        <w:br/>
      </w:r>
      <w:r>
        <w:rPr>
          <w:u w:val="single"/>
          <w:lang w:val="en-US"/>
        </w:rPr>
        <w:br/>
      </w:r>
      <w:r>
        <w:rPr>
          <w:lang w:val="en-US"/>
        </w:rPr>
        <w:t xml:space="preserve">Concept to reduce the noise floor by </w:t>
      </w:r>
      <w:r>
        <w:rPr>
          <w:lang w:val="en-US"/>
        </w:rPr>
        <w:br/>
        <w:t>means of digital signal processing</w:t>
      </w:r>
      <w:bookmarkEnd w:id="7"/>
    </w:p>
    <w:p w:rsidR="00276BD2" w:rsidRDefault="00276BD2">
      <w:pPr>
        <w:pStyle w:val="Heading1"/>
        <w:rPr>
          <w:lang w:val="en-US"/>
        </w:rPr>
      </w:pPr>
      <w:bookmarkStart w:id="8" w:name="_Toc107985500"/>
      <w:r>
        <w:rPr>
          <w:lang w:val="en-US"/>
        </w:rPr>
        <w:t>1</w:t>
      </w:r>
      <w:r>
        <w:rPr>
          <w:lang w:val="en-US"/>
        </w:rPr>
        <w:tab/>
      </w:r>
      <w:r>
        <w:rPr>
          <w:rFonts w:hint="eastAsia"/>
          <w:lang w:val="en-US"/>
        </w:rPr>
        <w:t>Introduction</w:t>
      </w:r>
      <w:bookmarkEnd w:id="8"/>
    </w:p>
    <w:p w:rsidR="00276BD2" w:rsidRDefault="00276BD2">
      <w:pPr>
        <w:rPr>
          <w:b/>
          <w:lang w:val="en-US"/>
        </w:rPr>
      </w:pPr>
      <w:r>
        <w:rPr>
          <w:lang w:val="en-US"/>
        </w:rPr>
        <w:t>In order to protect the RAS there are pfd limits specified that are below the noise floor for usual monitoring facilities. To reduce the noise floor different possibilities may exist. This concept here defines a method using digital signal processing.</w:t>
      </w:r>
    </w:p>
    <w:p w:rsidR="00276BD2" w:rsidRDefault="00276BD2">
      <w:pPr>
        <w:pStyle w:val="Heading1"/>
        <w:rPr>
          <w:lang w:val="en-US"/>
        </w:rPr>
      </w:pPr>
      <w:bookmarkStart w:id="9" w:name="_Toc107985501"/>
      <w:r>
        <w:rPr>
          <w:lang w:val="en-US"/>
        </w:rPr>
        <w:t>2</w:t>
      </w:r>
      <w:r>
        <w:rPr>
          <w:lang w:val="en-US"/>
        </w:rPr>
        <w:tab/>
        <w:t>Technical principle</w:t>
      </w:r>
      <w:bookmarkEnd w:id="9"/>
    </w:p>
    <w:p w:rsidR="00276BD2" w:rsidRDefault="00276BD2">
      <w:pPr>
        <w:rPr>
          <w:lang w:val="en-US"/>
        </w:rPr>
      </w:pPr>
      <w:r>
        <w:rPr>
          <w:lang w:val="en-US"/>
        </w:rPr>
        <w:t>The RF signal to be monitored is received by a directive antenna, and is then down converted to the IF level. The analogue IF signal is converted to digital signal samples. This digitized signal is then converted to the digital baseband. After that the conversion from the time domain into the frequency domain is achieved by means of the fast Fourier transformation (FFT). This measurement is repeated typically 10 000 times in order to acquire 10 000 recorded spectra.</w:t>
      </w:r>
    </w:p>
    <w:p w:rsidR="00276BD2" w:rsidRDefault="00276BD2">
      <w:pPr>
        <w:tabs>
          <w:tab w:val="left" w:pos="709"/>
        </w:tabs>
        <w:rPr>
          <w:lang w:val="en-US"/>
        </w:rPr>
      </w:pPr>
      <w:r>
        <w:rPr>
          <w:lang w:val="en-US"/>
        </w:rPr>
        <w:t>This whole previous procedure is repeated to record comparison signals. For non-geostationary satellites this is done across the sky along the same track of the now absent satellite. For geostationary satellites the monitoring antenna needs to depart slightly from the orbit position. In both cases the comparison signals are recorded in the same environment including the noise of the station itself, however, without the wanted satellite. These 10 000 spectra for comparison contain the noise but no satellite signal.</w:t>
      </w:r>
    </w:p>
    <w:p w:rsidR="00276BD2" w:rsidRDefault="00276BD2">
      <w:pPr>
        <w:tabs>
          <w:tab w:val="left" w:pos="709"/>
        </w:tabs>
        <w:rPr>
          <w:lang w:val="en-US"/>
        </w:rPr>
      </w:pPr>
      <w:r>
        <w:rPr>
          <w:lang w:val="en-US"/>
        </w:rPr>
        <w:t xml:space="preserve">At this point additional processing may take place, e.g. to eliminate Doppler shift where applicable. </w:t>
      </w:r>
    </w:p>
    <w:p w:rsidR="00276BD2" w:rsidRDefault="00276BD2">
      <w:pPr>
        <w:tabs>
          <w:tab w:val="left" w:pos="7938"/>
        </w:tabs>
        <w:rPr>
          <w:lang w:val="en-US"/>
        </w:rPr>
      </w:pPr>
      <w:r>
        <w:rPr>
          <w:lang w:val="en-US"/>
        </w:rPr>
        <w:t>Then the spectra of both wanted and comparison signals are averaged, and the linear values thereof subtracted. The result is a pfd spectrum of the relevant satellite emission with the noise suppressed in the order of typically 10 to 20 dB.</w:t>
      </w:r>
    </w:p>
    <w:p w:rsidR="00276BD2" w:rsidRDefault="00276BD2">
      <w:pPr>
        <w:tabs>
          <w:tab w:val="left" w:pos="7938"/>
        </w:tabs>
        <w:rPr>
          <w:lang w:val="en-US"/>
        </w:rPr>
      </w:pPr>
      <w:r>
        <w:rPr>
          <w:lang w:val="en-US"/>
        </w:rPr>
        <w:t>This method makes use of the fact that the wanted signal contributes with each of the large number of spectra to its appearance, whereas the noise in the large number of spectra cancels itself out due to its statistical properties.</w:t>
      </w:r>
    </w:p>
    <w:p w:rsidR="00276BD2" w:rsidRDefault="00276BD2">
      <w:pPr>
        <w:tabs>
          <w:tab w:val="left" w:pos="7938"/>
        </w:tabs>
        <w:rPr>
          <w:lang w:val="en-US"/>
        </w:rPr>
      </w:pPr>
      <w:r>
        <w:rPr>
          <w:lang w:val="en-US"/>
        </w:rPr>
        <w:t xml:space="preserve">The subtraction of the comparison spectra from the satellite spectra is for eliminating also interference sources recorded with the noise in both series of spectra. </w:t>
      </w:r>
    </w:p>
    <w:p w:rsidR="00276BD2" w:rsidRDefault="00276BD2">
      <w:pPr>
        <w:tabs>
          <w:tab w:val="left" w:pos="7938"/>
        </w:tabs>
        <w:rPr>
          <w:lang w:val="en-US"/>
        </w:rPr>
      </w:pPr>
      <w:r>
        <w:rPr>
          <w:lang w:val="en-US"/>
        </w:rPr>
        <w:t>A true correlative method could improve the suppression of the noise level even more.</w:t>
      </w:r>
    </w:p>
    <w:p w:rsidR="00276BD2" w:rsidRDefault="00276BD2">
      <w:pPr>
        <w:pStyle w:val="Heading1"/>
        <w:rPr>
          <w:lang w:val="en-US"/>
        </w:rPr>
      </w:pPr>
      <w:bookmarkStart w:id="10" w:name="_Toc107985502"/>
      <w:r>
        <w:rPr>
          <w:lang w:val="en-US"/>
        </w:rPr>
        <w:t>3</w:t>
      </w:r>
      <w:r>
        <w:rPr>
          <w:lang w:val="en-US"/>
        </w:rPr>
        <w:tab/>
        <w:t>Concept of hardware and software</w:t>
      </w:r>
      <w:bookmarkEnd w:id="10"/>
    </w:p>
    <w:p w:rsidR="00276BD2" w:rsidRDefault="00276BD2">
      <w:pPr>
        <w:rPr>
          <w:lang w:val="en-US"/>
        </w:rPr>
      </w:pPr>
      <w:r>
        <w:rPr>
          <w:lang w:val="en-US"/>
        </w:rPr>
        <w:t>The block diagram for monitoring below the noise floor is shown in Fig. 1.</w:t>
      </w:r>
    </w:p>
    <w:p w:rsidR="00276BD2" w:rsidRDefault="00276BD2">
      <w:pPr>
        <w:pStyle w:val="Heading2"/>
      </w:pPr>
      <w:bookmarkStart w:id="11" w:name="_Toc107985503"/>
      <w:r>
        <w:t>3.1</w:t>
      </w:r>
      <w:r>
        <w:tab/>
        <w:t>Hardware</w:t>
      </w:r>
      <w:bookmarkEnd w:id="11"/>
    </w:p>
    <w:p w:rsidR="00276BD2" w:rsidRDefault="00276BD2"/>
    <w:p w:rsidR="00276BD2" w:rsidRDefault="00276BD2">
      <w:pPr>
        <w:pStyle w:val="FigureNo"/>
      </w:pPr>
      <w:r>
        <w:object w:dxaOrig="9748" w:dyaOrig="35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174.75pt" o:ole="" o:allowoverlap="f">
            <v:imagedata r:id="rId6" o:title=""/>
          </v:shape>
          <o:OLEObject Type="Embed" ProgID="CorelDRAW.Graphic.12" ShapeID="_x0000_i1025" DrawAspect="Content" ObjectID="_1648620085" r:id="rId7"/>
        </w:object>
      </w:r>
    </w:p>
    <w:p w:rsidR="00276BD2" w:rsidRDefault="00276BD2">
      <w:pPr>
        <w:rPr>
          <w:lang w:val="en-US"/>
        </w:rPr>
      </w:pPr>
    </w:p>
    <w:p w:rsidR="00276BD2" w:rsidRDefault="00276BD2">
      <w:pPr>
        <w:rPr>
          <w:lang w:val="en-US"/>
        </w:rPr>
      </w:pPr>
      <w:r>
        <w:rPr>
          <w:lang w:val="en-US"/>
        </w:rPr>
        <w:t>The difference between the two hardware solutions shown in Fig. 1 lays in the equipment separation, i.e. the connection between different locations is done in solution 1 after the FFT conversion; in solution 2 the connection is accomplished before the FFT conversion. Therefore the type of connection between locations may be one criterion for one or the other solution. Other criteria may be the commercial availability of equipment component blocks and the maximum frequency band to be monitored.</w:t>
      </w:r>
    </w:p>
    <w:p w:rsidR="00276BD2" w:rsidRDefault="00276BD2">
      <w:pPr>
        <w:pStyle w:val="Heading2"/>
        <w:rPr>
          <w:lang w:val="en-US"/>
        </w:rPr>
      </w:pPr>
      <w:bookmarkStart w:id="12" w:name="_Toc107985504"/>
      <w:r>
        <w:rPr>
          <w:lang w:val="en-US"/>
        </w:rPr>
        <w:t xml:space="preserve">3.2 </w:t>
      </w:r>
      <w:r>
        <w:rPr>
          <w:lang w:val="en-US"/>
        </w:rPr>
        <w:tab/>
        <w:t>Software</w:t>
      </w:r>
      <w:bookmarkEnd w:id="12"/>
    </w:p>
    <w:p w:rsidR="00276BD2" w:rsidRDefault="00276BD2">
      <w:pPr>
        <w:keepNext/>
        <w:rPr>
          <w:lang w:val="en-US"/>
        </w:rPr>
      </w:pPr>
      <w:r>
        <w:rPr>
          <w:lang w:val="en-US"/>
        </w:rPr>
        <w:t>The software depends to a large extent on the hardware solution chosen. Therefore here the concept is best described as an example:</w:t>
      </w:r>
    </w:p>
    <w:p w:rsidR="00276BD2" w:rsidRDefault="00276BD2">
      <w:pPr>
        <w:rPr>
          <w:lang w:val="en-US"/>
        </w:rPr>
      </w:pPr>
      <w:r>
        <w:rPr>
          <w:lang w:val="en-US"/>
        </w:rPr>
        <w:t>Assuming an A/D converter with 70 MHz IF, 95 MSamples/s sampling rate and half-band decimation is used. That would result, without decimation, in a bandwidth of:</w:t>
      </w:r>
    </w:p>
    <w:p w:rsidR="00276BD2" w:rsidRDefault="00276BD2">
      <w:pPr>
        <w:pStyle w:val="Equation"/>
        <w:rPr>
          <w:lang w:val="en-US"/>
        </w:rPr>
      </w:pPr>
      <w:r>
        <w:rPr>
          <w:lang w:val="en-US"/>
        </w:rPr>
        <w:tab/>
      </w:r>
      <w:r>
        <w:rPr>
          <w:lang w:val="en-US"/>
        </w:rPr>
        <w:tab/>
        <w:t xml:space="preserve">0.4 </w:t>
      </w:r>
      <w:r>
        <w:sym w:font="Symbol" w:char="F0B4"/>
      </w:r>
      <w:r>
        <w:rPr>
          <w:lang w:val="en-US"/>
        </w:rPr>
        <w:t xml:space="preserve"> 95 MSamples/s = 38 MHz</w:t>
      </w:r>
    </w:p>
    <w:p w:rsidR="00276BD2" w:rsidRDefault="00276BD2">
      <w:pPr>
        <w:rPr>
          <w:lang w:val="en-US"/>
        </w:rPr>
      </w:pPr>
      <w:r>
        <w:rPr>
          <w:lang w:val="en-US"/>
        </w:rPr>
        <w:t>Decimated by 4 results in 95/4 = 23.75 MSamples/s and 38/4 = 9.5 MHz bandwidth.</w:t>
      </w:r>
    </w:p>
    <w:p w:rsidR="00276BD2" w:rsidRDefault="00276BD2">
      <w:pPr>
        <w:rPr>
          <w:lang w:val="en-US"/>
        </w:rPr>
      </w:pPr>
      <w:r>
        <w:rPr>
          <w:lang w:val="en-US"/>
        </w:rPr>
        <w:t>Sampling an input signal for 10 min results in:</w:t>
      </w:r>
    </w:p>
    <w:p w:rsidR="00276BD2" w:rsidRDefault="00276BD2">
      <w:pPr>
        <w:pStyle w:val="Equation"/>
        <w:rPr>
          <w:lang w:val="en-US"/>
        </w:rPr>
      </w:pPr>
      <w:r>
        <w:rPr>
          <w:lang w:val="en-US"/>
        </w:rPr>
        <w:tab/>
      </w:r>
      <w:r>
        <w:rPr>
          <w:lang w:val="en-US"/>
        </w:rPr>
        <w:tab/>
        <w:t xml:space="preserve">10 </w:t>
      </w:r>
      <w:r>
        <w:sym w:font="Symbol" w:char="F0B4"/>
      </w:r>
      <w:r>
        <w:rPr>
          <w:lang w:val="en-US"/>
        </w:rPr>
        <w:t xml:space="preserve"> 60 </w:t>
      </w:r>
      <w:r>
        <w:sym w:font="Symbol" w:char="F0B4"/>
      </w:r>
      <w:r>
        <w:rPr>
          <w:lang w:val="en-US"/>
        </w:rPr>
        <w:t xml:space="preserve"> 23.75 = 14 250 MSamples</w:t>
      </w:r>
    </w:p>
    <w:p w:rsidR="00276BD2" w:rsidRDefault="00276BD2">
      <w:pPr>
        <w:rPr>
          <w:lang w:val="en-US"/>
        </w:rPr>
      </w:pPr>
      <w:r>
        <w:rPr>
          <w:lang w:val="en-US"/>
        </w:rPr>
        <w:t>Using a 16 384 points FFT results in 869 750 separate spectra which can be added for averaging.</w:t>
      </w:r>
    </w:p>
    <w:p w:rsidR="00276BD2" w:rsidRDefault="00276BD2">
      <w:pPr>
        <w:rPr>
          <w:lang w:val="en-US"/>
        </w:rPr>
      </w:pPr>
      <w:r>
        <w:rPr>
          <w:lang w:val="en-US"/>
        </w:rPr>
        <w:t xml:space="preserve">In that example it is assumed that enough RAM is available to store that large amount of sampled data, or the signal processing is fast enough to work in real time. If that amount of RAM or the processing speed is not available, the 10 min interval can be digitized in several bursts of data collection and pauses. </w:t>
      </w:r>
    </w:p>
    <w:p w:rsidR="00276BD2" w:rsidRDefault="00276BD2">
      <w:pPr>
        <w:pStyle w:val="Heading1"/>
        <w:rPr>
          <w:lang w:val="en-US"/>
        </w:rPr>
      </w:pPr>
      <w:bookmarkStart w:id="13" w:name="_Toc107985505"/>
      <w:r>
        <w:rPr>
          <w:lang w:val="en-US"/>
        </w:rPr>
        <w:t>4</w:t>
      </w:r>
      <w:r>
        <w:rPr>
          <w:lang w:val="en-US"/>
        </w:rPr>
        <w:tab/>
        <w:t>Monitoring strategy</w:t>
      </w:r>
      <w:bookmarkEnd w:id="13"/>
    </w:p>
    <w:p w:rsidR="00276BD2" w:rsidRDefault="00276BD2">
      <w:pPr>
        <w:rPr>
          <w:lang w:val="en-US"/>
        </w:rPr>
      </w:pPr>
      <w:r>
        <w:rPr>
          <w:lang w:val="en-US"/>
        </w:rPr>
        <w:t>In normal practice the interfering signal is an unwanted emission generated by an emission on an assigned frequency. In such a case the knowledge of the properties of that emission is essential.</w:t>
      </w:r>
    </w:p>
    <w:p w:rsidR="00276BD2" w:rsidRDefault="00276BD2">
      <w:pPr>
        <w:rPr>
          <w:lang w:val="en-US"/>
        </w:rPr>
      </w:pPr>
      <w:r>
        <w:rPr>
          <w:lang w:val="en-US"/>
        </w:rPr>
        <w:t>The monitoring strategy is dependent very much on the technical details of tasks.</w:t>
      </w:r>
    </w:p>
    <w:p w:rsidR="00276BD2" w:rsidRDefault="00276BD2">
      <w:pPr>
        <w:keepNext/>
        <w:keepLines/>
        <w:rPr>
          <w:lang w:val="en-US"/>
        </w:rPr>
      </w:pPr>
      <w:r>
        <w:rPr>
          <w:lang w:val="en-US"/>
        </w:rPr>
        <w:t>The following criteria need to be observed in order to get appropriate results:</w:t>
      </w:r>
    </w:p>
    <w:p w:rsidR="00276BD2" w:rsidRDefault="00276BD2">
      <w:pPr>
        <w:keepNext/>
        <w:keepLines/>
        <w:rPr>
          <w:lang w:val="en-US"/>
        </w:rPr>
      </w:pPr>
      <w:r>
        <w:rPr>
          <w:lang w:val="en-US"/>
        </w:rPr>
        <w:t>Prior to each monitoring campaign the set-up is to be calibrated. The calibration process includes:</w:t>
      </w:r>
    </w:p>
    <w:p w:rsidR="00276BD2" w:rsidRDefault="00276BD2">
      <w:pPr>
        <w:pStyle w:val="enumlev1"/>
        <w:rPr>
          <w:lang w:val="en-US"/>
        </w:rPr>
      </w:pPr>
      <w:r>
        <w:rPr>
          <w:lang w:val="en-US"/>
        </w:rPr>
        <w:t>–</w:t>
      </w:r>
      <w:r>
        <w:rPr>
          <w:lang w:val="en-US"/>
        </w:rPr>
        <w:tab/>
        <w:t xml:space="preserve">RF; </w:t>
      </w:r>
    </w:p>
    <w:p w:rsidR="00276BD2" w:rsidRDefault="00276BD2">
      <w:pPr>
        <w:pStyle w:val="enumlev1"/>
        <w:rPr>
          <w:lang w:val="en-US"/>
        </w:rPr>
      </w:pPr>
      <w:r>
        <w:rPr>
          <w:lang w:val="en-US"/>
        </w:rPr>
        <w:lastRenderedPageBreak/>
        <w:t>–</w:t>
      </w:r>
      <w:r>
        <w:rPr>
          <w:lang w:val="en-US"/>
        </w:rPr>
        <w:tab/>
        <w:t xml:space="preserve">system gain; and </w:t>
      </w:r>
    </w:p>
    <w:p w:rsidR="00276BD2" w:rsidRDefault="00276BD2">
      <w:pPr>
        <w:pStyle w:val="enumlev1"/>
        <w:rPr>
          <w:lang w:val="en-US"/>
        </w:rPr>
      </w:pPr>
      <w:r>
        <w:rPr>
          <w:lang w:val="en-US"/>
        </w:rPr>
        <w:t>–</w:t>
      </w:r>
      <w:r>
        <w:rPr>
          <w:lang w:val="en-US"/>
        </w:rPr>
        <w:tab/>
        <w:t>frequency response of the system.</w:t>
      </w:r>
    </w:p>
    <w:p w:rsidR="00276BD2" w:rsidRDefault="00276BD2">
      <w:pPr>
        <w:rPr>
          <w:lang w:val="en-US"/>
        </w:rPr>
      </w:pPr>
      <w:r>
        <w:rPr>
          <w:lang w:val="en-US"/>
        </w:rPr>
        <w:t>This is achieved by using a carrier signal, a noise source, and possibly an astronomical radio source, paying attention to the appropriate amplitudes.</w:t>
      </w:r>
    </w:p>
    <w:p w:rsidR="00276BD2" w:rsidRDefault="00276BD2">
      <w:pPr>
        <w:rPr>
          <w:lang w:val="en-US"/>
        </w:rPr>
      </w:pPr>
      <w:r>
        <w:rPr>
          <w:lang w:val="en-US"/>
        </w:rPr>
        <w:t>Attention needs to be paid to select the appropriate:</w:t>
      </w:r>
    </w:p>
    <w:p w:rsidR="00276BD2" w:rsidRDefault="00276BD2">
      <w:pPr>
        <w:pStyle w:val="enumlev1"/>
        <w:rPr>
          <w:lang w:val="en-US"/>
        </w:rPr>
      </w:pPr>
      <w:r>
        <w:rPr>
          <w:lang w:val="en-US"/>
        </w:rPr>
        <w:t>–</w:t>
      </w:r>
      <w:r>
        <w:rPr>
          <w:lang w:val="en-US"/>
        </w:rPr>
        <w:tab/>
        <w:t>dynamic range: it is necessary to avoid any distortion; it may be suitable to use a filter either in the RF or IF paths to suppress strong neighbouring signals;</w:t>
      </w:r>
    </w:p>
    <w:p w:rsidR="00276BD2" w:rsidRDefault="00276BD2">
      <w:pPr>
        <w:pStyle w:val="enumlev1"/>
        <w:rPr>
          <w:lang w:val="en-US"/>
        </w:rPr>
      </w:pPr>
      <w:r>
        <w:rPr>
          <w:lang w:val="en-US"/>
        </w:rPr>
        <w:t>–</w:t>
      </w:r>
      <w:r>
        <w:rPr>
          <w:lang w:val="en-US"/>
        </w:rPr>
        <w:tab/>
        <w:t>monitoring start and stop times;</w:t>
      </w:r>
    </w:p>
    <w:p w:rsidR="00276BD2" w:rsidRDefault="00276BD2">
      <w:pPr>
        <w:pStyle w:val="enumlev1"/>
        <w:rPr>
          <w:lang w:val="en-US"/>
        </w:rPr>
      </w:pPr>
      <w:r>
        <w:rPr>
          <w:lang w:val="en-US"/>
        </w:rPr>
        <w:t>–</w:t>
      </w:r>
      <w:r>
        <w:rPr>
          <w:lang w:val="en-US"/>
        </w:rPr>
        <w:tab/>
        <w:t>span to be displayed;</w:t>
      </w:r>
    </w:p>
    <w:p w:rsidR="00276BD2" w:rsidRDefault="00276BD2">
      <w:pPr>
        <w:pStyle w:val="enumlev1"/>
        <w:rPr>
          <w:lang w:val="en-US"/>
        </w:rPr>
      </w:pPr>
      <w:r>
        <w:rPr>
          <w:lang w:val="en-US"/>
        </w:rPr>
        <w:t>–</w:t>
      </w:r>
      <w:r>
        <w:rPr>
          <w:lang w:val="en-US"/>
        </w:rPr>
        <w:tab/>
        <w:t>frequency resolution;</w:t>
      </w:r>
    </w:p>
    <w:p w:rsidR="00276BD2" w:rsidRDefault="00276BD2">
      <w:pPr>
        <w:pStyle w:val="enumlev1"/>
        <w:rPr>
          <w:lang w:val="en-US"/>
        </w:rPr>
      </w:pPr>
      <w:r>
        <w:rPr>
          <w:lang w:val="en-US"/>
        </w:rPr>
        <w:t>–</w:t>
      </w:r>
      <w:r>
        <w:rPr>
          <w:lang w:val="en-US"/>
        </w:rPr>
        <w:tab/>
        <w:t>number of averaged spectra;</w:t>
      </w:r>
    </w:p>
    <w:p w:rsidR="00276BD2" w:rsidRDefault="00276BD2">
      <w:pPr>
        <w:pStyle w:val="enumlev1"/>
        <w:rPr>
          <w:lang w:val="en-US"/>
        </w:rPr>
      </w:pPr>
      <w:r>
        <w:rPr>
          <w:lang w:val="en-US"/>
        </w:rPr>
        <w:t>–</w:t>
      </w:r>
      <w:r>
        <w:rPr>
          <w:lang w:val="en-US"/>
        </w:rPr>
        <w:tab/>
        <w:t>elimination of Doppler shift;</w:t>
      </w:r>
    </w:p>
    <w:p w:rsidR="00276BD2" w:rsidRDefault="00276BD2">
      <w:pPr>
        <w:pStyle w:val="enumlev1"/>
        <w:rPr>
          <w:lang w:val="en-US"/>
        </w:rPr>
      </w:pPr>
      <w:r>
        <w:rPr>
          <w:lang w:val="en-US"/>
        </w:rPr>
        <w:t>–</w:t>
      </w:r>
      <w:r>
        <w:rPr>
          <w:lang w:val="en-US"/>
        </w:rPr>
        <w:tab/>
        <w:t>timing of burst transmission in the case of, e.g. TDMA transmissions.</w:t>
      </w:r>
    </w:p>
    <w:p w:rsidR="00276BD2" w:rsidRDefault="00276BD2">
      <w:pPr>
        <w:rPr>
          <w:lang w:val="en-US"/>
        </w:rPr>
      </w:pPr>
      <w:r>
        <w:rPr>
          <w:lang w:val="en-US"/>
        </w:rPr>
        <w:t>These parameters above need to be adjustable by software means.</w:t>
      </w:r>
    </w:p>
    <w:p w:rsidR="00276BD2" w:rsidRDefault="00276BD2">
      <w:pPr>
        <w:rPr>
          <w:lang w:val="en-US"/>
        </w:rPr>
      </w:pPr>
      <w:r>
        <w:rPr>
          <w:lang w:val="en-US"/>
        </w:rPr>
        <w:t>In the case of non-geostationary-satellite orbital tracks should be chosen that are not too much affected by the sun, the geostationary orbit or tracks of other satellites.</w:t>
      </w:r>
    </w:p>
    <w:p w:rsidR="00276BD2" w:rsidRDefault="00276BD2">
      <w:pPr>
        <w:keepNext/>
        <w:rPr>
          <w:lang w:val="en-US"/>
        </w:rPr>
      </w:pPr>
      <w:r>
        <w:rPr>
          <w:lang w:val="en-US"/>
        </w:rPr>
        <w:t>Further steps to improve sensitivity could be considered, as follows:</w:t>
      </w:r>
    </w:p>
    <w:p w:rsidR="00276BD2" w:rsidRDefault="00276BD2">
      <w:pPr>
        <w:pStyle w:val="enumlev1"/>
        <w:rPr>
          <w:lang w:val="en-US"/>
        </w:rPr>
      </w:pPr>
      <w:r>
        <w:rPr>
          <w:lang w:val="en-US"/>
        </w:rPr>
        <w:t>–</w:t>
      </w:r>
      <w:r>
        <w:rPr>
          <w:lang w:val="en-US"/>
        </w:rPr>
        <w:tab/>
        <w:t>the recording of the comparison spectra should be done on the same elevation for atmospheric noise reasons;</w:t>
      </w:r>
    </w:p>
    <w:p w:rsidR="00276BD2" w:rsidRDefault="00276BD2">
      <w:pPr>
        <w:pStyle w:val="enumlev1"/>
        <w:rPr>
          <w:lang w:val="en-US"/>
        </w:rPr>
      </w:pPr>
      <w:r>
        <w:rPr>
          <w:lang w:val="en-US"/>
        </w:rPr>
        <w:t>–</w:t>
      </w:r>
      <w:r>
        <w:rPr>
          <w:lang w:val="en-US"/>
        </w:rPr>
        <w:tab/>
        <w:t>monitoring at night avoids the possibility of solar interference;</w:t>
      </w:r>
    </w:p>
    <w:p w:rsidR="00276BD2" w:rsidRDefault="00276BD2">
      <w:pPr>
        <w:pStyle w:val="enumlev1"/>
        <w:rPr>
          <w:lang w:val="en-US"/>
        </w:rPr>
      </w:pPr>
      <w:r>
        <w:rPr>
          <w:lang w:val="en-US"/>
        </w:rPr>
        <w:t>–</w:t>
      </w:r>
      <w:r>
        <w:rPr>
          <w:lang w:val="en-US"/>
        </w:rPr>
        <w:tab/>
        <w:t>shorter intervals between taking interference and comparison spectra may improve the noise suppression;</w:t>
      </w:r>
    </w:p>
    <w:p w:rsidR="00276BD2" w:rsidRDefault="00276BD2">
      <w:pPr>
        <w:pStyle w:val="enumlev1"/>
        <w:rPr>
          <w:lang w:val="en-US"/>
        </w:rPr>
      </w:pPr>
      <w:r>
        <w:rPr>
          <w:lang w:val="en-US"/>
        </w:rPr>
        <w:t>–</w:t>
      </w:r>
      <w:r>
        <w:rPr>
          <w:lang w:val="en-US"/>
        </w:rPr>
        <w:tab/>
        <w:t>in the case of TDMA transmissions the comparison spectra could be taken during the gaps between the bursts.</w:t>
      </w:r>
    </w:p>
    <w:p w:rsidR="00276BD2" w:rsidRDefault="00276BD2">
      <w:pPr>
        <w:pStyle w:val="AnnexNoTitle"/>
        <w:rPr>
          <w:lang w:val="en-US"/>
        </w:rPr>
      </w:pPr>
      <w:bookmarkStart w:id="14" w:name="_Toc107985506"/>
      <w:r>
        <w:rPr>
          <w:lang w:val="en-US"/>
        </w:rPr>
        <w:t>Annex 3</w:t>
      </w:r>
      <w:r>
        <w:rPr>
          <w:u w:val="single"/>
          <w:lang w:val="en-US"/>
        </w:rPr>
        <w:br/>
      </w:r>
      <w:r>
        <w:rPr>
          <w:u w:val="single"/>
          <w:lang w:val="en-US"/>
        </w:rPr>
        <w:br/>
      </w:r>
      <w:r>
        <w:rPr>
          <w:lang w:val="en-US"/>
        </w:rPr>
        <w:t>Presentation of results</w:t>
      </w:r>
      <w:bookmarkEnd w:id="14"/>
    </w:p>
    <w:p w:rsidR="00276BD2" w:rsidRDefault="00276BD2">
      <w:pPr>
        <w:rPr>
          <w:lang w:val="en-U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97"/>
        <w:gridCol w:w="2835"/>
        <w:gridCol w:w="2268"/>
        <w:gridCol w:w="2409"/>
      </w:tblGrid>
      <w:tr w:rsidR="00276BD2" w:rsidRPr="00552B7C">
        <w:trPr>
          <w:cantSplit/>
        </w:trPr>
        <w:tc>
          <w:tcPr>
            <w:tcW w:w="9709" w:type="dxa"/>
            <w:gridSpan w:val="4"/>
            <w:tcBorders>
              <w:top w:val="single" w:sz="4" w:space="0" w:color="auto"/>
              <w:left w:val="single" w:sz="4" w:space="0" w:color="auto"/>
              <w:bottom w:val="single" w:sz="4" w:space="0" w:color="auto"/>
              <w:right w:val="single" w:sz="4" w:space="0" w:color="auto"/>
            </w:tcBorders>
          </w:tcPr>
          <w:p w:rsidR="00276BD2" w:rsidRDefault="00276BD2">
            <w:pPr>
              <w:pStyle w:val="Tablehead"/>
              <w:rPr>
                <w:lang w:val="en-US"/>
              </w:rPr>
            </w:pPr>
            <w:r>
              <w:rPr>
                <w:lang w:val="en-US"/>
              </w:rPr>
              <w:t>Monitoring of unwanted emissions from space stations to protect the RAS</w:t>
            </w:r>
          </w:p>
        </w:tc>
      </w:tr>
      <w:tr w:rsidR="00276BD2">
        <w:tc>
          <w:tcPr>
            <w:tcW w:w="2197" w:type="dxa"/>
            <w:tcBorders>
              <w:top w:val="single" w:sz="4" w:space="0" w:color="auto"/>
              <w:left w:val="single" w:sz="4" w:space="0" w:color="auto"/>
              <w:bottom w:val="single" w:sz="4" w:space="0" w:color="auto"/>
              <w:right w:val="nil"/>
            </w:tcBorders>
          </w:tcPr>
          <w:p w:rsidR="00276BD2" w:rsidRDefault="00276BD2">
            <w:pPr>
              <w:pStyle w:val="Tablehead"/>
              <w:jc w:val="left"/>
              <w:rPr>
                <w:lang w:val="en-US"/>
              </w:rPr>
            </w:pPr>
            <w:r>
              <w:rPr>
                <w:lang w:val="en-US"/>
              </w:rPr>
              <w:t>Monitoring station</w:t>
            </w:r>
          </w:p>
        </w:tc>
        <w:tc>
          <w:tcPr>
            <w:tcW w:w="2835" w:type="dxa"/>
            <w:tcBorders>
              <w:top w:val="single" w:sz="4" w:space="0" w:color="auto"/>
              <w:left w:val="nil"/>
              <w:bottom w:val="single" w:sz="4" w:space="0" w:color="auto"/>
            </w:tcBorders>
          </w:tcPr>
          <w:p w:rsidR="00276BD2" w:rsidRDefault="00276BD2">
            <w:pPr>
              <w:pStyle w:val="Tabletext"/>
              <w:spacing w:before="80" w:after="80"/>
              <w:rPr>
                <w:lang w:val="en-US"/>
              </w:rPr>
            </w:pPr>
            <w:r>
              <w:rPr>
                <w:lang w:val="en-US"/>
              </w:rPr>
              <w:t>{name}</w:t>
            </w:r>
          </w:p>
        </w:tc>
        <w:tc>
          <w:tcPr>
            <w:tcW w:w="2268" w:type="dxa"/>
            <w:tcBorders>
              <w:top w:val="single" w:sz="4" w:space="0" w:color="auto"/>
              <w:bottom w:val="single" w:sz="4" w:space="0" w:color="auto"/>
              <w:right w:val="nil"/>
            </w:tcBorders>
          </w:tcPr>
          <w:p w:rsidR="00276BD2" w:rsidRDefault="00276BD2">
            <w:pPr>
              <w:pStyle w:val="Tablehead"/>
              <w:jc w:val="left"/>
              <w:rPr>
                <w:b w:val="0"/>
                <w:lang w:val="en-US"/>
              </w:rPr>
            </w:pPr>
            <w:r>
              <w:rPr>
                <w:lang w:val="en-US"/>
              </w:rPr>
              <w:t>Administration</w:t>
            </w:r>
          </w:p>
        </w:tc>
        <w:tc>
          <w:tcPr>
            <w:tcW w:w="2409" w:type="dxa"/>
            <w:tcBorders>
              <w:top w:val="single" w:sz="4" w:space="0" w:color="auto"/>
              <w:left w:val="nil"/>
              <w:bottom w:val="single" w:sz="4" w:space="0" w:color="auto"/>
              <w:right w:val="single" w:sz="4" w:space="0" w:color="auto"/>
            </w:tcBorders>
          </w:tcPr>
          <w:p w:rsidR="00276BD2" w:rsidRDefault="00276BD2">
            <w:pPr>
              <w:pStyle w:val="Tabletext"/>
              <w:spacing w:before="80" w:after="80"/>
              <w:rPr>
                <w:lang w:val="en-US"/>
              </w:rPr>
            </w:pPr>
            <w:r>
              <w:rPr>
                <w:lang w:val="en-US"/>
              </w:rPr>
              <w:t>{name}</w:t>
            </w:r>
          </w:p>
        </w:tc>
      </w:tr>
      <w:tr w:rsidR="00276BD2">
        <w:tc>
          <w:tcPr>
            <w:tcW w:w="2197" w:type="dxa"/>
            <w:tcBorders>
              <w:top w:val="single" w:sz="4" w:space="0" w:color="auto"/>
              <w:left w:val="single" w:sz="4" w:space="0" w:color="auto"/>
              <w:bottom w:val="single" w:sz="6" w:space="0" w:color="auto"/>
              <w:right w:val="nil"/>
            </w:tcBorders>
          </w:tcPr>
          <w:p w:rsidR="00276BD2" w:rsidRDefault="00276BD2">
            <w:pPr>
              <w:pStyle w:val="Tablehead"/>
              <w:jc w:val="left"/>
              <w:rPr>
                <w:lang w:val="en-US"/>
              </w:rPr>
            </w:pPr>
            <w:r>
              <w:rPr>
                <w:lang w:val="en-US"/>
              </w:rPr>
              <w:t>Location (latitude – longitude – projection system)</w:t>
            </w:r>
          </w:p>
        </w:tc>
        <w:tc>
          <w:tcPr>
            <w:tcW w:w="2835" w:type="dxa"/>
            <w:tcBorders>
              <w:top w:val="single" w:sz="4" w:space="0" w:color="auto"/>
              <w:left w:val="nil"/>
              <w:bottom w:val="single" w:sz="6" w:space="0" w:color="auto"/>
            </w:tcBorders>
          </w:tcPr>
          <w:p w:rsidR="00276BD2" w:rsidRDefault="00276BD2">
            <w:pPr>
              <w:pStyle w:val="Tabletext"/>
              <w:spacing w:before="80" w:after="80"/>
              <w:rPr>
                <w:lang w:val="en-US"/>
              </w:rPr>
            </w:pPr>
            <w:r>
              <w:rPr>
                <w:lang w:val="en-US"/>
              </w:rPr>
              <w:t>{coordinates}</w:t>
            </w:r>
          </w:p>
        </w:tc>
        <w:tc>
          <w:tcPr>
            <w:tcW w:w="2268" w:type="dxa"/>
            <w:tcBorders>
              <w:top w:val="single" w:sz="4" w:space="0" w:color="auto"/>
              <w:bottom w:val="single" w:sz="6" w:space="0" w:color="auto"/>
              <w:right w:val="nil"/>
            </w:tcBorders>
          </w:tcPr>
          <w:p w:rsidR="00276BD2" w:rsidRDefault="00276BD2">
            <w:pPr>
              <w:pStyle w:val="Tablehead"/>
              <w:jc w:val="left"/>
              <w:rPr>
                <w:lang w:val="en-US"/>
              </w:rPr>
            </w:pPr>
            <w:r>
              <w:rPr>
                <w:lang w:val="en-US"/>
              </w:rPr>
              <w:t>Name of the responsible person for measurement</w:t>
            </w:r>
          </w:p>
        </w:tc>
        <w:tc>
          <w:tcPr>
            <w:tcW w:w="2409" w:type="dxa"/>
            <w:tcBorders>
              <w:top w:val="single" w:sz="4" w:space="0" w:color="auto"/>
              <w:left w:val="nil"/>
              <w:bottom w:val="single" w:sz="6" w:space="0" w:color="auto"/>
              <w:right w:val="single" w:sz="4" w:space="0" w:color="auto"/>
            </w:tcBorders>
          </w:tcPr>
          <w:p w:rsidR="00276BD2" w:rsidRDefault="00276BD2">
            <w:pPr>
              <w:pStyle w:val="Tabletext"/>
              <w:spacing w:before="80" w:after="80"/>
              <w:rPr>
                <w:lang w:val="en-US"/>
              </w:rPr>
            </w:pPr>
            <w:r>
              <w:rPr>
                <w:lang w:val="en-US"/>
              </w:rPr>
              <w:t>{name}</w:t>
            </w:r>
          </w:p>
        </w:tc>
      </w:tr>
      <w:tr w:rsidR="00276BD2">
        <w:tc>
          <w:tcPr>
            <w:tcW w:w="2197" w:type="dxa"/>
            <w:tcBorders>
              <w:top w:val="single" w:sz="6" w:space="0" w:color="auto"/>
              <w:left w:val="single" w:sz="4" w:space="0" w:color="auto"/>
              <w:right w:val="nil"/>
            </w:tcBorders>
          </w:tcPr>
          <w:p w:rsidR="00276BD2" w:rsidRDefault="00276BD2">
            <w:pPr>
              <w:pStyle w:val="Tablehead"/>
              <w:jc w:val="left"/>
              <w:rPr>
                <w:lang w:val="en-US"/>
              </w:rPr>
            </w:pPr>
            <w:r>
              <w:rPr>
                <w:lang w:val="en-US"/>
              </w:rPr>
              <w:t>Date of measurement (UTC)</w:t>
            </w:r>
          </w:p>
        </w:tc>
        <w:tc>
          <w:tcPr>
            <w:tcW w:w="2835" w:type="dxa"/>
            <w:tcBorders>
              <w:top w:val="single" w:sz="6" w:space="0" w:color="auto"/>
              <w:left w:val="nil"/>
            </w:tcBorders>
          </w:tcPr>
          <w:p w:rsidR="00276BD2" w:rsidRDefault="00276BD2">
            <w:pPr>
              <w:pStyle w:val="Tabletext"/>
              <w:spacing w:before="80" w:after="80"/>
              <w:rPr>
                <w:lang w:val="en-US"/>
              </w:rPr>
            </w:pPr>
            <w:r>
              <w:rPr>
                <w:lang w:val="en-US"/>
              </w:rPr>
              <w:t>{dd/mm/yy}</w:t>
            </w:r>
          </w:p>
        </w:tc>
        <w:tc>
          <w:tcPr>
            <w:tcW w:w="2268" w:type="dxa"/>
            <w:tcBorders>
              <w:top w:val="single" w:sz="6" w:space="0" w:color="auto"/>
              <w:right w:val="nil"/>
            </w:tcBorders>
          </w:tcPr>
          <w:p w:rsidR="00276BD2" w:rsidRDefault="00276BD2">
            <w:pPr>
              <w:pStyle w:val="Tablehead"/>
              <w:jc w:val="left"/>
            </w:pPr>
            <w:r>
              <w:t>Contacts (phone, fax, e</w:t>
            </w:r>
            <w:r>
              <w:noBreakHyphen/>
              <w:t>mail)</w:t>
            </w:r>
          </w:p>
        </w:tc>
        <w:tc>
          <w:tcPr>
            <w:tcW w:w="2409" w:type="dxa"/>
            <w:tcBorders>
              <w:top w:val="single" w:sz="6" w:space="0" w:color="auto"/>
              <w:left w:val="nil"/>
              <w:right w:val="single" w:sz="4" w:space="0" w:color="auto"/>
            </w:tcBorders>
          </w:tcPr>
          <w:p w:rsidR="00276BD2" w:rsidRDefault="00276BD2">
            <w:pPr>
              <w:pStyle w:val="Tabletext"/>
              <w:spacing w:before="80" w:after="80"/>
              <w:jc w:val="left"/>
              <w:rPr>
                <w:lang w:val="en-US"/>
              </w:rPr>
            </w:pPr>
            <w:r>
              <w:rPr>
                <w:lang w:val="en-US"/>
              </w:rPr>
              <w:t>tel: ... / fax: ... /</w:t>
            </w:r>
            <w:r>
              <w:rPr>
                <w:lang w:val="en-US"/>
              </w:rPr>
              <w:br/>
              <w:t>e-mail: ...@...}</w:t>
            </w:r>
          </w:p>
        </w:tc>
      </w:tr>
      <w:tr w:rsidR="00276BD2">
        <w:tc>
          <w:tcPr>
            <w:tcW w:w="2197" w:type="dxa"/>
            <w:tcBorders>
              <w:left w:val="single" w:sz="4" w:space="0" w:color="auto"/>
              <w:bottom w:val="single" w:sz="4" w:space="0" w:color="auto"/>
              <w:right w:val="nil"/>
            </w:tcBorders>
          </w:tcPr>
          <w:p w:rsidR="00276BD2" w:rsidRDefault="00276BD2">
            <w:pPr>
              <w:pStyle w:val="Tablehead"/>
              <w:jc w:val="left"/>
              <w:rPr>
                <w:lang w:val="en-US"/>
              </w:rPr>
            </w:pPr>
            <w:r>
              <w:rPr>
                <w:lang w:val="en-US"/>
              </w:rPr>
              <w:t>Quality of station</w:t>
            </w:r>
          </w:p>
        </w:tc>
        <w:tc>
          <w:tcPr>
            <w:tcW w:w="2835" w:type="dxa"/>
            <w:tcBorders>
              <w:left w:val="nil"/>
              <w:bottom w:val="single" w:sz="4" w:space="0" w:color="auto"/>
            </w:tcBorders>
          </w:tcPr>
          <w:p w:rsidR="00276BD2" w:rsidRDefault="00276BD2">
            <w:pPr>
              <w:pStyle w:val="Tabletext"/>
              <w:spacing w:before="80" w:after="80"/>
              <w:jc w:val="left"/>
              <w:rPr>
                <w:lang w:val="en-US"/>
              </w:rPr>
            </w:pPr>
            <w:r>
              <w:rPr>
                <w:lang w:val="en-US"/>
              </w:rPr>
              <w:t>{figure of merit of the monitoring earth station}</w:t>
            </w:r>
          </w:p>
        </w:tc>
        <w:tc>
          <w:tcPr>
            <w:tcW w:w="2268" w:type="dxa"/>
            <w:tcBorders>
              <w:bottom w:val="single" w:sz="4" w:space="0" w:color="auto"/>
              <w:right w:val="nil"/>
            </w:tcBorders>
          </w:tcPr>
          <w:p w:rsidR="00276BD2" w:rsidRDefault="00276BD2">
            <w:pPr>
              <w:pStyle w:val="Tablehead"/>
              <w:jc w:val="left"/>
              <w:rPr>
                <w:lang w:val="en-US"/>
              </w:rPr>
            </w:pPr>
            <w:r>
              <w:rPr>
                <w:lang w:val="en-US"/>
              </w:rPr>
              <w:t>References</w:t>
            </w:r>
          </w:p>
        </w:tc>
        <w:tc>
          <w:tcPr>
            <w:tcW w:w="2409" w:type="dxa"/>
            <w:tcBorders>
              <w:left w:val="nil"/>
              <w:bottom w:val="single" w:sz="4" w:space="0" w:color="auto"/>
              <w:right w:val="single" w:sz="4" w:space="0" w:color="auto"/>
            </w:tcBorders>
          </w:tcPr>
          <w:p w:rsidR="00276BD2" w:rsidRDefault="00276BD2">
            <w:pPr>
              <w:spacing w:before="80" w:after="80" w:line="300" w:lineRule="atLeast"/>
              <w:rPr>
                <w:sz w:val="18"/>
                <w:lang w:val="en-US"/>
              </w:rPr>
            </w:pPr>
          </w:p>
        </w:tc>
      </w:tr>
    </w:tbl>
    <w:p w:rsidR="00276BD2" w:rsidRDefault="00276BD2">
      <w:pPr>
        <w:pStyle w:val="Tablefin"/>
        <w:rPr>
          <w:sz w:val="12"/>
        </w:rPr>
      </w:pPr>
    </w:p>
    <w:p w:rsidR="00276BD2" w:rsidRDefault="00276BD2">
      <w:pPr>
        <w:pStyle w:val="Blanc"/>
      </w:pPr>
    </w:p>
    <w:tbl>
      <w:tblPr>
        <w:tblW w:w="0" w:type="auto"/>
        <w:tblLayout w:type="fixed"/>
        <w:tblCellMar>
          <w:left w:w="70" w:type="dxa"/>
          <w:right w:w="70" w:type="dxa"/>
        </w:tblCellMar>
        <w:tblLook w:val="0000" w:firstRow="0" w:lastRow="0" w:firstColumn="0" w:lastColumn="0" w:noHBand="0" w:noVBand="0"/>
      </w:tblPr>
      <w:tblGrid>
        <w:gridCol w:w="4039"/>
        <w:gridCol w:w="2835"/>
        <w:gridCol w:w="2835"/>
      </w:tblGrid>
      <w:tr w:rsidR="00276BD2" w:rsidRPr="00552B7C">
        <w:tc>
          <w:tcPr>
            <w:tcW w:w="9709" w:type="dxa"/>
            <w:gridSpan w:val="3"/>
            <w:tcBorders>
              <w:top w:val="single" w:sz="4" w:space="0" w:color="auto"/>
              <w:left w:val="single" w:sz="4" w:space="0" w:color="auto"/>
              <w:bottom w:val="single" w:sz="4" w:space="0" w:color="auto"/>
              <w:right w:val="single" w:sz="4" w:space="0" w:color="auto"/>
            </w:tcBorders>
          </w:tcPr>
          <w:p w:rsidR="00276BD2" w:rsidRDefault="00276BD2">
            <w:pPr>
              <w:pStyle w:val="Heading2"/>
              <w:spacing w:before="80" w:after="80"/>
              <w:jc w:val="center"/>
              <w:rPr>
                <w:b w:val="0"/>
                <w:bCs/>
                <w:lang w:val="en-US"/>
              </w:rPr>
            </w:pPr>
            <w:bookmarkStart w:id="15" w:name="_Toc107985507"/>
            <w:r>
              <w:rPr>
                <w:sz w:val="22"/>
                <w:lang w:val="en-US"/>
              </w:rPr>
              <w:t>Measurement results (and associated uncertainties</w:t>
            </w:r>
            <w:r>
              <w:rPr>
                <w:lang w:val="en-US"/>
              </w:rPr>
              <w:t>)</w:t>
            </w:r>
            <w:bookmarkEnd w:id="15"/>
          </w:p>
        </w:tc>
      </w:tr>
      <w:tr w:rsidR="00276BD2" w:rsidRPr="00552B7C">
        <w:tc>
          <w:tcPr>
            <w:tcW w:w="4039" w:type="dxa"/>
            <w:tcBorders>
              <w:top w:val="single" w:sz="4" w:space="0" w:color="auto"/>
              <w:left w:val="single" w:sz="4" w:space="0" w:color="auto"/>
              <w:bottom w:val="single" w:sz="6" w:space="0" w:color="auto"/>
              <w:right w:val="single" w:sz="6" w:space="0" w:color="auto"/>
            </w:tcBorders>
          </w:tcPr>
          <w:p w:rsidR="00276BD2" w:rsidRDefault="00276BD2">
            <w:pPr>
              <w:pStyle w:val="Tabletext"/>
              <w:jc w:val="left"/>
              <w:rPr>
                <w:lang w:val="en-US"/>
              </w:rPr>
            </w:pPr>
            <w:r>
              <w:rPr>
                <w:lang w:val="en-US"/>
              </w:rPr>
              <w:t>pfd</w:t>
            </w:r>
            <w:r>
              <w:rPr>
                <w:vertAlign w:val="subscript"/>
                <w:lang w:val="en-US"/>
              </w:rPr>
              <w:t>RBW</w:t>
            </w:r>
            <w:r>
              <w:rPr>
                <w:lang w:val="en-US"/>
              </w:rPr>
              <w:t xml:space="preserve"> (dB(W/m</w:t>
            </w:r>
            <w:r>
              <w:rPr>
                <w:vertAlign w:val="superscript"/>
                <w:lang w:val="en-US"/>
              </w:rPr>
              <w:t>2</w:t>
            </w:r>
            <w:r>
              <w:rPr>
                <w:lang w:val="en-US"/>
              </w:rPr>
              <w:t>) in ... kHz or MHz)</w:t>
            </w:r>
          </w:p>
        </w:tc>
        <w:tc>
          <w:tcPr>
            <w:tcW w:w="2835" w:type="dxa"/>
            <w:tcBorders>
              <w:top w:val="single" w:sz="4" w:space="0" w:color="auto"/>
              <w:left w:val="single" w:sz="6" w:space="0" w:color="auto"/>
              <w:bottom w:val="single" w:sz="6" w:space="0" w:color="auto"/>
            </w:tcBorders>
          </w:tcPr>
          <w:p w:rsidR="00276BD2" w:rsidRDefault="00276BD2">
            <w:pPr>
              <w:pStyle w:val="Tabletext"/>
              <w:jc w:val="left"/>
              <w:rPr>
                <w:lang w:val="en-US"/>
              </w:rPr>
            </w:pPr>
            <w:r>
              <w:rPr>
                <w:lang w:val="en-US"/>
              </w:rPr>
              <w:t>{value}</w:t>
            </w:r>
          </w:p>
        </w:tc>
        <w:tc>
          <w:tcPr>
            <w:tcW w:w="2835" w:type="dxa"/>
            <w:tcBorders>
              <w:top w:val="single" w:sz="4" w:space="0" w:color="auto"/>
              <w:left w:val="single" w:sz="4" w:space="0" w:color="auto"/>
              <w:bottom w:val="single" w:sz="6" w:space="0" w:color="auto"/>
              <w:right w:val="single" w:sz="4" w:space="0" w:color="auto"/>
            </w:tcBorders>
          </w:tcPr>
          <w:p w:rsidR="00276BD2" w:rsidRDefault="00276BD2">
            <w:pPr>
              <w:pStyle w:val="Tabletext"/>
              <w:jc w:val="left"/>
              <w:rPr>
                <w:lang w:val="en-US"/>
              </w:rPr>
            </w:pPr>
            <w:r>
              <w:rPr>
                <w:lang w:val="en-US"/>
              </w:rPr>
              <w:t>Expanded measurement uncertainty – e.g.: 2 or 3 dB</w:t>
            </w:r>
          </w:p>
        </w:tc>
      </w:tr>
      <w:tr w:rsidR="00276BD2" w:rsidRPr="00552B7C">
        <w:tc>
          <w:tcPr>
            <w:tcW w:w="4039" w:type="dxa"/>
            <w:tcBorders>
              <w:top w:val="single" w:sz="6" w:space="0" w:color="auto"/>
              <w:left w:val="single" w:sz="4" w:space="0" w:color="auto"/>
              <w:bottom w:val="single" w:sz="6" w:space="0" w:color="auto"/>
              <w:right w:val="single" w:sz="6" w:space="0" w:color="auto"/>
            </w:tcBorders>
          </w:tcPr>
          <w:p w:rsidR="00276BD2" w:rsidRDefault="00276BD2">
            <w:pPr>
              <w:pStyle w:val="Tabletext"/>
              <w:jc w:val="left"/>
              <w:rPr>
                <w:lang w:val="en-US"/>
              </w:rPr>
            </w:pPr>
            <w:r>
              <w:rPr>
                <w:lang w:val="en-US"/>
              </w:rPr>
              <w:t>Frequency (MHz)</w:t>
            </w:r>
          </w:p>
        </w:tc>
        <w:tc>
          <w:tcPr>
            <w:tcW w:w="2835" w:type="dxa"/>
            <w:tcBorders>
              <w:top w:val="single" w:sz="6" w:space="0" w:color="auto"/>
              <w:left w:val="single" w:sz="6" w:space="0" w:color="auto"/>
              <w:bottom w:val="single" w:sz="6" w:space="0" w:color="auto"/>
            </w:tcBorders>
          </w:tcPr>
          <w:p w:rsidR="00276BD2" w:rsidRDefault="00276BD2">
            <w:pPr>
              <w:pStyle w:val="Tabletext"/>
              <w:jc w:val="left"/>
              <w:rPr>
                <w:lang w:val="en-US"/>
              </w:rPr>
            </w:pPr>
            <w:r>
              <w:rPr>
                <w:lang w:val="en-US"/>
              </w:rPr>
              <w:t>{value}</w:t>
            </w:r>
          </w:p>
        </w:tc>
        <w:tc>
          <w:tcPr>
            <w:tcW w:w="2835" w:type="dxa"/>
            <w:tcBorders>
              <w:top w:val="single" w:sz="6" w:space="0" w:color="auto"/>
              <w:left w:val="single" w:sz="4" w:space="0" w:color="auto"/>
              <w:bottom w:val="single" w:sz="6" w:space="0" w:color="auto"/>
              <w:right w:val="single" w:sz="4" w:space="0" w:color="auto"/>
            </w:tcBorders>
          </w:tcPr>
          <w:p w:rsidR="00276BD2" w:rsidRDefault="00276BD2">
            <w:pPr>
              <w:pStyle w:val="Tabletext"/>
              <w:jc w:val="left"/>
              <w:rPr>
                <w:lang w:val="en-US"/>
              </w:rPr>
            </w:pPr>
            <w:r>
              <w:rPr>
                <w:lang w:val="en-US"/>
              </w:rPr>
              <w:t>Expanded measurement uncertainty – e.g.: 10</w:t>
            </w:r>
            <w:r>
              <w:rPr>
                <w:vertAlign w:val="superscript"/>
                <w:lang w:val="en-US"/>
              </w:rPr>
              <w:t>–7</w:t>
            </w:r>
          </w:p>
        </w:tc>
      </w:tr>
      <w:tr w:rsidR="00276BD2" w:rsidRPr="00552B7C">
        <w:tc>
          <w:tcPr>
            <w:tcW w:w="4039" w:type="dxa"/>
            <w:tcBorders>
              <w:top w:val="single" w:sz="6" w:space="0" w:color="auto"/>
              <w:left w:val="single" w:sz="4" w:space="0" w:color="auto"/>
              <w:bottom w:val="single" w:sz="6" w:space="0" w:color="auto"/>
              <w:right w:val="single" w:sz="6" w:space="0" w:color="auto"/>
            </w:tcBorders>
          </w:tcPr>
          <w:p w:rsidR="00276BD2" w:rsidRDefault="00276BD2">
            <w:pPr>
              <w:pStyle w:val="Tabletext"/>
              <w:jc w:val="left"/>
              <w:rPr>
                <w:lang w:val="en-US"/>
              </w:rPr>
            </w:pPr>
            <w:r>
              <w:rPr>
                <w:lang w:val="en-US"/>
              </w:rPr>
              <w:t>Orbital position or elements of interference sources</w:t>
            </w:r>
          </w:p>
          <w:p w:rsidR="00276BD2" w:rsidRDefault="00276BD2">
            <w:pPr>
              <w:pStyle w:val="Tabletext"/>
              <w:jc w:val="left"/>
              <w:rPr>
                <w:lang w:val="en-US"/>
              </w:rPr>
            </w:pPr>
            <w:r>
              <w:rPr>
                <w:lang w:val="en-US"/>
              </w:rPr>
              <w:t xml:space="preserve">GSO satellite </w:t>
            </w:r>
            <w:bookmarkStart w:id="16" w:name="OLE_LINK1"/>
            <w:r>
              <w:rPr>
                <w:lang w:val="en-US"/>
              </w:rPr>
              <w:t>(azimuth (degrees) and elevation (degrees)/longitude (degrees W/E)</w:t>
            </w:r>
            <w:bookmarkEnd w:id="16"/>
            <w:r>
              <w:rPr>
                <w:lang w:val="en-US"/>
              </w:rPr>
              <w:t>)</w:t>
            </w:r>
          </w:p>
          <w:p w:rsidR="00276BD2" w:rsidRDefault="00276BD2">
            <w:pPr>
              <w:pStyle w:val="Tabletext"/>
              <w:jc w:val="left"/>
              <w:rPr>
                <w:lang w:val="en-US"/>
              </w:rPr>
            </w:pPr>
            <w:r>
              <w:rPr>
                <w:lang w:val="en-US"/>
              </w:rPr>
              <w:t>Non-GSO satellite (azimuth (degrees) and elevation (degrees), both at start, maximum elevation and stop)</w:t>
            </w:r>
          </w:p>
        </w:tc>
        <w:tc>
          <w:tcPr>
            <w:tcW w:w="2835" w:type="dxa"/>
            <w:tcBorders>
              <w:top w:val="single" w:sz="6" w:space="0" w:color="auto"/>
              <w:left w:val="single" w:sz="6" w:space="0" w:color="auto"/>
              <w:bottom w:val="single" w:sz="6" w:space="0" w:color="auto"/>
            </w:tcBorders>
          </w:tcPr>
          <w:p w:rsidR="00276BD2" w:rsidRDefault="00276BD2">
            <w:pPr>
              <w:pStyle w:val="Tabletext"/>
              <w:jc w:val="left"/>
              <w:rPr>
                <w:lang w:val="en-US"/>
              </w:rPr>
            </w:pPr>
            <w:r>
              <w:rPr>
                <w:lang w:val="en-US"/>
              </w:rPr>
              <w:t>{values}</w:t>
            </w:r>
          </w:p>
        </w:tc>
        <w:tc>
          <w:tcPr>
            <w:tcW w:w="2835" w:type="dxa"/>
            <w:tcBorders>
              <w:top w:val="single" w:sz="6" w:space="0" w:color="auto"/>
              <w:left w:val="single" w:sz="4" w:space="0" w:color="auto"/>
              <w:bottom w:val="single" w:sz="6" w:space="0" w:color="auto"/>
              <w:right w:val="single" w:sz="4" w:space="0" w:color="auto"/>
            </w:tcBorders>
          </w:tcPr>
          <w:p w:rsidR="00276BD2" w:rsidRDefault="00276BD2">
            <w:pPr>
              <w:pStyle w:val="Tabletext"/>
              <w:jc w:val="left"/>
              <w:rPr>
                <w:lang w:val="en-US"/>
              </w:rPr>
            </w:pPr>
            <w:r>
              <w:rPr>
                <w:lang w:val="en-US"/>
              </w:rPr>
              <w:t>Expanded measurement uncertainty – e.g.: ...°</w:t>
            </w:r>
          </w:p>
        </w:tc>
      </w:tr>
      <w:tr w:rsidR="00276BD2">
        <w:tc>
          <w:tcPr>
            <w:tcW w:w="4039" w:type="dxa"/>
            <w:tcBorders>
              <w:top w:val="single" w:sz="6" w:space="0" w:color="auto"/>
              <w:left w:val="single" w:sz="4" w:space="0" w:color="auto"/>
              <w:bottom w:val="single" w:sz="6" w:space="0" w:color="auto"/>
              <w:right w:val="single" w:sz="6" w:space="0" w:color="auto"/>
            </w:tcBorders>
          </w:tcPr>
          <w:p w:rsidR="00276BD2" w:rsidRDefault="00276BD2">
            <w:pPr>
              <w:pStyle w:val="Tabletext"/>
              <w:jc w:val="left"/>
              <w:rPr>
                <w:lang w:val="en-US"/>
              </w:rPr>
            </w:pPr>
            <w:r>
              <w:rPr>
                <w:lang w:val="en-US"/>
              </w:rPr>
              <w:t>Polarization</w:t>
            </w:r>
          </w:p>
        </w:tc>
        <w:tc>
          <w:tcPr>
            <w:tcW w:w="2835" w:type="dxa"/>
            <w:tcBorders>
              <w:top w:val="single" w:sz="6" w:space="0" w:color="auto"/>
              <w:left w:val="single" w:sz="6" w:space="0" w:color="auto"/>
              <w:bottom w:val="single" w:sz="6" w:space="0" w:color="auto"/>
            </w:tcBorders>
          </w:tcPr>
          <w:p w:rsidR="00276BD2" w:rsidRDefault="00276BD2">
            <w:pPr>
              <w:pStyle w:val="Tabletext"/>
              <w:jc w:val="left"/>
              <w:rPr>
                <w:lang w:val="en-US"/>
              </w:rPr>
            </w:pPr>
            <w:r>
              <w:rPr>
                <w:lang w:val="en-US"/>
              </w:rPr>
              <w:t>{type}</w:t>
            </w:r>
          </w:p>
        </w:tc>
        <w:tc>
          <w:tcPr>
            <w:tcW w:w="2835" w:type="dxa"/>
            <w:tcBorders>
              <w:top w:val="single" w:sz="6" w:space="0" w:color="auto"/>
              <w:left w:val="single" w:sz="4" w:space="0" w:color="auto"/>
              <w:bottom w:val="single" w:sz="6" w:space="0" w:color="auto"/>
              <w:right w:val="single" w:sz="4" w:space="0" w:color="auto"/>
            </w:tcBorders>
          </w:tcPr>
          <w:p w:rsidR="00276BD2" w:rsidRDefault="00276BD2">
            <w:pPr>
              <w:pStyle w:val="Tabletext"/>
              <w:jc w:val="left"/>
              <w:rPr>
                <w:lang w:val="en-US"/>
              </w:rPr>
            </w:pPr>
            <w:r>
              <w:rPr>
                <w:lang w:val="en-US"/>
              </w:rPr>
              <w:t>Not applicable</w:t>
            </w:r>
          </w:p>
        </w:tc>
      </w:tr>
      <w:tr w:rsidR="00276BD2">
        <w:tc>
          <w:tcPr>
            <w:tcW w:w="4039" w:type="dxa"/>
            <w:tcBorders>
              <w:top w:val="single" w:sz="6" w:space="0" w:color="auto"/>
              <w:left w:val="single" w:sz="4" w:space="0" w:color="auto"/>
              <w:bottom w:val="single" w:sz="4" w:space="0" w:color="auto"/>
              <w:right w:val="single" w:sz="6" w:space="0" w:color="auto"/>
            </w:tcBorders>
          </w:tcPr>
          <w:p w:rsidR="00276BD2" w:rsidRDefault="00276BD2">
            <w:pPr>
              <w:pStyle w:val="Tabletext"/>
              <w:jc w:val="left"/>
              <w:rPr>
                <w:lang w:val="en-US"/>
              </w:rPr>
            </w:pPr>
            <w:r>
              <w:rPr>
                <w:lang w:val="en-US"/>
              </w:rPr>
              <w:t>Other indications</w:t>
            </w:r>
          </w:p>
          <w:p w:rsidR="00276BD2" w:rsidRDefault="00276BD2">
            <w:pPr>
              <w:pStyle w:val="Tabletext"/>
              <w:jc w:val="left"/>
              <w:rPr>
                <w:lang w:val="en-US"/>
              </w:rPr>
            </w:pPr>
            <w:r>
              <w:rPr>
                <w:lang w:val="en-US"/>
              </w:rPr>
              <w:t>(e.g.:</w:t>
            </w:r>
          </w:p>
          <w:p w:rsidR="00276BD2" w:rsidRDefault="00276BD2">
            <w:pPr>
              <w:pStyle w:val="Tabletext"/>
              <w:jc w:val="left"/>
              <w:rPr>
                <w:lang w:val="en-US"/>
              </w:rPr>
            </w:pPr>
            <w:r>
              <w:rPr>
                <w:lang w:val="en-US"/>
              </w:rPr>
              <w:t>A/D</w:t>
            </w:r>
          </w:p>
          <w:p w:rsidR="00276BD2" w:rsidRDefault="00276BD2">
            <w:pPr>
              <w:pStyle w:val="Tabletext"/>
              <w:jc w:val="left"/>
              <w:rPr>
                <w:lang w:val="en-US"/>
              </w:rPr>
            </w:pPr>
            <w:r>
              <w:rPr>
                <w:lang w:val="en-US"/>
              </w:rPr>
              <w:t>estimation of modulation type</w:t>
            </w:r>
          </w:p>
          <w:p w:rsidR="00276BD2" w:rsidRDefault="00276BD2">
            <w:pPr>
              <w:pStyle w:val="Tabletext"/>
              <w:jc w:val="left"/>
              <w:rPr>
                <w:lang w:val="en-US"/>
              </w:rPr>
            </w:pPr>
            <w:r>
              <w:rPr>
                <w:lang w:val="en-US"/>
              </w:rPr>
              <w:t>access method</w:t>
            </w:r>
          </w:p>
          <w:p w:rsidR="00276BD2" w:rsidRDefault="00276BD2">
            <w:pPr>
              <w:pStyle w:val="Tabletext"/>
              <w:jc w:val="left"/>
              <w:rPr>
                <w:lang w:val="en-US"/>
              </w:rPr>
            </w:pPr>
            <w:r>
              <w:rPr>
                <w:lang w:val="en-US"/>
              </w:rPr>
              <w:t>behaviour of signal)</w:t>
            </w:r>
          </w:p>
        </w:tc>
        <w:tc>
          <w:tcPr>
            <w:tcW w:w="2835" w:type="dxa"/>
            <w:tcBorders>
              <w:top w:val="single" w:sz="6" w:space="0" w:color="auto"/>
              <w:left w:val="single" w:sz="6" w:space="0" w:color="auto"/>
              <w:bottom w:val="single" w:sz="4" w:space="0" w:color="auto"/>
            </w:tcBorders>
          </w:tcPr>
          <w:p w:rsidR="00276BD2" w:rsidRDefault="00276BD2">
            <w:pPr>
              <w:pStyle w:val="Tabletext"/>
              <w:jc w:val="left"/>
              <w:rPr>
                <w:lang w:val="en-US"/>
              </w:rPr>
            </w:pPr>
          </w:p>
        </w:tc>
        <w:tc>
          <w:tcPr>
            <w:tcW w:w="2835" w:type="dxa"/>
            <w:tcBorders>
              <w:top w:val="single" w:sz="6" w:space="0" w:color="auto"/>
              <w:left w:val="single" w:sz="4" w:space="0" w:color="auto"/>
              <w:bottom w:val="single" w:sz="4" w:space="0" w:color="auto"/>
              <w:right w:val="single" w:sz="4" w:space="0" w:color="auto"/>
            </w:tcBorders>
          </w:tcPr>
          <w:p w:rsidR="00276BD2" w:rsidRDefault="00276BD2">
            <w:pPr>
              <w:pStyle w:val="Tabletext"/>
              <w:jc w:val="left"/>
              <w:rPr>
                <w:lang w:val="en-US"/>
              </w:rPr>
            </w:pPr>
          </w:p>
        </w:tc>
      </w:tr>
    </w:tbl>
    <w:p w:rsidR="00276BD2" w:rsidRDefault="00276BD2">
      <w:pPr>
        <w:pStyle w:val="Normalaftertitle"/>
        <w:spacing w:before="120"/>
        <w:rPr>
          <w:lang w:val="en-US"/>
        </w:rPr>
      </w:pPr>
      <w:r>
        <w:rPr>
          <w:lang w:val="en-US"/>
        </w:rPr>
        <w:br w:type="page"/>
      </w:r>
    </w:p>
    <w:tbl>
      <w:tblPr>
        <w:tblW w:w="0" w:type="auto"/>
        <w:tblLayout w:type="fixed"/>
        <w:tblCellMar>
          <w:left w:w="70" w:type="dxa"/>
          <w:right w:w="70" w:type="dxa"/>
        </w:tblCellMar>
        <w:tblLook w:val="0000" w:firstRow="0" w:lastRow="0" w:firstColumn="0" w:lastColumn="0" w:noHBand="0" w:noVBand="0"/>
      </w:tblPr>
      <w:tblGrid>
        <w:gridCol w:w="9709"/>
      </w:tblGrid>
      <w:tr w:rsidR="00276BD2">
        <w:tc>
          <w:tcPr>
            <w:tcW w:w="9709" w:type="dxa"/>
            <w:tcBorders>
              <w:top w:val="single" w:sz="4" w:space="0" w:color="auto"/>
              <w:left w:val="single" w:sz="4" w:space="0" w:color="auto"/>
              <w:bottom w:val="single" w:sz="4" w:space="0" w:color="auto"/>
              <w:right w:val="single" w:sz="4" w:space="0" w:color="auto"/>
            </w:tcBorders>
          </w:tcPr>
          <w:p w:rsidR="00276BD2" w:rsidRDefault="00276BD2">
            <w:pPr>
              <w:pStyle w:val="Tablehead"/>
              <w:jc w:val="left"/>
              <w:rPr>
                <w:lang w:val="en-US"/>
              </w:rPr>
            </w:pPr>
            <w:r>
              <w:rPr>
                <w:lang w:val="en-US"/>
              </w:rPr>
              <w:t>Spectra</w:t>
            </w:r>
          </w:p>
        </w:tc>
      </w:tr>
      <w:tr w:rsidR="00276BD2" w:rsidRPr="00552B7C">
        <w:trPr>
          <w:trHeight w:val="1551"/>
        </w:trPr>
        <w:tc>
          <w:tcPr>
            <w:tcW w:w="9709" w:type="dxa"/>
            <w:tcBorders>
              <w:top w:val="single" w:sz="4" w:space="0" w:color="auto"/>
              <w:left w:val="single" w:sz="4" w:space="0" w:color="auto"/>
              <w:bottom w:val="single" w:sz="4" w:space="0" w:color="auto"/>
              <w:right w:val="single" w:sz="4" w:space="0" w:color="auto"/>
            </w:tcBorders>
          </w:tcPr>
          <w:p w:rsidR="00276BD2" w:rsidRDefault="00276BD2">
            <w:pPr>
              <w:pStyle w:val="Tabletext"/>
              <w:rPr>
                <w:lang w:val="en-US"/>
              </w:rPr>
            </w:pPr>
            <w:r>
              <w:rPr>
                <w:lang w:val="en-US"/>
              </w:rPr>
              <w:t>Three spectra traces are recommended: wanted signal – noise – {signal + inverted noise}</w:t>
            </w:r>
          </w:p>
          <w:p w:rsidR="00276BD2" w:rsidRDefault="00276BD2">
            <w:pPr>
              <w:pStyle w:val="Tabletext"/>
              <w:rPr>
                <w:lang w:val="en-US"/>
              </w:rPr>
            </w:pPr>
          </w:p>
          <w:p w:rsidR="00276BD2" w:rsidRDefault="00276BD2">
            <w:pPr>
              <w:pStyle w:val="Tabletext"/>
              <w:jc w:val="center"/>
            </w:pPr>
            <w:r>
              <w:object w:dxaOrig="5822" w:dyaOrig="4622">
                <v:shape id="_x0000_i1026" type="#_x0000_t75" style="width:291pt;height:231pt" o:ole="" o:allowoverlap="f">
                  <v:imagedata r:id="rId8" o:title=""/>
                </v:shape>
                <o:OLEObject Type="Embed" ProgID="CorelDRAW.Graphic.12" ShapeID="_x0000_i1026" DrawAspect="Content" ObjectID="_1648620086" r:id="rId9"/>
              </w:object>
            </w:r>
          </w:p>
          <w:p w:rsidR="00276BD2" w:rsidRDefault="00276BD2">
            <w:pPr>
              <w:pStyle w:val="Tabletext"/>
            </w:pPr>
          </w:p>
          <w:p w:rsidR="00276BD2" w:rsidRDefault="00276BD2">
            <w:pPr>
              <w:pStyle w:val="Tabletext"/>
              <w:rPr>
                <w:lang w:val="en-US"/>
              </w:rPr>
            </w:pPr>
            <w:r>
              <w:rPr>
                <w:lang w:val="en-US"/>
              </w:rPr>
              <w:t>Information to be provided:</w:t>
            </w:r>
          </w:p>
          <w:p w:rsidR="00276BD2" w:rsidRDefault="00276BD2">
            <w:pPr>
              <w:pStyle w:val="Tabletext"/>
              <w:rPr>
                <w:lang w:val="en-US"/>
              </w:rPr>
            </w:pPr>
            <w:r>
              <w:rPr>
                <w:lang w:val="en-US"/>
              </w:rPr>
              <w:t>Centre frequency = {...} MHz</w:t>
            </w:r>
          </w:p>
          <w:p w:rsidR="00276BD2" w:rsidRDefault="00276BD2">
            <w:pPr>
              <w:pStyle w:val="Tabletext"/>
              <w:rPr>
                <w:lang w:val="en-US"/>
              </w:rPr>
            </w:pPr>
            <w:r>
              <w:rPr>
                <w:lang w:val="en-US"/>
              </w:rPr>
              <w:t>Span = {...} MHz</w:t>
            </w:r>
          </w:p>
          <w:p w:rsidR="00276BD2" w:rsidRDefault="00276BD2">
            <w:pPr>
              <w:pStyle w:val="Tabletext"/>
              <w:rPr>
                <w:lang w:val="en-US"/>
              </w:rPr>
            </w:pPr>
            <w:r>
              <w:rPr>
                <w:lang w:val="en-US"/>
              </w:rPr>
              <w:t>FFT: {number of} points</w:t>
            </w:r>
          </w:p>
          <w:p w:rsidR="00276BD2" w:rsidRDefault="00276BD2">
            <w:pPr>
              <w:pStyle w:val="Tabletext"/>
              <w:rPr>
                <w:lang w:val="en-US"/>
              </w:rPr>
            </w:pPr>
            <w:r>
              <w:rPr>
                <w:lang w:val="en-US"/>
              </w:rPr>
              <w:t>Resolution: {...} kHz</w:t>
            </w:r>
          </w:p>
          <w:p w:rsidR="00276BD2" w:rsidRDefault="00276BD2">
            <w:pPr>
              <w:pStyle w:val="Tabletext"/>
              <w:rPr>
                <w:lang w:val="en-US"/>
              </w:rPr>
            </w:pPr>
            <w:r>
              <w:rPr>
                <w:lang w:val="en-US"/>
              </w:rPr>
              <w:t>Averaging: {number of} samples</w:t>
            </w:r>
          </w:p>
          <w:p w:rsidR="00276BD2" w:rsidRDefault="00276BD2">
            <w:pPr>
              <w:pStyle w:val="Tabletext"/>
              <w:rPr>
                <w:lang w:val="en-US"/>
              </w:rPr>
            </w:pPr>
          </w:p>
          <w:p w:rsidR="00276BD2" w:rsidRDefault="00276BD2">
            <w:pPr>
              <w:pStyle w:val="Tabletext"/>
              <w:rPr>
                <w:lang w:val="en-US"/>
              </w:rPr>
            </w:pPr>
            <w:r>
              <w:rPr>
                <w:lang w:val="en-US"/>
              </w:rPr>
              <w:t xml:space="preserve">Times (UTC) of </w:t>
            </w:r>
          </w:p>
          <w:p w:rsidR="00276BD2" w:rsidRDefault="00276BD2">
            <w:pPr>
              <w:pStyle w:val="Tabletext"/>
              <w:rPr>
                <w:lang w:val="en-US"/>
              </w:rPr>
            </w:pPr>
            <w:r>
              <w:rPr>
                <w:lang w:val="en-US"/>
              </w:rPr>
              <w:t>wanted signal: start, stop</w:t>
            </w:r>
          </w:p>
          <w:p w:rsidR="00276BD2" w:rsidRDefault="00276BD2">
            <w:pPr>
              <w:pStyle w:val="Tabletext"/>
              <w:rPr>
                <w:lang w:val="en-US"/>
              </w:rPr>
            </w:pPr>
            <w:r>
              <w:rPr>
                <w:lang w:val="en-US"/>
              </w:rPr>
              <w:t>comparison signal: start, stop</w:t>
            </w:r>
          </w:p>
          <w:p w:rsidR="00276BD2" w:rsidRDefault="00276BD2">
            <w:pPr>
              <w:pStyle w:val="Tabletext"/>
              <w:rPr>
                <w:lang w:val="en-US"/>
              </w:rPr>
            </w:pPr>
            <w:r>
              <w:rPr>
                <w:lang w:val="en-US"/>
              </w:rPr>
              <w:t>intervals wanted/comparison signals:</w:t>
            </w:r>
          </w:p>
          <w:p w:rsidR="00276BD2" w:rsidRDefault="00276BD2">
            <w:pPr>
              <w:pStyle w:val="Tabletext"/>
              <w:rPr>
                <w:lang w:val="en-US"/>
              </w:rPr>
            </w:pPr>
            <w:r>
              <w:rPr>
                <w:lang w:val="en-US"/>
              </w:rPr>
              <w:t>mode of Doppler compensation:</w:t>
            </w:r>
          </w:p>
        </w:tc>
      </w:tr>
      <w:tr w:rsidR="00276BD2">
        <w:tc>
          <w:tcPr>
            <w:tcW w:w="9709" w:type="dxa"/>
            <w:tcBorders>
              <w:top w:val="single" w:sz="4" w:space="0" w:color="auto"/>
              <w:left w:val="single" w:sz="4" w:space="0" w:color="auto"/>
              <w:bottom w:val="single" w:sz="4" w:space="0" w:color="auto"/>
              <w:right w:val="single" w:sz="4" w:space="0" w:color="auto"/>
            </w:tcBorders>
          </w:tcPr>
          <w:p w:rsidR="00276BD2" w:rsidRDefault="00276BD2">
            <w:pPr>
              <w:pStyle w:val="Tabletext"/>
              <w:rPr>
                <w:b/>
                <w:bCs/>
                <w:lang w:val="en-US"/>
              </w:rPr>
            </w:pPr>
            <w:r>
              <w:rPr>
                <w:b/>
                <w:bCs/>
                <w:lang w:val="en-US"/>
              </w:rPr>
              <w:t>Observations</w:t>
            </w:r>
            <w:r>
              <w:rPr>
                <w:b/>
                <w:bCs/>
                <w:lang w:val="en-US"/>
              </w:rPr>
              <w:br/>
            </w:r>
            <w:r>
              <w:rPr>
                <w:b/>
                <w:bCs/>
                <w:lang w:val="en-US"/>
              </w:rPr>
              <w:br/>
            </w:r>
            <w:r>
              <w:rPr>
                <w:b/>
                <w:bCs/>
                <w:lang w:val="en-US"/>
              </w:rPr>
              <w:br/>
            </w:r>
            <w:r>
              <w:rPr>
                <w:b/>
                <w:bCs/>
                <w:lang w:val="en-US"/>
              </w:rPr>
              <w:br/>
            </w:r>
          </w:p>
        </w:tc>
      </w:tr>
      <w:tr w:rsidR="00276BD2">
        <w:tc>
          <w:tcPr>
            <w:tcW w:w="9709" w:type="dxa"/>
            <w:tcBorders>
              <w:top w:val="single" w:sz="4" w:space="0" w:color="auto"/>
              <w:left w:val="single" w:sz="4" w:space="0" w:color="auto"/>
              <w:bottom w:val="single" w:sz="4" w:space="0" w:color="auto"/>
              <w:right w:val="single" w:sz="4" w:space="0" w:color="auto"/>
            </w:tcBorders>
          </w:tcPr>
          <w:p w:rsidR="00276BD2" w:rsidRDefault="00276BD2">
            <w:pPr>
              <w:pStyle w:val="Tabletext"/>
              <w:rPr>
                <w:b/>
                <w:bCs/>
                <w:lang w:val="en-US"/>
              </w:rPr>
            </w:pPr>
            <w:r>
              <w:rPr>
                <w:b/>
                <w:bCs/>
                <w:lang w:val="en-US"/>
              </w:rPr>
              <w:t>Expected identity of satellites</w:t>
            </w:r>
          </w:p>
          <w:p w:rsidR="00276BD2" w:rsidRDefault="00276BD2">
            <w:pPr>
              <w:tabs>
                <w:tab w:val="left" w:pos="2835"/>
              </w:tabs>
              <w:spacing w:after="120"/>
              <w:rPr>
                <w:sz w:val="22"/>
                <w:lang w:val="en-US"/>
              </w:rPr>
            </w:pPr>
            <w:r>
              <w:rPr>
                <w:sz w:val="22"/>
                <w:lang w:val="en-US"/>
              </w:rPr>
              <w:br/>
            </w:r>
          </w:p>
        </w:tc>
      </w:tr>
    </w:tbl>
    <w:p w:rsidR="00276BD2" w:rsidRDefault="00276BD2">
      <w:pPr>
        <w:pStyle w:val="Headingb"/>
        <w:rPr>
          <w:lang w:val="es-ES_tradnl"/>
        </w:rPr>
      </w:pPr>
      <w:r>
        <w:rPr>
          <w:lang w:val="es-ES_tradnl"/>
        </w:rPr>
        <w:br w:type="page"/>
      </w:r>
      <w:r>
        <w:rPr>
          <w:lang w:val="es-ES_tradnl"/>
        </w:rPr>
        <w:lastRenderedPageBreak/>
        <w:t>Glossary</w:t>
      </w:r>
    </w:p>
    <w:p w:rsidR="00276BD2" w:rsidRDefault="00276BD2">
      <w:r>
        <w:t>A/D:</w:t>
      </w:r>
      <w:r>
        <w:tab/>
      </w:r>
      <w:r>
        <w:tab/>
        <w:t>analogue/digital</w:t>
      </w:r>
    </w:p>
    <w:p w:rsidR="00276BD2" w:rsidRDefault="00276BD2">
      <w:r>
        <w:t>FFT:</w:t>
      </w:r>
      <w:r>
        <w:tab/>
      </w:r>
      <w:r>
        <w:tab/>
        <w:t>fast Fourier transformation</w:t>
      </w:r>
    </w:p>
    <w:p w:rsidR="00276BD2" w:rsidRDefault="00276BD2">
      <w:pPr>
        <w:rPr>
          <w:lang w:val="en-US"/>
        </w:rPr>
      </w:pPr>
      <w:r>
        <w:rPr>
          <w:lang w:val="en-US"/>
        </w:rPr>
        <w:t>GSO:</w:t>
      </w:r>
      <w:r>
        <w:rPr>
          <w:lang w:val="en-US"/>
        </w:rPr>
        <w:tab/>
      </w:r>
      <w:r>
        <w:rPr>
          <w:lang w:val="en-US"/>
        </w:rPr>
        <w:tab/>
        <w:t>geostationary-satellite orbit</w:t>
      </w:r>
    </w:p>
    <w:p w:rsidR="00276BD2" w:rsidRDefault="00276BD2">
      <w:pPr>
        <w:rPr>
          <w:lang w:val="en-US"/>
        </w:rPr>
      </w:pPr>
      <w:r>
        <w:rPr>
          <w:lang w:val="en-US"/>
        </w:rPr>
        <w:t>IF:</w:t>
      </w:r>
      <w:r>
        <w:rPr>
          <w:lang w:val="en-US"/>
        </w:rPr>
        <w:tab/>
      </w:r>
      <w:r>
        <w:rPr>
          <w:lang w:val="en-US"/>
        </w:rPr>
        <w:tab/>
        <w:t>intermediate frequency</w:t>
      </w:r>
    </w:p>
    <w:p w:rsidR="00276BD2" w:rsidRDefault="00276BD2">
      <w:pPr>
        <w:rPr>
          <w:lang w:val="en-US"/>
        </w:rPr>
      </w:pPr>
      <w:r>
        <w:rPr>
          <w:lang w:val="en-US"/>
        </w:rPr>
        <w:t>pfd:</w:t>
      </w:r>
      <w:r>
        <w:rPr>
          <w:lang w:val="en-US"/>
        </w:rPr>
        <w:tab/>
      </w:r>
      <w:r>
        <w:rPr>
          <w:lang w:val="en-US"/>
        </w:rPr>
        <w:tab/>
        <w:t>power flux-density</w:t>
      </w:r>
    </w:p>
    <w:p w:rsidR="00276BD2" w:rsidRDefault="00276BD2">
      <w:pPr>
        <w:rPr>
          <w:lang w:val="en-US"/>
        </w:rPr>
      </w:pPr>
      <w:r>
        <w:rPr>
          <w:lang w:val="en-US"/>
        </w:rPr>
        <w:t>RAM:</w:t>
      </w:r>
      <w:r>
        <w:rPr>
          <w:lang w:val="en-US"/>
        </w:rPr>
        <w:tab/>
      </w:r>
      <w:r>
        <w:rPr>
          <w:lang w:val="en-US"/>
        </w:rPr>
        <w:tab/>
        <w:t>random access memory</w:t>
      </w:r>
    </w:p>
    <w:p w:rsidR="00276BD2" w:rsidRDefault="00276BD2">
      <w:pPr>
        <w:rPr>
          <w:lang w:val="en-US"/>
        </w:rPr>
      </w:pPr>
      <w:r>
        <w:rPr>
          <w:lang w:val="en-US"/>
        </w:rPr>
        <w:t>RAS:</w:t>
      </w:r>
      <w:r>
        <w:rPr>
          <w:lang w:val="en-US"/>
        </w:rPr>
        <w:tab/>
      </w:r>
      <w:r>
        <w:rPr>
          <w:lang w:val="en-US"/>
        </w:rPr>
        <w:tab/>
        <w:t>radio astronomy service</w:t>
      </w:r>
    </w:p>
    <w:p w:rsidR="00276BD2" w:rsidRDefault="00276BD2">
      <w:pPr>
        <w:rPr>
          <w:lang w:val="en-US"/>
        </w:rPr>
      </w:pPr>
      <w:r>
        <w:rPr>
          <w:lang w:val="en-US"/>
        </w:rPr>
        <w:t>RF:</w:t>
      </w:r>
      <w:r>
        <w:rPr>
          <w:lang w:val="en-US"/>
        </w:rPr>
        <w:tab/>
      </w:r>
      <w:r>
        <w:rPr>
          <w:lang w:val="en-US"/>
        </w:rPr>
        <w:tab/>
        <w:t>radio frequency</w:t>
      </w:r>
    </w:p>
    <w:p w:rsidR="00276BD2" w:rsidRDefault="00276BD2">
      <w:pPr>
        <w:rPr>
          <w:lang w:val="en-US"/>
        </w:rPr>
      </w:pPr>
      <w:r>
        <w:rPr>
          <w:lang w:val="en-US"/>
        </w:rPr>
        <w:t>TDMA:</w:t>
      </w:r>
      <w:r>
        <w:rPr>
          <w:lang w:val="en-US"/>
        </w:rPr>
        <w:tab/>
      </w:r>
      <w:r>
        <w:rPr>
          <w:lang w:val="en-US"/>
        </w:rPr>
        <w:tab/>
        <w:t>time division multiple access</w:t>
      </w:r>
    </w:p>
    <w:p w:rsidR="00276BD2" w:rsidRDefault="00276BD2">
      <w:pPr>
        <w:rPr>
          <w:lang w:val="en-US"/>
        </w:rPr>
      </w:pPr>
      <w:r>
        <w:rPr>
          <w:lang w:val="en-US"/>
        </w:rPr>
        <w:t>UTC:</w:t>
      </w:r>
      <w:r>
        <w:rPr>
          <w:lang w:val="en-US"/>
        </w:rPr>
        <w:tab/>
      </w:r>
      <w:r>
        <w:rPr>
          <w:lang w:val="en-US"/>
        </w:rPr>
        <w:tab/>
        <w:t>Universal Time Coordinated</w:t>
      </w:r>
    </w:p>
    <w:p w:rsidR="00276BD2" w:rsidRDefault="00276BD2">
      <w:pPr>
        <w:rPr>
          <w:lang w:val="en-US"/>
        </w:rPr>
      </w:pPr>
      <w:r>
        <w:rPr>
          <w:lang w:val="en-US"/>
        </w:rPr>
        <w:t>W/E:</w:t>
      </w:r>
      <w:r>
        <w:rPr>
          <w:lang w:val="en-US"/>
        </w:rPr>
        <w:tab/>
      </w:r>
      <w:r>
        <w:rPr>
          <w:lang w:val="en-US"/>
        </w:rPr>
        <w:tab/>
        <w:t>West/East</w:t>
      </w:r>
    </w:p>
    <w:p w:rsidR="00276BD2" w:rsidRDefault="00276BD2">
      <w:pPr>
        <w:rPr>
          <w:lang w:val="en-US"/>
        </w:rPr>
      </w:pPr>
    </w:p>
    <w:p w:rsidR="00276BD2" w:rsidRDefault="00276BD2">
      <w:pPr>
        <w:rPr>
          <w:lang w:val="en-US"/>
        </w:rPr>
      </w:pPr>
    </w:p>
    <w:p w:rsidR="00276BD2" w:rsidRDefault="00276BD2">
      <w:pPr>
        <w:pStyle w:val="Line"/>
      </w:pPr>
    </w:p>
    <w:sectPr w:rsidR="00276BD2">
      <w:headerReference w:type="even" r:id="rId10"/>
      <w:headerReference w:type="default" r:id="rId11"/>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BD2" w:rsidRDefault="00276BD2">
      <w:r>
        <w:separator/>
      </w:r>
    </w:p>
  </w:endnote>
  <w:endnote w:type="continuationSeparator" w:id="0">
    <w:p w:rsidR="00276BD2" w:rsidRDefault="00276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BD2" w:rsidRDefault="00276BD2">
      <w:r>
        <w:separator/>
      </w:r>
    </w:p>
  </w:footnote>
  <w:footnote w:type="continuationSeparator" w:id="0">
    <w:p w:rsidR="00276BD2" w:rsidRDefault="00276BD2">
      <w:r>
        <w:continuationSeparator/>
      </w:r>
    </w:p>
  </w:footnote>
  <w:footnote w:id="1">
    <w:p w:rsidR="00406E70" w:rsidRPr="00406E70" w:rsidRDefault="00406E70" w:rsidP="00406E70">
      <w:pPr>
        <w:pStyle w:val="FootnoteText"/>
        <w:rPr>
          <w:lang w:val="en-US"/>
        </w:rPr>
      </w:pPr>
      <w:r w:rsidRPr="00406E70">
        <w:rPr>
          <w:rStyle w:val="FootnoteReference"/>
          <w:lang w:val="en-US"/>
        </w:rPr>
        <w:t>*</w:t>
      </w:r>
      <w:r w:rsidRPr="00406E70">
        <w:rPr>
          <w:lang w:val="en-US"/>
        </w:rPr>
        <w:t xml:space="preserve"> </w:t>
      </w:r>
      <w:r w:rsidRPr="00406E70">
        <w:rPr>
          <w:lang w:val="en-US"/>
        </w:rPr>
        <w:tab/>
        <w:t>Radiocommunication Study Group 1 made editorial amendments to this Recommendation in the year</w:t>
      </w:r>
      <w:r w:rsidR="00552B7C">
        <w:rPr>
          <w:lang w:val="en-US"/>
        </w:rPr>
        <w:t>s</w:t>
      </w:r>
      <w:r w:rsidRPr="00406E70">
        <w:rPr>
          <w:lang w:val="en-US"/>
        </w:rPr>
        <w:t xml:space="preserve"> 2018 </w:t>
      </w:r>
      <w:r w:rsidR="00552B7C">
        <w:rPr>
          <w:lang w:val="en-US"/>
        </w:rPr>
        <w:t xml:space="preserve">and 2019 </w:t>
      </w:r>
      <w:r w:rsidRPr="00406E70">
        <w:rPr>
          <w:lang w:val="en-US"/>
        </w:rPr>
        <w:t>in accordance with Resolution ITU</w:t>
      </w:r>
      <w:r w:rsidRPr="00406E70">
        <w:rPr>
          <w:lang w:val="en-US"/>
        </w:rPr>
        <w:noBreakHyphen/>
        <w:t>R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D2" w:rsidRDefault="00276BD2">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E43034">
      <w:rPr>
        <w:rStyle w:val="PageNumber"/>
        <w:b/>
        <w:bCs/>
        <w:noProof/>
        <w:lang w:val="en-US"/>
      </w:rPr>
      <w:t>2</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773343">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E43034">
      <w:rPr>
        <w:b/>
        <w:bCs/>
        <w:noProof/>
        <w:lang w:val="en-US"/>
      </w:rPr>
      <w:t>ITU-R  SM.1681-0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BD2" w:rsidRDefault="00276BD2">
    <w:pPr>
      <w:pStyle w:val="Header"/>
    </w:pPr>
    <w:r>
      <w:tab/>
    </w:r>
    <w:r>
      <w:rPr>
        <w:b/>
        <w:bCs/>
      </w:rPr>
      <w:fldChar w:fldCharType="begin"/>
    </w:r>
    <w:r>
      <w:rPr>
        <w:b/>
        <w:bCs/>
      </w:rPr>
      <w:instrText xml:space="preserve"> DOCPROPERTY "Header" \* MERGEFORMAT </w:instrText>
    </w:r>
    <w:r>
      <w:rPr>
        <w:b/>
        <w:bCs/>
      </w:rPr>
      <w:fldChar w:fldCharType="separate"/>
    </w:r>
    <w:r w:rsidR="00773343">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E43034">
      <w:rPr>
        <w:b/>
        <w:bCs/>
        <w:noProof/>
      </w:rPr>
      <w:t>ITU-R  SM.1681-0</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E43034">
      <w:rPr>
        <w:rStyle w:val="PageNumber"/>
        <w:b/>
        <w:bCs/>
        <w:noProof/>
      </w:rPr>
      <w:t>1</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BD2"/>
    <w:rsid w:val="000830EA"/>
    <w:rsid w:val="001F6C94"/>
    <w:rsid w:val="00276BD2"/>
    <w:rsid w:val="00406E70"/>
    <w:rsid w:val="004F7E57"/>
    <w:rsid w:val="00552B7C"/>
    <w:rsid w:val="00674A41"/>
    <w:rsid w:val="00773343"/>
    <w:rsid w:val="009F3C00"/>
    <w:rsid w:val="00AE0D8E"/>
    <w:rsid w:val="00E430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5639436-DA39-455C-A813-49B2BB46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D8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link w:val="HeadingbChar"/>
    <w:qFormat/>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pPr>
      <w:keepNext/>
      <w:keepLines/>
      <w:spacing w:before="240"/>
      <w:jc w:val="center"/>
    </w:pPr>
    <w:rPr>
      <w:b/>
      <w:sz w:val="28"/>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HeadingSum">
    <w:name w:val="Heading_Sum"/>
    <w:basedOn w:val="Headingb"/>
    <w:next w:val="Normal"/>
    <w:pPr>
      <w:spacing w:before="240"/>
    </w:pPr>
    <w:rPr>
      <w:sz w:val="22"/>
      <w:lang w:val="es-ES_tradnl"/>
    </w:rPr>
  </w:style>
  <w:style w:type="paragraph" w:customStyle="1" w:styleId="AnnexNoTitle">
    <w:name w:val="Annex_NoTitle"/>
    <w:basedOn w:val="Normal"/>
    <w:next w:val="Normalaftertitle"/>
    <w:rsid w:val="00AE0D8E"/>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Normal"/>
    <w:pPr>
      <w:keepLines/>
      <w:spacing w:before="480" w:after="240"/>
      <w:jc w:val="center"/>
    </w:pPr>
    <w:rPr>
      <w:caps/>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Normal"/>
    <w:pPr>
      <w:keepNext/>
      <w:spacing w:before="0" w:after="480"/>
      <w:jc w:val="center"/>
    </w:pPr>
    <w:rPr>
      <w:b/>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character" w:styleId="EndnoteReference">
    <w:name w:val="endnote reference"/>
    <w:basedOn w:val="DefaultParagraphFont"/>
    <w:semiHidden/>
    <w:rPr>
      <w:vertAlign w:val="superscript"/>
    </w:rPr>
  </w:style>
  <w:style w:type="paragraph" w:styleId="BodyText2">
    <w:name w:val="Body Text 2"/>
    <w:basedOn w:val="Normal"/>
    <w:pPr>
      <w:spacing w:before="0"/>
      <w:jc w:val="center"/>
    </w:pPr>
    <w:rPr>
      <w:sz w:val="22"/>
      <w:lang w:val="en-GB"/>
    </w:rPr>
  </w:style>
  <w:style w:type="paragraph" w:styleId="BodyText3">
    <w:name w:val="Body Text 3"/>
    <w:basedOn w:val="Normal"/>
    <w:pPr>
      <w:spacing w:before="0"/>
      <w:jc w:val="center"/>
    </w:pPr>
    <w:rPr>
      <w:sz w:val="20"/>
      <w:lang w:val="en-GB"/>
    </w:rPr>
  </w:style>
  <w:style w:type="character" w:customStyle="1" w:styleId="HeadingbChar">
    <w:name w:val="Heading_b Char"/>
    <w:link w:val="Headingb"/>
    <w:locked/>
    <w:rsid w:val="00552B7C"/>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6</TotalTime>
  <Pages>8</Pages>
  <Words>1572</Words>
  <Characters>8962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Template BR_Rec_2002.dot</vt:lpstr>
    </vt:vector>
  </TitlesOfParts>
  <Manager/>
  <Company>ITU</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BR_Rec_2002.dot</dc:title>
  <dc:subject>Selon approbation BR - 25.10.02</dc:subject>
  <dc:creator>ITU-R</dc:creator>
  <cp:keywords/>
  <dc:description>Edition_x000d_
Corr. 1ère épreuve                  3.03.05      SP_x000d_
Corr. BAT                                20.04.05     SP</dc:description>
  <cp:lastModifiedBy>Gomez, Yoanni</cp:lastModifiedBy>
  <cp:revision>10</cp:revision>
  <cp:lastPrinted>2019-09-13T06:38:00Z</cp:lastPrinted>
  <dcterms:created xsi:type="dcterms:W3CDTF">2018-10-18T07:24:00Z</dcterms:created>
  <dcterms:modified xsi:type="dcterms:W3CDTF">2020-04-17T07:14:00Z</dcterms:modified>
  <cp:category>Template:  BR_Rec_2002.dot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